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p/>
    <w:p/>
    <w:p/>
    <w:p/>
    <w:p/>
    <w:p/>
    <w:p/>
    <w:p/>
    <w:p/>
    <w:p/>
    <w:p/>
    <w:p>
      <w:pPr>
        <w:spacing w:line="500" w:lineRule="exact"/>
        <w:ind w:left="3515" w:leftChars="912" w:hanging="1600" w:hangingChars="500"/>
        <w:rPr>
          <w:rFonts w:ascii="方正小标宋_GBK" w:hAnsi="微软雅黑"/>
          <w:sz w:val="32"/>
          <w:szCs w:val="32"/>
        </w:rPr>
      </w:pPr>
      <w:r>
        <w:rPr>
          <w:rFonts w:hint="eastAsia" w:ascii="方正小标宋_GBK" w:hAnsi="微软雅黑" w:eastAsia="方正小标宋_GBK"/>
          <w:sz w:val="32"/>
          <w:szCs w:val="32"/>
        </w:rPr>
        <w:t>项目名称:</w:t>
      </w:r>
      <w:r>
        <w:rPr>
          <w:rFonts w:hint="eastAsia"/>
        </w:rPr>
        <w:t xml:space="preserve"> </w:t>
      </w:r>
      <w:bookmarkStart w:id="0" w:name="OLE_LINK1"/>
      <w:r>
        <w:rPr>
          <w:rFonts w:hint="eastAsia" w:ascii="方正小标宋_GBK" w:hAnsi="微软雅黑" w:eastAsia="方正小标宋_GBK"/>
          <w:sz w:val="32"/>
          <w:szCs w:val="32"/>
        </w:rPr>
        <w:t>浦北县第一职业技术学校建筑工程施工虚拟仿真实训基地设备</w:t>
      </w:r>
      <w:bookmarkEnd w:id="0"/>
    </w:p>
    <w:p>
      <w:pPr>
        <w:spacing w:line="500" w:lineRule="exact"/>
        <w:ind w:firstLine="1920" w:firstLineChars="600"/>
        <w:rPr>
          <w:rFonts w:hint="eastAsia" w:ascii="方正小标宋_GBK" w:hAnsi="微软雅黑" w:eastAsia="方正小标宋_GBK"/>
          <w:sz w:val="32"/>
          <w:szCs w:val="32"/>
          <w:lang w:eastAsia="zh-CN"/>
        </w:rPr>
      </w:pPr>
      <w:r>
        <w:rPr>
          <w:rFonts w:hint="eastAsia" w:ascii="方正小标宋_GBK" w:hAnsi="微软雅黑" w:eastAsia="方正小标宋_GBK"/>
          <w:sz w:val="32"/>
          <w:szCs w:val="32"/>
        </w:rPr>
        <w:t>项目编号:</w:t>
      </w:r>
      <w:r>
        <w:rPr>
          <w:rFonts w:hint="eastAsia" w:ascii="方正小标宋_GBK" w:hAnsi="微软雅黑" w:eastAsia="方正小标宋_GBK"/>
          <w:sz w:val="32"/>
          <w:szCs w:val="32"/>
          <w:lang w:eastAsia="zh-CN"/>
        </w:rPr>
        <w:t>QZZC2025-J1-220090-QZSZ</w:t>
      </w:r>
    </w:p>
    <w:p/>
    <w:p/>
    <w:p/>
    <w:p/>
    <w:p/>
    <w:p/>
    <w:p/>
    <w:p/>
    <w:p/>
    <w:p/>
    <w:p/>
    <w:p/>
    <w:p/>
    <w:p/>
    <w:p/>
    <w:p/>
    <w:p/>
    <w:p/>
    <w:p/>
    <w:p>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2025年0</w:t>
      </w:r>
      <w:r>
        <w:rPr>
          <w:rFonts w:hint="eastAsia" w:ascii="方正小标宋_GBK" w:hAnsi="微软雅黑" w:eastAsia="方正小标宋_GBK"/>
          <w:sz w:val="32"/>
          <w:szCs w:val="32"/>
          <w:lang w:val="en-US" w:eastAsia="zh-CN"/>
        </w:rPr>
        <w:t>5</w:t>
      </w:r>
      <w:r>
        <w:rPr>
          <w:rFonts w:hint="eastAsia" w:ascii="方正小标宋_GBK" w:hAnsi="微软雅黑" w:eastAsia="方正小标宋_GBK"/>
          <w:sz w:val="32"/>
          <w:szCs w:val="32"/>
        </w:rPr>
        <w:t>月</w:t>
      </w:r>
    </w:p>
    <w:p/>
    <w:p/>
    <w:p>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p>
      <w:pPr>
        <w:pStyle w:val="27"/>
        <w:tabs>
          <w:tab w:val="right" w:leader="dot" w:pos="9514"/>
        </w:tabs>
        <w:spacing w:line="1000" w:lineRule="exact"/>
        <w:rPr>
          <w:rFonts w:asciiTheme="minorHAnsi" w:hAnsiTheme="minorHAnsi" w:eastAsiaTheme="minorEastAsia" w:cstheme="minorBidi"/>
          <w:sz w:val="28"/>
          <w:szCs w:val="28"/>
        </w:rPr>
      </w:pPr>
      <w:bookmarkStart w:id="1"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2"/>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2"/>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2"/>
          <w:rFonts w:ascii="方正小标宋简体" w:eastAsia="方正小标宋简体"/>
          <w:color w:val="auto"/>
          <w:sz w:val="28"/>
          <w:szCs w:val="28"/>
        </w:rPr>
        <w:t>第三章  供应商须知</w:t>
      </w:r>
      <w:r>
        <w:rPr>
          <w:sz w:val="28"/>
          <w:szCs w:val="28"/>
        </w:rPr>
        <w:tab/>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2"/>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73</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"_Toc92355027" </w:instrText>
      </w:r>
      <w:r>
        <w:fldChar w:fldCharType="separate"/>
      </w:r>
      <w:r>
        <w:rPr>
          <w:rStyle w:val="42"/>
          <w:rFonts w:ascii="方正小标宋_GBK" w:eastAsia="方正小标宋_GBK"/>
          <w:color w:val="auto"/>
          <w:sz w:val="28"/>
          <w:szCs w:val="28"/>
        </w:rPr>
        <w:t>第五章  合同文本</w:t>
      </w:r>
      <w:r>
        <w:rPr>
          <w:sz w:val="28"/>
          <w:szCs w:val="28"/>
        </w:rPr>
        <w:tab/>
      </w:r>
      <w:r>
        <w:rPr>
          <w:sz w:val="28"/>
          <w:szCs w:val="28"/>
        </w:rPr>
        <w:fldChar w:fldCharType="begin"/>
      </w:r>
      <w:r>
        <w:rPr>
          <w:sz w:val="28"/>
          <w:szCs w:val="28"/>
        </w:rPr>
        <w:instrText xml:space="preserve"> PAGEREF _Toc92355027 \h </w:instrText>
      </w:r>
      <w:r>
        <w:rPr>
          <w:sz w:val="28"/>
          <w:szCs w:val="28"/>
        </w:rPr>
        <w:fldChar w:fldCharType="separate"/>
      </w:r>
      <w:r>
        <w:rPr>
          <w:sz w:val="28"/>
          <w:szCs w:val="28"/>
        </w:rPr>
        <w:t>75</w:t>
      </w:r>
      <w:r>
        <w:rPr>
          <w:sz w:val="28"/>
          <w:szCs w:val="28"/>
        </w:rPr>
        <w:fldChar w:fldCharType="end"/>
      </w:r>
      <w:r>
        <w:rPr>
          <w:sz w:val="28"/>
          <w:szCs w:val="28"/>
        </w:rPr>
        <w:fldChar w:fldCharType="end"/>
      </w:r>
    </w:p>
    <w:p>
      <w:pPr>
        <w:pStyle w:val="27"/>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2"/>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90</w:t>
      </w:r>
      <w:r>
        <w:rPr>
          <w:sz w:val="28"/>
          <w:szCs w:val="28"/>
        </w:rPr>
        <w:fldChar w:fldCharType="end"/>
      </w:r>
      <w:r>
        <w:rPr>
          <w:sz w:val="28"/>
          <w:szCs w:val="28"/>
        </w:rPr>
        <w:fldChar w:fldCharType="end"/>
      </w:r>
    </w:p>
    <w:p>
      <w:pPr>
        <w:sectPr>
          <w:footerReference r:id="rId4" w:type="first"/>
          <w:footerReference r:id="rId3"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p>
      <w:pPr>
        <w:widowControl/>
        <w:jc w:val="left"/>
      </w:pPr>
    </w:p>
    <w:p/>
    <w:p/>
    <w:p/>
    <w:p/>
    <w:p/>
    <w:p/>
    <w:p/>
    <w:p/>
    <w:p/>
    <w:p/>
    <w:p/>
    <w:p/>
    <w:p>
      <w:pPr>
        <w:pStyle w:val="3"/>
        <w:spacing w:line="400" w:lineRule="exact"/>
        <w:rPr>
          <w:rFonts w:ascii="方正小标宋_GBK" w:hAnsi="宋体" w:eastAsia="方正小标宋_GBK"/>
        </w:rPr>
      </w:pPr>
      <w:bookmarkStart w:id="2" w:name="_Toc92355023"/>
      <w:r>
        <w:rPr>
          <w:rFonts w:hint="eastAsia" w:ascii="方正小标宋_GBK" w:hAnsi="宋体" w:eastAsia="方正小标宋_GBK"/>
        </w:rPr>
        <w:t>第一章  竞争性谈判公告</w:t>
      </w:r>
      <w:bookmarkEnd w:id="1"/>
      <w:bookmarkEnd w:id="2"/>
    </w:p>
    <w:p>
      <w:pPr>
        <w:spacing w:line="600" w:lineRule="exact"/>
        <w:jc w:val="center"/>
        <w:rPr>
          <w:rFonts w:ascii="黑体" w:hAnsi="宋体" w:eastAsia="黑体"/>
          <w:b/>
          <w:sz w:val="32"/>
          <w:szCs w:val="32"/>
        </w:rPr>
      </w:pPr>
      <w:r>
        <w:rPr>
          <w:rFonts w:ascii="黑体" w:hAnsi="宋体" w:eastAsia="黑体"/>
          <w:b/>
          <w:sz w:val="32"/>
          <w:szCs w:val="32"/>
        </w:rPr>
        <w:br w:type="page"/>
      </w:r>
    </w:p>
    <w:p>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钦州市政府采购中心关于浦北县第一职业技术学校建筑工程施工虚拟仿真实训基地设备</w:t>
      </w:r>
      <w:r>
        <w:rPr>
          <w:rFonts w:ascii="方正小标宋_GBK" w:hAnsi="宋体" w:eastAsia="方正小标宋_GBK"/>
          <w:b/>
          <w:sz w:val="34"/>
          <w:szCs w:val="34"/>
        </w:rPr>
        <w:t>(</w:t>
      </w:r>
      <w:r>
        <w:rPr>
          <w:rFonts w:hint="eastAsia" w:ascii="方正小标宋_GBK" w:hAnsi="宋体" w:eastAsia="方正小标宋_GBK"/>
          <w:b/>
          <w:sz w:val="34"/>
          <w:szCs w:val="34"/>
          <w:lang w:eastAsia="zh-CN"/>
        </w:rPr>
        <w:t>QZZC2025-J1-220090-QZSZ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3" w:name="_Toc38370138"/>
      <w:r>
        <w:rPr>
          <w:rFonts w:hint="eastAsia" w:ascii="宋体" w:hAnsi="宋体"/>
          <w:szCs w:val="21"/>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浦北县第一职业技术学校建筑工程施工虚拟仿真实训基地设备项目的潜在供应商应在广西政府采购云平台（https://www.gcy.zfcg.gxzf.gov.cn/）获取采购文件，并于</w:t>
      </w:r>
      <w:r>
        <w:rPr>
          <w:rFonts w:hint="eastAsia" w:ascii="宋体" w:hAnsi="宋体"/>
          <w:szCs w:val="21"/>
          <w:lang w:eastAsia="zh-CN"/>
        </w:rPr>
        <w:t>2025年5月2</w:t>
      </w:r>
      <w:r>
        <w:rPr>
          <w:rFonts w:hint="eastAsia" w:ascii="宋体" w:hAnsi="宋体"/>
          <w:szCs w:val="21"/>
          <w:lang w:val="en-US" w:eastAsia="zh-CN"/>
        </w:rPr>
        <w:t>9</w:t>
      </w:r>
      <w:r>
        <w:rPr>
          <w:rFonts w:hint="eastAsia" w:ascii="宋体" w:hAnsi="宋体"/>
          <w:szCs w:val="21"/>
          <w:lang w:eastAsia="zh-CN"/>
        </w:rPr>
        <w:t>日</w:t>
      </w:r>
      <w:r>
        <w:t>09:30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3"/>
    <w:p>
      <w:pPr>
        <w:spacing w:line="400" w:lineRule="exact"/>
        <w:rPr>
          <w:b/>
        </w:rPr>
      </w:pPr>
      <w:bookmarkStart w:id="4" w:name="_Toc28359079"/>
      <w:bookmarkStart w:id="5" w:name="_Toc35393621"/>
      <w:bookmarkStart w:id="6" w:name="_Toc28359002"/>
      <w:bookmarkStart w:id="7" w:name="_Toc35393790"/>
      <w:bookmarkStart w:id="8" w:name="_Hlk24379207"/>
      <w:bookmarkStart w:id="9" w:name="_Toc38370146"/>
      <w:r>
        <w:rPr>
          <w:rFonts w:hint="eastAsia"/>
          <w:b/>
        </w:rPr>
        <w:t>一、项目基本情况</w:t>
      </w:r>
      <w:bookmarkEnd w:id="4"/>
      <w:bookmarkEnd w:id="5"/>
      <w:bookmarkEnd w:id="6"/>
      <w:bookmarkEnd w:id="7"/>
    </w:p>
    <w:p>
      <w:pPr>
        <w:spacing w:line="400" w:lineRule="exact"/>
        <w:ind w:firstLine="420"/>
        <w:rPr>
          <w:rFonts w:hint="eastAsia" w:eastAsia="宋体"/>
          <w:lang w:eastAsia="zh-CN"/>
        </w:rPr>
      </w:pPr>
      <w:r>
        <w:rPr>
          <w:rFonts w:hint="eastAsia"/>
        </w:rPr>
        <w:t>项目编号：</w:t>
      </w:r>
      <w:r>
        <w:rPr>
          <w:rFonts w:hint="eastAsia"/>
          <w:lang w:eastAsia="zh-CN"/>
        </w:rPr>
        <w:t>QZZC2025-J1-220090-QZSZ</w:t>
      </w:r>
    </w:p>
    <w:p>
      <w:pPr>
        <w:spacing w:line="400" w:lineRule="exact"/>
        <w:ind w:firstLine="420"/>
      </w:pPr>
      <w:r>
        <w:rPr>
          <w:rFonts w:hint="eastAsia"/>
        </w:rPr>
        <w:t>项目名称：浦北县第一职业技术学校建筑工程施工虚拟仿真实训基地设备</w:t>
      </w:r>
    </w:p>
    <w:bookmarkEnd w:id="8"/>
    <w:p>
      <w:pPr>
        <w:spacing w:line="400" w:lineRule="exact"/>
        <w:ind w:firstLine="420"/>
      </w:pPr>
      <w:r>
        <w:rPr>
          <w:rFonts w:hint="eastAsia"/>
        </w:rPr>
        <w:t>预算总金额(元</w:t>
      </w:r>
      <w:r>
        <w:t>)</w:t>
      </w:r>
      <w:r>
        <w:rPr>
          <w:rFonts w:hint="eastAsia"/>
        </w:rPr>
        <w:t>：2,850,000.00</w:t>
      </w:r>
    </w:p>
    <w:p>
      <w:pPr>
        <w:spacing w:line="400" w:lineRule="exact"/>
        <w:ind w:firstLine="420"/>
      </w:pPr>
      <w:r>
        <w:rPr>
          <w:rFonts w:hint="eastAsia"/>
        </w:rPr>
        <w:t>采购需求：</w:t>
      </w:r>
    </w:p>
    <w:p>
      <w:pPr>
        <w:spacing w:line="400" w:lineRule="exact"/>
        <w:ind w:firstLine="420"/>
      </w:pPr>
    </w:p>
    <w:p>
      <w:pPr>
        <w:spacing w:line="400" w:lineRule="exact"/>
        <w:ind w:firstLine="420"/>
      </w:pPr>
      <w:r>
        <w:rPr>
          <w:rFonts w:hint="eastAsia"/>
        </w:rPr>
        <w:t>标项名称：</w:t>
      </w:r>
      <w:r>
        <w:t xml:space="preserve"> </w:t>
      </w:r>
      <w:r>
        <w:rPr>
          <w:rFonts w:hint="eastAsia"/>
        </w:rPr>
        <w:t>浦北县第一职业技术学校建筑工程施工虚拟仿真实训基地设备</w:t>
      </w:r>
    </w:p>
    <w:p>
      <w:pPr>
        <w:spacing w:line="400" w:lineRule="exact"/>
        <w:ind w:firstLine="420"/>
      </w:pPr>
      <w:r>
        <w:rPr>
          <w:rFonts w:hint="eastAsia"/>
        </w:rPr>
        <w:t>数量：1</w:t>
      </w:r>
    </w:p>
    <w:p>
      <w:pPr>
        <w:spacing w:line="400" w:lineRule="exact"/>
        <w:ind w:firstLine="420"/>
      </w:pPr>
      <w:r>
        <w:rPr>
          <w:rFonts w:hint="eastAsia"/>
        </w:rPr>
        <w:t>预算金额(元</w:t>
      </w:r>
      <w:r>
        <w:t>)</w:t>
      </w:r>
      <w:r>
        <w:rPr>
          <w:rFonts w:hint="eastAsia"/>
        </w:rPr>
        <w:t>：2,850,000.00</w:t>
      </w:r>
    </w:p>
    <w:p>
      <w:pPr>
        <w:spacing w:line="400" w:lineRule="exact"/>
        <w:ind w:firstLine="420"/>
      </w:pPr>
      <w:r>
        <w:rPr>
          <w:rFonts w:hint="eastAsia"/>
        </w:rPr>
        <w:t>简要规格描述或项目基本概况介绍、用途：职业教育示范性虚拟防真实训基地建设项目建筑专业实训设备一批，具体详见采购需求。</w:t>
      </w:r>
    </w:p>
    <w:p>
      <w:pPr>
        <w:spacing w:line="400" w:lineRule="exact"/>
        <w:ind w:firstLine="420"/>
      </w:pPr>
      <w:r>
        <w:rPr>
          <w:rFonts w:hint="eastAsia"/>
        </w:rPr>
        <w:t>最高限价(如有</w:t>
      </w:r>
      <w:r>
        <w:t>)</w:t>
      </w:r>
      <w:r>
        <w:rPr>
          <w:rFonts w:hint="eastAsia"/>
        </w:rPr>
        <w:t>：</w:t>
      </w:r>
    </w:p>
    <w:p>
      <w:pPr>
        <w:spacing w:line="400" w:lineRule="exact"/>
        <w:ind w:firstLine="420"/>
      </w:pPr>
      <w:r>
        <w:rPr>
          <w:rFonts w:hint="eastAsia"/>
        </w:rPr>
        <w:t>合同履行期限：自合同签订之日起30日历天</w:t>
      </w:r>
    </w:p>
    <w:p>
      <w:pPr>
        <w:spacing w:line="400" w:lineRule="exact"/>
        <w:ind w:firstLine="420"/>
      </w:pPr>
      <w:r>
        <w:rPr>
          <w:rFonts w:hint="eastAsia"/>
        </w:rPr>
        <w:t>本标项(否</w:t>
      </w:r>
      <w:r>
        <w:t>)</w:t>
      </w:r>
      <w:r>
        <w:rPr>
          <w:rFonts w:hint="eastAsia"/>
        </w:rPr>
        <w:t>接受联合体投标。</w:t>
      </w:r>
    </w:p>
    <w:p>
      <w:pPr>
        <w:spacing w:line="400" w:lineRule="exact"/>
        <w:ind w:firstLine="420"/>
      </w:pPr>
      <w:r>
        <w:rPr>
          <w:rFonts w:hint="eastAsia"/>
        </w:rPr>
        <w:t>备注：</w:t>
      </w:r>
    </w:p>
    <w:p>
      <w:pPr>
        <w:spacing w:line="400" w:lineRule="exact"/>
        <w:ind w:firstLine="420"/>
      </w:pPr>
    </w:p>
    <w:p>
      <w:pPr>
        <w:spacing w:line="400" w:lineRule="exact"/>
        <w:rPr>
          <w:b/>
        </w:rPr>
      </w:pPr>
      <w:bookmarkStart w:id="10" w:name="_Toc28359003"/>
      <w:bookmarkStart w:id="11" w:name="_Toc35393622"/>
      <w:bookmarkStart w:id="12" w:name="_Toc28359080"/>
      <w:bookmarkStart w:id="13" w:name="_Toc35393791"/>
      <w:r>
        <w:rPr>
          <w:rFonts w:hint="eastAsia"/>
          <w:b/>
        </w:rPr>
        <w:t>二、申请人的资格要求：</w:t>
      </w:r>
      <w:bookmarkEnd w:id="10"/>
      <w:bookmarkEnd w:id="11"/>
      <w:bookmarkEnd w:id="12"/>
      <w:bookmarkEnd w:id="13"/>
      <w:bookmarkStart w:id="14" w:name="_Toc35393623"/>
      <w:bookmarkStart w:id="15" w:name="_Toc28359004"/>
      <w:bookmarkStart w:id="16" w:name="_Toc35393792"/>
      <w:bookmarkStart w:id="17" w:name="_Toc28359081"/>
    </w:p>
    <w:p>
      <w:pPr>
        <w:spacing w:line="400" w:lineRule="exact"/>
        <w:ind w:firstLine="420"/>
        <w:rPr>
          <w:b/>
        </w:rPr>
      </w:pPr>
      <w:r>
        <w:rPr>
          <w:rFonts w:hint="eastAsia"/>
        </w:rPr>
        <w:t>1.满足《中华人民共和国政府采购法》第二十二条规定</w:t>
      </w:r>
    </w:p>
    <w:p>
      <w:pPr>
        <w:spacing w:line="400" w:lineRule="exact"/>
        <w:ind w:firstLine="420"/>
      </w:pPr>
      <w:r>
        <w:rPr>
          <w:rFonts w:hint="eastAsia"/>
        </w:rPr>
        <w:t>2.落实政府采购政策需满足的资格要求：</w:t>
      </w:r>
      <w:bookmarkStart w:id="18" w:name="OLE_LINK4"/>
      <w:r>
        <w:rPr>
          <w:rFonts w:hint="eastAsia"/>
        </w:rPr>
        <w:t>无</w:t>
      </w:r>
      <w:bookmarkEnd w:id="18"/>
    </w:p>
    <w:p>
      <w:pPr>
        <w:spacing w:line="400" w:lineRule="exact"/>
        <w:ind w:firstLine="435"/>
      </w:pPr>
      <w:r>
        <w:rPr>
          <w:rFonts w:hint="eastAsia"/>
        </w:rPr>
        <w:t>3.本项目的特定资格要求：无</w:t>
      </w:r>
    </w:p>
    <w:p>
      <w:pPr>
        <w:spacing w:line="400" w:lineRule="exact"/>
        <w:rPr>
          <w:b/>
        </w:rPr>
      </w:pPr>
      <w:r>
        <w:rPr>
          <w:rFonts w:hint="eastAsia"/>
          <w:b/>
        </w:rPr>
        <w:t>三、获取采购文件</w:t>
      </w:r>
      <w:bookmarkEnd w:id="14"/>
      <w:bookmarkEnd w:id="15"/>
      <w:bookmarkEnd w:id="16"/>
      <w:bookmarkEnd w:id="17"/>
    </w:p>
    <w:p>
      <w:pPr>
        <w:spacing w:line="400" w:lineRule="exact"/>
        <w:ind w:firstLine="420"/>
        <w:jc w:val="left"/>
      </w:pPr>
      <w:bookmarkStart w:id="19" w:name="_Toc38370141"/>
      <w:r>
        <w:rPr>
          <w:rFonts w:hint="eastAsia"/>
        </w:rPr>
        <w:t>时间：2025年</w:t>
      </w:r>
      <w:r>
        <w:rPr>
          <w:rFonts w:hint="eastAsia"/>
          <w:lang w:val="en-US" w:eastAsia="zh-CN"/>
        </w:rPr>
        <w:t>5</w:t>
      </w:r>
      <w:r>
        <w:rPr>
          <w:rFonts w:hint="eastAsia"/>
        </w:rPr>
        <w:t>月</w:t>
      </w:r>
      <w:r>
        <w:rPr>
          <w:rFonts w:hint="eastAsia"/>
          <w:lang w:val="en-US" w:eastAsia="zh-CN"/>
        </w:rPr>
        <w:t>16</w:t>
      </w:r>
      <w:r>
        <w:rPr>
          <w:rFonts w:hint="eastAsia"/>
        </w:rPr>
        <w:t>日至2025年</w:t>
      </w:r>
      <w:r>
        <w:rPr>
          <w:rFonts w:hint="eastAsia"/>
          <w:lang w:val="en-US" w:eastAsia="zh-CN"/>
        </w:rPr>
        <w:t>5</w:t>
      </w:r>
      <w:r>
        <w:rPr>
          <w:rFonts w:hint="eastAsia"/>
        </w:rPr>
        <w:t>月</w:t>
      </w:r>
      <w:r>
        <w:rPr>
          <w:rFonts w:hint="eastAsia"/>
          <w:lang w:val="en-US" w:eastAsia="zh-CN"/>
        </w:rPr>
        <w:t>22</w:t>
      </w:r>
      <w:r>
        <w:rPr>
          <w:rFonts w:hint="eastAsia"/>
        </w:rPr>
        <w:t>日 ，每天上午00:00至12:00，下午12:00至23:59（北京时间，法定节假日除外）</w:t>
      </w:r>
    </w:p>
    <w:p>
      <w:pPr>
        <w:spacing w:line="400" w:lineRule="exact"/>
        <w:ind w:firstLine="420"/>
      </w:pPr>
      <w:r>
        <w:rPr>
          <w:rFonts w:hint="eastAsia"/>
        </w:rPr>
        <w:t>地点(网址</w:t>
      </w:r>
      <w:r>
        <w:t>)</w:t>
      </w:r>
      <w:r>
        <w:rPr>
          <w:rFonts w:hint="eastAsia"/>
        </w:rPr>
        <w:t>：</w:t>
      </w:r>
      <w:bookmarkStart w:id="20" w:name="OLE_LINK5"/>
      <w:r>
        <w:rPr>
          <w:rFonts w:hint="eastAsia" w:ascii="宋体" w:hAnsi="宋体"/>
          <w:szCs w:val="21"/>
        </w:rPr>
        <w:t>广西政府采购云平台（https://www.gcy.zfcg.gxzf.gov.cn/）</w:t>
      </w:r>
      <w:bookmarkEnd w:id="20"/>
    </w:p>
    <w:p>
      <w:pPr>
        <w:spacing w:line="400" w:lineRule="exact"/>
        <w:ind w:firstLine="420"/>
      </w:pPr>
      <w:r>
        <w:rPr>
          <w:rFonts w:hint="eastAsia"/>
        </w:rPr>
        <w:t>方式：</w:t>
      </w:r>
      <w:bookmarkStart w:id="21" w:name="OLE_LINK6"/>
      <w:r>
        <w:rPr>
          <w:rFonts w:hint="eastAsia"/>
        </w:rPr>
        <w:t>供应商登录广西政府采购云平台(以下称“政采云平台”)在线获取采购文件（进入“项目采购”应用选择项目，获取采购文件）</w:t>
      </w:r>
      <w:bookmarkEnd w:id="21"/>
    </w:p>
    <w:p>
      <w:pPr>
        <w:spacing w:line="400" w:lineRule="exact"/>
        <w:ind w:firstLine="420"/>
      </w:pPr>
      <w:r>
        <w:rPr>
          <w:rFonts w:hint="eastAsia"/>
        </w:rPr>
        <w:t>售价(元</w:t>
      </w:r>
      <w:r>
        <w:t>)</w:t>
      </w:r>
      <w:r>
        <w:rPr>
          <w:rFonts w:hint="eastAsia"/>
        </w:rPr>
        <w:t xml:space="preserve">：0 </w:t>
      </w:r>
    </w:p>
    <w:p>
      <w:pPr>
        <w:spacing w:line="400" w:lineRule="exact"/>
        <w:rPr>
          <w:b/>
        </w:rPr>
      </w:pPr>
      <w:r>
        <w:rPr>
          <w:rFonts w:hint="eastAsia"/>
          <w:b/>
          <w:bCs/>
        </w:rPr>
        <w:t>四、</w:t>
      </w:r>
      <w:bookmarkEnd w:id="19"/>
      <w:bookmarkStart w:id="22" w:name="_Toc28359082"/>
      <w:bookmarkStart w:id="23" w:name="_Toc28359005"/>
      <w:bookmarkStart w:id="24" w:name="_Toc35393793"/>
      <w:bookmarkStart w:id="25" w:name="_Toc35393624"/>
      <w:r>
        <w:rPr>
          <w:rFonts w:hint="eastAsia"/>
          <w:b/>
        </w:rPr>
        <w:t>响应文件</w:t>
      </w:r>
      <w:bookmarkEnd w:id="22"/>
      <w:bookmarkEnd w:id="23"/>
      <w:r>
        <w:rPr>
          <w:rFonts w:hint="eastAsia"/>
          <w:b/>
        </w:rPr>
        <w:t>提交</w:t>
      </w:r>
      <w:bookmarkEnd w:id="24"/>
      <w:bookmarkEnd w:id="25"/>
    </w:p>
    <w:p>
      <w:pPr>
        <w:spacing w:line="400" w:lineRule="exact"/>
        <w:ind w:firstLine="420"/>
      </w:pPr>
      <w:r>
        <w:rPr>
          <w:rFonts w:hint="eastAsia"/>
        </w:rPr>
        <w:t>截止时间：</w:t>
      </w:r>
      <w:r>
        <w:rPr>
          <w:rFonts w:hint="eastAsia"/>
          <w:lang w:eastAsia="zh-CN"/>
        </w:rPr>
        <w:t>2025年5月2</w:t>
      </w:r>
      <w:r>
        <w:rPr>
          <w:rFonts w:hint="eastAsia"/>
          <w:lang w:val="en-US" w:eastAsia="zh-CN"/>
        </w:rPr>
        <w:t>9</w:t>
      </w:r>
      <w:r>
        <w:rPr>
          <w:rFonts w:hint="eastAsia"/>
          <w:lang w:eastAsia="zh-CN"/>
        </w:rPr>
        <w:t>日</w:t>
      </w:r>
      <w:r>
        <w:t>09</w:t>
      </w:r>
      <w:r>
        <w:rPr>
          <w:rFonts w:hint="eastAsia"/>
        </w:rPr>
        <w:t>:</w:t>
      </w:r>
      <w:r>
        <w:t>3</w:t>
      </w:r>
      <w:r>
        <w:rPr>
          <w:rFonts w:hint="eastAsia"/>
        </w:rPr>
        <w:t>0（北京时间）</w:t>
      </w:r>
    </w:p>
    <w:p>
      <w:pPr>
        <w:spacing w:line="400" w:lineRule="exact"/>
        <w:ind w:firstLine="420"/>
        <w:rPr>
          <w:rFonts w:ascii="宋体" w:hAnsi="宋体" w:cs="Courier New"/>
          <w:szCs w:val="21"/>
        </w:rPr>
      </w:pPr>
      <w:r>
        <w:rPr>
          <w:rFonts w:hint="eastAsia"/>
        </w:rPr>
        <w:t>地点(网址）：</w:t>
      </w:r>
      <w:bookmarkStart w:id="26" w:name="OLE_LINK7"/>
      <w:r>
        <w:rPr>
          <w:rFonts w:hint="eastAsia" w:ascii="宋体" w:hAnsi="宋体" w:cs="Courier New"/>
          <w:szCs w:val="21"/>
        </w:rPr>
        <w:t>广西政府采购云平台（https://www.gcy.zfcg.gxzf.gov.cn/）</w:t>
      </w:r>
      <w:bookmarkEnd w:id="26"/>
    </w:p>
    <w:p>
      <w:pPr>
        <w:spacing w:line="400" w:lineRule="exact"/>
        <w:rPr>
          <w:rFonts w:ascii="宋体" w:hAnsi="宋体" w:cs="Courier New"/>
          <w:b/>
          <w:bCs/>
          <w:szCs w:val="21"/>
        </w:rPr>
      </w:pPr>
      <w:r>
        <w:rPr>
          <w:rFonts w:hint="eastAsia" w:ascii="宋体" w:hAnsi="宋体" w:cs="Courier New"/>
          <w:b/>
          <w:bCs/>
          <w:szCs w:val="21"/>
        </w:rPr>
        <w:t>五、响应文件开启</w:t>
      </w:r>
    </w:p>
    <w:p>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lang w:eastAsia="zh-CN"/>
        </w:rPr>
        <w:t>2025年5月2</w:t>
      </w:r>
      <w:r>
        <w:rPr>
          <w:rFonts w:hint="eastAsia"/>
          <w:lang w:val="en-US" w:eastAsia="zh-CN"/>
        </w:rPr>
        <w:t>9</w:t>
      </w:r>
      <w:r>
        <w:rPr>
          <w:rFonts w:hint="eastAsia"/>
          <w:lang w:eastAsia="zh-CN"/>
        </w:rPr>
        <w:t>日</w:t>
      </w:r>
      <w:r>
        <w:t>09</w:t>
      </w:r>
      <w:r>
        <w:rPr>
          <w:rFonts w:hint="eastAsia"/>
        </w:rPr>
        <w:t>:</w:t>
      </w:r>
      <w:r>
        <w:t>3</w:t>
      </w:r>
      <w:r>
        <w:rPr>
          <w:rFonts w:hint="eastAsia"/>
        </w:rPr>
        <w:t>0（北京时间）</w:t>
      </w:r>
    </w:p>
    <w:p>
      <w:pPr>
        <w:spacing w:line="400" w:lineRule="exact"/>
        <w:ind w:firstLine="420"/>
        <w:rPr>
          <w:rFonts w:ascii="宋体" w:hAnsi="宋体" w:cs="Courier New"/>
          <w:szCs w:val="21"/>
        </w:rPr>
      </w:pPr>
      <w:r>
        <w:rPr>
          <w:rFonts w:hint="eastAsia" w:ascii="宋体" w:hAnsi="宋体" w:cs="Courier New"/>
          <w:szCs w:val="21"/>
        </w:rPr>
        <w:t>地点：</w:t>
      </w:r>
      <w:bookmarkStart w:id="27" w:name="_Toc35393625"/>
      <w:bookmarkStart w:id="28" w:name="_Toc35393794"/>
      <w:bookmarkStart w:id="29" w:name="_Toc28359007"/>
      <w:bookmarkStart w:id="30" w:name="_Toc28359084"/>
      <w:r>
        <w:rPr>
          <w:rFonts w:hint="eastAsia"/>
        </w:rPr>
        <w:t>广西钦州市金海湾东大街8号市政务服务中心三楼开标室</w:t>
      </w:r>
    </w:p>
    <w:p>
      <w:pPr>
        <w:spacing w:line="400" w:lineRule="exact"/>
        <w:rPr>
          <w:b/>
        </w:rPr>
      </w:pPr>
      <w:r>
        <w:rPr>
          <w:rFonts w:hint="eastAsia"/>
          <w:b/>
        </w:rPr>
        <w:t>六、公告期限</w:t>
      </w:r>
      <w:bookmarkEnd w:id="27"/>
      <w:bookmarkEnd w:id="28"/>
      <w:bookmarkEnd w:id="29"/>
      <w:bookmarkEnd w:id="30"/>
    </w:p>
    <w:p>
      <w:pPr>
        <w:spacing w:line="400" w:lineRule="exact"/>
        <w:ind w:firstLine="420"/>
      </w:pPr>
      <w:r>
        <w:rPr>
          <w:rFonts w:hint="eastAsia"/>
        </w:rPr>
        <w:t>自本公告发布之日起</w:t>
      </w:r>
      <w:r>
        <w:t>3</w:t>
      </w:r>
      <w:r>
        <w:rPr>
          <w:rFonts w:hint="eastAsia"/>
        </w:rPr>
        <w:t>个工作日。</w:t>
      </w:r>
    </w:p>
    <w:p>
      <w:pPr>
        <w:spacing w:line="400" w:lineRule="exact"/>
        <w:rPr>
          <w:b/>
        </w:rPr>
      </w:pPr>
      <w:bookmarkStart w:id="31" w:name="_Toc28359008"/>
      <w:bookmarkStart w:id="32" w:name="_Toc28359085"/>
      <w:bookmarkStart w:id="33" w:name="_Toc35393796"/>
      <w:bookmarkStart w:id="34" w:name="_Toc35393627"/>
      <w:r>
        <w:rPr>
          <w:rFonts w:hint="eastAsia"/>
          <w:b/>
        </w:rPr>
        <w:t>七、其他补充事宜</w:t>
      </w:r>
    </w:p>
    <w:p>
      <w:pPr>
        <w:spacing w:line="400" w:lineRule="exact"/>
        <w:ind w:firstLine="420"/>
      </w:pPr>
      <w:bookmarkStart w:id="35" w:name="OLE_LINK8"/>
      <w:r>
        <w:rPr>
          <w:rFonts w:hint="eastAsia"/>
        </w:rPr>
        <w:t>1</w:t>
      </w:r>
      <w:r>
        <w:t>.</w:t>
      </w:r>
      <w:r>
        <w:rPr>
          <w:rFonts w:hint="eastAsia"/>
          <w:bCs/>
        </w:rPr>
        <w:t>本项目需落实的政府采购政策</w:t>
      </w:r>
      <w:r>
        <w:rPr>
          <w:rFonts w:hint="eastAsia"/>
          <w:b/>
        </w:rPr>
        <w:t>：</w:t>
      </w:r>
    </w:p>
    <w:p>
      <w:pPr>
        <w:spacing w:line="400" w:lineRule="exact"/>
        <w:ind w:firstLine="420"/>
      </w:pPr>
      <w:r>
        <w:rPr>
          <w:rFonts w:hint="eastAsia"/>
        </w:rPr>
        <w:t>(1)财政部 工业和信息化部关于印发《政府采购促进中小企业发展管理办法》的通知(财库﹝2020﹞46号)</w:t>
      </w:r>
    </w:p>
    <w:p>
      <w:pPr>
        <w:spacing w:line="400" w:lineRule="exact"/>
        <w:ind w:firstLine="420"/>
      </w:pPr>
      <w:r>
        <w:rPr>
          <w:rFonts w:hint="eastAsia"/>
        </w:rPr>
        <w:t>(2)财政部 司法部关于政府采购支持监狱企业发展有关问题的通知 (财库﹝2014﹞68号)</w:t>
      </w:r>
    </w:p>
    <w:p>
      <w:pPr>
        <w:spacing w:line="400" w:lineRule="exact"/>
        <w:ind w:firstLine="420"/>
      </w:pPr>
      <w:r>
        <w:rPr>
          <w:rFonts w:hint="eastAsia"/>
        </w:rPr>
        <w:t>(3)财政部 民政部 中国残疾人联合会关于促进残疾人就业政府采购政策的通知 (财库﹝2017﹞141号)</w:t>
      </w:r>
    </w:p>
    <w:p>
      <w:pPr>
        <w:spacing w:line="400" w:lineRule="exact"/>
        <w:ind w:firstLine="420" w:firstLineChars="200"/>
      </w:pPr>
      <w:r>
        <w:t>(4)</w:t>
      </w:r>
      <w:r>
        <w:rPr>
          <w:rFonts w:hint="eastAsia"/>
        </w:rPr>
        <w:t>财政部</w:t>
      </w:r>
      <w:r>
        <w:t xml:space="preserve"> </w:t>
      </w:r>
      <w:r>
        <w:rPr>
          <w:rFonts w:hint="eastAsia"/>
        </w:rPr>
        <w:t>发展改革委</w:t>
      </w:r>
      <w:r>
        <w:t xml:space="preserve"> </w:t>
      </w:r>
      <w:r>
        <w:rPr>
          <w:rFonts w:hint="eastAsia"/>
        </w:rPr>
        <w:t>生态环境部</w:t>
      </w:r>
      <w:r>
        <w:t xml:space="preserve"> </w:t>
      </w:r>
      <w:r>
        <w:rPr>
          <w:rFonts w:hint="eastAsia"/>
        </w:rPr>
        <w:t>市场监管总局关于调整优化节能产品、环境标志产品政府采购执行机制的通知（财库〔</w:t>
      </w:r>
      <w:r>
        <w:t>2019</w:t>
      </w:r>
      <w:r>
        <w:rPr>
          <w:rFonts w:hint="eastAsia"/>
        </w:rPr>
        <w:t>〕</w:t>
      </w:r>
      <w:r>
        <w:t>9</w:t>
      </w:r>
      <w:r>
        <w:rPr>
          <w:rFonts w:hint="eastAsia"/>
        </w:rPr>
        <w:t>号）</w:t>
      </w:r>
    </w:p>
    <w:p>
      <w:pPr>
        <w:spacing w:line="400" w:lineRule="exact"/>
        <w:ind w:firstLine="420" w:firstLineChars="200"/>
      </w:pPr>
      <w:r>
        <w:rPr>
          <w:rFonts w:hint="eastAsia"/>
        </w:rPr>
        <w:t>(5) 财政部 发展改革委 关于印发节能产品政府采购品目清单的通知（财库〔2019〕19号）</w:t>
      </w:r>
    </w:p>
    <w:p>
      <w:pPr>
        <w:spacing w:line="400" w:lineRule="exact"/>
        <w:ind w:firstLine="420"/>
      </w:pPr>
      <w:r>
        <w:rPr>
          <w:rFonts w:hint="eastAsia"/>
        </w:rPr>
        <w:t>2</w:t>
      </w:r>
      <w:r>
        <w:t>.</w:t>
      </w:r>
      <w:bookmarkStart w:id="36" w:name="_Hlk91598380"/>
      <w:r>
        <w:rPr>
          <w:rFonts w:hint="eastAsia"/>
        </w:rPr>
        <w:t>全流程电子化</w:t>
      </w:r>
      <w:bookmarkEnd w:id="36"/>
      <w:r>
        <w:rPr>
          <w:rFonts w:hint="eastAsia"/>
        </w:rPr>
        <w:t>要求：</w:t>
      </w:r>
    </w:p>
    <w:p>
      <w:pPr>
        <w:spacing w:line="400" w:lineRule="exact"/>
        <w:ind w:firstLine="420"/>
      </w:pPr>
      <w:bookmarkStart w:id="37" w:name="_Hlk147760486"/>
      <w:r>
        <w:rPr>
          <w:rFonts w:hint="eastAsia"/>
        </w:rPr>
        <w:t>本项目为全流程电子化项目，供应商应做好参与全流程电子化交易的充分准备，熟悉掌握电子化采购项目操作指南(操作指南：</w:t>
      </w:r>
      <w:r>
        <w:fldChar w:fldCharType="begin"/>
      </w:r>
      <w:r>
        <w:instrText xml:space="preserve"> HYPERLINK "https://helpcenter.zcygov.cn/document/" \l "/document/dashboard?siteCode=beijing&amp;channel=dt" </w:instrText>
      </w:r>
      <w:r>
        <w:fldChar w:fldCharType="separate"/>
      </w:r>
      <w:r>
        <w:rPr>
          <w:rStyle w:val="42"/>
          <w:rFonts w:hint="eastAsia"/>
          <w:color w:val="auto"/>
        </w:rPr>
        <w:t>政采云电子卖场首页右上角—服务中心—帮助文档—项目采购</w:t>
      </w:r>
      <w:r>
        <w:rPr>
          <w:rStyle w:val="42"/>
          <w:rFonts w:hint="eastAsia"/>
          <w:color w:val="auto"/>
        </w:rPr>
        <w:fldChar w:fldCharType="end"/>
      </w:r>
      <w:r>
        <w:rPr>
          <w:rFonts w:hint="eastAsia"/>
        </w:rPr>
        <w:t>)，及时完成CA申领和绑定(操作指南：</w:t>
      </w:r>
      <w:r>
        <w:fldChar w:fldCharType="begin"/>
      </w:r>
      <w:r>
        <w:instrText xml:space="preserve"> HYPERLINK "https://helpcenter.zcygov.cn/document/" \l "/document/detail?siteCode=beijing&amp;manualId=795&amp;topicId=4081" </w:instrText>
      </w:r>
      <w:r>
        <w:fldChar w:fldCharType="separate"/>
      </w:r>
      <w:r>
        <w:rPr>
          <w:rStyle w:val="42"/>
          <w:rFonts w:hint="eastAsia"/>
          <w:color w:val="auto"/>
        </w:rPr>
        <w:t>政采云电子卖场首页右上角—帮助文档—入驻与配置—CA管理</w:t>
      </w:r>
      <w:r>
        <w:rPr>
          <w:rStyle w:val="42"/>
          <w:rFonts w:hint="eastAsia"/>
          <w:color w:val="auto"/>
        </w:rPr>
        <w:fldChar w:fldCharType="end"/>
      </w:r>
      <w:r>
        <w:rPr>
          <w:rFonts w:hint="eastAsia"/>
        </w:rPr>
        <w:t>；CA证书申领路径：</w:t>
      </w:r>
      <w:r>
        <w:fldChar w:fldCharType="begin"/>
      </w:r>
      <w:r>
        <w:instrText xml:space="preserve"> HYPERLINK "https://helpcenter.zcygov.cn/document/" \l "/document/detail?siteCode=beijing&amp;manualId=795&amp;topicId=4083" </w:instrText>
      </w:r>
      <w:r>
        <w:fldChar w:fldCharType="separate"/>
      </w:r>
      <w:r>
        <w:rPr>
          <w:rStyle w:val="42"/>
          <w:rFonts w:hint="eastAsia"/>
          <w:color w:val="auto"/>
        </w:rPr>
        <w:t>政采云平台—我的工作台右上角—CA管理—CA证书申领</w:t>
      </w:r>
      <w:r>
        <w:rPr>
          <w:rStyle w:val="42"/>
          <w:rFonts w:hint="eastAsia"/>
          <w:color w:val="auto"/>
        </w:rPr>
        <w:fldChar w:fldCharType="end"/>
      </w:r>
      <w:r>
        <w:rPr>
          <w:rFonts w:hint="eastAsia"/>
        </w:rPr>
        <w:t>)。因未注册入库、未办理CA数字证书、CA证书故障、操作不当等原因造成谈判失败等后果由供应商承担。</w:t>
      </w:r>
    </w:p>
    <w:bookmarkEnd w:id="37"/>
    <w:p>
      <w:pPr>
        <w:spacing w:line="400" w:lineRule="exact"/>
        <w:ind w:firstLine="420"/>
      </w:pPr>
      <w:r>
        <w:t>(1)</w:t>
      </w:r>
      <w:r>
        <w:rPr>
          <w:rFonts w:hint="eastAsia"/>
        </w:rPr>
        <w:t>依法获取采购文件：供应商须在获取采购文件时间内登录</w:t>
      </w:r>
      <w:r>
        <w:fldChar w:fldCharType="begin"/>
      </w:r>
      <w:r>
        <w:instrText xml:space="preserve"> HYPERLINK "https://www.zcygov.cn/" </w:instrText>
      </w:r>
      <w:r>
        <w:fldChar w:fldCharType="separate"/>
      </w:r>
      <w:r>
        <w:rPr>
          <w:rStyle w:val="42"/>
          <w:rFonts w:hint="eastAsia"/>
          <w:color w:val="auto"/>
        </w:rPr>
        <w:t>政府采购云平台</w:t>
      </w:r>
      <w:r>
        <w:rPr>
          <w:rStyle w:val="42"/>
          <w:rFonts w:hint="eastAsia"/>
          <w:color w:val="auto"/>
        </w:rPr>
        <w:fldChar w:fldCharType="end"/>
      </w:r>
      <w:r>
        <w:rPr>
          <w:rFonts w:hint="eastAsia"/>
        </w:rPr>
        <w:t>申请下载采购文件才视作依法获取采购文件。</w:t>
      </w:r>
    </w:p>
    <w:p>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pPr>
        <w:spacing w:line="400" w:lineRule="exact"/>
        <w:ind w:firstLine="420"/>
      </w:pPr>
      <w:r>
        <w:rPr>
          <w:rFonts w:hint="eastAsia"/>
        </w:rPr>
        <w:t>(</w:t>
      </w:r>
      <w:r>
        <w:t>3)</w:t>
      </w:r>
      <w:r>
        <w:rPr>
          <w:rFonts w:hint="eastAsia"/>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rPr>
      </w:pPr>
      <w:r>
        <w:rPr>
          <w:rFonts w:hint="eastAsia"/>
        </w:rPr>
        <w:t>(</w:t>
      </w:r>
      <w:r>
        <w:t>4)</w:t>
      </w:r>
      <w:r>
        <w:rPr>
          <w:rFonts w:hint="eastAsia"/>
        </w:rPr>
        <w:t>供应商法定代表人或委托代理人须按时登录</w:t>
      </w:r>
      <w:bookmarkStart w:id="38" w:name="_Hlk90367388"/>
      <w:r>
        <w:rPr>
          <w:rFonts w:hint="eastAsia" w:ascii="宋体" w:hAnsi="宋体" w:cs="Courier New"/>
          <w:szCs w:val="21"/>
        </w:rPr>
        <w:t>政采云远程开标大厅</w:t>
      </w:r>
      <w:bookmarkEnd w:id="38"/>
      <w:r>
        <w:rPr>
          <w:rFonts w:hint="eastAsia"/>
        </w:rPr>
        <w:t>，保持全程在线并关注评审谈判进度，评审期间谈判小组提出澄清等要求时，供应商须在规定时间内进行应答，否则按采购文件或政采云平台的相关规定执行。</w:t>
      </w:r>
    </w:p>
    <w:p>
      <w:pPr>
        <w:spacing w:line="400" w:lineRule="exact"/>
        <w:ind w:firstLine="420"/>
        <w:rPr>
          <w:rFonts w:hAnsi="宋体"/>
        </w:rPr>
      </w:pPr>
      <w:r>
        <w:rPr>
          <w:rFonts w:hint="eastAsia"/>
        </w:rPr>
        <w:t>(</w:t>
      </w:r>
      <w:r>
        <w:t>5)</w:t>
      </w:r>
      <w:r>
        <w:rPr>
          <w:rFonts w:hint="eastAsia"/>
        </w:rPr>
        <w:t>供应商参与谈判过程中涉及政府采购云平台的问题，请咨询政采云</w:t>
      </w:r>
      <w:r>
        <w:rPr>
          <w:rFonts w:hint="eastAsia" w:hAnsi="宋体"/>
        </w:rPr>
        <w:t>技术支持热线：</w:t>
      </w:r>
      <w:r>
        <w:rPr>
          <w:rFonts w:hAnsi="宋体"/>
        </w:rPr>
        <w:t>95763</w:t>
      </w:r>
      <w:r>
        <w:rPr>
          <w:rFonts w:hint="eastAsia" w:hAnsi="宋体"/>
        </w:rPr>
        <w:t>。</w:t>
      </w:r>
    </w:p>
    <w:p>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2"/>
          <w:rFonts w:hint="eastAsia" w:hAnsi="宋体"/>
          <w:color w:val="auto"/>
          <w:u w:val="none"/>
        </w:rPr>
        <w:t>广西政府采购网</w:t>
      </w:r>
      <w:r>
        <w:rPr>
          <w:rStyle w:val="42"/>
          <w:rFonts w:hint="eastAsia" w:hAnsi="宋体"/>
          <w:color w:val="auto"/>
          <w:u w:val="none"/>
        </w:rPr>
        <w:fldChar w:fldCharType="end"/>
      </w:r>
      <w:r>
        <w:rPr>
          <w:rFonts w:hint="eastAsia" w:hAnsi="宋体"/>
        </w:rPr>
        <w:t>。</w:t>
      </w:r>
    </w:p>
    <w:p>
      <w:pPr>
        <w:spacing w:line="400" w:lineRule="exact"/>
        <w:ind w:firstLine="420"/>
        <w:jc w:val="left"/>
        <w:rPr>
          <w:rFonts w:hAnsi="宋体"/>
        </w:rPr>
      </w:pPr>
      <w:bookmarkStart w:id="39" w:name="_Hlk107409555"/>
      <w:r>
        <w:rPr>
          <w:rFonts w:hint="eastAsia" w:hAnsi="宋体"/>
        </w:rPr>
        <w:t>4</w:t>
      </w:r>
      <w:r>
        <w:rPr>
          <w:rFonts w:hAnsi="宋体"/>
        </w:rPr>
        <w:t>.</w:t>
      </w:r>
      <w:r>
        <w:rPr>
          <w:rFonts w:hint="eastAsia" w:hAnsi="宋体"/>
        </w:rPr>
        <w:t>钦州市政府采购中心联系方式：</w:t>
      </w:r>
    </w:p>
    <w:p>
      <w:pPr>
        <w:spacing w:line="400" w:lineRule="exact"/>
        <w:ind w:firstLine="420"/>
        <w:jc w:val="left"/>
        <w:rPr>
          <w:rFonts w:hAnsi="宋体"/>
        </w:rPr>
      </w:pPr>
      <w:r>
        <w:rPr>
          <w:rFonts w:hAnsi="宋体"/>
        </w:rPr>
        <w:t>(1)</w:t>
      </w:r>
      <w:r>
        <w:rPr>
          <w:rFonts w:hint="eastAsia" w:hAnsi="宋体"/>
        </w:rPr>
        <w:t>采购部(采购文件</w:t>
      </w:r>
      <w:r>
        <w:rPr>
          <w:rFonts w:hAnsi="宋体"/>
        </w:rPr>
        <w:t>)</w:t>
      </w:r>
    </w:p>
    <w:p>
      <w:pPr>
        <w:spacing w:line="400" w:lineRule="exact"/>
        <w:ind w:firstLine="420"/>
        <w:jc w:val="left"/>
        <w:rPr>
          <w:rFonts w:hAnsi="宋体"/>
        </w:rPr>
      </w:pPr>
      <w:r>
        <w:rPr>
          <w:rFonts w:hint="eastAsia" w:hAnsi="宋体"/>
        </w:rPr>
        <w:t>联系人：黄忠秀</w:t>
      </w:r>
      <w:r>
        <w:rPr>
          <w:rFonts w:hAnsi="宋体"/>
        </w:rPr>
        <w:t xml:space="preserve">  </w:t>
      </w:r>
      <w:r>
        <w:rPr>
          <w:rFonts w:hint="eastAsia" w:hAnsi="宋体"/>
        </w:rPr>
        <w:t xml:space="preserve"> 联系方式：0777-2886022</w:t>
      </w:r>
    </w:p>
    <w:p>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5"/>
      <w:bookmarkEnd w:id="39"/>
    </w:p>
    <w:p>
      <w:pPr>
        <w:spacing w:line="400" w:lineRule="exact"/>
        <w:rPr>
          <w:b/>
        </w:rPr>
      </w:pPr>
      <w:r>
        <w:rPr>
          <w:rFonts w:hint="eastAsia"/>
          <w:b/>
        </w:rPr>
        <w:t>八、对本次采购项目提出询问，请按</w:t>
      </w:r>
      <w:r>
        <w:rPr>
          <w:b/>
        </w:rPr>
        <w:t>以下方式</w:t>
      </w:r>
      <w:r>
        <w:rPr>
          <w:rFonts w:hint="eastAsia"/>
          <w:b/>
        </w:rPr>
        <w:t>联系</w:t>
      </w:r>
      <w:bookmarkEnd w:id="31"/>
      <w:bookmarkEnd w:id="32"/>
      <w:bookmarkEnd w:id="33"/>
      <w:bookmarkEnd w:id="34"/>
    </w:p>
    <w:p>
      <w:pPr>
        <w:spacing w:line="400" w:lineRule="exact"/>
        <w:ind w:firstLine="420" w:firstLineChars="200"/>
      </w:pPr>
      <w:r>
        <w:rPr>
          <w:rFonts w:hint="eastAsia"/>
        </w:rPr>
        <w:t>1.采购人信息</w:t>
      </w:r>
      <w:bookmarkEnd w:id="9"/>
    </w:p>
    <w:p>
      <w:pPr>
        <w:spacing w:line="400" w:lineRule="exact"/>
        <w:ind w:firstLine="420" w:firstLineChars="200"/>
        <w:rPr>
          <w:rFonts w:hint="eastAsia"/>
        </w:rPr>
      </w:pPr>
      <w:bookmarkStart w:id="40" w:name="_Toc38370147"/>
      <w:r>
        <w:rPr>
          <w:rFonts w:hint="eastAsia"/>
        </w:rPr>
        <w:t>名称：浦北县第一职业技术学校</w:t>
      </w:r>
    </w:p>
    <w:p>
      <w:pPr>
        <w:spacing w:line="400" w:lineRule="exact"/>
        <w:ind w:firstLine="420" w:firstLineChars="200"/>
        <w:rPr>
          <w:rFonts w:hint="eastAsia"/>
        </w:rPr>
      </w:pPr>
      <w:r>
        <w:rPr>
          <w:rFonts w:hint="eastAsia"/>
        </w:rPr>
        <w:t>地址：浦北县县城金浦新区科园路1号</w:t>
      </w:r>
    </w:p>
    <w:p>
      <w:pPr>
        <w:spacing w:line="400" w:lineRule="exact"/>
        <w:ind w:firstLine="420" w:firstLineChars="200"/>
        <w:rPr>
          <w:rFonts w:hint="default"/>
          <w:lang w:val="en-US" w:eastAsia="zh-CN"/>
        </w:rPr>
      </w:pPr>
      <w:r>
        <w:rPr>
          <w:rFonts w:hint="eastAsia"/>
          <w:lang w:val="en-US" w:eastAsia="zh-CN"/>
        </w:rPr>
        <w:t>采购人联系人：谢老师</w:t>
      </w:r>
    </w:p>
    <w:p>
      <w:pPr>
        <w:spacing w:line="400" w:lineRule="exact"/>
        <w:ind w:firstLine="420" w:firstLineChars="200"/>
        <w:rPr>
          <w:rFonts w:hint="eastAsia"/>
        </w:rPr>
      </w:pPr>
      <w:r>
        <w:rPr>
          <w:rFonts w:hint="eastAsia"/>
        </w:rPr>
        <w:t>联系方式：</w:t>
      </w:r>
      <w:bookmarkStart w:id="41" w:name="OLE_LINK10"/>
      <w:r>
        <w:rPr>
          <w:rFonts w:hint="eastAsia"/>
        </w:rPr>
        <w:t>0777-8319585</w:t>
      </w:r>
      <w:bookmarkEnd w:id="41"/>
    </w:p>
    <w:bookmarkEnd w:id="40"/>
    <w:p>
      <w:pPr>
        <w:spacing w:line="400" w:lineRule="exact"/>
        <w:ind w:firstLine="420" w:firstLineChars="200"/>
      </w:pPr>
      <w:r>
        <w:rPr>
          <w:rFonts w:hint="eastAsia"/>
        </w:rPr>
        <w:t>2.采购代理机构信息</w:t>
      </w:r>
    </w:p>
    <w:p>
      <w:pPr>
        <w:spacing w:line="400" w:lineRule="exact"/>
        <w:ind w:firstLine="420" w:firstLineChars="200"/>
      </w:pPr>
      <w:r>
        <w:rPr>
          <w:rFonts w:hint="eastAsia"/>
        </w:rPr>
        <w:t>名称：钦州市政府采购中心</w:t>
      </w:r>
    </w:p>
    <w:p>
      <w:pPr>
        <w:spacing w:line="400" w:lineRule="exact"/>
        <w:ind w:firstLine="420" w:firstLineChars="200"/>
      </w:pPr>
      <w:r>
        <w:rPr>
          <w:rFonts w:hint="eastAsia"/>
        </w:rPr>
        <w:t>地址：钦州市金海湾东大街8号</w:t>
      </w:r>
    </w:p>
    <w:p>
      <w:pPr>
        <w:spacing w:line="400" w:lineRule="exact"/>
        <w:ind w:firstLine="420" w:firstLineChars="200"/>
      </w:pPr>
      <w:r>
        <w:rPr>
          <w:rFonts w:hint="eastAsia"/>
        </w:rPr>
        <w:t>项目联系人：</w:t>
      </w:r>
      <w:bookmarkStart w:id="42" w:name="_Toc28359087"/>
      <w:bookmarkStart w:id="43" w:name="_Toc28359010"/>
      <w:r>
        <w:rPr>
          <w:rFonts w:hint="eastAsia"/>
        </w:rPr>
        <w:t>黄忠秀</w:t>
      </w:r>
    </w:p>
    <w:p>
      <w:pPr>
        <w:spacing w:line="400" w:lineRule="exact"/>
        <w:ind w:firstLine="420" w:firstLineChars="200"/>
      </w:pPr>
      <w:r>
        <w:rPr>
          <w:rFonts w:hint="eastAsia"/>
        </w:rPr>
        <w:t>项目联系方式：0777-2886022</w:t>
      </w:r>
    </w:p>
    <w:p>
      <w:pPr>
        <w:widowControl/>
        <w:jc w:val="left"/>
      </w:pPr>
      <w:r>
        <w:br w:type="page"/>
      </w:r>
    </w:p>
    <w:p>
      <w:pPr>
        <w:spacing w:line="400" w:lineRule="exact"/>
        <w:ind w:firstLine="420" w:firstLineChars="200"/>
      </w:pPr>
    </w:p>
    <w:p/>
    <w:bookmarkEnd w:id="42"/>
    <w:bookmarkEnd w:id="43"/>
    <w:p/>
    <w:p/>
    <w:p/>
    <w:p/>
    <w:p/>
    <w:p/>
    <w:p/>
    <w:p/>
    <w:p/>
    <w:p/>
    <w:p/>
    <w:p/>
    <w:p>
      <w:pPr>
        <w:pStyle w:val="3"/>
        <w:spacing w:line="400" w:lineRule="exact"/>
        <w:rPr>
          <w:rFonts w:ascii="方正小标宋_GBK" w:hAnsi="宋体" w:eastAsia="方正小标宋_GBK"/>
        </w:rPr>
      </w:pPr>
      <w:bookmarkStart w:id="44" w:name="_Toc92355024"/>
      <w:r>
        <w:rPr>
          <w:rFonts w:hint="eastAsia" w:ascii="方正小标宋_GBK" w:hAnsi="宋体" w:eastAsia="方正小标宋_GBK"/>
        </w:rPr>
        <w:t>第二章  项目需求</w:t>
      </w:r>
      <w:bookmarkEnd w:id="44"/>
    </w:p>
    <w:p>
      <w:pPr>
        <w:spacing w:line="440" w:lineRule="exact"/>
        <w:jc w:val="center"/>
        <w:rPr>
          <w:rFonts w:ascii="宋体" w:hAnsi="宋体"/>
          <w:b/>
          <w:sz w:val="36"/>
          <w:szCs w:val="36"/>
        </w:rPr>
      </w:pPr>
      <w:r>
        <w:rPr>
          <w:rFonts w:ascii="宋体" w:hAnsi="宋体"/>
          <w:b/>
          <w:szCs w:val="21"/>
        </w:rPr>
        <w:br w:type="page"/>
      </w:r>
      <w:r>
        <w:rPr>
          <w:rFonts w:hint="eastAsia" w:ascii="宋体" w:hAnsi="宋体"/>
          <w:b/>
          <w:sz w:val="36"/>
          <w:szCs w:val="36"/>
        </w:rPr>
        <w:t>项目需求</w:t>
      </w:r>
    </w:p>
    <w:p>
      <w:pPr>
        <w:spacing w:line="396" w:lineRule="exact"/>
        <w:rPr>
          <w:rFonts w:ascii="宋体" w:hAnsi="宋体"/>
          <w:b/>
          <w:szCs w:val="21"/>
        </w:rPr>
      </w:pPr>
    </w:p>
    <w:p>
      <w:pPr>
        <w:numPr>
          <w:ilvl w:val="0"/>
          <w:numId w:val="2"/>
        </w:numPr>
        <w:spacing w:line="430" w:lineRule="exact"/>
        <w:rPr>
          <w:rFonts w:ascii="宋体" w:hAnsi="宋体"/>
          <w:szCs w:val="21"/>
          <w:u w:val="single"/>
        </w:rPr>
      </w:pPr>
      <w:bookmarkStart w:id="45" w:name="_Hlk89960406"/>
      <w:r>
        <w:rPr>
          <w:rFonts w:hint="eastAsia" w:ascii="宋体" w:hAnsi="宋体"/>
          <w:szCs w:val="21"/>
        </w:rPr>
        <w:t>采购预算：2,850,000.00元</w:t>
      </w:r>
    </w:p>
    <w:p>
      <w:pPr>
        <w:numPr>
          <w:ilvl w:val="0"/>
          <w:numId w:val="2"/>
        </w:numPr>
        <w:spacing w:line="430" w:lineRule="exact"/>
        <w:rPr>
          <w:rFonts w:ascii="宋体" w:hAnsi="宋体"/>
          <w:szCs w:val="21"/>
        </w:rPr>
      </w:pPr>
      <w:r>
        <w:rPr>
          <w:rFonts w:hint="eastAsia" w:ascii="宋体" w:hAnsi="宋体"/>
          <w:szCs w:val="21"/>
        </w:rPr>
        <w:t>项目需求：</w:t>
      </w:r>
    </w:p>
    <w:p>
      <w:pPr>
        <w:spacing w:line="430" w:lineRule="exact"/>
        <w:rPr>
          <w:rFonts w:ascii="宋体" w:hAnsi="宋体"/>
          <w:szCs w:val="21"/>
        </w:rPr>
      </w:pPr>
      <w:bookmarkStart w:id="46" w:name="_Toc354479498"/>
      <w:bookmarkStart w:id="47" w:name="_Toc358477280"/>
      <w:r>
        <w:rPr>
          <w:rFonts w:hint="eastAsia" w:ascii="宋体" w:hAnsi="宋体"/>
          <w:szCs w:val="21"/>
        </w:rPr>
        <w:t>说明：</w:t>
      </w:r>
    </w:p>
    <w:p>
      <w:pPr>
        <w:spacing w:line="430" w:lineRule="exact"/>
        <w:ind w:firstLine="420" w:firstLineChars="200"/>
        <w:rPr>
          <w:rFonts w:ascii="宋体" w:hAnsi="宋体"/>
          <w:szCs w:val="21"/>
        </w:rPr>
      </w:pPr>
      <w:r>
        <w:rPr>
          <w:rFonts w:hint="eastAsia" w:ascii="宋体" w:hAnsi="宋体"/>
          <w:szCs w:val="21"/>
        </w:rPr>
        <w:t>1.本表中的品牌型号、技术参数及其性能（规格）仅起参考作用，供应商可选用其他品牌型号替代，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pPr>
        <w:spacing w:line="43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line="430" w:lineRule="exact"/>
        <w:ind w:firstLine="420" w:firstLineChars="200"/>
        <w:rPr>
          <w:rFonts w:ascii="宋体" w:hAnsi="宋体"/>
          <w:szCs w:val="21"/>
        </w:rPr>
      </w:pPr>
      <w:r>
        <w:rPr>
          <w:rFonts w:hint="eastAsia" w:ascii="宋体" w:hAnsi="宋体"/>
          <w:szCs w:val="21"/>
        </w:rPr>
        <w:t>3.本项目不接受供应商提供通过中国海关报关验放进入中国境内且产自关境外的产品。</w:t>
      </w:r>
    </w:p>
    <w:p>
      <w:pPr>
        <w:spacing w:line="430" w:lineRule="exact"/>
        <w:ind w:firstLine="420" w:firstLineChars="200"/>
        <w:rPr>
          <w:rFonts w:ascii="宋体" w:hAnsi="宋体"/>
          <w:szCs w:val="21"/>
        </w:rPr>
      </w:pPr>
      <w:r>
        <w:rPr>
          <w:rFonts w:ascii="宋体" w:hAnsi="宋体"/>
          <w:szCs w:val="21"/>
        </w:rPr>
        <w:t>4.</w:t>
      </w:r>
      <w:r>
        <w:rPr>
          <w:rFonts w:hint="eastAsia" w:ascii="宋体" w:hAnsi="宋体"/>
          <w:szCs w:val="21"/>
        </w:rPr>
        <w:t>谈判文件中可能实质性变动的内容：</w:t>
      </w:r>
      <w:r>
        <w:rPr>
          <w:rFonts w:hint="eastAsia" w:ascii="宋体" w:hAnsi="宋体" w:cs="宋体"/>
          <w:kern w:val="0"/>
          <w:szCs w:val="21"/>
          <w:u w:val="single"/>
        </w:rPr>
        <w:t>采购需求的技术、服务要求以及合同草案条款</w:t>
      </w:r>
      <w:r>
        <w:rPr>
          <w:rFonts w:hint="eastAsia" w:ascii="宋体" w:hAnsi="宋体" w:cs="宋体"/>
          <w:b/>
          <w:kern w:val="0"/>
          <w:szCs w:val="21"/>
        </w:rPr>
        <w:t>。</w:t>
      </w:r>
    </w:p>
    <w:p>
      <w:pPr>
        <w:spacing w:line="430" w:lineRule="exact"/>
        <w:ind w:firstLine="420" w:firstLineChars="200"/>
        <w:rPr>
          <w:rFonts w:ascii="宋体" w:hAnsi="宋体"/>
          <w:szCs w:val="21"/>
        </w:rPr>
      </w:pPr>
      <w:r>
        <w:rPr>
          <w:rFonts w:ascii="宋体" w:hAnsi="宋体"/>
          <w:szCs w:val="21"/>
        </w:rPr>
        <w:t>5.</w:t>
      </w:r>
      <w:r>
        <w:rPr>
          <w:rFonts w:hint="eastAsia" w:ascii="宋体" w:hAnsi="宋体"/>
          <w:szCs w:val="21"/>
        </w:rPr>
        <w:t>标注★号的技术参数为实质性响应条款，要求必须满足或优于，否则视为无效响应文件。</w:t>
      </w:r>
    </w:p>
    <w:p>
      <w:pPr>
        <w:spacing w:line="430" w:lineRule="exact"/>
        <w:ind w:firstLine="420" w:firstLineChars="200"/>
        <w:rPr>
          <w:rFonts w:ascii="宋体" w:hAnsi="宋体"/>
          <w:szCs w:val="21"/>
        </w:rPr>
      </w:pPr>
      <w:r>
        <w:rPr>
          <w:rFonts w:ascii="宋体" w:hAnsi="宋体"/>
          <w:szCs w:val="21"/>
        </w:rPr>
        <w:t>6.</w:t>
      </w:r>
      <w:r>
        <w:rPr>
          <w:rFonts w:hint="eastAsia" w:ascii="宋体" w:hAnsi="宋体"/>
          <w:szCs w:val="21"/>
        </w:rPr>
        <w:t>本项目对应的中小企业划分标准所属行业为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工业</w:t>
      </w:r>
      <w:r>
        <w:rPr>
          <w:rFonts w:ascii="宋体" w:hAnsi="宋体"/>
          <w:szCs w:val="21"/>
          <w:u w:val="single"/>
        </w:rPr>
        <w:t xml:space="preserve">      </w:t>
      </w:r>
      <w:r>
        <w:rPr>
          <w:rFonts w:hint="eastAsia" w:ascii="宋体" w:hAnsi="宋体"/>
          <w:szCs w:val="21"/>
        </w:rPr>
        <w:t>。</w:t>
      </w:r>
    </w:p>
    <w:bookmarkEnd w:id="45"/>
    <w:p>
      <w:pPr>
        <w:spacing w:line="430" w:lineRule="exact"/>
        <w:jc w:val="left"/>
        <w:rPr>
          <w:rFonts w:ascii="宋体" w:hAnsi="宋体"/>
          <w:szCs w:val="21"/>
        </w:rPr>
      </w:pPr>
      <w:r>
        <w:rPr>
          <w:rFonts w:ascii="宋体" w:hAnsi="宋体"/>
          <w:szCs w:val="21"/>
        </w:rPr>
        <w:br w:type="page"/>
      </w:r>
    </w:p>
    <w:tbl>
      <w:tblPr>
        <w:tblStyle w:val="35"/>
        <w:tblW w:w="9942" w:type="dxa"/>
        <w:tblInd w:w="-5" w:type="dxa"/>
        <w:tblLayout w:type="fixed"/>
        <w:tblCellMar>
          <w:top w:w="0" w:type="dxa"/>
          <w:left w:w="108" w:type="dxa"/>
          <w:bottom w:w="0" w:type="dxa"/>
          <w:right w:w="108" w:type="dxa"/>
        </w:tblCellMar>
      </w:tblPr>
      <w:tblGrid>
        <w:gridCol w:w="522"/>
        <w:gridCol w:w="1815"/>
        <w:gridCol w:w="750"/>
        <w:gridCol w:w="705"/>
        <w:gridCol w:w="6150"/>
      </w:tblGrid>
      <w:tr>
        <w:tblPrEx>
          <w:tblCellMar>
            <w:top w:w="0" w:type="dxa"/>
            <w:left w:w="108" w:type="dxa"/>
            <w:bottom w:w="0" w:type="dxa"/>
            <w:right w:w="108" w:type="dxa"/>
          </w:tblCellMar>
        </w:tblPrEx>
        <w:trPr>
          <w:trHeight w:val="617" w:hRule="atLeast"/>
        </w:trPr>
        <w:tc>
          <w:tcPr>
            <w:tcW w:w="52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43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ind w:left="-107" w:leftChars="-51" w:right="-109" w:rightChars="-52" w:firstLine="2" w:firstLineChars="1"/>
              <w:jc w:val="center"/>
              <w:rPr>
                <w:rFonts w:ascii="宋体" w:hAnsi="宋体" w:cs="宋体"/>
                <w:b/>
                <w:bCs/>
                <w:szCs w:val="21"/>
                <w:highlight w:val="none"/>
              </w:rPr>
            </w:pPr>
            <w:r>
              <w:rPr>
                <w:rFonts w:hint="eastAsia" w:ascii="宋体" w:hAnsi="宋体" w:cs="宋体"/>
                <w:b/>
                <w:bCs/>
                <w:szCs w:val="21"/>
                <w:highlight w:val="none"/>
              </w:rPr>
              <w:t>货物名称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宋体" w:hAnsi="宋体" w:cs="宋体"/>
                <w:b/>
                <w:bCs/>
                <w:szCs w:val="21"/>
                <w:highlight w:val="none"/>
              </w:rPr>
            </w:pPr>
            <w:r>
              <w:rPr>
                <w:rFonts w:hint="eastAsia" w:ascii="宋体" w:hAnsi="宋体" w:cs="宋体"/>
                <w:b/>
                <w:bCs/>
                <w:szCs w:val="21"/>
                <w:highlight w:val="none"/>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宋体" w:hAnsi="宋体" w:cs="宋体"/>
                <w:b/>
                <w:bCs/>
                <w:szCs w:val="21"/>
                <w:highlight w:val="none"/>
              </w:rPr>
            </w:pPr>
            <w:r>
              <w:rPr>
                <w:rFonts w:hint="eastAsia" w:ascii="宋体" w:hAnsi="宋体" w:cs="宋体"/>
                <w:b/>
                <w:bCs/>
                <w:szCs w:val="21"/>
                <w:highlight w:val="none"/>
              </w:rPr>
              <w:t>单位</w:t>
            </w:r>
          </w:p>
        </w:tc>
        <w:tc>
          <w:tcPr>
            <w:tcW w:w="61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430" w:lineRule="exact"/>
              <w:jc w:val="center"/>
              <w:rPr>
                <w:rFonts w:ascii="宋体" w:hAnsi="宋体" w:cs="宋体"/>
                <w:b/>
                <w:bCs/>
                <w:szCs w:val="21"/>
                <w:highlight w:val="none"/>
              </w:rPr>
            </w:pPr>
            <w:r>
              <w:rPr>
                <w:rFonts w:hint="eastAsia" w:ascii="宋体" w:hAnsi="宋体" w:cs="宋体"/>
                <w:b/>
                <w:bCs/>
                <w:szCs w:val="21"/>
                <w:highlight w:val="none"/>
              </w:rPr>
              <w:t>技术参数及其性能（规格）</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rPr>
            </w:pPr>
            <w:r>
              <w:rPr>
                <w:rFonts w:hint="eastAsia" w:ascii="宋体" w:hAnsi="宋体" w:cs="宋体"/>
                <w:kern w:val="0"/>
                <w:szCs w:val="21"/>
                <w:highlight w:val="none"/>
                <w:lang w:bidi="ar"/>
              </w:rPr>
              <w:t>虚拟仿真实训计算机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bCs/>
                <w:kern w:val="0"/>
                <w:szCs w:val="21"/>
                <w:highlight w:val="none"/>
              </w:rPr>
            </w:pPr>
            <w:r>
              <w:rPr>
                <w:rFonts w:hint="eastAsia" w:ascii="宋体" w:hAnsi="宋体" w:cs="宋体"/>
                <w:kern w:val="0"/>
                <w:szCs w:val="21"/>
                <w:highlight w:val="none"/>
                <w:lang w:bidi="ar"/>
              </w:rPr>
              <w:t>45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szCs w:val="21"/>
                <w:highlight w:val="none"/>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一、硬件配置</w:t>
            </w:r>
          </w:p>
          <w:p>
            <w:pPr>
              <w:widowControl/>
              <w:spacing w:line="360" w:lineRule="auto"/>
              <w:jc w:val="left"/>
              <w:textAlignment w:val="center"/>
              <w:rPr>
                <w:highlight w:val="none"/>
              </w:rPr>
            </w:pPr>
            <w:r>
              <w:rPr>
                <w:rFonts w:hint="eastAsia"/>
                <w:highlight w:val="none"/>
              </w:rPr>
              <w:t xml:space="preserve">1.国产自主品牌； </w:t>
            </w:r>
          </w:p>
          <w:p>
            <w:pPr>
              <w:widowControl/>
              <w:spacing w:line="360" w:lineRule="auto"/>
              <w:jc w:val="left"/>
              <w:textAlignment w:val="center"/>
              <w:rPr>
                <w:highlight w:val="none"/>
              </w:rPr>
            </w:pPr>
            <w:r>
              <w:rPr>
                <w:rFonts w:hint="eastAsia"/>
                <w:highlight w:val="none"/>
              </w:rPr>
              <w:t xml:space="preserve">2.处理器：采用先进国产架构的八核心处理器，包含十六个并行处理线程，处理器的基准运行频率为3.0 GHz；16MB三级缓存；  </w:t>
            </w:r>
          </w:p>
          <w:p>
            <w:pPr>
              <w:widowControl/>
              <w:spacing w:line="360" w:lineRule="auto"/>
              <w:jc w:val="left"/>
              <w:textAlignment w:val="center"/>
              <w:rPr>
                <w:highlight w:val="none"/>
              </w:rPr>
            </w:pPr>
            <w:r>
              <w:rPr>
                <w:rFonts w:hint="eastAsia"/>
                <w:highlight w:val="none"/>
              </w:rPr>
              <w:t>3.内存：32GB DDR4 3200MT/s 内存或以上；</w:t>
            </w:r>
          </w:p>
          <w:p>
            <w:pPr>
              <w:widowControl/>
              <w:spacing w:line="360" w:lineRule="auto"/>
              <w:jc w:val="left"/>
              <w:textAlignment w:val="center"/>
              <w:rPr>
                <w:highlight w:val="none"/>
              </w:rPr>
            </w:pPr>
            <w:r>
              <w:rPr>
                <w:rFonts w:hint="eastAsia"/>
                <w:highlight w:val="none"/>
              </w:rPr>
              <w:t xml:space="preserve">4.标配 4G 独立显卡，VGA+HDMI 接口； </w:t>
            </w:r>
          </w:p>
          <w:p>
            <w:pPr>
              <w:widowControl/>
              <w:spacing w:line="360" w:lineRule="auto"/>
              <w:jc w:val="left"/>
              <w:textAlignment w:val="center"/>
              <w:rPr>
                <w:highlight w:val="none"/>
              </w:rPr>
            </w:pPr>
            <w:r>
              <w:rPr>
                <w:rFonts w:hint="eastAsia"/>
                <w:highlight w:val="none"/>
              </w:rPr>
              <w:t>5.出厂配备≥1TB GB M.2接口NVME协议SSD，</w:t>
            </w:r>
          </w:p>
          <w:p>
            <w:pPr>
              <w:widowControl/>
              <w:spacing w:line="360" w:lineRule="auto"/>
              <w:jc w:val="left"/>
              <w:textAlignment w:val="center"/>
              <w:rPr>
                <w:highlight w:val="none"/>
              </w:rPr>
            </w:pPr>
            <w:r>
              <w:rPr>
                <w:rFonts w:hint="eastAsia"/>
                <w:highlight w:val="none"/>
              </w:rPr>
              <w:t>6.电源功率≥300W；</w:t>
            </w:r>
          </w:p>
          <w:p>
            <w:pPr>
              <w:widowControl/>
              <w:spacing w:line="360" w:lineRule="auto"/>
              <w:jc w:val="left"/>
              <w:textAlignment w:val="center"/>
              <w:rPr>
                <w:highlight w:val="none"/>
              </w:rPr>
            </w:pPr>
            <w:r>
              <w:rPr>
                <w:rFonts w:hint="eastAsia"/>
                <w:highlight w:val="none"/>
              </w:rPr>
              <w:t xml:space="preserve">7.1个 RJ45  10M/100M/1000M 自适应以太网口； </w:t>
            </w:r>
          </w:p>
          <w:p>
            <w:pPr>
              <w:widowControl/>
              <w:spacing w:line="360" w:lineRule="auto"/>
              <w:jc w:val="left"/>
              <w:textAlignment w:val="center"/>
              <w:rPr>
                <w:highlight w:val="none"/>
              </w:rPr>
            </w:pPr>
            <w:r>
              <w:rPr>
                <w:rFonts w:hint="eastAsia"/>
                <w:highlight w:val="none"/>
              </w:rPr>
              <w:t xml:space="preserve">8.2个 PCIex16，1 个 PCIex8，1 个 PCIex1 扩展槽；USB 接口不少 于 10个，前置 USB2.0 数量≥4 个，前置 TYPEC 数量1 个；音频接口：四段式耳麦接口≥1个（支持耳机麦克风二合一）；三段式麦克风接口≥1； </w:t>
            </w:r>
          </w:p>
          <w:p>
            <w:pPr>
              <w:widowControl/>
              <w:spacing w:line="360" w:lineRule="auto"/>
              <w:jc w:val="left"/>
              <w:textAlignment w:val="center"/>
              <w:rPr>
                <w:highlight w:val="none"/>
              </w:rPr>
            </w:pPr>
            <w:r>
              <w:rPr>
                <w:rFonts w:hint="eastAsia"/>
                <w:highlight w:val="none"/>
              </w:rPr>
              <w:t xml:space="preserve">9.机箱≤15L； </w:t>
            </w:r>
          </w:p>
          <w:p>
            <w:pPr>
              <w:widowControl/>
              <w:spacing w:line="360" w:lineRule="auto"/>
              <w:jc w:val="left"/>
              <w:textAlignment w:val="center"/>
              <w:rPr>
                <w:highlight w:val="none"/>
              </w:rPr>
            </w:pPr>
            <w:r>
              <w:rPr>
                <w:rFonts w:hint="eastAsia"/>
                <w:highlight w:val="none"/>
              </w:rPr>
              <w:t>二、配套显示器：</w:t>
            </w:r>
          </w:p>
          <w:p>
            <w:pPr>
              <w:widowControl/>
              <w:spacing w:line="360" w:lineRule="auto"/>
              <w:jc w:val="left"/>
              <w:textAlignment w:val="center"/>
              <w:rPr>
                <w:highlight w:val="none"/>
              </w:rPr>
            </w:pPr>
            <w:r>
              <w:rPr>
                <w:rFonts w:hint="eastAsia"/>
                <w:highlight w:val="none"/>
              </w:rPr>
              <w:t>1.显示屏≥23.8英寸显示屏幕，分辨率≥1920*1080，</w:t>
            </w:r>
          </w:p>
          <w:p>
            <w:pPr>
              <w:widowControl/>
              <w:spacing w:line="360" w:lineRule="auto"/>
              <w:jc w:val="left"/>
              <w:textAlignment w:val="center"/>
              <w:rPr>
                <w:highlight w:val="none"/>
              </w:rPr>
            </w:pPr>
            <w:r>
              <w:rPr>
                <w:rFonts w:hint="eastAsia"/>
                <w:highlight w:val="none"/>
              </w:rPr>
              <w:t>2.屏幕亮度≥250nit，VA屏</w:t>
            </w:r>
          </w:p>
          <w:p>
            <w:pPr>
              <w:widowControl/>
              <w:spacing w:line="360" w:lineRule="auto"/>
              <w:jc w:val="left"/>
              <w:textAlignment w:val="center"/>
              <w:rPr>
                <w:highlight w:val="none"/>
              </w:rPr>
            </w:pPr>
            <w:r>
              <w:rPr>
                <w:rFonts w:hint="eastAsia"/>
                <w:highlight w:val="none"/>
              </w:rPr>
              <w:t>3.支持VGA≥1，HDMI≥1。</w:t>
            </w:r>
          </w:p>
          <w:p>
            <w:pPr>
              <w:widowControl/>
              <w:spacing w:line="360" w:lineRule="auto"/>
              <w:jc w:val="left"/>
              <w:textAlignment w:val="center"/>
              <w:rPr>
                <w:highlight w:val="none"/>
              </w:rPr>
            </w:pPr>
            <w:r>
              <w:rPr>
                <w:rFonts w:hint="eastAsia"/>
                <w:highlight w:val="none"/>
              </w:rPr>
              <w:t>4.为保证屏幕色彩显示真实度，显示屏幕DCI-P3色域覆盖率≥ 90%；</w:t>
            </w:r>
          </w:p>
          <w:p>
            <w:pPr>
              <w:widowControl/>
              <w:spacing w:line="360" w:lineRule="auto"/>
              <w:jc w:val="left"/>
              <w:textAlignment w:val="center"/>
              <w:rPr>
                <w:highlight w:val="none"/>
              </w:rPr>
            </w:pPr>
            <w:r>
              <w:rPr>
                <w:rFonts w:hint="eastAsia"/>
                <w:highlight w:val="none"/>
              </w:rPr>
              <w:t>5.屏幕刷新率达到75Hz，响应时间≤7ms，可视角度178/178</w:t>
            </w:r>
          </w:p>
          <w:p>
            <w:pPr>
              <w:widowControl/>
              <w:spacing w:line="360" w:lineRule="auto"/>
              <w:jc w:val="left"/>
              <w:textAlignment w:val="center"/>
              <w:rPr>
                <w:highlight w:val="none"/>
              </w:rPr>
            </w:pPr>
            <w:r>
              <w:rPr>
                <w:rFonts w:hint="eastAsia"/>
                <w:highlight w:val="none"/>
              </w:rPr>
              <w:t>6.为保证教师、学生的用眼舒适，显示屏幕提供护眼模式，护眼模式下，蓝光比例≤20%。</w:t>
            </w:r>
          </w:p>
          <w:p>
            <w:pPr>
              <w:widowControl/>
              <w:spacing w:line="360" w:lineRule="auto"/>
              <w:jc w:val="left"/>
              <w:textAlignment w:val="center"/>
              <w:rPr>
                <w:highlight w:val="none"/>
              </w:rPr>
            </w:pPr>
            <w:r>
              <w:rPr>
                <w:rFonts w:hint="eastAsia"/>
                <w:highlight w:val="none"/>
              </w:rPr>
              <w:t>三、配套国产桌面操作系统；</w:t>
            </w:r>
          </w:p>
          <w:p>
            <w:pPr>
              <w:widowControl/>
              <w:spacing w:line="360" w:lineRule="auto"/>
              <w:jc w:val="left"/>
              <w:textAlignment w:val="center"/>
              <w:rPr>
                <w:highlight w:val="none"/>
              </w:rPr>
            </w:pPr>
            <w:r>
              <w:rPr>
                <w:rFonts w:hint="eastAsia"/>
                <w:highlight w:val="none"/>
              </w:rPr>
              <w:t>1.配套国产桌面操作系统；</w:t>
            </w:r>
          </w:p>
          <w:p>
            <w:pPr>
              <w:widowControl/>
              <w:spacing w:line="360" w:lineRule="auto"/>
              <w:jc w:val="left"/>
              <w:textAlignment w:val="center"/>
              <w:rPr>
                <w:highlight w:val="none"/>
              </w:rPr>
            </w:pPr>
            <w:r>
              <w:rPr>
                <w:rFonts w:hint="eastAsia"/>
                <w:highlight w:val="none"/>
              </w:rPr>
              <w:t>2.配套国产办公软件，用于处理文字、表格及幻灯片的流式办公软件。</w:t>
            </w:r>
          </w:p>
          <w:p>
            <w:pPr>
              <w:widowControl/>
              <w:spacing w:line="360" w:lineRule="auto"/>
              <w:jc w:val="left"/>
              <w:textAlignment w:val="center"/>
              <w:rPr>
                <w:highlight w:val="none"/>
              </w:rPr>
            </w:pPr>
            <w:r>
              <w:rPr>
                <w:rFonts w:hint="eastAsia"/>
                <w:highlight w:val="none"/>
              </w:rPr>
              <w:t>3.教学配套软件设计</w:t>
            </w:r>
          </w:p>
          <w:p>
            <w:pPr>
              <w:widowControl/>
              <w:spacing w:line="360" w:lineRule="auto"/>
              <w:jc w:val="left"/>
              <w:textAlignment w:val="center"/>
              <w:rPr>
                <w:highlight w:val="none"/>
              </w:rPr>
            </w:pPr>
            <w:r>
              <w:rPr>
                <w:rFonts w:hint="eastAsia"/>
                <w:highlight w:val="none"/>
              </w:rPr>
              <w:t>（1）教学平台为全校教师提供可扩展，易于学校管理，安全可靠的云存储空间，根据每名教师使用时长与教学资料制作频率提供可扩展升级至不小于200G的个人云空间。</w:t>
            </w:r>
          </w:p>
          <w:p>
            <w:pPr>
              <w:widowControl/>
              <w:spacing w:line="360" w:lineRule="auto"/>
              <w:jc w:val="left"/>
              <w:textAlignment w:val="center"/>
              <w:rPr>
                <w:highlight w:val="none"/>
              </w:rPr>
            </w:pPr>
            <w:r>
              <w:rPr>
                <w:rFonts w:hint="eastAsia"/>
                <w:highlight w:val="none"/>
              </w:rPr>
              <w:t>（2）一键开课：教师可一键开课生成课程海报；学生扫描课程海报微信二维码即可加入直播课堂，无需额外安装APP。</w:t>
            </w:r>
          </w:p>
          <w:p>
            <w:pPr>
              <w:widowControl/>
              <w:spacing w:line="360" w:lineRule="auto"/>
              <w:jc w:val="left"/>
              <w:textAlignment w:val="center"/>
              <w:rPr>
                <w:highlight w:val="none"/>
              </w:rPr>
            </w:pPr>
            <w:r>
              <w:rPr>
                <w:rFonts w:hint="eastAsia"/>
                <w:highlight w:val="none"/>
              </w:rPr>
              <w:t>（3）剪辑重录：支持按照课件页面片段剪辑和重录微课，支持一键上传至云端保存。</w:t>
            </w:r>
          </w:p>
          <w:p>
            <w:pPr>
              <w:widowControl/>
              <w:spacing w:line="360" w:lineRule="auto"/>
              <w:jc w:val="left"/>
              <w:textAlignment w:val="center"/>
              <w:rPr>
                <w:highlight w:val="none"/>
              </w:rPr>
            </w:pPr>
            <w:r>
              <w:rPr>
                <w:rFonts w:hint="eastAsia"/>
                <w:highlight w:val="none"/>
              </w:rPr>
              <w:t>（4）发起集备：支持选择教案、课件、胶囊资源上传发起集备研讨，支持设置多重访问权限，通过手机号搜索即可邀请外校老师，可用于跨校教研场景。</w:t>
            </w:r>
          </w:p>
          <w:p>
            <w:pPr>
              <w:widowControl/>
              <w:spacing w:line="360" w:lineRule="auto"/>
              <w:jc w:val="left"/>
              <w:textAlignment w:val="center"/>
              <w:rPr>
                <w:rFonts w:hint="eastAsia"/>
                <w:highlight w:val="none"/>
              </w:rPr>
            </w:pPr>
            <w:r>
              <w:rPr>
                <w:rFonts w:hint="eastAsia"/>
                <w:highlight w:val="none"/>
                <w:lang w:eastAsia="zh-CN"/>
              </w:rPr>
              <w:t>（</w:t>
            </w:r>
            <w:r>
              <w:rPr>
                <w:rFonts w:hint="eastAsia"/>
                <w:highlight w:val="none"/>
              </w:rPr>
              <w:t>5）课程回放：课程结束后自动生成直播回放，报名课程的学生可反复学习；回放课程自动保存在云端，支持人工删除。（投标时提供包括但不限于厂家证明或功能截图）</w:t>
            </w:r>
          </w:p>
          <w:p>
            <w:pPr>
              <w:pStyle w:val="2"/>
              <w:rPr>
                <w:rFonts w:hint="default" w:eastAsia="宋体"/>
                <w:highlight w:val="none"/>
                <w:lang w:val="en-US" w:eastAsia="zh-CN"/>
              </w:rPr>
            </w:pPr>
            <w:r>
              <w:rPr>
                <w:rFonts w:hint="eastAsia" w:ascii="仿宋_GB2312" w:hAnsi="仿宋_GB2312" w:eastAsia="仿宋_GB2312" w:cs="仿宋_GB2312"/>
                <w:b w:val="0"/>
                <w:bCs/>
                <w:sz w:val="21"/>
                <w:szCs w:val="21"/>
                <w:highlight w:val="none"/>
                <w:lang w:val="en-US" w:eastAsia="zh-CN"/>
              </w:rPr>
              <w:t>★</w:t>
            </w:r>
            <w:r>
              <w:rPr>
                <w:rFonts w:hint="eastAsia"/>
                <w:b w:val="0"/>
                <w:bCs/>
                <w:sz w:val="21"/>
                <w:szCs w:val="21"/>
                <w:highlight w:val="none"/>
                <w:lang w:val="en-US" w:eastAsia="zh-CN"/>
              </w:rPr>
              <w:t>四、提供该产品由国家确定的认证机构出具的处于有效期之内的节能产品认证并加盖公章。</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配置机房云桌面管理软件（含授权）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1.终端支持裸机部署模式，支持多硬盘管理，终端设备在部署时指定系统安装位置，同时支持在现有终端设备上部署利旧使用，可灵活支持U盘、网络、本机硬盘等多种部署方式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2.出厂自带网络同传，独立界面操作同传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3.支持任意终端作为主机对整个机房的维护，同传时可在同传界面直观的显示传输状况，方便网络传输故障点定位；</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4.支持复杂网络环境、跨教室跨楼层部署。IP可达即可部署，简化网络结构。不同网段的终端可以镜像同传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5.支持增量同传，教学环境更新仅传输增量部分，大幅减少网络传输中的重复数据，提高传输效率。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6.支持P2P同传，同传的设备可互相分享数据，大幅减少网络传输中的重复数据，提高传输效率。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7.支持硬盘保护，支持常见硬盘，如机械硬盘、SSD硬盘、M.2硬盘、eMMC硬盘，不受病毒影响，重启即可还原。</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8.支持使用U盘/移动硬盘在脱机的情况下（完全没有网络）脱机恢复桌面；</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9.支持在云桌面镜像系统无法启动、系统异常时，可通过键盘进行系统恢复至出厂默认状态正常启动云桌面镜像系统，无需连接网络、无需连接管理平台、无需额外工具辅助。</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10.支持在云桌面镜像系统无法启动、系统异常时，可通过手势在屏幕上调取触摸中控菜单进行系统恢复至出厂默认状态正常启动云桌面镜像系统，无需连接网络、无需连接管理平台、无需额外工具辅助。</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11.支持云桌面系统恢复后，公共数据分区（D盘）的数据得到保留，不受还原影响</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12.支持脱网运行，终端可在没有网络连接的情况下可离线运行与在线状态下一致的操作系统及软件，并保证同一桌面环境在线与离线数据一致；</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13.支持桌面高可用，即终端设备在运行桌面时网络中断或管理平台连接中断时，正在操作的教学业务不受影响，依然可使用当前云桌面镜像继续开展业务，打开的程序也不会中断，保障业务连续性。</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14.支持配置多网卡网络，支持分别配置IP地址和DNS的自动或手动设置，配置的网络信息同步到启动的云桌面镜像中保持一致</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15.支持监测网络状态，支持查看当前网络类型，支持查看终端设备IP地址，支持查看与管理平台的网络连接质量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16.支持诊断网络，支持检测与管理平台的通讯状态，服务状态、支持TCP延迟、ICMP延迟、内外网上传下载速度检测，支持导出诊断结果</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szCs w:val="21"/>
                <w:highlight w:val="none"/>
              </w:rPr>
              <w:t>家装建筑装饰工程施工虚拟仿真教学软件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1.视频微课：视频微课</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具备高度的教育性，而且具备强大的交互性。在学习过程中，用户可以根据自身需要，随时暂停视频并进行放大、缩小、旋转等操作，以便更深入地理解和掌握知识点。</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2.两大核心学习模块：</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内置课程学习和案例学习两个模块，以典型的装饰装修工程、五室二厅三卫精装修工程为依托，包含十六个章节，114个知识点，从“教学”和“实训”两方面帮助老师提高教学效率，使学生掌握理论知识的同时学会装修的装饰材料、装修工艺工法、机具操作、验收标准等，有效的解决了实训与教学结合的难题，最终提高学生的职业技能水平。</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★3.案例学习模块须以双代号网络图的形式模拟施工技术交底环节，学生首先会接受一系列关于施工技术的重要知识传授。这些知识包括：</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（1）施工资料解读：学生将学习到如何详细解读和分析施工资料，包括施工图纸、技术规格书等，以便为后续的施工工作提供准确的指导。</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（2）施工准备要点：模块将强调施工前的各项准备工作，包括材料准备、人员、机械设备等，以确保施工工作能够顺利展开。</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（3）施工流程梳理：通过双代号网络图，学生将直观地理解整个施工过程的流程步骤，包括各工序的先后顺序、逻辑关系等，帮助他们更好地把握施工的整体进度。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（4）质量验收标准明确：在模拟交底的过程中，学生将学习到质量验收的标准和要求，了解如何对施工过程中的各个环节进行质量检查和控制，以确保工程质量符合规范。"</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4.3D模型：须集成至少220个与核心知识点紧密对应的3D模型。这些模型为教师们提供了丰富的互动和教学工具，允许他们通过一系列高级操作来增强教学效果。教师可以对3D模型进行框选以突出特定部分，执行测量来精确评估尺寸或角度，进行剖切以展示内部结构，甚至调整模型至半透明状态来揭示其隐藏特征。此外，该资源还赋予教师二次编辑模型的能力，他们可以添加文字说明来阐释模型的关键点，或添加动画信息来动态展示模型的工作原理或变化过程。这些个性化编辑功能使得教师能够生成独特且富有吸引力的教学内容，从而极大地提升学生的学习体验和效果。</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5.实训过程：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对学生的学习成果进行全方位的评估，包括其选择的工种、使用的工具与机械、所选材料的合理性、解答题目的准确性、执行流程的正确性、时间管理的能力以及实际操作的位置准确性等。一旦实训考核结束，系统将进行详细的步骤解析，深入分析学生在实训过程中的每一个环节，以便学生明确自己的优点和不足，从而进行有针对性的改进和学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课程学习模块中知识点内容包含抹灰工程、门窗工程、饰面板工程、幕墙工程、楼地面工程、吊顶工程、轻质隔墙工程、涂料工程、裱糊与软包、细部工程、楼梯工程、厨浴设备安装工程、防火安全、防水工程、保温工程、水电工程等16个章节，各类知识点共计114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7.装饰工程抹灰工程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包含以下知识点：装饰抹灰工程施工工艺、一般抹灰工程施工工艺、外墙抹灰施工、顶棚抹灰施工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门窗工程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断桥铝门窗安装、无框玻璃门安装工艺、窗帘安装工艺、成品木门安装、木门窗套安装、木质窗帘盒安装、窗台板安装、门窗装饰线条、卫生间钛金平开门装饰工程施工、塑钢平开门装饰工程施工、全玻地弹门装饰工程施工、自动感应门装饰工程施工、阳台钛金推拉门装饰工程施工、塑钢窗安装施工、钢门窗安装施工、铝合金门窗安装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8.吊顶工程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轻钢龙骨矿棉吸音板施工工艺、轻钢龙骨石膏板吊顶、铝扣板吊顶、塑钢板吊顶施工、轻钢龙骨格栅吊顶施工工艺、PVC板吊顶施工工艺、铝塑板边吊顶、升降吊顶、金属龙骨玻璃采光吊顶装饰施工、轻钢龙骨吊顶施工工艺</w:t>
            </w:r>
          </w:p>
          <w:p>
            <w:pPr>
              <w:widowControl/>
              <w:spacing w:line="360" w:lineRule="auto"/>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轻质隔墙工程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包含以下知识点：轻钢龙骨隔墙施工、玻璃砖隔墙施工、木龙骨隔墙施工、玻璃隔断施工工艺、包立管施工工艺、砖隔墙施工、水泥木丝板装饰工程施工、GRC多孔条板隔墙装饰施工、活动隔断工程施工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9.饰面板工程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铝塑板饰面板施工工艺、玻璃面层施工工艺、木饰面板施工工艺、金属饰面板施工、墙面广告钉玻璃展板施工工艺、集成墙面施工工艺、墙面贴砖施工工艺、马赛克铺贴施工工艺、外墙保温板节点工艺、墙面干挂石材工艺、水刷石施工、瓷砖墙面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幕墙工程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包含以下知识点：点式玻璃幕墙施工工艺、半隐式玻璃幕墙施工工艺、金属幕墙施工工艺、全玻璃幕墙施工工艺、墙面干挂石材施工工艺、墙面湿挂石材施工工艺"</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10.涂饰工程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包含以下知识点：墙面刷乳胶漆施工工艺、木饰面清色油漆、地面涂层之环氧地坪漆施工工艺、真石漆施工工艺、墙面复合涂层施工工艺、肌理漆施工工艺、外墙涂料施工、金属面施涂混色油漆涂料施工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裱糊与软包工程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包含以下知识点：裱糊工程施工、软包工程施工工艺、预制块软包施工工艺、拉扣软包施工工艺、硬包工程施工工艺</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11.楼地面工程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以下知识：地砖面层施工、大理石、花岗石施工工艺、实木复合木地板铺贴施工工艺、架空实木地板铺设施工工艺、架空拼花实木地板铺设施工工艺、活动地板施工工艺、踢脚线安装、地毯铺设施工工艺-倒刺条、地毯铺设施工工艺-胶粘法、塑胶地板施工工艺、静电地板施工工艺、水泥地面施工、水磨石施工、大理石楼地面、防滑地砖防水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12.吊顶模块中展现整个施工全阶段的状态，包含不少于三种施工工艺，轻钢龙骨石膏板吊顶流程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按照，测量放定位线，吊件加固与固定，固定吊顶边部骨架，安装主龙骨，安装副龙骨，安装罩面板；</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13.知识点“轻钢龙骨隔墙施工”施工流程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墙体定位，墙垫制作，天地龙骨、侧龙骨螺栓定位，安装天地龙骨，竖向龙骨分档，竖向龙骨安装、门窗口加固，安装贯通龙骨，安装横向卡档龙骨，安装管线，安装罩面板、安装隔音棉、安装另一侧罩面板；</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14.知识点“固定家具制作安装”施工流程</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包含开料，安装零部件，柜体安装，安装背板，安放柜体，抽屉组装，安装层板，安装挂衣杆，安装门扇；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15.平台教师端要求具备以下功能：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（1）支持学生基础信息维护，包括：班级管理、学生信息管理，并支持学生信息EXCEL导入。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（2）支持创建课程功能，课程名称、专业类别、指导教师、教学课时、课程封面和课程简介创建课程，课程可将隐私设为院校公开、校内公开和私有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（3）支持上传自有资源，资源类型包含且不局限于图文、文件、视频、模型和图纸，上传完成可实时在平台内预览查看，上传图文、视频、以及模型资源可自动添加院校logo，形成院校个性化资源；</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（4）支持备课、授课、预习、练习、实训、成绩统计</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（5）备课功能：教师可以在平台内添加、修改、移动课程目录创建和管理资源</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（6）预习功能：教师可以为学生设置预习任务，学生可以在课前完成预习内容，并通过平台提交预习成果，教师可以查看并评估学生的预习情况。</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（7）实训功能：教师可以为学生设置虚拟实训任务，利用平台提供的虚拟仿真环境进行实践操作。</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包含配套实训方案，实训方案</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满足查看、修改与一键下发功能，实训方案内容</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包含实训目的、实训要求、实训准备、评分规则、实训预习、仿真练习、实训考核等内容；实训过程中，教师可以观察学生的操作情况，并给予指导和反馈。</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（8）成绩统计功能：支持课前预习、课上练习、作业和实训等考核项以图表形式查看学生平均成绩，且可查看单个学生成绩列表，支持以班级、学期和学生为条件进行筛选；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16.平台学生端要求具备以下功能：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（1）支持课程学习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（2）支持学生关注课程：学生关注感兴趣的课程，关注后学生将收到该课程的更新通知，如作业提醒等。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（3）支持学生加入班级：学生应能够加入特定的班级，能够查看班级成员、班级宣言、班级作业等信息，便于管理自己的学习进度和任务。</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（4）包含错题本：学生在做题或考试时，可以将做错的题目自动添加到错题本中，学生能够直接查看错题本中的题目，提供错题统计功能如错题数量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17.题库：包含平台题库、我的题库；平台题库涵盖单选、多选和判断等多种题型，满足用户多样化的试题需求，试题按照难度分为难、中、易三个等级。我的题库支持用户手动添加试题，同时提供批量添加功能，方便用户快速导入大量试题。</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18.平台移动端</w:t>
            </w:r>
            <w:r>
              <w:rPr>
                <w:rFonts w:hint="eastAsia" w:ascii="宋体" w:hAnsi="宋体" w:cs="宋体"/>
                <w:kern w:val="0"/>
                <w:szCs w:val="21"/>
                <w:highlight w:val="none"/>
                <w:lang w:val="en-US" w:eastAsia="zh-CN" w:bidi="ar"/>
              </w:rPr>
              <w:t>需</w:t>
            </w:r>
            <w:r>
              <w:rPr>
                <w:rFonts w:hint="eastAsia" w:ascii="宋体" w:hAnsi="宋体" w:cs="宋体"/>
                <w:kern w:val="0"/>
                <w:szCs w:val="21"/>
                <w:highlight w:val="none"/>
                <w:lang w:bidi="ar"/>
              </w:rPr>
              <w:t>提供搜索功能，教师和学生可通过搜索关键词，快捷检索课程、视频资源、模型资源等。并具有关键词搜索历史记录，教师和学生可点击历史记录再次查询相关课程或资源；</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显示器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bookmarkStart w:id="48" w:name="OLE_LINK2"/>
            <w:r>
              <w:rPr>
                <w:rFonts w:hint="eastAsia"/>
                <w:highlight w:val="none"/>
              </w:rPr>
              <w:t>1.★</w:t>
            </w:r>
            <w:bookmarkEnd w:id="48"/>
            <w:r>
              <w:rPr>
                <w:rFonts w:hint="eastAsia"/>
                <w:highlight w:val="none"/>
              </w:rPr>
              <w:t>显示屏幕≥23.8英寸，分辨率≥1920*1080，屏幕亮度≥250nit。</w:t>
            </w:r>
          </w:p>
          <w:p>
            <w:pPr>
              <w:widowControl/>
              <w:spacing w:line="360" w:lineRule="auto"/>
              <w:jc w:val="left"/>
              <w:textAlignment w:val="center"/>
              <w:rPr>
                <w:highlight w:val="none"/>
              </w:rPr>
            </w:pPr>
            <w:r>
              <w:rPr>
                <w:rFonts w:hint="eastAsia"/>
                <w:highlight w:val="none"/>
              </w:rPr>
              <w:t>2.为保证屏幕色彩显示真实度，显示屏幕面板采用VA技术。</w:t>
            </w:r>
          </w:p>
          <w:p>
            <w:pPr>
              <w:widowControl/>
              <w:spacing w:line="360" w:lineRule="auto"/>
              <w:jc w:val="left"/>
              <w:textAlignment w:val="center"/>
              <w:rPr>
                <w:highlight w:val="none"/>
              </w:rPr>
            </w:pPr>
            <w:r>
              <w:rPr>
                <w:rFonts w:hint="eastAsia"/>
                <w:highlight w:val="none"/>
              </w:rPr>
              <w:t>3.对比度≥1000:1，屏幕刷新率达到60Hz，响应时间≤4ms，可视角度≥178°。</w:t>
            </w:r>
          </w:p>
          <w:p>
            <w:pPr>
              <w:widowControl/>
              <w:spacing w:line="360" w:lineRule="auto"/>
              <w:jc w:val="left"/>
              <w:textAlignment w:val="center"/>
              <w:rPr>
                <w:highlight w:val="none"/>
              </w:rPr>
            </w:pPr>
            <w:r>
              <w:rPr>
                <w:rFonts w:hint="eastAsia"/>
                <w:highlight w:val="none"/>
              </w:rPr>
              <w:t>4.视频out接口VGA+HDMI。</w:t>
            </w:r>
          </w:p>
          <w:p>
            <w:pPr>
              <w:pStyle w:val="17"/>
              <w:spacing w:line="360" w:lineRule="auto"/>
              <w:rPr>
                <w:highlight w:val="none"/>
              </w:rPr>
            </w:pPr>
            <w:r>
              <w:rPr>
                <w:rFonts w:hint="eastAsia" w:ascii="宋体" w:hAnsi="宋体" w:cs="宋体"/>
                <w:kern w:val="0"/>
                <w:sz w:val="21"/>
                <w:szCs w:val="21"/>
                <w:highlight w:val="none"/>
                <w:lang w:bidi="ar"/>
              </w:rPr>
              <w:t>5.★响应文件中必须提供该产品由国家确定的认证机构出具的处于有效期之内的节能产品认证并加盖供应商公章。</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虚拟现实工作站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1. CPU：国产处理器，其配置包括八核心设计、十六线程、基准频率达到3.0GHz或以上，且在需要时能提升至接近3.3GHz的加速频率，同时拥有16MB或以上三级缓存；；</w:t>
            </w:r>
          </w:p>
          <w:p>
            <w:pPr>
              <w:widowControl/>
              <w:spacing w:line="360" w:lineRule="auto"/>
              <w:jc w:val="left"/>
              <w:textAlignment w:val="center"/>
              <w:rPr>
                <w:highlight w:val="none"/>
              </w:rPr>
            </w:pPr>
            <w:r>
              <w:rPr>
                <w:rFonts w:hint="eastAsia"/>
                <w:highlight w:val="none"/>
              </w:rPr>
              <w:t>2. 内存：32GB DDR4 ；</w:t>
            </w:r>
          </w:p>
          <w:p>
            <w:pPr>
              <w:widowControl/>
              <w:spacing w:line="360" w:lineRule="auto"/>
              <w:jc w:val="left"/>
              <w:textAlignment w:val="center"/>
              <w:rPr>
                <w:highlight w:val="none"/>
              </w:rPr>
            </w:pPr>
            <w:r>
              <w:rPr>
                <w:rFonts w:hint="eastAsia"/>
                <w:highlight w:val="none"/>
              </w:rPr>
              <w:t>3. 显卡：GeForce RTX 4060 8GB；</w:t>
            </w:r>
          </w:p>
          <w:p>
            <w:pPr>
              <w:widowControl/>
              <w:spacing w:line="360" w:lineRule="auto"/>
              <w:jc w:val="left"/>
              <w:textAlignment w:val="center"/>
              <w:rPr>
                <w:highlight w:val="none"/>
              </w:rPr>
            </w:pPr>
            <w:r>
              <w:rPr>
                <w:rFonts w:hint="eastAsia"/>
                <w:highlight w:val="none"/>
              </w:rPr>
              <w:t>4. 硬盘：1T 机械+512固态；</w:t>
            </w:r>
          </w:p>
          <w:p>
            <w:pPr>
              <w:widowControl/>
              <w:spacing w:line="360" w:lineRule="auto"/>
              <w:jc w:val="left"/>
              <w:textAlignment w:val="center"/>
              <w:rPr>
                <w:highlight w:val="none"/>
              </w:rPr>
            </w:pPr>
            <w:r>
              <w:rPr>
                <w:rFonts w:hint="eastAsia"/>
                <w:highlight w:val="none"/>
              </w:rPr>
              <w:t>5. 系统：支持UOS、kylin、Windows 11 64位。</w:t>
            </w:r>
          </w:p>
          <w:p>
            <w:pPr>
              <w:widowControl/>
              <w:spacing w:line="360" w:lineRule="auto"/>
              <w:jc w:val="left"/>
              <w:textAlignment w:val="center"/>
              <w:rPr>
                <w:rFonts w:ascii="宋体" w:hAnsi="宋体" w:cs="宋体"/>
                <w:kern w:val="0"/>
                <w:szCs w:val="21"/>
                <w:highlight w:val="none"/>
                <w:lang w:bidi="ar"/>
              </w:rPr>
            </w:pPr>
            <w:r>
              <w:rPr>
                <w:rFonts w:hint="eastAsia"/>
                <w:highlight w:val="none"/>
              </w:rPr>
              <w:t>6. 含键鼠1套。</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交换机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1.支持固化千兆电口≥24个，固化千兆光口≥4个，标准1U设备；</w:t>
            </w:r>
          </w:p>
          <w:p>
            <w:pPr>
              <w:widowControl/>
              <w:spacing w:line="360" w:lineRule="auto"/>
              <w:jc w:val="left"/>
              <w:textAlignment w:val="center"/>
              <w:rPr>
                <w:highlight w:val="none"/>
              </w:rPr>
            </w:pPr>
            <w:r>
              <w:rPr>
                <w:rFonts w:hint="eastAsia"/>
                <w:highlight w:val="none"/>
              </w:rPr>
              <w:t>2.交换容量≥300Gbps，包转发率≥40Mpps。</w:t>
            </w:r>
          </w:p>
          <w:p>
            <w:pPr>
              <w:widowControl/>
              <w:spacing w:line="360" w:lineRule="auto"/>
              <w:jc w:val="left"/>
              <w:textAlignment w:val="center"/>
              <w:rPr>
                <w:highlight w:val="none"/>
              </w:rPr>
            </w:pPr>
            <w:r>
              <w:rPr>
                <w:rFonts w:hint="eastAsia"/>
                <w:highlight w:val="none"/>
              </w:rPr>
              <w:t xml:space="preserve">3.支持 MAC地址容量≥8K。 </w:t>
            </w:r>
          </w:p>
          <w:p>
            <w:pPr>
              <w:widowControl/>
              <w:spacing w:line="360" w:lineRule="auto"/>
              <w:jc w:val="left"/>
              <w:textAlignment w:val="center"/>
              <w:rPr>
                <w:highlight w:val="none"/>
              </w:rPr>
            </w:pPr>
            <w:r>
              <w:rPr>
                <w:rFonts w:hint="eastAsia"/>
                <w:highlight w:val="none"/>
              </w:rPr>
              <w:t>4.支持生成树 STP / RSTP；提高容错能力，保证网络的稳定运行和链路的负载均衡，合理使用网络通道，提供冗余链路利用率。</w:t>
            </w:r>
          </w:p>
          <w:p>
            <w:pPr>
              <w:widowControl/>
              <w:spacing w:line="360" w:lineRule="auto"/>
              <w:jc w:val="left"/>
              <w:textAlignment w:val="center"/>
              <w:rPr>
                <w:highlight w:val="none"/>
              </w:rPr>
            </w:pPr>
            <w:r>
              <w:rPr>
                <w:rFonts w:hint="eastAsia"/>
                <w:highlight w:val="none"/>
              </w:rPr>
              <w:t>5.支持静态链路聚合。</w:t>
            </w:r>
          </w:p>
          <w:p>
            <w:pPr>
              <w:widowControl/>
              <w:spacing w:line="360" w:lineRule="auto"/>
              <w:jc w:val="left"/>
              <w:textAlignment w:val="center"/>
              <w:rPr>
                <w:highlight w:val="none"/>
              </w:rPr>
            </w:pPr>
            <w:r>
              <w:rPr>
                <w:rFonts w:hint="eastAsia"/>
                <w:highlight w:val="none"/>
              </w:rPr>
              <w:t>6.支持端口镜像，一对一镜像，多对一镜像。</w:t>
            </w:r>
          </w:p>
          <w:p>
            <w:pPr>
              <w:widowControl/>
              <w:spacing w:line="360" w:lineRule="auto"/>
              <w:jc w:val="left"/>
              <w:textAlignment w:val="center"/>
              <w:rPr>
                <w:highlight w:val="none"/>
              </w:rPr>
            </w:pPr>
            <w:r>
              <w:rPr>
                <w:rFonts w:hint="eastAsia"/>
                <w:highlight w:val="none"/>
              </w:rPr>
              <w:t>7.支持DHCP Snooping；能很好避免上网终端从非法DHCP服务器分配的IP地址，引起的网络异常或安全隐患。</w:t>
            </w:r>
          </w:p>
          <w:p>
            <w:pPr>
              <w:widowControl/>
              <w:spacing w:line="360" w:lineRule="auto"/>
              <w:jc w:val="left"/>
              <w:textAlignment w:val="center"/>
              <w:rPr>
                <w:highlight w:val="none"/>
              </w:rPr>
            </w:pPr>
            <w:r>
              <w:rPr>
                <w:rFonts w:hint="eastAsia"/>
                <w:highlight w:val="none"/>
              </w:rPr>
              <w:t>8.支持VLAN划分，最大支持≥4094个VLAN。</w:t>
            </w:r>
          </w:p>
          <w:p>
            <w:pPr>
              <w:widowControl/>
              <w:spacing w:line="360" w:lineRule="auto"/>
              <w:jc w:val="left"/>
              <w:textAlignment w:val="center"/>
              <w:rPr>
                <w:highlight w:val="none"/>
              </w:rPr>
            </w:pPr>
            <w:r>
              <w:rPr>
                <w:rFonts w:hint="eastAsia"/>
                <w:highlight w:val="none"/>
              </w:rPr>
              <w:t>9.支持高效节能以太网（EEE），端口如果在连续一段时间之内空闲，系统会将该端口设置为节能模式，当有报文收发时再通过定时发送的监听码流唤醒端口恢复业务，达到节能的效果。</w:t>
            </w:r>
          </w:p>
          <w:p>
            <w:pPr>
              <w:widowControl/>
              <w:spacing w:line="360" w:lineRule="auto"/>
              <w:jc w:val="left"/>
              <w:textAlignment w:val="center"/>
              <w:rPr>
                <w:highlight w:val="none"/>
              </w:rPr>
            </w:pPr>
            <w:r>
              <w:rPr>
                <w:rFonts w:hint="eastAsia"/>
                <w:highlight w:val="none"/>
              </w:rPr>
              <w:t>10.为了可以对交换机进行统一的可视化集中管理，要求所投交换机支持管理平台的集中管理，能够实现拓扑呈现，链路状态呈现，远程配置等，实配网管平台，保留测试权力。</w:t>
            </w:r>
          </w:p>
          <w:p>
            <w:pPr>
              <w:widowControl/>
              <w:spacing w:line="360" w:lineRule="auto"/>
              <w:jc w:val="left"/>
              <w:textAlignment w:val="center"/>
              <w:rPr>
                <w:highlight w:val="none"/>
              </w:rPr>
            </w:pPr>
            <w:r>
              <w:rPr>
                <w:rFonts w:hint="eastAsia"/>
                <w:highlight w:val="none"/>
              </w:rPr>
              <w:t>11.要求所投交换机可以通过同一品牌的网管软件或手机APP实现CPU、内存利用率的查看，以及交换机VLAN划分等功能，实配网管平台，保留测试权力；</w:t>
            </w:r>
          </w:p>
          <w:p>
            <w:pPr>
              <w:widowControl/>
              <w:spacing w:line="360" w:lineRule="auto"/>
              <w:jc w:val="left"/>
              <w:textAlignment w:val="center"/>
              <w:rPr>
                <w:highlight w:val="none"/>
              </w:rPr>
            </w:pPr>
            <w:r>
              <w:rPr>
                <w:rFonts w:hint="eastAsia"/>
                <w:highlight w:val="none"/>
              </w:rPr>
              <w:t>12.要求所投产品支持网管平台和手机APP集中管理，实配网管平台，出现交换机端口状态改变、网络出现环路、交换机端口流量过阀值等问题通过微信告警推送，保留测试权力。</w:t>
            </w:r>
          </w:p>
          <w:p>
            <w:pPr>
              <w:widowControl/>
              <w:spacing w:line="360" w:lineRule="auto"/>
              <w:jc w:val="left"/>
              <w:textAlignment w:val="center"/>
              <w:rPr>
                <w:rFonts w:ascii="宋体" w:hAnsi="宋体" w:cs="宋体"/>
                <w:kern w:val="0"/>
                <w:szCs w:val="21"/>
                <w:highlight w:val="none"/>
                <w:lang w:bidi="ar"/>
              </w:rPr>
            </w:pPr>
            <w:r>
              <w:rPr>
                <w:rFonts w:hint="eastAsia"/>
                <w:highlight w:val="none"/>
              </w:rPr>
              <w:t>13.为方便新建项目开局，要求设备支持对全网同品牌设备进行统一的发现，并通过网关对交换、AP、AC进行集中化的调试，避免各区域分别调试的麻烦。如需要依赖于外部软件实现，需免费提供软件，保留测试权力。</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空调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1.规格：3匹冷暖变频柜式空调器。</w:t>
            </w:r>
            <w:r>
              <w:rPr>
                <w:rFonts w:hint="eastAsia"/>
                <w:highlight w:val="none"/>
              </w:rPr>
              <w:br w:type="textWrapping"/>
            </w:r>
            <w:r>
              <w:rPr>
                <w:rFonts w:hint="eastAsia"/>
                <w:highlight w:val="none"/>
              </w:rPr>
              <w:t>2.能效等级：</w:t>
            </w:r>
            <w:r>
              <w:rPr>
                <w:rFonts w:hint="eastAsia"/>
                <w:highlight w:val="none"/>
                <w:lang w:val="en-US" w:eastAsia="zh-CN"/>
              </w:rPr>
              <w:t>二</w:t>
            </w:r>
            <w:r>
              <w:rPr>
                <w:rFonts w:hint="eastAsia"/>
                <w:highlight w:val="none"/>
              </w:rPr>
              <w:t>级</w:t>
            </w:r>
            <w:r>
              <w:rPr>
                <w:rFonts w:hint="eastAsia"/>
                <w:highlight w:val="none"/>
                <w:lang w:val="en-US" w:eastAsia="zh-CN"/>
              </w:rPr>
              <w:t>能效</w:t>
            </w:r>
            <w:r>
              <w:rPr>
                <w:rFonts w:hint="eastAsia"/>
                <w:highlight w:val="none"/>
              </w:rPr>
              <w:t>。</w:t>
            </w:r>
            <w:r>
              <w:rPr>
                <w:rFonts w:hint="eastAsia"/>
                <w:highlight w:val="none"/>
              </w:rPr>
              <w:br w:type="textWrapping"/>
            </w:r>
            <w:r>
              <w:rPr>
                <w:rFonts w:hint="eastAsia"/>
                <w:highlight w:val="none"/>
              </w:rPr>
              <w:t>3.额定制冷量：≥</w:t>
            </w:r>
            <w:r>
              <w:rPr>
                <w:highlight w:val="none"/>
              </w:rPr>
              <w:t>7200</w:t>
            </w:r>
            <w:r>
              <w:rPr>
                <w:rFonts w:hint="eastAsia"/>
                <w:highlight w:val="none"/>
              </w:rPr>
              <w:t xml:space="preserve"> W。</w:t>
            </w:r>
            <w:r>
              <w:rPr>
                <w:rFonts w:hint="eastAsia"/>
                <w:highlight w:val="none"/>
              </w:rPr>
              <w:br w:type="textWrapping"/>
            </w:r>
            <w:r>
              <w:rPr>
                <w:rFonts w:hint="eastAsia"/>
                <w:highlight w:val="none"/>
              </w:rPr>
              <w:t>4.额定制热量：≥</w:t>
            </w:r>
            <w:r>
              <w:rPr>
                <w:highlight w:val="none"/>
              </w:rPr>
              <w:t>8500</w:t>
            </w:r>
            <w:r>
              <w:rPr>
                <w:rFonts w:hint="eastAsia"/>
                <w:highlight w:val="none"/>
              </w:rPr>
              <w:t>W。</w:t>
            </w:r>
            <w:r>
              <w:rPr>
                <w:rFonts w:hint="eastAsia"/>
                <w:highlight w:val="none"/>
              </w:rPr>
              <w:br w:type="textWrapping"/>
            </w:r>
            <w:r>
              <w:rPr>
                <w:rFonts w:hint="eastAsia"/>
                <w:highlight w:val="none"/>
              </w:rPr>
              <w:t>5.额定制冷功率：4000W。</w:t>
            </w:r>
            <w:r>
              <w:rPr>
                <w:rFonts w:hint="eastAsia"/>
                <w:highlight w:val="none"/>
              </w:rPr>
              <w:br w:type="textWrapping"/>
            </w:r>
            <w:r>
              <w:rPr>
                <w:rFonts w:hint="eastAsia"/>
                <w:highlight w:val="none"/>
              </w:rPr>
              <w:t>6.额定制热功率：4080W。</w:t>
            </w:r>
            <w:r>
              <w:rPr>
                <w:rFonts w:hint="eastAsia"/>
                <w:highlight w:val="none"/>
              </w:rPr>
              <w:br w:type="textWrapping"/>
            </w:r>
            <w:r>
              <w:rPr>
                <w:rFonts w:hint="eastAsia"/>
                <w:highlight w:val="none"/>
              </w:rPr>
              <w:t>7.循环风量（m3/h）：≥1210。</w:t>
            </w:r>
            <w:r>
              <w:rPr>
                <w:rFonts w:hint="eastAsia"/>
                <w:highlight w:val="none"/>
              </w:rPr>
              <w:br w:type="textWrapping"/>
            </w:r>
            <w:r>
              <w:rPr>
                <w:rFonts w:hint="eastAsia"/>
                <w:highlight w:val="none"/>
              </w:rPr>
              <w:t>8.室内机高风档噪音dB（A)：≤50。</w:t>
            </w:r>
            <w:r>
              <w:rPr>
                <w:rFonts w:hint="eastAsia"/>
                <w:highlight w:val="none"/>
              </w:rPr>
              <w:br w:type="textWrapping"/>
            </w:r>
            <w:r>
              <w:rPr>
                <w:rFonts w:hint="eastAsia"/>
                <w:highlight w:val="none"/>
              </w:rPr>
              <w:t>9.电辅加热功率:≥3200W。</w:t>
            </w:r>
          </w:p>
          <w:p>
            <w:pPr>
              <w:widowControl/>
              <w:spacing w:line="360" w:lineRule="auto"/>
              <w:jc w:val="left"/>
              <w:textAlignment w:val="center"/>
              <w:rPr>
                <w:highlight w:val="none"/>
              </w:rPr>
            </w:pPr>
            <w:r>
              <w:rPr>
                <w:rFonts w:hint="eastAsia"/>
                <w:highlight w:val="none"/>
              </w:rPr>
              <w:t>10.</w:t>
            </w:r>
            <w:r>
              <w:rPr>
                <w:rFonts w:hint="eastAsia" w:ascii="宋体" w:hAnsi="宋体" w:cs="宋体"/>
                <w:kern w:val="0"/>
                <w:szCs w:val="21"/>
                <w:highlight w:val="none"/>
                <w:lang w:bidi="ar"/>
              </w:rPr>
              <w:t>★</w:t>
            </w:r>
            <w:r>
              <w:rPr>
                <w:rFonts w:hint="eastAsia"/>
                <w:highlight w:val="none"/>
              </w:rPr>
              <w:t>响应文件中必须提供该产品由国家确定的认证机构出具的处于有效期之内的节能产品认证并加盖供应商公章。</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扩音设备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highlight w:val="none"/>
              </w:rPr>
            </w:pPr>
            <w:r>
              <w:rPr>
                <w:rFonts w:hint="eastAsia" w:ascii="宋体" w:hAnsi="宋体" w:cs="宋体"/>
                <w:highlight w:val="none"/>
              </w:rPr>
              <w:t>一、功率放大器：</w:t>
            </w:r>
          </w:p>
          <w:p>
            <w:pPr>
              <w:widowControl/>
              <w:spacing w:line="360" w:lineRule="auto"/>
              <w:jc w:val="left"/>
              <w:textAlignment w:val="center"/>
              <w:rPr>
                <w:rFonts w:ascii="宋体" w:hAnsi="宋体" w:cs="宋体"/>
                <w:highlight w:val="none"/>
              </w:rPr>
            </w:pPr>
            <w:r>
              <w:rPr>
                <w:rFonts w:hint="eastAsia" w:ascii="宋体" w:hAnsi="宋体" w:cs="宋体"/>
                <w:highlight w:val="none"/>
              </w:rPr>
              <w:t>1.组音源输入，两路话筒输入。</w:t>
            </w:r>
          </w:p>
          <w:p>
            <w:pPr>
              <w:widowControl/>
              <w:spacing w:line="360" w:lineRule="auto"/>
              <w:jc w:val="left"/>
              <w:textAlignment w:val="center"/>
              <w:rPr>
                <w:rFonts w:ascii="宋体" w:hAnsi="宋体" w:cs="宋体"/>
                <w:highlight w:val="none"/>
              </w:rPr>
            </w:pPr>
            <w:r>
              <w:rPr>
                <w:rFonts w:hint="eastAsia" w:ascii="宋体" w:hAnsi="宋体" w:cs="宋体"/>
                <w:highlight w:val="none"/>
              </w:rPr>
              <w:t>2.一组前置录音输出及A、B组功率输出。</w:t>
            </w:r>
          </w:p>
          <w:p>
            <w:pPr>
              <w:widowControl/>
              <w:spacing w:line="360" w:lineRule="auto"/>
              <w:jc w:val="left"/>
              <w:textAlignment w:val="center"/>
              <w:rPr>
                <w:rFonts w:ascii="宋体" w:hAnsi="宋体" w:cs="宋体"/>
                <w:highlight w:val="none"/>
              </w:rPr>
            </w:pPr>
            <w:r>
              <w:rPr>
                <w:rFonts w:hint="eastAsia" w:ascii="宋体" w:hAnsi="宋体" w:cs="宋体"/>
                <w:highlight w:val="none"/>
              </w:rPr>
              <w:t>3.本机设置反馈、混响功能。</w:t>
            </w:r>
          </w:p>
          <w:p>
            <w:pPr>
              <w:widowControl/>
              <w:spacing w:line="360" w:lineRule="auto"/>
              <w:jc w:val="left"/>
              <w:textAlignment w:val="center"/>
              <w:rPr>
                <w:rFonts w:ascii="宋体" w:hAnsi="宋体" w:cs="宋体"/>
                <w:highlight w:val="none"/>
              </w:rPr>
            </w:pPr>
            <w:r>
              <w:rPr>
                <w:rFonts w:hint="eastAsia" w:ascii="宋体" w:hAnsi="宋体" w:cs="宋体"/>
                <w:highlight w:val="none"/>
              </w:rPr>
              <w:t>4.话筒、线路的音量，音调实现独立调节，带话筒中控接口。</w:t>
            </w:r>
          </w:p>
          <w:p>
            <w:pPr>
              <w:widowControl/>
              <w:spacing w:line="360" w:lineRule="auto"/>
              <w:jc w:val="left"/>
              <w:textAlignment w:val="center"/>
              <w:rPr>
                <w:rFonts w:ascii="宋体" w:hAnsi="宋体" w:cs="宋体"/>
                <w:highlight w:val="none"/>
              </w:rPr>
            </w:pPr>
            <w:r>
              <w:rPr>
                <w:rFonts w:hint="eastAsia" w:ascii="宋体" w:hAnsi="宋体" w:cs="宋体"/>
                <w:highlight w:val="none"/>
              </w:rPr>
              <w:t>5.话筒插口自带+6V幻像直流电源。</w:t>
            </w:r>
          </w:p>
          <w:p>
            <w:pPr>
              <w:widowControl/>
              <w:spacing w:line="360" w:lineRule="auto"/>
              <w:jc w:val="left"/>
              <w:textAlignment w:val="center"/>
              <w:rPr>
                <w:rFonts w:ascii="宋体" w:hAnsi="宋体" w:cs="宋体"/>
                <w:highlight w:val="none"/>
              </w:rPr>
            </w:pPr>
            <w:r>
              <w:rPr>
                <w:rFonts w:hint="eastAsia" w:ascii="宋体" w:hAnsi="宋体" w:cs="宋体"/>
                <w:highlight w:val="none"/>
              </w:rPr>
              <w:t>6.额定功率：立体声2×60W/8Ω。</w:t>
            </w:r>
          </w:p>
          <w:p>
            <w:pPr>
              <w:widowControl/>
              <w:spacing w:line="360" w:lineRule="auto"/>
              <w:jc w:val="left"/>
              <w:textAlignment w:val="center"/>
              <w:rPr>
                <w:rFonts w:ascii="宋体" w:hAnsi="宋体" w:cs="宋体"/>
                <w:highlight w:val="none"/>
              </w:rPr>
            </w:pPr>
            <w:r>
              <w:rPr>
                <w:rFonts w:hint="eastAsia" w:ascii="宋体" w:hAnsi="宋体" w:cs="宋体"/>
                <w:highlight w:val="none"/>
              </w:rPr>
              <w:t>7.频率响应： 20Hz-20KHz  +1/-3dB 。</w:t>
            </w:r>
          </w:p>
          <w:p>
            <w:pPr>
              <w:widowControl/>
              <w:spacing w:line="360" w:lineRule="auto"/>
              <w:jc w:val="left"/>
              <w:textAlignment w:val="center"/>
              <w:rPr>
                <w:rFonts w:ascii="宋体" w:hAnsi="宋体" w:cs="宋体"/>
                <w:highlight w:val="none"/>
              </w:rPr>
            </w:pPr>
            <w:r>
              <w:rPr>
                <w:rFonts w:hint="eastAsia" w:ascii="宋体" w:hAnsi="宋体" w:cs="宋体"/>
                <w:highlight w:val="none"/>
              </w:rPr>
              <w:t>8.额定输入灵敏度：线路 -12dB±1dB</w:t>
            </w:r>
          </w:p>
          <w:p>
            <w:pPr>
              <w:widowControl/>
              <w:spacing w:line="360" w:lineRule="auto"/>
              <w:jc w:val="left"/>
              <w:textAlignment w:val="center"/>
              <w:rPr>
                <w:rFonts w:ascii="宋体" w:hAnsi="宋体" w:cs="宋体"/>
                <w:highlight w:val="none"/>
              </w:rPr>
            </w:pPr>
            <w:r>
              <w:rPr>
                <w:rFonts w:hint="eastAsia" w:ascii="宋体" w:hAnsi="宋体" w:cs="宋体"/>
                <w:highlight w:val="none"/>
              </w:rPr>
              <w:t>话筒 -34dB±1dB。</w:t>
            </w:r>
          </w:p>
          <w:p>
            <w:pPr>
              <w:widowControl/>
              <w:spacing w:line="360" w:lineRule="auto"/>
              <w:jc w:val="left"/>
              <w:textAlignment w:val="center"/>
              <w:rPr>
                <w:rFonts w:ascii="宋体" w:hAnsi="宋体" w:cs="宋体"/>
                <w:highlight w:val="none"/>
              </w:rPr>
            </w:pPr>
            <w:r>
              <w:rPr>
                <w:rFonts w:hint="eastAsia" w:ascii="宋体" w:hAnsi="宋体" w:cs="宋体"/>
                <w:highlight w:val="none"/>
              </w:rPr>
              <w:t>9.音调特性：线路高音10KHz、低音100Hz、升降10dB±2dB、</w:t>
            </w:r>
          </w:p>
          <w:p>
            <w:pPr>
              <w:widowControl/>
              <w:spacing w:line="360" w:lineRule="auto"/>
              <w:jc w:val="left"/>
              <w:textAlignment w:val="center"/>
              <w:rPr>
                <w:rFonts w:ascii="宋体" w:hAnsi="宋体" w:cs="宋体"/>
                <w:highlight w:val="none"/>
              </w:rPr>
            </w:pPr>
            <w:r>
              <w:rPr>
                <w:rFonts w:hint="eastAsia" w:ascii="宋体" w:hAnsi="宋体" w:cs="宋体"/>
                <w:highlight w:val="none"/>
              </w:rPr>
              <w:t>话筒高音10KHz、低音100Hz 升降10dB±2dB。</w:t>
            </w:r>
          </w:p>
          <w:p>
            <w:pPr>
              <w:widowControl/>
              <w:spacing w:line="360" w:lineRule="auto"/>
              <w:jc w:val="left"/>
              <w:textAlignment w:val="center"/>
              <w:rPr>
                <w:rFonts w:ascii="宋体" w:hAnsi="宋体" w:cs="宋体"/>
                <w:highlight w:val="none"/>
              </w:rPr>
            </w:pPr>
            <w:r>
              <w:rPr>
                <w:rFonts w:hint="eastAsia" w:ascii="宋体" w:hAnsi="宋体" w:cs="宋体"/>
                <w:highlight w:val="none"/>
              </w:rPr>
              <w:t>10.线路输出：L/R ≥0dB。</w:t>
            </w:r>
          </w:p>
          <w:p>
            <w:pPr>
              <w:widowControl/>
              <w:spacing w:line="360" w:lineRule="auto"/>
              <w:jc w:val="left"/>
              <w:textAlignment w:val="center"/>
              <w:rPr>
                <w:rFonts w:ascii="宋体" w:hAnsi="宋体" w:cs="宋体"/>
                <w:highlight w:val="none"/>
              </w:rPr>
            </w:pPr>
            <w:r>
              <w:rPr>
                <w:rFonts w:hint="eastAsia" w:ascii="宋体" w:hAnsi="宋体" w:cs="宋体"/>
                <w:highlight w:val="none"/>
              </w:rPr>
              <w:t>11.失真度≤0.5%。</w:t>
            </w:r>
          </w:p>
          <w:p>
            <w:pPr>
              <w:widowControl/>
              <w:spacing w:line="360" w:lineRule="auto"/>
              <w:jc w:val="left"/>
              <w:textAlignment w:val="center"/>
              <w:rPr>
                <w:rFonts w:ascii="宋体" w:hAnsi="宋体" w:cs="宋体"/>
                <w:highlight w:val="none"/>
              </w:rPr>
            </w:pPr>
            <w:r>
              <w:rPr>
                <w:rFonts w:hint="eastAsia" w:ascii="宋体" w:hAnsi="宋体" w:cs="宋体"/>
                <w:highlight w:val="none"/>
              </w:rPr>
              <w:t>12.信噪比（话筒关闭、音调平直）≥80dB。</w:t>
            </w:r>
          </w:p>
          <w:p>
            <w:pPr>
              <w:widowControl/>
              <w:spacing w:line="360" w:lineRule="auto"/>
              <w:jc w:val="left"/>
              <w:textAlignment w:val="center"/>
              <w:rPr>
                <w:rFonts w:ascii="宋体" w:hAnsi="宋体" w:cs="宋体"/>
                <w:highlight w:val="none"/>
              </w:rPr>
            </w:pPr>
            <w:r>
              <w:rPr>
                <w:rFonts w:hint="eastAsia" w:ascii="宋体" w:hAnsi="宋体" w:cs="宋体"/>
                <w:highlight w:val="none"/>
              </w:rPr>
              <w:t>13.源电压：交流220V /50Hz。</w:t>
            </w:r>
          </w:p>
          <w:p>
            <w:pPr>
              <w:widowControl/>
              <w:spacing w:line="360" w:lineRule="auto"/>
              <w:jc w:val="left"/>
              <w:textAlignment w:val="center"/>
              <w:rPr>
                <w:rFonts w:ascii="宋体" w:hAnsi="宋体" w:cs="宋体"/>
                <w:highlight w:val="none"/>
              </w:rPr>
            </w:pPr>
            <w:r>
              <w:rPr>
                <w:rFonts w:hint="eastAsia" w:ascii="宋体" w:hAnsi="宋体" w:cs="宋体"/>
                <w:highlight w:val="none"/>
              </w:rPr>
              <w:t>14.净尺寸（宽×高×深）约：430mm×110mm×340mm</w:t>
            </w:r>
          </w:p>
          <w:p>
            <w:pPr>
              <w:widowControl/>
              <w:spacing w:line="360" w:lineRule="auto"/>
              <w:jc w:val="left"/>
              <w:textAlignment w:val="center"/>
              <w:rPr>
                <w:rFonts w:ascii="宋体" w:hAnsi="宋体" w:cs="宋体"/>
                <w:highlight w:val="none"/>
              </w:rPr>
            </w:pPr>
            <w:r>
              <w:rPr>
                <w:rFonts w:hint="eastAsia" w:ascii="宋体" w:hAnsi="宋体" w:cs="宋体"/>
                <w:highlight w:val="none"/>
              </w:rPr>
              <w:t>二、音箱：</w:t>
            </w:r>
          </w:p>
          <w:p>
            <w:pPr>
              <w:widowControl/>
              <w:spacing w:line="360" w:lineRule="auto"/>
              <w:jc w:val="left"/>
              <w:textAlignment w:val="center"/>
              <w:rPr>
                <w:rFonts w:ascii="宋体" w:hAnsi="宋体" w:cs="宋体"/>
                <w:highlight w:val="none"/>
              </w:rPr>
            </w:pPr>
            <w:r>
              <w:rPr>
                <w:rFonts w:hint="eastAsia" w:ascii="宋体" w:hAnsi="宋体" w:cs="宋体"/>
                <w:highlight w:val="none"/>
              </w:rPr>
              <w:t>1.音箱采用特制扬声器单元。</w:t>
            </w:r>
          </w:p>
          <w:p>
            <w:pPr>
              <w:widowControl/>
              <w:spacing w:line="360" w:lineRule="auto"/>
              <w:jc w:val="left"/>
              <w:textAlignment w:val="center"/>
              <w:rPr>
                <w:rFonts w:ascii="宋体" w:hAnsi="宋体" w:cs="宋体"/>
                <w:highlight w:val="none"/>
              </w:rPr>
            </w:pPr>
            <w:r>
              <w:rPr>
                <w:rFonts w:hint="eastAsia" w:ascii="宋体" w:hAnsi="宋体" w:cs="宋体"/>
                <w:highlight w:val="none"/>
              </w:rPr>
              <w:t>2.音箱采用两分频设计，重放效果清晰、饱满、柔和，能够很好地表现音乐和还原人声。</w:t>
            </w:r>
          </w:p>
          <w:p>
            <w:pPr>
              <w:widowControl/>
              <w:spacing w:line="360" w:lineRule="auto"/>
              <w:jc w:val="left"/>
              <w:textAlignment w:val="center"/>
              <w:rPr>
                <w:rFonts w:ascii="宋体" w:hAnsi="宋体" w:cs="宋体"/>
                <w:highlight w:val="none"/>
              </w:rPr>
            </w:pPr>
            <w:r>
              <w:rPr>
                <w:rFonts w:hint="eastAsia" w:ascii="宋体" w:hAnsi="宋体" w:cs="宋体"/>
                <w:highlight w:val="none"/>
              </w:rPr>
              <w:t>3.箱体采用优质中密度纤维板，表面采用白色撒点喷漆，美观且经久耐用。</w:t>
            </w:r>
          </w:p>
          <w:p>
            <w:pPr>
              <w:widowControl/>
              <w:spacing w:line="360" w:lineRule="auto"/>
              <w:jc w:val="left"/>
              <w:textAlignment w:val="center"/>
              <w:rPr>
                <w:rFonts w:ascii="宋体" w:hAnsi="宋体" w:cs="宋体"/>
                <w:highlight w:val="none"/>
              </w:rPr>
            </w:pPr>
            <w:r>
              <w:rPr>
                <w:rFonts w:hint="eastAsia" w:ascii="宋体" w:hAnsi="宋体" w:cs="宋体"/>
                <w:highlight w:val="none"/>
              </w:rPr>
              <w:t>4.音箱外形小巧、简洁美观、箱体线条流畅、具有现代感、安装方便。</w:t>
            </w:r>
          </w:p>
          <w:p>
            <w:pPr>
              <w:widowControl/>
              <w:spacing w:line="360" w:lineRule="auto"/>
              <w:jc w:val="left"/>
              <w:textAlignment w:val="center"/>
              <w:rPr>
                <w:rFonts w:ascii="宋体" w:hAnsi="宋体" w:cs="宋体"/>
                <w:highlight w:val="none"/>
              </w:rPr>
            </w:pPr>
            <w:r>
              <w:rPr>
                <w:rFonts w:hint="eastAsia" w:ascii="宋体" w:hAnsi="宋体" w:cs="宋体"/>
                <w:highlight w:val="none"/>
              </w:rPr>
              <w:t>5.网罩采用0.8mm至1.0mm厚的钢网。</w:t>
            </w:r>
          </w:p>
          <w:p>
            <w:pPr>
              <w:widowControl/>
              <w:spacing w:line="360" w:lineRule="auto"/>
              <w:jc w:val="left"/>
              <w:textAlignment w:val="center"/>
              <w:rPr>
                <w:rFonts w:ascii="宋体" w:hAnsi="宋体" w:cs="宋体"/>
                <w:highlight w:val="none"/>
              </w:rPr>
            </w:pPr>
            <w:r>
              <w:rPr>
                <w:rFonts w:hint="eastAsia" w:ascii="宋体" w:hAnsi="宋体" w:cs="宋体"/>
                <w:highlight w:val="none"/>
              </w:rPr>
              <w:t>6.音箱自带专用壁挂件，可根据使用要求灵活调整水平、垂直角度。</w:t>
            </w:r>
          </w:p>
          <w:p>
            <w:pPr>
              <w:widowControl/>
              <w:spacing w:line="360" w:lineRule="auto"/>
              <w:jc w:val="left"/>
              <w:textAlignment w:val="center"/>
              <w:rPr>
                <w:rFonts w:ascii="宋体" w:hAnsi="宋体" w:cs="宋体"/>
                <w:highlight w:val="none"/>
              </w:rPr>
            </w:pPr>
            <w:r>
              <w:rPr>
                <w:rFonts w:hint="eastAsia" w:ascii="宋体" w:hAnsi="宋体" w:cs="宋体"/>
                <w:highlight w:val="none"/>
              </w:rPr>
              <w:t>7.扬声器单元：LF: 6.5英寸，HF: 3 英寸纸盆高音</w:t>
            </w:r>
          </w:p>
          <w:p>
            <w:pPr>
              <w:widowControl/>
              <w:spacing w:line="360" w:lineRule="auto"/>
              <w:jc w:val="left"/>
              <w:textAlignment w:val="center"/>
              <w:rPr>
                <w:rFonts w:ascii="宋体" w:hAnsi="宋体" w:cs="宋体"/>
                <w:highlight w:val="none"/>
              </w:rPr>
            </w:pPr>
            <w:r>
              <w:rPr>
                <w:rFonts w:hint="eastAsia" w:ascii="宋体" w:hAnsi="宋体" w:cs="宋体"/>
                <w:highlight w:val="none"/>
              </w:rPr>
              <w:t>8.箱体材料≥15mm厚中密度纤维板。</w:t>
            </w:r>
          </w:p>
          <w:p>
            <w:pPr>
              <w:widowControl/>
              <w:spacing w:line="360" w:lineRule="auto"/>
              <w:jc w:val="left"/>
              <w:textAlignment w:val="center"/>
              <w:rPr>
                <w:rFonts w:ascii="宋体" w:hAnsi="宋体" w:cs="宋体"/>
                <w:highlight w:val="none"/>
              </w:rPr>
            </w:pPr>
            <w:r>
              <w:rPr>
                <w:rFonts w:hint="eastAsia" w:ascii="宋体" w:hAnsi="宋体" w:cs="宋体"/>
                <w:highlight w:val="none"/>
              </w:rPr>
              <w:t>9.输入接口：接线盒。</w:t>
            </w:r>
          </w:p>
          <w:p>
            <w:pPr>
              <w:widowControl/>
              <w:spacing w:line="360" w:lineRule="auto"/>
              <w:jc w:val="left"/>
              <w:textAlignment w:val="center"/>
              <w:rPr>
                <w:rFonts w:ascii="宋体" w:hAnsi="宋体" w:cs="宋体"/>
                <w:highlight w:val="none"/>
              </w:rPr>
            </w:pPr>
            <w:r>
              <w:rPr>
                <w:rFonts w:hint="eastAsia" w:ascii="宋体" w:hAnsi="宋体" w:cs="宋体"/>
                <w:highlight w:val="none"/>
              </w:rPr>
              <w:t>10.吊挂点：专用壁挂。</w:t>
            </w:r>
          </w:p>
          <w:p>
            <w:pPr>
              <w:widowControl/>
              <w:spacing w:line="360" w:lineRule="auto"/>
              <w:jc w:val="left"/>
              <w:textAlignment w:val="center"/>
              <w:rPr>
                <w:rFonts w:ascii="宋体" w:hAnsi="宋体" w:cs="宋体"/>
                <w:highlight w:val="none"/>
              </w:rPr>
            </w:pPr>
            <w:r>
              <w:rPr>
                <w:rFonts w:hint="eastAsia" w:ascii="宋体" w:hAnsi="宋体" w:cs="宋体"/>
                <w:highlight w:val="none"/>
              </w:rPr>
              <w:t>11.箱体尺寸(mm)：372(H) ×228.6(W)×209(D)。</w:t>
            </w:r>
          </w:p>
          <w:p>
            <w:pPr>
              <w:widowControl/>
              <w:spacing w:line="360" w:lineRule="auto"/>
              <w:jc w:val="left"/>
              <w:textAlignment w:val="center"/>
              <w:rPr>
                <w:rFonts w:ascii="宋体" w:hAnsi="宋体" w:cs="宋体"/>
                <w:highlight w:val="none"/>
              </w:rPr>
            </w:pPr>
            <w:r>
              <w:rPr>
                <w:rFonts w:hint="eastAsia" w:ascii="宋体" w:hAnsi="宋体" w:cs="宋体"/>
                <w:highlight w:val="none"/>
              </w:rPr>
              <w:t>三、话筒：</w:t>
            </w:r>
          </w:p>
          <w:p>
            <w:pPr>
              <w:widowControl/>
              <w:spacing w:line="360" w:lineRule="auto"/>
              <w:jc w:val="left"/>
              <w:textAlignment w:val="center"/>
              <w:rPr>
                <w:rFonts w:ascii="宋体" w:hAnsi="宋体" w:cs="宋体"/>
                <w:highlight w:val="none"/>
              </w:rPr>
            </w:pPr>
            <w:r>
              <w:rPr>
                <w:rFonts w:hint="eastAsia" w:ascii="宋体" w:hAnsi="宋体" w:cs="宋体"/>
                <w:highlight w:val="none"/>
              </w:rPr>
              <w:t>1.无线麦克风采用蓝牙技术，发射器与接收器自动对频任意匹配，全部通用。</w:t>
            </w:r>
          </w:p>
          <w:p>
            <w:pPr>
              <w:widowControl/>
              <w:spacing w:line="360" w:lineRule="auto"/>
              <w:jc w:val="left"/>
              <w:textAlignment w:val="center"/>
              <w:rPr>
                <w:rFonts w:ascii="宋体" w:hAnsi="宋体" w:cs="宋体"/>
                <w:highlight w:val="none"/>
              </w:rPr>
            </w:pPr>
            <w:r>
              <w:rPr>
                <w:rFonts w:hint="eastAsia" w:ascii="宋体" w:hAnsi="宋体" w:cs="宋体"/>
                <w:highlight w:val="none"/>
              </w:rPr>
              <w:t>2. 系统采用近距离联接机制，对频范围不大于5米，防止各教室之间串扰；使用距离确保15米内无噪音、断音、无死角。</w:t>
            </w:r>
          </w:p>
          <w:p>
            <w:pPr>
              <w:widowControl/>
              <w:spacing w:line="360" w:lineRule="auto"/>
              <w:jc w:val="left"/>
              <w:textAlignment w:val="center"/>
              <w:rPr>
                <w:rFonts w:ascii="宋体" w:hAnsi="宋体" w:cs="宋体"/>
                <w:highlight w:val="none"/>
              </w:rPr>
            </w:pPr>
            <w:r>
              <w:rPr>
                <w:rFonts w:hint="eastAsia" w:ascii="宋体" w:hAnsi="宋体" w:cs="宋体"/>
                <w:highlight w:val="none"/>
              </w:rPr>
              <w:t>3.发射器要求采用充电式锂电池，满电状态下可连续使用时间不小于20小时；充电接口采用通用的USB接口，方便使用。</w:t>
            </w:r>
          </w:p>
          <w:p>
            <w:pPr>
              <w:widowControl/>
              <w:spacing w:line="360" w:lineRule="auto"/>
              <w:jc w:val="left"/>
              <w:textAlignment w:val="center"/>
              <w:rPr>
                <w:rFonts w:ascii="宋体" w:hAnsi="宋体" w:cs="宋体"/>
                <w:highlight w:val="none"/>
              </w:rPr>
            </w:pPr>
            <w:r>
              <w:rPr>
                <w:rFonts w:hint="eastAsia" w:ascii="宋体" w:hAnsi="宋体" w:cs="宋体"/>
                <w:highlight w:val="none"/>
              </w:rPr>
              <w:t>4. 可颈挂，手持，领夹等多种方式使用。</w:t>
            </w:r>
          </w:p>
          <w:p>
            <w:pPr>
              <w:widowControl/>
              <w:spacing w:line="360" w:lineRule="auto"/>
              <w:jc w:val="left"/>
              <w:textAlignment w:val="center"/>
              <w:rPr>
                <w:rFonts w:ascii="宋体" w:hAnsi="宋体" w:cs="宋体"/>
                <w:highlight w:val="none"/>
              </w:rPr>
            </w:pPr>
            <w:r>
              <w:rPr>
                <w:rFonts w:hint="eastAsia" w:ascii="宋体" w:hAnsi="宋体" w:cs="宋体"/>
                <w:highlight w:val="none"/>
              </w:rPr>
              <w:t>5.音质清晰，适合教学。内置咪头，可以直接使用，亦可外接咪头，麦克风灵敏度高，具有自动增益功能，确保拾音范围不小于25CM。</w:t>
            </w:r>
          </w:p>
          <w:p>
            <w:pPr>
              <w:widowControl/>
              <w:spacing w:line="360" w:lineRule="auto"/>
              <w:jc w:val="left"/>
              <w:textAlignment w:val="center"/>
              <w:rPr>
                <w:rFonts w:ascii="宋体" w:hAnsi="宋体" w:cs="宋体"/>
                <w:highlight w:val="none"/>
              </w:rPr>
            </w:pPr>
            <w:r>
              <w:rPr>
                <w:rFonts w:hint="eastAsia" w:ascii="宋体" w:hAnsi="宋体" w:cs="宋体"/>
                <w:highlight w:val="none"/>
              </w:rPr>
              <w:t>6.发射器小巧、轻便，便于携带。</w:t>
            </w:r>
          </w:p>
          <w:p>
            <w:pPr>
              <w:widowControl/>
              <w:spacing w:line="360" w:lineRule="auto"/>
              <w:jc w:val="left"/>
              <w:textAlignment w:val="center"/>
              <w:rPr>
                <w:rFonts w:ascii="宋体" w:hAnsi="宋体" w:cs="宋体"/>
                <w:highlight w:val="none"/>
              </w:rPr>
            </w:pPr>
            <w:r>
              <w:rPr>
                <w:rFonts w:hint="eastAsia" w:ascii="宋体" w:hAnsi="宋体" w:cs="宋体"/>
                <w:highlight w:val="none"/>
              </w:rPr>
              <w:t>7.发射器具有电脑翻页器功能，可以与教室里蓝牙接收器实现电脑翻页功能，无需另配接收器。</w:t>
            </w:r>
          </w:p>
          <w:p>
            <w:pPr>
              <w:widowControl/>
              <w:spacing w:line="360" w:lineRule="auto"/>
              <w:jc w:val="left"/>
              <w:textAlignment w:val="center"/>
              <w:rPr>
                <w:rFonts w:ascii="宋体" w:hAnsi="宋体" w:cs="宋体"/>
                <w:highlight w:val="none"/>
              </w:rPr>
            </w:pPr>
            <w:r>
              <w:rPr>
                <w:rFonts w:hint="eastAsia" w:ascii="宋体" w:hAnsi="宋体" w:cs="宋体"/>
                <w:highlight w:val="none"/>
              </w:rPr>
              <w:t>8.具有激光教鞭功能。</w:t>
            </w:r>
          </w:p>
          <w:p>
            <w:pPr>
              <w:widowControl/>
              <w:spacing w:line="360" w:lineRule="auto"/>
              <w:jc w:val="left"/>
              <w:textAlignment w:val="center"/>
              <w:rPr>
                <w:rFonts w:ascii="宋体" w:hAnsi="宋体" w:cs="宋体"/>
                <w:highlight w:val="none"/>
              </w:rPr>
            </w:pPr>
            <w:r>
              <w:rPr>
                <w:rFonts w:hint="eastAsia" w:ascii="宋体" w:hAnsi="宋体" w:cs="宋体"/>
                <w:highlight w:val="none"/>
              </w:rPr>
              <w:t>9.具有麦克风音量调节功能。</w:t>
            </w:r>
          </w:p>
          <w:p>
            <w:pPr>
              <w:widowControl/>
              <w:spacing w:line="360" w:lineRule="auto"/>
              <w:jc w:val="left"/>
              <w:textAlignment w:val="center"/>
              <w:rPr>
                <w:rFonts w:ascii="宋体" w:hAnsi="宋体" w:cs="宋体"/>
                <w:highlight w:val="none"/>
              </w:rPr>
            </w:pPr>
            <w:r>
              <w:rPr>
                <w:rFonts w:hint="eastAsia" w:ascii="宋体" w:hAnsi="宋体" w:cs="宋体"/>
                <w:highlight w:val="none"/>
              </w:rPr>
              <w:t>10.具有闲置静音，防止啸叫技术。</w:t>
            </w:r>
          </w:p>
          <w:p>
            <w:pPr>
              <w:widowControl/>
              <w:spacing w:line="360" w:lineRule="auto"/>
              <w:jc w:val="left"/>
              <w:textAlignment w:val="center"/>
              <w:rPr>
                <w:rFonts w:ascii="宋体" w:hAnsi="宋体" w:cs="宋体"/>
                <w:highlight w:val="none"/>
              </w:rPr>
            </w:pPr>
            <w:r>
              <w:rPr>
                <w:rFonts w:hint="eastAsia" w:ascii="宋体" w:hAnsi="宋体" w:cs="宋体"/>
                <w:highlight w:val="none"/>
              </w:rPr>
              <w:t>11. 发射使用频率：2402 – 2480 MHz。</w:t>
            </w:r>
          </w:p>
          <w:p>
            <w:pPr>
              <w:widowControl/>
              <w:spacing w:line="360" w:lineRule="auto"/>
              <w:jc w:val="left"/>
              <w:textAlignment w:val="center"/>
              <w:rPr>
                <w:rFonts w:ascii="宋体" w:hAnsi="宋体" w:cs="宋体"/>
                <w:highlight w:val="none"/>
              </w:rPr>
            </w:pPr>
            <w:r>
              <w:rPr>
                <w:rFonts w:hint="eastAsia" w:ascii="宋体" w:hAnsi="宋体" w:cs="宋体"/>
                <w:highlight w:val="none"/>
              </w:rPr>
              <w:t>12.调制方法：GFSK，BT ≥ 0.5 Gaussian。</w:t>
            </w:r>
          </w:p>
          <w:p>
            <w:pPr>
              <w:widowControl/>
              <w:spacing w:line="360" w:lineRule="auto"/>
              <w:jc w:val="left"/>
              <w:textAlignment w:val="center"/>
              <w:rPr>
                <w:rFonts w:ascii="宋体" w:hAnsi="宋体" w:cs="宋体"/>
                <w:highlight w:val="none"/>
              </w:rPr>
            </w:pPr>
            <w:r>
              <w:rPr>
                <w:rFonts w:hint="eastAsia" w:ascii="宋体" w:hAnsi="宋体" w:cs="宋体"/>
                <w:highlight w:val="none"/>
              </w:rPr>
              <w:t>13.发射功率：小于2.5 mW。</w:t>
            </w:r>
          </w:p>
          <w:p>
            <w:pPr>
              <w:widowControl/>
              <w:spacing w:line="360" w:lineRule="auto"/>
              <w:jc w:val="left"/>
              <w:textAlignment w:val="center"/>
              <w:rPr>
                <w:rFonts w:ascii="宋体" w:hAnsi="宋体" w:cs="宋体"/>
                <w:highlight w:val="none"/>
              </w:rPr>
            </w:pPr>
            <w:r>
              <w:rPr>
                <w:rFonts w:hint="eastAsia" w:ascii="宋体" w:hAnsi="宋体" w:cs="宋体"/>
                <w:highlight w:val="none"/>
              </w:rPr>
              <w:t>14.有效接收距离：15米及以上距离。</w:t>
            </w:r>
          </w:p>
          <w:p>
            <w:pPr>
              <w:widowControl/>
              <w:spacing w:line="360" w:lineRule="auto"/>
              <w:jc w:val="left"/>
              <w:textAlignment w:val="center"/>
              <w:rPr>
                <w:rFonts w:ascii="宋体" w:hAnsi="宋体" w:cs="宋体"/>
                <w:highlight w:val="none"/>
              </w:rPr>
            </w:pPr>
            <w:r>
              <w:rPr>
                <w:rFonts w:hint="eastAsia" w:ascii="宋体" w:hAnsi="宋体" w:cs="宋体"/>
                <w:highlight w:val="none"/>
              </w:rPr>
              <w:t>15.拾音范围：60度夹角，心型指向，距离不小于25CM。</w:t>
            </w:r>
          </w:p>
          <w:p>
            <w:pPr>
              <w:widowControl/>
              <w:spacing w:line="360" w:lineRule="auto"/>
              <w:jc w:val="left"/>
              <w:textAlignment w:val="center"/>
              <w:rPr>
                <w:rFonts w:ascii="宋体" w:hAnsi="宋体" w:cs="宋体"/>
                <w:highlight w:val="none"/>
              </w:rPr>
            </w:pPr>
            <w:r>
              <w:rPr>
                <w:rFonts w:hint="eastAsia" w:ascii="宋体" w:hAnsi="宋体" w:cs="宋体"/>
                <w:highlight w:val="none"/>
              </w:rPr>
              <w:t>16. 连续使用时间：20小时以上。</w:t>
            </w:r>
          </w:p>
          <w:p>
            <w:pPr>
              <w:widowControl/>
              <w:spacing w:line="360" w:lineRule="auto"/>
              <w:jc w:val="left"/>
              <w:textAlignment w:val="center"/>
              <w:rPr>
                <w:rFonts w:ascii="宋体" w:hAnsi="宋体" w:cs="宋体"/>
                <w:highlight w:val="none"/>
              </w:rPr>
            </w:pPr>
            <w:r>
              <w:rPr>
                <w:rFonts w:hint="eastAsia" w:ascii="宋体" w:hAnsi="宋体" w:cs="宋体"/>
                <w:highlight w:val="none"/>
              </w:rPr>
              <w:t xml:space="preserve">四、无线接收主机：                                                                                       </w:t>
            </w:r>
          </w:p>
          <w:p>
            <w:pPr>
              <w:widowControl/>
              <w:spacing w:line="360" w:lineRule="auto"/>
              <w:jc w:val="left"/>
              <w:textAlignment w:val="center"/>
              <w:rPr>
                <w:rFonts w:ascii="宋体" w:hAnsi="宋体" w:cs="宋体"/>
                <w:highlight w:val="none"/>
              </w:rPr>
            </w:pPr>
            <w:r>
              <w:rPr>
                <w:rFonts w:hint="eastAsia" w:ascii="宋体" w:hAnsi="宋体" w:cs="宋体"/>
                <w:highlight w:val="none"/>
              </w:rPr>
              <w:t>1.采用蓝牙技术，系统自动配对、连接、自动跳频，具备近距离优先连接机制。</w:t>
            </w:r>
          </w:p>
          <w:p>
            <w:pPr>
              <w:widowControl/>
              <w:spacing w:line="360" w:lineRule="auto"/>
              <w:jc w:val="left"/>
              <w:textAlignment w:val="center"/>
              <w:rPr>
                <w:rFonts w:ascii="宋体" w:hAnsi="宋体" w:cs="宋体"/>
                <w:highlight w:val="none"/>
              </w:rPr>
            </w:pPr>
            <w:r>
              <w:rPr>
                <w:rFonts w:hint="eastAsia" w:ascii="宋体" w:hAnsi="宋体" w:cs="宋体"/>
                <w:highlight w:val="none"/>
              </w:rPr>
              <w:t>2. 具备语音处理功能，可调节音量，消除回音、杂音，增加清晰度处理。</w:t>
            </w:r>
          </w:p>
          <w:p>
            <w:pPr>
              <w:widowControl/>
              <w:spacing w:line="360" w:lineRule="auto"/>
              <w:jc w:val="left"/>
              <w:textAlignment w:val="center"/>
              <w:rPr>
                <w:rFonts w:ascii="宋体" w:hAnsi="宋体" w:cs="宋体"/>
                <w:highlight w:val="none"/>
              </w:rPr>
            </w:pPr>
            <w:r>
              <w:rPr>
                <w:rFonts w:hint="eastAsia" w:ascii="宋体" w:hAnsi="宋体" w:cs="宋体"/>
                <w:highlight w:val="none"/>
              </w:rPr>
              <w:t>3.具备设备状态显示及状态检测功能，便于扩展其它设备，实现联动控制功能。</w:t>
            </w:r>
          </w:p>
          <w:p>
            <w:pPr>
              <w:widowControl/>
              <w:spacing w:line="360" w:lineRule="auto"/>
              <w:jc w:val="left"/>
              <w:textAlignment w:val="center"/>
              <w:rPr>
                <w:rFonts w:ascii="宋体" w:hAnsi="宋体" w:cs="宋体"/>
                <w:highlight w:val="none"/>
              </w:rPr>
            </w:pPr>
            <w:r>
              <w:rPr>
                <w:rFonts w:hint="eastAsia" w:ascii="宋体" w:hAnsi="宋体" w:cs="宋体"/>
                <w:highlight w:val="none"/>
              </w:rPr>
              <w:t>4.具备USB通讯接口，可以通过发射器实现对电脑翻页功能。</w:t>
            </w:r>
          </w:p>
          <w:p>
            <w:pPr>
              <w:widowControl/>
              <w:spacing w:line="360" w:lineRule="auto"/>
              <w:jc w:val="left"/>
              <w:textAlignment w:val="center"/>
              <w:rPr>
                <w:rFonts w:ascii="宋体" w:hAnsi="宋体" w:cs="宋体"/>
                <w:highlight w:val="none"/>
              </w:rPr>
            </w:pPr>
            <w:r>
              <w:rPr>
                <w:rFonts w:hint="eastAsia" w:ascii="宋体" w:hAnsi="宋体" w:cs="宋体"/>
                <w:highlight w:val="none"/>
              </w:rPr>
              <w:t>技术指标：</w:t>
            </w:r>
          </w:p>
          <w:p>
            <w:pPr>
              <w:widowControl/>
              <w:spacing w:line="360" w:lineRule="auto"/>
              <w:jc w:val="left"/>
              <w:textAlignment w:val="center"/>
              <w:rPr>
                <w:rFonts w:ascii="宋体" w:hAnsi="宋体" w:cs="宋体"/>
                <w:highlight w:val="none"/>
              </w:rPr>
            </w:pPr>
            <w:r>
              <w:rPr>
                <w:rFonts w:hint="eastAsia" w:ascii="宋体" w:hAnsi="宋体" w:cs="宋体"/>
                <w:highlight w:val="none"/>
              </w:rPr>
              <w:t>6.无线接收频率：2402 – 2480 MHz。</w:t>
            </w:r>
          </w:p>
          <w:p>
            <w:pPr>
              <w:widowControl/>
              <w:spacing w:line="360" w:lineRule="auto"/>
              <w:jc w:val="left"/>
              <w:textAlignment w:val="center"/>
              <w:rPr>
                <w:rFonts w:ascii="宋体" w:hAnsi="宋体" w:cs="宋体"/>
                <w:highlight w:val="none"/>
              </w:rPr>
            </w:pPr>
            <w:r>
              <w:rPr>
                <w:rFonts w:hint="eastAsia" w:ascii="宋体" w:hAnsi="宋体" w:cs="宋体"/>
                <w:highlight w:val="none"/>
              </w:rPr>
              <w:t>7. 调制方法：GFSK，BT ≥ 0.5 Gaussian。</w:t>
            </w:r>
          </w:p>
          <w:p>
            <w:pPr>
              <w:widowControl/>
              <w:spacing w:line="360" w:lineRule="auto"/>
              <w:jc w:val="left"/>
              <w:textAlignment w:val="center"/>
              <w:rPr>
                <w:rFonts w:ascii="宋体" w:hAnsi="宋体" w:cs="宋体"/>
                <w:highlight w:val="none"/>
              </w:rPr>
            </w:pPr>
            <w:r>
              <w:rPr>
                <w:rFonts w:hint="eastAsia" w:ascii="宋体" w:hAnsi="宋体" w:cs="宋体"/>
                <w:highlight w:val="none"/>
              </w:rPr>
              <w:t>8. 有效接收距离≥15米。</w:t>
            </w:r>
          </w:p>
          <w:p>
            <w:pPr>
              <w:widowControl/>
              <w:spacing w:line="360" w:lineRule="auto"/>
              <w:jc w:val="left"/>
              <w:textAlignment w:val="center"/>
              <w:rPr>
                <w:rFonts w:ascii="宋体" w:hAnsi="宋体" w:cs="宋体"/>
                <w:highlight w:val="none"/>
              </w:rPr>
            </w:pPr>
            <w:r>
              <w:rPr>
                <w:rFonts w:hint="eastAsia" w:ascii="宋体" w:hAnsi="宋体" w:cs="宋体"/>
                <w:highlight w:val="none"/>
              </w:rPr>
              <w:t>9.音频频率响应：50 Hz ~ 20 KHz (±3 db)。</w:t>
            </w:r>
          </w:p>
          <w:p>
            <w:pPr>
              <w:widowControl/>
              <w:spacing w:line="360" w:lineRule="auto"/>
              <w:jc w:val="left"/>
              <w:textAlignment w:val="center"/>
              <w:rPr>
                <w:rFonts w:ascii="宋体" w:hAnsi="宋体" w:cs="宋体"/>
                <w:highlight w:val="none"/>
              </w:rPr>
            </w:pPr>
            <w:r>
              <w:rPr>
                <w:rFonts w:hint="eastAsia" w:ascii="宋体" w:hAnsi="宋体" w:cs="宋体"/>
                <w:highlight w:val="none"/>
              </w:rPr>
              <w:t>10.灵敏度：-82 dBm (1% BER)。</w:t>
            </w:r>
          </w:p>
          <w:p>
            <w:pPr>
              <w:widowControl/>
              <w:spacing w:line="360" w:lineRule="auto"/>
              <w:jc w:val="left"/>
              <w:textAlignment w:val="center"/>
              <w:rPr>
                <w:rFonts w:ascii="宋体" w:hAnsi="宋体" w:cs="宋体"/>
                <w:highlight w:val="none"/>
              </w:rPr>
            </w:pPr>
            <w:r>
              <w:rPr>
                <w:rFonts w:hint="eastAsia" w:ascii="宋体" w:hAnsi="宋体" w:cs="宋体"/>
                <w:highlight w:val="none"/>
              </w:rPr>
              <w:t>11. 电源：DC5~12V。</w:t>
            </w:r>
          </w:p>
          <w:p>
            <w:pPr>
              <w:widowControl/>
              <w:spacing w:line="360" w:lineRule="auto"/>
              <w:jc w:val="left"/>
              <w:textAlignment w:val="center"/>
              <w:rPr>
                <w:rFonts w:ascii="宋体" w:hAnsi="宋体" w:cs="宋体"/>
                <w:highlight w:val="none"/>
              </w:rPr>
            </w:pPr>
            <w:r>
              <w:rPr>
                <w:rFonts w:hint="eastAsia" w:ascii="宋体" w:hAnsi="宋体" w:cs="宋体"/>
                <w:highlight w:val="none"/>
              </w:rPr>
              <w:t>12.输出接口：MIC（标准两芯6.5mm麦克风接口）。</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highlight w:val="none"/>
              </w:rPr>
              <w:t xml:space="preserve">13.辅助控制接口：NO/NC状态检测各一组，DB9（孔）。 </w:t>
            </w:r>
            <w:r>
              <w:rPr>
                <w:rFonts w:hint="eastAsia"/>
                <w:highlight w:val="none"/>
              </w:rPr>
              <w:t xml:space="preserve">                                                             </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highlight w:val="none"/>
              </w:rPr>
              <w:t>课桌椅（建筑工程施工技术专业虚拟仿真综合实训中心）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highlight w:val="none"/>
              </w:rPr>
            </w:pPr>
            <w:r>
              <w:rPr>
                <w:rFonts w:hint="eastAsia" w:ascii="宋体" w:hAnsi="宋体" w:cs="宋体"/>
                <w:highlight w:val="none"/>
              </w:rPr>
              <w:t>一、六角桌：</w:t>
            </w:r>
          </w:p>
          <w:p>
            <w:pPr>
              <w:widowControl/>
              <w:spacing w:line="360" w:lineRule="auto"/>
              <w:jc w:val="left"/>
              <w:textAlignment w:val="center"/>
              <w:rPr>
                <w:rFonts w:ascii="宋体" w:hAnsi="宋体" w:cs="宋体"/>
                <w:highlight w:val="none"/>
              </w:rPr>
            </w:pPr>
            <w:r>
              <w:rPr>
                <w:rFonts w:hint="eastAsia" w:ascii="宋体" w:hAnsi="宋体" w:cs="宋体"/>
                <w:highlight w:val="none"/>
              </w:rPr>
              <w:t>1.边长80cm，板材采用优质三聚氰胺板制作，基材采用E1级优质环保刨花板，甲醛释放量2.5-2.7mg/100g,含水率低于12%，密度0.73g/cm³,强度高、刚性好、不易变形、比重合理，所有板材均经防虫防腐化学处理，表面握钉力及静曲强度均达到国家标准；</w:t>
            </w:r>
          </w:p>
          <w:p>
            <w:pPr>
              <w:widowControl/>
              <w:spacing w:line="360" w:lineRule="auto"/>
              <w:jc w:val="left"/>
              <w:textAlignment w:val="center"/>
              <w:rPr>
                <w:rFonts w:ascii="宋体" w:hAnsi="宋体" w:cs="宋体"/>
                <w:highlight w:val="none"/>
              </w:rPr>
            </w:pPr>
            <w:r>
              <w:rPr>
                <w:rFonts w:hint="eastAsia" w:ascii="宋体" w:hAnsi="宋体" w:cs="宋体"/>
                <w:highlight w:val="none"/>
              </w:rPr>
              <w:t xml:space="preserve">2.脚架采用优质钢脚，简洁、时尚、大方；                      </w:t>
            </w:r>
          </w:p>
          <w:p>
            <w:pPr>
              <w:widowControl/>
              <w:spacing w:line="360" w:lineRule="auto"/>
              <w:jc w:val="left"/>
              <w:textAlignment w:val="center"/>
              <w:rPr>
                <w:rFonts w:ascii="宋体" w:hAnsi="宋体" w:cs="宋体"/>
                <w:highlight w:val="none"/>
              </w:rPr>
            </w:pPr>
            <w:r>
              <w:rPr>
                <w:rFonts w:hint="eastAsia" w:ascii="宋体" w:hAnsi="宋体" w:cs="宋体"/>
                <w:highlight w:val="none"/>
              </w:rPr>
              <w:t>3.五金配件：采用优质铰链，优质导轨；平滑度及滑动性好，承载力强，安全系数高。</w:t>
            </w:r>
          </w:p>
          <w:p>
            <w:pPr>
              <w:widowControl/>
              <w:spacing w:line="360" w:lineRule="auto"/>
              <w:jc w:val="left"/>
              <w:textAlignment w:val="center"/>
              <w:rPr>
                <w:rFonts w:ascii="宋体" w:hAnsi="宋体" w:cs="宋体"/>
                <w:highlight w:val="none"/>
              </w:rPr>
            </w:pPr>
            <w:r>
              <w:rPr>
                <w:rFonts w:hint="eastAsia" w:ascii="宋体" w:hAnsi="宋体" w:cs="宋体"/>
                <w:highlight w:val="none"/>
              </w:rPr>
              <w:t>4.胶粘剂:采用优质胶粘剂，粘性强，具有防水性、防潮性等特点 ；</w:t>
            </w:r>
          </w:p>
          <w:p>
            <w:pPr>
              <w:widowControl/>
              <w:spacing w:line="360" w:lineRule="auto"/>
              <w:jc w:val="left"/>
              <w:textAlignment w:val="center"/>
              <w:rPr>
                <w:rFonts w:ascii="宋体" w:hAnsi="宋体" w:cs="宋体"/>
                <w:highlight w:val="none"/>
              </w:rPr>
            </w:pPr>
            <w:r>
              <w:rPr>
                <w:rFonts w:hint="eastAsia" w:ascii="宋体" w:hAnsi="宋体" w:cs="宋体"/>
                <w:highlight w:val="none"/>
              </w:rPr>
              <w:t>二、配套椅子(6张）：</w:t>
            </w:r>
          </w:p>
          <w:p>
            <w:pPr>
              <w:widowControl/>
              <w:spacing w:line="360" w:lineRule="auto"/>
              <w:jc w:val="left"/>
              <w:textAlignment w:val="center"/>
              <w:rPr>
                <w:rFonts w:ascii="宋体" w:hAnsi="宋体" w:cs="宋体"/>
                <w:highlight w:val="none"/>
              </w:rPr>
            </w:pPr>
            <w:r>
              <w:rPr>
                <w:rFonts w:hint="eastAsia" w:ascii="宋体" w:hAnsi="宋体" w:cs="宋体"/>
                <w:highlight w:val="none"/>
              </w:rPr>
              <w:t>1.椅座板及椅背板用40mm厚中空塑胶板；</w:t>
            </w:r>
          </w:p>
          <w:p>
            <w:pPr>
              <w:widowControl/>
              <w:spacing w:line="360" w:lineRule="auto"/>
              <w:jc w:val="left"/>
              <w:textAlignment w:val="center"/>
              <w:rPr>
                <w:highlight w:val="none"/>
              </w:rPr>
            </w:pPr>
            <w:r>
              <w:rPr>
                <w:rFonts w:hint="eastAsia"/>
                <w:highlight w:val="none"/>
              </w:rPr>
              <w:t>2.椅脚采用40×20×0.8mm铁管，焊接处采用二氧化碳气体焊接；</w:t>
            </w:r>
          </w:p>
          <w:p>
            <w:pPr>
              <w:widowControl/>
              <w:spacing w:line="360" w:lineRule="auto"/>
              <w:jc w:val="left"/>
              <w:textAlignment w:val="center"/>
              <w:rPr>
                <w:rFonts w:ascii="宋体" w:hAnsi="宋体" w:cs="宋体"/>
                <w:kern w:val="0"/>
                <w:szCs w:val="21"/>
                <w:highlight w:val="none"/>
                <w:lang w:bidi="ar"/>
              </w:rPr>
            </w:pPr>
            <w:r>
              <w:rPr>
                <w:rFonts w:hint="eastAsia"/>
                <w:highlight w:val="none"/>
              </w:rPr>
              <w:t>3.桌椅铁架经过打砂、抛珠除锈、处理后，经流水生产线自动烘干喷塑再进行高温焗漆固化。</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XR内容创作引擎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节点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highlight w:val="none"/>
              </w:rPr>
            </w:pPr>
            <w:r>
              <w:rPr>
                <w:rFonts w:hint="eastAsia" w:ascii="宋体" w:hAnsi="宋体" w:cs="宋体"/>
                <w:highlight w:val="none"/>
              </w:rPr>
              <w:t>1.软件支持HTC VIVE、Windows MR，Oculus Quest、Pico等头显；</w:t>
            </w:r>
          </w:p>
          <w:p>
            <w:pPr>
              <w:widowControl/>
              <w:spacing w:line="360" w:lineRule="auto"/>
              <w:jc w:val="left"/>
              <w:textAlignment w:val="center"/>
              <w:rPr>
                <w:rFonts w:ascii="宋体" w:hAnsi="宋体" w:cs="宋体"/>
                <w:highlight w:val="none"/>
              </w:rPr>
            </w:pPr>
            <w:r>
              <w:rPr>
                <w:rFonts w:hint="eastAsia" w:ascii="宋体" w:hAnsi="宋体" w:cs="宋体"/>
                <w:highlight w:val="none"/>
              </w:rPr>
              <w:t>2.软件支持软件和硬件加密策略；</w:t>
            </w:r>
          </w:p>
          <w:p>
            <w:pPr>
              <w:widowControl/>
              <w:spacing w:line="360" w:lineRule="auto"/>
              <w:jc w:val="left"/>
              <w:textAlignment w:val="center"/>
              <w:rPr>
                <w:rFonts w:ascii="宋体" w:hAnsi="宋体" w:cs="宋体"/>
                <w:highlight w:val="none"/>
              </w:rPr>
            </w:pPr>
            <w:r>
              <w:rPr>
                <w:rFonts w:hint="eastAsia" w:ascii="宋体" w:hAnsi="宋体" w:cs="宋体"/>
                <w:highlight w:val="none"/>
              </w:rPr>
              <w:t>3.软件支持中文/英文界面操作、并且能够在两种语言中快速切换；</w:t>
            </w:r>
          </w:p>
          <w:p>
            <w:pPr>
              <w:widowControl/>
              <w:spacing w:line="360" w:lineRule="auto"/>
              <w:jc w:val="left"/>
              <w:textAlignment w:val="center"/>
              <w:rPr>
                <w:rFonts w:ascii="宋体" w:hAnsi="宋体" w:cs="宋体"/>
                <w:highlight w:val="none"/>
              </w:rPr>
            </w:pPr>
            <w:r>
              <w:rPr>
                <w:rFonts w:hint="eastAsia" w:ascii="宋体" w:hAnsi="宋体" w:cs="宋体"/>
                <w:highlight w:val="none"/>
              </w:rPr>
              <w:t>4.软件支持普通计算机（含笔记本）进行开发、使用；</w:t>
            </w:r>
          </w:p>
          <w:p>
            <w:pPr>
              <w:widowControl/>
              <w:spacing w:line="360" w:lineRule="auto"/>
              <w:jc w:val="left"/>
              <w:textAlignment w:val="center"/>
              <w:rPr>
                <w:rFonts w:ascii="宋体" w:hAnsi="宋体" w:cs="宋体"/>
                <w:highlight w:val="none"/>
              </w:rPr>
            </w:pPr>
            <w:r>
              <w:rPr>
                <w:rFonts w:hint="eastAsia" w:ascii="宋体" w:hAnsi="宋体" w:cs="宋体"/>
                <w:highlight w:val="none"/>
              </w:rPr>
              <w:t>5.软件提供在线帮助文档、软件操作视频教程、以及用户交流社区功能；</w:t>
            </w:r>
          </w:p>
          <w:p>
            <w:pPr>
              <w:widowControl/>
              <w:spacing w:line="360" w:lineRule="auto"/>
              <w:jc w:val="left"/>
              <w:textAlignment w:val="center"/>
              <w:rPr>
                <w:rFonts w:ascii="宋体" w:hAnsi="宋体" w:cs="宋体"/>
                <w:highlight w:val="none"/>
              </w:rPr>
            </w:pPr>
            <w:r>
              <w:rPr>
                <w:rFonts w:hint="eastAsia" w:ascii="宋体" w:hAnsi="宋体" w:cs="宋体"/>
                <w:highlight w:val="none"/>
              </w:rPr>
              <w:t>6.软件支持fbx、dae、obj、stl、3ds等多种常用三维模型数据的导入；支持gltf模型格式导入，兼容材质和动画数据。提供Max/Maya/C4D软件模型数据的直接读取；</w:t>
            </w:r>
          </w:p>
          <w:p>
            <w:pPr>
              <w:widowControl/>
              <w:spacing w:line="360" w:lineRule="auto"/>
              <w:jc w:val="left"/>
              <w:textAlignment w:val="center"/>
              <w:rPr>
                <w:rFonts w:ascii="宋体" w:hAnsi="宋体" w:cs="宋体"/>
                <w:highlight w:val="none"/>
              </w:rPr>
            </w:pPr>
            <w:r>
              <w:rPr>
                <w:rFonts w:hint="eastAsia" w:ascii="宋体" w:hAnsi="宋体" w:cs="宋体"/>
                <w:highlight w:val="none"/>
              </w:rPr>
              <w:t>7.软件支持导入建筑类BIM数据格式，主要包括Revit、Rhino、IFC等；</w:t>
            </w:r>
          </w:p>
          <w:p>
            <w:pPr>
              <w:widowControl/>
              <w:spacing w:line="360" w:lineRule="auto"/>
              <w:jc w:val="left"/>
              <w:textAlignment w:val="center"/>
              <w:rPr>
                <w:rFonts w:ascii="宋体" w:hAnsi="宋体" w:cs="宋体"/>
                <w:highlight w:val="none"/>
              </w:rPr>
            </w:pPr>
            <w:r>
              <w:rPr>
                <w:rFonts w:hint="eastAsia" w:ascii="宋体" w:hAnsi="宋体" w:cs="宋体"/>
                <w:highlight w:val="none"/>
              </w:rPr>
              <w:t>8. 软件支持常用工业CAD数据导入，如CATIA、SolidWorks、Creo、等常用工业软件格式；</w:t>
            </w:r>
          </w:p>
          <w:p>
            <w:pPr>
              <w:widowControl/>
              <w:spacing w:line="360" w:lineRule="auto"/>
              <w:jc w:val="left"/>
              <w:textAlignment w:val="center"/>
              <w:rPr>
                <w:rFonts w:ascii="宋体" w:hAnsi="宋体" w:cs="宋体"/>
                <w:highlight w:val="none"/>
              </w:rPr>
            </w:pPr>
            <w:r>
              <w:rPr>
                <w:rFonts w:hint="eastAsia" w:ascii="宋体" w:hAnsi="宋体" w:cs="宋体"/>
                <w:highlight w:val="none"/>
              </w:rPr>
              <w:t>9.软件内置丰富的资源素材。提供至少10个预设粒子，7个模型预设，20张全景球，70种材质。</w:t>
            </w:r>
          </w:p>
          <w:p>
            <w:pPr>
              <w:widowControl/>
              <w:spacing w:line="360" w:lineRule="auto"/>
              <w:jc w:val="left"/>
              <w:textAlignment w:val="center"/>
              <w:rPr>
                <w:rFonts w:ascii="宋体" w:hAnsi="宋体" w:cs="宋体"/>
                <w:highlight w:val="none"/>
              </w:rPr>
            </w:pPr>
            <w:r>
              <w:rPr>
                <w:rFonts w:hint="eastAsia" w:ascii="宋体" w:hAnsi="宋体" w:cs="宋体"/>
                <w:highlight w:val="none"/>
              </w:rPr>
              <w:t>10.软件提供的预制素材要能够支持拖拽的方式直接赋予模型或直接在场景种加载；</w:t>
            </w:r>
          </w:p>
          <w:p>
            <w:pPr>
              <w:widowControl/>
              <w:spacing w:line="360" w:lineRule="auto"/>
              <w:jc w:val="left"/>
              <w:textAlignment w:val="center"/>
              <w:rPr>
                <w:rFonts w:ascii="宋体" w:hAnsi="宋体" w:cs="宋体"/>
                <w:highlight w:val="none"/>
              </w:rPr>
            </w:pPr>
            <w:r>
              <w:rPr>
                <w:rFonts w:hint="eastAsia" w:ascii="宋体" w:hAnsi="宋体" w:cs="宋体"/>
                <w:highlight w:val="none"/>
              </w:rPr>
              <w:t>11.支持对场景模型进行直接拖拽操作，提供平移、旋转、缩放、克隆和自由放物体等基本功能，支持修改场景模型的名称，以及直接对坐标、旋转、缩放等数值的修改；</w:t>
            </w:r>
          </w:p>
          <w:p>
            <w:pPr>
              <w:widowControl/>
              <w:spacing w:line="360" w:lineRule="auto"/>
              <w:jc w:val="left"/>
              <w:textAlignment w:val="center"/>
              <w:rPr>
                <w:rFonts w:ascii="宋体" w:hAnsi="宋体" w:cs="宋体"/>
                <w:highlight w:val="none"/>
              </w:rPr>
            </w:pPr>
            <w:r>
              <w:rPr>
                <w:rFonts w:hint="eastAsia" w:ascii="宋体" w:hAnsi="宋体" w:cs="宋体"/>
                <w:highlight w:val="none"/>
              </w:rPr>
              <w:t>★12.支持调整构造实体形状，包括CSG立方体、CSG圆柱体、CSG多边形、CSG球体、CSG环形；</w:t>
            </w:r>
          </w:p>
          <w:p>
            <w:pPr>
              <w:widowControl/>
              <w:spacing w:line="360" w:lineRule="auto"/>
              <w:jc w:val="left"/>
              <w:textAlignment w:val="center"/>
              <w:rPr>
                <w:rFonts w:ascii="宋体" w:hAnsi="宋体" w:cs="宋体"/>
                <w:highlight w:val="none"/>
              </w:rPr>
            </w:pPr>
            <w:r>
              <w:rPr>
                <w:rFonts w:hint="eastAsia" w:ascii="宋体" w:hAnsi="宋体" w:cs="宋体"/>
                <w:highlight w:val="none"/>
              </w:rPr>
              <w:t>13.能够快速进行不同视角的查看，软件需具备透视图、前视图、顶视图、侧视图多种视图模式，在这些视图模式下可以对模型进行移动，旋转和缩放操作；</w:t>
            </w:r>
          </w:p>
          <w:p>
            <w:pPr>
              <w:widowControl/>
              <w:spacing w:line="360" w:lineRule="auto"/>
              <w:jc w:val="left"/>
              <w:textAlignment w:val="center"/>
              <w:rPr>
                <w:rFonts w:ascii="宋体" w:hAnsi="宋体" w:cs="宋体"/>
                <w:highlight w:val="none"/>
              </w:rPr>
            </w:pPr>
            <w:r>
              <w:rPr>
                <w:rFonts w:hint="eastAsia" w:ascii="宋体" w:hAnsi="宋体" w:cs="宋体"/>
                <w:highlight w:val="none"/>
              </w:rPr>
              <w:t>14.软件支持按名称检索物体，快速定位当前物体；</w:t>
            </w:r>
          </w:p>
          <w:p>
            <w:pPr>
              <w:widowControl/>
              <w:spacing w:line="360" w:lineRule="auto"/>
              <w:jc w:val="left"/>
              <w:textAlignment w:val="center"/>
              <w:rPr>
                <w:rFonts w:ascii="宋体" w:hAnsi="宋体" w:cs="宋体"/>
                <w:highlight w:val="none"/>
              </w:rPr>
            </w:pPr>
            <w:r>
              <w:rPr>
                <w:rFonts w:hint="eastAsia" w:ascii="宋体" w:hAnsi="宋体" w:cs="宋体"/>
                <w:highlight w:val="none"/>
              </w:rPr>
              <w:t>15.软件支持局部、世界坐标系转换；原点聚焦和中心聚焦模式切换</w:t>
            </w:r>
          </w:p>
          <w:p>
            <w:pPr>
              <w:widowControl/>
              <w:spacing w:line="360" w:lineRule="auto"/>
              <w:jc w:val="left"/>
              <w:textAlignment w:val="center"/>
              <w:rPr>
                <w:rFonts w:ascii="宋体" w:hAnsi="宋体" w:cs="宋体"/>
                <w:highlight w:val="none"/>
              </w:rPr>
            </w:pPr>
            <w:r>
              <w:rPr>
                <w:rFonts w:hint="eastAsia" w:ascii="宋体" w:hAnsi="宋体" w:cs="宋体"/>
                <w:highlight w:val="none"/>
              </w:rPr>
              <w:t>16.软件支持节点树管理，提供父子节点关系，便于生成、控制复杂的仿真对象；支持对场景模型的层级结构进行调整，可以添加新的层级或者删除不需要的层级结构；</w:t>
            </w:r>
          </w:p>
          <w:p>
            <w:pPr>
              <w:widowControl/>
              <w:spacing w:line="360" w:lineRule="auto"/>
              <w:jc w:val="left"/>
              <w:textAlignment w:val="center"/>
              <w:rPr>
                <w:rFonts w:ascii="宋体" w:hAnsi="宋体" w:cs="宋体"/>
                <w:highlight w:val="none"/>
              </w:rPr>
            </w:pPr>
            <w:r>
              <w:rPr>
                <w:rFonts w:hint="eastAsia" w:ascii="宋体" w:hAnsi="宋体" w:cs="宋体"/>
                <w:highlight w:val="none"/>
              </w:rPr>
              <w:t>17.软件提供材质编辑，支持漫反射贴图、法线贴图、反射贴图、AO贴图等编辑操作。</w:t>
            </w:r>
          </w:p>
          <w:p>
            <w:pPr>
              <w:widowControl/>
              <w:spacing w:line="360" w:lineRule="auto"/>
              <w:jc w:val="left"/>
              <w:textAlignment w:val="center"/>
              <w:rPr>
                <w:rFonts w:ascii="宋体" w:hAnsi="宋体" w:cs="宋体"/>
                <w:highlight w:val="none"/>
              </w:rPr>
            </w:pPr>
            <w:r>
              <w:rPr>
                <w:rFonts w:hint="eastAsia" w:ascii="宋体" w:hAnsi="宋体" w:cs="宋体"/>
                <w:highlight w:val="none"/>
              </w:rPr>
              <w:t>18.软件支持高光贴图，实现不同材质的光照效果，表现当光线照射到模型表面时，其表面属性(如金属和皮肤、布、塑料反射不同量的光)，从而区分不同材质；</w:t>
            </w:r>
          </w:p>
          <w:p>
            <w:pPr>
              <w:widowControl/>
              <w:spacing w:line="360" w:lineRule="auto"/>
              <w:jc w:val="left"/>
              <w:textAlignment w:val="center"/>
              <w:rPr>
                <w:rFonts w:ascii="宋体" w:hAnsi="宋体" w:cs="宋体"/>
                <w:highlight w:val="none"/>
              </w:rPr>
            </w:pPr>
            <w:r>
              <w:rPr>
                <w:rFonts w:hint="eastAsia" w:ascii="宋体" w:hAnsi="宋体" w:cs="宋体"/>
                <w:highlight w:val="none"/>
              </w:rPr>
              <w:t>19.软件支持可视化的材质编辑功能，通过拖拽的方式对场景中的物体材质进行编辑；</w:t>
            </w:r>
          </w:p>
          <w:p>
            <w:pPr>
              <w:widowControl/>
              <w:spacing w:line="360" w:lineRule="auto"/>
              <w:jc w:val="left"/>
              <w:textAlignment w:val="center"/>
              <w:rPr>
                <w:rFonts w:ascii="宋体" w:hAnsi="宋体" w:cs="宋体"/>
                <w:highlight w:val="none"/>
              </w:rPr>
            </w:pPr>
            <w:r>
              <w:rPr>
                <w:rFonts w:hint="eastAsia" w:ascii="宋体" w:hAnsi="宋体" w:cs="宋体"/>
                <w:highlight w:val="none"/>
              </w:rPr>
              <w:t>20.软件支持UV材质动画，以满足用户模拟流体效果，可为模型赋予具有动画效果的材质贴图；</w:t>
            </w:r>
          </w:p>
          <w:p>
            <w:pPr>
              <w:widowControl/>
              <w:spacing w:line="360" w:lineRule="auto"/>
              <w:jc w:val="left"/>
              <w:textAlignment w:val="center"/>
              <w:rPr>
                <w:rFonts w:ascii="宋体" w:hAnsi="宋体" w:cs="宋体"/>
                <w:highlight w:val="none"/>
              </w:rPr>
            </w:pPr>
            <w:r>
              <w:rPr>
                <w:rFonts w:hint="eastAsia" w:ascii="宋体" w:hAnsi="宋体" w:cs="宋体"/>
                <w:highlight w:val="none"/>
              </w:rPr>
              <w:t>21.软件支持在动画步骤中添加关键帧动画，按帧播放动画，并进行细节编辑；</w:t>
            </w:r>
          </w:p>
          <w:p>
            <w:pPr>
              <w:widowControl/>
              <w:spacing w:line="360" w:lineRule="auto"/>
              <w:jc w:val="left"/>
              <w:textAlignment w:val="center"/>
              <w:rPr>
                <w:rFonts w:ascii="宋体" w:hAnsi="宋体" w:cs="宋体"/>
                <w:highlight w:val="none"/>
              </w:rPr>
            </w:pPr>
            <w:r>
              <w:rPr>
                <w:rFonts w:hint="eastAsia" w:ascii="宋体" w:hAnsi="宋体" w:cs="宋体"/>
                <w:highlight w:val="none"/>
              </w:rPr>
              <w:t>22.提供动画编辑功能，软件支持位移、旋转、缩放、材质、光影变幻、粒子特效、场景淡入淡出等动画编辑功能；可实现加速、减速、平滑效果；支持制作物体的关键帧动画、支持相机路径动画、支持修改模型材质属性动画；</w:t>
            </w:r>
          </w:p>
          <w:p>
            <w:pPr>
              <w:widowControl/>
              <w:spacing w:line="360" w:lineRule="auto"/>
              <w:jc w:val="left"/>
              <w:textAlignment w:val="center"/>
              <w:rPr>
                <w:rFonts w:ascii="宋体" w:hAnsi="宋体" w:cs="宋体"/>
                <w:highlight w:val="none"/>
              </w:rPr>
            </w:pPr>
            <w:r>
              <w:rPr>
                <w:rFonts w:hint="eastAsia" w:ascii="宋体" w:hAnsi="宋体" w:cs="宋体"/>
                <w:highlight w:val="none"/>
              </w:rPr>
              <w:t>23.软件支持以骨骼驱动蒙皮形式的动画模型直接导入，并在场景中自由控制播放、暂停、速度调整等属性，支持路径动画模型导入，且提供动画编辑功能，能够对路径动画进行二次编辑；</w:t>
            </w:r>
          </w:p>
          <w:p>
            <w:pPr>
              <w:widowControl/>
              <w:spacing w:line="360" w:lineRule="auto"/>
              <w:jc w:val="left"/>
              <w:textAlignment w:val="center"/>
              <w:rPr>
                <w:rFonts w:ascii="宋体" w:hAnsi="宋体" w:cs="宋体"/>
                <w:highlight w:val="none"/>
              </w:rPr>
            </w:pPr>
            <w:r>
              <w:rPr>
                <w:rFonts w:hint="eastAsia" w:ascii="宋体" w:hAnsi="宋体" w:cs="宋体"/>
                <w:highlight w:val="none"/>
              </w:rPr>
              <w:t>24.软件支持对编辑中的场景动画进行实时预览，允许用户及时做出修改；场景协同编辑；为方便内容制作过程多人合作开发，软件需可以同时进行多个模块化逻辑的协作开发，并支持多个场景文件的组合功能；特效以及高级渲染效果天气系统</w:t>
            </w:r>
          </w:p>
          <w:p>
            <w:pPr>
              <w:widowControl/>
              <w:spacing w:line="360" w:lineRule="auto"/>
              <w:jc w:val="left"/>
              <w:textAlignment w:val="center"/>
              <w:rPr>
                <w:rFonts w:ascii="宋体" w:hAnsi="宋体" w:cs="宋体"/>
                <w:highlight w:val="none"/>
              </w:rPr>
            </w:pPr>
            <w:r>
              <w:rPr>
                <w:rFonts w:hint="eastAsia" w:ascii="宋体" w:hAnsi="宋体" w:cs="宋体"/>
                <w:highlight w:val="none"/>
              </w:rPr>
              <w:t>26.软件支持24小时光照模拟；</w:t>
            </w:r>
          </w:p>
          <w:p>
            <w:pPr>
              <w:widowControl/>
              <w:spacing w:line="360" w:lineRule="auto"/>
              <w:jc w:val="left"/>
              <w:textAlignment w:val="center"/>
              <w:rPr>
                <w:rFonts w:ascii="宋体" w:hAnsi="宋体" w:cs="宋体"/>
                <w:highlight w:val="none"/>
              </w:rPr>
            </w:pPr>
            <w:r>
              <w:rPr>
                <w:rFonts w:hint="eastAsia" w:ascii="宋体" w:hAnsi="宋体" w:cs="宋体"/>
                <w:highlight w:val="none"/>
              </w:rPr>
              <w:t>27.软件支持云层覆盖量可调节；</w:t>
            </w:r>
          </w:p>
          <w:p>
            <w:pPr>
              <w:widowControl/>
              <w:spacing w:line="360" w:lineRule="auto"/>
              <w:jc w:val="left"/>
              <w:textAlignment w:val="center"/>
              <w:rPr>
                <w:rFonts w:ascii="宋体" w:hAnsi="宋体" w:cs="宋体"/>
                <w:highlight w:val="none"/>
              </w:rPr>
            </w:pPr>
            <w:r>
              <w:rPr>
                <w:rFonts w:hint="eastAsia" w:ascii="宋体" w:hAnsi="宋体" w:cs="宋体"/>
                <w:highlight w:val="none"/>
              </w:rPr>
              <w:t>28.软件支持风、雨、雪等各种天气特效；可通过风向，风强，降雨量，降雪量等参数组合实现逼真的天气效果；</w:t>
            </w:r>
          </w:p>
          <w:p>
            <w:pPr>
              <w:widowControl/>
              <w:spacing w:line="360" w:lineRule="auto"/>
              <w:jc w:val="left"/>
              <w:textAlignment w:val="center"/>
              <w:rPr>
                <w:rFonts w:ascii="宋体" w:hAnsi="宋体" w:cs="宋体"/>
                <w:highlight w:val="none"/>
              </w:rPr>
            </w:pPr>
            <w:r>
              <w:rPr>
                <w:rFonts w:hint="eastAsia" w:ascii="宋体" w:hAnsi="宋体" w:cs="宋体"/>
                <w:highlight w:val="none"/>
              </w:rPr>
              <w:t>29.软件支持高动态范围图像；以及支持SSAO、动态模糊、自发光材质、景深以及光线散射等高级特效；</w:t>
            </w:r>
          </w:p>
          <w:p>
            <w:pPr>
              <w:widowControl/>
              <w:spacing w:line="360" w:lineRule="auto"/>
              <w:jc w:val="left"/>
              <w:textAlignment w:val="center"/>
              <w:rPr>
                <w:rFonts w:ascii="宋体" w:hAnsi="宋体" w:cs="宋体"/>
                <w:highlight w:val="none"/>
              </w:rPr>
            </w:pPr>
            <w:r>
              <w:rPr>
                <w:rFonts w:hint="eastAsia" w:ascii="宋体" w:hAnsi="宋体" w:cs="宋体"/>
                <w:highlight w:val="none"/>
              </w:rPr>
              <w:t>30.软件支持PBR材质，表现模型真实材料属性；</w:t>
            </w:r>
          </w:p>
          <w:p>
            <w:pPr>
              <w:widowControl/>
              <w:spacing w:line="360" w:lineRule="auto"/>
              <w:jc w:val="left"/>
              <w:textAlignment w:val="center"/>
              <w:rPr>
                <w:rFonts w:ascii="宋体" w:hAnsi="宋体" w:cs="宋体"/>
                <w:highlight w:val="none"/>
              </w:rPr>
            </w:pPr>
            <w:r>
              <w:rPr>
                <w:rFonts w:hint="eastAsia" w:ascii="宋体" w:hAnsi="宋体" w:cs="宋体"/>
                <w:highlight w:val="none"/>
              </w:rPr>
              <w:t>31.支持场景高动态颜色校准, 提升场景对比度。支持基于对数算法和二次方程算法的明暗度计算。支持非线性色调映射算法，提升场景明暗对比度和真实性；</w:t>
            </w:r>
          </w:p>
          <w:p>
            <w:pPr>
              <w:widowControl/>
              <w:spacing w:line="360" w:lineRule="auto"/>
              <w:jc w:val="left"/>
              <w:textAlignment w:val="center"/>
              <w:rPr>
                <w:rFonts w:ascii="宋体" w:hAnsi="宋体" w:cs="宋体"/>
                <w:highlight w:val="none"/>
              </w:rPr>
            </w:pPr>
            <w:r>
              <w:rPr>
                <w:rFonts w:hint="eastAsia" w:ascii="宋体" w:hAnsi="宋体" w:cs="宋体"/>
                <w:highlight w:val="none"/>
              </w:rPr>
              <w:t>32.软件支持基于阴影贴图算法的阴影效果. 针对大尺寸场景, 支持PSSM阴影优化算法, 提升光影计算准确度；</w:t>
            </w:r>
          </w:p>
          <w:p>
            <w:pPr>
              <w:widowControl/>
              <w:spacing w:line="360" w:lineRule="auto"/>
              <w:jc w:val="left"/>
              <w:textAlignment w:val="center"/>
              <w:rPr>
                <w:rFonts w:ascii="宋体" w:hAnsi="宋体" w:cs="宋体"/>
                <w:highlight w:val="none"/>
              </w:rPr>
            </w:pPr>
            <w:r>
              <w:rPr>
                <w:rFonts w:hint="eastAsia" w:ascii="宋体" w:hAnsi="宋体" w:cs="宋体"/>
                <w:highlight w:val="none"/>
              </w:rPr>
              <w:t>33.软件支持自动生成地形功能，根据高度范围，缩放，粗糙度，海拔高度等系数自动生成地形</w:t>
            </w:r>
          </w:p>
          <w:p>
            <w:pPr>
              <w:widowControl/>
              <w:spacing w:line="360" w:lineRule="auto"/>
              <w:jc w:val="left"/>
              <w:textAlignment w:val="center"/>
              <w:rPr>
                <w:rFonts w:ascii="宋体" w:hAnsi="宋体" w:cs="宋体"/>
                <w:highlight w:val="none"/>
              </w:rPr>
            </w:pPr>
            <w:r>
              <w:rPr>
                <w:rFonts w:hint="eastAsia" w:ascii="宋体" w:hAnsi="宋体" w:cs="宋体"/>
                <w:highlight w:val="none"/>
              </w:rPr>
              <w:t>34.软件支持地形编辑功能，提供画笔进行动态地形编辑，支持地形抬高，压低，平滑过渡，地形纹理绘制以及快速种植草的功能；</w:t>
            </w:r>
          </w:p>
          <w:p>
            <w:pPr>
              <w:widowControl/>
              <w:spacing w:line="360" w:lineRule="auto"/>
              <w:jc w:val="left"/>
              <w:textAlignment w:val="center"/>
              <w:rPr>
                <w:rFonts w:ascii="宋体" w:hAnsi="宋体" w:cs="宋体"/>
                <w:highlight w:val="none"/>
              </w:rPr>
            </w:pPr>
            <w:r>
              <w:rPr>
                <w:rFonts w:hint="eastAsia" w:ascii="宋体" w:hAnsi="宋体" w:cs="宋体"/>
                <w:highlight w:val="none"/>
              </w:rPr>
              <w:t>35.软件提供高、中、低三种渲染品质，支持2倍、4倍、8倍、16倍抗锯齿；支持时间超采样技术；支持双线性过滤、三线性过滤以及各项异性纹理采样；</w:t>
            </w:r>
          </w:p>
          <w:p>
            <w:pPr>
              <w:widowControl/>
              <w:spacing w:line="360" w:lineRule="auto"/>
              <w:jc w:val="left"/>
              <w:textAlignment w:val="center"/>
              <w:rPr>
                <w:rFonts w:ascii="宋体" w:hAnsi="宋体" w:cs="宋体"/>
                <w:highlight w:val="none"/>
              </w:rPr>
            </w:pPr>
            <w:r>
              <w:rPr>
                <w:rFonts w:hint="eastAsia" w:ascii="宋体" w:hAnsi="宋体" w:cs="宋体"/>
                <w:highlight w:val="none"/>
              </w:rPr>
              <w:t>36.软件提供针对场景的实时遮挡剔除功能，在不影响实时渲染速度的情况下，能够提前计算不渲染的位置，减小计算机渲染的负担及时间；</w:t>
            </w:r>
          </w:p>
          <w:p>
            <w:pPr>
              <w:widowControl/>
              <w:spacing w:line="360" w:lineRule="auto"/>
              <w:jc w:val="left"/>
              <w:textAlignment w:val="center"/>
              <w:rPr>
                <w:rFonts w:ascii="宋体" w:hAnsi="宋体" w:cs="宋体"/>
                <w:highlight w:val="none"/>
              </w:rPr>
            </w:pPr>
            <w:r>
              <w:rPr>
                <w:rFonts w:hint="eastAsia" w:ascii="宋体" w:hAnsi="宋体" w:cs="宋体"/>
                <w:highlight w:val="none"/>
              </w:rPr>
              <w:t>37.软件支持渲染帧率控制开关，降低GPU负载；</w:t>
            </w:r>
          </w:p>
          <w:p>
            <w:pPr>
              <w:widowControl/>
              <w:spacing w:line="360" w:lineRule="auto"/>
              <w:jc w:val="left"/>
              <w:textAlignment w:val="center"/>
              <w:rPr>
                <w:rFonts w:ascii="宋体" w:hAnsi="宋体" w:cs="宋体"/>
                <w:highlight w:val="none"/>
              </w:rPr>
            </w:pPr>
            <w:r>
              <w:rPr>
                <w:rFonts w:hint="eastAsia" w:ascii="宋体" w:hAnsi="宋体" w:cs="宋体"/>
                <w:highlight w:val="none"/>
              </w:rPr>
              <w:t>38.软件提供无需编程的逻辑编辑工具，以方便非编程人员能够进行教学资源内容制作，快速定制场景中的交互逻辑；</w:t>
            </w:r>
          </w:p>
          <w:p>
            <w:pPr>
              <w:widowControl/>
              <w:spacing w:line="360" w:lineRule="auto"/>
              <w:jc w:val="left"/>
              <w:textAlignment w:val="center"/>
              <w:rPr>
                <w:rFonts w:ascii="宋体" w:hAnsi="宋体" w:cs="宋体"/>
                <w:highlight w:val="none"/>
              </w:rPr>
            </w:pPr>
            <w:r>
              <w:rPr>
                <w:rFonts w:hint="eastAsia" w:ascii="宋体" w:hAnsi="宋体" w:cs="宋体"/>
                <w:highlight w:val="none"/>
              </w:rPr>
              <w:t>★39.支持拖拽获取场景节点和属性，自动生成获取节点的逻辑单元模块（在投标文件中提供包括但不限于厂家证明或功能截图或国家认可的第三方检测报告）；</w:t>
            </w:r>
          </w:p>
          <w:p>
            <w:pPr>
              <w:widowControl/>
              <w:spacing w:line="360" w:lineRule="auto"/>
              <w:jc w:val="left"/>
              <w:textAlignment w:val="center"/>
              <w:rPr>
                <w:rFonts w:ascii="宋体" w:hAnsi="宋体" w:cs="宋体"/>
                <w:highlight w:val="none"/>
              </w:rPr>
            </w:pPr>
            <w:r>
              <w:rPr>
                <w:rFonts w:hint="eastAsia" w:ascii="宋体" w:hAnsi="宋体" w:cs="宋体"/>
                <w:highlight w:val="none"/>
              </w:rPr>
              <w:t>40.软件支持运行时的交互逻辑切换功能，支持鼠标、键盘、VR手柄三种交互设备实现触发，支持到达指定空间内自动触发；</w:t>
            </w:r>
          </w:p>
          <w:p>
            <w:pPr>
              <w:widowControl/>
              <w:spacing w:line="360" w:lineRule="auto"/>
              <w:jc w:val="left"/>
              <w:textAlignment w:val="center"/>
              <w:rPr>
                <w:rFonts w:ascii="宋体" w:hAnsi="宋体" w:cs="宋体"/>
                <w:highlight w:val="none"/>
              </w:rPr>
            </w:pPr>
            <w:r>
              <w:rPr>
                <w:rFonts w:hint="eastAsia" w:ascii="宋体" w:hAnsi="宋体" w:cs="宋体"/>
                <w:highlight w:val="none"/>
              </w:rPr>
              <w:t>41.软件支持交互逻辑任务的多人协同触发，实现任务之间的约束；</w:t>
            </w:r>
          </w:p>
          <w:p>
            <w:pPr>
              <w:widowControl/>
              <w:spacing w:line="360" w:lineRule="auto"/>
              <w:jc w:val="left"/>
              <w:textAlignment w:val="center"/>
              <w:rPr>
                <w:rFonts w:ascii="宋体" w:hAnsi="宋体" w:cs="宋体"/>
                <w:highlight w:val="none"/>
              </w:rPr>
            </w:pPr>
            <w:r>
              <w:rPr>
                <w:rFonts w:hint="eastAsia" w:ascii="宋体" w:hAnsi="宋体" w:cs="宋体"/>
                <w:highlight w:val="none"/>
              </w:rPr>
              <w:t>42.交互编辑模块支持场景物体的显示隐藏、材质修改，支持触发音频、视频、动画文件的播放；支持交互逻辑的循环触发；</w:t>
            </w:r>
          </w:p>
          <w:p>
            <w:pPr>
              <w:widowControl/>
              <w:spacing w:line="360" w:lineRule="auto"/>
              <w:jc w:val="left"/>
              <w:textAlignment w:val="center"/>
              <w:rPr>
                <w:rFonts w:ascii="宋体" w:hAnsi="宋体" w:cs="宋体"/>
                <w:highlight w:val="none"/>
              </w:rPr>
            </w:pPr>
            <w:r>
              <w:rPr>
                <w:rFonts w:hint="eastAsia" w:ascii="宋体" w:hAnsi="宋体" w:cs="宋体"/>
                <w:highlight w:val="none"/>
              </w:rPr>
              <w:t>43.软件支持脚本二次编辑，以方便用户进行更高级的开发，方便制作更丰富的交互；</w:t>
            </w:r>
          </w:p>
          <w:p>
            <w:pPr>
              <w:widowControl/>
              <w:spacing w:line="360" w:lineRule="auto"/>
              <w:jc w:val="left"/>
              <w:textAlignment w:val="center"/>
              <w:rPr>
                <w:rFonts w:ascii="宋体" w:hAnsi="宋体" w:cs="宋体"/>
                <w:highlight w:val="none"/>
              </w:rPr>
            </w:pPr>
            <w:r>
              <w:rPr>
                <w:rFonts w:hint="eastAsia" w:ascii="宋体" w:hAnsi="宋体" w:cs="宋体"/>
                <w:highlight w:val="none"/>
              </w:rPr>
              <w:t>44.软件支持发布可执行文件，并能够发送给无软件的用户进行可视化展示，可发布的平台包括：Windows Desktop、HTML5（Web发布）、Android、Linux；</w:t>
            </w:r>
          </w:p>
          <w:p>
            <w:pPr>
              <w:widowControl/>
              <w:spacing w:line="360" w:lineRule="auto"/>
              <w:jc w:val="left"/>
              <w:textAlignment w:val="center"/>
              <w:rPr>
                <w:rFonts w:ascii="宋体" w:hAnsi="宋体" w:cs="宋体"/>
                <w:highlight w:val="none"/>
              </w:rPr>
            </w:pPr>
            <w:r>
              <w:rPr>
                <w:rFonts w:hint="eastAsia" w:ascii="宋体" w:hAnsi="宋体" w:cs="宋体"/>
                <w:highlight w:val="none"/>
              </w:rPr>
              <w:t>★45.软件支持多平台运行，编辑器支持Windows系统，MacOS系统,linux系统，麒麟OS系统（需在投标文件中提供包括但不限于厂家证明或功能截图或国家认可的第三方检测报告）；</w:t>
            </w:r>
          </w:p>
          <w:p>
            <w:pPr>
              <w:widowControl/>
              <w:spacing w:line="360" w:lineRule="auto"/>
              <w:jc w:val="left"/>
              <w:textAlignment w:val="center"/>
              <w:rPr>
                <w:highlight w:val="none"/>
              </w:rPr>
            </w:pPr>
            <w:r>
              <w:rPr>
                <w:rFonts w:hint="eastAsia" w:ascii="宋体" w:hAnsi="宋体" w:cs="宋体"/>
                <w:highlight w:val="none"/>
              </w:rPr>
              <w:t>46.制作的内容支持发布到Quest VR一体机，支持手势识别和无需手柄的自然手势交互功能；</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建筑模型施工现场布置软件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45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节点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1.软件支持在二维视图和三维视图自由切换查看，并可在双视图下进行参数的编辑；同时可在二维或三维视图状态下同步进行参数化建模及联动；</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2.软件支持进行2D、3D背景设置，能够完成格栅线间距、天空背景、地平面色彩、背景特效等设置；</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3.软件需支持SKP、obj、FBX、同一厂家的算量软件的格式文件导入；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4.软件支持CAD图纸识别转化；</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5.软件需支持自建建筑建筑、结构模型的绘制，对建模构件进行线性打断与面域分割；</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6.软件绘制时，支持多种形式对象捕捉及输入，保证绘图的便捷性和准确性；</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7.软件支持云构件库、云案例库，支持用户自主上传与下载使用；</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8.软件中需含有百种3D图元供用户使用，充分满足绘图要求；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9. 软件支持脚手架、爬架与水平防护构件的布置，支持信息的设定，满足不同场景与工程需求；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10.软件支持施工阶段的设置，满足不同阶段的布置需求，并可按阶段一键切换不同阶段方案进行显示；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11.软件支持对构件的虚拟施工设置，可对构件进行建造及拆除顺序进行设置，活动方式设置，实现施工进度可视化模拟；</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12.软件独立支持动画录制功能。</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校本教材编写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结合采购方教学实际需求，编写新形态教材《建筑工程测量》1门，具体要求如下：</w:t>
            </w:r>
          </w:p>
          <w:p>
            <w:pPr>
              <w:widowControl/>
              <w:spacing w:line="360" w:lineRule="auto"/>
              <w:jc w:val="left"/>
              <w:textAlignment w:val="center"/>
              <w:rPr>
                <w:rFonts w:hint="eastAsia"/>
                <w:highlight w:val="none"/>
                <w:lang w:val="en-US" w:eastAsia="zh-CN"/>
              </w:rPr>
            </w:pPr>
            <w:r>
              <w:rPr>
                <w:rFonts w:hint="eastAsia"/>
                <w:highlight w:val="none"/>
              </w:rPr>
              <w:t>1．由企业项目组成员与专业课老师组建《建筑工程测量》教材编写小组；</w:t>
            </w:r>
          </w:p>
          <w:p>
            <w:pPr>
              <w:widowControl/>
              <w:spacing w:line="360" w:lineRule="auto"/>
              <w:jc w:val="left"/>
              <w:textAlignment w:val="center"/>
              <w:rPr>
                <w:highlight w:val="none"/>
              </w:rPr>
            </w:pPr>
            <w:r>
              <w:rPr>
                <w:rFonts w:hint="eastAsia"/>
                <w:highlight w:val="none"/>
              </w:rPr>
              <w:t>2．根据《建筑工程测量》教材的编写量、老师完成进度与资源储备状况，双方共同制定教材编写计划；</w:t>
            </w:r>
          </w:p>
          <w:p>
            <w:pPr>
              <w:widowControl/>
              <w:spacing w:line="360" w:lineRule="auto"/>
              <w:jc w:val="left"/>
              <w:textAlignment w:val="center"/>
              <w:rPr>
                <w:highlight w:val="none"/>
              </w:rPr>
            </w:pPr>
            <w:r>
              <w:rPr>
                <w:rFonts w:hint="eastAsia"/>
                <w:highlight w:val="none"/>
              </w:rPr>
              <w:t>3．编制过程由一名专家负责规划教材大纲， 审核教材定稿，一名教材编写人员与专业课老师共同负责；</w:t>
            </w:r>
          </w:p>
          <w:p>
            <w:pPr>
              <w:widowControl/>
              <w:spacing w:line="360" w:lineRule="auto"/>
              <w:jc w:val="left"/>
              <w:textAlignment w:val="center"/>
              <w:rPr>
                <w:highlight w:val="none"/>
              </w:rPr>
            </w:pPr>
            <w:r>
              <w:rPr>
                <w:rFonts w:hint="eastAsia"/>
                <w:highlight w:val="none"/>
              </w:rPr>
              <w:t>4．由专家指导，教材编写组组长制定《建筑工程测量》教材目录和编写思路，各人员根据分工和进度表，按照编写要求开展各章节编写工作；</w:t>
            </w:r>
          </w:p>
          <w:p>
            <w:pPr>
              <w:widowControl/>
              <w:spacing w:line="360" w:lineRule="auto"/>
              <w:jc w:val="left"/>
              <w:textAlignment w:val="center"/>
              <w:rPr>
                <w:highlight w:val="none"/>
              </w:rPr>
            </w:pPr>
            <w:r>
              <w:rPr>
                <w:rFonts w:hint="eastAsia"/>
                <w:highlight w:val="none"/>
              </w:rPr>
              <w:t>5．由编写组组长与专业老师共同监督，企业专家总协调和解决相关困难；</w:t>
            </w:r>
          </w:p>
          <w:p>
            <w:pPr>
              <w:widowControl/>
              <w:spacing w:line="360" w:lineRule="auto"/>
              <w:jc w:val="left"/>
              <w:textAlignment w:val="center"/>
              <w:rPr>
                <w:rFonts w:hint="eastAsia"/>
                <w:highlight w:val="none"/>
              </w:rPr>
            </w:pPr>
            <w:r>
              <w:rPr>
                <w:rFonts w:hint="eastAsia"/>
                <w:highlight w:val="none"/>
              </w:rPr>
              <w:t>6．完成教材初稿后，审稿人进行初审，各负责人完成校对和修改后，完成二审并交由专家三审定稿；</w:t>
            </w:r>
          </w:p>
          <w:p>
            <w:pPr>
              <w:widowControl/>
              <w:spacing w:line="360" w:lineRule="auto"/>
              <w:jc w:val="left"/>
              <w:textAlignment w:val="center"/>
              <w:rPr>
                <w:rFonts w:hint="default" w:eastAsia="宋体"/>
                <w:highlight w:val="none"/>
                <w:lang w:val="en-US" w:eastAsia="zh-CN"/>
              </w:rPr>
            </w:pPr>
            <w:r>
              <w:rPr>
                <w:rFonts w:hint="eastAsia"/>
                <w:highlight w:val="none"/>
                <w:lang w:val="en-US" w:eastAsia="zh-CN"/>
              </w:rPr>
              <w:t>7</w:t>
            </w:r>
            <w:r>
              <w:rPr>
                <w:rFonts w:hint="eastAsia"/>
                <w:highlight w:val="none"/>
              </w:rPr>
              <w:t>．</w:t>
            </w:r>
            <w:r>
              <w:rPr>
                <w:rFonts w:hint="eastAsia" w:ascii="Times New Roman" w:hAnsi="Times New Roman" w:eastAsia="宋体" w:cs="Times New Roman"/>
                <w:b w:val="0"/>
                <w:kern w:val="2"/>
                <w:sz w:val="21"/>
                <w:szCs w:val="24"/>
                <w:highlight w:val="none"/>
                <w:lang w:val="en-US" w:eastAsia="zh-CN" w:bidi="ar-SA"/>
              </w:rPr>
              <w:t>项目建设验收</w:t>
            </w:r>
            <w:r>
              <w:rPr>
                <w:rFonts w:hint="eastAsia" w:cs="Times New Roman"/>
                <w:b w:val="0"/>
                <w:kern w:val="2"/>
                <w:sz w:val="21"/>
                <w:szCs w:val="24"/>
                <w:highlight w:val="none"/>
                <w:lang w:val="en-US" w:eastAsia="zh-CN" w:bidi="ar-SA"/>
              </w:rPr>
              <w:t>一</w:t>
            </w:r>
            <w:r>
              <w:rPr>
                <w:rFonts w:hint="eastAsia" w:ascii="Times New Roman" w:hAnsi="Times New Roman" w:eastAsia="宋体" w:cs="Times New Roman"/>
                <w:b w:val="0"/>
                <w:kern w:val="2"/>
                <w:sz w:val="21"/>
                <w:szCs w:val="24"/>
                <w:highlight w:val="none"/>
                <w:lang w:val="en-US" w:eastAsia="zh-CN" w:bidi="ar-SA"/>
              </w:rPr>
              <w:t>年内完成教材</w:t>
            </w:r>
            <w:r>
              <w:rPr>
                <w:rFonts w:hint="eastAsia" w:cs="Times New Roman"/>
                <w:b w:val="0"/>
                <w:kern w:val="2"/>
                <w:sz w:val="21"/>
                <w:szCs w:val="24"/>
                <w:highlight w:val="none"/>
                <w:lang w:val="en-US" w:eastAsia="zh-CN" w:bidi="ar-SA"/>
              </w:rPr>
              <w:t>编写</w:t>
            </w:r>
            <w:r>
              <w:rPr>
                <w:rFonts w:hint="eastAsia" w:ascii="Times New Roman" w:hAnsi="Times New Roman" w:eastAsia="宋体" w:cs="Times New Roman"/>
                <w:b w:val="0"/>
                <w:kern w:val="2"/>
                <w:sz w:val="21"/>
                <w:szCs w:val="24"/>
                <w:highlight w:val="none"/>
                <w:lang w:val="en-US" w:eastAsia="zh-CN" w:bidi="ar-SA"/>
              </w:rPr>
              <w:t>。</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编写教材并出版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结合采购方教学实际需求，编写《建筑工程施工技术》教材并在出版社公开出版，具体要求如下：</w:t>
            </w:r>
          </w:p>
          <w:p>
            <w:pPr>
              <w:widowControl/>
              <w:spacing w:line="360" w:lineRule="auto"/>
              <w:jc w:val="left"/>
              <w:textAlignment w:val="center"/>
              <w:rPr>
                <w:highlight w:val="none"/>
              </w:rPr>
            </w:pPr>
            <w:r>
              <w:rPr>
                <w:rFonts w:hint="eastAsia"/>
                <w:highlight w:val="none"/>
              </w:rPr>
              <w:t>一、编写教材并印刷</w:t>
            </w:r>
          </w:p>
          <w:p>
            <w:pPr>
              <w:widowControl/>
              <w:spacing w:line="360" w:lineRule="auto"/>
              <w:jc w:val="left"/>
              <w:textAlignment w:val="center"/>
              <w:rPr>
                <w:highlight w:val="none"/>
              </w:rPr>
            </w:pPr>
            <w:r>
              <w:rPr>
                <w:rFonts w:hint="eastAsia"/>
                <w:highlight w:val="none"/>
              </w:rPr>
              <w:t>1．由企业项目组成员与专业课老师组建《建筑工程施工技术》教材编写小组；</w:t>
            </w:r>
          </w:p>
          <w:p>
            <w:pPr>
              <w:widowControl/>
              <w:spacing w:line="360" w:lineRule="auto"/>
              <w:jc w:val="left"/>
              <w:textAlignment w:val="center"/>
              <w:rPr>
                <w:highlight w:val="none"/>
              </w:rPr>
            </w:pPr>
            <w:r>
              <w:rPr>
                <w:rFonts w:hint="eastAsia"/>
                <w:highlight w:val="none"/>
              </w:rPr>
              <w:t>2．根据《建筑工程施工技术》教材的编写量、老师完成进度与资源储备状况，双方共同制定教材编写计划；</w:t>
            </w:r>
          </w:p>
          <w:p>
            <w:pPr>
              <w:widowControl/>
              <w:spacing w:line="360" w:lineRule="auto"/>
              <w:jc w:val="left"/>
              <w:textAlignment w:val="center"/>
              <w:rPr>
                <w:highlight w:val="none"/>
              </w:rPr>
            </w:pPr>
            <w:r>
              <w:rPr>
                <w:rFonts w:hint="eastAsia"/>
                <w:highlight w:val="none"/>
              </w:rPr>
              <w:t>3．编制过程由一名专家负责规划教材大纲， 审核教材定稿，一名教材编写人员与专业课老师共同负责；</w:t>
            </w:r>
          </w:p>
          <w:p>
            <w:pPr>
              <w:widowControl/>
              <w:spacing w:line="360" w:lineRule="auto"/>
              <w:jc w:val="left"/>
              <w:textAlignment w:val="center"/>
              <w:rPr>
                <w:highlight w:val="none"/>
              </w:rPr>
            </w:pPr>
            <w:r>
              <w:rPr>
                <w:rFonts w:hint="eastAsia"/>
                <w:highlight w:val="none"/>
              </w:rPr>
              <w:t>4．由专家指导，教材编写组组长制定《建筑工程施工技术》教材目录和编写思路，各人员根据分工和进度表，按照编写要求开展各章节编写工作；</w:t>
            </w:r>
          </w:p>
          <w:p>
            <w:pPr>
              <w:widowControl/>
              <w:spacing w:line="360" w:lineRule="auto"/>
              <w:jc w:val="left"/>
              <w:textAlignment w:val="center"/>
              <w:rPr>
                <w:highlight w:val="none"/>
              </w:rPr>
            </w:pPr>
            <w:r>
              <w:rPr>
                <w:rFonts w:hint="eastAsia"/>
                <w:highlight w:val="none"/>
              </w:rPr>
              <w:t>5．由编写组组长与专业老师共同监督，企业专家总协调和解决相关困难；</w:t>
            </w:r>
          </w:p>
          <w:p>
            <w:pPr>
              <w:widowControl/>
              <w:spacing w:line="360" w:lineRule="auto"/>
              <w:jc w:val="left"/>
              <w:textAlignment w:val="center"/>
              <w:rPr>
                <w:highlight w:val="none"/>
              </w:rPr>
            </w:pPr>
            <w:r>
              <w:rPr>
                <w:rFonts w:hint="eastAsia"/>
                <w:highlight w:val="none"/>
              </w:rPr>
              <w:t>6．完成教材初稿后，审稿人进行初审，各负责人完成校对和修改后，完成二审并交由专家三审定稿；</w:t>
            </w:r>
          </w:p>
          <w:p>
            <w:pPr>
              <w:widowControl/>
              <w:spacing w:line="360" w:lineRule="auto"/>
              <w:jc w:val="left"/>
              <w:textAlignment w:val="center"/>
              <w:rPr>
                <w:highlight w:val="none"/>
              </w:rPr>
            </w:pPr>
            <w:r>
              <w:rPr>
                <w:rFonts w:hint="eastAsia"/>
                <w:highlight w:val="none"/>
              </w:rPr>
              <w:t>二、教材出版</w:t>
            </w:r>
          </w:p>
          <w:p>
            <w:pPr>
              <w:widowControl/>
              <w:spacing w:line="360" w:lineRule="auto"/>
              <w:jc w:val="left"/>
              <w:textAlignment w:val="center"/>
              <w:rPr>
                <w:highlight w:val="none"/>
              </w:rPr>
            </w:pPr>
            <w:r>
              <w:rPr>
                <w:rFonts w:hint="eastAsia" w:cs="Times New Roman"/>
                <w:b w:val="0"/>
                <w:kern w:val="2"/>
                <w:sz w:val="21"/>
                <w:szCs w:val="24"/>
                <w:highlight w:val="none"/>
                <w:lang w:val="en-US" w:eastAsia="zh-CN" w:bidi="ar-SA"/>
              </w:rPr>
              <w:t>1</w:t>
            </w:r>
            <w:r>
              <w:rPr>
                <w:rFonts w:hint="eastAsia" w:ascii="Times New Roman" w:hAnsi="Times New Roman" w:eastAsia="宋体" w:cs="Times New Roman"/>
                <w:b w:val="0"/>
                <w:kern w:val="2"/>
                <w:sz w:val="21"/>
                <w:szCs w:val="24"/>
                <w:highlight w:val="none"/>
                <w:lang w:val="en-US" w:eastAsia="zh-CN" w:bidi="ar-SA"/>
              </w:rPr>
              <w:t>．</w:t>
            </w:r>
            <w:r>
              <w:rPr>
                <w:rFonts w:hint="eastAsia"/>
                <w:highlight w:val="none"/>
              </w:rPr>
              <w:t>《建筑工程施工技术》教材在省部级专业教材出版社正式出版，有ISBN书号，提供标准的国际书号（ISBN）,保证单独一本书只有一个ISBN 国际标准书号，并且所出版的教材可以在中华人民共和国新闻出版总署网站检索到主编及相关书籍信息。</w:t>
            </w:r>
          </w:p>
          <w:p>
            <w:pPr>
              <w:widowControl/>
              <w:spacing w:line="360" w:lineRule="auto"/>
              <w:jc w:val="left"/>
              <w:textAlignment w:val="center"/>
              <w:rPr>
                <w:rFonts w:hint="eastAsia"/>
                <w:highlight w:val="none"/>
              </w:rPr>
            </w:pPr>
            <w:r>
              <w:rPr>
                <w:rFonts w:hint="eastAsia" w:cs="Times New Roman"/>
                <w:b w:val="0"/>
                <w:kern w:val="2"/>
                <w:sz w:val="21"/>
                <w:szCs w:val="24"/>
                <w:highlight w:val="none"/>
                <w:lang w:val="en-US" w:eastAsia="zh-CN" w:bidi="ar-SA"/>
              </w:rPr>
              <w:t>2</w:t>
            </w:r>
            <w:r>
              <w:rPr>
                <w:rFonts w:hint="eastAsia" w:ascii="Times New Roman" w:hAnsi="Times New Roman" w:eastAsia="宋体" w:cs="Times New Roman"/>
                <w:b w:val="0"/>
                <w:kern w:val="2"/>
                <w:sz w:val="21"/>
                <w:szCs w:val="24"/>
                <w:highlight w:val="none"/>
                <w:lang w:val="en-US" w:eastAsia="zh-CN" w:bidi="ar-SA"/>
              </w:rPr>
              <w:t>．</w:t>
            </w:r>
            <w:r>
              <w:rPr>
                <w:rFonts w:hint="eastAsia"/>
                <w:highlight w:val="none"/>
              </w:rPr>
              <w:t>在正规出版社公开发行，免费提供10本出版样书。</w:t>
            </w:r>
          </w:p>
          <w:p>
            <w:pPr>
              <w:pStyle w:val="2"/>
              <w:rPr>
                <w:highlight w:val="none"/>
              </w:rPr>
            </w:pPr>
            <w:r>
              <w:rPr>
                <w:rFonts w:hint="eastAsia" w:ascii="Times New Roman" w:hAnsi="Times New Roman" w:eastAsia="宋体" w:cs="Times New Roman"/>
                <w:b w:val="0"/>
                <w:kern w:val="2"/>
                <w:sz w:val="21"/>
                <w:szCs w:val="24"/>
                <w:highlight w:val="none"/>
                <w:lang w:val="en-US" w:eastAsia="zh-CN" w:bidi="ar-SA"/>
              </w:rPr>
              <w:t>3．</w:t>
            </w:r>
            <w:r>
              <w:rPr>
                <w:rFonts w:hint="eastAsia" w:ascii="Times New Roman" w:hAnsi="Times New Roman" w:cs="Times New Roman"/>
                <w:b w:val="0"/>
                <w:kern w:val="2"/>
                <w:sz w:val="21"/>
                <w:szCs w:val="24"/>
                <w:highlight w:val="none"/>
                <w:lang w:val="en-US" w:eastAsia="zh-CN" w:bidi="ar-SA"/>
              </w:rPr>
              <w:t>2028年12月前</w:t>
            </w:r>
            <w:r>
              <w:rPr>
                <w:rFonts w:hint="eastAsia" w:ascii="Times New Roman" w:hAnsi="Times New Roman" w:eastAsia="宋体" w:cs="Times New Roman"/>
                <w:b w:val="0"/>
                <w:kern w:val="2"/>
                <w:sz w:val="21"/>
                <w:szCs w:val="24"/>
                <w:highlight w:val="none"/>
                <w:lang w:val="en-US" w:eastAsia="zh-CN" w:bidi="ar-SA"/>
              </w:rPr>
              <w:t>完成教材</w:t>
            </w:r>
            <w:r>
              <w:rPr>
                <w:rFonts w:hint="eastAsia" w:cs="Times New Roman"/>
                <w:b w:val="0"/>
                <w:kern w:val="2"/>
                <w:sz w:val="21"/>
                <w:szCs w:val="24"/>
                <w:highlight w:val="none"/>
                <w:lang w:val="en-US" w:eastAsia="zh-CN" w:bidi="ar-SA"/>
              </w:rPr>
              <w:t>出版</w:t>
            </w:r>
            <w:r>
              <w:rPr>
                <w:rFonts w:hint="eastAsia" w:ascii="Times New Roman" w:hAnsi="Times New Roman" w:eastAsia="宋体" w:cs="Times New Roman"/>
                <w:b w:val="0"/>
                <w:kern w:val="2"/>
                <w:sz w:val="21"/>
                <w:szCs w:val="24"/>
                <w:highlight w:val="none"/>
                <w:lang w:val="en-US" w:eastAsia="zh-CN" w:bidi="ar-SA"/>
              </w:rPr>
              <w:t>。</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微课制作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bidi="ar"/>
              </w:rPr>
              <w:t>建筑工程施工技术课程2节，要达到自治区建筑虚拟仿真基地验收标准</w:t>
            </w:r>
            <w:r>
              <w:rPr>
                <w:rFonts w:hint="eastAsia" w:ascii="宋体" w:hAnsi="宋体" w:cs="宋体"/>
                <w:kern w:val="0"/>
                <w:szCs w:val="21"/>
                <w:highlight w:val="none"/>
                <w:lang w:eastAsia="zh-CN" w:bidi="ar"/>
              </w:rPr>
              <w:t>；</w:t>
            </w:r>
            <w:r>
              <w:rPr>
                <w:rFonts w:hint="eastAsia" w:ascii="宋体" w:hAnsi="宋体" w:cs="宋体"/>
                <w:kern w:val="0"/>
                <w:szCs w:val="21"/>
                <w:highlight w:val="none"/>
                <w:lang w:val="en-US" w:eastAsia="zh-CN" w:bidi="ar"/>
              </w:rPr>
              <w:t>并于</w:t>
            </w:r>
            <w:r>
              <w:rPr>
                <w:rFonts w:hint="eastAsia" w:ascii="Times New Roman" w:hAnsi="Times New Roman" w:cs="Times New Roman"/>
                <w:b w:val="0"/>
                <w:kern w:val="2"/>
                <w:sz w:val="21"/>
                <w:szCs w:val="24"/>
                <w:highlight w:val="none"/>
                <w:lang w:val="en-US" w:eastAsia="zh-CN" w:bidi="ar-SA"/>
              </w:rPr>
              <w:t>2028年12月前</w:t>
            </w:r>
            <w:r>
              <w:rPr>
                <w:rFonts w:hint="eastAsia" w:ascii="Times New Roman" w:hAnsi="Times New Roman" w:eastAsia="宋体" w:cs="Times New Roman"/>
                <w:b w:val="0"/>
                <w:kern w:val="2"/>
                <w:sz w:val="21"/>
                <w:szCs w:val="24"/>
                <w:highlight w:val="none"/>
                <w:lang w:val="en-US" w:eastAsia="zh-CN" w:bidi="ar-SA"/>
              </w:rPr>
              <w:t>完成。</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highlight w:val="none"/>
              </w:rPr>
              <w:t>设备安装及环境布置要求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项</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1.布艺印花全遮光 90%+垂直帘窗帘，包括：窗帘布、布带、捆边、加厚窗帘杆、打孔圈。尺寸根据实训室布置情况定制，以窗户的实际面积为准；</w:t>
            </w:r>
          </w:p>
          <w:p>
            <w:pPr>
              <w:pStyle w:val="17"/>
              <w:spacing w:line="360" w:lineRule="auto"/>
              <w:rPr>
                <w:rFonts w:ascii="宋体" w:hAnsi="宋体" w:cs="宋体"/>
                <w:kern w:val="0"/>
                <w:sz w:val="21"/>
                <w:szCs w:val="21"/>
                <w:highlight w:val="none"/>
                <w:lang w:bidi="ar"/>
              </w:rPr>
            </w:pPr>
            <w:r>
              <w:rPr>
                <w:rFonts w:hint="eastAsia" w:ascii="宋体" w:hAnsi="宋体" w:cs="宋体"/>
                <w:kern w:val="0"/>
                <w:sz w:val="21"/>
                <w:szCs w:val="21"/>
                <w:highlight w:val="none"/>
                <w:lang w:bidi="ar"/>
              </w:rPr>
              <w:t>2.综合布线：布线：照明设备安装，电箱、开关、插座、照明安装；吊顶：安装未来科技风 LED平板灯600mm×600mm，按实训室实际面积配置；拆除原教室的旧灯具、旧线路、旧风扇工程；</w:t>
            </w:r>
          </w:p>
          <w:p>
            <w:pPr>
              <w:pStyle w:val="17"/>
              <w:spacing w:line="360" w:lineRule="auto"/>
              <w:rPr>
                <w:rFonts w:ascii="宋体" w:hAnsi="宋体" w:cs="宋体"/>
                <w:kern w:val="0"/>
                <w:sz w:val="21"/>
                <w:szCs w:val="21"/>
                <w:highlight w:val="none"/>
                <w:lang w:bidi="ar"/>
              </w:rPr>
            </w:pPr>
            <w:r>
              <w:rPr>
                <w:rFonts w:hint="eastAsia" w:ascii="宋体" w:hAnsi="宋体" w:cs="宋体"/>
                <w:kern w:val="0"/>
                <w:sz w:val="21"/>
                <w:szCs w:val="21"/>
                <w:highlight w:val="none"/>
                <w:lang w:bidi="ar"/>
              </w:rPr>
              <w:t>3.吊顶：天花采用未来科技风轻钢龙骨框架，600×600铝扣板，根据学校实训室场地面积规格配置；</w:t>
            </w:r>
          </w:p>
          <w:p>
            <w:pPr>
              <w:pStyle w:val="17"/>
              <w:spacing w:line="360" w:lineRule="auto"/>
              <w:rPr>
                <w:rFonts w:ascii="宋体" w:hAnsi="宋体" w:cs="宋体"/>
                <w:kern w:val="0"/>
                <w:sz w:val="21"/>
                <w:szCs w:val="21"/>
                <w:highlight w:val="none"/>
                <w:lang w:bidi="ar"/>
              </w:rPr>
            </w:pPr>
            <w:r>
              <w:rPr>
                <w:rFonts w:hint="eastAsia" w:ascii="宋体" w:hAnsi="宋体" w:cs="宋体"/>
                <w:kern w:val="0"/>
                <w:sz w:val="21"/>
                <w:szCs w:val="21"/>
                <w:highlight w:val="none"/>
                <w:lang w:bidi="ar"/>
              </w:rPr>
              <w:t>4.腻子墙面：墙面涂料工程，刮腻子，基层处理，根据学校实训室场地面积规格配置；</w:t>
            </w:r>
          </w:p>
          <w:p>
            <w:pPr>
              <w:pStyle w:val="17"/>
              <w:spacing w:line="360" w:lineRule="auto"/>
              <w:rPr>
                <w:rFonts w:ascii="宋体" w:hAnsi="宋体" w:cs="宋体"/>
                <w:kern w:val="0"/>
                <w:sz w:val="21"/>
                <w:szCs w:val="21"/>
                <w:highlight w:val="none"/>
                <w:lang w:bidi="ar"/>
              </w:rPr>
            </w:pPr>
            <w:r>
              <w:rPr>
                <w:rFonts w:hint="eastAsia" w:ascii="宋体" w:hAnsi="宋体" w:cs="宋体"/>
                <w:kern w:val="0"/>
                <w:sz w:val="21"/>
                <w:szCs w:val="21"/>
                <w:highlight w:val="none"/>
                <w:lang w:bidi="ar"/>
              </w:rPr>
              <w:t>5.</w:t>
            </w:r>
            <w:r>
              <w:rPr>
                <w:rFonts w:hint="eastAsia" w:ascii="宋体" w:hAnsi="宋体" w:cs="宋体"/>
                <w:sz w:val="21"/>
                <w:szCs w:val="21"/>
                <w:highlight w:val="none"/>
              </w:rPr>
              <w:t>专</w:t>
            </w:r>
            <w:r>
              <w:rPr>
                <w:rFonts w:hint="eastAsia" w:ascii="宋体" w:hAnsi="宋体" w:cs="宋体"/>
                <w:kern w:val="0"/>
                <w:sz w:val="21"/>
                <w:szCs w:val="21"/>
                <w:highlight w:val="none"/>
                <w:lang w:bidi="ar"/>
              </w:rPr>
              <w:t>业文化建设：实训室的标识设计与制作安装，包括门头字、门牌、挂图、背景墙等（根据学校要求定制）。</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定制化氛围营造建设，包含未来科技风的虚拟仿真氛围，文化墙，吊顶，地面，墙面、窗帘等装修建设</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渲染设备（国产电脑）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1. CPU：采用先进架构的八核心处理器，包含十六个并行处理线程，处理器的基准运行频率为3.0 GHz；动态加速频率3.3GHz，16MB三级缓存；；</w:t>
            </w:r>
          </w:p>
          <w:p>
            <w:pPr>
              <w:widowControl/>
              <w:spacing w:line="360" w:lineRule="auto"/>
              <w:jc w:val="left"/>
              <w:textAlignment w:val="center"/>
              <w:rPr>
                <w:highlight w:val="none"/>
              </w:rPr>
            </w:pPr>
            <w:r>
              <w:rPr>
                <w:rFonts w:hint="eastAsia"/>
                <w:highlight w:val="none"/>
              </w:rPr>
              <w:t>2. 内存：≥32GB DDR5;</w:t>
            </w:r>
          </w:p>
          <w:p>
            <w:pPr>
              <w:widowControl/>
              <w:spacing w:line="360" w:lineRule="auto"/>
              <w:jc w:val="left"/>
              <w:textAlignment w:val="center"/>
              <w:rPr>
                <w:highlight w:val="none"/>
              </w:rPr>
            </w:pPr>
            <w:r>
              <w:rPr>
                <w:rFonts w:hint="eastAsia"/>
                <w:highlight w:val="none"/>
              </w:rPr>
              <w:t>3. 显存容量：≥24GB;</w:t>
            </w:r>
          </w:p>
          <w:p>
            <w:pPr>
              <w:widowControl/>
              <w:spacing w:line="360" w:lineRule="auto"/>
              <w:jc w:val="left"/>
              <w:textAlignment w:val="center"/>
              <w:rPr>
                <w:highlight w:val="none"/>
              </w:rPr>
            </w:pPr>
            <w:r>
              <w:rPr>
                <w:rFonts w:hint="eastAsia"/>
                <w:highlight w:val="none"/>
              </w:rPr>
              <w:t>4. 支持分辨率：≥7680*4320;</w:t>
            </w:r>
          </w:p>
          <w:p>
            <w:pPr>
              <w:widowControl/>
              <w:spacing w:line="360" w:lineRule="auto"/>
              <w:jc w:val="left"/>
              <w:textAlignment w:val="center"/>
              <w:rPr>
                <w:highlight w:val="none"/>
              </w:rPr>
            </w:pPr>
            <w:r>
              <w:rPr>
                <w:rFonts w:hint="eastAsia"/>
                <w:highlight w:val="none"/>
              </w:rPr>
              <w:t>5. 显卡：≥ RTX A5000;</w:t>
            </w:r>
          </w:p>
          <w:p>
            <w:pPr>
              <w:widowControl/>
              <w:spacing w:line="360" w:lineRule="auto"/>
              <w:jc w:val="left"/>
              <w:textAlignment w:val="center"/>
              <w:rPr>
                <w:highlight w:val="none"/>
              </w:rPr>
            </w:pPr>
            <w:r>
              <w:rPr>
                <w:rFonts w:hint="eastAsia"/>
                <w:highlight w:val="none"/>
              </w:rPr>
              <w:t>6. 硬盘：≥2T SSD;</w:t>
            </w:r>
          </w:p>
          <w:p>
            <w:pPr>
              <w:widowControl/>
              <w:spacing w:line="360" w:lineRule="auto"/>
              <w:jc w:val="left"/>
              <w:textAlignment w:val="center"/>
              <w:rPr>
                <w:highlight w:val="none"/>
              </w:rPr>
            </w:pPr>
            <w:r>
              <w:rPr>
                <w:rFonts w:hint="eastAsia"/>
                <w:highlight w:val="none"/>
              </w:rPr>
              <w:t>7. 需提供原装键鼠一套;</w:t>
            </w:r>
          </w:p>
          <w:p>
            <w:pPr>
              <w:widowControl/>
              <w:spacing w:line="360" w:lineRule="auto"/>
              <w:jc w:val="left"/>
              <w:textAlignment w:val="center"/>
              <w:rPr>
                <w:highlight w:val="none"/>
              </w:rPr>
            </w:pPr>
            <w:r>
              <w:rPr>
                <w:rFonts w:hint="eastAsia"/>
                <w:highlight w:val="none"/>
              </w:rPr>
              <w:t>8. 支持64位操作系统.</w:t>
            </w:r>
          </w:p>
          <w:p>
            <w:pPr>
              <w:pStyle w:val="2"/>
              <w:rPr>
                <w:highlight w:val="none"/>
              </w:rPr>
            </w:pPr>
            <w:r>
              <w:rPr>
                <w:rFonts w:hint="eastAsia" w:cs="宋体"/>
                <w:b w:val="0"/>
                <w:bCs/>
                <w:kern w:val="0"/>
                <w:sz w:val="21"/>
                <w:szCs w:val="21"/>
                <w:highlight w:val="none"/>
                <w:lang w:bidi="ar"/>
              </w:rPr>
              <w:t>9.★响应文件中必须提供该产品由国家确定的认证机构出具的处于有效期之内的节能产品认证并加盖供应商公章。</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调试显示器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highlight w:val="none"/>
              </w:rPr>
            </w:pPr>
            <w:r>
              <w:rPr>
                <w:rFonts w:hint="eastAsia"/>
                <w:highlight w:val="none"/>
              </w:rPr>
              <w:t>1.显示尺寸：21.5英寸</w:t>
            </w:r>
          </w:p>
          <w:p>
            <w:pPr>
              <w:widowControl/>
              <w:spacing w:line="360" w:lineRule="auto"/>
              <w:jc w:val="left"/>
              <w:textAlignment w:val="center"/>
              <w:rPr>
                <w:highlight w:val="none"/>
              </w:rPr>
            </w:pPr>
            <w:r>
              <w:rPr>
                <w:rFonts w:hint="eastAsia"/>
                <w:highlight w:val="none"/>
              </w:rPr>
              <w:t>2.分辨率：1920*1080；</w:t>
            </w:r>
          </w:p>
          <w:p>
            <w:pPr>
              <w:widowControl/>
              <w:spacing w:line="360" w:lineRule="auto"/>
              <w:jc w:val="left"/>
              <w:textAlignment w:val="center"/>
              <w:rPr>
                <w:highlight w:val="none"/>
              </w:rPr>
            </w:pPr>
            <w:r>
              <w:rPr>
                <w:rFonts w:hint="eastAsia"/>
                <w:highlight w:val="none"/>
              </w:rPr>
              <w:t>3.亮度：250nits；</w:t>
            </w:r>
          </w:p>
          <w:p>
            <w:pPr>
              <w:widowControl/>
              <w:spacing w:line="360" w:lineRule="auto"/>
              <w:jc w:val="left"/>
              <w:textAlignment w:val="center"/>
              <w:rPr>
                <w:highlight w:val="none"/>
              </w:rPr>
            </w:pPr>
            <w:r>
              <w:rPr>
                <w:rFonts w:hint="eastAsia"/>
                <w:highlight w:val="none"/>
              </w:rPr>
              <w:t>4.对比度：1000：1</w:t>
            </w:r>
          </w:p>
          <w:p>
            <w:pPr>
              <w:pStyle w:val="17"/>
              <w:spacing w:line="360" w:lineRule="auto"/>
              <w:rPr>
                <w:highlight w:val="none"/>
              </w:rPr>
            </w:pPr>
            <w:r>
              <w:rPr>
                <w:rFonts w:hint="eastAsia" w:ascii="宋体" w:hAnsi="宋体" w:cs="宋体"/>
                <w:kern w:val="0"/>
                <w:sz w:val="21"/>
                <w:szCs w:val="21"/>
                <w:highlight w:val="none"/>
                <w:lang w:bidi="ar"/>
              </w:rPr>
              <w:t>5.★响应文件中必须提供该产品由国家确定的认证机构出具的处于有效期之内的节能产品认证并</w:t>
            </w:r>
            <w:bookmarkStart w:id="49" w:name="OLE_LINK3"/>
            <w:r>
              <w:rPr>
                <w:rFonts w:hint="eastAsia" w:ascii="宋体" w:hAnsi="宋体" w:cs="宋体"/>
                <w:kern w:val="0"/>
                <w:sz w:val="21"/>
                <w:szCs w:val="21"/>
                <w:highlight w:val="none"/>
                <w:lang w:bidi="ar"/>
              </w:rPr>
              <w:t>加盖供应商公章</w:t>
            </w:r>
            <w:bookmarkEnd w:id="49"/>
            <w:r>
              <w:rPr>
                <w:rFonts w:hint="eastAsia" w:ascii="宋体" w:hAnsi="宋体" w:cs="宋体"/>
                <w:kern w:val="0"/>
                <w:sz w:val="21"/>
                <w:szCs w:val="21"/>
                <w:highlight w:val="none"/>
                <w:lang w:bidi="ar"/>
              </w:rPr>
              <w:t>。</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定位硬件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highlight w:val="none"/>
                <w:lang w:bidi="ar"/>
              </w:rPr>
            </w:pPr>
            <w:r>
              <w:rPr>
                <w:rFonts w:hint="eastAsia" w:ascii="宋体" w:hAnsi="宋体" w:cs="宋体"/>
                <w:szCs w:val="21"/>
                <w:highlight w:val="none"/>
              </w:rPr>
              <w:t>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1.系统采用光惯融合定位方式，通过主动式红外光学追踪精准定位，结合IMU的高刷新率确保系统高精度低延时的追踪定位。</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2.系统支持追踪体验者的头部及双手运动，以支持沉浸式体验效果。需提供眼镜、双手柄和追踪摄像头结合边框标记点满足追踪使用。支持双手柄追踪无需借助第三方外设(如头盔)。</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3.系统可靠性高，支持仅有单个摄像头的工作的情况下，完成物体的定位及追踪。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4.系统易用性高，系统部署后无需定期校准可确保追踪稳定性和精度不变；</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5.★系统</w:t>
            </w:r>
            <w:r>
              <w:rPr>
                <w:rFonts w:hint="eastAsia" w:ascii="宋体" w:hAnsi="宋体" w:cs="宋体"/>
                <w:kern w:val="0"/>
                <w:szCs w:val="21"/>
                <w:highlight w:val="none"/>
                <w:lang w:val="en-US" w:eastAsia="zh-CN" w:bidi="ar"/>
              </w:rPr>
              <w:t>须</w:t>
            </w:r>
            <w:r>
              <w:rPr>
                <w:rFonts w:hint="eastAsia" w:ascii="宋体" w:hAnsi="宋体" w:cs="宋体"/>
                <w:kern w:val="0"/>
                <w:szCs w:val="21"/>
                <w:highlight w:val="none"/>
                <w:lang w:bidi="ar"/>
              </w:rPr>
              <w:t>提供1套(左手、右手)手持式无线追踪手柄，手持式无线手柄与摄像头通过磁吸式POGO PIN的连接方式连接，具备给摄像头供电及接收数据能力；</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6.★系统</w:t>
            </w:r>
            <w:r>
              <w:rPr>
                <w:rFonts w:hint="eastAsia" w:ascii="宋体" w:hAnsi="宋体" w:cs="宋体"/>
                <w:kern w:val="0"/>
                <w:szCs w:val="21"/>
                <w:highlight w:val="none"/>
                <w:lang w:val="en-US" w:eastAsia="zh-CN" w:bidi="ar"/>
              </w:rPr>
              <w:t>须</w:t>
            </w:r>
            <w:r>
              <w:rPr>
                <w:rFonts w:hint="eastAsia" w:ascii="宋体" w:hAnsi="宋体" w:cs="宋体"/>
                <w:kern w:val="0"/>
                <w:szCs w:val="21"/>
                <w:highlight w:val="none"/>
                <w:lang w:bidi="ar"/>
              </w:rPr>
              <w:t>提供2套(1套备用)支持主动追踪功能的眼镜， 眼镜与摄像头通过磁吸式POGO PIN的连接方式连接，并具备给摄像头供电及进行数据通信的能力。</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7.追踪摄像头3个，具备以下性能：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★摄像头模组内置光学镜头，图像处理单元，惯性传感器；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摄像头尺寸≤16 × 16 × 21 mm，重量≤11g。</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摄像头视场角：水平视场角≥230度，垂直视场角≥180度。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8.系统需提供主动式发光标记点且具备以下性能指标：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★发光标记点可发出850</w:t>
            </w:r>
            <w:r>
              <w:rPr>
                <w:rFonts w:hint="eastAsia" w:ascii="宋体" w:hAnsi="宋体" w:cs="宋体"/>
                <w:kern w:val="0"/>
                <w:szCs w:val="21"/>
                <w:highlight w:val="none"/>
                <w:lang w:val="en-US" w:eastAsia="zh-CN" w:bidi="ar"/>
              </w:rPr>
              <w:t>m</w:t>
            </w:r>
            <w:r>
              <w:rPr>
                <w:rFonts w:hint="eastAsia" w:ascii="宋体" w:hAnsi="宋体" w:cs="宋体"/>
                <w:kern w:val="0"/>
                <w:szCs w:val="21"/>
                <w:highlight w:val="none"/>
                <w:lang w:bidi="ar"/>
              </w:rPr>
              <w:t>m的红外光。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发光标记点集成于LED显示屏边框上，科学排布。</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19</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rPr>
            </w:pPr>
            <w:r>
              <w:rPr>
                <w:rFonts w:hint="eastAsia" w:ascii="宋体" w:hAnsi="宋体" w:cs="宋体"/>
                <w:kern w:val="0"/>
                <w:szCs w:val="21"/>
                <w:highlight w:val="none"/>
                <w:lang w:bidi="ar"/>
              </w:rPr>
              <w:t>定位软件</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Cs/>
                <w:kern w:val="0"/>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szCs w:val="21"/>
                <w:highlight w:val="none"/>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1.为保证系统的易用性，系统支持保存功能，能够保存追踪节点设置数据并支持设置追踪体序号功能；支持设置VRPN服务器信息，包含VRPN服务器名称、端口等，并保存VRPN数据，以便程序启动后无需多次设置；</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2.为了系统算法处理器的稳定性，系统要求采用C/S架构；</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3.为了适应不同场景不同案例对房间坐标系的要求，系统无需校准；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4.追踪环境节点可对前后偏移量、左右偏移量、上下偏移量进行设置。</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5.系统支持追踪节点设置，包含标识名设置、标记体序号设置、旋转偏移（Y轴）设置，其中标识名包含眼镜、左手柄、右手柄、自定义四种选项</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6.支持一键适配及手动应用环境数据，可针对不同的硬件布局及不同的发光标记点的空间分布情况。支持发光标记点以图示化的方式在软件中呈现；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7.支持交互手柄的按键和轴映射，包含扳机键、菜单键、系统键、抓握键、遥感等。无需修改VR资源即可在追踪软件中任意修改、调整按键功能。系统可以实时显示按键和遥杆的触发状态，提高系统易用性。</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8.为了方便查看当前追踪信息，系统支持显示3D视图，3D视图显示追踪场景的三维房间坐标系，界面实时显示3个追踪节点在场景中的6自由度运动信息；</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9.为了显示发光标记点的空间位置信息，软件提供了可调间距的网格坐标系。可根据应用场景，自定义设置网格比例尺大小；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10.具备无线信道扫描功能，扫描结果可视化，根据丢包数量分析出最优信道，并可直接选取和应用最优信道，减少延迟；</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11.★软件可靠性高，在摄像头被遮挡情况下，依靠惯性传感器可以实现手柄和眼镜的旋转追踪信息在软件中实时体现；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12.★软件可靠性高，在遮挡2个发光标记点时， 3个追踪节点仍然可以被追踪到，短时通过IMU输出追踪节点的空间坐标信息；</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13. 系统支持保存功能，能够保存节点设置数据、VRPN数据，以便程序启动后无需多次设置。</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14. 可以实时输出通讯连接、修改内容保存提醒、环境数据更新等日志信息；</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20</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LED显示终端</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12</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1.显示面积：≥17.2㎡；</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2.像素间距：≤1.9mm；</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3.封装方式：SMD表贴三合一；</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4.像素密度：≥288906 Dots/㎡；</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5.驱动方式：恒流驱动；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6.白平衡亮度：≥600cd/㎡；</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7.亮度均匀性：≥95%；</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8.色度均匀性：±0.02Cx、Cy；</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9.视角：水平/垂直≥160°/160°；</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10.对比度：≥5000：1；</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11.刷新率：≥3840Hz；</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12.换帧率：60Hz/120Hz;</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13. 支持自动gamma校正技术；</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14. 箱体采用压铸铝合金材质；</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15.要求像素点对点显示。</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21</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图形处理系统</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个</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1.具备液晶面板和功能提供信息查看功能，可以显示设备型号和设备IP查看功能；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2.支持6路视频输入：2路4K接口输入、4路2K接口输入；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3.支持最大视频信号输入：4096×2160@60Hz输入，支持1920*1200@120Hz分辨率主动立体输入；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4.支持最少20路千兆网口输出；</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5.单台最大带载：1300万像素，最宽16384像素、或最高8192像素；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6.需支持系统主动立体120Hz全同步输入输出显示、和非同步显示；</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输入输出接口分辨率可自定义为非标准分辨率；支持在线修改EDID，无需第三方工具；自定义输出有效范围4096x4096，支持奇数垂直像数输出(比如1920x1081),有效输出区域完全可自定义。支持输入输出图像裁剪，实现图像切边、局部放大等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8.支持6画面显示，位置、大小可自由调节；</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9.支持16个场景的预置保存和调用；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10.无需前端输入立体信号，自适应支持内部120Hz主动立体视差调整，以us为单位调整立体画面左右眼间距以优化主动立体景深感；</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11.无需场景切换和功能切换实现3D和2D画面共同显示，可实现局部3D播放或者局部2D画面；</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12.通过该发送可调试显示屏的色域坐标，显示不同坐标值色温，进行精确颜色管理;可任意改变 0-255 灰阶不同灰度值的亮度显示 并进行任意调节;色温调节精度在100K以内；</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13. 支持Web端控制，兼容windows、iOS、Android、Linux平台；</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14.支持RS232串口协议控制。</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22</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图形处理软件</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1.可完全自定义各输出接口像素的起始位置和高度，即允许设置每个输出口切割总体画面的任意一块，设置精度达到逐像素;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2.支持输入信号裁切及局部显示，可以通过软件以像素为单位精确设置对图像切边、局部放大等操作；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3.可设置输出信号的有效区域，设置后所有窗口仅能在有效区域内漫游，支持非标准分辨率输出;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4.可设置输入和输出添加标识，可设置输出任意颜色的测试图像，测试色彩可完全自定义;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5.可设置输入接口任意自定义分辨率，可对时钟频率、输入图像同步的所有参数进行精确设置，设置自定义分辨率及详细参数和在线修改设备EDID无需通过第三方软件调用直接设置，可直接设置与大屏相适应的点对点分辨率;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6.为方便采购人教学的便捷性，需具备2D和3D同时显示的效果功能。可在一块屏幕上提供两个视角进行观看，实现一边播放2D的PPT、文档等材料，另一边播放3D的VR效果内容；</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7.用于 LED 显示屏控制和播放的专业软件。该软件功能丰富、性能优越，兼具良好的操作界面，易学易用。支持视频、音频、图像、文字、Flash、Gif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复合视频)播放;支持多页面多分区节目编辑;软件提供了丰富灵活的视频切换功能、分区特效，以及三维特效动画，让显示屏的显示效果得到完美展现。</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23</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3D信号发射器</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1.频率：2.45G±500MHz；</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2.发射功率：0.1W MAX；</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3.反射范围：正向不小于110m，反向不小于90m；</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4.兼容眼镜：射频3D 眼镜。</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24</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3D主动立体眼镜</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40</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个</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1.光学特性：工作模式为液晶快门式，透过率：36%，对比度1000：1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2.供电方式：充电型眼镜，电池类型为3.7V锂电池，容量≥80Mah；</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3.连续工作时间：不低于35小时；</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4.额定工作电流：≤1.2mA；</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5.充电时间：充满电2.5小时以内；</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6.温度特性：工作温度为0℃~45℃，存储温度为10℃~60℃；</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7.轻量级眼镜：重量≤40g；</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25</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音效设备</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一、含专业音响4只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1.频率响应  60Hz19KHz(±3dB)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2.灵敏度  98dB /W(lm)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3.最大声压级  108dB MAX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4.阻抗  8Ω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二、含扩声功放2台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1.频响：20~20kHz+0.1dB;</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2.噪声：100dB;</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3.输入灵敏度：1.21;</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4.电压增益：36dB;</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三、含话筒1套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1.频率范围：600940MHz；</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2.音频频响 40~18000Hz；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3.失真度 ≤1%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4.可调信道数 128+128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5.信噪比 ≥100dB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四、含适配音响的效果器和时序器各1台；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五、包含系统所需线材（需达到完成整套设备运行的音频线、视频线等线材）。</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六、蓝牙麦克风：</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1.无线麦克风采用蓝牙技术，发射器与接收器自动对频任意匹配，全部通用；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2.系统采用近距离联接机制，对频范围不大于5米，防止各教室之间串扰；使用距离确保15米内无噪音、断音、无死角；</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3.发射器要求采用充电式电池，满电状态下可连续使用时间不小于20小时；充电接口采用通用的USB接口，方便使用；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4.可颈挂，手持，领夹等多种方式使用。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5.发射器具有电脑翻页器功能，可以与教室里蓝牙接收器实现电脑翻页功能，无需另配接收器；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6.具有激光教鞭功能。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7.有效接收距离：15米以内；</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8.连续使用时间：20小时以上；</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26</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一体化结构3D眼镜充电柜</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1.机柜尺寸:≥629x700x2720mm；</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2.设计满足50付3D眼镜充电空间；</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3.采用冷扎碳钢（SPCC.材料加工，黑砂纹喷粉烤漆工艺，抗裂，耐磨防刮，耐腐蚀， 防水易清洁，边框保护效果更好；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4.专业机械设计结构经久耐用，可现场快速安装需；采用专业一体化结构，设计独立设备安装仓位和键盘眼镜控制器收纳，二层收纳抽屉同时满足键盘、眼镜控制器收纳；</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5.设置对流散热布局造型，消除聚热；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6.需设有渲染设备、场景管理器、3D眼镜等设备存储安放空间；</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7.需具备键盘、鼠标等设备收纳、操作。</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27</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XR内容桥接软件</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一、基本要求</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1.软件需支持光学追踪系统和基于VRPN协议的交互设备，如3D眼镜、手柄控制器、追踪标记体等，可进行头部追踪、手部追踪、绑定手柄按键和事件。</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2.软件需支持配置文件和案例内容的历史记录功能。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3.软件需支持主控端一键分发配置文件和案例内容，并体现分发进度。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4.软件需提供开发示例Demo，Demo需包含场景跳转、VR手柄摇杆进行场景漫游、UI交互、物体抓取、双手旋转物体、双手缩放物体、VR手柄按键进行人物瞬移等功能。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5.软件需提供在线用户使用手册和开发者使用手册。</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6.软件需支持部署在非大屏端的头盔版本VR内容在无头盔的情况下，可以传输到大屏上进行立体显示且可追踪交互。</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7.为了让用户在大屏上拥有沉浸式的体验，保留原有交互方式，可以利用手柄和眼镜在大屏上进行交互体验。</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8.为了方便用户在大屏上快速体验头显内容，软件需支持自动获取显示当前网段中所有在线主机的IP，也可以自定义输入IP。</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二、核心参数：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val="en-US" w:eastAsia="zh-CN" w:bidi="ar"/>
              </w:rPr>
              <w:t>软件须</w:t>
            </w:r>
            <w:r>
              <w:rPr>
                <w:rFonts w:hint="eastAsia" w:ascii="宋体" w:hAnsi="宋体" w:cs="宋体"/>
                <w:kern w:val="0"/>
                <w:szCs w:val="21"/>
                <w:highlight w:val="none"/>
                <w:lang w:bidi="ar"/>
              </w:rPr>
              <w:t>提供中国计算机软件著作权登记证书作为自主产权证明</w:t>
            </w:r>
            <w:r>
              <w:rPr>
                <w:rFonts w:hint="eastAsia"/>
                <w:highlight w:val="none"/>
              </w:rPr>
              <w:t>（投标时提供</w:t>
            </w:r>
            <w:r>
              <w:rPr>
                <w:rFonts w:hint="eastAsia"/>
                <w:highlight w:val="none"/>
                <w:lang w:val="en-US" w:eastAsia="zh-CN"/>
              </w:rPr>
              <w:t>证书复印件</w:t>
            </w:r>
            <w:r>
              <w:rPr>
                <w:rFonts w:hint="eastAsia" w:ascii="宋体" w:hAnsi="宋体" w:cs="宋体"/>
                <w:kern w:val="0"/>
                <w:sz w:val="21"/>
                <w:szCs w:val="21"/>
                <w:highlight w:val="none"/>
                <w:lang w:bidi="ar"/>
              </w:rPr>
              <w:t>加盖供应商公章</w:t>
            </w:r>
            <w:r>
              <w:rPr>
                <w:rFonts w:hint="eastAsia"/>
                <w:highlight w:val="none"/>
              </w:rPr>
              <w:t>）</w:t>
            </w:r>
            <w:r>
              <w:rPr>
                <w:rFonts w:hint="eastAsia" w:ascii="宋体" w:hAnsi="宋体" w:cs="宋体"/>
                <w:kern w:val="0"/>
                <w:szCs w:val="21"/>
                <w:highlight w:val="none"/>
                <w:lang w:bidi="ar"/>
              </w:rPr>
              <w:t>；</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2.软件需支持双手柄控制和交互；</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3.软件需采用“1拖N”多通道集群渲染技术，支持单通道、多通道2种方式；</w:t>
            </w:r>
          </w:p>
          <w:p>
            <w:pPr>
              <w:widowControl/>
              <w:spacing w:line="360" w:lineRule="auto"/>
              <w:jc w:val="left"/>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4.软件需支持Unity、Unreal开发的内容适配到VR沉浸式环境；</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5.软件需适配LED大屏、多通道交互显示系统、洞穴式Cave交互显示系统、立体显示器等；。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6.软件需支持对VR沉浸式硬件环境参数的配置，提供追踪数据监控和验证功能。提供网络状态监控和验证功能，可实时显示多台渲染机之间以及追踪系统的网络连接状态；</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软件需提供用于Unity开发的SDK，内置基于VR沉浸式环境交互方式的场景跳转、场景漫游、UI交互、物体抓取、双手旋转物体、双手缩放物体、人物瞬移等基本功能。提供开发者使用手册，包含快速入门和开发进阶等用于对开发者进行教学指导的说明。提供API接口说明文档，包含手柄按键调用、获取人物头部手部等六自由度姿态数据，获取沉浸式环境参数等基本API接口；</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8.需提供UnitySDK视频培训教程；</w:t>
            </w:r>
            <w:r>
              <w:rPr>
                <w:rFonts w:ascii="宋体" w:hAnsi="宋体" w:cs="宋体"/>
                <w:kern w:val="0"/>
                <w:szCs w:val="21"/>
                <w:highlight w:val="none"/>
                <w:lang w:bidi="ar"/>
              </w:rPr>
              <w:t xml:space="preserve">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9.软件需支持将现有的Unity、UE4制作的VR头盔内容，在大屏端进行正常的立体显示，支持原有的双手柄追踪交互，无需二次开发。</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10.软件需支持自动获取已选择的主机上被添加到内容管理中的所有头显内容，可以任意选择一项内容进行一键启动和关闭，同时可以一键重启SteamVR。</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11.软件需提供可调节设置相机速度、拉伸比例、推流帧数、允许摇杆强制位移、允许摇杆强制旋转等参数设置。</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28</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混合现实交互套件</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1.将沉浸式立体大屏上的操作过程投射到另外一个屏幕或者第二台监视器上面，将真实环境与虚拟图层叠加后展现给用户；</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2.可以录制课程教学操作过程；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3.支持修改截图、录屏的画面质量，可选择1080P、720P、480P等不同等级的清晰度；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5.提供图库功能，可在软件内直接检索、查看截图画面和录制的视频；</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6.可将混合现实画面进行直播分享，局域网内的其他用户无需安装客户端，可用手机扫码直接观看；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7.支持rtmp网络直播，可将混合现实画面推流到rtmp服务器，通过微信视频号等平台客户端进行网络直播；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8.提供屏幕参数设置和相机标定的二次校准算法，支持直幕、弧幕等不同尺寸，不同宽高比的屏幕类型；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9.软件自带立体显示的模型查看器，支持GLTF/GLB模型的动态载入，支持在沉浸式大屏上以任意角度观察，移动、旋转、缩放模型；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10.软件自带立体显示的模型查看器，支持对模型的子节点结构进行部件显隐和自由拆装操作，方便老师在上课教学的过程中自由展示模型内部结构。</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11.包含系统所需配套硬件设备。</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29</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内容资源管理软件</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1.本地资源上传、VR视频设置与添加、3D模型预览等。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2.需支持以图表的形式实时统计LED大屏的运行情况、使用情况；</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3.需支持课程资源的图文介绍，支持以图表的形式实时统计资源的使用情况；</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4.需支持管理和播放 .MP4格式的360度、180度VR视频.</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5.需支持管理、播放 .jpg格式的全景图片，软件自身提供至少10张全景图片；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6.需提供不同专业类别的模型文件，支持在线预览和管理.obj.fbx.gltf格式的模型文件；需提供至少100个优质模型文件；</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7.支持运行.EXE格式的内容；</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8.支持多平台、多应用开发格式: 支持国产引擎、Unity3D、Unreal等多种引擎开发的内容;</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9.需支持对本地的VR内容及虚拟仿真内容进行添加和删除，支持按专业或行业标签对3D资源进行分类，方便对内容进行统一管理；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10. 需提供教学资源内容10个,支持从云平台下载VR内容到本地，并进行体验、浏览、管理；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 需有单独软件入口，使用方可以登录账户体验VR内容，利用本地VR环境运行相应的VR资源；</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12. 需具备网络应急处理功能：在网络中断的情况下，恢复网络后支持断点续传，提高资源下载的稳定性； </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13. 软件平台需提供二十大精神系列内容、建党一百周年系列内容、党史系列内容、新中国史内容、特色主题系列内容、红色全景系列内容资源。</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30</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课桌椅（智慧建筑教学实训中心大屏教学区）</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8</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一、六角桌：</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边长80cm，板材采用优质三聚氰胺板制作，基材采用E1级优质环保刨花板，甲醛释放量2.5-2.7mg/100g,含水率低于12%，密度0.73g/cm³,强度高、刚性好、不易变形、比重合理，所有板材均经防虫防腐化学处理，表面握钉力及静曲强度均达到国际标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2.脚架采用优质钢脚，简洁、时尚、大方；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3.五金配件：采用优质铰链，优质导轨；平滑度及滑动性好，承载力强，安全系数高。锁、连接件等所有五金件均通过国际标准盐雾测试48小时以上。</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4.胶粘剂:采用优质胶粘剂，粘性强，具有防水性、防潮性等特点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二、配套椅子(6张）：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1.椅座板及椅背板用40mm厚中空塑胶板；</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2.椅脚采用40×20×0.8mm铁管，焊接处采用二氧化碳气体焊接；</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3.桌椅铁架经过打砂、抛珠除锈、处理后，经流水生产线自动烘干喷塑再进行200℃度高温焗漆固化。</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31</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交换机（智慧建筑教学实训中心大屏教学区）</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2</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1.支持固化千兆电口≥24个，固化千兆光口≥4个，标准1U设备；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2.交换容量≥300Gbps，包转发率≥40Mpps。</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3.支持 MAC地址容量≥8K。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4.支持生成树 STP / RSTP；提高容错能力，保证网络的稳定运行和链路的负载均衡，合理使用网络通道，提供冗余链路利用率。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5.支持静态链路聚合。</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6.支持端口镜像，一对一镜像，多对一镜像。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7.支持DHCP Snooping；很好的避免了上网终端从非法DHCP服务器分配的IP地址，引起的网络异常或安全隐患。</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8.支持VLAN划分，最大支持≥4094个VLAN。</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9.支持高效节能以太网（EEE），端口如果在连续一段时间之内空闲，系统会将该端口设置为节能模式，当有报文收发时再通过定时发送的监听码流唤醒端口恢复业务，达到节能的效果。</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10.为了可以对交换机进行统一的可视化集中管理，要求所投交换机支持管理平台的集中管理，能够实现拓扑呈现，链路状态呈现，远程配置等，实配网管平台，保留测试权力。</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11.要求所投交换机可以通过同一品牌的网管软件或手机APP实现CPU、内存利用率的查看，以及交换机VLAN划分等功能，实配网管平台，保留测试权力；</w:t>
            </w:r>
          </w:p>
          <w:p>
            <w:pPr>
              <w:widowControl/>
              <w:spacing w:line="360" w:lineRule="auto"/>
              <w:jc w:val="left"/>
              <w:textAlignment w:val="center"/>
              <w:rPr>
                <w:rFonts w:ascii="仿宋" w:hAnsi="仿宋" w:eastAsia="仿宋" w:cs="仿宋"/>
                <w:sz w:val="24"/>
                <w:highlight w:val="none"/>
              </w:rPr>
            </w:pPr>
            <w:r>
              <w:rPr>
                <w:rFonts w:hint="eastAsia" w:ascii="宋体" w:hAnsi="宋体" w:cs="宋体"/>
                <w:kern w:val="0"/>
                <w:szCs w:val="21"/>
                <w:highlight w:val="none"/>
                <w:lang w:bidi="ar"/>
              </w:rPr>
              <w:t>12.要求所投产品支持网管平台和手机APP集中管理，实配网管平台，出现交换机端口状态改变、网络出现环路、交换机端口流量过阀值等问题通过微信告警推送，保留测试权力。</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32</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空调（智慧建筑教学实训中心大屏教学区）</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2</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1.规格：5匹冷暖变频柜式空调器。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2.能效等级：2级。</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3.额定制冷量：≥11800W。</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4.额定制热量：≥12400W。</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5.额定制冷功率：</w:t>
            </w:r>
            <w:r>
              <w:rPr>
                <w:rFonts w:hint="eastAsia" w:ascii="宋体" w:hAnsi="宋体" w:cs="宋体"/>
                <w:kern w:val="0"/>
                <w:szCs w:val="21"/>
                <w:highlight w:val="none"/>
                <w:lang w:val="en-US" w:eastAsia="zh-CN" w:bidi="ar"/>
              </w:rPr>
              <w:t>约</w:t>
            </w:r>
            <w:r>
              <w:rPr>
                <w:rFonts w:hint="eastAsia" w:ascii="宋体" w:hAnsi="宋体" w:cs="宋体"/>
                <w:kern w:val="0"/>
                <w:szCs w:val="21"/>
                <w:highlight w:val="none"/>
                <w:lang w:bidi="ar"/>
              </w:rPr>
              <w:t>4000W。</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6.额定制热功率：</w:t>
            </w:r>
            <w:r>
              <w:rPr>
                <w:rFonts w:hint="eastAsia" w:ascii="宋体" w:hAnsi="宋体" w:cs="宋体"/>
                <w:kern w:val="0"/>
                <w:szCs w:val="21"/>
                <w:highlight w:val="none"/>
                <w:lang w:val="en-US" w:eastAsia="zh-CN" w:bidi="ar"/>
              </w:rPr>
              <w:t>约</w:t>
            </w:r>
            <w:r>
              <w:rPr>
                <w:rFonts w:hint="eastAsia" w:ascii="宋体" w:hAnsi="宋体" w:cs="宋体"/>
                <w:kern w:val="0"/>
                <w:szCs w:val="21"/>
                <w:highlight w:val="none"/>
                <w:lang w:bidi="ar"/>
              </w:rPr>
              <w:t>4080W。</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7.循环风量（m3/h.：≥1210。</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8.室内机高风档噪音dB（A)：≤50。</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9.电辅加热功率:≥3200W。</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10.★响应文件中必须提供该产品由国家确定的认证机构出具的处于有效期之内的节能产品认证并加盖供应商公章</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33</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建筑工程测量VR实训系统</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一、虚拟现实三维互动教学平台功能参数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1.总体要求：</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平台需为一套包含教学系统、实训系统、考核管理系统等为一体的综合平台。系统基于“Web3D虚拟现实平台“运行的网络虚拟实验3D环境，采用虚拟现实技术制作各种实验设备及其部件，并具有逼真3D互动虚拟实验、3D动画演示与相关原理文字自动同步显示等功能。另外，通过平台可以动手对实验设备进行虚拟仿真操作。系统以3D互动方式直观展现各类三维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2.功能要求：</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2.1.基础教学功能模块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智能搜索引擎</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智能搜索引擎可通过关键字搜索资源、课程等平台内所有内容，搜索结果可分类显示课件、图片、视频、音频、Flash、Word、PPT、三维等类型的资源。搜索结果可显示贡献者和发布时间，并具有预览功能。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课程管理模块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A、学生可对课程进行收藏。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B、课程内容编辑功能可对课程目录进行添加、编辑、排序和删除。</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C、可设置一位教师负责课程，相应教师会得到课程管理的权限。课程发布后，教师可在学习该课程的学生中查看学生的学习进度。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题库、作业、考核模块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A、题目类型包含填空题、单选题、多选题、判断题、问答题、实操题，题库可以逐一录入题目，也可以批量导入和导出题目。题库可对各种题型进行分类管理，支持分类筛选和搜索功能。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B、智能组卷功能，可自定义题目难易度、数量和分值，根据课程内容范围，从题库中智能抽选题目组成试卷。</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C、在线考试功能，可设定考试时间、考试时长和参加考试的学员，可从试卷库中抽选试卷进行考试。</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D、智能评阅功能，学员在规定时间内完成作业或考试后，平台自动对作业或试卷进行智能评阅。智能评阅不仅能判断答题的对错情况，并可进行智能评分，以及反馈标准答案。</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E、学生可查阅批阅后的作业和试卷，查看内容包括答题情况、分数、点评、解析，并可根据教师设定重做习题或重新考试。</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.个人中心模块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A、我的收藏，保存用户收藏的课程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B、学习记录，记录用户学习的课程进度记录，可快速进入课程继续学习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C、资料修改，可修改用户个人资料，包括个人资料、头像、修改密码等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D、好友管理，具有好友列表，可查看发出请求、好友请求、添加好友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教学辅助模块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A、平台具有课程讨论功能，用户可查看帖子和发帖，可回复他人的发帖，讨论与本课程相关的问题进行师生互动。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B、平台具有随堂笔记功能，用户可对自己课程下的知识内容进行实时记录。</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用户管理模块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A、平台具有用户管理功能，可添加新用户，查询、详情、编辑用户信息。</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B、平台可向用户发送密码重置。</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C、平台可记录用户登录日志，可按时间段、用户名、邮箱来搜索查看用户的登录。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智能导学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平台具有智能导学功能，可为用户提供实时的智能指导。在用户学习课程遇到困难时，智能导学功能可通过文字信息，实时指导用户下一步操作，进而完成该课程的学习。可实时跟踪和记录客户当前的操作。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3D可视化编辑器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平台内置Web3D可视化编辑器，用户可自行开发课件内容，并且自己建三维模型及制作三维动画，或对平台现有的三维型和动画进行编辑修改。平台内置Web3D可视化编辑器支持UG、PRO/E、3DMAX等多种文件的转换与应用。投标时提</w:t>
            </w:r>
            <w:r>
              <w:rPr>
                <w:rFonts w:hint="eastAsia"/>
                <w:highlight w:val="none"/>
              </w:rPr>
              <w:t>供证明材料(包括但不限于厂家证明或功能截图或国家认可的第三方检测报告或供应商承诺函并加盖供应商公章)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2.2.性能指标: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平台采用采用C/S模式(Client/Server，客户端/服务器模式.，基于校园网/英特网实现。在用户浏览器中嵌入虚拟现实三维互动引擎完成3D虚拟现实场景的渲染显示与实验互动操作，3D图形底层渲染支持OpenGL, DirectX, 以及软件渲染，并采用多线程socket实现动态3D数据传送，同时通过与PHP动态网页相结合的方式，实现整个客户端的浏览与操作界面。</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平台具有完善的权限管理与安全管理，可以通过权限控制进行用户管理，按权限将用户分为教师、学生和管理员角色；不同角色的操作权限也不一样。</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采用基于Web3D虚拟现实三维互动技术，能实现智能互动拆装及虚拟仿真实验操作、能够智能判断用户在3D场景中的操作，并做出实时智能反应。用户可以对所有的三维元器件模型、元器件物理属性参数、电路等进行修改编辑或自行制作。</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教学资源中的三维模型具有数据量小的特点，如至少含有500个以上零部件的逼真设备或三维虚拟实训场景的三维模型数据量小于1MB，能够满足大量虚拟仿真三维模型的快速通过互联网传送到学生终端计算机的效果，并实现与三维仿真场景的实时互动操作。</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平台具有虚拟现实三维互动教学平台与引擎, 教师可根据教学需要对平台上的所有教学资源进行个性化修改或二次开发。需提供自主知识产权的虚拟现实三维互动教学平台、虚拟现实三维互动引擎软件著作权证书。投标时提</w:t>
            </w:r>
            <w:r>
              <w:rPr>
                <w:rFonts w:hint="eastAsia"/>
                <w:highlight w:val="none"/>
              </w:rPr>
              <w:t>供证明材料(包括但不限于厂家证明或功能截图或国家认可的第三方检测报告或供应商承诺函并加盖供应商公章)。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二、课程介绍</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本课程需提供建筑工程测量基础知识介绍。通过三维模型以及动画，使学生了解到建筑工程测量基础知识等具体操作和流程。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三、教学内容部分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理论：</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1.测量基础知识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建筑工程测量的任务和作用(理论知识)；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2.测量基础知识/地面点位置的确定</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测量的基准面(理论知识)，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坐标系统(理论知识)，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确走地面点位的三个基本要素(理论知识)；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3.测量基础知识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测量工作的基本原则和要求(理论知识)，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测量常用的计量单位与凑数规则(理论知识)；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4.水准仪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水准测量原理(理论知识)，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水准仪的构造(理论知识)，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水准测量的工具(理论知识)，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水准仪的使用(理论知识)；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5.水准仪/自动安平水准仪及使用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自动安平水准仪构造(理论知识)，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自动安平水准仪的使用(理论知识)；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6.经纬仪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水平角测量原理(理论知识)，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经纬仪的构造(理论知识)，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经纬仪的操作(理论知识)，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角度测设(理论知识)，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极坐标法(理论知识)；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7.全站仪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全站仪的操作(理论知识)，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全站仪的认识与使用(理论知识)，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全站仪的结构(理论知识)；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8.全站仪/全站仪实用教学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全站仪的使用(理论知识)，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建筑施工放样方法(理论知识)，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CASIOFX-4800P程序(理论知识)，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建工类全站仪培训班理论与实操习题集(理论知识)；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距离测量与直线定向(理论知识)；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9.综合实训/闭合水准路线测量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闭合水准路线的形成(理论知识)，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认识双面水准尺(理论知识)，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自动安平水准仪(理论知识)，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双仪高法(理论知识)，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双面尺法(理论知识)；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10.综合实训/导线测量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导线的布设形式(理论知识)，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导线测量的外业工作(理论知识)，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导线测量的内业计算(理论知识)；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11.综合实训/建筑物的定位放线</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建筑物的定位(理论知识)，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建筑物的放线(理论知识)；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12.测量基础知识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建筑工程测量的任务和作用(三维仿真动画)，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测量工作的基准面(三维仿真模型)，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地面点的平面位置(三维仿真模型)，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地面点的高程(三维仿真模型)；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13.水准仪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水准测量原理(理论知识)，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水准仪的构造(三维仿真模型)，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水准测量的工具(三维仿真模型)；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14.水准仪的使用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DS3型微倾式水准仪的基本操作(三维仿真动画)，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水准测量的方法(理论知识)；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15.自动安平水准仪及使用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自动安平水准仪构造(三维仿真模型)，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自动安平水准仪的使用(三维仿真动画)；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16.经纬仪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水平角测量原理(三维仿真动画)，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经纬仪的构造(三维仿真模型)，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经纬仪操作(三维仿真动画)，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角度测设(三维仿真动画)，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测设建筑物房角点的平面位置（极坐标法.(三维仿真动画)；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17.全站仪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17.1全站仪的构造和功能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仪器功能介绍及模式介绍(三维仿真模型)，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键盘基本操作介绍(三维仿真模型)；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全站仪参数设置(三维仿真动画)，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全站仪工作原理(三维仿真动画)；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17.2全站仪的操作/坐标测量和角度测量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坐标测量(三维仿真动画)，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角度测量(三维仿真动画)，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距离测量(三维仿真动画)；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17.3全站仪的操作/距离放样和角度放样</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距离放样(三维仿真动画)，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角度放样(三维仿真动画)，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坐标放样(三维仿真动画)；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18.距离测量与直线定向</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钢尺量距的方法(三维仿真动画)；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19.视距测量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视线水平(三维仿真模型)，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视线倾斜(三维仿真模型)；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距离测设(三维仿真动画)，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用极坐标法测设点的平面位置(三维仿真动画)；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20.闭合水准路线测量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闭合水准路线的形成(理论知识)，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双面水准尺(三维仿真模型)，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自动安平水准仪(三维仿真模型)，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双仪高法(三维仿真动画)，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双面尺法(三维仿真动画)；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21.导线测量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导线的布设形式(三维仿真动画)，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导线测量的外业工作(三维仿真模型)，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导线测量的内业计算(理论知识)；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22.建筑物的定位放线</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建筑物的定位(三维仿真模型)，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建筑物的放线(三维仿真动画)；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二、实训内容部分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1.水准仪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水准仪使用的基本操作（三维仿真实训），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自动安平水准仪使用的基本操作（三维仿真实训）；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2.经纬仪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经纬仪操作（三维仿真实训），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角度测设（三维仿真实训），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测设建筑物房角点的平面位置(极坐标法)（三维仿真实训）；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3.全站仪</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全站仪参数设置（三维仿真实训）；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4.全站仪的操作</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坐标测量（三维仿真实训），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角度测量（三维仿真实训），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距离放样（三维仿真实训），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角度放样（三维仿真实训），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距离测量（三维仿真实训），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坐标放样（三维仿真实训）；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5.综合实训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闭合水准路线测量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双仪高法（三维仿真实训），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双面尺法（三维仿真实训）；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建筑物的定位放线</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建筑物的放线（三维仿真实训）；</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34</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施工技术VR软件</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一、虚拟现实三维互动教学平台功能参数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 总体要求：</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平台是一套包含教学系统、实训系统、考核管理系统等为一体的综合平台。系统基于“Web3D虚拟现实平台“运行的网络虚拟实验3D环境，采用虚拟现实技术制作各种实验设备及其部件，并具有逼真3D互动虚拟实验、3D动画演示与相关原理文字自动同步显示等功能。另外，通过平台可以动手对实验设备进行虚拟仿真操作。系统以3D互动方式直观展现各类三维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 功能要求：</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2.1.基础教学功能模块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智能搜索引擎</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智能搜索引擎可通过关键字搜索资源、课程等平台内所有内容，搜索结果可分类显示课件、图片、视频、音频、Flash、Word、PPT、三维等类型的资源。搜索结果可显示贡献者和发布时间，并具有预览功能。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课程管理模块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A、学生可对课程进行收藏。</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B、课程内容编辑功能可对课程目录进行添加、编辑、排序和删除。</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C、可设置一位教师负责课程，相应教师会得到课程管理的权限。课程发布后，教师可在学习该课程的学生中查看学生的学习进度。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题库、作业、考核模块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A、题目类型包含填空题、单选题、多选题、判断题、问答题、实操题，题库可以逐一录入题目，也可以批量导入和导出题目。题库可对各种题型进行分类管理，支持分类筛选和搜索功能。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B、智能组卷功能，可自定义题目难易度、数量和分值，根据课程内容范围，从题库中智能抽选题目组成试卷。</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C、在线考试功能，可设定考试时间、考试时长和参加考试的学员，可从试卷库中抽选试卷进行考试。</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D、智能评阅功能，学员在规定时间内完成作业或考试后，平台自动对作业或试卷进行智能评阅。智能评阅不仅能判断答题的对错情况，并可进行智能评分，以及反馈标准答案。</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E、学生可查阅批阅后的作业和试卷，查看内容包括答题情况、分数、点评、解析，并可根据教师设定重做习题或重新考试。</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个人中心模块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A、我的收藏，保存用户收藏的课程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B、学习记录，记录用户学习的课程进度记录，可快速进入课程继续学习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C、资料修改，可修改用户个人资料，包括个人资料、头像、修改密码等</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D、好友管理，具有好友列表，可查看发出请求、好友请求、添加好友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教学辅助模块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A、平台具有课程讨论功能，用户可查看帖子和发帖，可回复他人的发帖，讨论与本课程相关的问题进行师生互动。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B、平台具有随堂笔记功能，用户可对自己课程下的知识内容进行实时记录。</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用户管理模块</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A、平台具有用户管理功能，可添加新用户，查询、详情、编辑用户信息。</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B、平台可向用户发送密码重置。</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C、平台可记录用户登录日志，可按时间段、用户名、邮箱来搜索查看用户的登录。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智能导学</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平台具有智能导学功能，可为用户提供实时的智能指导。在用户学习课程遇到困难时，智能导学功能可通过文字信息，实时指导用户下一步操作，进而完成该课程的学习。可实时跟踪和记录客户当前的操作。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3D可视化编辑器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平台内置Web3D可视化编辑器，用户可自行开发课件内容，并且自己建三维模型及制作三维动画，或对平台现有的三维型和动画进行编辑修改。平台内置Web3D可视化编辑器支持UG、PRO/E、3DMAX等多种文件的转换与应用。投标时提</w:t>
            </w:r>
            <w:r>
              <w:rPr>
                <w:rFonts w:hint="eastAsia"/>
                <w:highlight w:val="none"/>
              </w:rPr>
              <w:t>供证明材料(包括但不限于厂家证明或功能截图或国家认可的第三方检测报告)</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2.2.性能指标: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平台采用采用C/S模式(Client/Server，客户端/服务器模式.，基于校园网/英特网实现。在用户浏览器中嵌入虚拟现实三维互动引擎完成3D虚拟现实场景的渲染显示与实验互动操作，3D图形底层渲染支持OpenGL, DirectX, 以及软件渲染，并采用多线程socket实现动态3D数据传送，同时通过与PHP动态网页相结合的方式，实现整个客户端的浏览与操作界面。</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平台具有完善的权限管理与安全管理，可以通过权限控制进行用户管理，按权限将用户分为教师、学生和管理员角色；不同角色的操作权限也不一样。</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采用基于Web3D虚拟现实三维互动技术，能实现智能互动拆装及虚拟仿真实验操作、能够智能判断用户在3D场景中的操作，并做出实时智能反应。用户可以对所有的三维元器件模型、元器件物理属性参数、电路等进行修改编辑或自行制作。</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教学资源中的三维模型具有数据量小的特点，如至少含有500个以上零部件的逼真设备或三维虚拟实训场景的三维模型数据量小于1MB，能够满足大量虚拟仿真三维模型的快速通过互联网传送到学生终端计算机的效果，并实现与三维仿真场景的实时互动操作。</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平台具有虚拟现实三维互动教学平台与引擎, 教师可根据教学需要对平台上的所有教学资源进行个性化修改或二次开发。需提供虚拟现实三维互动教学平台、虚拟现实三维互动引擎软件。投标时提</w:t>
            </w:r>
            <w:r>
              <w:rPr>
                <w:rFonts w:hint="eastAsia"/>
                <w:highlight w:val="none"/>
              </w:rPr>
              <w:t>供证明材料(包括但不限于厂家证明或功能截图或国家认可的第三方检测报告或供应商承诺函并加盖供应商公章)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二、课程介绍</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本课程需提供建筑施工技术研究的是工业与民用房屋建筑施工技术的学科。其研究内容是建筑工程各主要工种工程施工中的一般施工技术和施工规律。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三、教学内容部分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1.概述；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[建筑施工技术课程的研究对急、任务和学习方法(理论知识)]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[我国建筑施工技术发展概况(理论知识)]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建筑工程施工质量验收统一标准与施工质量验收规范</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[GB 50300-2001(理论知识)]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[施工质量验收规范(理论知识)]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[有关的几个术语(理论知识)]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2.土石方工程；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[认识一个施工现场(三维仿真模型)]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[勘察分析土体性质(理论知识)]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[进行场地清理和平整(理论知识)]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[现场测量放线(理论知识)]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[计算土方量(理论知识)]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[土方机械开挖(理论知识)]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[边坡支护(理论知识)]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[降低地下水位(理论知识)]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[填土压实场地(理论知识)]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3.桩基础工程；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[桩基础概论(理论知识)]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[预制桩施工(理论知识)]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4.砌体工程；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[砌筑工程概述(理论知识)]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[砌筑砂浆(理论知识)]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[砖砌体施工(理论知识)]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[中小型砌块施工(理论知识)] </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[框架填充墙施工(理论知识)]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[砌筑工程的安全技术(理论知识)]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[知识回顾(理论知识)]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5.钢筋混凝土工程；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5.1模板工程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[模板的组成、作用和基本要求(理论知识)]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[模板的种类(理论知识)]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模板的构造与安装</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[木模板(理论知识)]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[定型组合钢模板(理论知识)]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[钢框胶合板模板和钢框竹胶板模板(理论知识)]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[模板的拆除(理论知识)]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[模板工程施工质量检查验收(理论知识)]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5.2模板设计</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[模板设计(理论知识)]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[大模板(理论知识)]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5.3钢筋工程设技术</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[钢筋的验收和存放(理论知识)]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[钢筋的冷拉(理论知识)]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5.4钢筋配料</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[钢筋配料单的编制(理论知识)]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[钢下料长度的计算原则及规定(理论知识)]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[钢筋下料计算注意事项(理论知识)]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[钢筋代换(理论知识)]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[钢筋的绑扎与机械连接(理论知识)]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5.5钢筋的焊接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[闪光对焊(理论知识)]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[电弧焊(理论知识)]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[电渣压力焊(理论知识)]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[埋弧压力焊(理论知识)]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[钢筋气压焊(理论知识)]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[钢筋的加工与安装(理论知识)]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6.混凝土工程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[混凝土的原料(理论知识)]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[混凝土的施工配料(理论知识)]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[混凝土的搅拌(理论知识)]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[混凝土的运输(理论知识)]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混凝土的浇筑与振捣</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[混凝土浇筑的一般规定(理论知识)]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[施工缝的留设与处理(理论知识)]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[混凝土的浇筑方法(理论知识)]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[混凝土的振捣(理论知识)]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[混凝土的养护(理论知识)]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[混凝土的质量检查与缺陷防治(理论知识)]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[混凝土预制构件及新型混凝土施工(理论知识)]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[钢筋混凝土工程的安全技术(理论知识)]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7.预应力混凝土工程施工；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[预应力混凝土及其分类(理论知识)]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[预应力筋(理论知识)]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[先张法(理论知识)]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[后张(理论知识)]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[无粘结预应力混凝土施工工艺(理论知识)]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8.结构安装工程；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[概述(理论知识)]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[起重机械(理论知识)]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[索具设备(理论知识)]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[单层工业厂房结构安装(理论知识)]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9.防水工程；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[职业岗位群学习目标(理论知识)]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认识防水材料</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[柔性防水材料(理论知识)]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[刚性防水材料(理论知识)]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屋面防水工程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[屋面防水层详细讲解(理论知识)]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[刚性防水层(理论知识)]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[卷材防水层(理论知识)]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[卫生间防水工程(理论知识)]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10.装饰工程；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[抹灰工程(理论知识)]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[饰面板安装(理论知识)]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[饰面砖镶贴(理论知识)]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[室内吊顶安装(理论知识)]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[外墙外保温施工(理论知识)]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11.冬雨期施工；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[概述(理论知识)]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[冬期施工(理论知识)]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[雨期施工(理论知识)]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12.脚手架与垂直机械；</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[认识脚手架(理论知识)]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[扣件式钢管脚手架(理论知识)]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[碗口式钢管脚手架(理论知识)]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[门式脚手架(理论知识)]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[附着升降式脚手架(理论知识)]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[脚手架安全技术(理论知识)]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13.垂直运输设施</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[垂直运输体系(三维仿真动画)]</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[塔式起重机(理论知识)]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[施工升降机(理论知识)]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[混凝土泵(理论知识)]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[物料提升机(理论知识)]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二、实训内容部分</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[土方工程施工（三维仿真实训.]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桩基础工程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[桩基础（三维仿真实训.]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钢筋混凝土工程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[钢筋焊接实训（三维仿真实训.]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预应力混凝士</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[先张法（三维仿真实训.]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结构安装工程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[分件安装（三维仿真实训.]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防水工程</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[卷材防水屋面工程（三维仿真实训.]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装饰施工</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[外墙外保温施工（三维仿真实训.]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[脚手架与垂直机械（三维仿真实训.]</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实训制作</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[认识施工工地(三维仿真模型)]</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35</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桌面式虚拟VR教学一体机(学生机)</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4</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★1.桌面一体机式VR设备系统为一体化设计，可自由调整使用角度，设备配置不小于27英寸高清立体显示终端，实现软件资源的立体展示，搭配位置追踪元件的3D光学追踪眼镜实现虚拟现实出屏和临场感效果；</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2.桌面式虚拟现实操作平台设备1套，包括：27英寸高清立体显示终端、3D光学追踪眼镜1副、3D光学非追踪眼镜2副、空间交互笔1支、电源适配器1个、AC连接线1根。</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3.系统硬件配置：</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支持Windows 10操作系统；</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CPU：采用先进架构的八核心处理器，包含十六个并行处理线程，处理器的基准运行频率为3.0 GHz；动态加速频率3.3GHz，16MB三级缓存；</w:t>
            </w:r>
            <w:r>
              <w:rPr>
                <w:rFonts w:ascii="宋体" w:hAnsi="宋体" w:cs="宋体"/>
                <w:kern w:val="0"/>
                <w:szCs w:val="21"/>
                <w:highlight w:val="none"/>
                <w:lang w:bidi="ar"/>
              </w:rPr>
              <w:t xml:space="preserve"> </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硬盘：≥512GB SSD；</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内存：≥16GB DDR4；</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显卡：相当于或优于QUADRO T1000，专业图形显卡，显存不低于4GB DDR6；</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（6</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分辨率：不低于1920*1080，亮度不低于400cd/㎡，对比度不低于1000:1；</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（7</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.刷新率不低于 120Hz；</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（8</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设备具备不低于2个USB3.0端口、不低于5个USB2.0端口、不低于2个MiniDP输出端口；</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（9</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支持以太网连接，支持802.11a/b/g/n/ac高速无线传输，支持蓝牙4.0；</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（10</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内置两个8欧3瓦的扬声器</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4.硬件设备功能要求：</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具有虚拟现实显示方式与普通显示方式自动切换功能，当3D光学追踪眼镜出现在屏幕传感器捕捉范围内，显示方式由普通显示屏方式自动切换成3D显示方式，当3D光学追踪眼镜在屏幕传感器之外，显示方式自动切换至普通显示方式。</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支持播放上下、左右格式的3D视频资源；</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支持按键式2D/3D切换；</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系统内置智慧物联控制系统，不依赖任何外部蓝牙、WIFI设备，支持同一空间内大于60台以上的设备进行自组网络，配合教师端及学生端智能控制软件，可实现教师机对学生机的运行状态进行：开机、关机、静默模式控制，同时，教师机也可对学生机进行：全局控制、分组控制、单台设备控制。</w:t>
            </w:r>
          </w:p>
          <w:p>
            <w:pPr>
              <w:widowControl/>
              <w:spacing w:line="360" w:lineRule="auto"/>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可提供Unity3D、C++等常见开发平台的SDK，支持二次开发；Unity3D支持2017及以上版本，不限制Unity版本，有中英文版本SDK适配文档，支持编辑器下开启立体预览。</w:t>
            </w:r>
          </w:p>
          <w:p>
            <w:pPr>
              <w:widowControl/>
              <w:numPr>
                <w:ilvl w:val="0"/>
                <w:numId w:val="3"/>
              </w:numPr>
              <w:spacing w:line="360" w:lineRule="auto"/>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内置Control panel工具软件，通过可视化界面操作，使用者可快速、便捷地对桌面一体机进行硬件及环境检测、功能验证、故障自动修复、故障排查等工作。含五个模块，分别为：</w:t>
            </w:r>
          </w:p>
          <w:p>
            <w:pPr>
              <w:widowControl/>
              <w:numPr>
                <w:ilvl w:val="0"/>
                <w:numId w:val="0"/>
              </w:numPr>
              <w:spacing w:line="360" w:lineRule="auto"/>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模块一：</w:t>
            </w:r>
            <w:r>
              <w:rPr>
                <w:rFonts w:hint="eastAsia" w:ascii="宋体" w:hAnsi="宋体" w:cs="宋体"/>
                <w:kern w:val="0"/>
                <w:szCs w:val="21"/>
                <w:highlight w:val="none"/>
                <w:lang w:bidi="ar"/>
              </w:rPr>
              <w:t>本机接线图（可查看机器侧面和背面硬件接口示意图</w:t>
            </w:r>
            <w:r>
              <w:rPr>
                <w:rFonts w:hint="eastAsia" w:ascii="宋体" w:hAnsi="宋体" w:cs="宋体"/>
                <w:kern w:val="0"/>
                <w:szCs w:val="21"/>
                <w:highlight w:val="none"/>
                <w:lang w:eastAsia="zh-CN" w:bidi="ar"/>
              </w:rPr>
              <w:t>）；</w:t>
            </w:r>
          </w:p>
          <w:p>
            <w:pPr>
              <w:widowControl/>
              <w:numPr>
                <w:ilvl w:val="0"/>
                <w:numId w:val="0"/>
              </w:numPr>
              <w:spacing w:line="360" w:lineRule="auto"/>
              <w:textAlignment w:val="center"/>
              <w:rPr>
                <w:rFonts w:hint="eastAsia" w:ascii="宋体" w:hAnsi="宋体" w:cs="宋体"/>
                <w:color w:val="auto"/>
                <w:kern w:val="0"/>
                <w:szCs w:val="21"/>
                <w:highlight w:val="none"/>
                <w:lang w:eastAsia="zh-CN" w:bidi="ar"/>
              </w:rPr>
            </w:pPr>
            <w:r>
              <w:rPr>
                <w:rFonts w:hint="eastAsia" w:ascii="宋体" w:hAnsi="宋体" w:cs="宋体"/>
                <w:kern w:val="0"/>
                <w:szCs w:val="21"/>
                <w:highlight w:val="none"/>
                <w:lang w:val="en-US" w:eastAsia="zh-CN" w:bidi="ar"/>
              </w:rPr>
              <w:t>模块二：</w:t>
            </w:r>
            <w:r>
              <w:rPr>
                <w:rFonts w:hint="eastAsia" w:ascii="宋体" w:hAnsi="宋体" w:cs="宋体"/>
                <w:kern w:val="0"/>
                <w:szCs w:val="21"/>
                <w:highlight w:val="none"/>
                <w:lang w:bidi="ar"/>
              </w:rPr>
              <w:t>系统信息查看（可实时检测系统信息、设备信息、服务状态、屏幕</w:t>
            </w:r>
            <w:r>
              <w:rPr>
                <w:rFonts w:hint="eastAsia" w:ascii="宋体" w:hAnsi="宋体" w:cs="宋体"/>
                <w:color w:val="auto"/>
                <w:kern w:val="0"/>
                <w:szCs w:val="21"/>
                <w:highlight w:val="none"/>
                <w:lang w:bidi="ar"/>
              </w:rPr>
              <w:t>信息、电源等信息</w:t>
            </w:r>
            <w:r>
              <w:rPr>
                <w:rFonts w:hint="eastAsia" w:ascii="宋体" w:hAnsi="宋体" w:cs="宋体"/>
                <w:color w:val="auto"/>
                <w:kern w:val="0"/>
                <w:szCs w:val="21"/>
                <w:highlight w:val="none"/>
                <w:lang w:eastAsia="zh-CN" w:bidi="ar"/>
              </w:rPr>
              <w:t>）；</w:t>
            </w:r>
          </w:p>
          <w:p>
            <w:pPr>
              <w:widowControl/>
              <w:numPr>
                <w:ilvl w:val="0"/>
                <w:numId w:val="0"/>
              </w:numPr>
              <w:spacing w:line="360" w:lineRule="auto"/>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模块三：</w:t>
            </w:r>
            <w:r>
              <w:rPr>
                <w:rFonts w:hint="eastAsia" w:ascii="宋体" w:hAnsi="宋体" w:cs="宋体"/>
                <w:color w:val="auto"/>
                <w:kern w:val="0"/>
                <w:szCs w:val="21"/>
                <w:highlight w:val="none"/>
                <w:lang w:bidi="ar"/>
              </w:rPr>
              <w:t>立体效果测试（可佩戴 3D 眼镜查看模型显示的立体效果是否正常</w:t>
            </w:r>
            <w:r>
              <w:rPr>
                <w:rFonts w:hint="eastAsia" w:ascii="宋体" w:hAnsi="宋体" w:cs="宋体"/>
                <w:color w:val="auto"/>
                <w:kern w:val="0"/>
                <w:szCs w:val="21"/>
                <w:highlight w:val="none"/>
                <w:lang w:eastAsia="zh-CN" w:bidi="ar"/>
              </w:rPr>
              <w:t>）；</w:t>
            </w:r>
          </w:p>
          <w:p>
            <w:pPr>
              <w:widowControl/>
              <w:numPr>
                <w:ilvl w:val="0"/>
                <w:numId w:val="0"/>
              </w:numPr>
              <w:spacing w:line="360" w:lineRule="auto"/>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模块四：</w:t>
            </w:r>
            <w:r>
              <w:rPr>
                <w:rFonts w:hint="eastAsia" w:ascii="宋体" w:hAnsi="宋体" w:cs="宋体"/>
                <w:color w:val="auto"/>
                <w:kern w:val="0"/>
                <w:szCs w:val="21"/>
                <w:highlight w:val="none"/>
                <w:lang w:bidi="ar"/>
              </w:rPr>
              <w:t>空间定位笔查看（可实时查看定位笔的连接状态、姿态数据是否正常，按键功能是否正常，可调节测试震动强度等</w:t>
            </w:r>
            <w:r>
              <w:rPr>
                <w:rFonts w:hint="eastAsia" w:ascii="宋体" w:hAnsi="宋体" w:cs="宋体"/>
                <w:color w:val="auto"/>
                <w:kern w:val="0"/>
                <w:szCs w:val="21"/>
                <w:highlight w:val="none"/>
                <w:lang w:eastAsia="zh-CN" w:bidi="ar"/>
              </w:rPr>
              <w:t>）；</w:t>
            </w:r>
          </w:p>
          <w:p>
            <w:pPr>
              <w:widowControl/>
              <w:numPr>
                <w:ilvl w:val="0"/>
                <w:numId w:val="0"/>
              </w:numPr>
              <w:spacing w:line="360" w:lineRule="auto"/>
              <w:textAlignment w:val="center"/>
              <w:rPr>
                <w:rFonts w:ascii="宋体" w:hAnsi="宋体" w:cs="宋体"/>
                <w:kern w:val="0"/>
                <w:szCs w:val="21"/>
                <w:highlight w:val="none"/>
                <w:lang w:bidi="ar"/>
              </w:rPr>
            </w:pPr>
            <w:r>
              <w:rPr>
                <w:rFonts w:hint="eastAsia" w:ascii="宋体" w:hAnsi="宋体" w:cs="宋体"/>
                <w:color w:val="auto"/>
                <w:kern w:val="0"/>
                <w:szCs w:val="21"/>
                <w:highlight w:val="none"/>
                <w:lang w:val="en-US" w:eastAsia="zh-CN" w:bidi="ar"/>
              </w:rPr>
              <w:t>模块五：</w:t>
            </w:r>
            <w:r>
              <w:rPr>
                <w:rFonts w:hint="eastAsia" w:ascii="宋体" w:hAnsi="宋体" w:cs="宋体"/>
                <w:color w:val="auto"/>
                <w:kern w:val="0"/>
                <w:szCs w:val="21"/>
                <w:highlight w:val="none"/>
                <w:lang w:bidi="ar"/>
              </w:rPr>
              <w:t>追踪系统测试（可实时确认追踪系统功能调用是否正常；将追踪眼镜置入追踪范围内可检测追踪状态及眼镜空间坐标值的变化是否正常</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连接上</w:t>
            </w:r>
            <w:r>
              <w:rPr>
                <w:rFonts w:hint="eastAsia" w:ascii="宋体" w:hAnsi="宋体" w:cs="宋体"/>
                <w:kern w:val="0"/>
                <w:szCs w:val="21"/>
                <w:highlight w:val="none"/>
                <w:lang w:bidi="ar"/>
              </w:rPr>
              <w:t>定位笔，将定位笔置入追踪范围内可检测追踪状态及定位笔空间坐标值、旋转值的变化是否正常.。</w:t>
            </w:r>
          </w:p>
          <w:p>
            <w:pPr>
              <w:widowControl/>
              <w:spacing w:line="360" w:lineRule="auto"/>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（7</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内置XR软件xview，可搭配外接AR摄像头和外接大屏扩展显示，实现AR功能效果展示，即在一体机端交互拖动3D模型，可以在外接大屏同步观看3D模型被拖出屏幕到现实空间中的视觉效果，结合现实环境进行AR效果教学或展示；可搭配带3D显示功能的大屏做扩屏模式显示，实现立体3d的VR投屏功能。</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5.显示、跟踪系统参数</w:t>
            </w:r>
          </w:p>
          <w:p>
            <w:pPr>
              <w:widowControl/>
              <w:spacing w:line="360" w:lineRule="auto"/>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3D显示跟踪系统内置NVIDIA 3D vision处理系统和3D同步蓝牙信号发射系统，3D同步信号有效覆盖范围≥10米，信号传输稳定，抗干扰；</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3D显示追踪系统至少包含2路HDMI输入接口，且每一路HDMI接口都支持120hz信号源输入；</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3D显示追踪系统支持一键控制信号源切换；</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跟踪系统包含：≥3组红外传感器，每组红外传感器都包含2个同步双目相机，单组红外传感器即可实现对目标物的实时跟踪；3组红外传感器协同工作，可提升对目标物追踪的覆盖范围及追踪系统的精度；</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跟踪系统包含：≥3组红外光源阵列，每组红外光源阵列配置有4个红外光源灯，均匀分布保证光照亮度；</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（6</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3D显示跟踪系统的追踪系统可实时输出当前显示系统的姿态信息，并将当前显示系统的姿态信息映射到虚拟场景，获得最精准的3D显示图像；</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（7</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3D显示系统支持窗口/全屏3D，120Hz或以上刷新率（8.3D工作温度：10℃~40℃；</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6.配套3D光学追踪眼镜设备参数要求：</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精准追踪定位：蓝牙眼镜结构具备≥5个追踪Mark点，追踪系统捕捉到任意3点即可实现精准追踪定位；</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采用蓝牙技术传输：采用蓝牙技术传输3D同步信号，3D同步信号传输稳定，不受环境光影响，有效覆盖距离≥10米；</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同步连接：支持在蓝牙信号有效覆盖范围内≥200副以上的蓝牙眼镜同时链接观看3D图像；</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多功能按键：具有一个开关按键，可以执行蓝牙眼镜开启、关闭、蓝牙配对的功能；</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配备电池：蓝牙眼镜配置有可更换的RS2032纽扣电池，电池有效工作时间≥100小时；</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（6</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自动关闭：蓝牙眼镜具有在没有蓝牙信号的情况下，自动关闭蓝牙系统的功能，以节约系统功耗；</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7.配套空间交互笔设备参数要求：</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握笔式设计：空间交互笔外形采用握笔式设计，具有3个可由用户自定义的操作按键，符合人体工学设计；</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内置高精度传感器：空间交互笔内置高精度传感器，能够实时智能感知操控目标的当前的姿态数据，数据刷新率≥100hz；</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精准追踪定位：空间交互笔具有2个主动式红外追踪Mark点，任意一点进入追踪视野，均可实现对交互笔的精准追踪定位；</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光学追踪定位系统：空间交互笔配合光学追踪定位系统工作，可实现位置追踪精度≤1mm,角度精度≤0.1度；</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（5</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USB有线连接：空间交互笔采用USB有线连接，数据传输稳定，防丢失，免充电；</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（6</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内置振动器：空间交互笔内置振动器，可以通过震动方式来反馈用户操作；</w:t>
            </w:r>
          </w:p>
          <w:p>
            <w:pPr>
              <w:widowControl/>
              <w:spacing w:line="360" w:lineRule="auto"/>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★8.VR功能验证操作类软件，以VR模型和交互操作为核心，演示验证交互操作，并通过交互操作加深用户的直观体验。</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拆卸流程：以主流的总成进行建模，真实模拟标准拆卸流程；软件提供工具和具体操作的文字图形提示，相应模型操作部位高亮特效提示，真实还原拆卸体验。</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安装流程：需包含臂结构安装、臂结构仿真功能；臂安装需要按正确顺序安装各个臂零部件，完成臂安装后能进行仿真，臂仿真可以控制臂四个轴向运动，通过四轴控制臂机构进行工件搬运仿真。</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连接流程：仿真电路，真实的模拟在实物连接中的各种情况，比如选取1个元件、2个元件、3个或者4个元件连接时，给出各种连接情况下的结果。</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爆炸展示流程：：机械机构，展现运行和爆炸状态，爆炸后可以随意抓取某个零件进行放大缩小和旋转，并提示零件名称。还原按钮可以让爆炸开的减速机回到初始状态，让用户看到机器的内部结构和运行原理。</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9.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p>
          <w:p>
            <w:pPr>
              <w:widowControl/>
              <w:spacing w:line="360" w:lineRule="auto"/>
              <w:jc w:val="left"/>
              <w:textAlignment w:val="center"/>
              <w:rPr>
                <w:highlight w:val="none"/>
              </w:rPr>
            </w:pPr>
            <w:r>
              <w:rPr>
                <w:rFonts w:hint="eastAsia" w:ascii="宋体" w:hAnsi="宋体" w:cs="宋体"/>
                <w:kern w:val="0"/>
                <w:szCs w:val="21"/>
                <w:highlight w:val="none"/>
                <w:lang w:bidi="ar"/>
              </w:rPr>
              <w:t>★（1</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驱动电机拆卸以国内主流的纯电动汽车动力总成进行建模，真实模拟标准拆卸流程；软件提供工具和具体操作的文字图形提示，相应模型操作部位高亮特效提示，真实还原拆卸体验。投标时提</w:t>
            </w:r>
            <w:r>
              <w:rPr>
                <w:rFonts w:hint="eastAsia"/>
                <w:highlight w:val="none"/>
              </w:rPr>
              <w:t>供证明材料(包括但不限于厂家证明或功能截图或国家认可的第三方检测报告或供应商承诺函并加盖供应商公章)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液压机械臂需包含机械臂安装、机械臂仿真功能；机械臂安装需要按正确顺序安装各个机械臂零部件，完成机械臂安装后能进行仿真，机械臂仿真可以控制机械臂四个轴向运动，通过四轴控制机械臂进行工件搬运仿真。投标时提</w:t>
            </w:r>
            <w:r>
              <w:rPr>
                <w:rFonts w:hint="eastAsia"/>
                <w:highlight w:val="none"/>
              </w:rPr>
              <w:t>供证明材料(包括但不限于厂家证明或功能截图或国家认可的第三方检测报告或供应商承诺函并加盖供应商公章)</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★（3</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电路的连接以物理实验中常用的灯泡、电池、开关建模，真实的模拟在实物连接中的各种情况，比如选取1个元件、2个元件、3个或者4个元件连接时，给出各种连接情况下的结果。投标时提</w:t>
            </w:r>
            <w:r>
              <w:rPr>
                <w:rFonts w:hint="eastAsia"/>
                <w:highlight w:val="none"/>
              </w:rPr>
              <w:t>供证明材料(包括但不限于厂家证明或功能截图或国家认可的第三方检测报告或供应商承诺函并加盖供应商公章)</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★（4</w:t>
            </w:r>
            <w:r>
              <w:rPr>
                <w:rFonts w:hint="eastAsia" w:ascii="宋体" w:hAnsi="宋体" w:cs="宋体"/>
                <w:kern w:val="0"/>
                <w:szCs w:val="21"/>
                <w:highlight w:val="none"/>
                <w:lang w:eastAsia="zh-CN" w:bidi="ar"/>
              </w:rPr>
              <w:t>）</w:t>
            </w:r>
            <w:r>
              <w:rPr>
                <w:rFonts w:hint="eastAsia" w:ascii="宋体" w:hAnsi="宋体" w:cs="宋体"/>
                <w:kern w:val="0"/>
                <w:szCs w:val="21"/>
                <w:highlight w:val="none"/>
                <w:lang w:bidi="ar"/>
              </w:rPr>
              <w:t>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投标时提</w:t>
            </w:r>
            <w:r>
              <w:rPr>
                <w:rFonts w:hint="eastAsia"/>
                <w:highlight w:val="none"/>
              </w:rPr>
              <w:t>供证明材料(包括但不限于厂家证明或功能截图或国家认可的第三方检测报告或供应商承诺函并加盖供应商公章)</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36</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AR摄像头套装</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个</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（1）增强现实摄像头</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支持1080p高清视频录制（1920*1080像素）采用USB接口，带有自动降噪功能的内置双重立体声麦克风支持与VR互动一体机的配套使用，实现增强现实功能，将虚拟内容与现实拍摄场景叠加融合显示。</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动态像素：200万</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静态分辨率：1920*1080</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动态分辨率：1920*1080</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传输接口：USB2.0</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对焦方式：自动</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感光元件：CMOS</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大帧数30帧/秒</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内置麦克风：支持</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（2）摄像头支架</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脚管节数：4节</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最大管径：20mm</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最小管径：12mm</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折合高度：47cm</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最低工作高度：45cm</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最高工作高度：150cm</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脚管锁类型：板扣</w:t>
            </w:r>
          </w:p>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云台类型：三维云台</w:t>
            </w:r>
          </w:p>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螺丝尺寸：1/4</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37</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增强现实（AR)软件</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个</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szCs w:val="21"/>
                <w:highlight w:val="none"/>
              </w:rPr>
              <w:t>1.将教师机的操作过程投射到另外一个屏幕或者第二台监视器上面。</w:t>
            </w:r>
          </w:p>
          <w:p>
            <w:pPr>
              <w:widowControl/>
              <w:spacing w:line="360" w:lineRule="auto"/>
              <w:jc w:val="left"/>
              <w:textAlignment w:val="center"/>
              <w:rPr>
                <w:rFonts w:ascii="宋体" w:hAnsi="宋体" w:cs="宋体"/>
                <w:szCs w:val="21"/>
                <w:highlight w:val="none"/>
              </w:rPr>
            </w:pPr>
            <w:r>
              <w:rPr>
                <w:rFonts w:hint="eastAsia" w:ascii="宋体" w:hAnsi="宋体" w:cs="宋体"/>
                <w:szCs w:val="21"/>
                <w:highlight w:val="none"/>
              </w:rPr>
              <w:t>2.将真实环境与虚拟图层叠加后展现给学生。</w:t>
            </w:r>
          </w:p>
          <w:p>
            <w:pPr>
              <w:widowControl/>
              <w:spacing w:line="360" w:lineRule="auto"/>
              <w:jc w:val="left"/>
              <w:textAlignment w:val="center"/>
              <w:rPr>
                <w:rFonts w:ascii="宋体" w:hAnsi="宋体" w:cs="宋体"/>
                <w:szCs w:val="21"/>
                <w:highlight w:val="none"/>
              </w:rPr>
            </w:pPr>
            <w:r>
              <w:rPr>
                <w:rFonts w:hint="eastAsia" w:ascii="宋体" w:hAnsi="宋体" w:cs="宋体"/>
                <w:szCs w:val="21"/>
                <w:highlight w:val="none"/>
              </w:rPr>
              <w:t>3.可以录制课程学习过程，可供以后使用。</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38</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空间装饰创意VR实训系统</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4</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台</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一、产品功能概述</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系统需以居家环境为对象，1:1真实建模，采用目前最先进的虚拟仿真VR技术，建立大量的家居设计素材，将家居环境设计的整个环境以VR虚拟训练的方式呈现，为学生快速掌握家居环境设计提供了良好的教学环境。</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二、产品参数</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2.1软件采用先进的VR虚拟仿真技术，真实的再现至少300件家居设计的素材，包含家具，家饰，家电，动植物，硬装，厨卫等五大类模型素材，包含中式，欧式，美式，地中海等多种风格的家具。可以实现素材的360°旋转、拖动、缩放等。</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2.2软件可以以三维空间方式展示整个家居空间结构，提供了两套环境，允许用户在不同的环境中，使用不同风格的家居素材，进行整个家居环境的设计。用户可以摆放各种素材，还有缩放，并更换素材的颜色，外观等内容。在进行设计后，可以灵活观察，并进行拍照和演示。</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2.3软件包含我的课程模块，可使用软件进行家居环境设计，在设计完成后可以进行拍照，并将照片导入我的课程模块作为展示效果；也可以直接导入资源库中的模型作为展示效果。</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2.4在家居设计过程中，根据家居素材的种类不同，家居素材可以自行铺上地面，上墙及吸附在顶棚，提供较为方便的使用体验。</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 xml:space="preserve">2.5各种家居素材使用过程中，不仅可以移动位置，重新安排，还可以更换表面纹理，图案，或者更换颜色，使同一种素材，展现出不同的外观，使家居素材的表现形式更加丰富。 </w:t>
            </w:r>
          </w:p>
          <w:p>
            <w:pPr>
              <w:widowControl/>
              <w:spacing w:line="360" w:lineRule="auto"/>
              <w:textAlignment w:val="center"/>
              <w:rPr>
                <w:rFonts w:ascii="宋体" w:hAnsi="宋体" w:cs="宋体"/>
                <w:kern w:val="0"/>
                <w:szCs w:val="21"/>
                <w:highlight w:val="none"/>
                <w:lang w:bidi="ar"/>
              </w:rPr>
            </w:pPr>
            <w:r>
              <w:rPr>
                <w:rFonts w:hint="eastAsia" w:ascii="宋体" w:hAnsi="宋体" w:cs="宋体"/>
                <w:kern w:val="0"/>
                <w:szCs w:val="21"/>
                <w:highlight w:val="none"/>
                <w:lang w:bidi="ar"/>
              </w:rPr>
              <w:t>三、产品组成</w:t>
            </w:r>
          </w:p>
          <w:p>
            <w:pPr>
              <w:widowControl/>
              <w:spacing w:line="360" w:lineRule="auto"/>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3.1软件需包含资源库浏览、家居环境设计，我的课程等三个模块。</w:t>
            </w:r>
          </w:p>
          <w:p>
            <w:pPr>
              <w:widowControl/>
              <w:spacing w:line="360" w:lineRule="auto"/>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★3.2资源库浏览中需要能展示家居素材，缩放，360°浏览，细节展示。</w:t>
            </w:r>
          </w:p>
          <w:p>
            <w:pPr>
              <w:widowControl/>
              <w:spacing w:line="360" w:lineRule="auto"/>
              <w:jc w:val="left"/>
              <w:textAlignment w:val="center"/>
              <w:rPr>
                <w:rFonts w:ascii="宋体" w:hAnsi="宋体" w:cs="宋体"/>
                <w:strike/>
                <w:kern w:val="0"/>
                <w:szCs w:val="21"/>
                <w:highlight w:val="none"/>
                <w:lang w:bidi="ar"/>
              </w:rPr>
            </w:pPr>
            <w:r>
              <w:rPr>
                <w:rFonts w:hint="eastAsia" w:ascii="宋体" w:hAnsi="宋体" w:cs="宋体"/>
                <w:kern w:val="0"/>
                <w:szCs w:val="21"/>
                <w:highlight w:val="none"/>
                <w:lang w:bidi="ar"/>
              </w:rPr>
              <w:t>★3.3家居设计模块，需要可以自由设置家居素材，并在摆放时，根据空间，方向等因素，实时显示家居素材的摆放。投标时提</w:t>
            </w:r>
            <w:r>
              <w:rPr>
                <w:rFonts w:hint="eastAsia"/>
                <w:highlight w:val="none"/>
              </w:rPr>
              <w:t>供证明材料(包括但不限于厂家证明或功能截图或国家认可的第三方检测报告)</w:t>
            </w:r>
          </w:p>
          <w:p>
            <w:pPr>
              <w:widowControl/>
              <w:spacing w:line="360" w:lineRule="auto"/>
              <w:textAlignment w:val="center"/>
              <w:rPr>
                <w:rFonts w:ascii="宋体" w:hAnsi="宋体" w:cs="宋体"/>
                <w:szCs w:val="21"/>
                <w:highlight w:val="none"/>
              </w:rPr>
            </w:pPr>
            <w:r>
              <w:rPr>
                <w:rFonts w:hint="eastAsia" w:ascii="宋体" w:hAnsi="宋体" w:cs="宋体"/>
                <w:kern w:val="0"/>
                <w:szCs w:val="21"/>
                <w:highlight w:val="none"/>
                <w:lang w:bidi="ar"/>
              </w:rPr>
              <w:t>3.4 我的课程模块，需要用户可以将资源库中的家居素材导入，形成内容展示课件，并支持文字，模型演示，提供编辑，修改，保存等内容。</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39</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主体结构样板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包含墙、暗柱、梁、板、后浇带等钢筋绑扎、节点钢筋加密，钢板止水带设置，保护层垫块，标准层穿墙对拉螺杆，后浇带三段式止水螺杆，模板加固，底板翻边，混凝土浇筑，施工缝留设、凿毛（底座处，顶板平面未凿毛）。展示钢筋涂刷防锈漆（黑色）。</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螺杆封堵：去除螺杆，打凿喇叭口，螺杆防锈处理，防水砂浆封堵，JS封堵。</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40</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砌体抹灰样板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样板工艺：包含门窗洞口，门框柱；窗混凝土过梁、窗台压顶、窗台散水，洞口预埋混凝土砌块，斜顶砖，构造柱钢筋、构造柱混凝土成型及模板支附，抹灰等工艺。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本样板砌体采用200*200*600加气砼砌块，水泥砂浆砌筑，灰缝10-12mm，底部导墙采用三皮灰砂砖，顶部采用斜顶砖斜砌。</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①外墙做法：甩浆挂网+12厚1:3水泥砂浆找平+界面砂浆粘30厚聚苯挤塑保温板+锚栓锚固+5厚抗裂砂浆压网格布等工艺。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②内墙做法：甩浆挂网+12厚1:3水泥砂浆找平+8厚1:2.5水泥砂浆抹面。</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41</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楼梯样板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样板工艺：钢筋绑扎，马凳筋，保护层垫块；楼梯模板支附，双钢管加固，梁板柱砼成型。混凝土施工缝留设上三步。展示钢筋涂刷防锈漆（黑色）。</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钢管扣件支模架架体，斜跑底板扣件+小横杆受力。</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42</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厨卫样板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样板工艺：200高混凝土反坎，门洞口留设，墙体抹灰，厨房烟道，烟道反坎200高*60；楼面防水，排水立管安装，等电位端子箱预埋（展示）等工艺。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①厨房做法：现浇钢筋混凝土楼板+20厚 1:3水泥砂浆找坡+圆角+1.5厚JS防水涂料（墙立面上翻 200 高）+15厚1:2.5水泥砂浆保护层。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②卫生间做法：现浇钢筋混凝土楼板+20厚1:2.5水泥砂浆找1%坡+圆角+1.5厚聚氨酯防水涂料（墙立面上翻200高）+15厚1:2水泥砂浆保护层。</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43</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屋面样板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样板工艺：女儿墙泛水凹槽处理，女儿墙粉刷、分隔缝，压顶内找坡、防雷接地；穿楼面防水钢套管、屋面防水保温、排气管（110pvc管）安装 、保温层透气管（不锈钢）安装、厨房排烟管道、无动力风帽、圆角等工艺。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屋面做法：</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钢筋混凝土屋面结构板；</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最薄处20厚1:8水泥珍珠岩找2%坡；</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20厚1:2.5水泥砂浆找平；</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刷基层处理剂一遍；</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1.5厚聚氨酯防水涂料；</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3厚聚合物改性沥青防水卷材；</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50厚难燃型挤塑聚苯板；</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干铺聚酯纤维无纺布隔离层；</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40厚C20内配Ф6@150×150细石混凝土刚性保护层</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44</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电气预埋样板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样板工艺：包含墙体砌筑，抹灰面成型展示；管线安装定位弹墨线，机械开槽，开关插座、管线预埋，细石混凝土分次填塞，线槽挂网，开关箱安装，等电位，多媒体集线箱预埋等工艺。</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本样板砌体采用200*200*600加气砼砌块，水泥砂浆砌筑，灰缝10-12mm，底部导墙采用三皮灰砂砖，顶部采用斜顶砖斜砌。</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45</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水井电井样板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水井：给水、排水、消防、防水封堵，防水套管预埋，地漏，组合支架焊接。</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电井：强电桥架、弱电桥架，防腐支架，金属盖板，桥架防火泥封堵等工艺。</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46</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基础样板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展示工艺：基础底板250厚，基础柱400*500，钢筋绑扎，止水钢板安装，底板翻边，剪力墙砼成型展示，混凝土施工缝凿毛，后浇带加筋绑扎。展示钢筋、止水钢板涂刷防锈漆（黑色）。止水钢板弯折后投影宽280mm</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止水螺杆封堵：去除螺杆、打凿喇叭口、刷防锈漆、防水砂浆封堵、JS防水封堵。</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47</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梁柱节点样板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样板工艺：节点钢筋加密展示、钢筋绑扎、框架柱支模，梁模板加固，控制线。</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钢管扣件架体，梁底扣件+小横杆受力。</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KZ1：500*500，梁300*600/300*550</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48</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地下室顶板后浇带样板</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套</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szCs w:val="21"/>
                <w:highlight w:val="none"/>
              </w:rPr>
            </w:pPr>
            <w:r>
              <w:rPr>
                <w:rFonts w:hint="eastAsia" w:ascii="宋体" w:hAnsi="宋体" w:cs="宋体"/>
                <w:kern w:val="0"/>
                <w:szCs w:val="21"/>
                <w:highlight w:val="none"/>
                <w:lang w:bidi="ar"/>
              </w:rPr>
              <w:t>样板工艺：地下室侧墙砼成型，后浇带止水钢板、钢筋加密，顶板后浇带钢筋绑扎、止水钢板安装，后浇带防漏处理等工艺。止水钢板弯折后投影宽280mm。</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螺杆封堵：去除螺杆，打凿喇叭口，螺杆防锈处理，防水砂浆封堵，JS封堵。</w:t>
            </w:r>
            <w:r>
              <w:rPr>
                <w:rFonts w:hint="eastAsia" w:ascii="宋体" w:hAnsi="宋体" w:cs="宋体"/>
                <w:kern w:val="0"/>
                <w:szCs w:val="21"/>
                <w:highlight w:val="none"/>
                <w:lang w:bidi="ar"/>
              </w:rPr>
              <w:br w:type="textWrapping"/>
            </w:r>
            <w:r>
              <w:rPr>
                <w:rFonts w:hint="eastAsia" w:ascii="宋体" w:hAnsi="宋体" w:cs="宋体"/>
                <w:kern w:val="0"/>
                <w:szCs w:val="21"/>
                <w:highlight w:val="none"/>
                <w:lang w:bidi="ar"/>
              </w:rPr>
              <w:t>轮扣架体，顶托+双钢管受力，顶板后浇带独立支撑。</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49</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高级工程师培训</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2</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人</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虚拟仿真实训基地项目验收前安排专业教师进行相应建筑行业职业等级证书高级职业资格等级证培训考录，并获取相关资格等级证书。食宿费、交通费由成交供应商负责。</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50</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学科带头人培训</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2</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人</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kern w:val="0"/>
                <w:szCs w:val="21"/>
                <w:highlight w:val="none"/>
                <w:lang w:bidi="ar"/>
              </w:rPr>
            </w:pPr>
            <w:r>
              <w:rPr>
                <w:rFonts w:hint="eastAsia" w:ascii="宋体" w:hAnsi="宋体" w:cs="宋体"/>
                <w:kern w:val="0"/>
                <w:szCs w:val="21"/>
                <w:highlight w:val="none"/>
                <w:lang w:bidi="ar"/>
              </w:rPr>
              <w:t>虚拟仿真实训基地项目验收前安排专业教师到国家级虚拟仿真基地进行建筑类虚拟仿真学科带头人培训，并获取相关学时学分及结业证书。食宿费、交通费由成交供应商负责。</w:t>
            </w:r>
          </w:p>
        </w:tc>
      </w:tr>
      <w:tr>
        <w:tblPrEx>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430" w:lineRule="exact"/>
              <w:jc w:val="center"/>
              <w:rPr>
                <w:rFonts w:ascii="宋体" w:hAnsi="宋体" w:cs="宋体"/>
                <w:szCs w:val="21"/>
                <w:highlight w:val="none"/>
              </w:rPr>
            </w:pPr>
            <w:r>
              <w:rPr>
                <w:rFonts w:hint="eastAsia" w:ascii="宋体" w:hAnsi="宋体" w:cs="宋体"/>
                <w:szCs w:val="21"/>
                <w:highlight w:val="none"/>
              </w:rPr>
              <w:t>51</w:t>
            </w:r>
          </w:p>
        </w:tc>
        <w:tc>
          <w:tcPr>
            <w:tcW w:w="1815"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spacing w:line="360" w:lineRule="exact"/>
              <w:ind w:left="-98" w:leftChars="-47" w:right="-109" w:rightChars="-52" w:hanging="1"/>
              <w:jc w:val="center"/>
              <w:rPr>
                <w:rFonts w:ascii="宋体" w:hAnsi="宋体" w:cs="宋体"/>
                <w:kern w:val="0"/>
                <w:szCs w:val="21"/>
                <w:highlight w:val="none"/>
                <w:lang w:bidi="ar"/>
              </w:rPr>
            </w:pPr>
            <w:r>
              <w:rPr>
                <w:rFonts w:hint="eastAsia" w:ascii="宋体" w:hAnsi="宋体" w:cs="宋体"/>
                <w:kern w:val="0"/>
                <w:szCs w:val="21"/>
                <w:highlight w:val="none"/>
                <w:lang w:bidi="ar"/>
              </w:rPr>
              <w:t>师资队伍建设培训</w:t>
            </w:r>
          </w:p>
        </w:tc>
        <w:tc>
          <w:tcPr>
            <w:tcW w:w="750"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highlight w:val="none"/>
              </w:rPr>
            </w:pPr>
            <w:r>
              <w:rPr>
                <w:rFonts w:hint="eastAsia" w:ascii="宋体" w:hAnsi="宋体" w:cs="宋体"/>
                <w:szCs w:val="21"/>
                <w:highlight w:val="none"/>
              </w:rPr>
              <w:t>10</w:t>
            </w:r>
          </w:p>
        </w:tc>
        <w:tc>
          <w:tcPr>
            <w:tcW w:w="70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cs="宋体"/>
                <w:kern w:val="0"/>
                <w:szCs w:val="21"/>
                <w:highlight w:val="none"/>
                <w:lang w:bidi="ar"/>
              </w:rPr>
            </w:pPr>
            <w:r>
              <w:rPr>
                <w:rFonts w:hint="eastAsia" w:ascii="宋体" w:hAnsi="宋体" w:cs="宋体"/>
                <w:kern w:val="0"/>
                <w:szCs w:val="21"/>
                <w:highlight w:val="none"/>
                <w:lang w:bidi="ar"/>
              </w:rPr>
              <w:t>人</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highlight w:val="none"/>
              </w:rPr>
            </w:pPr>
            <w:r>
              <w:rPr>
                <w:rFonts w:hint="eastAsia" w:ascii="宋体" w:hAnsi="宋体" w:cs="宋体"/>
                <w:bCs/>
                <w:szCs w:val="21"/>
                <w:highlight w:val="none"/>
              </w:rPr>
              <w:t>虚拟仿真实训基地项目验收前安排专业教师进行区内外全国行业职业教育教学指导委员会举办的建筑虚拟仿真师资素养提升培训累计10人，并获取相关学时学分及结业证书。以培训内容相关的所有费用（含：食宿费、交通费、耗材费、教材费等）由成交供应商承担，培训的付款方式以本项目的合同一致。</w:t>
            </w:r>
            <w:r>
              <w:rPr>
                <w:rFonts w:hint="eastAsia"/>
                <w:highlight w:val="none"/>
              </w:rPr>
              <w:t>培训时间：根据学校需求灵活安排。培训时间:不少于1天。</w:t>
            </w:r>
          </w:p>
        </w:tc>
      </w:tr>
      <w:tr>
        <w:tblPrEx>
          <w:tblCellMar>
            <w:top w:w="0" w:type="dxa"/>
            <w:left w:w="108" w:type="dxa"/>
            <w:bottom w:w="0" w:type="dxa"/>
            <w:right w:w="108" w:type="dxa"/>
          </w:tblCellMar>
        </w:tblPrEx>
        <w:trPr>
          <w:trHeight w:val="90" w:hRule="atLeast"/>
        </w:trPr>
        <w:tc>
          <w:tcPr>
            <w:tcW w:w="9942"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jc w:val="left"/>
              <w:rPr>
                <w:rFonts w:ascii="宋体" w:hAnsi="宋体"/>
                <w:b/>
                <w:bCs/>
                <w:szCs w:val="21"/>
                <w:highlight w:val="none"/>
              </w:rPr>
            </w:pPr>
            <w:r>
              <w:rPr>
                <w:rFonts w:hint="eastAsia" w:ascii="宋体" w:hAnsi="宋体"/>
                <w:b/>
                <w:bCs/>
                <w:szCs w:val="21"/>
                <w:highlight w:val="none"/>
              </w:rPr>
              <w:t>一、谈判要求：</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1.供应商提供的产品必须是全新、完整、未使用过的、符合国家有关质量安全标准的合格产品。</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2.供应商报价应包含: 设备成本、税费、运输、安装、调试、培训、售后服务等所有费用。</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3.违反法律法规和谈判文件要求，承担相应法律责任。</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4.最终报价有时间限制，请竞争性谈判供应商事前准备好各项报价，以免耽误报价。</w:t>
            </w:r>
          </w:p>
          <w:p>
            <w:pPr>
              <w:spacing w:line="360" w:lineRule="auto"/>
              <w:jc w:val="left"/>
              <w:rPr>
                <w:rFonts w:ascii="宋体" w:hAnsi="宋体" w:cs="宋体"/>
                <w:szCs w:val="21"/>
                <w:highlight w:val="none"/>
              </w:rPr>
            </w:pPr>
            <w:r>
              <w:rPr>
                <w:rFonts w:hint="eastAsia" w:ascii="宋体" w:hAnsi="宋体" w:cs="宋体"/>
                <w:b/>
                <w:bCs/>
                <w:szCs w:val="21"/>
                <w:highlight w:val="none"/>
              </w:rPr>
              <w:t>二、验收要求：</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1.设备性能：所有设备需符合谈判文件及合同约定的技术规格和性能要求。</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2.安装质量：设备安装需规范，稳固可靠，符合相关安全标准。</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3.调试结果：设备调试需达到最佳工作状态，无故障报警。</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4.培训效果：供应商需对采购方人员进行操作和维护培训，确保人员能熟练使用设备。</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5.文档齐全：供应商需提供完整的设备清单、操作手册、维修指南等相关文档。</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6.验收标准：验收标准需依据国家或行业相关标准执行，确保设备质量符合规定。</w:t>
            </w:r>
          </w:p>
          <w:p>
            <w:pPr>
              <w:spacing w:line="360" w:lineRule="auto"/>
              <w:jc w:val="left"/>
              <w:rPr>
                <w:rFonts w:ascii="宋体" w:hAnsi="宋体" w:cs="宋体"/>
                <w:b/>
                <w:bCs/>
                <w:szCs w:val="21"/>
                <w:highlight w:val="none"/>
              </w:rPr>
            </w:pPr>
            <w:r>
              <w:rPr>
                <w:rFonts w:hint="eastAsia" w:ascii="宋体" w:hAnsi="宋体" w:cs="宋体"/>
                <w:b/>
                <w:bCs/>
                <w:szCs w:val="21"/>
                <w:highlight w:val="none"/>
              </w:rPr>
              <w:t>三、售后服务：</w:t>
            </w:r>
          </w:p>
          <w:p>
            <w:pPr>
              <w:pStyle w:val="15"/>
              <w:spacing w:line="360" w:lineRule="auto"/>
              <w:ind w:firstLine="210" w:firstLineChars="100"/>
              <w:rPr>
                <w:rFonts w:ascii="宋体" w:hAnsi="宋体"/>
                <w:bCs/>
                <w:szCs w:val="21"/>
                <w:highlight w:val="none"/>
              </w:rPr>
            </w:pPr>
            <w:r>
              <w:rPr>
                <w:rFonts w:ascii="宋体" w:hAnsi="宋体"/>
                <w:bCs/>
                <w:szCs w:val="21"/>
                <w:highlight w:val="none"/>
              </w:rPr>
              <w:t>1</w:t>
            </w:r>
            <w:r>
              <w:rPr>
                <w:rFonts w:hint="eastAsia" w:ascii="宋体" w:hAnsi="宋体"/>
                <w:bCs/>
                <w:szCs w:val="21"/>
                <w:highlight w:val="none"/>
              </w:rPr>
              <w:t>.质保：</w:t>
            </w:r>
          </w:p>
          <w:p>
            <w:pPr>
              <w:pStyle w:val="15"/>
              <w:spacing w:line="360" w:lineRule="auto"/>
              <w:rPr>
                <w:rFonts w:ascii="宋体" w:hAnsi="宋体"/>
                <w:bCs/>
                <w:szCs w:val="21"/>
                <w:highlight w:val="none"/>
              </w:rPr>
            </w:pPr>
            <w:r>
              <w:rPr>
                <w:rFonts w:hint="eastAsia" w:ascii="宋体" w:hAnsi="宋体"/>
                <w:bCs/>
                <w:szCs w:val="21"/>
                <w:highlight w:val="none"/>
              </w:rPr>
              <w:t>（1.所有参数中，使用方保留要求应标方进行逐条演示的权力，如演示内容与描述内容不符，则视为虚假应标；</w:t>
            </w:r>
          </w:p>
          <w:p>
            <w:pPr>
              <w:pStyle w:val="15"/>
              <w:spacing w:line="360" w:lineRule="auto"/>
              <w:rPr>
                <w:rFonts w:ascii="宋体" w:hAnsi="宋体"/>
                <w:bCs/>
                <w:szCs w:val="21"/>
                <w:highlight w:val="none"/>
              </w:rPr>
            </w:pPr>
            <w:r>
              <w:rPr>
                <w:rFonts w:hint="eastAsia" w:ascii="宋体" w:hAnsi="宋体"/>
                <w:bCs/>
                <w:szCs w:val="21"/>
                <w:highlight w:val="none"/>
              </w:rPr>
              <w:t>（2.★三年上门保修服务，当天16点前报修，第二天24小时内完成修复，如不能修复故障每延迟一天修复原厂送保修一个月（400电话验证），不接受二次改装；</w:t>
            </w:r>
          </w:p>
          <w:p>
            <w:pPr>
              <w:pStyle w:val="15"/>
              <w:spacing w:line="360" w:lineRule="auto"/>
              <w:rPr>
                <w:rFonts w:ascii="宋体" w:hAnsi="宋体"/>
                <w:bCs/>
                <w:szCs w:val="21"/>
                <w:highlight w:val="none"/>
              </w:rPr>
            </w:pPr>
            <w:r>
              <w:rPr>
                <w:rFonts w:hint="eastAsia" w:ascii="宋体" w:hAnsi="宋体"/>
                <w:bCs/>
                <w:szCs w:val="21"/>
                <w:highlight w:val="none"/>
              </w:rPr>
              <w:t>（3.售后技术服务要求：产品须附带与购置数量一致的产品许可授权书和系统激活码，含一年的升级和服务。升级和服务到期后不对产品应用进行使用限制。</w:t>
            </w:r>
          </w:p>
          <w:p>
            <w:pPr>
              <w:pStyle w:val="15"/>
              <w:spacing w:line="360" w:lineRule="auto"/>
              <w:rPr>
                <w:rFonts w:ascii="宋体" w:hAnsi="宋体"/>
                <w:bCs/>
                <w:szCs w:val="21"/>
                <w:highlight w:val="none"/>
              </w:rPr>
            </w:pPr>
            <w:r>
              <w:rPr>
                <w:rFonts w:hint="eastAsia" w:ascii="宋体" w:hAnsi="宋体"/>
                <w:bCs/>
                <w:szCs w:val="21"/>
                <w:highlight w:val="none"/>
              </w:rPr>
              <w:t>（4. 免费送货上门，包安装、调试及指导使用</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2.</w:t>
            </w:r>
            <w:r>
              <w:rPr>
                <w:rFonts w:ascii="宋体" w:hAnsi="宋体"/>
                <w:bCs/>
                <w:szCs w:val="21"/>
                <w:highlight w:val="none"/>
              </w:rPr>
              <w:t>质保期限：提供一年的质保期，质保期内因非人为原因造成的设备故障，供应商需免费维修或更换。</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3.售后服务：供应商需提供详细的售后服务方案，包括质保期限、维修响应时间等。</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4.</w:t>
            </w:r>
            <w:r>
              <w:rPr>
                <w:rFonts w:ascii="宋体" w:hAnsi="宋体"/>
                <w:bCs/>
                <w:szCs w:val="21"/>
                <w:highlight w:val="none"/>
              </w:rPr>
              <w:t>备品备件：供应商需提供一定数量的备品备件，确保设备在维修期间不影响采购方的正常使用。</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5.</w:t>
            </w:r>
            <w:r>
              <w:rPr>
                <w:rFonts w:ascii="宋体" w:hAnsi="宋体"/>
                <w:bCs/>
                <w:szCs w:val="21"/>
                <w:highlight w:val="none"/>
              </w:rPr>
              <w:t>技术支持：供应商需提供全天候的技术支持服务，包括电话咨询、远程协助等。</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6.</w:t>
            </w:r>
            <w:r>
              <w:rPr>
                <w:rFonts w:ascii="宋体" w:hAnsi="宋体"/>
                <w:bCs/>
                <w:szCs w:val="21"/>
                <w:highlight w:val="none"/>
              </w:rPr>
              <w:t>定期回访：供应商需定期对采购方进行回访，了解设备使用情况，收集反馈意见，并根据需要进行优化和改进。</w:t>
            </w:r>
          </w:p>
          <w:p>
            <w:pPr>
              <w:pStyle w:val="15"/>
              <w:spacing w:line="360" w:lineRule="auto"/>
              <w:ind w:firstLine="210" w:firstLineChars="100"/>
              <w:rPr>
                <w:rFonts w:ascii="宋体" w:hAnsi="宋体"/>
                <w:bCs/>
                <w:szCs w:val="21"/>
                <w:highlight w:val="none"/>
              </w:rPr>
            </w:pPr>
            <w:r>
              <w:rPr>
                <w:rFonts w:hint="eastAsia" w:ascii="宋体" w:hAnsi="宋体"/>
                <w:bCs/>
                <w:szCs w:val="21"/>
                <w:highlight w:val="none"/>
              </w:rPr>
              <w:t>7.</w:t>
            </w:r>
            <w:r>
              <w:rPr>
                <w:rFonts w:ascii="宋体" w:hAnsi="宋体"/>
                <w:bCs/>
                <w:szCs w:val="21"/>
                <w:highlight w:val="none"/>
              </w:rPr>
              <w:t>售后服务热线：供应商需设立专门的售后服务热线，确保采购方在需要时能及时联系到供应商。</w:t>
            </w:r>
          </w:p>
          <w:p>
            <w:pPr>
              <w:spacing w:line="360" w:lineRule="auto"/>
              <w:jc w:val="left"/>
              <w:rPr>
                <w:rFonts w:ascii="宋体" w:hAnsi="宋体" w:cs="宋体"/>
                <w:b/>
                <w:bCs/>
                <w:szCs w:val="21"/>
                <w:highlight w:val="none"/>
              </w:rPr>
            </w:pPr>
            <w:r>
              <w:rPr>
                <w:rFonts w:hint="eastAsia" w:ascii="宋体" w:hAnsi="宋体" w:cs="宋体"/>
                <w:b/>
                <w:bCs/>
                <w:szCs w:val="21"/>
                <w:highlight w:val="none"/>
              </w:rPr>
              <w:t>四、时间及地点要求：</w:t>
            </w:r>
          </w:p>
          <w:p>
            <w:pPr>
              <w:pStyle w:val="15"/>
              <w:spacing w:line="360" w:lineRule="auto"/>
              <w:rPr>
                <w:rFonts w:hint="eastAsia" w:ascii="宋体" w:hAnsi="宋体"/>
                <w:bCs/>
                <w:szCs w:val="21"/>
                <w:highlight w:val="none"/>
              </w:rPr>
            </w:pPr>
            <w:r>
              <w:rPr>
                <w:rFonts w:hint="eastAsia" w:ascii="宋体" w:hAnsi="宋体" w:cs="宋体"/>
                <w:szCs w:val="21"/>
                <w:highlight w:val="none"/>
              </w:rPr>
              <w:t xml:space="preserve"> </w:t>
            </w:r>
            <w:r>
              <w:rPr>
                <w:rFonts w:hint="eastAsia" w:ascii="宋体" w:hAnsi="宋体"/>
                <w:bCs/>
                <w:szCs w:val="21"/>
                <w:highlight w:val="none"/>
              </w:rPr>
              <w:t xml:space="preserve"> 1.合同签订期：自成交公告发布之日起15日内</w:t>
            </w:r>
          </w:p>
          <w:p>
            <w:pPr>
              <w:pStyle w:val="15"/>
              <w:spacing w:line="360" w:lineRule="auto"/>
              <w:rPr>
                <w:rFonts w:ascii="宋体" w:hAnsi="宋体"/>
                <w:bCs/>
                <w:szCs w:val="21"/>
                <w:highlight w:val="none"/>
              </w:rPr>
            </w:pPr>
            <w:r>
              <w:rPr>
                <w:rFonts w:ascii="宋体" w:hAnsi="宋体"/>
                <w:bCs/>
                <w:szCs w:val="21"/>
                <w:highlight w:val="none"/>
              </w:rPr>
              <w:t xml:space="preserve">  </w:t>
            </w:r>
            <w:r>
              <w:rPr>
                <w:rFonts w:hint="eastAsia" w:ascii="宋体" w:hAnsi="宋体"/>
                <w:bCs/>
                <w:szCs w:val="21"/>
                <w:highlight w:val="none"/>
              </w:rPr>
              <w:t>2.交货期：自合同签订之日起30日历天。</w:t>
            </w:r>
          </w:p>
          <w:p>
            <w:pPr>
              <w:pStyle w:val="15"/>
              <w:spacing w:line="360" w:lineRule="auto"/>
              <w:rPr>
                <w:rFonts w:ascii="宋体" w:hAnsi="宋体"/>
                <w:bCs/>
                <w:szCs w:val="21"/>
                <w:highlight w:val="none"/>
              </w:rPr>
            </w:pPr>
            <w:r>
              <w:rPr>
                <w:rFonts w:ascii="宋体" w:hAnsi="宋体"/>
                <w:bCs/>
                <w:szCs w:val="21"/>
                <w:highlight w:val="none"/>
              </w:rPr>
              <w:t xml:space="preserve">  </w:t>
            </w:r>
            <w:r>
              <w:rPr>
                <w:rFonts w:hint="eastAsia" w:ascii="宋体" w:hAnsi="宋体"/>
                <w:bCs/>
                <w:szCs w:val="21"/>
                <w:highlight w:val="none"/>
              </w:rPr>
              <w:t>3.交货地点：</w:t>
            </w:r>
            <w:r>
              <w:rPr>
                <w:rFonts w:hint="eastAsia"/>
                <w:highlight w:val="none"/>
              </w:rPr>
              <w:t>广西钦州浦北县采购人</w:t>
            </w:r>
            <w:r>
              <w:rPr>
                <w:rFonts w:hint="eastAsia" w:ascii="宋体" w:hAnsi="宋体"/>
                <w:bCs/>
                <w:szCs w:val="21"/>
                <w:highlight w:val="none"/>
              </w:rPr>
              <w:t>指定地点</w:t>
            </w:r>
          </w:p>
          <w:p>
            <w:pPr>
              <w:pStyle w:val="15"/>
              <w:spacing w:line="360" w:lineRule="auto"/>
              <w:rPr>
                <w:rFonts w:ascii="宋体" w:hAnsi="宋体"/>
                <w:bCs/>
                <w:szCs w:val="21"/>
                <w:highlight w:val="none"/>
              </w:rPr>
            </w:pPr>
            <w:r>
              <w:rPr>
                <w:rFonts w:ascii="宋体" w:hAnsi="宋体"/>
                <w:bCs/>
                <w:szCs w:val="21"/>
                <w:highlight w:val="none"/>
              </w:rPr>
              <w:t xml:space="preserve">  </w:t>
            </w:r>
            <w:r>
              <w:rPr>
                <w:rFonts w:hint="eastAsia" w:ascii="宋体" w:hAnsi="宋体"/>
                <w:bCs/>
                <w:szCs w:val="21"/>
                <w:highlight w:val="none"/>
              </w:rPr>
              <w:t>4.付款方式：乙方交货完毕，按甲方要求安装调试验收合格后，甲方在三十个工作日内按合同总价支付100%货款。乙方收到上述货款之日起三个工作日内将发票开具给甲方。</w:t>
            </w:r>
          </w:p>
          <w:p>
            <w:pPr>
              <w:spacing w:line="360" w:lineRule="auto"/>
              <w:jc w:val="left"/>
              <w:rPr>
                <w:rFonts w:ascii="宋体" w:hAnsi="宋体" w:cs="宋体"/>
                <w:b/>
                <w:bCs/>
                <w:szCs w:val="21"/>
                <w:highlight w:val="none"/>
              </w:rPr>
            </w:pPr>
            <w:r>
              <w:rPr>
                <w:rFonts w:hint="eastAsia" w:ascii="宋体" w:hAnsi="宋体" w:cs="宋体"/>
                <w:b/>
                <w:bCs/>
                <w:szCs w:val="21"/>
                <w:highlight w:val="none"/>
              </w:rPr>
              <w:t>五、其它要求：</w:t>
            </w:r>
          </w:p>
          <w:p>
            <w:pPr>
              <w:pStyle w:val="15"/>
              <w:spacing w:line="360" w:lineRule="auto"/>
              <w:rPr>
                <w:highlight w:val="none"/>
              </w:rPr>
            </w:pPr>
            <w:r>
              <w:rPr>
                <w:rFonts w:ascii="宋体" w:hAnsi="宋体" w:cs="宋体"/>
                <w:szCs w:val="21"/>
                <w:highlight w:val="none"/>
              </w:rPr>
              <w:t xml:space="preserve">  </w:t>
            </w:r>
            <w:r>
              <w:rPr>
                <w:rFonts w:hint="eastAsia" w:ascii="宋体" w:hAnsi="宋体" w:cs="宋体"/>
                <w:szCs w:val="21"/>
                <w:highlight w:val="none"/>
              </w:rPr>
              <w:t>1.</w:t>
            </w:r>
            <w:r>
              <w:rPr>
                <w:rFonts w:hint="eastAsia" w:ascii="宋体" w:hAnsi="宋体"/>
                <w:bCs/>
                <w:szCs w:val="21"/>
                <w:highlight w:val="none"/>
              </w:rPr>
              <w:t>投标人需书面承诺所投标产品不会发生任何的知识产权或经营权的纠纷。投标人所投产品在设计开发中若采用第三方技术或第三方中间件，如需支付费用，请在</w:t>
            </w:r>
            <w:r>
              <w:rPr>
                <w:rFonts w:hint="eastAsia"/>
                <w:highlight w:val="none"/>
              </w:rPr>
              <w:t>报价明细表</w:t>
            </w:r>
            <w:r>
              <w:rPr>
                <w:rFonts w:hint="eastAsia" w:ascii="宋体" w:hAnsi="宋体"/>
                <w:bCs/>
                <w:szCs w:val="21"/>
                <w:highlight w:val="none"/>
              </w:rPr>
              <w:t>中明确列出（单独列出，但需计入投标总价），否则用户将不承担该项费用。投标人需书面承诺采购方免受第三方提出侵犯其著作权、专利权、商标权或设计权的纠纷。</w:t>
            </w:r>
          </w:p>
          <w:p>
            <w:pPr>
              <w:spacing w:line="360" w:lineRule="auto"/>
              <w:ind w:firstLine="210" w:firstLineChars="100"/>
              <w:jc w:val="left"/>
              <w:rPr>
                <w:rFonts w:ascii="宋体" w:hAnsi="宋体" w:cs="宋体"/>
                <w:szCs w:val="21"/>
                <w:highlight w:val="none"/>
              </w:rPr>
            </w:pPr>
            <w:r>
              <w:rPr>
                <w:rFonts w:hint="eastAsia" w:ascii="宋体" w:hAnsi="宋体" w:cs="宋体"/>
                <w:szCs w:val="21"/>
                <w:highlight w:val="none"/>
              </w:rPr>
              <w:t>2.</w:t>
            </w:r>
            <w:r>
              <w:rPr>
                <w:rFonts w:hint="eastAsia" w:ascii="宋体" w:hAnsi="宋体"/>
                <w:bCs/>
                <w:szCs w:val="21"/>
                <w:highlight w:val="none"/>
              </w:rPr>
              <w:t>供应商在采购活动中提供虚假材料，以及提供的产品与响应文件不一致的，报采购监管部门查处。</w:t>
            </w:r>
          </w:p>
        </w:tc>
      </w:tr>
    </w:tbl>
    <w:p>
      <w:pPr>
        <w:spacing w:line="430" w:lineRule="exact"/>
        <w:jc w:val="left"/>
        <w:rPr>
          <w:rFonts w:ascii="宋体" w:hAnsi="宋体"/>
          <w:szCs w:val="21"/>
        </w:rPr>
      </w:pPr>
    </w:p>
    <w:p>
      <w:pPr>
        <w:widowControl/>
        <w:jc w:val="left"/>
        <w:rPr>
          <w:rFonts w:ascii="宋体" w:hAnsi="宋体"/>
          <w:szCs w:val="21"/>
        </w:rPr>
      </w:pPr>
      <w:r>
        <w:rPr>
          <w:rFonts w:ascii="宋体" w:hAnsi="宋体"/>
          <w:szCs w:val="21"/>
        </w:rPr>
        <w:br w:type="page"/>
      </w:r>
    </w:p>
    <w:p>
      <w:pPr>
        <w:spacing w:line="430" w:lineRule="exact"/>
        <w:jc w:val="left"/>
        <w:rPr>
          <w:rFonts w:ascii="宋体" w:hAnsi="宋体"/>
          <w:szCs w:val="21"/>
        </w:rPr>
      </w:pPr>
    </w:p>
    <w:p>
      <w:pPr>
        <w:widowControl/>
        <w:jc w:val="left"/>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
      <w:pPr>
        <w:pStyle w:val="3"/>
        <w:spacing w:line="400" w:lineRule="exact"/>
        <w:rPr>
          <w:rFonts w:ascii="方正小标宋简体" w:eastAsia="方正小标宋简体"/>
        </w:rPr>
      </w:pPr>
      <w:bookmarkStart w:id="50" w:name="_Toc92355025"/>
      <w:r>
        <w:rPr>
          <w:rFonts w:hint="eastAsia" w:ascii="方正小标宋简体" w:eastAsia="方正小标宋简体"/>
        </w:rPr>
        <w:t>第三章  供应商须知</w:t>
      </w:r>
      <w:bookmarkEnd w:id="46"/>
      <w:bookmarkEnd w:id="47"/>
      <w:bookmarkEnd w:id="50"/>
    </w:p>
    <w:p>
      <w:pPr>
        <w:jc w:val="center"/>
        <w:rPr>
          <w:rFonts w:ascii="仿宋_GB2312" w:hAnsi="宋体" w:eastAsia="仿宋_GB2312"/>
          <w:b/>
          <w:sz w:val="32"/>
          <w:szCs w:val="32"/>
        </w:rPr>
      </w:pPr>
      <w:bookmarkStart w:id="51" w:name="_Toc354479499"/>
      <w:bookmarkStart w:id="52" w:name="_Toc357157408"/>
      <w:bookmarkStart w:id="53" w:name="_Toc350325671"/>
      <w:bookmarkStart w:id="54" w:name="_Toc358477281"/>
      <w:r>
        <w:rPr>
          <w:rFonts w:ascii="仿宋_GB2312" w:hAnsi="宋体" w:eastAsia="仿宋_GB2312"/>
          <w:b/>
          <w:sz w:val="32"/>
          <w:szCs w:val="32"/>
        </w:rPr>
        <w:br w:type="page"/>
      </w:r>
    </w:p>
    <w:p/>
    <w:p>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35"/>
        <w:tblW w:w="9351" w:type="dxa"/>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内    容</w:t>
            </w:r>
          </w:p>
        </w:tc>
      </w:tr>
      <w:tr>
        <w:tblPrEx>
          <w:tblCellMar>
            <w:top w:w="0" w:type="dxa"/>
            <w:left w:w="108" w:type="dxa"/>
            <w:bottom w:w="0" w:type="dxa"/>
            <w:right w:w="108" w:type="dxa"/>
          </w:tblCellMar>
        </w:tblPrEx>
        <w:trPr>
          <w:trHeight w:val="11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2"/>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2"/>
                <w:rFonts w:hint="eastAsia" w:ascii="宋体" w:hAnsi="宋体" w:cs="宋体"/>
                <w:color w:val="auto"/>
                <w:kern w:val="0"/>
                <w:szCs w:val="21"/>
                <w:u w:val="none"/>
              </w:rPr>
              <w:t>项目名称：</w:t>
            </w:r>
            <w:r>
              <w:rPr>
                <w:rFonts w:hint="eastAsia"/>
              </w:rPr>
              <w:t>浦北县第一职业技术学校建筑工程施工虚拟仿真实训基地设备</w:t>
            </w:r>
          </w:p>
          <w:p>
            <w:pPr>
              <w:widowControl/>
              <w:spacing w:line="440" w:lineRule="exact"/>
              <w:rPr>
                <w:rFonts w:hint="eastAsia" w:ascii="宋体" w:hAnsi="宋体" w:eastAsia="宋体"/>
                <w:szCs w:val="21"/>
                <w:lang w:eastAsia="zh-CN"/>
              </w:rPr>
            </w:pPr>
            <w:r>
              <w:rPr>
                <w:rStyle w:val="42"/>
                <w:rFonts w:hint="eastAsia" w:ascii="宋体" w:hAnsi="宋体"/>
                <w:color w:val="auto"/>
                <w:szCs w:val="21"/>
                <w:u w:val="none"/>
              </w:rPr>
              <w:t>项目编号：</w:t>
            </w:r>
            <w:r>
              <w:rPr>
                <w:rFonts w:ascii="宋体" w:hAnsi="宋体" w:cs="宋体"/>
                <w:kern w:val="0"/>
                <w:szCs w:val="21"/>
              </w:rPr>
              <w:fldChar w:fldCharType="end"/>
            </w:r>
            <w:r>
              <w:rPr>
                <w:rFonts w:hint="eastAsia" w:ascii="宋体" w:hAnsi="宋体" w:cs="宋体"/>
                <w:kern w:val="0"/>
                <w:szCs w:val="21"/>
                <w:lang w:eastAsia="zh-CN"/>
              </w:rPr>
              <w:t>QZZC2025-J1-220090-QZSZ</w:t>
            </w:r>
          </w:p>
        </w:tc>
      </w:tr>
      <w:tr>
        <w:tblPrEx>
          <w:tblCellMar>
            <w:top w:w="0" w:type="dxa"/>
            <w:left w:w="108" w:type="dxa"/>
            <w:bottom w:w="0" w:type="dxa"/>
            <w:right w:w="108" w:type="dxa"/>
          </w:tblCellMar>
        </w:tblPrEx>
        <w:trPr>
          <w:trHeight w:val="26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2"/>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2"/>
                <w:rFonts w:hint="eastAsia" w:ascii="宋体" w:hAnsi="宋体"/>
                <w:color w:val="auto"/>
                <w:u w:val="none"/>
              </w:rPr>
              <w:t>供应商资格：</w:t>
            </w:r>
          </w:p>
          <w:p>
            <w:pPr>
              <w:spacing w:line="440" w:lineRule="exact"/>
              <w:rPr>
                <w:rFonts w:ascii="宋体" w:hAnsi="宋体"/>
              </w:rPr>
            </w:pPr>
            <w:r>
              <w:rPr>
                <w:rFonts w:ascii="宋体" w:hAnsi="宋体"/>
              </w:rPr>
              <w:fldChar w:fldCharType="end"/>
            </w:r>
            <w:r>
              <w:rPr>
                <w:rFonts w:hint="eastAsia" w:ascii="宋体" w:hAnsi="宋体"/>
              </w:rPr>
              <w:t>1.满足《中华人民共和国政府采购法》第二十二条规定</w:t>
            </w:r>
          </w:p>
          <w:p>
            <w:pPr>
              <w:spacing w:line="440" w:lineRule="exact"/>
              <w:rPr>
                <w:rFonts w:ascii="宋体" w:hAnsi="宋体"/>
              </w:rPr>
            </w:pPr>
            <w:r>
              <w:rPr>
                <w:rFonts w:hint="eastAsia" w:ascii="宋体" w:hAnsi="宋体"/>
              </w:rPr>
              <w:t>2.落实政府采购政策需满足的资格要求：</w:t>
            </w:r>
            <w:r>
              <w:rPr>
                <w:rFonts w:hint="eastAsia"/>
              </w:rPr>
              <w:t>无</w:t>
            </w:r>
          </w:p>
          <w:p>
            <w:pPr>
              <w:spacing w:line="440" w:lineRule="exact"/>
              <w:rPr>
                <w:rFonts w:ascii="宋体" w:hAnsi="宋体"/>
              </w:rPr>
            </w:pPr>
            <w:r>
              <w:rPr>
                <w:rFonts w:hint="eastAsia" w:ascii="宋体" w:hAnsi="宋体"/>
              </w:rPr>
              <w:t>3.本项目的特定资格要求：无</w:t>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rPr>
            </w:pPr>
            <w:r>
              <w:fldChar w:fldCharType="begin"/>
            </w:r>
            <w:r>
              <w:instrText xml:space="preserve"> HYPERLINK \l "_（五）报价" </w:instrText>
            </w:r>
            <w:r>
              <w:fldChar w:fldCharType="separate"/>
            </w:r>
            <w:r>
              <w:rPr>
                <w:rStyle w:val="42"/>
                <w:rFonts w:hint="eastAsia" w:ascii="宋体" w:hAnsi="宋体" w:cs="宋体"/>
                <w:color w:val="auto"/>
                <w:kern w:val="0"/>
                <w:szCs w:val="21"/>
                <w:u w:val="none"/>
              </w:rPr>
              <w:t>报价：供应商的报价必须按采购文件或政府采购云平台规定的格式填写，并在规定时间内提交最后报价。</w:t>
            </w:r>
            <w:r>
              <w:rPr>
                <w:rStyle w:val="42"/>
                <w:rFonts w:hint="eastAsia" w:ascii="宋体" w:hAnsi="宋体" w:cs="宋体"/>
                <w:color w:val="auto"/>
                <w:kern w:val="0"/>
                <w:szCs w:val="21"/>
                <w:u w:val="none"/>
              </w:rPr>
              <w:fldChar w:fldCharType="end"/>
            </w:r>
          </w:p>
        </w:tc>
      </w:tr>
      <w:tr>
        <w:tblPrEx>
          <w:tblCellMar>
            <w:top w:w="0" w:type="dxa"/>
            <w:left w:w="108" w:type="dxa"/>
            <w:bottom w:w="0" w:type="dxa"/>
            <w:right w:w="108" w:type="dxa"/>
          </w:tblCellMar>
        </w:tblPrEx>
        <w:trPr>
          <w:trHeight w:val="23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2"/>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2"/>
                <w:rFonts w:hint="eastAsia" w:ascii="宋体" w:hAnsi="宋体" w:cs="宋体"/>
                <w:color w:val="auto"/>
                <w:kern w:val="0"/>
                <w:szCs w:val="21"/>
                <w:u w:val="none"/>
              </w:rPr>
              <w:t>响应文件提交截止时间及开启时间：</w:t>
            </w:r>
            <w:r>
              <w:rPr>
                <w:rFonts w:hint="eastAsia"/>
                <w:lang w:eastAsia="zh-CN"/>
              </w:rPr>
              <w:t>2025年5月2</w:t>
            </w:r>
            <w:r>
              <w:rPr>
                <w:rFonts w:hint="eastAsia"/>
                <w:lang w:val="en-US" w:eastAsia="zh-CN"/>
              </w:rPr>
              <w:t>9</w:t>
            </w:r>
            <w:bookmarkStart w:id="152" w:name="_GoBack"/>
            <w:bookmarkEnd w:id="152"/>
            <w:r>
              <w:rPr>
                <w:rFonts w:hint="eastAsia"/>
                <w:lang w:eastAsia="zh-CN"/>
              </w:rPr>
              <w:t>日</w:t>
            </w:r>
            <w:r>
              <w:t>09</w:t>
            </w:r>
            <w:r>
              <w:rPr>
                <w:rFonts w:hint="eastAsia"/>
              </w:rPr>
              <w:t>:</w:t>
            </w:r>
            <w:r>
              <w:t>3</w:t>
            </w:r>
            <w:r>
              <w:rPr>
                <w:rFonts w:hint="eastAsia"/>
              </w:rPr>
              <w:t>0（北京时间）</w:t>
            </w:r>
          </w:p>
          <w:p>
            <w:pPr>
              <w:widowControl/>
              <w:spacing w:line="440" w:lineRule="exact"/>
            </w:pPr>
            <w:r>
              <w:rPr>
                <w:rStyle w:val="42"/>
                <w:rFonts w:hint="eastAsia"/>
                <w:b/>
                <w:color w:val="auto"/>
                <w:szCs w:val="21"/>
                <w:u w:val="none"/>
              </w:rPr>
              <w:t>注意事项：</w:t>
            </w:r>
            <w:r>
              <w:rPr>
                <w:rStyle w:val="42"/>
                <w:rFonts w:hint="eastAsia"/>
                <w:bCs/>
                <w:color w:val="auto"/>
                <w:u w:val="none"/>
              </w:rPr>
              <w:t>供应商法定代表人或委托代理人须按时登录政采云远程开标大厅，保持全程在线并关注评审谈判进度，评审期间谈判小组提出澄清等要求时，供应商须在规定时间内进行在线应答，否则按采购文件或政采云平台的相关规定执行。</w:t>
            </w:r>
            <w:r>
              <w:rPr>
                <w:rFonts w:ascii="宋体" w:hAnsi="宋体" w:cs="宋体"/>
                <w:kern w:val="0"/>
                <w:szCs w:val="21"/>
              </w:rPr>
              <w:fldChar w:fldCharType="end"/>
            </w:r>
          </w:p>
        </w:tc>
      </w:tr>
      <w:tr>
        <w:tblPrEx>
          <w:tblCellMar>
            <w:top w:w="0" w:type="dxa"/>
            <w:left w:w="108" w:type="dxa"/>
            <w:bottom w:w="0" w:type="dxa"/>
            <w:right w:w="108" w:type="dxa"/>
          </w:tblCellMar>
        </w:tblPrEx>
        <w:trPr>
          <w:trHeight w:val="229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2"/>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2"/>
                <w:color w:val="auto"/>
                <w:u w:val="none"/>
              </w:rPr>
              <w:t>评审及谈判：</w:t>
            </w:r>
          </w:p>
          <w:p>
            <w:pPr>
              <w:spacing w:line="440" w:lineRule="exact"/>
            </w:pPr>
            <w:r>
              <w:rPr>
                <w:rStyle w:val="42"/>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tblPrEx>
          <w:tblCellMar>
            <w:top w:w="0" w:type="dxa"/>
            <w:left w:w="108" w:type="dxa"/>
            <w:bottom w:w="0" w:type="dxa"/>
            <w:right w:w="108" w:type="dxa"/>
          </w:tblCellMar>
        </w:tblPrEx>
        <w:trPr>
          <w:trHeight w:val="97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2"/>
                <w:rFonts w:hint="eastAsia" w:ascii="宋体" w:hAnsi="宋体" w:cs="宋体"/>
                <w:color w:val="auto"/>
                <w:kern w:val="0"/>
                <w:szCs w:val="21"/>
                <w:u w:val="none"/>
              </w:rPr>
              <w:t>评定方法：</w:t>
            </w:r>
            <w:r>
              <w:rPr>
                <w:rStyle w:val="42"/>
                <w:rFonts w:hint="eastAsia"/>
                <w:color w:val="auto"/>
                <w:u w:val="none"/>
              </w:rPr>
              <w:t>详见第四章《评定标准及推荐原则》。</w:t>
            </w:r>
            <w:r>
              <w:rPr>
                <w:rStyle w:val="42"/>
                <w:rFonts w:hint="eastAsia"/>
                <w:color w:val="auto"/>
                <w:u w:val="none"/>
              </w:rPr>
              <w:fldChar w:fldCharType="end"/>
            </w:r>
          </w:p>
        </w:tc>
      </w:tr>
      <w:tr>
        <w:tblPrEx>
          <w:tblCellMar>
            <w:top w:w="0" w:type="dxa"/>
            <w:left w:w="108" w:type="dxa"/>
            <w:bottom w:w="0" w:type="dxa"/>
            <w:right w:w="108" w:type="dxa"/>
          </w:tblCellMar>
        </w:tblPrEx>
        <w:trPr>
          <w:trHeight w:val="139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2"/>
                <w:rFonts w:hint="eastAsia" w:ascii="宋体" w:hAnsi="宋体" w:cs="宋体"/>
                <w:color w:val="auto"/>
                <w:kern w:val="0"/>
                <w:szCs w:val="21"/>
                <w:u w:val="none"/>
              </w:rPr>
              <w:t>代理服务费：</w:t>
            </w:r>
            <w:bookmarkStart w:id="55" w:name="OLE_LINK9"/>
            <w:r>
              <w:rPr>
                <w:rStyle w:val="42"/>
                <w:rFonts w:hint="eastAsia" w:ascii="宋体" w:hAnsi="宋体" w:cs="宋体"/>
                <w:color w:val="auto"/>
                <w:kern w:val="0"/>
                <w:szCs w:val="21"/>
                <w:u w:val="none"/>
              </w:rPr>
              <w:t>按钦州市物价局“钦市价费﹝2013﹞4号”文件，以差额定率累进法计算。成交供应商须按成交金额缴纳相应的代理服务费。</w:t>
            </w:r>
            <w:bookmarkEnd w:id="55"/>
            <w:r>
              <w:rPr>
                <w:rStyle w:val="42"/>
                <w:rFonts w:hint="eastAsia" w:ascii="宋体" w:hAnsi="宋体" w:cs="宋体"/>
                <w:color w:val="auto"/>
                <w:kern w:val="0"/>
                <w:szCs w:val="21"/>
                <w:u w:val="none"/>
              </w:rPr>
              <w:fldChar w:fldCharType="end"/>
            </w:r>
          </w:p>
        </w:tc>
      </w:tr>
    </w:tbl>
    <w:p>
      <w:pPr>
        <w:pStyle w:val="4"/>
        <w:jc w:val="center"/>
      </w:pPr>
      <w:bookmarkStart w:id="56" w:name="_Toc420505403"/>
      <w:r>
        <w:br w:type="page"/>
      </w:r>
    </w:p>
    <w:p>
      <w:pPr>
        <w:jc w:val="center"/>
        <w:rPr>
          <w:rFonts w:ascii="黑体" w:hAnsi="黑体" w:eastAsia="黑体"/>
          <w:b/>
          <w:bCs/>
          <w:sz w:val="32"/>
          <w:szCs w:val="32"/>
        </w:rPr>
      </w:pPr>
      <w:r>
        <w:rPr>
          <w:rFonts w:hint="eastAsia" w:ascii="黑体" w:hAnsi="黑体" w:eastAsia="黑体"/>
          <w:b/>
          <w:bCs/>
          <w:sz w:val="32"/>
          <w:szCs w:val="32"/>
        </w:rPr>
        <w:t>二、供应商须知</w:t>
      </w:r>
      <w:bookmarkEnd w:id="56"/>
    </w:p>
    <w:p>
      <w:pPr>
        <w:pStyle w:val="4"/>
        <w:spacing w:line="420" w:lineRule="exact"/>
      </w:pPr>
      <w:bookmarkStart w:id="57" w:name="_一、总_则"/>
      <w:bookmarkEnd w:id="57"/>
      <w:r>
        <w:rPr>
          <w:rFonts w:hint="eastAsia"/>
        </w:rPr>
        <w:t>一、总　则</w:t>
      </w:r>
    </w:p>
    <w:p>
      <w:pPr>
        <w:spacing w:line="420" w:lineRule="exact"/>
        <w:ind w:firstLine="210" w:firstLineChars="100"/>
        <w:rPr>
          <w:rFonts w:ascii="宋体" w:hAnsi="宋体"/>
          <w:szCs w:val="21"/>
        </w:rPr>
      </w:pPr>
      <w:r>
        <w:rPr>
          <w:rFonts w:hint="eastAsia" w:ascii="宋体" w:hAnsi="宋体"/>
          <w:szCs w:val="21"/>
        </w:rPr>
        <w:t>（一）适用范围</w:t>
      </w:r>
    </w:p>
    <w:p>
      <w:pPr>
        <w:spacing w:line="420" w:lineRule="exact"/>
        <w:ind w:right="-334" w:rightChars="-159" w:firstLine="420"/>
        <w:rPr>
          <w:rFonts w:hAnsi="宋体"/>
        </w:rPr>
      </w:pPr>
      <w:r>
        <w:rPr>
          <w:rFonts w:hAnsi="宋体"/>
        </w:rPr>
        <w:t>1.</w:t>
      </w:r>
      <w:r>
        <w:rPr>
          <w:rFonts w:hint="eastAsia" w:hAnsi="宋体"/>
        </w:rPr>
        <w:t>项目名称：浦北县第一职业技术学校建筑工程施工虚拟仿真实训基地设备</w:t>
      </w:r>
    </w:p>
    <w:p>
      <w:pPr>
        <w:spacing w:line="420" w:lineRule="exact"/>
        <w:ind w:right="-334" w:rightChars="-159" w:firstLine="420"/>
        <w:rPr>
          <w:rFonts w:hint="eastAsia" w:hAnsi="宋体" w:eastAsia="宋体"/>
          <w:lang w:eastAsia="zh-CN"/>
        </w:rPr>
      </w:pPr>
      <w:r>
        <w:rPr>
          <w:rFonts w:hAnsi="宋体"/>
        </w:rPr>
        <w:t>2</w:t>
      </w:r>
      <w:r>
        <w:rPr>
          <w:rFonts w:hint="eastAsia" w:hAnsi="宋体"/>
        </w:rPr>
        <w:t>.项目编号：</w:t>
      </w:r>
      <w:r>
        <w:rPr>
          <w:rFonts w:hint="eastAsia" w:hAnsi="宋体"/>
          <w:lang w:eastAsia="zh-CN"/>
        </w:rPr>
        <w:t>QZZC2025-J1-220090-QZSZ</w:t>
      </w:r>
    </w:p>
    <w:p>
      <w:pPr>
        <w:spacing w:line="420" w:lineRule="exact"/>
        <w:ind w:right="-334" w:rightChars="-159" w:firstLine="420"/>
        <w:rPr>
          <w:szCs w:val="21"/>
        </w:rPr>
      </w:pPr>
      <w:r>
        <w:rPr>
          <w:rFonts w:hint="eastAsia" w:hAnsi="宋体"/>
        </w:rPr>
        <w:t>本文件仅适用于本文件中所叙述的货物、服务类政府采购项目。</w:t>
      </w:r>
    </w:p>
    <w:p>
      <w:pPr>
        <w:spacing w:line="420" w:lineRule="exact"/>
        <w:ind w:firstLine="210" w:firstLineChars="100"/>
        <w:rPr>
          <w:rFonts w:ascii="宋体" w:hAnsi="宋体"/>
          <w:szCs w:val="21"/>
        </w:rPr>
      </w:pPr>
      <w:r>
        <w:rPr>
          <w:rFonts w:hint="eastAsia" w:ascii="宋体" w:hAnsi="宋体"/>
          <w:szCs w:val="21"/>
        </w:rPr>
        <w:t>（二）定义</w:t>
      </w:r>
    </w:p>
    <w:p>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pPr>
        <w:spacing w:line="420" w:lineRule="exact"/>
        <w:ind w:firstLine="211" w:firstLineChars="100"/>
        <w:rPr>
          <w:rFonts w:ascii="宋体" w:hAnsi="宋体"/>
          <w:b/>
          <w:szCs w:val="21"/>
        </w:rPr>
      </w:pPr>
      <w:r>
        <w:rPr>
          <w:rFonts w:hint="eastAsia" w:ascii="宋体" w:hAnsi="宋体"/>
          <w:b/>
          <w:szCs w:val="21"/>
        </w:rPr>
        <w:t>（三）供应商资格</w:t>
      </w:r>
    </w:p>
    <w:p>
      <w:pPr>
        <w:spacing w:line="420" w:lineRule="exact"/>
        <w:ind w:firstLine="420" w:firstLineChars="200"/>
      </w:pPr>
      <w:r>
        <w:rPr>
          <w:rFonts w:hint="eastAsia"/>
        </w:rPr>
        <w:t>1.满足《中华人民共和国政府采购法》第二十二条规定</w:t>
      </w:r>
    </w:p>
    <w:p>
      <w:pPr>
        <w:spacing w:line="420" w:lineRule="exact"/>
        <w:ind w:firstLine="420" w:firstLineChars="200"/>
      </w:pPr>
      <w:r>
        <w:rPr>
          <w:rFonts w:hint="eastAsia"/>
        </w:rPr>
        <w:t>2.落实政府采购政策需满足的资格要求：无</w:t>
      </w:r>
    </w:p>
    <w:p>
      <w:pPr>
        <w:spacing w:line="420" w:lineRule="exact"/>
        <w:ind w:firstLine="420" w:firstLineChars="200"/>
      </w:pPr>
      <w:r>
        <w:rPr>
          <w:rFonts w:hint="eastAsia"/>
        </w:rPr>
        <w:t>3.本项目的特定资格要求：无</w:t>
      </w:r>
    </w:p>
    <w:p>
      <w:pPr>
        <w:spacing w:line="420" w:lineRule="exact"/>
        <w:ind w:firstLine="422" w:firstLineChars="200"/>
        <w:rPr>
          <w:b/>
          <w:bCs/>
        </w:rPr>
      </w:pPr>
      <w:r>
        <w:rPr>
          <w:rFonts w:hint="eastAsia"/>
          <w:b/>
          <w:bCs/>
        </w:rPr>
        <w:t>（四）采购方式</w:t>
      </w:r>
    </w:p>
    <w:p>
      <w:pPr>
        <w:snapToGrid w:val="0"/>
        <w:spacing w:line="420" w:lineRule="exact"/>
        <w:ind w:firstLine="420" w:firstLineChars="200"/>
        <w:rPr>
          <w:rFonts w:ascii="宋体" w:hAnsi="宋体"/>
          <w:szCs w:val="21"/>
        </w:rPr>
      </w:pPr>
      <w:r>
        <w:rPr>
          <w:rFonts w:hint="eastAsia" w:ascii="宋体" w:hAnsi="宋体"/>
          <w:szCs w:val="21"/>
        </w:rPr>
        <w:t>竞争性谈判</w:t>
      </w:r>
    </w:p>
    <w:p>
      <w:pPr>
        <w:spacing w:line="420" w:lineRule="exact"/>
        <w:ind w:firstLine="211" w:firstLineChars="100"/>
        <w:rPr>
          <w:b/>
          <w:bCs/>
        </w:rPr>
      </w:pPr>
      <w:bookmarkStart w:id="58" w:name="_Toc254970671"/>
      <w:bookmarkStart w:id="59" w:name="_Toc353785281"/>
      <w:bookmarkStart w:id="60" w:name="_Toc352700410"/>
      <w:bookmarkStart w:id="61" w:name="_Toc254970530"/>
      <w:r>
        <w:rPr>
          <w:rFonts w:hint="eastAsia"/>
          <w:b/>
          <w:bCs/>
        </w:rPr>
        <w:t>（五）代理委托</w:t>
      </w:r>
      <w:bookmarkEnd w:id="58"/>
      <w:bookmarkEnd w:id="59"/>
      <w:bookmarkEnd w:id="60"/>
      <w:bookmarkEnd w:id="61"/>
    </w:p>
    <w:p>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pPr>
        <w:spacing w:line="420" w:lineRule="exact"/>
        <w:ind w:firstLine="211" w:firstLineChars="100"/>
        <w:rPr>
          <w:b/>
          <w:bCs/>
        </w:rPr>
      </w:pPr>
      <w:bookmarkStart w:id="62" w:name="_Toc353785282"/>
      <w:bookmarkStart w:id="63" w:name="_Toc254970672"/>
      <w:bookmarkStart w:id="64" w:name="_Toc254970531"/>
      <w:bookmarkStart w:id="65" w:name="_Toc352700411"/>
      <w:r>
        <w:rPr>
          <w:rFonts w:hint="eastAsia"/>
          <w:b/>
          <w:bCs/>
        </w:rPr>
        <w:t>（六）谈判费用</w:t>
      </w:r>
      <w:bookmarkEnd w:id="62"/>
      <w:bookmarkEnd w:id="63"/>
      <w:bookmarkEnd w:id="64"/>
      <w:bookmarkEnd w:id="65"/>
    </w:p>
    <w:p>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pPr>
        <w:spacing w:line="420" w:lineRule="exact"/>
        <w:ind w:firstLine="211" w:firstLineChars="100"/>
        <w:rPr>
          <w:b/>
          <w:bCs/>
        </w:rPr>
      </w:pPr>
      <w:bookmarkStart w:id="66" w:name="_Toc353785283"/>
      <w:bookmarkStart w:id="67" w:name="_Toc352700413"/>
      <w:r>
        <w:rPr>
          <w:rFonts w:hint="eastAsia"/>
          <w:b/>
          <w:bCs/>
        </w:rPr>
        <w:t>（七）转包与分包</w:t>
      </w:r>
      <w:bookmarkEnd w:id="66"/>
      <w:bookmarkEnd w:id="67"/>
    </w:p>
    <w:p>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pPr>
        <w:spacing w:line="420" w:lineRule="exact"/>
        <w:ind w:firstLine="211" w:firstLineChars="100"/>
        <w:rPr>
          <w:b/>
          <w:bCs/>
        </w:rPr>
      </w:pPr>
      <w:bookmarkStart w:id="68" w:name="_Toc352700414"/>
      <w:bookmarkStart w:id="69" w:name="_Toc353785284"/>
      <w:bookmarkStart w:id="70" w:name="_Toc254970532"/>
      <w:bookmarkStart w:id="71" w:name="_Toc254970673"/>
      <w:r>
        <w:rPr>
          <w:rFonts w:hint="eastAsia"/>
          <w:b/>
          <w:bCs/>
        </w:rPr>
        <w:t>（八）特别说明</w:t>
      </w:r>
      <w:bookmarkEnd w:id="68"/>
      <w:bookmarkEnd w:id="69"/>
      <w:bookmarkEnd w:id="70"/>
      <w:bookmarkEnd w:id="71"/>
    </w:p>
    <w:p>
      <w:pPr>
        <w:pStyle w:val="21"/>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21"/>
        <w:snapToGrid w:val="0"/>
        <w:spacing w:line="420" w:lineRule="exact"/>
        <w:ind w:firstLine="420"/>
        <w:rPr>
          <w:rFonts w:hAnsi="宋体"/>
        </w:rPr>
      </w:pPr>
      <w:r>
        <w:rPr>
          <w:rFonts w:hAnsi="宋体"/>
        </w:rPr>
        <w:t>2.</w:t>
      </w:r>
      <w:r>
        <w:rPr>
          <w:rFonts w:hint="eastAsia" w:hAnsi="宋体"/>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pPr>
        <w:spacing w:line="420" w:lineRule="exact"/>
        <w:ind w:firstLine="211" w:firstLineChars="100"/>
        <w:rPr>
          <w:b/>
          <w:bCs/>
        </w:rPr>
      </w:pPr>
      <w:bookmarkStart w:id="72" w:name="_Toc254970533"/>
      <w:bookmarkStart w:id="73" w:name="_Toc353785285"/>
      <w:bookmarkStart w:id="74" w:name="_Toc254970674"/>
      <w:bookmarkStart w:id="75" w:name="_Toc352700415"/>
      <w:r>
        <w:rPr>
          <w:rFonts w:hint="eastAsia"/>
          <w:b/>
          <w:bCs/>
        </w:rPr>
        <w:t>（九）询问、质疑和投诉</w:t>
      </w:r>
      <w:bookmarkEnd w:id="72"/>
      <w:bookmarkEnd w:id="73"/>
      <w:bookmarkEnd w:id="74"/>
      <w:bookmarkEnd w:id="75"/>
    </w:p>
    <w:p>
      <w:pPr>
        <w:pStyle w:val="21"/>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pPr>
        <w:pStyle w:val="21"/>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pPr>
        <w:pStyle w:val="21"/>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pPr>
        <w:pStyle w:val="21"/>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pPr>
        <w:pStyle w:val="21"/>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20" w:lineRule="exact"/>
        <w:ind w:firstLine="420"/>
      </w:pPr>
      <w:r>
        <w:rPr>
          <w:rFonts w:hint="eastAsia"/>
        </w:rPr>
        <w:t>质疑部门联系方式：钦州市政府采购中心    0777-288600</w:t>
      </w:r>
      <w:r>
        <w:t>2</w:t>
      </w:r>
    </w:p>
    <w:p>
      <w:pPr>
        <w:spacing w:line="420" w:lineRule="exact"/>
        <w:ind w:firstLine="420"/>
      </w:pPr>
      <w:r>
        <w:rPr>
          <w:rFonts w:hint="eastAsia"/>
        </w:rPr>
        <w:t>采购监管部门联系方式：浦北县财政局      0777-8314622</w:t>
      </w:r>
    </w:p>
    <w:p>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2"/>
          <w:rFonts w:hint="eastAsia" w:hAnsi="宋体"/>
          <w:color w:val="auto"/>
          <w:u w:val="none"/>
        </w:rPr>
        <w:t>广西政府采购网</w:t>
      </w:r>
      <w:r>
        <w:rPr>
          <w:rStyle w:val="42"/>
          <w:rFonts w:hint="eastAsia" w:hAnsi="宋体"/>
          <w:color w:val="auto"/>
          <w:u w:val="none"/>
        </w:rPr>
        <w:fldChar w:fldCharType="end"/>
      </w:r>
      <w:r>
        <w:rPr>
          <w:rFonts w:hint="eastAsia" w:hAnsi="宋体"/>
        </w:rPr>
        <w:t>。</w:t>
      </w:r>
    </w:p>
    <w:p>
      <w:pPr>
        <w:pStyle w:val="4"/>
        <w:spacing w:line="420" w:lineRule="exact"/>
      </w:pPr>
      <w:bookmarkStart w:id="76" w:name="_Toc352700416"/>
      <w:bookmarkStart w:id="77" w:name="_Toc353785286"/>
      <w:r>
        <w:rPr>
          <w:rFonts w:hint="eastAsia"/>
        </w:rPr>
        <w:t>二、竞争性谈判采购文件</w:t>
      </w:r>
      <w:bookmarkEnd w:id="76"/>
      <w:bookmarkEnd w:id="77"/>
    </w:p>
    <w:p>
      <w:pPr>
        <w:spacing w:line="420" w:lineRule="exact"/>
        <w:ind w:firstLine="211" w:firstLineChars="100"/>
        <w:rPr>
          <w:b/>
          <w:bCs/>
        </w:rPr>
      </w:pPr>
      <w:bookmarkStart w:id="78" w:name="_Toc353785287"/>
      <w:bookmarkStart w:id="79" w:name="_Toc352700417"/>
      <w:r>
        <w:rPr>
          <w:rFonts w:hint="eastAsia"/>
          <w:b/>
          <w:bCs/>
        </w:rPr>
        <w:t>（一）竞争性谈判采购文件的组成</w:t>
      </w:r>
      <w:bookmarkEnd w:id="78"/>
      <w:bookmarkEnd w:id="79"/>
    </w:p>
    <w:p>
      <w:pPr>
        <w:pStyle w:val="21"/>
        <w:snapToGrid w:val="0"/>
        <w:spacing w:line="420" w:lineRule="exact"/>
        <w:ind w:firstLine="420" w:firstLineChars="200"/>
        <w:rPr>
          <w:rFonts w:hAnsi="宋体"/>
        </w:rPr>
      </w:pPr>
      <w:r>
        <w:rPr>
          <w:rFonts w:hint="eastAsia" w:hAnsi="宋体"/>
        </w:rPr>
        <w:t>第一章 竞争性谈判公告</w:t>
      </w:r>
    </w:p>
    <w:p>
      <w:pPr>
        <w:pStyle w:val="21"/>
        <w:snapToGrid w:val="0"/>
        <w:spacing w:line="420" w:lineRule="exact"/>
        <w:ind w:firstLine="420" w:firstLineChars="200"/>
        <w:rPr>
          <w:rFonts w:hAnsi="宋体"/>
        </w:rPr>
      </w:pPr>
      <w:r>
        <w:rPr>
          <w:rFonts w:hint="eastAsia" w:hAnsi="宋体"/>
        </w:rPr>
        <w:t>第二章 项目需求</w:t>
      </w:r>
    </w:p>
    <w:p>
      <w:pPr>
        <w:pStyle w:val="21"/>
        <w:snapToGrid w:val="0"/>
        <w:spacing w:line="420" w:lineRule="exact"/>
        <w:ind w:firstLine="420" w:firstLineChars="200"/>
        <w:rPr>
          <w:rFonts w:hAnsi="宋体"/>
        </w:rPr>
      </w:pPr>
      <w:r>
        <w:rPr>
          <w:rFonts w:hint="eastAsia" w:hAnsi="宋体"/>
        </w:rPr>
        <w:t>第三章 供应商须知</w:t>
      </w:r>
    </w:p>
    <w:p>
      <w:pPr>
        <w:pStyle w:val="21"/>
        <w:snapToGrid w:val="0"/>
        <w:spacing w:line="420" w:lineRule="exact"/>
        <w:ind w:firstLine="420" w:firstLineChars="200"/>
        <w:rPr>
          <w:rFonts w:hAnsi="宋体"/>
        </w:rPr>
      </w:pPr>
      <w:r>
        <w:rPr>
          <w:rFonts w:hint="eastAsia" w:hAnsi="宋体"/>
        </w:rPr>
        <w:t>第四章 评定标准及推荐原则</w:t>
      </w:r>
    </w:p>
    <w:p>
      <w:pPr>
        <w:pStyle w:val="21"/>
        <w:snapToGrid w:val="0"/>
        <w:spacing w:line="420" w:lineRule="exact"/>
        <w:ind w:firstLine="420" w:firstLineChars="200"/>
        <w:rPr>
          <w:rFonts w:hAnsi="宋体"/>
        </w:rPr>
      </w:pPr>
      <w:r>
        <w:rPr>
          <w:rFonts w:hint="eastAsia" w:hAnsi="宋体"/>
        </w:rPr>
        <w:t>第五章 合同文本</w:t>
      </w:r>
    </w:p>
    <w:p>
      <w:pPr>
        <w:pStyle w:val="21"/>
        <w:snapToGrid w:val="0"/>
        <w:spacing w:line="420" w:lineRule="exact"/>
        <w:ind w:firstLine="420" w:firstLineChars="200"/>
        <w:rPr>
          <w:rFonts w:hAnsi="宋体"/>
        </w:rPr>
      </w:pPr>
      <w:r>
        <w:rPr>
          <w:rFonts w:hint="eastAsia" w:hAnsi="宋体"/>
        </w:rPr>
        <w:t>第六章 响应文件格式</w:t>
      </w:r>
    </w:p>
    <w:p>
      <w:pPr>
        <w:spacing w:line="420" w:lineRule="exact"/>
        <w:ind w:firstLine="211" w:firstLineChars="100"/>
        <w:rPr>
          <w:b/>
          <w:bCs/>
        </w:rPr>
      </w:pPr>
      <w:bookmarkStart w:id="80" w:name="_Toc353785289"/>
      <w:bookmarkStart w:id="81" w:name="_Toc352700419"/>
      <w:r>
        <w:rPr>
          <w:rFonts w:hint="eastAsia"/>
          <w:b/>
          <w:bCs/>
        </w:rPr>
        <w:t>（二）竞争性谈判采购文件的澄清与修改</w:t>
      </w:r>
      <w:bookmarkEnd w:id="80"/>
      <w:bookmarkEnd w:id="81"/>
    </w:p>
    <w:p>
      <w:pPr>
        <w:pStyle w:val="21"/>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pPr>
        <w:pStyle w:val="21"/>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pPr>
        <w:pStyle w:val="4"/>
        <w:spacing w:line="420" w:lineRule="exact"/>
      </w:pPr>
      <w:r>
        <w:rPr>
          <w:rFonts w:hint="eastAsia"/>
        </w:rPr>
        <w:t>三、响应文件</w:t>
      </w:r>
    </w:p>
    <w:p>
      <w:pPr>
        <w:spacing w:line="420" w:lineRule="exact"/>
        <w:ind w:firstLine="211" w:firstLineChars="100"/>
        <w:rPr>
          <w:rFonts w:hAnsi="宋体"/>
          <w:b/>
          <w:bCs/>
        </w:rPr>
      </w:pPr>
      <w:r>
        <w:rPr>
          <w:rFonts w:hint="eastAsia" w:hAnsi="宋体"/>
          <w:b/>
          <w:bCs/>
        </w:rPr>
        <w:t>（一）供应商的风险</w:t>
      </w:r>
    </w:p>
    <w:p>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pPr>
        <w:snapToGrid w:val="0"/>
        <w:spacing w:line="420" w:lineRule="exact"/>
        <w:ind w:firstLine="422"/>
        <w:rPr>
          <w:rFonts w:ascii="宋体" w:hAnsi="宋体"/>
          <w:b/>
          <w:szCs w:val="21"/>
        </w:rPr>
      </w:pPr>
      <w:bookmarkStart w:id="82" w:name="_Hlk92285760"/>
      <w:r>
        <w:rPr>
          <w:rFonts w:ascii="宋体" w:hAnsi="宋体"/>
          <w:b/>
          <w:szCs w:val="21"/>
        </w:rPr>
        <w:t>1.</w:t>
      </w:r>
      <w:r>
        <w:rPr>
          <w:rFonts w:hint="eastAsia" w:ascii="宋体" w:hAnsi="宋体"/>
          <w:b/>
          <w:szCs w:val="21"/>
        </w:rPr>
        <w:t>资格文件：</w:t>
      </w:r>
    </w:p>
    <w:p>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83"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83"/>
    <w:p>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84"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84"/>
    </w:p>
    <w:p>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pPr>
        <w:snapToGrid w:val="0"/>
        <w:spacing w:line="420" w:lineRule="exact"/>
        <w:ind w:firstLine="422"/>
        <w:rPr>
          <w:rFonts w:ascii="宋体" w:hAnsi="宋体"/>
          <w:b/>
          <w:szCs w:val="21"/>
        </w:rPr>
      </w:pPr>
      <w:r>
        <w:rPr>
          <w:rFonts w:ascii="宋体" w:hAnsi="宋体"/>
          <w:b/>
          <w:szCs w:val="21"/>
        </w:rPr>
        <w:t>2.</w:t>
      </w:r>
      <w:r>
        <w:rPr>
          <w:rFonts w:hint="eastAsia" w:ascii="宋体" w:hAnsi="宋体"/>
          <w:b/>
          <w:szCs w:val="21"/>
        </w:rPr>
        <w:t>商务技术文件：</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pPr>
        <w:snapToGrid w:val="0"/>
        <w:spacing w:line="420" w:lineRule="exact"/>
        <w:ind w:firstLine="422" w:firstLineChars="200"/>
        <w:rPr>
          <w:rFonts w:ascii="宋体" w:hAnsi="宋体"/>
        </w:rPr>
      </w:pPr>
      <w:bookmarkStart w:id="85"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86" w:name="_Hlk92285954"/>
      <w:r>
        <w:rPr>
          <w:rFonts w:ascii="宋体" w:hAnsi="宋体"/>
        </w:rPr>
        <w:t>(格式见第六章)</w:t>
      </w:r>
      <w:bookmarkEnd w:id="86"/>
    </w:p>
    <w:p>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(6</w:t>
      </w:r>
      <w:r>
        <w:rPr>
          <w:rFonts w:ascii="宋体" w:hAnsi="宋体"/>
          <w:szCs w:val="21"/>
        </w:rPr>
        <w:t>)</w:t>
      </w:r>
      <w:r>
        <w:rPr>
          <w:rFonts w:hint="eastAsia" w:ascii="宋体" w:hAnsi="宋体"/>
          <w:szCs w:val="21"/>
        </w:rPr>
        <w:t>《项目需求》中要求必须提供的材料</w:t>
      </w:r>
    </w:p>
    <w:p>
      <w:pPr>
        <w:snapToGrid w:val="0"/>
        <w:spacing w:line="420" w:lineRule="exact"/>
        <w:ind w:firstLine="630" w:firstLineChars="300"/>
        <w:rPr>
          <w:rFonts w:ascii="宋体" w:hAnsi="宋体"/>
        </w:rPr>
      </w:pPr>
      <w:r>
        <w:rPr>
          <w:rFonts w:hint="eastAsia" w:ascii="宋体" w:cs="宋体"/>
          <w:bCs/>
          <w:kern w:val="0"/>
          <w:szCs w:val="21"/>
        </w:rPr>
        <w:t>(7</w:t>
      </w:r>
      <w:r>
        <w:rPr>
          <w:rFonts w:ascii="宋体" w:cs="宋体"/>
          <w:bCs/>
          <w:kern w:val="0"/>
          <w:szCs w:val="21"/>
        </w:rPr>
        <w:t>)</w:t>
      </w:r>
      <w:r>
        <w:rPr>
          <w:rFonts w:hint="eastAsia" w:ascii="宋体" w:cs="宋体"/>
          <w:kern w:val="0"/>
          <w:szCs w:val="21"/>
        </w:rPr>
        <w:t>售后服务方案</w:t>
      </w:r>
      <w:r>
        <w:rPr>
          <w:rFonts w:hint="eastAsia" w:ascii="宋体" w:cs="宋体"/>
          <w:bCs/>
          <w:kern w:val="0"/>
          <w:szCs w:val="21"/>
        </w:rPr>
        <w:t>（根据项目需求要求提供，格式自拟）</w:t>
      </w:r>
    </w:p>
    <w:bookmarkEnd w:id="85"/>
    <w:p>
      <w:pPr>
        <w:snapToGrid w:val="0"/>
        <w:spacing w:line="420" w:lineRule="exact"/>
        <w:ind w:firstLine="630" w:firstLineChars="300"/>
        <w:rPr>
          <w:rFonts w:ascii="宋体" w:hAnsi="宋体"/>
          <w:szCs w:val="21"/>
        </w:rPr>
      </w:pPr>
      <w:r>
        <w:rPr>
          <w:rFonts w:hint="eastAsia" w:ascii="宋体" w:hAnsi="宋体"/>
          <w:szCs w:val="21"/>
        </w:rPr>
        <w:t>(8</w:t>
      </w:r>
      <w:r>
        <w:rPr>
          <w:rFonts w:ascii="宋体" w:hAnsi="宋体"/>
          <w:szCs w:val="21"/>
        </w:rPr>
        <w:t>)</w:t>
      </w:r>
      <w:r>
        <w:rPr>
          <w:rFonts w:hint="eastAsia" w:ascii="宋体" w:hAnsi="宋体"/>
        </w:rPr>
        <w:t>供应商认为有必要提供的声明或材料(中小企业、残疾人福利性单位声明函等，格式见第六章)</w:t>
      </w:r>
    </w:p>
    <w:p>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pPr>
        <w:snapToGrid w:val="0"/>
        <w:spacing w:line="420" w:lineRule="exact"/>
        <w:rPr>
          <w:rFonts w:ascii="宋体" w:hAnsi="宋体"/>
          <w:bCs/>
          <w:szCs w:val="21"/>
        </w:rPr>
      </w:pPr>
      <w:bookmarkStart w:id="87"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87"/>
      <w:r>
        <w:rPr>
          <w:rFonts w:hint="eastAsia" w:ascii="宋体" w:hAnsi="宋体"/>
          <w:bCs/>
          <w:szCs w:val="21"/>
        </w:rPr>
        <w:t>(格式见第六章)。</w:t>
      </w:r>
    </w:p>
    <w:bookmarkEnd w:id="82"/>
    <w:p>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pPr>
        <w:spacing w:line="420" w:lineRule="exact"/>
        <w:ind w:firstLine="211" w:firstLineChars="100"/>
        <w:rPr>
          <w:rFonts w:ascii="宋体" w:hAnsi="宋体"/>
          <w:b/>
          <w:bCs/>
          <w:szCs w:val="21"/>
        </w:rPr>
      </w:pPr>
      <w:bookmarkStart w:id="88" w:name="_Hlk90906323"/>
      <w:r>
        <w:rPr>
          <w:rFonts w:hint="eastAsia" w:ascii="宋体" w:hAnsi="宋体"/>
          <w:b/>
          <w:szCs w:val="21"/>
        </w:rPr>
        <w:t>（三）</w:t>
      </w:r>
      <w:bookmarkStart w:id="89" w:name="_Toc352700422"/>
      <w:bookmarkStart w:id="90" w:name="_Toc254970537"/>
      <w:bookmarkStart w:id="91" w:name="_Toc353785292"/>
      <w:bookmarkStart w:id="92" w:name="_Toc254970678"/>
      <w:r>
        <w:rPr>
          <w:rFonts w:hint="eastAsia" w:ascii="宋体" w:hAnsi="宋体"/>
          <w:b/>
          <w:bCs/>
          <w:szCs w:val="21"/>
        </w:rPr>
        <w:t>响应文件的编制、签署及加密</w:t>
      </w:r>
    </w:p>
    <w:p>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供应商应通过广西政府采购云平台客户端编制加密响应文件。</w:t>
      </w:r>
    </w:p>
    <w:p>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20" w:lineRule="exact"/>
        <w:rPr>
          <w:rFonts w:ascii="宋体" w:hAnsi="宋体"/>
          <w:b/>
          <w:bCs/>
          <w:szCs w:val="21"/>
        </w:rPr>
      </w:pPr>
      <w:r>
        <w:rPr>
          <w:rFonts w:ascii="宋体" w:hAnsi="宋体"/>
          <w:szCs w:val="21"/>
        </w:rPr>
        <w:tab/>
      </w:r>
      <w:r>
        <w:rPr>
          <w:rFonts w:ascii="宋体" w:hAnsi="宋体"/>
          <w:b/>
          <w:bCs/>
          <w:szCs w:val="21"/>
        </w:rPr>
        <w:t>4.</w:t>
      </w:r>
      <w:bookmarkStart w:id="93"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93"/>
    </w:p>
    <w:p>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88"/>
    <w:p>
      <w:pPr>
        <w:spacing w:line="420" w:lineRule="exact"/>
        <w:ind w:firstLine="211" w:firstLineChars="100"/>
      </w:pPr>
      <w:r>
        <w:rPr>
          <w:rFonts w:hint="eastAsia"/>
          <w:b/>
          <w:bCs/>
        </w:rPr>
        <w:t>（四）响应文件的语言及计量</w:t>
      </w:r>
      <w:bookmarkEnd w:id="89"/>
      <w:bookmarkEnd w:id="90"/>
      <w:bookmarkEnd w:id="91"/>
      <w:bookmarkEnd w:id="92"/>
    </w:p>
    <w:p>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40" w:lineRule="exact"/>
        <w:ind w:firstLine="211" w:firstLineChars="100"/>
        <w:rPr>
          <w:rFonts w:ascii="宋体" w:hAnsi="宋体" w:eastAsia="宋体"/>
          <w:sz w:val="21"/>
          <w:szCs w:val="21"/>
        </w:rPr>
      </w:pPr>
      <w:bookmarkStart w:id="94" w:name="_（五）报价"/>
      <w:bookmarkEnd w:id="94"/>
      <w:bookmarkStart w:id="95" w:name="_Toc254970679"/>
      <w:bookmarkStart w:id="96" w:name="_Toc353785293"/>
      <w:bookmarkStart w:id="97" w:name="_Toc352700423"/>
      <w:bookmarkStart w:id="98" w:name="_Toc254970538"/>
      <w:r>
        <w:rPr>
          <w:rFonts w:hint="eastAsia" w:ascii="宋体" w:hAnsi="宋体" w:eastAsia="宋体"/>
          <w:sz w:val="21"/>
          <w:szCs w:val="21"/>
        </w:rPr>
        <w:t>（五）报价</w:t>
      </w:r>
      <w:bookmarkEnd w:id="95"/>
      <w:bookmarkEnd w:id="96"/>
      <w:bookmarkEnd w:id="97"/>
      <w:bookmarkEnd w:id="98"/>
    </w:p>
    <w:p>
      <w:pPr>
        <w:pStyle w:val="21"/>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pPr>
        <w:pStyle w:val="21"/>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供应商的报价必须按采购文件或政府采购云平台规定的格式填写，并在规定时间内提交最后报价。</w:t>
      </w:r>
    </w:p>
    <w:p>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pPr>
        <w:pStyle w:val="4"/>
        <w:spacing w:before="0" w:after="0" w:line="440" w:lineRule="exact"/>
        <w:ind w:firstLine="211" w:firstLineChars="100"/>
        <w:rPr>
          <w:rFonts w:ascii="宋体" w:hAnsi="宋体" w:eastAsia="宋体"/>
          <w:sz w:val="21"/>
          <w:szCs w:val="21"/>
        </w:rPr>
      </w:pPr>
      <w:bookmarkStart w:id="99" w:name="_（六）谈判保证金"/>
      <w:bookmarkEnd w:id="99"/>
      <w:bookmarkStart w:id="100" w:name="_Toc353785295"/>
      <w:bookmarkStart w:id="101" w:name="_Toc254970682"/>
      <w:bookmarkStart w:id="102" w:name="_Toc352700425"/>
      <w:bookmarkStart w:id="103" w:name="_Toc254970541"/>
      <w:r>
        <w:rPr>
          <w:rFonts w:hint="eastAsia" w:ascii="宋体" w:hAnsi="宋体" w:eastAsia="宋体"/>
          <w:sz w:val="21"/>
          <w:szCs w:val="21"/>
        </w:rPr>
        <w:t>（六）谈判保证金</w:t>
      </w:r>
      <w:bookmarkEnd w:id="100"/>
      <w:bookmarkEnd w:id="101"/>
      <w:bookmarkEnd w:id="102"/>
      <w:bookmarkEnd w:id="103"/>
    </w:p>
    <w:p>
      <w:pPr>
        <w:widowControl/>
        <w:spacing w:line="420" w:lineRule="exact"/>
        <w:ind w:firstLine="420" w:firstLineChars="200"/>
        <w:jc w:val="left"/>
      </w:pPr>
      <w:bookmarkStart w:id="104" w:name="_Toc254970683"/>
      <w:bookmarkStart w:id="105" w:name="_Toc254970542"/>
      <w:bookmarkStart w:id="106" w:name="_Toc352700426"/>
      <w:bookmarkStart w:id="107" w:name="_Toc353785296"/>
      <w:r>
        <w:rPr>
          <w:rFonts w:hint="eastAsia" w:ascii="宋体" w:hAnsi="宋体"/>
          <w:szCs w:val="21"/>
        </w:rPr>
        <w:t>本项目免收谈判保证金。</w:t>
      </w:r>
    </w:p>
    <w:bookmarkEnd w:id="104"/>
    <w:bookmarkEnd w:id="105"/>
    <w:bookmarkEnd w:id="106"/>
    <w:bookmarkEnd w:id="107"/>
    <w:p>
      <w:pPr>
        <w:spacing w:line="420" w:lineRule="exact"/>
        <w:ind w:firstLine="211" w:firstLineChars="100"/>
        <w:rPr>
          <w:b/>
          <w:bCs/>
        </w:rPr>
      </w:pPr>
      <w:r>
        <w:rPr>
          <w:rFonts w:hint="eastAsia"/>
          <w:b/>
          <w:bCs/>
        </w:rPr>
        <w:t>（七）响应文件的上传、提交、修改、撤回</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响应文件的上传和提交:供应商须将编制好的加密响应文件上传至政府采购云平台，并在响应文件提交截止时间前提交，否则</w:t>
      </w:r>
      <w:bookmarkStart w:id="108" w:name="_Hlk91772691"/>
      <w:r>
        <w:rPr>
          <w:rFonts w:hint="eastAsia" w:ascii="宋体" w:hAnsi="宋体"/>
          <w:szCs w:val="21"/>
        </w:rPr>
        <w:t>政府采购云平台</w:t>
      </w:r>
      <w:bookmarkEnd w:id="108"/>
      <w:r>
        <w:rPr>
          <w:rFonts w:hint="eastAsia" w:ascii="宋体" w:hAnsi="宋体"/>
          <w:szCs w:val="21"/>
        </w:rPr>
        <w:t>将予以拒收。</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pPr>
        <w:pStyle w:val="4"/>
        <w:spacing w:line="420" w:lineRule="exact"/>
      </w:pPr>
      <w:bookmarkStart w:id="109" w:name="_四、响应文件开启"/>
      <w:bookmarkEnd w:id="109"/>
      <w:r>
        <w:rPr>
          <w:rFonts w:hint="eastAsia"/>
        </w:rPr>
        <w:t>四、</w:t>
      </w:r>
      <w:bookmarkStart w:id="110" w:name="_Toc352700430"/>
      <w:bookmarkStart w:id="111" w:name="_Toc353785300"/>
      <w:r>
        <w:rPr>
          <w:rFonts w:hint="eastAsia"/>
        </w:rPr>
        <w:t>响应文件开启</w:t>
      </w:r>
    </w:p>
    <w:bookmarkEnd w:id="110"/>
    <w:bookmarkEnd w:id="111"/>
    <w:p>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112" w:name="_Hlk90300735"/>
      <w:r>
        <w:rPr>
          <w:rFonts w:hint="eastAsia"/>
        </w:rPr>
        <w:t>政采云远程开标大厅</w:t>
      </w:r>
      <w:bookmarkEnd w:id="112"/>
      <w:r>
        <w:rPr>
          <w:rFonts w:hint="eastAsia"/>
        </w:rPr>
        <w:t>进行响应文件开启，供应商法定代表人或委托代理人须按时登录</w:t>
      </w:r>
      <w:bookmarkStart w:id="113" w:name="_Hlk90300780"/>
      <w:r>
        <w:rPr>
          <w:rFonts w:hint="eastAsia"/>
        </w:rPr>
        <w:t>政采云远程开标大厅</w:t>
      </w:r>
      <w:bookmarkEnd w:id="113"/>
      <w:r>
        <w:rPr>
          <w:rFonts w:hint="eastAsia"/>
        </w:rPr>
        <w:t>（政府采购云平台-应用中心-项目采购-开标评标），保持全程在线并关注评审、谈判进度，评审期间谈判小组提出澄清等要求时，供应商须在规定时间内进行应答，否则按采购文件或政采云平台的相关规定执行。</w:t>
      </w:r>
      <w:bookmarkStart w:id="114" w:name="_Toc352700431"/>
      <w:bookmarkStart w:id="115" w:name="_Toc353785301"/>
    </w:p>
    <w:p>
      <w:pPr>
        <w:spacing w:line="420" w:lineRule="exact"/>
        <w:ind w:firstLine="210" w:firstLineChars="100"/>
        <w:rPr>
          <w:rFonts w:ascii="方正小标宋_GBK" w:hAnsi="Arial" w:eastAsia="方正小标宋_GBK"/>
          <w:bCs/>
          <w:sz w:val="24"/>
        </w:rPr>
      </w:pPr>
      <w:r>
        <w:rPr>
          <w:rFonts w:hint="eastAsia"/>
        </w:rPr>
        <w:t>（二）</w:t>
      </w:r>
      <w:bookmarkEnd w:id="114"/>
      <w:bookmarkEnd w:id="115"/>
      <w:r>
        <w:rPr>
          <w:rFonts w:hint="eastAsia"/>
        </w:rPr>
        <w:t>解密</w:t>
      </w:r>
    </w:p>
    <w:p>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谈判。</w:t>
      </w:r>
    </w:p>
    <w:p>
      <w:pPr>
        <w:spacing w:line="420" w:lineRule="exact"/>
        <w:ind w:firstLine="211" w:firstLineChars="100"/>
        <w:rPr>
          <w:b/>
          <w:bCs/>
        </w:rPr>
      </w:pPr>
      <w:r>
        <w:rPr>
          <w:rFonts w:hint="eastAsia"/>
          <w:b/>
          <w:bCs/>
        </w:rPr>
        <w:t>（三）资格审查</w:t>
      </w:r>
    </w:p>
    <w:p>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pPr>
        <w:pStyle w:val="4"/>
        <w:spacing w:line="420" w:lineRule="exact"/>
        <w:rPr>
          <w:rFonts w:ascii="宋体" w:hAnsi="宋体"/>
          <w:szCs w:val="21"/>
        </w:rPr>
      </w:pPr>
      <w:bookmarkStart w:id="116" w:name="_五、评审与谈判"/>
      <w:bookmarkEnd w:id="116"/>
      <w:bookmarkStart w:id="117" w:name="_Toc353785302"/>
      <w:bookmarkStart w:id="118" w:name="_Toc352700432"/>
      <w:bookmarkStart w:id="119" w:name="_Toc254970686"/>
      <w:bookmarkStart w:id="120" w:name="_Toc254970545"/>
      <w:r>
        <w:rPr>
          <w:rFonts w:hint="eastAsia"/>
        </w:rPr>
        <w:t>五、</w:t>
      </w:r>
      <w:bookmarkEnd w:id="117"/>
      <w:bookmarkEnd w:id="118"/>
      <w:bookmarkEnd w:id="119"/>
      <w:bookmarkEnd w:id="120"/>
      <w:r>
        <w:rPr>
          <w:rFonts w:hint="eastAsia" w:ascii="宋体" w:hAnsi="宋体"/>
          <w:szCs w:val="21"/>
        </w:rPr>
        <w:t>评审与谈判</w:t>
      </w:r>
    </w:p>
    <w:p>
      <w:pPr>
        <w:snapToGrid w:val="0"/>
        <w:spacing w:line="420" w:lineRule="exact"/>
        <w:ind w:firstLine="211" w:firstLineChars="100"/>
        <w:rPr>
          <w:rFonts w:ascii="宋体" w:hAnsi="宋体"/>
          <w:b/>
          <w:bCs/>
          <w:szCs w:val="21"/>
        </w:rPr>
      </w:pPr>
      <w:bookmarkStart w:id="121" w:name="_Toc353785303"/>
      <w:bookmarkStart w:id="122" w:name="_Toc352700433"/>
      <w:r>
        <w:rPr>
          <w:rFonts w:hint="eastAsia" w:ascii="宋体" w:hAnsi="宋体"/>
          <w:b/>
          <w:bCs/>
          <w:szCs w:val="21"/>
        </w:rPr>
        <w:t>（一）评审原则：</w:t>
      </w:r>
    </w:p>
    <w:p>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pPr>
        <w:snapToGrid w:val="0"/>
        <w:spacing w:line="420" w:lineRule="exact"/>
        <w:ind w:firstLine="211" w:firstLineChars="100"/>
        <w:rPr>
          <w:rFonts w:ascii="宋体" w:hAnsi="宋体"/>
          <w:b/>
          <w:bCs/>
          <w:szCs w:val="21"/>
        </w:rPr>
      </w:pPr>
      <w:r>
        <w:rPr>
          <w:rFonts w:hint="eastAsia"/>
          <w:b/>
          <w:bCs/>
        </w:rPr>
        <w:t>（二）成立谈判小组</w:t>
      </w:r>
    </w:p>
    <w:p>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21"/>
      <w:bookmarkEnd w:id="122"/>
      <w:r>
        <w:rPr>
          <w:rFonts w:hint="eastAsia" w:ascii="宋体" w:hAnsi="宋体" w:cs="Courier New"/>
          <w:bCs/>
          <w:szCs w:val="21"/>
        </w:rPr>
        <w:t>由采购人代表和评审专家共3人以上单数组成，其中评审专家人数不得少于谈判小组成员总数的2/3。</w:t>
      </w:r>
    </w:p>
    <w:p>
      <w:pPr>
        <w:spacing w:line="420" w:lineRule="exact"/>
        <w:ind w:firstLine="211" w:firstLineChars="100"/>
        <w:rPr>
          <w:rFonts w:ascii="宋体" w:hAnsi="宋体"/>
          <w:b/>
          <w:bCs/>
          <w:szCs w:val="21"/>
        </w:rPr>
      </w:pPr>
      <w:r>
        <w:rPr>
          <w:rFonts w:hint="eastAsia" w:ascii="宋体" w:hAnsi="宋体"/>
          <w:b/>
          <w:bCs/>
          <w:szCs w:val="21"/>
        </w:rPr>
        <w:t>（三）确认谈判文件</w:t>
      </w:r>
    </w:p>
    <w:p>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pPr>
        <w:spacing w:line="420" w:lineRule="exact"/>
        <w:ind w:firstLine="211" w:firstLineChars="100"/>
        <w:rPr>
          <w:rFonts w:ascii="宋体" w:hAnsi="宋体" w:cs="Courier New"/>
          <w:szCs w:val="21"/>
        </w:rPr>
      </w:pPr>
      <w:r>
        <w:rPr>
          <w:rFonts w:hint="eastAsia" w:ascii="宋体" w:hAnsi="宋体"/>
          <w:b/>
          <w:bCs/>
          <w:szCs w:val="21"/>
        </w:rPr>
        <w:t>（四）实质性审查</w:t>
      </w:r>
    </w:p>
    <w:p>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pPr>
        <w:snapToGrid w:val="0"/>
        <w:spacing w:line="420" w:lineRule="exact"/>
        <w:ind w:firstLine="525" w:firstLineChars="250"/>
        <w:rPr>
          <w:rFonts w:ascii="宋体" w:hAnsi="宋体"/>
          <w:szCs w:val="21"/>
        </w:rPr>
      </w:pPr>
      <w:bookmarkStart w:id="123" w:name="_Hlk112311783"/>
      <w:r>
        <w:rPr>
          <w:rFonts w:hint="eastAsia" w:ascii="宋体" w:hAnsi="宋体"/>
          <w:szCs w:val="21"/>
        </w:rPr>
        <w:t>①响应文件未按响应文件编制要求提供或内容虚假的；</w:t>
      </w:r>
    </w:p>
    <w:p>
      <w:pPr>
        <w:snapToGrid w:val="0"/>
        <w:spacing w:line="420" w:lineRule="exact"/>
        <w:ind w:firstLine="525" w:firstLineChars="250"/>
        <w:rPr>
          <w:rFonts w:ascii="宋体" w:hAnsi="宋体"/>
          <w:szCs w:val="21"/>
        </w:rPr>
      </w:pPr>
      <w:r>
        <w:rPr>
          <w:rFonts w:hint="eastAsia" w:ascii="宋体" w:hAnsi="宋体"/>
          <w:szCs w:val="21"/>
        </w:rPr>
        <w:t>②响应文件无法定代表人或其委托代理人签署、未提供授权委托书，或未按规定盖章的；</w:t>
      </w:r>
    </w:p>
    <w:p>
      <w:pPr>
        <w:snapToGrid w:val="0"/>
        <w:spacing w:line="420" w:lineRule="exact"/>
        <w:ind w:firstLine="525" w:firstLineChars="250"/>
        <w:rPr>
          <w:rFonts w:ascii="宋体" w:hAnsi="宋体"/>
          <w:szCs w:val="21"/>
        </w:rPr>
      </w:pPr>
      <w:r>
        <w:rPr>
          <w:rFonts w:hint="eastAsia" w:ascii="宋体" w:hAnsi="宋体"/>
          <w:szCs w:val="21"/>
        </w:rPr>
        <w:t>③供应商代表未能出具身份证明或与法定代表人委托代理人身份不符的；</w:t>
      </w:r>
    </w:p>
    <w:p>
      <w:pPr>
        <w:snapToGrid w:val="0"/>
        <w:spacing w:line="420" w:lineRule="exact"/>
        <w:ind w:firstLine="525" w:firstLineChars="250"/>
        <w:rPr>
          <w:rFonts w:ascii="宋体" w:hAnsi="宋体"/>
          <w:szCs w:val="21"/>
        </w:rPr>
      </w:pPr>
      <w:r>
        <w:rPr>
          <w:rFonts w:hint="eastAsia" w:ascii="宋体" w:hAnsi="宋体"/>
          <w:szCs w:val="21"/>
        </w:rPr>
        <w:t>④未实质性响应采购文件采购需求的技术、服务要求的；</w:t>
      </w:r>
    </w:p>
    <w:p>
      <w:pPr>
        <w:snapToGrid w:val="0"/>
        <w:spacing w:line="420" w:lineRule="exact"/>
        <w:ind w:firstLine="525" w:firstLineChars="250"/>
        <w:rPr>
          <w:rFonts w:ascii="宋体" w:hAnsi="宋体"/>
          <w:szCs w:val="21"/>
        </w:rPr>
      </w:pPr>
      <w:r>
        <w:rPr>
          <w:rFonts w:hint="eastAsia" w:ascii="宋体" w:hAnsi="宋体"/>
          <w:szCs w:val="21"/>
        </w:rPr>
        <w:t>⑤</w:t>
      </w:r>
      <w:r>
        <w:rPr>
          <w:rFonts w:hint="eastAsia" w:ascii="宋体" w:hAnsi="宋体"/>
          <w:spacing w:val="-4"/>
          <w:szCs w:val="21"/>
        </w:rPr>
        <w:t>不符合采购文件要求的质量标准，或者与采购文件中的技术指标、功能、服务事项发生较大偏离，已不符合采购人需求的；</w:t>
      </w:r>
    </w:p>
    <w:p>
      <w:pPr>
        <w:snapToGrid w:val="0"/>
        <w:spacing w:line="420" w:lineRule="exact"/>
        <w:ind w:firstLine="525" w:firstLineChars="250"/>
        <w:rPr>
          <w:rFonts w:ascii="宋体" w:hAnsi="宋体"/>
          <w:szCs w:val="21"/>
        </w:rPr>
      </w:pPr>
      <w:r>
        <w:rPr>
          <w:rFonts w:hint="eastAsia" w:ascii="宋体" w:hAnsi="宋体"/>
          <w:szCs w:val="21"/>
        </w:rPr>
        <w:t>⑥响应文件有采购人不能接受的附加条件的。</w:t>
      </w:r>
    </w:p>
    <w:p>
      <w:pPr>
        <w:snapToGrid w:val="0"/>
        <w:spacing w:line="420" w:lineRule="exact"/>
        <w:ind w:firstLine="505" w:firstLineChars="250"/>
        <w:rPr>
          <w:rFonts w:ascii="宋体" w:hAnsi="宋体"/>
          <w:spacing w:val="-4"/>
          <w:szCs w:val="21"/>
        </w:rPr>
      </w:pPr>
      <w:r>
        <w:rPr>
          <w:rFonts w:hint="eastAsia" w:ascii="宋体" w:hAnsi="宋体"/>
          <w:spacing w:val="-4"/>
          <w:szCs w:val="21"/>
        </w:rPr>
        <w:t>⑦响应文件技术方案不明确，存在一个或一个以上备选(替代)响应方案的；</w:t>
      </w:r>
    </w:p>
    <w:p>
      <w:pPr>
        <w:snapToGrid w:val="0"/>
        <w:spacing w:line="420" w:lineRule="exact"/>
        <w:ind w:firstLine="525" w:firstLineChars="250"/>
        <w:rPr>
          <w:rFonts w:ascii="宋体" w:hAnsi="宋体"/>
          <w:szCs w:val="21"/>
        </w:rPr>
      </w:pPr>
      <w:r>
        <w:rPr>
          <w:rFonts w:hint="eastAsia" w:ascii="宋体" w:hAnsi="宋体"/>
          <w:szCs w:val="21"/>
        </w:rPr>
        <w:t>⑧响应文件的实质性内容未使用中文表述、意思表述不明确、前后矛盾或者使用计量单位不符合采购文件要求的。</w:t>
      </w:r>
    </w:p>
    <w:bookmarkEnd w:id="123"/>
    <w:p>
      <w:pPr>
        <w:spacing w:line="420" w:lineRule="exact"/>
        <w:ind w:firstLine="211" w:firstLineChars="100"/>
        <w:rPr>
          <w:b/>
          <w:bCs/>
        </w:rPr>
      </w:pPr>
      <w:r>
        <w:rPr>
          <w:rFonts w:hint="eastAsia"/>
          <w:b/>
          <w:bCs/>
        </w:rPr>
        <w:t>（五）谈判</w:t>
      </w:r>
    </w:p>
    <w:p>
      <w:pPr>
        <w:pStyle w:val="21"/>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pPr>
        <w:pStyle w:val="21"/>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pPr>
        <w:pStyle w:val="21"/>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pPr>
        <w:pStyle w:val="21"/>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24" w:name="_Hlk92985140"/>
      <w:r>
        <w:rPr>
          <w:rFonts w:hint="eastAsia" w:hAnsi="宋体"/>
          <w:bCs/>
        </w:rPr>
        <w:t>供应商为自然人的，应当由本人签名并附身份证明。</w:t>
      </w:r>
      <w:bookmarkEnd w:id="124"/>
      <w:r>
        <w:rPr>
          <w:rFonts w:hint="eastAsia" w:hAnsi="宋体"/>
          <w:bCs/>
        </w:rPr>
        <w:t>逾时不提交的，视同放弃谈判。</w:t>
      </w:r>
    </w:p>
    <w:p>
      <w:pPr>
        <w:pStyle w:val="21"/>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pPr>
        <w:spacing w:line="420" w:lineRule="exact"/>
        <w:ind w:firstLine="211" w:firstLineChars="100"/>
        <w:rPr>
          <w:b/>
          <w:bCs/>
        </w:rPr>
      </w:pPr>
      <w:r>
        <w:rPr>
          <w:rFonts w:hint="eastAsia"/>
          <w:b/>
          <w:bCs/>
        </w:rPr>
        <w:t>（六）最后报价</w:t>
      </w:r>
    </w:p>
    <w:p>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20" w:lineRule="exact"/>
        <w:ind w:firstLine="420" w:firstLineChars="200"/>
      </w:pPr>
      <w:r>
        <w:t>2.</w:t>
      </w:r>
      <w:r>
        <w:rPr>
          <w:rFonts w:hint="eastAsia"/>
        </w:rPr>
        <w:t>最后报价应由其法定代表人或授权代表签名或者加盖公章，最后报价即系供应商响应报价。</w:t>
      </w:r>
    </w:p>
    <w:p>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pPr>
        <w:snapToGrid w:val="0"/>
        <w:spacing w:line="420" w:lineRule="exact"/>
        <w:ind w:firstLine="420" w:firstLineChars="200"/>
        <w:rPr>
          <w:rFonts w:ascii="宋体" w:hAnsi="宋体"/>
          <w:szCs w:val="21"/>
        </w:rPr>
      </w:pPr>
      <w:bookmarkStart w:id="125"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报价未按采购文件或政府采购云平台规定的格式填写，或未在规定时间内提交最后报价的。</w:t>
      </w:r>
    </w:p>
    <w:bookmarkEnd w:id="125"/>
    <w:p>
      <w:pPr>
        <w:spacing w:line="420" w:lineRule="exact"/>
        <w:ind w:firstLine="211" w:firstLineChars="100"/>
        <w:rPr>
          <w:b/>
          <w:bCs/>
        </w:rPr>
      </w:pPr>
      <w:r>
        <w:rPr>
          <w:rFonts w:hint="eastAsia"/>
          <w:b/>
          <w:bCs/>
        </w:rPr>
        <w:t>（七）澄清、说明或者更正的形式</w:t>
      </w:r>
    </w:p>
    <w:p>
      <w:pPr>
        <w:pStyle w:val="21"/>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26" w:name="_Hlk92462362"/>
      <w:r>
        <w:rPr>
          <w:rFonts w:hint="eastAsia" w:hAnsi="宋体"/>
          <w:bCs/>
        </w:rPr>
        <w:t>澄清、说明或者更正</w:t>
      </w:r>
      <w:bookmarkEnd w:id="126"/>
      <w:r>
        <w:rPr>
          <w:rFonts w:hint="eastAsia" w:hAnsi="宋体"/>
          <w:bCs/>
        </w:rPr>
        <w:t>。供应商的澄清、说明或者更正不得超出响应文件的范围或者改变响应文件的实质性内容。</w:t>
      </w:r>
    </w:p>
    <w:p>
      <w:pPr>
        <w:pStyle w:val="21"/>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spacing w:line="420" w:lineRule="exact"/>
        <w:ind w:firstLine="211" w:firstLineChars="100"/>
        <w:rPr>
          <w:b/>
          <w:bCs/>
        </w:rPr>
      </w:pPr>
      <w:r>
        <w:rPr>
          <w:rFonts w:hint="eastAsia"/>
          <w:b/>
          <w:bCs/>
        </w:rPr>
        <w:t>（八）评定标准及推荐原则</w:t>
      </w:r>
    </w:p>
    <w:p>
      <w:pPr>
        <w:spacing w:line="420" w:lineRule="exact"/>
        <w:ind w:firstLine="420" w:firstLineChars="200"/>
      </w:pPr>
      <w:r>
        <w:rPr>
          <w:rFonts w:hint="eastAsia" w:ascii="宋体" w:hAnsi="Courier New" w:cs="Courier New"/>
          <w:szCs w:val="21"/>
        </w:rPr>
        <w:t>详见第四章《评定标准及推荐原则》。</w:t>
      </w:r>
    </w:p>
    <w:p>
      <w:pPr>
        <w:pStyle w:val="21"/>
        <w:spacing w:line="420" w:lineRule="exact"/>
        <w:ind w:firstLine="211" w:firstLineChars="100"/>
        <w:rPr>
          <w:rFonts w:hAnsi="宋体"/>
          <w:b/>
        </w:rPr>
      </w:pPr>
      <w:r>
        <w:rPr>
          <w:rFonts w:hint="eastAsia" w:hAnsi="宋体"/>
          <w:b/>
        </w:rPr>
        <w:t>（九）供应商有下列情形之一的，属于恶意串通：</w:t>
      </w:r>
    </w:p>
    <w:p>
      <w:pPr>
        <w:pStyle w:val="21"/>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pPr>
        <w:pStyle w:val="21"/>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pPr>
        <w:pStyle w:val="21"/>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pPr>
        <w:pStyle w:val="21"/>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pPr>
        <w:pStyle w:val="21"/>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pPr>
        <w:pStyle w:val="21"/>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pPr>
        <w:pStyle w:val="21"/>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pPr>
        <w:pStyle w:val="21"/>
        <w:spacing w:line="420" w:lineRule="exact"/>
        <w:ind w:firstLine="211" w:firstLineChars="100"/>
        <w:rPr>
          <w:rFonts w:hAnsi="宋体"/>
          <w:b/>
        </w:rPr>
      </w:pPr>
      <w:r>
        <w:rPr>
          <w:rFonts w:hint="eastAsia" w:hAnsi="宋体"/>
          <w:b/>
        </w:rPr>
        <w:t>（十）评审报告</w:t>
      </w:r>
    </w:p>
    <w:p>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pPr>
        <w:widowControl/>
        <w:tabs>
          <w:tab w:val="left" w:pos="540"/>
        </w:tabs>
        <w:spacing w:line="420" w:lineRule="exact"/>
        <w:ind w:firstLine="420" w:firstLineChars="200"/>
        <w:jc w:val="left"/>
        <w:rPr>
          <w:szCs w:val="21"/>
        </w:rPr>
      </w:pPr>
      <w:r>
        <w:rPr>
          <w:rFonts w:hint="eastAsia"/>
        </w:rPr>
        <w:t>(</w:t>
      </w:r>
      <w:r>
        <w:t>4)</w:t>
      </w:r>
      <w:r>
        <w:rPr>
          <w:rFonts w:hint="eastAsia"/>
        </w:rPr>
        <w:t>提出的成交候选人的名单及理由。</w:t>
      </w:r>
      <w:r>
        <w:rPr>
          <w:rFonts w:hint="eastAsia"/>
        </w:rPr>
        <w:br w:type="textWrapping"/>
      </w:r>
      <w:r>
        <w:rPr>
          <w:rFonts w:hint="eastAsia"/>
        </w:rPr>
        <w:t>　　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pPr>
        <w:pStyle w:val="21"/>
        <w:spacing w:line="420" w:lineRule="exact"/>
        <w:ind w:firstLine="211" w:firstLineChars="100"/>
        <w:rPr>
          <w:rFonts w:hAnsi="宋体"/>
        </w:rPr>
      </w:pPr>
      <w:r>
        <w:rPr>
          <w:rFonts w:hint="eastAsia" w:hAnsi="宋体"/>
          <w:b/>
          <w:bCs/>
        </w:rPr>
        <w:t>（十一）</w:t>
      </w:r>
      <w:r>
        <w:rPr>
          <w:rFonts w:hint="eastAsia" w:hAnsi="宋体"/>
          <w:b/>
        </w:rPr>
        <w:t>出现下列情形之一的，本中心将终止竞争性谈判采购活动：</w:t>
      </w:r>
    </w:p>
    <w:p>
      <w:pPr>
        <w:pStyle w:val="21"/>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pPr>
        <w:pStyle w:val="21"/>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pPr>
        <w:pStyle w:val="21"/>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pPr>
        <w:pStyle w:val="4"/>
        <w:spacing w:line="420" w:lineRule="exact"/>
      </w:pPr>
      <w:r>
        <w:rPr>
          <w:rFonts w:hint="eastAsia"/>
        </w:rPr>
        <w:t>六、确定成交供应商</w:t>
      </w:r>
    </w:p>
    <w:p>
      <w:pPr>
        <w:pStyle w:val="21"/>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pPr>
        <w:pStyle w:val="21"/>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4"/>
        <w:spacing w:line="420" w:lineRule="exact"/>
      </w:pPr>
      <w:r>
        <w:rPr>
          <w:rFonts w:hint="eastAsia"/>
        </w:rPr>
        <w:t>七、结果公告</w:t>
      </w:r>
    </w:p>
    <w:p>
      <w:pPr>
        <w:pStyle w:val="21"/>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pPr>
        <w:pStyle w:val="4"/>
        <w:spacing w:line="420" w:lineRule="exact"/>
      </w:pPr>
      <w:r>
        <w:rPr>
          <w:rFonts w:hint="eastAsia"/>
        </w:rPr>
        <w:t>八、签订合同</w:t>
      </w:r>
    </w:p>
    <w:p>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w:t>
      </w:r>
      <w:r>
        <w:rPr>
          <w:rFonts w:ascii="宋体" w:hAnsi="宋体" w:cs="Courier New"/>
          <w:szCs w:val="21"/>
        </w:rPr>
        <w:t>15</w:t>
      </w:r>
      <w:r>
        <w:rPr>
          <w:rFonts w:hint="eastAsia" w:ascii="宋体" w:hAnsi="宋体" w:cs="Courier New"/>
          <w:szCs w:val="21"/>
        </w:rPr>
        <w:t>日内，</w:t>
      </w:r>
      <w:r>
        <w:rPr>
          <w:rFonts w:hint="eastAsia"/>
          <w:szCs w:val="21"/>
        </w:rPr>
        <w:t>按照采购文件确定的合同文本以及采购标的、规格型号、采购金额、采购数量、技术和服务要求等事项签订政府采购合同。</w:t>
      </w:r>
    </w:p>
    <w:p>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20" w:lineRule="exact"/>
      </w:pPr>
      <w:r>
        <w:rPr>
          <w:rFonts w:hint="eastAsia"/>
        </w:rPr>
        <w:t>九、适用法律</w:t>
      </w:r>
    </w:p>
    <w:p>
      <w:pPr>
        <w:spacing w:line="420" w:lineRule="exact"/>
        <w:ind w:firstLine="420" w:firstLineChars="200"/>
        <w:rPr>
          <w:rFonts w:ascii="宋体" w:hAnsi="宋体"/>
          <w:szCs w:val="21"/>
        </w:rPr>
      </w:pPr>
      <w:bookmarkStart w:id="127" w:name="_Hlk92794186"/>
      <w:r>
        <w:rPr>
          <w:rFonts w:hint="eastAsia" w:ascii="宋体" w:hAnsi="宋体"/>
          <w:szCs w:val="21"/>
        </w:rPr>
        <w:t>本项目采购活动适用于《中华人民共和国政府采购法》及其实施条例、《政府采购非招标采购方式管理办法》等规定。</w:t>
      </w:r>
    </w:p>
    <w:bookmarkEnd w:id="127"/>
    <w:p>
      <w:pPr>
        <w:pStyle w:val="4"/>
        <w:spacing w:line="420" w:lineRule="exact"/>
      </w:pPr>
      <w:bookmarkStart w:id="128" w:name="_十、其他事项"/>
      <w:bookmarkEnd w:id="128"/>
      <w:r>
        <w:rPr>
          <w:rFonts w:hint="eastAsia"/>
        </w:rPr>
        <w:t>十、其他事项</w:t>
      </w:r>
    </w:p>
    <w:p>
      <w:pPr>
        <w:spacing w:line="420" w:lineRule="exact"/>
        <w:ind w:firstLine="210" w:firstLineChars="100"/>
        <w:rPr>
          <w:rFonts w:hAnsi="宋体"/>
        </w:rPr>
      </w:pPr>
      <w:r>
        <w:rPr>
          <w:rFonts w:hint="eastAsia" w:hAnsi="宋体"/>
        </w:rPr>
        <w:t>（一）代理服务费</w:t>
      </w:r>
    </w:p>
    <w:p>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pPr>
        <w:spacing w:line="420" w:lineRule="exact"/>
        <w:ind w:firstLine="420" w:firstLineChars="200"/>
        <w:rPr>
          <w:rFonts w:hAnsi="宋体"/>
        </w:rPr>
      </w:pPr>
      <w:r>
        <w:rPr>
          <w:rFonts w:hint="eastAsia" w:hAnsi="宋体"/>
        </w:rPr>
        <w:t>2</w:t>
      </w:r>
      <w:r>
        <w:rPr>
          <w:rFonts w:hAnsi="宋体"/>
        </w:rPr>
        <w:t>.</w:t>
      </w:r>
      <w:r>
        <w:rPr>
          <w:rFonts w:hint="eastAsia" w:hAnsi="宋体"/>
          <w:bCs/>
        </w:rPr>
        <w:t>代理服务收费标准：</w:t>
      </w:r>
    </w:p>
    <w:tbl>
      <w:tblPr>
        <w:tblStyle w:val="35"/>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rPr>
              <w:t>采购类型</w:t>
            </w:r>
          </w:p>
          <w:p>
            <w:pPr>
              <w:spacing w:line="330" w:lineRule="exact"/>
              <w:rPr>
                <w:rFonts w:hAnsi="宋体"/>
              </w:rPr>
            </w:pPr>
          </w:p>
          <w:p>
            <w:pPr>
              <w:spacing w:line="330" w:lineRule="exact"/>
              <w:ind w:firstLine="1575" w:firstLineChars="750"/>
              <w:jc w:val="left"/>
              <w:rPr>
                <w:rFonts w:hAnsi="宋体"/>
              </w:rPr>
            </w:pPr>
            <w:r>
              <w:rPr>
                <w:rFonts w:hint="eastAsia" w:hAnsi="宋体"/>
              </w:rPr>
              <w:t>费率</w:t>
            </w:r>
          </w:p>
          <w:p>
            <w:pPr>
              <w:spacing w:line="330" w:lineRule="exact"/>
              <w:ind w:leftChars="-1" w:hanging="2" w:hangingChars="1"/>
              <w:jc w:val="left"/>
              <w:rPr>
                <w:rFonts w:hAnsi="宋体"/>
              </w:rPr>
            </w:pPr>
          </w:p>
          <w:p>
            <w:pPr>
              <w:spacing w:line="330" w:lineRule="exact"/>
              <w:ind w:leftChars="-1" w:hanging="2" w:hangingChars="1"/>
              <w:jc w:val="left"/>
              <w:rPr>
                <w:rFonts w:hAnsi="宋体"/>
              </w:rPr>
            </w:pPr>
          </w:p>
          <w:p>
            <w:pPr>
              <w:spacing w:line="330" w:lineRule="exact"/>
              <w:jc w:val="left"/>
              <w:rPr>
                <w:rFonts w:hAnsi="宋体"/>
              </w:rPr>
            </w:pPr>
            <w:r>
              <w:rPr>
                <w:rFonts w:hint="eastAsia" w:hAnsi="宋体"/>
              </w:rPr>
              <w:t>成交金额（万元）</w:t>
            </w:r>
          </w:p>
        </w:tc>
        <w:tc>
          <w:tcPr>
            <w:tcW w:w="5708" w:type="dxa"/>
            <w:gridSpan w:val="3"/>
            <w:vAlign w:val="center"/>
          </w:tcPr>
          <w:p>
            <w:pPr>
              <w:spacing w:line="330" w:lineRule="exact"/>
              <w:rPr>
                <w:rFonts w:hAnsi="宋体"/>
              </w:rPr>
            </w:pPr>
            <w:r>
              <w:rPr>
                <w:rFonts w:hint="eastAsia" w:hAnsi="宋体"/>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rPr>
            </w:pPr>
          </w:p>
        </w:tc>
        <w:tc>
          <w:tcPr>
            <w:tcW w:w="1932" w:type="dxa"/>
            <w:vAlign w:val="center"/>
          </w:tcPr>
          <w:p>
            <w:pPr>
              <w:spacing w:line="330" w:lineRule="exact"/>
              <w:jc w:val="center"/>
              <w:rPr>
                <w:rFonts w:hAnsi="宋体"/>
              </w:rPr>
            </w:pPr>
            <w:r>
              <w:rPr>
                <w:rFonts w:hint="eastAsia" w:hAnsi="宋体"/>
              </w:rPr>
              <w:t>货物类</w:t>
            </w:r>
          </w:p>
        </w:tc>
        <w:tc>
          <w:tcPr>
            <w:tcW w:w="1800" w:type="dxa"/>
            <w:vAlign w:val="center"/>
          </w:tcPr>
          <w:p>
            <w:pPr>
              <w:spacing w:line="330" w:lineRule="exact"/>
              <w:jc w:val="center"/>
              <w:rPr>
                <w:rFonts w:hAnsi="宋体"/>
              </w:rPr>
            </w:pPr>
            <w:r>
              <w:rPr>
                <w:rFonts w:hint="eastAsia" w:hAnsi="宋体"/>
              </w:rPr>
              <w:t>服务类</w:t>
            </w:r>
          </w:p>
        </w:tc>
        <w:tc>
          <w:tcPr>
            <w:tcW w:w="1976" w:type="dxa"/>
            <w:vAlign w:val="center"/>
          </w:tcPr>
          <w:p>
            <w:pPr>
              <w:widowControl/>
              <w:spacing w:line="330" w:lineRule="exact"/>
              <w:jc w:val="center"/>
              <w:rPr>
                <w:rFonts w:hAnsi="宋体"/>
              </w:rPr>
            </w:pPr>
            <w:r>
              <w:rPr>
                <w:rFonts w:hint="eastAsia" w:hAnsi="宋体"/>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rPr>
            </w:pPr>
            <w:r>
              <w:rPr>
                <w:rFonts w:hint="eastAsia" w:hAnsi="宋体"/>
              </w:rPr>
              <w:t>100以下</w:t>
            </w:r>
          </w:p>
        </w:tc>
        <w:tc>
          <w:tcPr>
            <w:tcW w:w="1932" w:type="dxa"/>
            <w:vAlign w:val="center"/>
          </w:tcPr>
          <w:p>
            <w:pPr>
              <w:spacing w:line="330" w:lineRule="exact"/>
              <w:jc w:val="center"/>
              <w:rPr>
                <w:rFonts w:hAnsi="宋体"/>
              </w:rPr>
            </w:pPr>
            <w:r>
              <w:rPr>
                <w:rFonts w:hint="eastAsia" w:hAnsi="宋体"/>
              </w:rPr>
              <w:t>1.2%</w:t>
            </w:r>
          </w:p>
        </w:tc>
        <w:tc>
          <w:tcPr>
            <w:tcW w:w="1800" w:type="dxa"/>
            <w:vAlign w:val="center"/>
          </w:tcPr>
          <w:p>
            <w:pPr>
              <w:spacing w:line="330" w:lineRule="exact"/>
              <w:jc w:val="center"/>
              <w:rPr>
                <w:rFonts w:hAnsi="宋体"/>
              </w:rPr>
            </w:pPr>
            <w:r>
              <w:rPr>
                <w:rFonts w:hint="eastAsia" w:hAnsi="宋体"/>
              </w:rPr>
              <w:t>1.2%</w:t>
            </w:r>
          </w:p>
        </w:tc>
        <w:tc>
          <w:tcPr>
            <w:tcW w:w="1976" w:type="dxa"/>
            <w:vAlign w:val="center"/>
          </w:tcPr>
          <w:p>
            <w:pPr>
              <w:spacing w:line="330" w:lineRule="exact"/>
              <w:jc w:val="center"/>
              <w:rPr>
                <w:rFonts w:hAnsi="宋体"/>
              </w:rPr>
            </w:pPr>
            <w:r>
              <w:rPr>
                <w:rFonts w:hint="eastAsia" w:hAnsi="宋体"/>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rPr>
            </w:pPr>
            <w:r>
              <w:rPr>
                <w:rFonts w:hint="eastAsia" w:hAnsi="宋体"/>
              </w:rPr>
              <w:t>100-500</w:t>
            </w:r>
          </w:p>
        </w:tc>
        <w:tc>
          <w:tcPr>
            <w:tcW w:w="1932" w:type="dxa"/>
            <w:vAlign w:val="center"/>
          </w:tcPr>
          <w:p>
            <w:pPr>
              <w:spacing w:line="330" w:lineRule="exact"/>
              <w:jc w:val="center"/>
              <w:rPr>
                <w:rFonts w:hAnsi="宋体"/>
              </w:rPr>
            </w:pPr>
            <w:r>
              <w:rPr>
                <w:rFonts w:hint="eastAsia" w:hAnsi="宋体"/>
              </w:rPr>
              <w:t>0.88%</w:t>
            </w:r>
          </w:p>
        </w:tc>
        <w:tc>
          <w:tcPr>
            <w:tcW w:w="1800" w:type="dxa"/>
            <w:vAlign w:val="center"/>
          </w:tcPr>
          <w:p>
            <w:pPr>
              <w:spacing w:line="330" w:lineRule="exact"/>
              <w:jc w:val="center"/>
              <w:rPr>
                <w:rFonts w:hAnsi="宋体"/>
              </w:rPr>
            </w:pPr>
            <w:r>
              <w:rPr>
                <w:rFonts w:hint="eastAsia" w:hAnsi="宋体"/>
              </w:rPr>
              <w:t>0.64%</w:t>
            </w:r>
          </w:p>
        </w:tc>
        <w:tc>
          <w:tcPr>
            <w:tcW w:w="1976" w:type="dxa"/>
            <w:vAlign w:val="center"/>
          </w:tcPr>
          <w:p>
            <w:pPr>
              <w:spacing w:line="330" w:lineRule="exact"/>
              <w:jc w:val="center"/>
              <w:rPr>
                <w:rFonts w:hAnsi="宋体"/>
              </w:rPr>
            </w:pPr>
            <w:r>
              <w:rPr>
                <w:rFonts w:hint="eastAsia" w:hAnsi="宋体"/>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rPr>
            </w:pPr>
            <w:r>
              <w:rPr>
                <w:rFonts w:hint="eastAsia" w:hAnsi="宋体"/>
              </w:rPr>
              <w:t>500-1000</w:t>
            </w:r>
          </w:p>
        </w:tc>
        <w:tc>
          <w:tcPr>
            <w:tcW w:w="1932" w:type="dxa"/>
            <w:vAlign w:val="center"/>
          </w:tcPr>
          <w:p>
            <w:pPr>
              <w:spacing w:line="330" w:lineRule="exact"/>
              <w:jc w:val="center"/>
              <w:rPr>
                <w:rFonts w:hAnsi="宋体"/>
              </w:rPr>
            </w:pPr>
            <w:r>
              <w:rPr>
                <w:rFonts w:hint="eastAsia" w:hAnsi="宋体"/>
              </w:rPr>
              <w:t>0.64%</w:t>
            </w:r>
          </w:p>
        </w:tc>
        <w:tc>
          <w:tcPr>
            <w:tcW w:w="1800" w:type="dxa"/>
            <w:vAlign w:val="center"/>
          </w:tcPr>
          <w:p>
            <w:pPr>
              <w:spacing w:line="330" w:lineRule="exact"/>
              <w:jc w:val="center"/>
              <w:rPr>
                <w:rFonts w:hAnsi="宋体"/>
              </w:rPr>
            </w:pPr>
            <w:r>
              <w:rPr>
                <w:rFonts w:hint="eastAsia" w:hAnsi="宋体"/>
              </w:rPr>
              <w:t>0.36%</w:t>
            </w:r>
          </w:p>
        </w:tc>
        <w:tc>
          <w:tcPr>
            <w:tcW w:w="1976" w:type="dxa"/>
            <w:vAlign w:val="center"/>
          </w:tcPr>
          <w:p>
            <w:pPr>
              <w:spacing w:line="330" w:lineRule="exact"/>
              <w:jc w:val="center"/>
              <w:rPr>
                <w:rFonts w:hAnsi="宋体"/>
              </w:rPr>
            </w:pPr>
            <w:r>
              <w:rPr>
                <w:rFonts w:hint="eastAsia" w:hAnsi="宋体"/>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rPr>
            </w:pPr>
            <w:r>
              <w:rPr>
                <w:rFonts w:hint="eastAsia" w:hAnsi="宋体"/>
              </w:rPr>
              <w:t>1000-5000</w:t>
            </w:r>
          </w:p>
        </w:tc>
        <w:tc>
          <w:tcPr>
            <w:tcW w:w="1932" w:type="dxa"/>
            <w:vAlign w:val="center"/>
          </w:tcPr>
          <w:p>
            <w:pPr>
              <w:spacing w:line="330" w:lineRule="exact"/>
              <w:jc w:val="center"/>
              <w:rPr>
                <w:rFonts w:hAnsi="宋体"/>
              </w:rPr>
            </w:pPr>
            <w:r>
              <w:rPr>
                <w:rFonts w:hint="eastAsia" w:hAnsi="宋体"/>
              </w:rPr>
              <w:t>0.4%</w:t>
            </w:r>
          </w:p>
        </w:tc>
        <w:tc>
          <w:tcPr>
            <w:tcW w:w="1800" w:type="dxa"/>
            <w:vAlign w:val="center"/>
          </w:tcPr>
          <w:p>
            <w:pPr>
              <w:spacing w:line="330" w:lineRule="exact"/>
              <w:jc w:val="center"/>
              <w:rPr>
                <w:rFonts w:hAnsi="宋体"/>
              </w:rPr>
            </w:pPr>
            <w:r>
              <w:rPr>
                <w:rFonts w:hint="eastAsia" w:hAnsi="宋体"/>
              </w:rPr>
              <w:t>0.2%</w:t>
            </w:r>
          </w:p>
        </w:tc>
        <w:tc>
          <w:tcPr>
            <w:tcW w:w="1976" w:type="dxa"/>
            <w:vAlign w:val="center"/>
          </w:tcPr>
          <w:p>
            <w:pPr>
              <w:spacing w:line="330" w:lineRule="exact"/>
              <w:jc w:val="center"/>
              <w:rPr>
                <w:rFonts w:hAnsi="宋体"/>
              </w:rPr>
            </w:pPr>
            <w:r>
              <w:rPr>
                <w:rFonts w:hint="eastAsia" w:hAnsi="宋体"/>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rPr>
            </w:pPr>
            <w:r>
              <w:rPr>
                <w:rFonts w:hint="eastAsia" w:hAnsi="宋体"/>
              </w:rPr>
              <w:t>5000-10000</w:t>
            </w:r>
          </w:p>
        </w:tc>
        <w:tc>
          <w:tcPr>
            <w:tcW w:w="1932" w:type="dxa"/>
            <w:vAlign w:val="center"/>
          </w:tcPr>
          <w:p>
            <w:pPr>
              <w:spacing w:line="330" w:lineRule="exact"/>
              <w:jc w:val="center"/>
              <w:rPr>
                <w:rFonts w:hAnsi="宋体"/>
              </w:rPr>
            </w:pPr>
            <w:r>
              <w:rPr>
                <w:rFonts w:hint="eastAsia" w:hAnsi="宋体"/>
              </w:rPr>
              <w:t>0.2%</w:t>
            </w:r>
          </w:p>
        </w:tc>
        <w:tc>
          <w:tcPr>
            <w:tcW w:w="1800" w:type="dxa"/>
            <w:vAlign w:val="center"/>
          </w:tcPr>
          <w:p>
            <w:pPr>
              <w:spacing w:line="330" w:lineRule="exact"/>
              <w:jc w:val="center"/>
              <w:rPr>
                <w:rFonts w:hAnsi="宋体"/>
              </w:rPr>
            </w:pPr>
            <w:r>
              <w:rPr>
                <w:rFonts w:hint="eastAsia" w:hAnsi="宋体"/>
              </w:rPr>
              <w:t>0.08%</w:t>
            </w:r>
          </w:p>
        </w:tc>
        <w:tc>
          <w:tcPr>
            <w:tcW w:w="1976" w:type="dxa"/>
            <w:vAlign w:val="center"/>
          </w:tcPr>
          <w:p>
            <w:pPr>
              <w:spacing w:line="330" w:lineRule="exact"/>
              <w:jc w:val="center"/>
              <w:rPr>
                <w:rFonts w:hAnsi="宋体"/>
              </w:rPr>
            </w:pPr>
            <w:r>
              <w:rPr>
                <w:rFonts w:hint="eastAsia" w:hAnsi="宋体"/>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rPr>
            </w:pPr>
            <w:r>
              <w:rPr>
                <w:rFonts w:hint="eastAsia" w:hAnsi="宋体"/>
              </w:rPr>
              <w:t>10000-100000</w:t>
            </w:r>
          </w:p>
        </w:tc>
        <w:tc>
          <w:tcPr>
            <w:tcW w:w="1932" w:type="dxa"/>
            <w:vAlign w:val="center"/>
          </w:tcPr>
          <w:p>
            <w:pPr>
              <w:spacing w:line="330" w:lineRule="exact"/>
              <w:jc w:val="center"/>
              <w:rPr>
                <w:rFonts w:hAnsi="宋体"/>
              </w:rPr>
            </w:pPr>
            <w:r>
              <w:rPr>
                <w:rFonts w:hint="eastAsia" w:hAnsi="宋体"/>
              </w:rPr>
              <w:t>0.04%</w:t>
            </w:r>
          </w:p>
        </w:tc>
        <w:tc>
          <w:tcPr>
            <w:tcW w:w="1800" w:type="dxa"/>
            <w:vAlign w:val="center"/>
          </w:tcPr>
          <w:p>
            <w:pPr>
              <w:spacing w:line="330" w:lineRule="exact"/>
              <w:jc w:val="center"/>
              <w:rPr>
                <w:rFonts w:hAnsi="宋体"/>
              </w:rPr>
            </w:pPr>
            <w:r>
              <w:rPr>
                <w:rFonts w:hint="eastAsia" w:hAnsi="宋体"/>
              </w:rPr>
              <w:t>0.04%</w:t>
            </w:r>
          </w:p>
        </w:tc>
        <w:tc>
          <w:tcPr>
            <w:tcW w:w="1976" w:type="dxa"/>
            <w:vAlign w:val="center"/>
          </w:tcPr>
          <w:p>
            <w:pPr>
              <w:spacing w:line="330" w:lineRule="exact"/>
              <w:jc w:val="center"/>
              <w:rPr>
                <w:rFonts w:hAnsi="宋体"/>
              </w:rPr>
            </w:pPr>
            <w:r>
              <w:rPr>
                <w:rFonts w:hint="eastAsia" w:hAnsi="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rPr>
            </w:pPr>
            <w:r>
              <w:rPr>
                <w:rFonts w:hint="eastAsia" w:hAnsi="宋体"/>
              </w:rPr>
              <w:t>100000以上</w:t>
            </w:r>
          </w:p>
        </w:tc>
        <w:tc>
          <w:tcPr>
            <w:tcW w:w="1932" w:type="dxa"/>
            <w:vAlign w:val="center"/>
          </w:tcPr>
          <w:p>
            <w:pPr>
              <w:spacing w:line="330" w:lineRule="exact"/>
              <w:jc w:val="center"/>
              <w:rPr>
                <w:rFonts w:hAnsi="宋体"/>
              </w:rPr>
            </w:pPr>
            <w:r>
              <w:rPr>
                <w:rFonts w:hint="eastAsia" w:hAnsi="宋体"/>
              </w:rPr>
              <w:t>0.008%</w:t>
            </w:r>
          </w:p>
        </w:tc>
        <w:tc>
          <w:tcPr>
            <w:tcW w:w="1800" w:type="dxa"/>
            <w:vAlign w:val="center"/>
          </w:tcPr>
          <w:p>
            <w:pPr>
              <w:spacing w:line="330" w:lineRule="exact"/>
              <w:jc w:val="center"/>
              <w:rPr>
                <w:rFonts w:hAnsi="宋体"/>
              </w:rPr>
            </w:pPr>
            <w:r>
              <w:rPr>
                <w:rFonts w:hint="eastAsia" w:hAnsi="宋体"/>
              </w:rPr>
              <w:t>0.008%</w:t>
            </w:r>
          </w:p>
        </w:tc>
        <w:tc>
          <w:tcPr>
            <w:tcW w:w="1976" w:type="dxa"/>
            <w:vAlign w:val="center"/>
          </w:tcPr>
          <w:p>
            <w:pPr>
              <w:spacing w:line="330" w:lineRule="exact"/>
              <w:jc w:val="center"/>
              <w:rPr>
                <w:rFonts w:hAnsi="宋体"/>
              </w:rPr>
            </w:pPr>
            <w:r>
              <w:rPr>
                <w:rFonts w:hint="eastAsia" w:hAnsi="宋体"/>
              </w:rPr>
              <w:t>0.008%</w:t>
            </w:r>
          </w:p>
        </w:tc>
      </w:tr>
    </w:tbl>
    <w:p>
      <w:pPr>
        <w:pStyle w:val="21"/>
        <w:spacing w:line="400" w:lineRule="exact"/>
        <w:ind w:firstLine="420" w:firstLineChars="200"/>
        <w:rPr>
          <w:rFonts w:hAnsi="宋体"/>
        </w:rPr>
      </w:pPr>
      <w:r>
        <w:rPr>
          <w:rFonts w:hint="eastAsia" w:hAnsi="宋体"/>
        </w:rPr>
        <w:t>注：代理服务收费按差额定率累进法计算。</w:t>
      </w:r>
    </w:p>
    <w:p>
      <w:pPr>
        <w:pStyle w:val="21"/>
        <w:spacing w:line="400" w:lineRule="exact"/>
        <w:ind w:firstLine="420" w:firstLineChars="200"/>
        <w:rPr>
          <w:rFonts w:hAnsi="宋体"/>
          <w:bCs/>
        </w:rPr>
      </w:pPr>
      <w:r>
        <w:rPr>
          <w:rFonts w:hint="eastAsia" w:hAnsi="宋体"/>
          <w:bCs/>
        </w:rPr>
        <w:t>3.缴纳代理服务费银行账户：</w:t>
      </w:r>
    </w:p>
    <w:p>
      <w:pPr>
        <w:pStyle w:val="21"/>
        <w:spacing w:line="400" w:lineRule="exact"/>
        <w:ind w:firstLine="420" w:firstLineChars="200"/>
        <w:rPr>
          <w:rFonts w:hAnsi="宋体"/>
          <w:bCs/>
        </w:rPr>
      </w:pPr>
      <w:r>
        <w:rPr>
          <w:rFonts w:hint="eastAsia" w:hAnsi="宋体"/>
          <w:bCs/>
        </w:rPr>
        <w:t>开户名称:钦州市政府采购中心</w:t>
      </w:r>
    </w:p>
    <w:p>
      <w:pPr>
        <w:pStyle w:val="21"/>
        <w:spacing w:line="400" w:lineRule="exact"/>
        <w:ind w:firstLine="420" w:firstLineChars="200"/>
        <w:rPr>
          <w:rFonts w:hAnsi="宋体"/>
          <w:bCs/>
        </w:rPr>
      </w:pPr>
      <w:r>
        <w:rPr>
          <w:rFonts w:hint="eastAsia" w:hAnsi="宋体"/>
          <w:bCs/>
        </w:rPr>
        <w:t>开户银行:兴业银行钦州支行</w:t>
      </w:r>
    </w:p>
    <w:p>
      <w:pPr>
        <w:pStyle w:val="21"/>
        <w:spacing w:line="400" w:lineRule="exact"/>
        <w:ind w:firstLine="420" w:firstLineChars="200"/>
        <w:rPr>
          <w:rFonts w:hAnsi="宋体"/>
          <w:bCs/>
        </w:rPr>
      </w:pPr>
      <w:r>
        <w:rPr>
          <w:rFonts w:hint="eastAsia" w:hAnsi="宋体"/>
          <w:bCs/>
        </w:rPr>
        <w:t>银行账号:554010100100129709</w:t>
      </w:r>
    </w:p>
    <w:p>
      <w:pPr>
        <w:pStyle w:val="21"/>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pPr>
        <w:pStyle w:val="21"/>
        <w:spacing w:line="400" w:lineRule="exact"/>
        <w:ind w:firstLine="210" w:firstLineChars="100"/>
        <w:rPr>
          <w:rFonts w:hAnsi="宋体"/>
          <w:spacing w:val="-4"/>
        </w:rPr>
      </w:pPr>
      <w:r>
        <w:rPr>
          <w:rFonts w:hint="eastAsia" w:hAnsi="宋体"/>
          <w:bCs/>
        </w:rPr>
        <w:t>（三）有关事宜</w:t>
      </w:r>
    </w:p>
    <w:p>
      <w:pPr>
        <w:spacing w:line="400" w:lineRule="exact"/>
        <w:ind w:firstLine="420" w:firstLineChars="200"/>
      </w:pPr>
      <w:r>
        <w:rPr>
          <w:rFonts w:hint="eastAsia"/>
        </w:rPr>
        <w:t>所有与采购文件有关的函件请按下列通讯地址联系：</w:t>
      </w:r>
    </w:p>
    <w:p>
      <w:pPr>
        <w:widowControl/>
        <w:spacing w:line="400" w:lineRule="exact"/>
        <w:ind w:firstLine="420" w:firstLineChars="200"/>
        <w:jc w:val="left"/>
      </w:pPr>
      <w:r>
        <w:rPr>
          <w:rFonts w:hint="eastAsia"/>
        </w:rPr>
        <w:t>钦州市政府采购中心</w:t>
      </w:r>
    </w:p>
    <w:p>
      <w:pPr>
        <w:widowControl/>
        <w:spacing w:line="400" w:lineRule="exact"/>
        <w:ind w:firstLine="420" w:firstLineChars="200"/>
        <w:jc w:val="left"/>
      </w:pPr>
      <w:r>
        <w:rPr>
          <w:rFonts w:hint="eastAsia"/>
        </w:rPr>
        <w:t>通讯地址：钦州市金海湾东大街8号</w:t>
      </w:r>
    </w:p>
    <w:p>
      <w:pPr>
        <w:widowControl/>
        <w:spacing w:line="400" w:lineRule="exact"/>
        <w:ind w:firstLine="420" w:firstLineChars="200"/>
        <w:jc w:val="left"/>
      </w:pPr>
      <w:r>
        <w:rPr>
          <w:rFonts w:hint="eastAsia"/>
        </w:rPr>
        <w:t>邮政编码：535000</w:t>
      </w:r>
    </w:p>
    <w:p>
      <w:pPr>
        <w:widowControl/>
        <w:spacing w:line="400" w:lineRule="exact"/>
        <w:ind w:firstLine="420" w:firstLineChars="200"/>
        <w:jc w:val="left"/>
      </w:pPr>
      <w:r>
        <w:rPr>
          <w:rFonts w:hint="eastAsia"/>
        </w:rPr>
        <w:t>钦州市政府采购中心联系方式：</w:t>
      </w:r>
    </w:p>
    <w:p>
      <w:pPr>
        <w:widowControl/>
        <w:spacing w:line="400" w:lineRule="exact"/>
        <w:ind w:firstLine="420" w:firstLineChars="200"/>
        <w:jc w:val="left"/>
      </w:pPr>
      <w:r>
        <w:rPr>
          <w:rFonts w:hint="eastAsia"/>
        </w:rPr>
        <w:t>(1)采购部(采购文件)</w:t>
      </w:r>
    </w:p>
    <w:p>
      <w:pPr>
        <w:widowControl/>
        <w:spacing w:line="400" w:lineRule="exact"/>
        <w:ind w:firstLine="420" w:firstLineChars="200"/>
        <w:jc w:val="left"/>
      </w:pPr>
      <w:r>
        <w:rPr>
          <w:rFonts w:hint="eastAsia"/>
        </w:rPr>
        <w:t xml:space="preserve">联系人：黄忠秀 </w:t>
      </w:r>
      <w:r>
        <w:t xml:space="preserve"> </w:t>
      </w:r>
      <w:r>
        <w:rPr>
          <w:rFonts w:hint="eastAsia"/>
        </w:rPr>
        <w:t xml:space="preserve"> 联系方式：0777-2886022</w:t>
      </w:r>
    </w:p>
    <w:p>
      <w:pPr>
        <w:widowControl/>
        <w:spacing w:line="400" w:lineRule="exact"/>
        <w:ind w:firstLine="420" w:firstLineChars="200"/>
        <w:jc w:val="left"/>
      </w:pPr>
      <w:r>
        <w:rPr>
          <w:rFonts w:hint="eastAsia"/>
        </w:rPr>
        <w:t>(2)综合二部(评审、谈判、成交及合同管理)</w:t>
      </w:r>
    </w:p>
    <w:p>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pPr>
        <w:widowControl/>
        <w:spacing w:line="400" w:lineRule="exact"/>
        <w:ind w:firstLine="420" w:firstLineChars="200"/>
        <w:jc w:val="left"/>
      </w:pPr>
      <w:r>
        <w:rPr>
          <w:rFonts w:hint="eastAsia"/>
        </w:rPr>
        <w:t>(</w:t>
      </w:r>
      <w:r>
        <w:t>3)</w:t>
      </w:r>
      <w:r>
        <w:rPr>
          <w:rFonts w:hint="eastAsia"/>
        </w:rPr>
        <w:t>邮箱：qzzfcgzx@126.com</w:t>
      </w:r>
    </w:p>
    <w:p>
      <w:pPr>
        <w:widowControl/>
        <w:spacing w:line="400" w:lineRule="exact"/>
        <w:ind w:firstLine="420" w:firstLineChars="200"/>
        <w:jc w:val="left"/>
      </w:pPr>
      <w:r>
        <w:t>(4)</w:t>
      </w:r>
      <w:r>
        <w:rPr>
          <w:rFonts w:hint="eastAsia"/>
        </w:rPr>
        <w:t>政采云技术支持热线：</w:t>
      </w:r>
      <w:r>
        <w:rPr>
          <w:rFonts w:hAnsi="宋体"/>
        </w:rPr>
        <w:t>95763</w:t>
      </w:r>
    </w:p>
    <w:p>
      <w:pPr>
        <w:widowControl/>
        <w:jc w:val="left"/>
      </w:pPr>
      <w:r>
        <w:br w:type="page"/>
      </w:r>
    </w:p>
    <w:p>
      <w:pPr>
        <w:widowControl/>
        <w:spacing w:line="400" w:lineRule="exact"/>
        <w:jc w:val="left"/>
      </w:pPr>
    </w:p>
    <w:p/>
    <w:p/>
    <w:p/>
    <w:p/>
    <w:p/>
    <w:p/>
    <w:p/>
    <w:p/>
    <w:p/>
    <w:p/>
    <w:p/>
    <w:p/>
    <w:p/>
    <w:p>
      <w:pPr>
        <w:pStyle w:val="3"/>
        <w:spacing w:line="400" w:lineRule="exact"/>
        <w:rPr>
          <w:rFonts w:ascii="方正小标宋_GBK" w:hAnsi="宋体" w:eastAsia="方正小标宋_GBK"/>
        </w:rPr>
      </w:pPr>
      <w:bookmarkStart w:id="129" w:name="_第四章__评定标准及推荐原则"/>
      <w:bookmarkEnd w:id="129"/>
      <w:bookmarkStart w:id="130" w:name="_Toc92355026"/>
      <w:r>
        <w:rPr>
          <w:rFonts w:hint="eastAsia" w:ascii="方正小标宋_GBK" w:hAnsi="宋体" w:eastAsia="方正小标宋_GBK"/>
        </w:rPr>
        <w:t>第四章  评定标准及推荐原则</w:t>
      </w:r>
      <w:bookmarkEnd w:id="130"/>
    </w:p>
    <w:p>
      <w:pPr>
        <w:pStyle w:val="21"/>
        <w:spacing w:line="280" w:lineRule="exact"/>
        <w:jc w:val="center"/>
        <w:rPr>
          <w:rFonts w:hAnsi="宋体"/>
          <w:b/>
          <w:bCs/>
          <w:sz w:val="30"/>
          <w:szCs w:val="30"/>
        </w:rPr>
      </w:pPr>
      <w:r>
        <w:rPr>
          <w:rFonts w:hAnsi="宋体"/>
          <w:b/>
          <w:bCs/>
        </w:rPr>
        <w:br w:type="page"/>
      </w:r>
    </w:p>
    <w:p/>
    <w:p>
      <w:pPr>
        <w:pStyle w:val="21"/>
        <w:spacing w:line="500" w:lineRule="exact"/>
        <w:jc w:val="center"/>
        <w:rPr>
          <w:rFonts w:hAnsi="宋体"/>
          <w:b/>
          <w:bCs/>
          <w:sz w:val="44"/>
          <w:szCs w:val="44"/>
        </w:rPr>
      </w:pPr>
      <w:bookmarkStart w:id="131" w:name="_Hlk92463826"/>
      <w:r>
        <w:rPr>
          <w:rFonts w:hint="eastAsia" w:hAnsi="宋体"/>
          <w:b/>
          <w:bCs/>
          <w:sz w:val="44"/>
          <w:szCs w:val="44"/>
        </w:rPr>
        <w:t>评定标准及推荐原则</w:t>
      </w:r>
    </w:p>
    <w:bookmarkEnd w:id="131"/>
    <w:p/>
    <w:p>
      <w:pPr>
        <w:pStyle w:val="21"/>
        <w:spacing w:line="540" w:lineRule="exact"/>
        <w:rPr>
          <w:rFonts w:hAnsi="宋体"/>
          <w:b/>
          <w:bCs/>
        </w:rPr>
      </w:pPr>
      <w:r>
        <w:rPr>
          <w:rFonts w:hint="eastAsia" w:hAnsi="宋体"/>
          <w:b/>
          <w:bCs/>
        </w:rPr>
        <w:t>一、评审原则</w:t>
      </w:r>
    </w:p>
    <w:p>
      <w:pPr>
        <w:pStyle w:val="21"/>
        <w:spacing w:line="540" w:lineRule="exact"/>
        <w:ind w:firstLine="420" w:firstLineChars="200"/>
        <w:rPr>
          <w:rFonts w:hAnsi="宋体"/>
          <w:bCs/>
        </w:rPr>
      </w:pPr>
      <w:r>
        <w:rPr>
          <w:rFonts w:hint="eastAsia" w:hAnsi="宋体"/>
          <w:bCs/>
        </w:rPr>
        <w:t>(一)谈判小组组成：</w:t>
      </w:r>
      <w:bookmarkStart w:id="132" w:name="_Hlk89353643"/>
      <w:r>
        <w:rPr>
          <w:rFonts w:hint="eastAsia" w:hAnsi="宋体"/>
          <w:bCs/>
        </w:rPr>
        <w:t>谈判小组由采购人代表和评审专家共3人以上单数组成，其中评审专家人数不得少于谈判小组成员总数的2/3。</w:t>
      </w:r>
      <w:bookmarkEnd w:id="132"/>
    </w:p>
    <w:p>
      <w:pPr>
        <w:pStyle w:val="21"/>
        <w:spacing w:line="540" w:lineRule="exact"/>
        <w:ind w:firstLine="420" w:firstLineChars="200"/>
        <w:rPr>
          <w:rFonts w:hAnsi="宋体"/>
          <w:b/>
          <w:bCs/>
        </w:rPr>
      </w:pPr>
      <w:r>
        <w:rPr>
          <w:rFonts w:hint="eastAsia" w:hAnsi="宋体"/>
          <w:bCs/>
        </w:rPr>
        <w:t>(二)评审依据：以竞争性谈判采购文件和响应文件为评定依据。</w:t>
      </w:r>
    </w:p>
    <w:p>
      <w:pPr>
        <w:pStyle w:val="21"/>
        <w:spacing w:line="540" w:lineRule="exact"/>
        <w:rPr>
          <w:rFonts w:hAnsi="宋体"/>
          <w:b/>
          <w:bCs/>
        </w:rPr>
      </w:pPr>
      <w:r>
        <w:rPr>
          <w:rFonts w:hint="eastAsia" w:hAnsi="宋体"/>
          <w:b/>
          <w:bCs/>
        </w:rPr>
        <w:t>二、评定标准</w:t>
      </w:r>
    </w:p>
    <w:p>
      <w:pPr>
        <w:pStyle w:val="21"/>
        <w:spacing w:line="540" w:lineRule="exact"/>
        <w:ind w:firstLine="420" w:firstLineChars="200"/>
      </w:pPr>
      <w:r>
        <w:rPr>
          <w:rFonts w:hint="eastAsia"/>
        </w:rPr>
        <w:t>（一）成交候选人的推荐原则：</w:t>
      </w:r>
    </w:p>
    <w:p>
      <w:pPr>
        <w:pStyle w:val="21"/>
        <w:spacing w:line="54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pPr>
        <w:pStyle w:val="21"/>
        <w:spacing w:line="540" w:lineRule="exact"/>
        <w:ind w:firstLine="420" w:firstLineChars="200"/>
      </w:pPr>
      <w:r>
        <w:rPr>
          <w:rFonts w:hint="eastAsia"/>
        </w:rPr>
        <w:t>（二）落实政府采购政策：</w:t>
      </w:r>
    </w:p>
    <w:p>
      <w:pPr>
        <w:pStyle w:val="21"/>
        <w:spacing w:line="540" w:lineRule="exact"/>
        <w:ind w:firstLine="420" w:firstLineChars="200"/>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pPr>
        <w:pStyle w:val="21"/>
        <w:spacing w:line="540" w:lineRule="exact"/>
        <w:ind w:firstLine="420" w:firstLineChars="200"/>
      </w:pPr>
      <w:r>
        <w:rPr>
          <w:rFonts w:hint="eastAsia"/>
        </w:rPr>
        <w:t>2.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1"/>
        <w:spacing w:line="540" w:lineRule="exact"/>
        <w:ind w:firstLine="420" w:firstLineChars="200"/>
      </w:pPr>
      <w:r>
        <w:rPr>
          <w:rFonts w:hint="eastAsia"/>
        </w:rPr>
        <w:t>3.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pPr>
        <w:pStyle w:val="21"/>
        <w:spacing w:line="540" w:lineRule="exact"/>
        <w:ind w:firstLine="420" w:firstLineChars="200"/>
      </w:pPr>
      <w:r>
        <w:rPr>
          <w:rFonts w:hint="eastAsia"/>
        </w:rPr>
        <w:t>4.采购人采购的产品属于《节能产品政府采购品目清单》《环境标志产品政府采购品目清单》中品目的，在性能、技术、服务等指标同等条件下，应当依据国家确定的认证机构出具的、处于有效期之内的节能产品、环境标志产品认证证书，对获得证书的产品实施政府优先采购。</w:t>
      </w:r>
    </w:p>
    <w:p>
      <w:pPr>
        <w:widowControl/>
        <w:jc w:val="left"/>
      </w:pPr>
      <w:r>
        <w:br w:type="page"/>
      </w:r>
    </w:p>
    <w:p>
      <w:pPr>
        <w:widowControl/>
        <w:jc w:val="left"/>
        <w:rPr>
          <w:rFonts w:ascii="宋体" w:hAnsi="Courier New" w:cs="Courier New"/>
          <w:szCs w:val="21"/>
        </w:rPr>
      </w:pPr>
    </w:p>
    <w:p/>
    <w:p/>
    <w:p/>
    <w:p/>
    <w:p/>
    <w:p/>
    <w:p/>
    <w:p/>
    <w:p/>
    <w:p/>
    <w:p/>
    <w:p/>
    <w:p>
      <w:pPr>
        <w:pStyle w:val="3"/>
        <w:spacing w:line="400" w:lineRule="exact"/>
        <w:rPr>
          <w:rFonts w:ascii="方正小标宋_GBK" w:eastAsia="方正小标宋_GBK"/>
        </w:rPr>
      </w:pPr>
      <w:bookmarkStart w:id="133" w:name="_Toc92355027"/>
      <w:r>
        <w:rPr>
          <w:rFonts w:hint="eastAsia" w:ascii="方正小标宋_GBK" w:eastAsia="方正小标宋_GBK"/>
        </w:rPr>
        <w:t>第五章  合同文本</w:t>
      </w:r>
      <w:bookmarkEnd w:id="133"/>
    </w:p>
    <w:p>
      <w:pPr>
        <w:widowControl/>
        <w:jc w:val="left"/>
      </w:pPr>
      <w:r>
        <w:br w:type="page"/>
      </w:r>
    </w:p>
    <w:p>
      <w:pPr>
        <w:spacing w:line="400" w:lineRule="exact"/>
        <w:jc w:val="left"/>
        <w:rPr>
          <w:rFonts w:ascii="宋体" w:hAnsi="Courier New" w:cs="Courier New"/>
          <w:szCs w:val="21"/>
        </w:rPr>
      </w:pPr>
    </w:p>
    <w:p/>
    <w:p/>
    <w:p/>
    <w:p/>
    <w:p/>
    <w:p/>
    <w:p/>
    <w:p/>
    <w:p>
      <w:pPr>
        <w:jc w:val="center"/>
        <w:rPr>
          <w:rFonts w:ascii="宋体" w:hAnsi="宋体" w:cs="宋体"/>
          <w:b/>
          <w:bCs/>
          <w:spacing w:val="-20"/>
          <w:kern w:val="44"/>
          <w:sz w:val="48"/>
          <w:szCs w:val="48"/>
        </w:rPr>
      </w:pPr>
      <w:r>
        <w:rPr>
          <w:rFonts w:hint="eastAsia" w:ascii="宋体" w:hAnsi="宋体" w:cs="宋体"/>
          <w:b/>
          <w:bCs/>
          <w:spacing w:val="-20"/>
          <w:kern w:val="44"/>
          <w:sz w:val="48"/>
          <w:szCs w:val="48"/>
        </w:rPr>
        <w:t>钦州市政府采购货物买卖合同</w:t>
      </w:r>
    </w:p>
    <w:p/>
    <w:p/>
    <w:p/>
    <w:p/>
    <w:p/>
    <w:p/>
    <w:p/>
    <w:p/>
    <w:p>
      <w:pPr>
        <w:spacing w:line="360" w:lineRule="auto"/>
        <w:ind w:left="420" w:leftChars="200" w:firstLine="1600" w:firstLineChars="500"/>
        <w:rPr>
          <w:sz w:val="32"/>
          <w:szCs w:val="32"/>
        </w:rPr>
      </w:pPr>
      <w:r>
        <w:rPr>
          <w:rFonts w:hint="eastAsia" w:ascii="宋体" w:hAnsi="宋体" w:cs="宋体"/>
          <w:kern w:val="0"/>
          <w:sz w:val="32"/>
          <w:szCs w:val="32"/>
        </w:rPr>
        <w:t>项目名称：</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合同编号：</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甲    方：</w:t>
      </w:r>
      <w:r>
        <w:rPr>
          <w:rFonts w:hint="eastAsia"/>
          <w:sz w:val="32"/>
          <w:szCs w:val="32"/>
          <w:u w:val="single"/>
        </w:rPr>
        <w:t xml:space="preserve">                            </w:t>
      </w:r>
    </w:p>
    <w:p>
      <w:pPr>
        <w:spacing w:line="360" w:lineRule="auto"/>
        <w:ind w:left="420" w:leftChars="200" w:firstLine="1600" w:firstLineChars="500"/>
        <w:rPr>
          <w:sz w:val="32"/>
          <w:szCs w:val="32"/>
          <w:u w:val="single"/>
        </w:rPr>
      </w:pPr>
      <w:r>
        <w:rPr>
          <w:rFonts w:hint="eastAsia"/>
          <w:sz w:val="32"/>
          <w:szCs w:val="32"/>
        </w:rPr>
        <w:t>乙    方：</w:t>
      </w:r>
      <w:r>
        <w:rPr>
          <w:rFonts w:hint="eastAsia"/>
          <w:sz w:val="32"/>
          <w:szCs w:val="32"/>
          <w:u w:val="single"/>
        </w:rPr>
        <w:t xml:space="preserve">                            </w:t>
      </w:r>
    </w:p>
    <w:p>
      <w:pPr>
        <w:spacing w:line="360" w:lineRule="auto"/>
        <w:ind w:left="420" w:leftChars="200" w:firstLine="1600" w:firstLineChars="5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
      <w:pPr>
        <w:spacing w:line="400" w:lineRule="exact"/>
      </w:pPr>
      <w:r>
        <w:rPr>
          <w:rFonts w:eastAsia="黑体"/>
          <w:sz w:val="44"/>
          <w:szCs w:val="44"/>
        </w:rPr>
        <w:br w:type="page"/>
      </w:r>
    </w:p>
    <w:p>
      <w:pPr>
        <w:jc w:val="center"/>
        <w:rPr>
          <w:rFonts w:eastAsia="黑体"/>
          <w:sz w:val="44"/>
          <w:szCs w:val="44"/>
        </w:rPr>
      </w:pPr>
      <w:r>
        <w:rPr>
          <w:rFonts w:hint="eastAsia" w:eastAsia="黑体"/>
          <w:sz w:val="44"/>
          <w:szCs w:val="44"/>
        </w:rPr>
        <w:t>使 用 说 明</w:t>
      </w:r>
    </w:p>
    <w:p>
      <w:pPr>
        <w:spacing w:line="400" w:lineRule="exact"/>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1.本合同标准文本适用于购买现成货物的采购项目，不包括需要供应商定制开发、创新研发的货物采购项目。</w:t>
      </w:r>
    </w:p>
    <w:p>
      <w:pPr>
        <w:rPr>
          <w:rFonts w:eastAsia="黑体"/>
          <w:sz w:val="30"/>
          <w:szCs w:val="30"/>
        </w:rPr>
      </w:pPr>
      <w:r>
        <w:rPr>
          <w:rFonts w:hint="eastAsia" w:eastAsia="黑体"/>
          <w:sz w:val="30"/>
          <w:szCs w:val="30"/>
        </w:rPr>
        <w:t xml:space="preserve">   </w:t>
      </w:r>
      <w:r>
        <w:rPr>
          <w:rFonts w:hint="eastAsia" w:ascii="仿宋_GB2312" w:hAnsi="仿宋_GB2312" w:eastAsia="仿宋_GB2312" w:cs="仿宋_GB2312"/>
          <w:sz w:val="30"/>
          <w:szCs w:val="30"/>
        </w:rPr>
        <w:t>2.本合同标准文本为政府采购货物买卖合同编制提供参考，可以结合采购项目具体情况，对文本作必要的调整修订后使用。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3.本合同标准文本各条款中，如涉及填写多家供应商、制造商，多种采购标的、分包主要内容等信息的，可根据采购项目具体情况添加信息项。</w:t>
      </w:r>
    </w:p>
    <w:p>
      <w:pPr>
        <w:keepNext/>
        <w:keepLines/>
        <w:adjustRightInd w:val="0"/>
        <w:snapToGrid w:val="0"/>
        <w:spacing w:line="400" w:lineRule="exact"/>
        <w:jc w:val="center"/>
        <w:outlineLvl w:val="1"/>
        <w:rPr>
          <w:rFonts w:ascii="黑体" w:hAnsi="黑体" w:eastAsia="黑体"/>
          <w:b/>
          <w:bCs/>
          <w:sz w:val="28"/>
          <w:szCs w:val="28"/>
        </w:rPr>
      </w:pPr>
      <w:bookmarkStart w:id="134" w:name="_Toc22209"/>
    </w:p>
    <w:p>
      <w:pPr>
        <w:keepNext/>
        <w:keepLines/>
        <w:adjustRightInd w:val="0"/>
        <w:snapToGrid w:val="0"/>
        <w:spacing w:line="400" w:lineRule="exact"/>
        <w:jc w:val="center"/>
        <w:outlineLvl w:val="1"/>
        <w:rPr>
          <w:rFonts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134"/>
    </w:p>
    <w:p>
      <w:pPr>
        <w:keepNext/>
        <w:keepLines/>
        <w:adjustRightInd w:val="0"/>
        <w:snapToGrid w:val="0"/>
        <w:spacing w:line="400" w:lineRule="exact"/>
        <w:jc w:val="center"/>
        <w:outlineLvl w:val="1"/>
        <w:rPr>
          <w:rFonts w:ascii="黑体" w:hAnsi="华文中宋" w:eastAsia="黑体"/>
          <w:sz w:val="28"/>
          <w:szCs w:val="28"/>
        </w:rPr>
      </w:pPr>
    </w:p>
    <w:p>
      <w:pPr>
        <w:adjustRightInd w:val="0"/>
        <w:snapToGrid w:val="0"/>
        <w:spacing w:line="42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 xml:space="preserve">（采购人、受采购人委托签订合同的单位或采购文件约定的合同甲方） </w:t>
      </w:r>
    </w:p>
    <w:p>
      <w:pPr>
        <w:adjustRightInd w:val="0"/>
        <w:snapToGrid w:val="0"/>
        <w:spacing w:line="42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pPr>
        <w:adjustRightInd w:val="0"/>
        <w:snapToGrid w:val="0"/>
        <w:spacing w:line="42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adjustRightInd w:val="0"/>
        <w:snapToGrid w:val="0"/>
        <w:spacing w:line="42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pPr>
        <w:spacing w:line="420" w:lineRule="exact"/>
      </w:pPr>
    </w:p>
    <w:p>
      <w:pPr>
        <w:adjustRightInd w:val="0"/>
        <w:snapToGrid w:val="0"/>
        <w:spacing w:line="420" w:lineRule="exact"/>
        <w:ind w:firstLine="42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4"/>
        </w:numPr>
        <w:adjustRightInd w:val="0"/>
        <w:snapToGrid w:val="0"/>
        <w:spacing w:line="420" w:lineRule="exact"/>
        <w:ind w:firstLine="422" w:firstLineChars="200"/>
        <w:rPr>
          <w:rFonts w:ascii="宋体" w:hAnsi="宋体"/>
          <w:b/>
          <w:szCs w:val="21"/>
        </w:rPr>
      </w:pPr>
      <w:r>
        <w:rPr>
          <w:rFonts w:hint="eastAsia" w:ascii="宋体" w:hAnsi="宋体"/>
          <w:b/>
          <w:szCs w:val="21"/>
        </w:rPr>
        <w:t>项目信息</w:t>
      </w:r>
    </w:p>
    <w:p>
      <w:pPr>
        <w:adjustRightInd w:val="0"/>
        <w:snapToGrid w:val="0"/>
        <w:spacing w:line="420" w:lineRule="exact"/>
        <w:ind w:firstLine="210" w:firstLineChars="100"/>
        <w:rPr>
          <w:rFonts w:ascii="宋体" w:hAnsi="宋体"/>
          <w:szCs w:val="21"/>
          <w:u w:val="single"/>
        </w:rPr>
      </w:pPr>
      <w:r>
        <w:rPr>
          <w:rFonts w:hint="eastAsia" w:ascii="宋体" w:hAnsi="宋体"/>
          <w:szCs w:val="21"/>
        </w:rPr>
        <w:t>（1）采购项目名称：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numPr>
          <w:ilvl w:val="255"/>
          <w:numId w:val="0"/>
        </w:numPr>
        <w:tabs>
          <w:tab w:val="left" w:pos="999"/>
        </w:tabs>
        <w:adjustRightInd w:val="0"/>
        <w:snapToGrid w:val="0"/>
        <w:spacing w:line="420" w:lineRule="exact"/>
        <w:rPr>
          <w:rFonts w:ascii="宋体" w:hAnsi="宋体"/>
          <w:szCs w:val="21"/>
        </w:rPr>
      </w:pPr>
      <w:r>
        <w:rPr>
          <w:rFonts w:hint="eastAsia" w:ascii="宋体" w:hAnsi="宋体"/>
          <w:szCs w:val="21"/>
        </w:rPr>
        <w:t xml:space="preserve">       采购项目编号：</w:t>
      </w:r>
      <w:r>
        <w:rPr>
          <w:rFonts w:ascii="宋体" w:hAnsi="宋体"/>
          <w:szCs w:val="21"/>
          <w:u w:val="single"/>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adjustRightInd w:val="0"/>
        <w:snapToGrid w:val="0"/>
        <w:spacing w:line="420" w:lineRule="exact"/>
        <w:ind w:firstLine="199" w:firstLineChars="95"/>
        <w:rPr>
          <w:rFonts w:ascii="宋体" w:hAnsi="宋体"/>
          <w:szCs w:val="21"/>
        </w:rPr>
      </w:pPr>
      <w:r>
        <w:rPr>
          <w:rFonts w:hint="eastAsia" w:ascii="宋体" w:hAnsi="宋体"/>
          <w:szCs w:val="21"/>
        </w:rPr>
        <w:t>（3）项目内容：</w:t>
      </w:r>
    </w:p>
    <w:p>
      <w:pPr>
        <w:adjustRightInd w:val="0"/>
        <w:snapToGrid w:val="0"/>
        <w:spacing w:line="42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numPr>
          <w:ilvl w:val="255"/>
          <w:numId w:val="0"/>
        </w:numPr>
        <w:adjustRightInd w:val="0"/>
        <w:snapToGrid w:val="0"/>
        <w:spacing w:line="420" w:lineRule="exact"/>
        <w:ind w:firstLine="420" w:firstLineChars="200"/>
        <w:rPr>
          <w:rFonts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pPr>
        <w:numPr>
          <w:ilvl w:val="255"/>
          <w:numId w:val="0"/>
        </w:numPr>
        <w:adjustRightInd w:val="0"/>
        <w:snapToGrid w:val="0"/>
        <w:spacing w:line="420" w:lineRule="exact"/>
        <w:ind w:firstLine="735" w:firstLineChars="350"/>
        <w:rPr>
          <w:rFonts w:ascii="宋体" w:hAnsi="宋体" w:cs="宋体"/>
          <w:szCs w:val="21"/>
          <w:lang w:val="en"/>
        </w:rPr>
      </w:pPr>
      <w:r>
        <w:rPr>
          <w:rFonts w:hint="eastAsia" w:ascii="宋体" w:hAnsi="宋体"/>
          <w:szCs w:val="21"/>
        </w:rPr>
        <w:t>采购标的的技术要求、商务要求具体见附件。</w:t>
      </w:r>
    </w:p>
    <w:p>
      <w:pPr>
        <w:numPr>
          <w:ilvl w:val="255"/>
          <w:numId w:val="0"/>
        </w:numPr>
        <w:adjustRightInd w:val="0"/>
        <w:snapToGrid w:val="0"/>
        <w:spacing w:line="420" w:lineRule="exact"/>
        <w:ind w:firstLine="735" w:firstLineChars="3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pPr>
        <w:numPr>
          <w:ilvl w:val="255"/>
          <w:numId w:val="0"/>
        </w:numPr>
        <w:adjustRightInd w:val="0"/>
        <w:snapToGrid w:val="0"/>
        <w:spacing w:line="42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pPr>
        <w:numPr>
          <w:ilvl w:val="255"/>
          <w:numId w:val="0"/>
        </w:numPr>
        <w:adjustRightInd w:val="0"/>
        <w:snapToGrid w:val="0"/>
        <w:spacing w:line="42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关键部件</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品牌：</w:t>
      </w:r>
      <w:r>
        <w:rPr>
          <w:rFonts w:hint="eastAsia" w:ascii="宋体" w:hAnsi="宋体" w:cs="宋体"/>
          <w:kern w:val="0"/>
          <w:szCs w:val="21"/>
          <w:u w:val="single"/>
        </w:rPr>
        <w:t xml:space="preserve">        </w:t>
      </w:r>
      <w:r>
        <w:rPr>
          <w:rFonts w:hint="eastAsia" w:ascii="宋体" w:hAnsi="宋体" w:cs="宋体"/>
          <w:kern w:val="0"/>
          <w:szCs w:val="21"/>
        </w:rPr>
        <w:t xml:space="preserve"> 型号：</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汉仪书宋二S" w:hAnsi="汉仪书宋二S" w:eastAsia="汉仪书宋二S" w:cs="汉仪书宋二S"/>
          <w:kern w:val="0"/>
          <w:szCs w:val="21"/>
        </w:rPr>
        <w:t>②</w:t>
      </w:r>
      <w:r>
        <w:rPr>
          <w:rFonts w:hint="eastAsia" w:ascii="宋体" w:hAnsi="宋体" w:cs="宋体"/>
          <w:kern w:val="0"/>
          <w:szCs w:val="21"/>
        </w:rPr>
        <w:t>涉及车辆采购，请填写是否属于新能源汽车：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是，《政府采购品目分类目录》底级品目名称：</w:t>
      </w:r>
      <w:r>
        <w:rPr>
          <w:rFonts w:hint="eastAsia" w:ascii="宋体" w:hAnsi="宋体" w:cs="宋体"/>
          <w:kern w:val="0"/>
          <w:szCs w:val="21"/>
          <w:u w:val="single"/>
        </w:rPr>
        <w:t xml:space="preserve">      </w:t>
      </w:r>
      <w:r>
        <w:rPr>
          <w:rFonts w:hint="eastAsia" w:ascii="宋体" w:hAnsi="宋体" w:cs="宋体"/>
          <w:kern w:val="0"/>
          <w:szCs w:val="21"/>
        </w:rPr>
        <w:t xml:space="preserve"> 数量：</w:t>
      </w:r>
      <w:r>
        <w:rPr>
          <w:rFonts w:hint="eastAsia" w:ascii="宋体" w:hAnsi="宋体" w:cs="宋体"/>
          <w:kern w:val="0"/>
          <w:szCs w:val="21"/>
          <w:u w:val="single"/>
        </w:rPr>
        <w:t xml:space="preserve">     </w:t>
      </w:r>
      <w:r>
        <w:rPr>
          <w:rFonts w:hint="eastAsia" w:ascii="宋体" w:hAnsi="宋体" w:cs="宋体"/>
          <w:kern w:val="0"/>
          <w:szCs w:val="21"/>
        </w:rPr>
        <w:t xml:space="preserve"> 金额：</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sym w:font="Wingdings" w:char="00A8"/>
      </w:r>
      <w:r>
        <w:rPr>
          <w:rFonts w:hint="eastAsia" w:ascii="宋体" w:hAnsi="宋体" w:cs="宋体"/>
          <w:kern w:val="0"/>
          <w:szCs w:val="21"/>
        </w:rPr>
        <w:t>否</w:t>
      </w:r>
    </w:p>
    <w:p>
      <w:pPr>
        <w:widowControl/>
        <w:numPr>
          <w:ilvl w:val="255"/>
          <w:numId w:val="0"/>
        </w:numPr>
        <w:autoSpaceDE w:val="0"/>
        <w:autoSpaceDN w:val="0"/>
        <w:adjustRightInd w:val="0"/>
        <w:snapToGrid w:val="0"/>
        <w:spacing w:line="420" w:lineRule="exact"/>
        <w:jc w:val="left"/>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lang w:val="en"/>
        </w:rPr>
        <w:t>4</w:t>
      </w:r>
      <w:r>
        <w:rPr>
          <w:rFonts w:hint="eastAsia" w:ascii="宋体" w:hAnsi="宋体" w:cs="宋体"/>
          <w:kern w:val="0"/>
          <w:szCs w:val="21"/>
        </w:rPr>
        <w:t>）政府采购组织形式：</w:t>
      </w:r>
      <w:r>
        <w:rPr>
          <w:rFonts w:hint="eastAsia" w:ascii="宋体" w:hAnsi="宋体" w:cs="宋体"/>
          <w:kern w:val="0"/>
          <w:szCs w:val="21"/>
        </w:rPr>
        <w:sym w:font="Wingdings" w:char="00A8"/>
      </w:r>
      <w:r>
        <w:rPr>
          <w:rFonts w:hint="eastAsia" w:ascii="宋体" w:hAnsi="宋体" w:cs="宋体"/>
          <w:kern w:val="0"/>
          <w:szCs w:val="21"/>
        </w:rPr>
        <w:t xml:space="preserve">政府集中采购  </w:t>
      </w:r>
      <w:r>
        <w:rPr>
          <w:rFonts w:hint="eastAsia" w:ascii="宋体" w:hAnsi="宋体" w:cs="宋体"/>
          <w:kern w:val="0"/>
          <w:szCs w:val="21"/>
        </w:rPr>
        <w:sym w:font="Wingdings" w:char="00A8"/>
      </w:r>
      <w:r>
        <w:rPr>
          <w:rFonts w:hint="eastAsia" w:ascii="宋体" w:hAnsi="宋体" w:cs="宋体"/>
          <w:kern w:val="0"/>
          <w:szCs w:val="21"/>
        </w:rPr>
        <w:t xml:space="preserve">部门集中采购  </w:t>
      </w:r>
      <w:r>
        <w:rPr>
          <w:rFonts w:hint="eastAsia" w:ascii="宋体" w:hAnsi="宋体" w:cs="宋体"/>
          <w:kern w:val="0"/>
          <w:szCs w:val="21"/>
        </w:rPr>
        <w:sym w:font="Wingdings" w:char="00A8"/>
      </w:r>
      <w:r>
        <w:rPr>
          <w:rFonts w:hint="eastAsia" w:ascii="宋体" w:hAnsi="宋体" w:cs="宋体"/>
          <w:kern w:val="0"/>
          <w:szCs w:val="21"/>
        </w:rPr>
        <w:t>分散采购</w:t>
      </w:r>
    </w:p>
    <w:p>
      <w:pPr>
        <w:widowControl/>
        <w:numPr>
          <w:ilvl w:val="255"/>
          <w:numId w:val="0"/>
        </w:numPr>
        <w:autoSpaceDE w:val="0"/>
        <w:autoSpaceDN w:val="0"/>
        <w:adjustRightInd w:val="0"/>
        <w:snapToGrid w:val="0"/>
        <w:spacing w:line="420" w:lineRule="exact"/>
        <w:ind w:firstLine="283" w:firstLineChars="135"/>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lang w:val="en"/>
        </w:rPr>
        <w:t>5</w:t>
      </w:r>
      <w:r>
        <w:rPr>
          <w:rFonts w:hint="eastAsia" w:ascii="宋体" w:hAnsi="宋体" w:cs="宋体"/>
          <w:kern w:val="0"/>
          <w:szCs w:val="21"/>
        </w:rPr>
        <w:t>）政府采购方式：</w:t>
      </w:r>
      <w:r>
        <w:rPr>
          <w:rFonts w:hint="eastAsia" w:ascii="宋体" w:hAnsi="宋体" w:cs="宋体"/>
          <w:kern w:val="0"/>
          <w:szCs w:val="21"/>
        </w:rPr>
        <w:sym w:font="Wingdings" w:char="00A8"/>
      </w:r>
      <w:r>
        <w:rPr>
          <w:rFonts w:hint="eastAsia" w:ascii="宋体" w:hAnsi="宋体" w:cs="宋体"/>
          <w:kern w:val="0"/>
          <w:szCs w:val="21"/>
        </w:rPr>
        <w:t xml:space="preserve">公开招标 </w:t>
      </w:r>
      <w:r>
        <w:rPr>
          <w:rFonts w:hint="eastAsia" w:ascii="宋体" w:hAnsi="宋体" w:cs="宋体"/>
          <w:kern w:val="0"/>
          <w:szCs w:val="21"/>
        </w:rPr>
        <w:sym w:font="Wingdings" w:char="00A8"/>
      </w:r>
      <w:r>
        <w:rPr>
          <w:rFonts w:hint="eastAsia" w:ascii="宋体" w:hAnsi="宋体" w:cs="宋体"/>
          <w:kern w:val="0"/>
          <w:szCs w:val="21"/>
        </w:rPr>
        <w:t xml:space="preserve">邀请招标 </w:t>
      </w:r>
      <w:r>
        <w:rPr>
          <w:rFonts w:hint="eastAsia" w:ascii="宋体" w:hAnsi="宋体" w:cs="宋体"/>
          <w:kern w:val="0"/>
          <w:szCs w:val="21"/>
        </w:rPr>
        <w:sym w:font="Wingdings" w:char="00A8"/>
      </w:r>
      <w:r>
        <w:rPr>
          <w:rFonts w:hint="eastAsia" w:ascii="宋体" w:hAnsi="宋体" w:cs="宋体"/>
          <w:kern w:val="0"/>
          <w:szCs w:val="21"/>
        </w:rPr>
        <w:t xml:space="preserve">竞争性谈判 </w:t>
      </w:r>
      <w:r>
        <w:rPr>
          <w:rFonts w:hint="eastAsia" w:ascii="宋体" w:hAnsi="宋体" w:cs="宋体"/>
          <w:kern w:val="0"/>
          <w:szCs w:val="21"/>
        </w:rPr>
        <w:sym w:font="Wingdings" w:char="00A8"/>
      </w:r>
      <w:r>
        <w:rPr>
          <w:rFonts w:hint="eastAsia" w:ascii="宋体" w:hAnsi="宋体" w:cs="宋体"/>
          <w:kern w:val="0"/>
          <w:szCs w:val="21"/>
        </w:rPr>
        <w:t>竞争性磋商</w:t>
      </w:r>
    </w:p>
    <w:p>
      <w:pPr>
        <w:widowControl/>
        <w:numPr>
          <w:ilvl w:val="255"/>
          <w:numId w:val="0"/>
        </w:numPr>
        <w:autoSpaceDE w:val="0"/>
        <w:autoSpaceDN w:val="0"/>
        <w:adjustRightInd w:val="0"/>
        <w:snapToGrid w:val="0"/>
        <w:spacing w:line="420" w:lineRule="exact"/>
        <w:ind w:firstLine="420"/>
        <w:jc w:val="left"/>
        <w:rPr>
          <w:rFonts w:ascii="宋体" w:hAnsi="宋体" w:cs="宋体"/>
          <w:kern w:val="0"/>
          <w:szCs w:val="21"/>
          <w:u w:val="single"/>
        </w:rPr>
      </w:pPr>
      <w:r>
        <w:rPr>
          <w:rFonts w:hint="eastAsia" w:ascii="宋体" w:hAnsi="宋体" w:eastAsia="华文楷体" w:cs="宋体"/>
          <w:kern w:val="0"/>
          <w:sz w:val="22"/>
          <w:szCs w:val="21"/>
        </w:rPr>
        <w:t xml:space="preserve">                 </w:t>
      </w:r>
      <w:r>
        <w:rPr>
          <w:rFonts w:hint="eastAsia" w:ascii="宋体" w:hAnsi="宋体" w:cs="宋体"/>
          <w:kern w:val="0"/>
          <w:szCs w:val="21"/>
        </w:rPr>
        <w:sym w:font="Wingdings" w:char="00A8"/>
      </w:r>
      <w:r>
        <w:rPr>
          <w:rFonts w:hint="eastAsia" w:ascii="宋体" w:hAnsi="宋体" w:cs="宋体"/>
          <w:kern w:val="0"/>
          <w:szCs w:val="21"/>
        </w:rPr>
        <w:t xml:space="preserve">询价 </w:t>
      </w:r>
      <w:r>
        <w:rPr>
          <w:rFonts w:hint="eastAsia" w:ascii="宋体" w:hAnsi="宋体" w:cs="宋体"/>
          <w:kern w:val="0"/>
          <w:szCs w:val="21"/>
        </w:rPr>
        <w:sym w:font="Wingdings" w:char="00A8"/>
      </w:r>
      <w:r>
        <w:rPr>
          <w:rFonts w:hint="eastAsia" w:ascii="宋体" w:hAnsi="宋体" w:cs="宋体"/>
          <w:kern w:val="0"/>
          <w:szCs w:val="21"/>
        </w:rPr>
        <w:t xml:space="preserve">单一来源 </w:t>
      </w:r>
      <w:r>
        <w:rPr>
          <w:rFonts w:hint="eastAsia" w:ascii="宋体" w:hAnsi="宋体" w:cs="宋体"/>
          <w:kern w:val="0"/>
          <w:szCs w:val="21"/>
        </w:rPr>
        <w:sym w:font="Wingdings" w:char="00A8"/>
      </w:r>
      <w:r>
        <w:rPr>
          <w:rFonts w:hint="eastAsia" w:ascii="宋体" w:hAnsi="宋体" w:cs="宋体"/>
          <w:kern w:val="0"/>
          <w:szCs w:val="21"/>
        </w:rPr>
        <w:t xml:space="preserve">框架协议 </w:t>
      </w:r>
      <w:r>
        <w:rPr>
          <w:rFonts w:hint="eastAsia" w:ascii="宋体" w:hAnsi="宋体" w:cs="宋体"/>
          <w:kern w:val="0"/>
          <w:szCs w:val="21"/>
        </w:rPr>
        <w:sym w:font="Wingdings" w:char="00A8"/>
      </w:r>
      <w:r>
        <w:rPr>
          <w:rFonts w:hint="eastAsia" w:ascii="宋体" w:hAnsi="宋体" w:cs="宋体"/>
          <w:kern w:val="0"/>
          <w:szCs w:val="21"/>
        </w:rPr>
        <w:t>其他：</w:t>
      </w:r>
      <w:r>
        <w:rPr>
          <w:rFonts w:hint="eastAsia" w:ascii="宋体" w:hAnsi="宋体" w:cs="宋体"/>
          <w:kern w:val="0"/>
          <w:szCs w:val="21"/>
          <w:u w:val="single"/>
        </w:rPr>
        <w:t xml:space="preserve">          </w:t>
      </w:r>
    </w:p>
    <w:p>
      <w:pPr>
        <w:widowControl/>
        <w:numPr>
          <w:ilvl w:val="255"/>
          <w:numId w:val="0"/>
        </w:numPr>
        <w:autoSpaceDE w:val="0"/>
        <w:autoSpaceDN w:val="0"/>
        <w:adjustRightInd w:val="0"/>
        <w:snapToGrid w:val="0"/>
        <w:spacing w:line="420" w:lineRule="exact"/>
        <w:ind w:firstLine="283" w:firstLineChars="135"/>
        <w:jc w:val="left"/>
        <w:rPr>
          <w:rFonts w:ascii="宋体" w:hAnsi="宋体"/>
          <w:szCs w:val="21"/>
        </w:rPr>
      </w:pPr>
      <w:r>
        <w:rPr>
          <w:rFonts w:hint="eastAsia" w:ascii="宋体" w:hAnsi="宋体" w:cs="华文楷体"/>
          <w:kern w:val="0"/>
          <w:szCs w:val="21"/>
        </w:rPr>
        <w:t>（6）</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numPr>
          <w:ilvl w:val="255"/>
          <w:numId w:val="0"/>
        </w:numPr>
        <w:adjustRightInd w:val="0"/>
        <w:snapToGrid w:val="0"/>
        <w:spacing w:line="42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snapToGrid w:val="0"/>
        <w:spacing w:line="42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409" w:firstLineChars="195"/>
        <w:rPr>
          <w:rFonts w:ascii="宋体" w:hAnsi="宋体"/>
          <w:szCs w:val="21"/>
        </w:rPr>
      </w:pPr>
      <w:r>
        <w:rPr>
          <w:rFonts w:hint="eastAsia" w:ascii="宋体" w:hAnsi="宋体"/>
          <w:szCs w:val="21"/>
        </w:rPr>
        <w:t>(</w:t>
      </w:r>
      <w:r>
        <w:rPr>
          <w:rFonts w:ascii="宋体" w:hAnsi="宋体"/>
          <w:szCs w:val="21"/>
          <w:lang w:val="en"/>
        </w:rPr>
        <w:t>7</w:t>
      </w:r>
      <w:r>
        <w:rPr>
          <w:rFonts w:ascii="宋体" w:hAnsi="宋体"/>
          <w:szCs w:val="21"/>
        </w:rPr>
        <w:t>）</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分包主要内容：</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分包供应商/制造商名称（如供应商和制造商不同，请分别填写）：</w:t>
      </w:r>
    </w:p>
    <w:p>
      <w:pPr>
        <w:adjustRightInd w:val="0"/>
        <w:snapToGrid w:val="0"/>
        <w:spacing w:line="42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t>分包供应商/制造商类型（如果供应商和制造商不同，只填写制造商类型）：</w:t>
      </w:r>
    </w:p>
    <w:p>
      <w:pPr>
        <w:adjustRightInd w:val="0"/>
        <w:snapToGrid w:val="0"/>
        <w:spacing w:line="420" w:lineRule="exact"/>
        <w:ind w:firstLine="840" w:firstLineChars="400"/>
        <w:rPr>
          <w:rFonts w:ascii="宋体" w:hAnsi="宋体"/>
          <w:iCs/>
          <w:szCs w:val="21"/>
        </w:rPr>
      </w:pP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p>
    <w:p>
      <w:pPr>
        <w:adjustRightInd w:val="0"/>
        <w:snapToGrid w:val="0"/>
        <w:spacing w:line="420" w:lineRule="exact"/>
        <w:ind w:firstLine="735" w:firstLineChars="35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pPr>
        <w:numPr>
          <w:ilvl w:val="255"/>
          <w:numId w:val="0"/>
        </w:numPr>
        <w:adjustRightInd w:val="0"/>
        <w:snapToGrid w:val="0"/>
        <w:spacing w:line="42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pPr>
        <w:widowControl/>
        <w:tabs>
          <w:tab w:val="left" w:pos="1340"/>
        </w:tabs>
        <w:autoSpaceDE w:val="0"/>
        <w:autoSpaceDN w:val="0"/>
        <w:adjustRightInd w:val="0"/>
        <w:spacing w:line="420" w:lineRule="exact"/>
        <w:ind w:firstLine="420" w:firstLineChars="200"/>
        <w:jc w:val="left"/>
        <w:rPr>
          <w:rFonts w:ascii="宋体" w:hAnsi="宋体" w:cs="宋体"/>
          <w:kern w:val="0"/>
          <w:szCs w:val="21"/>
          <w:u w:val="single"/>
        </w:rPr>
      </w:pPr>
      <w:r>
        <w:rPr>
          <w:rFonts w:hint="eastAsia" w:ascii="宋体" w:hAnsi="宋体" w:cs="宋体"/>
          <w:kern w:val="0"/>
          <w:szCs w:val="21"/>
        </w:rPr>
        <w:t xml:space="preserve">    外商投资企业类型：</w:t>
      </w:r>
      <w:r>
        <w:rPr>
          <w:rFonts w:hint="eastAsia" w:ascii="宋体" w:hAnsi="宋体" w:cs="宋体"/>
          <w:iCs/>
          <w:kern w:val="0"/>
          <w:szCs w:val="21"/>
        </w:rPr>
        <w:sym w:font="Wingdings" w:char="00A8"/>
      </w:r>
      <w:r>
        <w:rPr>
          <w:rFonts w:hint="eastAsia" w:ascii="宋体" w:hAnsi="宋体" w:cs="宋体"/>
          <w:kern w:val="0"/>
          <w:szCs w:val="21"/>
        </w:rPr>
        <w:t xml:space="preserve">全部由外国投资者投资  </w:t>
      </w:r>
      <w:r>
        <w:rPr>
          <w:rFonts w:hint="eastAsia" w:ascii="宋体" w:hAnsi="宋体" w:cs="宋体"/>
          <w:iCs/>
          <w:kern w:val="0"/>
          <w:szCs w:val="21"/>
        </w:rPr>
        <w:sym w:font="Wingdings" w:char="00A8"/>
      </w:r>
      <w:r>
        <w:rPr>
          <w:rFonts w:hint="eastAsia" w:ascii="宋体" w:hAnsi="宋体" w:cs="宋体"/>
          <w:iCs/>
          <w:kern w:val="0"/>
          <w:szCs w:val="21"/>
        </w:rPr>
        <w:t>部分由外国投资者投资</w:t>
      </w:r>
    </w:p>
    <w:p>
      <w:pPr>
        <w:numPr>
          <w:ilvl w:val="255"/>
          <w:numId w:val="0"/>
        </w:numPr>
        <w:adjustRightInd w:val="0"/>
        <w:snapToGrid w:val="0"/>
        <w:spacing w:line="420" w:lineRule="exact"/>
        <w:ind w:firstLine="304" w:firstLineChars="145"/>
        <w:rPr>
          <w:rFonts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pPr>
        <w:numPr>
          <w:ilvl w:val="255"/>
          <w:numId w:val="0"/>
        </w:numPr>
        <w:adjustRightInd w:val="0"/>
        <w:snapToGrid w:val="0"/>
        <w:spacing w:line="420" w:lineRule="exact"/>
        <w:ind w:firstLine="735" w:firstLineChars="35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pPr>
        <w:numPr>
          <w:ilvl w:val="255"/>
          <w:numId w:val="0"/>
        </w:numPr>
        <w:adjustRightInd w:val="0"/>
        <w:snapToGrid w:val="0"/>
        <w:spacing w:line="420" w:lineRule="exact"/>
        <w:ind w:firstLine="840" w:firstLineChars="400"/>
        <w:rPr>
          <w:rFonts w:ascii="宋体" w:hAnsi="宋体"/>
          <w:szCs w:val="21"/>
        </w:rPr>
      </w:pPr>
      <w:r>
        <w:rPr>
          <w:rFonts w:hint="eastAsia" w:ascii="宋体" w:hAnsi="宋体" w:cs="宋体"/>
          <w:szCs w:val="21"/>
        </w:rPr>
        <w:t>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p>
    <w:p>
      <w:pPr>
        <w:adjustRightInd w:val="0"/>
        <w:snapToGrid w:val="0"/>
        <w:spacing w:line="42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是否涉及环境标志产品：</w:t>
      </w:r>
    </w:p>
    <w:p>
      <w:pPr>
        <w:numPr>
          <w:ilvl w:val="255"/>
          <w:numId w:val="0"/>
        </w:numPr>
        <w:tabs>
          <w:tab w:val="left" w:pos="740"/>
        </w:tabs>
        <w:adjustRightInd w:val="0"/>
        <w:snapToGrid w:val="0"/>
        <w:spacing w:line="42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widowControl/>
        <w:numPr>
          <w:ilvl w:val="255"/>
          <w:numId w:val="0"/>
        </w:numPr>
        <w:autoSpaceDE w:val="0"/>
        <w:autoSpaceDN w:val="0"/>
        <w:adjustRightInd w:val="0"/>
        <w:snapToGrid w:val="0"/>
        <w:spacing w:line="420" w:lineRule="exact"/>
        <w:jc w:val="left"/>
        <w:rPr>
          <w:rFonts w:ascii="宋体" w:hAnsi="宋体"/>
          <w:szCs w:val="21"/>
        </w:rPr>
      </w:pPr>
      <w:r>
        <w:rPr>
          <w:rFonts w:hint="eastAsia" w:ascii="宋体" w:hAnsi="宋体" w:eastAsia="华文楷体" w:cs="华文楷体"/>
          <w:kern w:val="0"/>
          <w:szCs w:val="21"/>
        </w:rPr>
        <w:t xml:space="preserve">        </w:t>
      </w:r>
      <w:r>
        <w:rPr>
          <w:rFonts w:hint="eastAsia" w:ascii="宋体" w:hAnsi="宋体"/>
          <w:szCs w:val="21"/>
        </w:rPr>
        <w:t xml:space="preserve">是否涉及绿色产品： </w:t>
      </w:r>
    </w:p>
    <w:p>
      <w:pPr>
        <w:widowControl/>
        <w:autoSpaceDE w:val="0"/>
        <w:autoSpaceDN w:val="0"/>
        <w:adjustRightInd w:val="0"/>
        <w:spacing w:line="420" w:lineRule="exact"/>
        <w:ind w:firstLine="420"/>
        <w:jc w:val="left"/>
        <w:rPr>
          <w:rFonts w:ascii="宋体" w:hAnsi="宋体" w:cs="华文楷体"/>
          <w:kern w:val="0"/>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kern w:val="0"/>
          <w:sz w:val="22"/>
          <w:szCs w:val="21"/>
          <w:u w:val="single"/>
        </w:rPr>
        <w:t xml:space="preserve">                    </w:t>
      </w:r>
    </w:p>
    <w:p>
      <w:pPr>
        <w:numPr>
          <w:ilvl w:val="255"/>
          <w:numId w:val="0"/>
        </w:numPr>
        <w:tabs>
          <w:tab w:val="left" w:pos="740"/>
        </w:tabs>
        <w:adjustRightInd w:val="0"/>
        <w:snapToGrid w:val="0"/>
        <w:spacing w:line="42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r>
        <w:rPr>
          <w:rFonts w:hint="eastAsia" w:ascii="宋体" w:hAnsi="宋体"/>
          <w:szCs w:val="21"/>
        </w:rPr>
        <w:sym w:font="Wingdings" w:char="00A8"/>
      </w:r>
      <w:r>
        <w:rPr>
          <w:rFonts w:hint="eastAsia" w:ascii="宋体" w:hAnsi="宋体"/>
          <w:szCs w:val="21"/>
        </w:rPr>
        <w:t>否</w:t>
      </w:r>
    </w:p>
    <w:p>
      <w:pPr>
        <w:numPr>
          <w:ilvl w:val="255"/>
          <w:numId w:val="0"/>
        </w:numPr>
        <w:adjustRightInd w:val="0"/>
        <w:snapToGrid w:val="0"/>
        <w:spacing w:line="420" w:lineRule="exact"/>
        <w:ind w:firstLine="315" w:firstLineChars="150"/>
        <w:rPr>
          <w:rFonts w:ascii="宋体" w:hAnsi="宋体"/>
          <w:szCs w:val="21"/>
        </w:rPr>
      </w:pPr>
      <w:r>
        <w:rPr>
          <w:rFonts w:hint="eastAsia" w:ascii="宋体" w:hAnsi="宋体"/>
          <w:szCs w:val="21"/>
        </w:rPr>
        <w:t>（1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pPr>
        <w:numPr>
          <w:ilvl w:val="0"/>
          <w:numId w:val="4"/>
        </w:numPr>
        <w:adjustRightInd w:val="0"/>
        <w:snapToGrid w:val="0"/>
        <w:spacing w:line="420" w:lineRule="exact"/>
        <w:ind w:firstLine="422" w:firstLineChars="200"/>
        <w:rPr>
          <w:rFonts w:ascii="宋体" w:hAnsi="宋体"/>
          <w:b/>
          <w:szCs w:val="21"/>
        </w:rPr>
      </w:pPr>
      <w:r>
        <w:rPr>
          <w:rFonts w:hint="eastAsia" w:ascii="宋体" w:hAnsi="宋体"/>
          <w:b/>
          <w:szCs w:val="21"/>
        </w:rPr>
        <w:t>合同金额</w:t>
      </w:r>
    </w:p>
    <w:p>
      <w:pPr>
        <w:adjustRightInd w:val="0"/>
        <w:snapToGrid w:val="0"/>
        <w:spacing w:line="42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pPr>
        <w:adjustRightInd w:val="0"/>
        <w:snapToGrid w:val="0"/>
        <w:spacing w:line="42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pPr>
        <w:adjustRightInd w:val="0"/>
        <w:snapToGrid w:val="0"/>
        <w:spacing w:line="420" w:lineRule="exact"/>
        <w:rPr>
          <w:rFonts w:ascii="宋体" w:hAnsi="宋体"/>
          <w:szCs w:val="21"/>
        </w:rPr>
      </w:pPr>
      <w:r>
        <w:rPr>
          <w:rFonts w:hint="eastAsia" w:ascii="宋体" w:hAnsi="宋体"/>
          <w:szCs w:val="21"/>
        </w:rPr>
        <w:t xml:space="preserve">    （注：固定单价合同应填写单价和最高限价）</w:t>
      </w:r>
    </w:p>
    <w:p>
      <w:pPr>
        <w:numPr>
          <w:ilvl w:val="255"/>
          <w:numId w:val="0"/>
        </w:numPr>
        <w:adjustRightInd w:val="0"/>
        <w:snapToGrid w:val="0"/>
        <w:spacing w:line="420" w:lineRule="exact"/>
        <w:rPr>
          <w:rFonts w:ascii="宋体" w:hAnsi="宋体"/>
          <w:szCs w:val="21"/>
        </w:rPr>
      </w:pPr>
      <w:r>
        <w:rPr>
          <w:rFonts w:hint="eastAsia" w:ascii="宋体" w:hAnsi="宋体"/>
          <w:szCs w:val="21"/>
        </w:rPr>
        <w:t xml:space="preserve">    （2）合同定价方式（采用组合定价方式的，可以勾选多项）：</w:t>
      </w:r>
    </w:p>
    <w:p>
      <w:pPr>
        <w:adjustRightInd w:val="0"/>
        <w:snapToGrid w:val="0"/>
        <w:spacing w:line="42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pPr>
        <w:spacing w:line="420" w:lineRule="exact"/>
        <w:ind w:firstLine="420" w:firstLineChars="200"/>
        <w:rPr>
          <w:szCs w:val="21"/>
        </w:rPr>
      </w:pPr>
      <w:r>
        <w:rPr>
          <w:rFonts w:hint="eastAsia" w:ascii="宋体" w:hAnsi="宋体"/>
          <w:szCs w:val="21"/>
        </w:rPr>
        <w:t>（3）付款方式（按项目实际勾选填写）：</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pPr>
        <w:snapToGrid w:val="0"/>
        <w:spacing w:line="42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w:t>
      </w:r>
      <w:r>
        <w:rPr>
          <w:rFonts w:hint="eastAsia" w:ascii="宋体" w:hAnsi="宋体"/>
          <w:szCs w:val="21"/>
        </w:rPr>
        <w:t>，其中涉及预付款的：</w:t>
      </w:r>
      <w:r>
        <w:rPr>
          <w:rFonts w:hint="eastAsia" w:ascii="宋体" w:hAnsi="宋体"/>
          <w:szCs w:val="21"/>
          <w:u w:val="single"/>
        </w:rPr>
        <w:t xml:space="preserve"> （应明确预付款的支付比例和支付条件）</w:t>
      </w:r>
    </w:p>
    <w:p>
      <w:pPr>
        <w:adjustRightInd w:val="0"/>
        <w:snapToGrid w:val="0"/>
        <w:spacing w:line="42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adjustRightInd w:val="0"/>
        <w:snapToGrid w:val="0"/>
        <w:spacing w:line="42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numPr>
          <w:ilvl w:val="0"/>
          <w:numId w:val="4"/>
        </w:numPr>
        <w:adjustRightInd w:val="0"/>
        <w:snapToGrid w:val="0"/>
        <w:spacing w:line="420" w:lineRule="exact"/>
        <w:ind w:firstLine="422" w:firstLineChars="200"/>
        <w:rPr>
          <w:rFonts w:ascii="宋体" w:hAnsi="宋体"/>
          <w:b/>
          <w:szCs w:val="21"/>
          <w:u w:val="single"/>
        </w:rPr>
      </w:pPr>
      <w:r>
        <w:rPr>
          <w:rFonts w:hint="eastAsia" w:ascii="宋体" w:hAnsi="宋体"/>
          <w:b/>
          <w:szCs w:val="21"/>
        </w:rPr>
        <w:t>合同履行</w:t>
      </w:r>
    </w:p>
    <w:p>
      <w:pPr>
        <w:adjustRightInd w:val="0"/>
        <w:snapToGrid w:val="0"/>
        <w:spacing w:line="420" w:lineRule="exact"/>
        <w:ind w:firstLine="199" w:firstLineChars="95"/>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pPr>
        <w:adjustRightInd w:val="0"/>
        <w:snapToGrid w:val="0"/>
        <w:spacing w:line="420" w:lineRule="exact"/>
        <w:ind w:firstLine="199" w:firstLineChars="95"/>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pPr>
        <w:widowControl/>
        <w:autoSpaceDE w:val="0"/>
        <w:autoSpaceDN w:val="0"/>
        <w:adjustRightInd w:val="0"/>
        <w:spacing w:line="420" w:lineRule="exact"/>
        <w:ind w:firstLine="440" w:firstLineChars="200"/>
        <w:jc w:val="left"/>
        <w:rPr>
          <w:rFonts w:ascii="宋体" w:hAnsi="宋体" w:cs="宋体"/>
          <w:kern w:val="0"/>
          <w:szCs w:val="21"/>
        </w:rPr>
      </w:pPr>
      <w:r>
        <w:rPr>
          <w:rFonts w:hint="eastAsia" w:ascii="宋体" w:hAnsi="宋体" w:eastAsia="华文楷体" w:cs="宋体"/>
          <w:bCs/>
          <w:kern w:val="0"/>
          <w:sz w:val="22"/>
          <w:szCs w:val="21"/>
        </w:rPr>
        <w:t xml:space="preserve"> </w:t>
      </w:r>
      <w:r>
        <w:rPr>
          <w:rFonts w:hint="eastAsia" w:ascii="宋体" w:hAnsi="宋体" w:cs="宋体"/>
          <w:kern w:val="0"/>
          <w:szCs w:val="21"/>
        </w:rPr>
        <w:t xml:space="preserve">  收取履约保证金形式：</w:t>
      </w:r>
      <w:r>
        <w:rPr>
          <w:rFonts w:hint="eastAsia" w:ascii="宋体" w:hAnsi="宋体" w:cs="宋体"/>
          <w:bCs/>
          <w:kern w:val="0"/>
          <w:szCs w:val="21"/>
          <w:u w:val="single"/>
        </w:rPr>
        <w:t xml:space="preserve">                                  </w:t>
      </w:r>
    </w:p>
    <w:p>
      <w:pPr>
        <w:widowControl/>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   收取履约保证金金额：</w:t>
      </w:r>
      <w:r>
        <w:rPr>
          <w:rFonts w:hint="eastAsia" w:ascii="宋体" w:hAnsi="宋体" w:cs="宋体"/>
          <w:bCs/>
          <w:kern w:val="0"/>
          <w:szCs w:val="21"/>
          <w:u w:val="single"/>
        </w:rPr>
        <w:t xml:space="preserve">                                  </w:t>
      </w:r>
    </w:p>
    <w:p>
      <w:pPr>
        <w:snapToGrid w:val="0"/>
        <w:spacing w:line="42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pPr>
        <w:adjustRightInd w:val="0"/>
        <w:snapToGrid w:val="0"/>
        <w:spacing w:line="420" w:lineRule="exact"/>
        <w:ind w:firstLine="199" w:firstLineChars="95"/>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pPr>
        <w:numPr>
          <w:ilvl w:val="0"/>
          <w:numId w:val="4"/>
        </w:numPr>
        <w:adjustRightInd w:val="0"/>
        <w:snapToGrid w:val="0"/>
        <w:spacing w:line="420" w:lineRule="exact"/>
        <w:ind w:firstLine="422" w:firstLineChars="200"/>
        <w:rPr>
          <w:rFonts w:ascii="宋体" w:hAnsi="宋体"/>
          <w:b/>
          <w:szCs w:val="21"/>
        </w:rPr>
      </w:pPr>
      <w:r>
        <w:rPr>
          <w:rFonts w:hint="eastAsia" w:ascii="宋体" w:hAnsi="宋体"/>
          <w:b/>
          <w:szCs w:val="21"/>
        </w:rPr>
        <w:t>合同验收</w:t>
      </w:r>
    </w:p>
    <w:p>
      <w:pPr>
        <w:adjustRightInd w:val="0"/>
        <w:snapToGrid w:val="0"/>
        <w:spacing w:line="420" w:lineRule="exact"/>
        <w:ind w:firstLine="210" w:firstLineChars="100"/>
        <w:rPr>
          <w:rFonts w:ascii="宋体" w:hAnsi="宋体"/>
          <w:bCs/>
          <w:szCs w:val="21"/>
        </w:rPr>
      </w:pPr>
      <w:r>
        <w:rPr>
          <w:rFonts w:hint="eastAsia" w:ascii="宋体" w:hAnsi="宋体"/>
          <w:bCs/>
          <w:szCs w:val="21"/>
        </w:rPr>
        <w:t>（1）验收组织方式：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pPr>
        <w:adjustRightInd w:val="0"/>
        <w:snapToGrid w:val="0"/>
        <w:spacing w:line="42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pPr>
        <w:adjustRightInd w:val="0"/>
        <w:snapToGrid w:val="0"/>
        <w:spacing w:line="42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pPr>
        <w:adjustRightInd w:val="0"/>
        <w:snapToGrid w:val="0"/>
        <w:spacing w:line="42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pPr>
        <w:adjustRightInd w:val="0"/>
        <w:snapToGrid w:val="0"/>
        <w:spacing w:line="420" w:lineRule="exact"/>
        <w:ind w:firstLine="210" w:firstLineChars="1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一次性验收</w:t>
      </w:r>
    </w:p>
    <w:p>
      <w:pPr>
        <w:adjustRightInd w:val="0"/>
        <w:snapToGrid w:val="0"/>
        <w:spacing w:line="42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20" w:lineRule="exact"/>
        <w:ind w:firstLine="210" w:firstLineChars="1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widowControl/>
        <w:autoSpaceDE w:val="0"/>
        <w:autoSpaceDN w:val="0"/>
        <w:adjustRightInd w:val="0"/>
        <w:spacing w:line="420" w:lineRule="exact"/>
        <w:ind w:firstLine="210" w:firstLineChars="100"/>
        <w:jc w:val="left"/>
        <w:rPr>
          <w:rFonts w:ascii="宋体" w:hAnsi="宋体" w:cs="宋体"/>
          <w:kern w:val="0"/>
          <w:szCs w:val="21"/>
        </w:rPr>
      </w:pPr>
      <w:r>
        <w:rPr>
          <w:rFonts w:hint="eastAsia" w:ascii="宋体" w:hAnsi="宋体" w:cs="宋体"/>
          <w:bCs/>
          <w:kern w:val="0"/>
          <w:szCs w:val="21"/>
        </w:rPr>
        <w:t>（7）是否以采购活动中供应商提供的样品作为参考：</w:t>
      </w:r>
      <w:r>
        <w:rPr>
          <w:rFonts w:hint="eastAsia" w:ascii="宋体" w:hAnsi="宋体" w:cs="宋体"/>
          <w:kern w:val="0"/>
          <w:szCs w:val="21"/>
        </w:rPr>
        <w:sym w:font="Wingdings" w:char="00A8"/>
      </w:r>
      <w:r>
        <w:rPr>
          <w:rFonts w:hint="eastAsia" w:ascii="宋体" w:hAnsi="宋体" w:cs="宋体"/>
          <w:bCs/>
          <w:kern w:val="0"/>
          <w:szCs w:val="21"/>
        </w:rPr>
        <w:t xml:space="preserve">是  </w:t>
      </w:r>
      <w:r>
        <w:rPr>
          <w:rFonts w:hint="eastAsia" w:ascii="宋体" w:hAnsi="宋体" w:cs="宋体"/>
          <w:kern w:val="0"/>
          <w:szCs w:val="21"/>
        </w:rPr>
        <w:sym w:font="Wingdings" w:char="00A8"/>
      </w:r>
      <w:r>
        <w:rPr>
          <w:rFonts w:hint="eastAsia" w:ascii="宋体" w:hAnsi="宋体" w:cs="宋体"/>
          <w:bCs/>
          <w:kern w:val="0"/>
          <w:szCs w:val="21"/>
        </w:rPr>
        <w:t>否</w:t>
      </w:r>
    </w:p>
    <w:p>
      <w:pPr>
        <w:adjustRightInd w:val="0"/>
        <w:snapToGrid w:val="0"/>
        <w:spacing w:line="420" w:lineRule="exact"/>
        <w:ind w:firstLine="210" w:firstLineChars="1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pPr>
        <w:numPr>
          <w:ilvl w:val="0"/>
          <w:numId w:val="4"/>
        </w:numPr>
        <w:adjustRightInd w:val="0"/>
        <w:snapToGrid w:val="0"/>
        <w:spacing w:line="420" w:lineRule="exact"/>
        <w:ind w:firstLine="422" w:firstLineChars="200"/>
        <w:rPr>
          <w:rFonts w:ascii="宋体" w:hAnsi="宋体"/>
          <w:b/>
          <w:szCs w:val="21"/>
        </w:rPr>
      </w:pPr>
      <w:r>
        <w:rPr>
          <w:rFonts w:hint="eastAsia" w:ascii="宋体" w:hAnsi="宋体"/>
          <w:b/>
          <w:szCs w:val="21"/>
        </w:rPr>
        <w:t>组成合同的文件</w:t>
      </w:r>
    </w:p>
    <w:p>
      <w:pPr>
        <w:adjustRightInd w:val="0"/>
        <w:snapToGrid w:val="0"/>
        <w:spacing w:line="42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adjustRightInd w:val="0"/>
        <w:snapToGrid w:val="0"/>
        <w:spacing w:line="420" w:lineRule="exact"/>
        <w:ind w:firstLine="210" w:firstLineChars="100"/>
        <w:rPr>
          <w:rFonts w:ascii="宋体" w:hAnsi="宋体"/>
          <w:szCs w:val="21"/>
        </w:rPr>
      </w:pPr>
      <w:r>
        <w:rPr>
          <w:rFonts w:hint="eastAsia" w:ascii="宋体" w:hAnsi="宋体"/>
          <w:szCs w:val="21"/>
        </w:rPr>
        <w:t>（1）政府采购合同协议书及其变更、补充协议</w:t>
      </w:r>
    </w:p>
    <w:p>
      <w:pPr>
        <w:adjustRightInd w:val="0"/>
        <w:snapToGrid w:val="0"/>
        <w:spacing w:line="420" w:lineRule="exact"/>
        <w:ind w:firstLine="210" w:firstLineChars="100"/>
        <w:rPr>
          <w:rFonts w:ascii="宋体" w:hAnsi="宋体"/>
          <w:szCs w:val="21"/>
        </w:rPr>
      </w:pPr>
      <w:r>
        <w:rPr>
          <w:rFonts w:hint="eastAsia" w:ascii="宋体" w:hAnsi="宋体"/>
          <w:szCs w:val="21"/>
        </w:rPr>
        <w:t>（2）政府采购合同专用条款</w:t>
      </w:r>
    </w:p>
    <w:p>
      <w:pPr>
        <w:adjustRightInd w:val="0"/>
        <w:snapToGrid w:val="0"/>
        <w:spacing w:line="420" w:lineRule="exact"/>
        <w:ind w:firstLine="210" w:firstLineChars="100"/>
        <w:rPr>
          <w:rFonts w:ascii="宋体" w:hAnsi="宋体"/>
          <w:szCs w:val="21"/>
        </w:rPr>
      </w:pPr>
      <w:r>
        <w:rPr>
          <w:rFonts w:hint="eastAsia" w:ascii="宋体" w:hAnsi="宋体"/>
          <w:szCs w:val="21"/>
        </w:rPr>
        <w:t>（3）政府采购合同通用条款</w:t>
      </w:r>
    </w:p>
    <w:p>
      <w:pPr>
        <w:adjustRightInd w:val="0"/>
        <w:snapToGrid w:val="0"/>
        <w:spacing w:line="420" w:lineRule="exact"/>
        <w:ind w:firstLine="210" w:firstLineChars="100"/>
        <w:rPr>
          <w:rFonts w:ascii="宋体" w:hAnsi="宋体"/>
          <w:szCs w:val="21"/>
        </w:rPr>
      </w:pPr>
      <w:r>
        <w:rPr>
          <w:rFonts w:hint="eastAsia" w:ascii="宋体" w:hAnsi="宋体"/>
          <w:szCs w:val="21"/>
        </w:rPr>
        <w:t>（4）中标（成交）通知书</w:t>
      </w:r>
    </w:p>
    <w:p>
      <w:pPr>
        <w:adjustRightInd w:val="0"/>
        <w:snapToGrid w:val="0"/>
        <w:spacing w:line="420" w:lineRule="exact"/>
        <w:ind w:firstLine="210" w:firstLineChars="100"/>
        <w:rPr>
          <w:rFonts w:ascii="宋体" w:hAnsi="宋体"/>
          <w:szCs w:val="21"/>
        </w:rPr>
      </w:pPr>
      <w:r>
        <w:rPr>
          <w:rFonts w:hint="eastAsia" w:ascii="宋体" w:hAnsi="宋体"/>
          <w:szCs w:val="21"/>
        </w:rPr>
        <w:t>（5）投标（响应）文件</w:t>
      </w:r>
    </w:p>
    <w:p>
      <w:pPr>
        <w:adjustRightInd w:val="0"/>
        <w:snapToGrid w:val="0"/>
        <w:spacing w:line="420" w:lineRule="exact"/>
        <w:ind w:firstLine="210" w:firstLineChars="100"/>
        <w:rPr>
          <w:rFonts w:ascii="宋体" w:hAnsi="宋体"/>
          <w:szCs w:val="21"/>
        </w:rPr>
      </w:pPr>
      <w:r>
        <w:rPr>
          <w:rFonts w:hint="eastAsia" w:ascii="宋体" w:hAnsi="宋体"/>
          <w:szCs w:val="21"/>
        </w:rPr>
        <w:t>（6）采购文件</w:t>
      </w:r>
    </w:p>
    <w:p>
      <w:pPr>
        <w:adjustRightInd w:val="0"/>
        <w:snapToGrid w:val="0"/>
        <w:spacing w:line="420" w:lineRule="exact"/>
        <w:ind w:firstLine="210" w:firstLineChars="100"/>
        <w:rPr>
          <w:rFonts w:ascii="宋体" w:hAnsi="宋体"/>
          <w:szCs w:val="21"/>
        </w:rPr>
      </w:pPr>
      <w:r>
        <w:rPr>
          <w:rFonts w:hint="eastAsia" w:ascii="宋体" w:hAnsi="宋体"/>
          <w:szCs w:val="21"/>
        </w:rPr>
        <w:t>（7）有关技术文件，图纸</w:t>
      </w:r>
    </w:p>
    <w:p>
      <w:pPr>
        <w:widowControl/>
        <w:autoSpaceDE w:val="0"/>
        <w:autoSpaceDN w:val="0"/>
        <w:adjustRightInd w:val="0"/>
        <w:spacing w:line="420" w:lineRule="exact"/>
        <w:ind w:firstLine="210" w:firstLineChars="100"/>
        <w:jc w:val="left"/>
        <w:rPr>
          <w:rFonts w:ascii="宋体" w:hAnsi="宋体" w:cs="宋体"/>
          <w:szCs w:val="21"/>
        </w:rPr>
      </w:pPr>
      <w:r>
        <w:rPr>
          <w:rFonts w:hint="eastAsia" w:ascii="宋体" w:hAnsi="宋体" w:cs="宋体"/>
          <w:kern w:val="0"/>
          <w:szCs w:val="21"/>
        </w:rPr>
        <w:t>（8）</w:t>
      </w:r>
      <w:r>
        <w:rPr>
          <w:rFonts w:hint="eastAsia" w:ascii="宋体" w:hAnsi="宋体" w:cs="宋体"/>
          <w:szCs w:val="21"/>
        </w:rPr>
        <w:t>国家法律、行政法规和规章制度规定或合同约定的作为合同组成部分的其他文件</w:t>
      </w:r>
    </w:p>
    <w:p>
      <w:pPr>
        <w:numPr>
          <w:ilvl w:val="0"/>
          <w:numId w:val="4"/>
        </w:numPr>
        <w:adjustRightInd w:val="0"/>
        <w:snapToGrid w:val="0"/>
        <w:spacing w:line="420" w:lineRule="exact"/>
        <w:ind w:firstLine="422" w:firstLineChars="200"/>
        <w:rPr>
          <w:rFonts w:ascii="宋体" w:hAnsi="宋体"/>
          <w:b/>
          <w:szCs w:val="21"/>
        </w:rPr>
      </w:pPr>
      <w:r>
        <w:rPr>
          <w:rFonts w:hint="eastAsia" w:ascii="宋体" w:hAnsi="宋体"/>
          <w:b/>
          <w:szCs w:val="21"/>
        </w:rPr>
        <w:t>合同生效</w:t>
      </w:r>
    </w:p>
    <w:p>
      <w:pPr>
        <w:adjustRightInd w:val="0"/>
        <w:snapToGrid w:val="0"/>
        <w:spacing w:line="42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numPr>
          <w:ilvl w:val="0"/>
          <w:numId w:val="4"/>
        </w:numPr>
        <w:adjustRightInd w:val="0"/>
        <w:snapToGrid w:val="0"/>
        <w:spacing w:line="420" w:lineRule="exact"/>
        <w:ind w:firstLine="422" w:firstLineChars="200"/>
        <w:rPr>
          <w:rFonts w:ascii="宋体" w:hAnsi="宋体"/>
          <w:b/>
          <w:szCs w:val="21"/>
        </w:rPr>
      </w:pPr>
      <w:r>
        <w:rPr>
          <w:rFonts w:hint="eastAsia" w:ascii="宋体" w:hAnsi="宋体"/>
          <w:b/>
          <w:szCs w:val="21"/>
        </w:rPr>
        <w:t>合同份数</w:t>
      </w:r>
    </w:p>
    <w:p>
      <w:pPr>
        <w:adjustRightInd w:val="0"/>
        <w:snapToGrid w:val="0"/>
        <w:spacing w:line="42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pPr>
        <w:adjustRightInd w:val="0"/>
        <w:snapToGrid w:val="0"/>
        <w:spacing w:line="42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42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adjustRightInd w:val="0"/>
        <w:snapToGrid w:val="0"/>
        <w:spacing w:line="420" w:lineRule="exact"/>
        <w:ind w:firstLine="420" w:firstLineChars="200"/>
      </w:pPr>
      <w:r>
        <w:rPr>
          <w:rFonts w:hint="eastAsia" w:ascii="宋体" w:hAnsi="宋体"/>
          <w:szCs w:val="21"/>
        </w:rPr>
        <w:t>附件：具体标的及其技术要求和商务要求、联合协议、分包意向协议等。</w:t>
      </w:r>
    </w:p>
    <w:p>
      <w:pPr>
        <w:widowControl/>
        <w:spacing w:line="420" w:lineRule="exact"/>
        <w:jc w:val="left"/>
        <w:rPr>
          <w:szCs w:val="21"/>
        </w:rPr>
      </w:pPr>
      <w:r>
        <w:rPr>
          <w:szCs w:val="21"/>
        </w:rPr>
        <w:br w:type="page"/>
      </w:r>
    </w:p>
    <w:tbl>
      <w:tblPr>
        <w:tblStyle w:val="35"/>
        <w:tblW w:w="9990" w:type="dxa"/>
        <w:tblInd w:w="113"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54" w:hRule="atLeast"/>
        </w:trPr>
        <w:tc>
          <w:tcPr>
            <w:tcW w:w="5119" w:type="dxa"/>
            <w:gridSpan w:val="2"/>
            <w:tcBorders>
              <w:bottom w:val="single" w:color="auto" w:sz="2" w:space="0"/>
              <w:right w:val="single" w:color="auto" w:sz="2" w:space="0"/>
            </w:tcBorders>
            <w:vAlign w:val="center"/>
          </w:tcPr>
          <w:p>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pPr>
              <w:adjustRightInd w:val="0"/>
              <w:snapToGrid w:val="0"/>
              <w:spacing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32"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szCs w:val="21"/>
              </w:rPr>
            </w:pPr>
            <w:r>
              <w:rPr>
                <w:szCs w:val="21"/>
              </w:rPr>
              <w:t>法定代表人</w:t>
            </w:r>
          </w:p>
          <w:p>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225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45" w:hRule="atLeast"/>
        </w:trPr>
        <w:tc>
          <w:tcPr>
            <w:tcW w:w="9990" w:type="dxa"/>
            <w:gridSpan w:val="4"/>
            <w:tcBorders>
              <w:top w:val="single" w:color="auto" w:sz="2" w:space="0"/>
            </w:tcBorders>
            <w:vAlign w:val="center"/>
          </w:tcPr>
          <w:p>
            <w:pPr>
              <w:adjustRightInd w:val="0"/>
              <w:snapToGrid w:val="0"/>
              <w:spacing w:before="156" w:beforeLines="50" w:line="360" w:lineRule="auto"/>
              <w:jc w:val="left"/>
              <w:rPr>
                <w:spacing w:val="20"/>
                <w:szCs w:val="21"/>
              </w:rPr>
            </w:pPr>
            <w:r>
              <w:rPr>
                <w:rFonts w:hint="eastAsia" w:ascii="宋体" w:hAnsi="宋体"/>
                <w:szCs w:val="21"/>
              </w:rPr>
              <w:t>注：涉及联合体或其他合同主体的信息应按上表格式加列。</w:t>
            </w:r>
          </w:p>
        </w:tc>
      </w:tr>
    </w:tbl>
    <w:p>
      <w:pPr>
        <w:keepNext/>
        <w:keepLines/>
        <w:adjustRightInd w:val="0"/>
        <w:snapToGrid w:val="0"/>
        <w:spacing w:before="156" w:beforeLines="50" w:line="360" w:lineRule="auto"/>
        <w:jc w:val="center"/>
        <w:outlineLvl w:val="1"/>
        <w:rPr>
          <w:rFonts w:ascii="黑体" w:hAnsi="黑体" w:eastAsia="黑体"/>
          <w:b/>
          <w:bCs/>
          <w:sz w:val="28"/>
          <w:szCs w:val="28"/>
        </w:rPr>
      </w:pPr>
      <w:r>
        <w:rPr>
          <w:rFonts w:ascii="宋体" w:hAnsi="宋体"/>
          <w:b/>
          <w:bCs/>
          <w:szCs w:val="21"/>
          <w:u w:val="single"/>
        </w:rPr>
        <w:br w:type="page"/>
      </w:r>
      <w:bookmarkStart w:id="135" w:name="_Toc27624"/>
      <w:r>
        <w:rPr>
          <w:rFonts w:hint="eastAsia" w:ascii="黑体" w:hAnsi="黑体" w:eastAsia="黑体"/>
          <w:sz w:val="28"/>
          <w:szCs w:val="28"/>
        </w:rPr>
        <w:t>第二节 政府采购合同通用条款</w:t>
      </w:r>
      <w:bookmarkEnd w:id="135"/>
    </w:p>
    <w:p>
      <w:pPr>
        <w:tabs>
          <w:tab w:val="left" w:pos="8820"/>
          <w:tab w:val="left" w:pos="9345"/>
          <w:tab w:val="left" w:pos="9765"/>
        </w:tabs>
        <w:adjustRightInd w:val="0"/>
        <w:snapToGrid w:val="0"/>
        <w:spacing w:line="42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1.1合同当事人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1.2本合同下列术语应解释为：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pPr>
        <w:adjustRightInd w:val="0"/>
        <w:snapToGrid w:val="0"/>
        <w:spacing w:line="406"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pPr>
        <w:adjustRightInd w:val="0"/>
        <w:snapToGrid w:val="0"/>
        <w:spacing w:line="406"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pPr>
        <w:tabs>
          <w:tab w:val="left" w:pos="570"/>
          <w:tab w:val="left" w:pos="9240"/>
          <w:tab w:val="left" w:pos="9555"/>
        </w:tabs>
        <w:adjustRightInd w:val="0"/>
        <w:snapToGrid w:val="0"/>
        <w:spacing w:line="406"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pPr>
        <w:numPr>
          <w:ilvl w:val="0"/>
          <w:numId w:val="5"/>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sz w:val="24"/>
        </w:rPr>
        <w:t>合同标的及金额</w:t>
      </w:r>
    </w:p>
    <w:p>
      <w:pPr>
        <w:autoSpaceDE w:val="0"/>
        <w:autoSpaceDN w:val="0"/>
        <w:adjustRightInd w:val="0"/>
        <w:snapToGrid w:val="0"/>
        <w:spacing w:line="406"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pPr>
        <w:adjustRightInd w:val="0"/>
        <w:snapToGrid w:val="0"/>
        <w:spacing w:line="406" w:lineRule="exact"/>
        <w:jc w:val="left"/>
        <w:rPr>
          <w:rFonts w:ascii="宋体" w:hAnsi="宋体"/>
          <w:b/>
          <w:sz w:val="24"/>
        </w:rPr>
      </w:pPr>
      <w:r>
        <w:rPr>
          <w:rFonts w:hint="eastAsia" w:ascii="宋体" w:hAnsi="宋体"/>
          <w:b/>
          <w:sz w:val="24"/>
        </w:rPr>
        <w:t>3. 履行合同的时间、地点和方式</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4. 甲方的权利和义务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pPr>
        <w:snapToGrid w:val="0"/>
        <w:spacing w:line="406"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5. 乙方的权利和义务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pPr>
        <w:spacing w:line="406" w:lineRule="exact"/>
        <w:ind w:firstLine="369"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pPr>
        <w:numPr>
          <w:ilvl w:val="0"/>
          <w:numId w:val="6"/>
        </w:numPr>
        <w:autoSpaceDE w:val="0"/>
        <w:autoSpaceDN w:val="0"/>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pPr>
        <w:autoSpaceDE w:val="0"/>
        <w:autoSpaceDN w:val="0"/>
        <w:adjustRightInd w:val="0"/>
        <w:snapToGrid w:val="0"/>
        <w:spacing w:line="406"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6" w:lineRule="exact"/>
        <w:jc w:val="left"/>
        <w:rPr>
          <w:rFonts w:ascii="宋体" w:hAnsi="宋体"/>
          <w:b/>
          <w:bCs/>
          <w:sz w:val="24"/>
        </w:rPr>
      </w:pPr>
      <w:r>
        <w:rPr>
          <w:rFonts w:hint="eastAsia" w:ascii="宋体" w:hAnsi="宋体"/>
          <w:b/>
          <w:bCs/>
          <w:sz w:val="24"/>
        </w:rPr>
        <w:t>7. 货物包装、运输、保险和交付要求</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pPr>
        <w:widowControl/>
        <w:autoSpaceDE w:val="0"/>
        <w:autoSpaceDN w:val="0"/>
        <w:adjustRightInd w:val="0"/>
        <w:spacing w:line="406" w:lineRule="exact"/>
        <w:ind w:firstLine="420" w:firstLineChars="200"/>
        <w:jc w:val="left"/>
        <w:rPr>
          <w:rFonts w:ascii="华文楷体" w:hAnsi="华文楷体" w:eastAsia="华文楷体" w:cs="华文楷体"/>
          <w:kern w:val="0"/>
          <w:szCs w:val="21"/>
        </w:rPr>
      </w:pPr>
      <w:r>
        <w:rPr>
          <w:rFonts w:hint="eastAsia" w:ascii="宋体" w:hAnsi="宋体"/>
          <w:szCs w:val="21"/>
        </w:rPr>
        <w:t>7.6 如因包装、运输问题导致货物损毁、丢失或者品质下降，甲方有权要求降价、换货、拒收部分或整批货物，由此产生的费用和损失，均由乙方承担。</w:t>
      </w:r>
    </w:p>
    <w:p>
      <w:pPr>
        <w:adjustRightInd w:val="0"/>
        <w:snapToGrid w:val="0"/>
        <w:spacing w:line="406" w:lineRule="exact"/>
        <w:jc w:val="left"/>
        <w:rPr>
          <w:rFonts w:ascii="宋体" w:hAnsi="宋体"/>
          <w:b/>
          <w:sz w:val="24"/>
        </w:rPr>
      </w:pPr>
      <w:r>
        <w:rPr>
          <w:rFonts w:hint="eastAsia" w:ascii="宋体" w:hAnsi="宋体"/>
          <w:b/>
          <w:sz w:val="24"/>
        </w:rPr>
        <w:t>8. 质量标准和保证</w:t>
      </w:r>
    </w:p>
    <w:p>
      <w:pPr>
        <w:adjustRightInd w:val="0"/>
        <w:snapToGrid w:val="0"/>
        <w:spacing w:line="406" w:lineRule="exact"/>
        <w:ind w:firstLine="420" w:firstLineChars="200"/>
        <w:jc w:val="left"/>
        <w:rPr>
          <w:rFonts w:ascii="宋体" w:hAnsi="宋体" w:cs="Courier New"/>
          <w:b/>
          <w:szCs w:val="21"/>
        </w:rPr>
      </w:pPr>
      <w:r>
        <w:rPr>
          <w:rFonts w:hint="eastAsia" w:ascii="宋体" w:hAnsi="宋体" w:cs="Courier New"/>
          <w:szCs w:val="21"/>
        </w:rPr>
        <w:t>8.1 质量标准</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6" w:lineRule="exact"/>
        <w:ind w:firstLine="420" w:firstLineChars="200"/>
        <w:jc w:val="left"/>
        <w:rPr>
          <w:rFonts w:ascii="宋体" w:hAnsi="宋体" w:cs="Courier New"/>
          <w:szCs w:val="21"/>
        </w:rPr>
      </w:pPr>
      <w:r>
        <w:rPr>
          <w:rFonts w:hint="eastAsia" w:ascii="宋体" w:hAnsi="宋体" w:cs="Courier New"/>
          <w:szCs w:val="21"/>
        </w:rPr>
        <w:t>（2）采用中华人民共和国法定计量单位。</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8.2 保证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6"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6" w:lineRule="exact"/>
        <w:jc w:val="left"/>
        <w:rPr>
          <w:rFonts w:ascii="宋体" w:hAnsi="宋体"/>
          <w:b/>
          <w:bCs/>
          <w:sz w:val="24"/>
        </w:rPr>
      </w:pPr>
      <w:r>
        <w:rPr>
          <w:rFonts w:hint="eastAsia" w:ascii="宋体" w:hAnsi="宋体"/>
          <w:b/>
          <w:bCs/>
          <w:sz w:val="24"/>
        </w:rPr>
        <w:t>9. 权利瑕疵担保</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9.1 乙方保证对其出售的货物享有合法的权利。</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10. 知识产权保护</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36"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36"/>
      <w:r>
        <w:rPr>
          <w:rFonts w:hint="eastAsia" w:ascii="宋体" w:hAnsi="宋体"/>
          <w:szCs w:val="21"/>
        </w:rPr>
        <w:t>。</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11. 保密义务</w:t>
      </w:r>
    </w:p>
    <w:p>
      <w:pPr>
        <w:autoSpaceDE w:val="0"/>
        <w:autoSpaceDN w:val="0"/>
        <w:adjustRightInd w:val="0"/>
        <w:snapToGrid w:val="0"/>
        <w:spacing w:line="406"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12. 合同价款支付</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pPr>
        <w:keepNext/>
        <w:keepLines/>
        <w:spacing w:line="406" w:lineRule="exact"/>
        <w:ind w:firstLine="420" w:firstLineChars="200"/>
        <w:outlineLvl w:val="1"/>
        <w:rPr>
          <w:rFonts w:ascii="Arial" w:hAnsi="Arial"/>
          <w:b/>
          <w:bCs/>
          <w:sz w:val="24"/>
          <w:szCs w:val="32"/>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pPr>
        <w:spacing w:line="406" w:lineRule="exact"/>
        <w:rPr>
          <w:rFonts w:ascii="宋体" w:hAnsi="宋体"/>
          <w:b/>
          <w:bCs/>
          <w:sz w:val="24"/>
        </w:rPr>
      </w:pPr>
      <w:r>
        <w:rPr>
          <w:rFonts w:hint="eastAsia" w:ascii="宋体" w:hAnsi="宋体"/>
          <w:b/>
          <w:bCs/>
          <w:sz w:val="24"/>
        </w:rPr>
        <w:t>13. 履约保证金</w:t>
      </w:r>
    </w:p>
    <w:p>
      <w:pPr>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6"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pPr>
        <w:autoSpaceDE w:val="0"/>
        <w:autoSpaceDN w:val="0"/>
        <w:adjustRightInd w:val="0"/>
        <w:snapToGrid w:val="0"/>
        <w:spacing w:line="406"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（1）货物的现场移动、安装、调试、启动监督及技术支持；</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pPr>
        <w:widowControl/>
        <w:autoSpaceDE w:val="0"/>
        <w:autoSpaceDN w:val="0"/>
        <w:adjustRightInd w:val="0"/>
        <w:spacing w:line="406" w:lineRule="exact"/>
        <w:ind w:firstLine="420" w:firstLineChars="200"/>
        <w:jc w:val="left"/>
        <w:rPr>
          <w:rFonts w:ascii="宋体" w:hAnsi="宋体" w:cs="宋体"/>
          <w:kern w:val="0"/>
          <w:szCs w:val="21"/>
        </w:rPr>
      </w:pPr>
      <w:r>
        <w:rPr>
          <w:rFonts w:hint="eastAsia" w:ascii="宋体" w:hAnsi="宋体" w:cs="宋体"/>
          <w:kern w:val="0"/>
          <w:szCs w:val="21"/>
        </w:rPr>
        <w:t>（5）依照法律、行政法规的规定或者按照</w:t>
      </w:r>
      <w:r>
        <w:rPr>
          <w:rFonts w:hint="eastAsia" w:ascii="宋体" w:hAnsi="宋体" w:cs="宋体"/>
          <w:b/>
          <w:bCs/>
          <w:kern w:val="0"/>
          <w:szCs w:val="21"/>
        </w:rPr>
        <w:t>【政府采购合同专用条款】</w:t>
      </w:r>
      <w:r>
        <w:rPr>
          <w:rFonts w:hint="eastAsia" w:ascii="宋体" w:hAnsi="宋体" w:cs="宋体"/>
          <w:kern w:val="0"/>
          <w:szCs w:val="21"/>
        </w:rPr>
        <w:t>约定，货物在有效使用年限届满后应予回收的，乙方负有自行或者委托第三人对货物予以回收的义务；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pPr>
        <w:adjustRightInd w:val="0"/>
        <w:snapToGrid w:val="0"/>
        <w:spacing w:line="406" w:lineRule="exact"/>
        <w:jc w:val="left"/>
        <w:rPr>
          <w:rFonts w:ascii="宋体" w:hAnsi="宋体"/>
          <w:b/>
          <w:bCs/>
          <w:sz w:val="24"/>
        </w:rPr>
      </w:pPr>
      <w:r>
        <w:rPr>
          <w:rFonts w:hint="eastAsia" w:ascii="宋体" w:hAnsi="宋体"/>
          <w:b/>
          <w:bCs/>
          <w:sz w:val="24"/>
        </w:rPr>
        <w:t>15. 违约责任</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15.1质量瑕疵的违约责任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pPr>
        <w:autoSpaceDE w:val="0"/>
        <w:autoSpaceDN w:val="0"/>
        <w:adjustRightInd w:val="0"/>
        <w:snapToGrid w:val="0"/>
        <w:spacing w:line="406" w:lineRule="exact"/>
        <w:ind w:firstLine="420" w:firstLineChars="200"/>
        <w:jc w:val="left"/>
        <w:rPr>
          <w:rFonts w:ascii="宋体" w:hAnsi="宋体"/>
          <w:bCs/>
          <w:szCs w:val="21"/>
        </w:rPr>
      </w:pPr>
      <w:r>
        <w:rPr>
          <w:rFonts w:hint="eastAsia" w:ascii="宋体" w:hAnsi="宋体"/>
          <w:bCs/>
          <w:szCs w:val="21"/>
        </w:rPr>
        <w:t>15.2 迟延交货的违约责任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15.3 迟延支付的违约责任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pPr>
        <w:adjustRightInd w:val="0"/>
        <w:snapToGrid w:val="0"/>
        <w:spacing w:line="406"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pPr>
        <w:numPr>
          <w:ilvl w:val="0"/>
          <w:numId w:val="7"/>
        </w:numPr>
        <w:autoSpaceDE w:val="0"/>
        <w:autoSpaceDN w:val="0"/>
        <w:adjustRightInd w:val="0"/>
        <w:snapToGrid w:val="0"/>
        <w:spacing w:line="406" w:lineRule="exact"/>
        <w:ind w:firstLine="482" w:firstLineChars="200"/>
        <w:jc w:val="left"/>
        <w:rPr>
          <w:rFonts w:ascii="宋体" w:hAnsi="宋体"/>
          <w:b/>
          <w:sz w:val="24"/>
        </w:rPr>
      </w:pPr>
      <w:r>
        <w:rPr>
          <w:rFonts w:hint="eastAsia" w:ascii="宋体" w:hAnsi="宋体"/>
          <w:b/>
          <w:sz w:val="24"/>
        </w:rPr>
        <w:t>合同变更、中止与终止</w:t>
      </w:r>
    </w:p>
    <w:p>
      <w:pPr>
        <w:adjustRightInd w:val="0"/>
        <w:snapToGrid w:val="0"/>
        <w:spacing w:line="406" w:lineRule="exact"/>
        <w:jc w:val="left"/>
        <w:rPr>
          <w:rFonts w:ascii="宋体" w:hAnsi="宋体"/>
          <w:szCs w:val="21"/>
        </w:rPr>
      </w:pPr>
      <w:r>
        <w:rPr>
          <w:rFonts w:hint="eastAsia" w:ascii="宋体" w:hAnsi="宋体"/>
          <w:szCs w:val="21"/>
        </w:rPr>
        <w:t xml:space="preserve">    16.1合同的变更</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16.2合同的中止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6" w:lineRule="exact"/>
        <w:ind w:firstLine="420" w:firstLineChars="200"/>
        <w:jc w:val="left"/>
      </w:pPr>
      <w:r>
        <w:rPr>
          <w:rFonts w:hint="eastAsia" w:ascii="宋体" w:hAnsi="宋体"/>
          <w:szCs w:val="21"/>
        </w:rPr>
        <w:t>（4）甲方不得以行政区划调整、政府换届、机构或者职能调整以及相关责任人更替为由中止合同。</w:t>
      </w:r>
    </w:p>
    <w:p>
      <w:pPr>
        <w:adjustRightInd w:val="0"/>
        <w:snapToGrid w:val="0"/>
        <w:spacing w:line="406" w:lineRule="exact"/>
        <w:ind w:firstLine="420" w:firstLineChars="200"/>
        <w:jc w:val="left"/>
        <w:rPr>
          <w:rFonts w:ascii="宋体" w:hAnsi="宋体"/>
          <w:szCs w:val="21"/>
        </w:rPr>
      </w:pPr>
      <w:r>
        <w:rPr>
          <w:rFonts w:hint="eastAsia" w:ascii="宋体" w:hAnsi="宋体"/>
          <w:szCs w:val="21"/>
        </w:rPr>
        <w:t>16.3合同的终止</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（1）合同因有效期限届满而终止；</w:t>
      </w:r>
    </w:p>
    <w:p>
      <w:pPr>
        <w:snapToGrid w:val="0"/>
        <w:spacing w:line="406"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pPr>
        <w:widowControl/>
        <w:autoSpaceDE w:val="0"/>
        <w:autoSpaceDN w:val="0"/>
        <w:adjustRightInd w:val="0"/>
        <w:spacing w:line="406" w:lineRule="exact"/>
        <w:ind w:firstLine="440" w:firstLineChars="200"/>
        <w:jc w:val="left"/>
        <w:rPr>
          <w:rFonts w:ascii="宋体" w:hAnsi="宋体" w:eastAsia="华文楷体" w:cs="华文楷体"/>
          <w:kern w:val="0"/>
          <w:sz w:val="22"/>
          <w:szCs w:val="21"/>
        </w:rPr>
      </w:pPr>
      <w:r>
        <w:rPr>
          <w:rFonts w:hint="eastAsia" w:ascii="宋体" w:hAnsi="宋体" w:eastAsia="华文楷体" w:cs="华文楷体"/>
          <w:kern w:val="0"/>
          <w:sz w:val="22"/>
          <w:szCs w:val="21"/>
        </w:rPr>
        <w:t xml:space="preserve">16.4 </w:t>
      </w:r>
      <w:r>
        <w:rPr>
          <w:rFonts w:hint="eastAsia" w:ascii="宋体" w:hAnsi="宋体"/>
          <w:szCs w:val="21"/>
        </w:rPr>
        <w:t>涉及国家利益、社会公共利益的情形</w:t>
      </w:r>
    </w:p>
    <w:p>
      <w:pPr>
        <w:widowControl/>
        <w:autoSpaceDE w:val="0"/>
        <w:autoSpaceDN w:val="0"/>
        <w:adjustRightInd w:val="0"/>
        <w:spacing w:line="406" w:lineRule="exact"/>
        <w:ind w:firstLine="420" w:firstLineChars="200"/>
        <w:rPr>
          <w:rFonts w:ascii="华文楷体" w:hAnsi="华文楷体" w:eastAsia="华文楷体" w:cs="华文楷体"/>
          <w:kern w:val="0"/>
          <w:szCs w:val="21"/>
        </w:rPr>
      </w:pPr>
      <w:r>
        <w:rPr>
          <w:rFonts w:hint="eastAsia" w:ascii="宋体" w:hAnsi="宋体" w:cs="宋体"/>
          <w:kern w:val="0"/>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17. 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18. 不可抗力</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6" w:lineRule="exact"/>
        <w:jc w:val="left"/>
        <w:rPr>
          <w:rFonts w:ascii="宋体" w:hAnsi="宋体"/>
          <w:b/>
          <w:bCs/>
          <w:sz w:val="24"/>
        </w:rPr>
      </w:pPr>
      <w:r>
        <w:rPr>
          <w:rFonts w:hint="eastAsia" w:ascii="宋体" w:hAnsi="宋体"/>
          <w:b/>
          <w:bCs/>
          <w:sz w:val="24"/>
        </w:rPr>
        <w:t>19. 解决争议的方法</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19.1 因本合同及合同有关事项发生的争议，由甲乙双方友好协商解决。协商不成时，可以向有关组织申请调解。合同一方或双方不愿调解或调解不成的，可以通过仲裁或诉讼的方式解决争议。</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19.2 选择仲裁的，应在</w:t>
      </w:r>
      <w:r>
        <w:rPr>
          <w:rFonts w:hint="eastAsia" w:ascii="宋体" w:hAnsi="宋体" w:cs="宋体"/>
          <w:b/>
          <w:bCs/>
          <w:kern w:val="0"/>
          <w:szCs w:val="21"/>
        </w:rPr>
        <w:t>【政府采购合同专用条款】</w:t>
      </w:r>
      <w:r>
        <w:rPr>
          <w:rFonts w:hint="eastAsia" w:ascii="宋体" w:hAnsi="宋体" w:cs="宋体"/>
          <w:kern w:val="0"/>
          <w:szCs w:val="21"/>
        </w:rPr>
        <w:t>中明确仲裁机构及仲裁地；通过诉讼方式解决的，可以在</w:t>
      </w:r>
      <w:r>
        <w:rPr>
          <w:rFonts w:hint="eastAsia" w:ascii="宋体" w:hAnsi="宋体" w:cs="宋体"/>
          <w:b/>
          <w:bCs/>
          <w:kern w:val="0"/>
          <w:szCs w:val="21"/>
        </w:rPr>
        <w:t>【政府采购合同专用条款】</w:t>
      </w:r>
      <w:r>
        <w:rPr>
          <w:rFonts w:hint="eastAsia" w:ascii="宋体" w:hAnsi="宋体" w:cs="宋体"/>
          <w:kern w:val="0"/>
          <w:szCs w:val="21"/>
        </w:rPr>
        <w:t>中进一步约定选择与争议有实际联系的地点的人民法院管辖，但管辖法院的约定不得违反级别管辖和专属管辖的规定。</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19.3 如甲乙双方有争议的事项不影响合同其他部分的履行，在争议解决期间，合同其他部分应当继续履行。</w:t>
      </w:r>
    </w:p>
    <w:p>
      <w:pPr>
        <w:autoSpaceDE w:val="0"/>
        <w:autoSpaceDN w:val="0"/>
        <w:adjustRightInd w:val="0"/>
        <w:snapToGrid w:val="0"/>
        <w:spacing w:line="406" w:lineRule="exact"/>
        <w:jc w:val="left"/>
        <w:rPr>
          <w:rFonts w:ascii="宋体" w:hAnsi="宋体"/>
          <w:sz w:val="24"/>
        </w:rPr>
      </w:pPr>
      <w:r>
        <w:rPr>
          <w:rFonts w:hint="eastAsia" w:ascii="宋体" w:hAnsi="宋体"/>
          <w:b/>
          <w:sz w:val="24"/>
        </w:rPr>
        <w:t>20. 政府采购政策</w:t>
      </w:r>
    </w:p>
    <w:p>
      <w:pPr>
        <w:autoSpaceDE w:val="0"/>
        <w:autoSpaceDN w:val="0"/>
        <w:adjustRightInd w:val="0"/>
        <w:snapToGrid w:val="0"/>
        <w:spacing w:line="406"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pPr>
        <w:autoSpaceDE w:val="0"/>
        <w:autoSpaceDN w:val="0"/>
        <w:adjustRightInd w:val="0"/>
        <w:snapToGrid w:val="0"/>
        <w:spacing w:line="406"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pPr>
        <w:spacing w:line="406"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6" w:lineRule="exact"/>
        <w:jc w:val="left"/>
        <w:rPr>
          <w:rFonts w:ascii="宋体" w:hAnsi="宋体"/>
          <w:b/>
          <w:sz w:val="24"/>
        </w:rPr>
      </w:pPr>
      <w:r>
        <w:rPr>
          <w:rFonts w:hint="eastAsia" w:ascii="宋体" w:hAnsi="宋体"/>
          <w:b/>
          <w:sz w:val="24"/>
        </w:rPr>
        <w:t>21. 法律适用</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21.1 本合同的订立、生效、解释、履行及与本合同有关的争议解决，均适用法律、行政法规。</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6" w:lineRule="exact"/>
        <w:jc w:val="left"/>
        <w:rPr>
          <w:rFonts w:ascii="宋体" w:hAnsi="宋体"/>
          <w:b/>
          <w:sz w:val="24"/>
        </w:rPr>
      </w:pPr>
      <w:r>
        <w:rPr>
          <w:rFonts w:hint="eastAsia" w:ascii="宋体" w:hAnsi="宋体"/>
          <w:b/>
          <w:sz w:val="24"/>
        </w:rPr>
        <w:t>22. 通知</w:t>
      </w:r>
    </w:p>
    <w:p>
      <w:pPr>
        <w:widowControl/>
        <w:autoSpaceDE w:val="0"/>
        <w:autoSpaceDN w:val="0"/>
        <w:adjustRightInd w:val="0"/>
        <w:spacing w:line="406" w:lineRule="exact"/>
        <w:ind w:firstLine="420" w:firstLineChars="200"/>
        <w:rPr>
          <w:rFonts w:ascii="宋体" w:hAnsi="宋体" w:cs="宋体"/>
          <w:kern w:val="0"/>
          <w:szCs w:val="21"/>
        </w:rPr>
      </w:pPr>
      <w:r>
        <w:rPr>
          <w:rFonts w:hint="eastAsia" w:ascii="宋体" w:hAnsi="宋体" w:cs="宋体"/>
          <w:kern w:val="0"/>
          <w:szCs w:val="21"/>
        </w:rPr>
        <w:t>22.1 本合同任何一方向对方发出的通知、信件、数据电文等，应当发送至本合同第一部分《政府采购合同协议书》所约定的通讯地址、联系人、联系电话或电子邮箱。</w:t>
      </w:r>
    </w:p>
    <w:p>
      <w:pPr>
        <w:widowControl/>
        <w:autoSpaceDE w:val="0"/>
        <w:autoSpaceDN w:val="0"/>
        <w:adjustRightInd w:val="0"/>
        <w:spacing w:line="406" w:lineRule="exact"/>
        <w:rPr>
          <w:rFonts w:ascii="华文楷体" w:hAnsi="华文楷体" w:eastAsia="华文楷体" w:cs="华文楷体"/>
          <w:kern w:val="0"/>
          <w:szCs w:val="21"/>
        </w:rPr>
      </w:pPr>
      <w:r>
        <w:rPr>
          <w:rFonts w:hint="eastAsia" w:ascii="宋体" w:hAnsi="宋体" w:cs="宋体"/>
          <w:kern w:val="0"/>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pPr>
        <w:adjustRightInd w:val="0"/>
        <w:snapToGrid w:val="0"/>
        <w:spacing w:line="406"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pPr>
        <w:numPr>
          <w:ilvl w:val="0"/>
          <w:numId w:val="8"/>
        </w:numPr>
        <w:adjustRightInd w:val="0"/>
        <w:snapToGrid w:val="0"/>
        <w:spacing w:line="406" w:lineRule="exact"/>
        <w:ind w:firstLine="482" w:firstLineChars="200"/>
        <w:jc w:val="left"/>
        <w:rPr>
          <w:rFonts w:ascii="宋体" w:hAnsi="宋体"/>
          <w:b/>
          <w:bCs/>
          <w:sz w:val="24"/>
        </w:rPr>
      </w:pPr>
      <w:r>
        <w:rPr>
          <w:rFonts w:hint="eastAsia" w:ascii="宋体" w:hAnsi="宋体"/>
          <w:b/>
          <w:bCs/>
          <w:sz w:val="24"/>
        </w:rPr>
        <w:t>合同未尽事项</w:t>
      </w:r>
    </w:p>
    <w:p>
      <w:pPr>
        <w:adjustRightInd w:val="0"/>
        <w:snapToGrid w:val="0"/>
        <w:spacing w:line="406"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pPr>
        <w:adjustRightInd w:val="0"/>
        <w:snapToGrid w:val="0"/>
        <w:spacing w:line="406"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37" w:name="_Toc20313"/>
    </w:p>
    <w:p>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ascii="黑体" w:hAnsi="华文中宋" w:eastAsia="黑体"/>
          <w:sz w:val="28"/>
          <w:szCs w:val="28"/>
        </w:rPr>
      </w:pPr>
      <w:r>
        <w:rPr>
          <w:rFonts w:hint="eastAsia" w:ascii="黑体" w:hAnsi="华文中宋" w:eastAsia="黑体"/>
          <w:sz w:val="28"/>
          <w:szCs w:val="28"/>
        </w:rPr>
        <w:t>第三节 政府采购合同专用条款</w:t>
      </w:r>
      <w:bookmarkEnd w:id="137"/>
    </w:p>
    <w:tbl>
      <w:tblPr>
        <w:tblStyle w:val="35"/>
        <w:tblW w:w="10065" w:type="dxa"/>
        <w:tblInd w:w="-15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2362"/>
        <w:gridCol w:w="58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第1.2（6）项</w:t>
            </w:r>
          </w:p>
        </w:tc>
        <w:tc>
          <w:tcPr>
            <w:tcW w:w="2362" w:type="dxa"/>
            <w:vAlign w:val="center"/>
          </w:tcPr>
          <w:p>
            <w:pPr>
              <w:adjustRightInd w:val="0"/>
              <w:snapToGrid w:val="0"/>
              <w:jc w:val="left"/>
              <w:rPr>
                <w:rFonts w:ascii="宋体" w:hAnsi="宋体"/>
                <w:szCs w:val="21"/>
              </w:rPr>
            </w:pPr>
            <w:r>
              <w:rPr>
                <w:rFonts w:hint="eastAsia" w:ascii="宋体" w:hAnsi="宋体"/>
                <w:szCs w:val="21"/>
              </w:rPr>
              <w:t>联合体具体要求</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第1.2（7）项</w:t>
            </w:r>
          </w:p>
        </w:tc>
        <w:tc>
          <w:tcPr>
            <w:tcW w:w="2362" w:type="dxa"/>
            <w:vAlign w:val="center"/>
          </w:tcPr>
          <w:p>
            <w:pPr>
              <w:adjustRightInd w:val="0"/>
              <w:snapToGrid w:val="0"/>
              <w:jc w:val="left"/>
              <w:rPr>
                <w:rFonts w:ascii="宋体" w:hAnsi="宋体"/>
                <w:szCs w:val="21"/>
              </w:rPr>
            </w:pPr>
            <w:r>
              <w:rPr>
                <w:rFonts w:hint="eastAsia" w:ascii="宋体" w:hAnsi="宋体"/>
                <w:szCs w:val="21"/>
              </w:rPr>
              <w:t>其他术语解释</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第4.4款</w:t>
            </w:r>
          </w:p>
        </w:tc>
        <w:tc>
          <w:tcPr>
            <w:tcW w:w="2362" w:type="dxa"/>
            <w:vAlign w:val="center"/>
          </w:tcPr>
          <w:p>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第4.6款</w:t>
            </w:r>
          </w:p>
        </w:tc>
        <w:tc>
          <w:tcPr>
            <w:tcW w:w="2362" w:type="dxa"/>
            <w:vAlign w:val="center"/>
          </w:tcPr>
          <w:p>
            <w:pPr>
              <w:adjustRightInd w:val="0"/>
              <w:snapToGrid w:val="0"/>
              <w:jc w:val="left"/>
              <w:rPr>
                <w:rFonts w:ascii="宋体" w:hAnsi="宋体"/>
                <w:szCs w:val="21"/>
              </w:rPr>
            </w:pPr>
            <w:r>
              <w:rPr>
                <w:rFonts w:hint="eastAsia" w:ascii="宋体" w:hAnsi="宋体"/>
                <w:szCs w:val="21"/>
              </w:rPr>
              <w:t>约定甲方承担的其他义务和责任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pPr>
            <w:r>
              <w:rPr>
                <w:rFonts w:hint="eastAsia" w:ascii="宋体" w:hAnsi="宋体"/>
                <w:szCs w:val="21"/>
              </w:rPr>
              <w:t>第5.4款</w:t>
            </w:r>
          </w:p>
        </w:tc>
        <w:tc>
          <w:tcPr>
            <w:tcW w:w="2362" w:type="dxa"/>
            <w:vAlign w:val="center"/>
          </w:tcPr>
          <w:p>
            <w:pPr>
              <w:adjustRightInd w:val="0"/>
              <w:snapToGrid w:val="0"/>
              <w:jc w:val="left"/>
              <w:rPr>
                <w:rFonts w:ascii="宋体" w:hAnsi="宋体"/>
                <w:szCs w:val="21"/>
              </w:rPr>
            </w:pPr>
            <w:r>
              <w:rPr>
                <w:rFonts w:hint="eastAsia" w:ascii="宋体" w:hAnsi="宋体"/>
                <w:szCs w:val="21"/>
              </w:rPr>
              <w:t>约定乙方承担的其他义务和责任</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snapToGrid w:val="0"/>
              <w:jc w:val="center"/>
              <w:rPr>
                <w:rFonts w:ascii="宋体" w:hAnsi="宋体"/>
                <w:szCs w:val="21"/>
              </w:rPr>
            </w:pPr>
            <w:r>
              <w:rPr>
                <w:rFonts w:hint="eastAsia" w:ascii="宋体" w:hAnsi="宋体"/>
                <w:szCs w:val="21"/>
              </w:rPr>
              <w:t>第6.1款</w:t>
            </w:r>
          </w:p>
        </w:tc>
        <w:tc>
          <w:tcPr>
            <w:tcW w:w="2362" w:type="dxa"/>
            <w:vAlign w:val="center"/>
          </w:tcPr>
          <w:p>
            <w:pPr>
              <w:adjustRightInd w:val="0"/>
              <w:snapToGrid w:val="0"/>
              <w:jc w:val="left"/>
              <w:rPr>
                <w:rFonts w:ascii="宋体" w:hAnsi="宋体"/>
                <w:szCs w:val="21"/>
              </w:rPr>
            </w:pPr>
            <w:r>
              <w:rPr>
                <w:rFonts w:hint="eastAsia" w:ascii="宋体" w:hAnsi="宋体"/>
                <w:szCs w:val="21"/>
              </w:rPr>
              <w:t>履行合同义务的顺序</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restart"/>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第7.1款</w:t>
            </w:r>
          </w:p>
        </w:tc>
        <w:tc>
          <w:tcPr>
            <w:tcW w:w="2362" w:type="dxa"/>
            <w:vAlign w:val="center"/>
          </w:tcPr>
          <w:p>
            <w:pPr>
              <w:adjustRightInd w:val="0"/>
              <w:snapToGrid w:val="0"/>
              <w:jc w:val="left"/>
              <w:rPr>
                <w:rFonts w:ascii="宋体" w:hAnsi="宋体"/>
                <w:szCs w:val="21"/>
              </w:rPr>
            </w:pPr>
            <w:r>
              <w:rPr>
                <w:rFonts w:hint="eastAsia" w:ascii="宋体" w:hAnsi="宋体"/>
                <w:szCs w:val="21"/>
              </w:rPr>
              <w:t>包装特殊要求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Merge w:val="continue"/>
            <w:vAlign w:val="center"/>
          </w:tcPr>
          <w:p>
            <w:pPr>
              <w:adjustRightInd w:val="0"/>
              <w:snapToGrid w:val="0"/>
              <w:jc w:val="center"/>
              <w:rPr>
                <w:rFonts w:ascii="宋体" w:hAnsi="宋体"/>
                <w:szCs w:val="21"/>
              </w:rPr>
            </w:pPr>
          </w:p>
        </w:tc>
        <w:tc>
          <w:tcPr>
            <w:tcW w:w="2362" w:type="dxa"/>
            <w:vAlign w:val="center"/>
          </w:tcPr>
          <w:p>
            <w:pPr>
              <w:adjustRightInd w:val="0"/>
              <w:snapToGrid w:val="0"/>
              <w:jc w:val="left"/>
              <w:rPr>
                <w:rFonts w:ascii="宋体" w:hAnsi="宋体"/>
                <w:szCs w:val="21"/>
              </w:rPr>
            </w:pPr>
            <w:r>
              <w:rPr>
                <w:rFonts w:hint="eastAsia" w:ascii="宋体" w:hAnsi="宋体"/>
                <w:szCs w:val="21"/>
              </w:rPr>
              <w:t>指定现场</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第7.2款</w:t>
            </w:r>
          </w:p>
        </w:tc>
        <w:tc>
          <w:tcPr>
            <w:tcW w:w="2362" w:type="dxa"/>
            <w:vAlign w:val="center"/>
          </w:tcPr>
          <w:p>
            <w:pPr>
              <w:adjustRightInd w:val="0"/>
              <w:snapToGrid w:val="0"/>
              <w:jc w:val="left"/>
              <w:rPr>
                <w:rFonts w:ascii="宋体" w:hAnsi="宋体"/>
                <w:szCs w:val="21"/>
              </w:rPr>
            </w:pPr>
            <w:r>
              <w:rPr>
                <w:rFonts w:hint="eastAsia" w:ascii="宋体" w:hAnsi="宋体"/>
                <w:szCs w:val="21"/>
              </w:rPr>
              <w:t>运输特殊要求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第7.3款</w:t>
            </w:r>
          </w:p>
        </w:tc>
        <w:tc>
          <w:tcPr>
            <w:tcW w:w="2362" w:type="dxa"/>
            <w:vAlign w:val="center"/>
          </w:tcPr>
          <w:p>
            <w:pPr>
              <w:adjustRightInd w:val="0"/>
              <w:snapToGrid w:val="0"/>
              <w:jc w:val="left"/>
              <w:rPr>
                <w:rFonts w:ascii="宋体" w:hAnsi="宋体"/>
                <w:szCs w:val="21"/>
              </w:rPr>
            </w:pPr>
            <w:r>
              <w:rPr>
                <w:rFonts w:hint="eastAsia" w:ascii="宋体" w:hAnsi="宋体"/>
                <w:szCs w:val="21"/>
              </w:rPr>
              <w:t>保险要求</w:t>
            </w:r>
          </w:p>
        </w:tc>
        <w:tc>
          <w:tcPr>
            <w:tcW w:w="5831" w:type="dxa"/>
            <w:vAlign w:val="center"/>
          </w:tc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第8.2（1）项</w:t>
            </w:r>
          </w:p>
        </w:tc>
        <w:tc>
          <w:tcPr>
            <w:tcW w:w="2362" w:type="dxa"/>
            <w:vAlign w:val="center"/>
          </w:tcPr>
          <w:p>
            <w:pPr>
              <w:adjustRightInd w:val="0"/>
              <w:snapToGrid w:val="0"/>
              <w:jc w:val="left"/>
              <w:rPr>
                <w:rFonts w:ascii="宋体" w:hAnsi="宋体"/>
                <w:szCs w:val="21"/>
              </w:rPr>
            </w:pPr>
            <w:r>
              <w:rPr>
                <w:rFonts w:hint="eastAsia" w:ascii="宋体" w:hAnsi="宋体"/>
                <w:szCs w:val="21"/>
              </w:rPr>
              <w:t>质量保证期</w:t>
            </w:r>
          </w:p>
        </w:tc>
        <w:tc>
          <w:tcPr>
            <w:tcW w:w="5831" w:type="dxa"/>
            <w:vAlign w:val="center"/>
          </w:tcPr>
          <w:p>
            <w:pPr>
              <w:autoSpaceDE w:val="0"/>
              <w:autoSpaceDN w:val="0"/>
              <w:adjustRightInd w:val="0"/>
              <w:snapToGrid w:val="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第8.2（3）项</w:t>
            </w:r>
          </w:p>
        </w:tc>
        <w:tc>
          <w:tcPr>
            <w:tcW w:w="2362" w:type="dxa"/>
            <w:vAlign w:val="center"/>
          </w:tcPr>
          <w:p>
            <w:pPr>
              <w:adjustRightInd w:val="0"/>
              <w:snapToGrid w:val="0"/>
              <w:jc w:val="left"/>
              <w:rPr>
                <w:rFonts w:ascii="宋体" w:hAnsi="宋体"/>
                <w:szCs w:val="21"/>
              </w:rPr>
            </w:pPr>
            <w:r>
              <w:rPr>
                <w:rFonts w:hint="eastAsia" w:ascii="宋体" w:hAnsi="宋体"/>
                <w:szCs w:val="21"/>
              </w:rPr>
              <w:t>货物质量缺陷</w:t>
            </w:r>
          </w:p>
          <w:p>
            <w:pPr>
              <w:adjustRightInd w:val="0"/>
              <w:snapToGrid w:val="0"/>
              <w:jc w:val="left"/>
              <w:rPr>
                <w:rFonts w:ascii="宋体" w:hAnsi="宋体"/>
                <w:szCs w:val="21"/>
              </w:rPr>
            </w:pPr>
            <w:r>
              <w:rPr>
                <w:rFonts w:hint="eastAsia" w:ascii="宋体" w:hAnsi="宋体"/>
                <w:szCs w:val="21"/>
              </w:rPr>
              <w:t>响应时间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snapToGrid w:val="0"/>
              <w:jc w:val="center"/>
              <w:rPr>
                <w:rFonts w:ascii="宋体" w:hAnsi="宋体" w:cs="宋体"/>
                <w:szCs w:val="21"/>
              </w:rPr>
            </w:pPr>
            <w:r>
              <w:rPr>
                <w:rFonts w:hint="eastAsia" w:ascii="宋体" w:hAnsi="宋体" w:cs="宋体"/>
                <w:szCs w:val="21"/>
              </w:rPr>
              <w:t>第二节</w:t>
            </w:r>
          </w:p>
          <w:p>
            <w:pPr>
              <w:widowControl/>
              <w:autoSpaceDE w:val="0"/>
              <w:autoSpaceDN w:val="0"/>
              <w:adjustRightInd w:val="0"/>
              <w:spacing w:line="400" w:lineRule="exact"/>
              <w:jc w:val="center"/>
              <w:rPr>
                <w:rFonts w:ascii="华文楷体" w:hAnsi="华文楷体" w:eastAsia="华文楷体" w:cs="华文楷体"/>
                <w:kern w:val="0"/>
                <w:sz w:val="22"/>
                <w:szCs w:val="21"/>
              </w:rPr>
            </w:pPr>
            <w:r>
              <w:rPr>
                <w:rFonts w:hint="eastAsia" w:ascii="宋体" w:hAnsi="宋体" w:cs="宋体"/>
                <w:kern w:val="0"/>
                <w:sz w:val="22"/>
                <w:szCs w:val="21"/>
              </w:rPr>
              <w:t>第11.1款</w:t>
            </w:r>
          </w:p>
        </w:tc>
        <w:tc>
          <w:tcPr>
            <w:tcW w:w="2362" w:type="dxa"/>
            <w:vAlign w:val="center"/>
          </w:tcPr>
          <w:p>
            <w:pPr>
              <w:adjustRightInd w:val="0"/>
              <w:snapToGrid w:val="0"/>
              <w:rPr>
                <w:rFonts w:ascii="宋体" w:hAnsi="宋体"/>
                <w:szCs w:val="21"/>
              </w:rPr>
            </w:pPr>
            <w:r>
              <w:rPr>
                <w:rFonts w:hint="eastAsia" w:ascii="宋体" w:hAnsi="宋体"/>
                <w:szCs w:val="21"/>
              </w:rPr>
              <w:t>其他应当保密的信息</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第12.2款</w:t>
            </w:r>
          </w:p>
        </w:tc>
        <w:tc>
          <w:tcPr>
            <w:tcW w:w="2362" w:type="dxa"/>
            <w:vAlign w:val="center"/>
          </w:tcPr>
          <w:p>
            <w:pPr>
              <w:adjustRightInd w:val="0"/>
              <w:snapToGrid w:val="0"/>
              <w:jc w:val="left"/>
              <w:rPr>
                <w:rFonts w:ascii="宋体" w:hAnsi="宋体"/>
                <w:szCs w:val="21"/>
              </w:rPr>
            </w:pPr>
            <w:r>
              <w:rPr>
                <w:rFonts w:hint="eastAsia" w:ascii="宋体" w:hAnsi="宋体"/>
                <w:szCs w:val="21"/>
              </w:rPr>
              <w:t>合同价款支付时间</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第13.2款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履约保证金不予退还的情形</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第13.3款</w:t>
            </w:r>
          </w:p>
        </w:tc>
        <w:tc>
          <w:tcPr>
            <w:tcW w:w="2362" w:type="dxa"/>
            <w:vAlign w:val="center"/>
          </w:tcPr>
          <w:p>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第14.1（3）项</w:t>
            </w:r>
          </w:p>
        </w:tc>
        <w:tc>
          <w:tcPr>
            <w:tcW w:w="2362" w:type="dxa"/>
            <w:vAlign w:val="center"/>
          </w:tcPr>
          <w:p>
            <w:pPr>
              <w:adjustRightInd w:val="0"/>
              <w:snapToGrid w:val="0"/>
              <w:jc w:val="left"/>
              <w:rPr>
                <w:rFonts w:ascii="宋体" w:hAnsi="宋体"/>
                <w:szCs w:val="21"/>
              </w:rPr>
            </w:pPr>
            <w:r>
              <w:rPr>
                <w:rFonts w:hint="eastAsia" w:ascii="宋体" w:hAnsi="宋体"/>
                <w:szCs w:val="21"/>
              </w:rPr>
              <w:t>运行监督、维修期限</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第14.1（5）项</w:t>
            </w:r>
          </w:p>
        </w:tc>
        <w:tc>
          <w:tcPr>
            <w:tcW w:w="2362" w:type="dxa"/>
            <w:vAlign w:val="center"/>
          </w:tcPr>
          <w:p>
            <w:pPr>
              <w:adjustRightInd w:val="0"/>
              <w:snapToGrid w:val="0"/>
              <w:jc w:val="left"/>
              <w:rPr>
                <w:rFonts w:ascii="宋体" w:hAnsi="宋体"/>
                <w:szCs w:val="21"/>
              </w:rPr>
            </w:pPr>
            <w:r>
              <w:rPr>
                <w:rFonts w:hint="eastAsia" w:ascii="宋体" w:hAnsi="宋体"/>
                <w:szCs w:val="21"/>
              </w:rPr>
              <w:t>货物回收的约定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第14.1（6）项</w:t>
            </w:r>
          </w:p>
        </w:tc>
        <w:tc>
          <w:tcPr>
            <w:tcW w:w="2362" w:type="dxa"/>
            <w:vAlign w:val="center"/>
          </w:tcPr>
          <w:p>
            <w:pPr>
              <w:adjustRightInd w:val="0"/>
              <w:snapToGrid w:val="0"/>
              <w:jc w:val="left"/>
              <w:rPr>
                <w:rFonts w:ascii="宋体" w:hAnsi="宋体"/>
                <w:szCs w:val="21"/>
              </w:rPr>
            </w:pPr>
            <w:r>
              <w:rPr>
                <w:rFonts w:hint="eastAsia" w:ascii="宋体" w:hAnsi="宋体"/>
                <w:szCs w:val="21"/>
              </w:rPr>
              <w:t>乙方提供的其他服务</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第15.1款</w:t>
            </w:r>
          </w:p>
        </w:tc>
        <w:tc>
          <w:tcPr>
            <w:tcW w:w="2362" w:type="dxa"/>
            <w:vAlign w:val="center"/>
          </w:tcPr>
          <w:p>
            <w:pPr>
              <w:adjustRightInd w:val="0"/>
              <w:snapToGrid w:val="0"/>
              <w:jc w:val="left"/>
              <w:rPr>
                <w:rFonts w:ascii="宋体" w:hAnsi="宋体"/>
                <w:szCs w:val="21"/>
              </w:rPr>
            </w:pPr>
            <w:r>
              <w:rPr>
                <w:rFonts w:hint="eastAsia" w:ascii="宋体" w:hAnsi="宋体"/>
                <w:szCs w:val="21"/>
              </w:rPr>
              <w:t>修理、重作、更换相关具体规定</w:t>
            </w:r>
          </w:p>
        </w:tc>
        <w:tc>
          <w:tcPr>
            <w:tcW w:w="5831" w:type="dxa"/>
            <w:vAlign w:val="center"/>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第15.2（2）项</w:t>
            </w:r>
          </w:p>
        </w:tc>
        <w:tc>
          <w:tcPr>
            <w:tcW w:w="2362" w:type="dxa"/>
            <w:vAlign w:val="center"/>
          </w:tcPr>
          <w:p>
            <w:pPr>
              <w:adjustRightInd w:val="0"/>
              <w:snapToGrid w:val="0"/>
              <w:jc w:val="left"/>
              <w:rPr>
                <w:rFonts w:ascii="宋体" w:hAnsi="宋体"/>
                <w:szCs w:val="21"/>
              </w:rPr>
            </w:pPr>
            <w:r>
              <w:rPr>
                <w:rFonts w:hint="eastAsia" w:ascii="宋体" w:hAnsi="宋体"/>
                <w:szCs w:val="21"/>
              </w:rPr>
              <w:t>迟延交货赔偿费</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第15.3款</w:t>
            </w:r>
          </w:p>
        </w:tc>
        <w:tc>
          <w:tcPr>
            <w:tcW w:w="2362" w:type="dxa"/>
            <w:vAlign w:val="center"/>
          </w:tcPr>
          <w:p>
            <w:pPr>
              <w:adjustRightInd w:val="0"/>
              <w:snapToGrid w:val="0"/>
              <w:jc w:val="left"/>
              <w:rPr>
                <w:rFonts w:ascii="宋体" w:hAnsi="宋体"/>
                <w:szCs w:val="21"/>
              </w:rPr>
            </w:pPr>
            <w:r>
              <w:rPr>
                <w:rFonts w:hint="eastAsia" w:ascii="宋体" w:hAnsi="宋体"/>
                <w:szCs w:val="21"/>
              </w:rPr>
              <w:t>逾期付款利息</w:t>
            </w:r>
          </w:p>
        </w:tc>
        <w:tc>
          <w:tcPr>
            <w:tcW w:w="5831" w:type="dxa"/>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872" w:type="dxa"/>
            <w:tcBorders>
              <w:bottom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第15.4款</w:t>
            </w:r>
          </w:p>
        </w:tc>
        <w:tc>
          <w:tcPr>
            <w:tcW w:w="236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其他违约责任</w:t>
            </w:r>
          </w:p>
        </w:tc>
        <w:tc>
          <w:tcPr>
            <w:tcW w:w="5831" w:type="dxa"/>
            <w:tcBorders>
              <w:left w:val="single" w:color="auto" w:sz="2" w:space="0"/>
              <w:bottom w:val="single" w:color="auto" w:sz="2" w:space="0"/>
            </w:tcBorders>
            <w:vAlign w:val="center"/>
          </w:tcPr>
          <w:p>
            <w:pPr>
              <w:adjustRightInd w:val="0"/>
              <w:snapToGrid w:val="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2" w:type="dxa"/>
            <w:tcBorders>
              <w:top w:val="single" w:color="auto" w:sz="2" w:space="0"/>
              <w:right w:val="single" w:color="auto" w:sz="2" w:space="0"/>
            </w:tcBorders>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第19.2款</w:t>
            </w:r>
          </w:p>
        </w:tc>
        <w:tc>
          <w:tcPr>
            <w:tcW w:w="236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szCs w:val="21"/>
              </w:rPr>
            </w:pPr>
            <w:r>
              <w:rPr>
                <w:rFonts w:hint="eastAsia" w:ascii="宋体" w:hAnsi="宋体"/>
                <w:szCs w:val="21"/>
              </w:rPr>
              <w:t>解决争议的方法</w:t>
            </w:r>
          </w:p>
        </w:tc>
        <w:tc>
          <w:tcPr>
            <w:tcW w:w="5831"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872" w:type="dxa"/>
            <w:vAlign w:val="center"/>
          </w:tcPr>
          <w:p>
            <w:pPr>
              <w:adjustRightInd w:val="0"/>
              <w:snapToGrid w:val="0"/>
              <w:jc w:val="center"/>
              <w:rPr>
                <w:rFonts w:ascii="宋体" w:hAnsi="宋体"/>
                <w:szCs w:val="21"/>
              </w:rPr>
            </w:pPr>
            <w:r>
              <w:rPr>
                <w:rFonts w:hint="eastAsia" w:ascii="宋体" w:hAnsi="宋体"/>
                <w:szCs w:val="21"/>
              </w:rPr>
              <w:t>第二节</w:t>
            </w:r>
          </w:p>
          <w:p>
            <w:pPr>
              <w:adjustRightInd w:val="0"/>
              <w:snapToGrid w:val="0"/>
              <w:jc w:val="center"/>
              <w:rPr>
                <w:rFonts w:ascii="宋体" w:hAnsi="宋体"/>
                <w:szCs w:val="21"/>
              </w:rPr>
            </w:pPr>
            <w:r>
              <w:rPr>
                <w:rFonts w:hint="eastAsia" w:ascii="宋体" w:hAnsi="宋体"/>
                <w:szCs w:val="21"/>
              </w:rPr>
              <w:t>第23.1款</w:t>
            </w:r>
          </w:p>
        </w:tc>
        <w:tc>
          <w:tcPr>
            <w:tcW w:w="2362" w:type="dxa"/>
            <w:vAlign w:val="center"/>
          </w:tcPr>
          <w:p>
            <w:pPr>
              <w:adjustRightInd w:val="0"/>
              <w:snapToGrid w:val="0"/>
              <w:jc w:val="left"/>
              <w:rPr>
                <w:rFonts w:ascii="宋体" w:hAnsi="宋体"/>
                <w:szCs w:val="21"/>
              </w:rPr>
            </w:pPr>
            <w:r>
              <w:rPr>
                <w:rFonts w:hint="eastAsia" w:ascii="宋体" w:hAnsi="宋体"/>
                <w:bCs/>
                <w:szCs w:val="21"/>
              </w:rPr>
              <w:t>其他专用条款</w:t>
            </w:r>
          </w:p>
        </w:tc>
        <w:tc>
          <w:tcPr>
            <w:tcW w:w="5831" w:type="dxa"/>
            <w:vAlign w:val="center"/>
          </w:tcPr>
          <w:p>
            <w:pPr>
              <w:adjustRightInd w:val="0"/>
              <w:snapToGrid w:val="0"/>
              <w:jc w:val="left"/>
              <w:rPr>
                <w:rFonts w:ascii="宋体" w:hAnsi="宋体"/>
                <w:szCs w:val="21"/>
              </w:rPr>
            </w:pPr>
          </w:p>
        </w:tc>
      </w:tr>
    </w:tbl>
    <w:p>
      <w:r>
        <w:br w:type="page"/>
      </w:r>
    </w:p>
    <w:p>
      <w:pPr>
        <w:pStyle w:val="21"/>
        <w:jc w:val="left"/>
      </w:pPr>
    </w:p>
    <w:p/>
    <w:p/>
    <w:p/>
    <w:p/>
    <w:p/>
    <w:p/>
    <w:p/>
    <w:p/>
    <w:p/>
    <w:p/>
    <w:p/>
    <w:p/>
    <w:p/>
    <w:p>
      <w:pPr>
        <w:pStyle w:val="3"/>
        <w:spacing w:line="400" w:lineRule="exact"/>
        <w:rPr>
          <w:rFonts w:ascii="方正小标宋_GBK" w:hAnsi="方正小标宋_GBK" w:eastAsia="方正小标宋_GBK"/>
        </w:rPr>
      </w:pPr>
      <w:bookmarkStart w:id="138" w:name="_Toc92355028"/>
      <w:bookmarkStart w:id="139" w:name="_Toc397585460"/>
      <w:r>
        <w:rPr>
          <w:rFonts w:hint="eastAsia" w:ascii="方正小标宋_GBK" w:hAnsi="方正小标宋_GBK" w:eastAsia="方正小标宋_GBK"/>
        </w:rPr>
        <w:t>第六章  响应文件格式</w:t>
      </w:r>
      <w:bookmarkEnd w:id="138"/>
      <w:bookmarkEnd w:id="139"/>
    </w:p>
    <w:p>
      <w:pPr>
        <w:jc w:val="left"/>
        <w:rPr>
          <w:rFonts w:hAnsi="宋体"/>
          <w:sz w:val="36"/>
          <w:szCs w:val="36"/>
        </w:rPr>
      </w:pPr>
      <w:r>
        <w:rPr>
          <w:b/>
          <w:sz w:val="30"/>
          <w:szCs w:val="30"/>
        </w:rPr>
        <w:br w:type="page"/>
      </w:r>
      <w:r>
        <w:rPr>
          <w:rFonts w:hint="eastAsia" w:ascii="仿宋_GB2312"/>
          <w:b/>
          <w:bCs/>
          <w:sz w:val="36"/>
          <w:szCs w:val="36"/>
        </w:rPr>
        <w:t>一、供应商资格文件</w:t>
      </w:r>
    </w:p>
    <w:p>
      <w:pPr>
        <w:tabs>
          <w:tab w:val="left" w:pos="3402"/>
        </w:tabs>
        <w:ind w:firstLine="602"/>
        <w:jc w:val="center"/>
        <w:rPr>
          <w:rFonts w:ascii="仿宋_GB2312" w:hAnsi="Adobe 仿宋 Std R" w:eastAsia="仿宋_GB2312"/>
          <w:b/>
          <w:spacing w:val="10"/>
          <w:sz w:val="32"/>
          <w:szCs w:val="32"/>
        </w:rPr>
      </w:pPr>
      <w:bookmarkStart w:id="140"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spacing w:val="10"/>
          <w:szCs w:val="21"/>
        </w:rPr>
      </w:pPr>
    </w:p>
    <w:p>
      <w:pPr>
        <w:spacing w:line="520" w:lineRule="exact"/>
        <w:rPr>
          <w:rFonts w:ascii="宋体" w:hAnsi="宋体"/>
          <w:bCs/>
          <w:szCs w:val="22"/>
        </w:rPr>
      </w:pPr>
      <w:r>
        <w:rPr>
          <w:rFonts w:hint="eastAsia" w:ascii="宋体" w:hAnsi="宋体"/>
          <w:bCs/>
          <w:szCs w:val="22"/>
        </w:rPr>
        <w:t>钦州市政府采购中心：</w:t>
      </w:r>
    </w:p>
    <w:p>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pPr>
        <w:spacing w:line="520" w:lineRule="exact"/>
        <w:ind w:firstLine="420"/>
        <w:rPr>
          <w:rFonts w:ascii="宋体" w:hAnsi="宋体"/>
          <w:bCs/>
          <w:szCs w:val="22"/>
        </w:rPr>
      </w:pPr>
      <w:r>
        <w:rPr>
          <w:rFonts w:hint="eastAsia" w:ascii="宋体" w:hAnsi="宋体"/>
          <w:bCs/>
          <w:szCs w:val="22"/>
        </w:rPr>
        <w:t>特此承诺。</w:t>
      </w:r>
    </w:p>
    <w:p>
      <w:pPr>
        <w:ind w:firstLine="420"/>
        <w:rPr>
          <w:rFonts w:ascii="宋体" w:hAnsi="宋体"/>
          <w:bCs/>
          <w:szCs w:val="22"/>
        </w:rPr>
      </w:pPr>
    </w:p>
    <w:p>
      <w:pPr>
        <w:ind w:firstLine="420"/>
        <w:rPr>
          <w:rFonts w:ascii="宋体" w:hAnsi="宋体"/>
          <w:bCs/>
          <w:szCs w:val="22"/>
        </w:rPr>
      </w:pPr>
    </w:p>
    <w:p>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40"/>
    <w:p/>
    <w:p/>
    <w:p/>
    <w:p/>
    <w:p/>
    <w:p>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pPr>
        <w:spacing w:line="400" w:lineRule="exact"/>
        <w:rPr>
          <w:rFonts w:ascii="宋体" w:hAnsi="宋体"/>
          <w:b/>
        </w:rPr>
      </w:pPr>
    </w:p>
    <w:p>
      <w:pPr>
        <w:spacing w:line="520" w:lineRule="exact"/>
        <w:rPr>
          <w:rFonts w:ascii="宋体" w:hAnsi="宋体"/>
          <w:bCs/>
        </w:rPr>
      </w:pPr>
      <w:r>
        <w:rPr>
          <w:rFonts w:hint="eastAsia" w:ascii="宋体" w:hAnsi="宋体"/>
          <w:bCs/>
        </w:rPr>
        <w:t>钦州市政府采购中心：</w:t>
      </w:r>
    </w:p>
    <w:p>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pPr>
        <w:spacing w:line="520" w:lineRule="exact"/>
        <w:ind w:firstLine="420"/>
        <w:rPr>
          <w:rFonts w:ascii="宋体" w:hAnsi="宋体"/>
          <w:bCs/>
        </w:rPr>
      </w:pPr>
      <w:r>
        <w:rPr>
          <w:rFonts w:hint="eastAsia" w:ascii="宋体" w:hAnsi="宋体"/>
          <w:bCs/>
        </w:rPr>
        <w:t>特此声明。</w:t>
      </w:r>
    </w:p>
    <w:p>
      <w:pPr>
        <w:rPr>
          <w:rFonts w:ascii="宋体" w:hAnsi="宋体"/>
          <w:bCs/>
          <w:szCs w:val="22"/>
        </w:rPr>
      </w:pPr>
    </w:p>
    <w:p>
      <w:pPr>
        <w:rPr>
          <w:rFonts w:ascii="宋体" w:hAnsi="宋体"/>
          <w:bCs/>
          <w:szCs w:val="22"/>
        </w:rPr>
      </w:pPr>
    </w:p>
    <w:p>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400" w:lineRule="exact"/>
        <w:ind w:right="1050" w:rightChars="500"/>
        <w:jc w:val="right"/>
        <w:rPr>
          <w:rFonts w:ascii="黑体" w:hAnsi="黑体" w:eastAsia="黑体" w:cs="黑体"/>
          <w:b/>
          <w:sz w:val="32"/>
          <w:szCs w:val="32"/>
        </w:rPr>
      </w:pPr>
    </w:p>
    <w:p>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pPr>
        <w:widowControl/>
        <w:jc w:val="center"/>
        <w:rPr>
          <w:rFonts w:ascii="仿宋" w:hAnsi="仿宋" w:eastAsia="仿宋" w:cs="黑体"/>
          <w:b/>
          <w:sz w:val="32"/>
          <w:szCs w:val="32"/>
        </w:rPr>
      </w:pPr>
      <w:bookmarkStart w:id="141" w:name="_Hlk92702324"/>
      <w:r>
        <w:rPr>
          <w:rFonts w:hint="eastAsia" w:ascii="仿宋" w:hAnsi="仿宋" w:eastAsia="仿宋" w:cs="黑体"/>
          <w:b/>
          <w:sz w:val="32"/>
          <w:szCs w:val="32"/>
        </w:rPr>
        <w:t>谈 判 函</w:t>
      </w:r>
      <w:bookmarkEnd w:id="141"/>
      <w:r>
        <w:rPr>
          <w:rFonts w:hint="eastAsia" w:ascii="仿宋" w:hAnsi="仿宋" w:eastAsia="仿宋" w:cs="黑体"/>
          <w:bCs/>
          <w:sz w:val="24"/>
        </w:rPr>
        <w:t>(格式</w:t>
      </w:r>
      <w:r>
        <w:rPr>
          <w:rFonts w:ascii="仿宋" w:hAnsi="仿宋" w:eastAsia="仿宋" w:cs="黑体"/>
          <w:bCs/>
          <w:sz w:val="24"/>
        </w:rPr>
        <w:t>)</w:t>
      </w:r>
    </w:p>
    <w:p>
      <w:pPr>
        <w:spacing w:line="360" w:lineRule="exact"/>
        <w:jc w:val="center"/>
        <w:rPr>
          <w:rFonts w:ascii="宋体" w:hAnsi="宋体"/>
          <w:b/>
          <w:szCs w:val="21"/>
        </w:rPr>
      </w:pPr>
    </w:p>
    <w:p>
      <w:pPr>
        <w:spacing w:line="400" w:lineRule="exact"/>
        <w:rPr>
          <w:rFonts w:ascii="宋体" w:hAnsi="宋体"/>
          <w:szCs w:val="21"/>
        </w:rPr>
      </w:pPr>
      <w:r>
        <w:rPr>
          <w:rFonts w:hint="eastAsia" w:ascii="宋体" w:hAnsi="宋体"/>
          <w:szCs w:val="21"/>
        </w:rPr>
        <w:t>致：钦州市政府采购中心：</w:t>
      </w:r>
    </w:p>
    <w:p>
      <w:pPr>
        <w:pStyle w:val="21"/>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pPr>
        <w:spacing w:line="400" w:lineRule="exact"/>
        <w:rPr>
          <w:rFonts w:ascii="宋体" w:hAnsi="宋体"/>
          <w:szCs w:val="21"/>
        </w:rPr>
      </w:pPr>
    </w:p>
    <w:p>
      <w:pPr>
        <w:spacing w:line="400" w:lineRule="exact"/>
        <w:ind w:firstLine="426"/>
        <w:rPr>
          <w:rFonts w:ascii="宋体" w:hAnsi="宋体"/>
          <w:szCs w:val="21"/>
        </w:rPr>
      </w:pPr>
      <w:r>
        <w:rPr>
          <w:rFonts w:hint="eastAsia" w:ascii="宋体" w:hAnsi="宋体"/>
          <w:szCs w:val="21"/>
        </w:rPr>
        <w:t>与我公司有关的正式通讯方式：</w:t>
      </w:r>
    </w:p>
    <w:p>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p/>
    <w:p/>
    <w:p/>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widowControl/>
        <w:jc w:val="left"/>
      </w:pPr>
      <w:r>
        <w:br w:type="page"/>
      </w:r>
    </w:p>
    <w:p/>
    <w:p>
      <w:pPr>
        <w:jc w:val="center"/>
        <w:rPr>
          <w:rFonts w:ascii="仿宋" w:hAnsi="仿宋" w:eastAsia="仿宋"/>
          <w:sz w:val="32"/>
          <w:szCs w:val="32"/>
        </w:rPr>
      </w:pPr>
      <w:r>
        <w:rPr>
          <w:rFonts w:hint="eastAsia" w:ascii="仿宋" w:hAnsi="仿宋" w:eastAsia="仿宋"/>
          <w:b/>
          <w:sz w:val="32"/>
          <w:szCs w:val="32"/>
        </w:rPr>
        <w:t>授权委托书</w:t>
      </w:r>
      <w:bookmarkStart w:id="142" w:name="_Hlk92703623"/>
      <w:r>
        <w:rPr>
          <w:rFonts w:hint="eastAsia" w:ascii="仿宋" w:hAnsi="仿宋" w:eastAsia="仿宋"/>
          <w:sz w:val="24"/>
        </w:rPr>
        <w:t>(格式</w:t>
      </w:r>
      <w:r>
        <w:rPr>
          <w:rFonts w:ascii="仿宋" w:hAnsi="仿宋" w:eastAsia="仿宋"/>
          <w:sz w:val="24"/>
        </w:rPr>
        <w:t>)</w:t>
      </w:r>
      <w:bookmarkEnd w:id="142"/>
    </w:p>
    <w:p>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pPr>
        <w:snapToGrid w:val="0"/>
        <w:spacing w:before="156" w:beforeLines="50" w:after="50" w:line="300" w:lineRule="exact"/>
        <w:ind w:firstLine="420" w:firstLineChars="200"/>
        <w:rPr>
          <w:rFonts w:ascii="宋体" w:hAnsi="宋体"/>
          <w:szCs w:val="21"/>
          <w:u w:val="single"/>
        </w:rPr>
      </w:pPr>
    </w:p>
    <w:p>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p/>
    <w:p>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Courier New" w:cs="Courier New"/>
          <w:b/>
          <w:bCs/>
          <w:szCs w:val="21"/>
        </w:rPr>
      </w:pPr>
      <w:r>
        <w:rPr>
          <w:b/>
          <w:bCs/>
        </w:rPr>
        <w:br w:type="page"/>
      </w:r>
    </w:p>
    <w:p/>
    <w:p>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35"/>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szCs w:val="21"/>
              </w:rPr>
            </w:pPr>
            <w:r>
              <w:rPr>
                <w:rFonts w:hint="eastAsia" w:ascii="宋体" w:hAnsi="宋体"/>
                <w:b/>
                <w:szCs w:val="21"/>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szCs w:val="21"/>
              </w:rPr>
            </w:pPr>
          </w:p>
        </w:tc>
      </w:tr>
    </w:tbl>
    <w:p>
      <w:pPr>
        <w:tabs>
          <w:tab w:val="left" w:pos="3870"/>
          <w:tab w:val="left" w:pos="4085"/>
        </w:tabs>
        <w:snapToGrid w:val="0"/>
        <w:spacing w:line="400" w:lineRule="exact"/>
        <w:rPr>
          <w:rFonts w:ascii="宋体" w:hAnsi="宋体"/>
          <w:b/>
          <w:szCs w:val="21"/>
        </w:rPr>
      </w:pPr>
    </w:p>
    <w:p>
      <w:pPr>
        <w:tabs>
          <w:tab w:val="left" w:pos="3870"/>
          <w:tab w:val="left" w:pos="4085"/>
        </w:tabs>
        <w:snapToGrid w:val="0"/>
        <w:spacing w:line="400" w:lineRule="exact"/>
        <w:rPr>
          <w:rFonts w:ascii="宋体" w:hAnsi="宋体"/>
          <w:b/>
          <w:szCs w:val="21"/>
        </w:rPr>
      </w:pP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before="50" w:after="50" w:line="350" w:lineRule="exact"/>
        <w:ind w:right="-817" w:rightChars="-389"/>
        <w:rPr>
          <w:rFonts w:ascii="宋体" w:hAnsi="宋体"/>
          <w:szCs w:val="21"/>
        </w:rPr>
      </w:pPr>
    </w:p>
    <w:p>
      <w:pPr>
        <w:snapToGrid w:val="0"/>
        <w:spacing w:before="50" w:after="50" w:line="350" w:lineRule="exact"/>
        <w:ind w:right="-817" w:rightChars="-389"/>
        <w:rPr>
          <w:rFonts w:ascii="宋体" w:hAnsi="宋体"/>
          <w:szCs w:val="21"/>
        </w:rPr>
      </w:pPr>
    </w:p>
    <w:p>
      <w:pPr>
        <w:pStyle w:val="21"/>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p>
      <w:r>
        <w:rPr>
          <w:rFonts w:hint="eastAsia"/>
        </w:rPr>
        <w:t>采购项目编号：</w:t>
      </w:r>
      <w:r>
        <w:rPr>
          <w:rFonts w:hint="eastAsia"/>
          <w:u w:val="single"/>
        </w:rPr>
        <w:t xml:space="preserve">                 </w:t>
      </w:r>
    </w:p>
    <w:p>
      <w:r>
        <w:rPr>
          <w:rFonts w:hint="eastAsia"/>
        </w:rPr>
        <w:t>采购项目名称：</w:t>
      </w:r>
      <w:r>
        <w:rPr>
          <w:rFonts w:hint="eastAsia"/>
          <w:u w:val="single"/>
        </w:rPr>
        <w:t xml:space="preserve">                 </w:t>
      </w:r>
    </w:p>
    <w:tbl>
      <w:tblPr>
        <w:tblStyle w:val="35"/>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pPr>
            <w:r>
              <w:rPr>
                <w:rFonts w:hint="eastAsia"/>
              </w:rPr>
              <w:t>序号</w:t>
            </w:r>
          </w:p>
        </w:tc>
        <w:tc>
          <w:tcPr>
            <w:tcW w:w="1480" w:type="dxa"/>
            <w:vAlign w:val="center"/>
          </w:tcPr>
          <w:p>
            <w:pPr>
              <w:jc w:val="center"/>
            </w:pPr>
            <w:r>
              <w:rPr>
                <w:rFonts w:hint="eastAsia"/>
              </w:rPr>
              <w:t>标的名称</w:t>
            </w:r>
          </w:p>
        </w:tc>
        <w:tc>
          <w:tcPr>
            <w:tcW w:w="2835" w:type="dxa"/>
            <w:vAlign w:val="center"/>
          </w:tcPr>
          <w:p>
            <w:pPr>
              <w:jc w:val="center"/>
            </w:pPr>
            <w:r>
              <w:rPr>
                <w:rFonts w:hint="eastAsia"/>
              </w:rPr>
              <w:t>竞争性谈判采购文件要求</w:t>
            </w:r>
          </w:p>
        </w:tc>
        <w:tc>
          <w:tcPr>
            <w:tcW w:w="2268" w:type="dxa"/>
            <w:vAlign w:val="center"/>
          </w:tcPr>
          <w:p>
            <w:pPr>
              <w:jc w:val="center"/>
            </w:pPr>
            <w:r>
              <w:rPr>
                <w:rFonts w:hint="eastAsia"/>
              </w:rPr>
              <w:t>响应文件具体响应</w:t>
            </w:r>
          </w:p>
        </w:tc>
        <w:tc>
          <w:tcPr>
            <w:tcW w:w="1418" w:type="dxa"/>
            <w:vAlign w:val="center"/>
          </w:tcPr>
          <w:p>
            <w:pPr>
              <w:jc w:val="center"/>
            </w:pPr>
            <w:r>
              <w:rPr>
                <w:rFonts w:hint="eastAsia"/>
              </w:rPr>
              <w:t>响应/偏离</w:t>
            </w:r>
          </w:p>
        </w:tc>
        <w:tc>
          <w:tcPr>
            <w:tcW w:w="70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1</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2</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3</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4</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5</w:t>
            </w:r>
          </w:p>
        </w:tc>
        <w:tc>
          <w:tcPr>
            <w:tcW w:w="1480" w:type="dxa"/>
            <w:vAlign w:val="center"/>
          </w:tcPr>
          <w:p/>
        </w:tc>
        <w:tc>
          <w:tcPr>
            <w:tcW w:w="2835" w:type="dxa"/>
            <w:vAlign w:val="center"/>
          </w:tcPr>
          <w:p/>
        </w:tc>
        <w:tc>
          <w:tcPr>
            <w:tcW w:w="2268" w:type="dxa"/>
            <w:vAlign w:val="center"/>
          </w:tcPr>
          <w:p/>
        </w:tc>
        <w:tc>
          <w:tcPr>
            <w:tcW w:w="1418" w:type="dxa"/>
            <w:vAlign w:val="center"/>
          </w:tcPr>
          <w:p/>
        </w:tc>
        <w:tc>
          <w:tcPr>
            <w:tcW w:w="709" w:type="dxa"/>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pPr>
            <w:r>
              <w:rPr>
                <w:rFonts w:hint="eastAsia"/>
              </w:rPr>
              <w:t>…</w:t>
            </w:r>
          </w:p>
        </w:tc>
        <w:tc>
          <w:tcPr>
            <w:tcW w:w="1480" w:type="dxa"/>
            <w:vAlign w:val="center"/>
          </w:tcPr>
          <w:p/>
        </w:tc>
        <w:tc>
          <w:tcPr>
            <w:tcW w:w="2835" w:type="dxa"/>
            <w:vAlign w:val="center"/>
          </w:tcPr>
          <w:p/>
        </w:tc>
        <w:tc>
          <w:tcPr>
            <w:tcW w:w="2268" w:type="dxa"/>
            <w:vAlign w:val="center"/>
          </w:tcPr>
          <w:p/>
        </w:tc>
        <w:tc>
          <w:tcPr>
            <w:tcW w:w="1418" w:type="dxa"/>
            <w:tcBorders>
              <w:right w:val="single" w:color="auto" w:sz="4" w:space="0"/>
            </w:tcBorders>
            <w:vAlign w:val="center"/>
          </w:tcPr>
          <w:p/>
        </w:tc>
        <w:tc>
          <w:tcPr>
            <w:tcW w:w="709" w:type="dxa"/>
            <w:tcBorders>
              <w:left w:val="single" w:color="auto" w:sz="4" w:space="0"/>
            </w:tcBorders>
            <w:vAlign w:val="center"/>
          </w:tcPr>
          <w:p/>
        </w:tc>
      </w:tr>
    </w:tbl>
    <w:p>
      <w:pPr>
        <w:pStyle w:val="18"/>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43" w:name="_Hlk92703260"/>
      <w:r>
        <w:rPr>
          <w:rFonts w:hint="eastAsia" w:ascii="宋体" w:hAnsi="宋体" w:eastAsia="宋体"/>
          <w:sz w:val="21"/>
          <w:szCs w:val="21"/>
        </w:rPr>
        <w:t>技术参数及其性能（规格）</w:t>
      </w:r>
      <w:bookmarkEnd w:id="143"/>
      <w:r>
        <w:rPr>
          <w:rFonts w:hint="eastAsia" w:ascii="宋体" w:hAnsi="宋体" w:eastAsia="宋体"/>
          <w:sz w:val="21"/>
          <w:szCs w:val="21"/>
        </w:rPr>
        <w:t>及服务要求作出的响应，并申明偏离情况。对有具体参数要求的指标，供应商须提供所供设备的具体技术参数及其性能（规格）。</w:t>
      </w:r>
    </w:p>
    <w:p>
      <w:pPr>
        <w:pStyle w:val="18"/>
        <w:spacing w:line="300" w:lineRule="auto"/>
        <w:ind w:firstLine="0" w:firstLineChars="0"/>
        <w:rPr>
          <w:rFonts w:ascii="宋体" w:hAnsi="宋体" w:eastAsia="宋体"/>
          <w:sz w:val="21"/>
          <w:szCs w:val="21"/>
        </w:rPr>
      </w:pPr>
    </w:p>
    <w:p>
      <w:pPr>
        <w:pStyle w:val="21"/>
        <w:spacing w:line="300" w:lineRule="auto"/>
        <w:rPr>
          <w:rFonts w:hAnsi="宋体"/>
        </w:rPr>
      </w:pPr>
    </w:p>
    <w:p>
      <w:pPr>
        <w:pStyle w:val="21"/>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pPr>
        <w:pStyle w:val="21"/>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51"/>
    <w:bookmarkEnd w:id="52"/>
    <w:bookmarkEnd w:id="53"/>
    <w:bookmarkEnd w:id="54"/>
    <w:p/>
    <w:p>
      <w:pPr>
        <w:spacing w:line="440" w:lineRule="exact"/>
        <w:ind w:left="420" w:hanging="420"/>
        <w:jc w:val="center"/>
        <w:rPr>
          <w:rFonts w:ascii="仿宋" w:hAnsi="仿宋" w:eastAsia="仿宋"/>
          <w:b/>
          <w:sz w:val="32"/>
          <w:szCs w:val="32"/>
        </w:rPr>
      </w:pPr>
      <w:bookmarkStart w:id="144"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p>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45"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2"/>
          <w:rFonts w:hint="eastAsia" w:ascii="宋体" w:hAnsi="宋体"/>
          <w:bCs/>
          <w:color w:val="auto"/>
          <w:szCs w:val="21"/>
          <w:u w:val="none"/>
        </w:rPr>
        <w:t>《政府采购促进中小企业发展管理办法》</w:t>
      </w:r>
      <w:bookmarkStart w:id="146" w:name="_Hlk60836554"/>
      <w:r>
        <w:rPr>
          <w:rStyle w:val="42"/>
          <w:rFonts w:hint="eastAsia" w:ascii="宋体" w:hAnsi="宋体"/>
          <w:bCs/>
          <w:color w:val="auto"/>
          <w:szCs w:val="21"/>
          <w:u w:val="none"/>
        </w:rPr>
        <w:t>（财库﹝2020﹞46号）</w:t>
      </w:r>
      <w:bookmarkEnd w:id="145"/>
      <w:bookmarkEnd w:id="146"/>
      <w:r>
        <w:rPr>
          <w:rFonts w:ascii="宋体" w:hAnsi="宋体"/>
          <w:bCs/>
          <w:szCs w:val="21"/>
        </w:rPr>
        <w:fldChar w:fldCharType="end"/>
      </w:r>
      <w:r>
        <w:rPr>
          <w:rFonts w:hint="eastAsia" w:ascii="宋体" w:hAnsi="宋体"/>
          <w:bCs/>
          <w:szCs w:val="21"/>
        </w:rPr>
        <w:t>的规定，本公司参加</w:t>
      </w:r>
      <w:bookmarkStart w:id="147"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47"/>
      <w:r>
        <w:rPr>
          <w:rFonts w:hint="eastAsia" w:ascii="宋体" w:hAnsi="宋体"/>
          <w:bCs/>
          <w:szCs w:val="21"/>
        </w:rPr>
        <w:t>采购活动，提供的货物全部由符合政策要求的中小企业制造。相关企业的具体情况如下：</w:t>
      </w:r>
    </w:p>
    <w:p>
      <w:pPr>
        <w:spacing w:line="600" w:lineRule="exact"/>
        <w:ind w:firstLine="294" w:firstLineChars="140"/>
        <w:jc w:val="left"/>
        <w:rPr>
          <w:rFonts w:ascii="宋体" w:hAnsi="宋体"/>
          <w:bCs/>
          <w:szCs w:val="21"/>
        </w:rPr>
      </w:pPr>
      <w:r>
        <w:rPr>
          <w:rFonts w:hint="eastAsia" w:ascii="宋体" w:hAnsi="宋体"/>
          <w:bCs/>
          <w:szCs w:val="21"/>
        </w:rPr>
        <w:t>1.</w:t>
      </w:r>
      <w:bookmarkStart w:id="148"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48"/>
    </w:p>
    <w:p>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w:t>
      </w:r>
    </w:p>
    <w:p>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p/>
    <w:p/>
    <w:p/>
    <w:p/>
    <w:p/>
    <w:p/>
    <w:p/>
    <w:p/>
    <w:p/>
    <w:p/>
    <w:p/>
    <w:p/>
    <w:p>
      <w:pPr>
        <w:spacing w:line="320" w:lineRule="exact"/>
        <w:jc w:val="left"/>
        <w:rPr>
          <w:rFonts w:hAnsi="宋体"/>
          <w:bCs/>
          <w:sz w:val="18"/>
          <w:szCs w:val="18"/>
        </w:rPr>
      </w:pPr>
      <w:bookmarkStart w:id="149"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49"/>
      <w:r>
        <w:rPr>
          <w:rFonts w:hint="eastAsia" w:hAnsi="宋体"/>
          <w:bCs/>
          <w:sz w:val="18"/>
          <w:szCs w:val="18"/>
        </w:rPr>
        <w:t>上一年度数据，无上一年度数据的新成立企业可不填报。</w:t>
      </w:r>
    </w:p>
    <w:tbl>
      <w:tblPr>
        <w:tblStyle w:val="35"/>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pPr>
        <w:widowControl/>
        <w:shd w:val="clear" w:color="auto" w:fill="FFFFFF"/>
        <w:spacing w:line="360" w:lineRule="atLeast"/>
        <w:ind w:firstLine="480"/>
        <w:jc w:val="left"/>
        <w:rPr>
          <w:rFonts w:ascii="Helvetica" w:hAnsi="Helvetica" w:cs="Helvetica"/>
          <w:kern w:val="0"/>
          <w:szCs w:val="21"/>
        </w:rPr>
      </w:pPr>
    </w:p>
    <w:p>
      <w:pPr>
        <w:widowControl/>
        <w:jc w:val="left"/>
        <w:rPr>
          <w:rFonts w:ascii="Helvetica" w:hAnsi="Helvetica" w:cs="Helvetica"/>
          <w:kern w:val="0"/>
          <w:szCs w:val="21"/>
        </w:rPr>
      </w:pPr>
      <w:r>
        <w:rPr>
          <w:rFonts w:ascii="Helvetica" w:hAnsi="Helvetica" w:cs="Helvetica"/>
          <w:kern w:val="0"/>
          <w:szCs w:val="21"/>
        </w:rPr>
        <w:br w:type="page"/>
      </w:r>
    </w:p>
    <w:p>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pPr>
        <w:widowControl/>
        <w:jc w:val="left"/>
        <w:rPr>
          <w:rFonts w:hAnsi="宋体"/>
          <w:bCs/>
          <w:sz w:val="18"/>
          <w:szCs w:val="18"/>
        </w:rPr>
      </w:pPr>
      <w:r>
        <w:rPr>
          <w:rFonts w:hAnsi="宋体"/>
          <w:bCs/>
          <w:sz w:val="18"/>
          <w:szCs w:val="18"/>
        </w:rPr>
        <w:br w:type="page"/>
      </w:r>
    </w:p>
    <w:p>
      <w:pPr>
        <w:spacing w:line="320" w:lineRule="exact"/>
        <w:jc w:val="left"/>
        <w:rPr>
          <w:rFonts w:hAnsi="宋体"/>
          <w:bCs/>
          <w:sz w:val="18"/>
          <w:szCs w:val="18"/>
        </w:rPr>
      </w:pPr>
    </w:p>
    <w:p>
      <w:pPr>
        <w:pStyle w:val="21"/>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50"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50"/>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pPr>
        <w:spacing w:line="400" w:lineRule="exact"/>
        <w:rPr>
          <w:szCs w:val="21"/>
        </w:rPr>
      </w:pPr>
    </w:p>
    <w:p>
      <w:pPr>
        <w:spacing w:line="400" w:lineRule="exact"/>
        <w:rPr>
          <w:szCs w:val="21"/>
        </w:rPr>
      </w:pPr>
    </w:p>
    <w:p>
      <w:pPr>
        <w:spacing w:line="400" w:lineRule="exact"/>
        <w:rPr>
          <w:szCs w:val="21"/>
        </w:rPr>
      </w:pPr>
    </w:p>
    <w:p>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44"/>
    <w:p>
      <w:pPr>
        <w:widowControl/>
        <w:jc w:val="left"/>
        <w:rPr>
          <w:rFonts w:ascii="宋体" w:hAnsi="Courier New" w:cs="Courier New"/>
          <w:sz w:val="18"/>
          <w:szCs w:val="18"/>
        </w:rPr>
      </w:pPr>
      <w:r>
        <w:rPr>
          <w:rFonts w:ascii="宋体" w:hAnsi="Courier New" w:cs="Courier New"/>
          <w:sz w:val="18"/>
          <w:szCs w:val="18"/>
        </w:rPr>
        <w:br w:type="page"/>
      </w:r>
    </w:p>
    <w:p>
      <w:pPr>
        <w:jc w:val="left"/>
        <w:rPr>
          <w:rFonts w:ascii="宋体" w:hAnsi="宋体"/>
          <w:b/>
          <w:bCs/>
          <w:sz w:val="36"/>
          <w:szCs w:val="36"/>
        </w:rPr>
      </w:pPr>
      <w:r>
        <w:rPr>
          <w:rFonts w:hint="eastAsia" w:ascii="宋体" w:hAnsi="宋体"/>
          <w:b/>
          <w:bCs/>
          <w:sz w:val="36"/>
          <w:szCs w:val="36"/>
        </w:rPr>
        <w:t>三、报价文件</w:t>
      </w:r>
    </w:p>
    <w:p>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p>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3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pPr>
              <w:spacing w:line="300" w:lineRule="exact"/>
              <w:jc w:val="center"/>
              <w:rPr>
                <w:rFonts w:ascii="宋体" w:hAnsi="宋体" w:cs="Courier New"/>
                <w:szCs w:val="21"/>
              </w:rPr>
            </w:pPr>
            <w:bookmarkStart w:id="151" w:name="_Hlk97823529"/>
            <w:r>
              <w:rPr>
                <w:rFonts w:hint="eastAsia" w:ascii="宋体" w:hAnsi="宋体" w:cs="Courier New"/>
                <w:szCs w:val="21"/>
              </w:rPr>
              <w:t>序号</w:t>
            </w:r>
          </w:p>
        </w:tc>
        <w:tc>
          <w:tcPr>
            <w:tcW w:w="1145"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pPr>
              <w:spacing w:line="300" w:lineRule="exact"/>
              <w:jc w:val="center"/>
              <w:rPr>
                <w:rFonts w:ascii="宋体" w:hAnsi="宋体" w:cs="Courier New"/>
                <w:szCs w:val="21"/>
              </w:rPr>
            </w:pPr>
            <w:r>
              <w:rPr>
                <w:rFonts w:hint="eastAsia" w:ascii="宋体" w:hAnsi="宋体" w:cs="Courier New"/>
                <w:szCs w:val="21"/>
              </w:rPr>
              <w:t>单项合价</w:t>
            </w:r>
          </w:p>
          <w:p>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2</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hint="eastAsia" w:ascii="宋体" w:hAnsi="宋体"/>
                <w:sz w:val="24"/>
              </w:rPr>
              <w:t>3</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pPr>
              <w:spacing w:line="440" w:lineRule="exact"/>
              <w:jc w:val="center"/>
              <w:rPr>
                <w:rFonts w:ascii="宋体" w:hAnsi="宋体"/>
                <w:sz w:val="24"/>
              </w:rPr>
            </w:pPr>
            <w:r>
              <w:rPr>
                <w:rFonts w:ascii="宋体" w:hAnsi="宋体"/>
                <w:sz w:val="24"/>
              </w:rPr>
              <w:t>…</w:t>
            </w:r>
          </w:p>
        </w:tc>
        <w:tc>
          <w:tcPr>
            <w:tcW w:w="1145" w:type="dxa"/>
            <w:vAlign w:val="center"/>
          </w:tcPr>
          <w:p>
            <w:pPr>
              <w:spacing w:line="440" w:lineRule="exact"/>
              <w:ind w:firstLine="33" w:firstLineChars="16"/>
              <w:jc w:val="center"/>
              <w:rPr>
                <w:rFonts w:ascii="宋体" w:hAnsi="宋体"/>
              </w:rPr>
            </w:pPr>
          </w:p>
        </w:tc>
        <w:tc>
          <w:tcPr>
            <w:tcW w:w="699" w:type="dxa"/>
            <w:vAlign w:val="center"/>
          </w:tcPr>
          <w:p>
            <w:pPr>
              <w:spacing w:line="440" w:lineRule="exact"/>
              <w:ind w:firstLine="35" w:firstLineChars="17"/>
              <w:jc w:val="center"/>
              <w:rPr>
                <w:rFonts w:ascii="宋体" w:hAnsi="宋体"/>
              </w:rPr>
            </w:pPr>
          </w:p>
        </w:tc>
        <w:tc>
          <w:tcPr>
            <w:tcW w:w="710" w:type="dxa"/>
            <w:vAlign w:val="center"/>
          </w:tcPr>
          <w:p>
            <w:pPr>
              <w:spacing w:line="440" w:lineRule="exact"/>
              <w:jc w:val="center"/>
              <w:rPr>
                <w:rFonts w:ascii="宋体" w:hAnsi="宋体"/>
              </w:rPr>
            </w:pPr>
          </w:p>
        </w:tc>
        <w:tc>
          <w:tcPr>
            <w:tcW w:w="709"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ind w:firstLine="23" w:firstLineChars="11"/>
              <w:jc w:val="center"/>
              <w:rPr>
                <w:rFonts w:ascii="宋体" w:hAnsi="宋体"/>
              </w:rPr>
            </w:pPr>
          </w:p>
        </w:tc>
        <w:tc>
          <w:tcPr>
            <w:tcW w:w="1702" w:type="dxa"/>
            <w:vAlign w:val="center"/>
          </w:tcPr>
          <w:p>
            <w:pPr>
              <w:spacing w:line="440" w:lineRule="exact"/>
              <w:jc w:val="center"/>
              <w:rPr>
                <w:rFonts w:ascii="宋体" w:hAnsi="宋体"/>
              </w:rPr>
            </w:pPr>
          </w:p>
        </w:tc>
        <w:tc>
          <w:tcPr>
            <w:tcW w:w="852" w:type="dxa"/>
            <w:vAlign w:val="center"/>
          </w:tcPr>
          <w:p>
            <w:pPr>
              <w:spacing w:line="440" w:lineRule="exact"/>
              <w:jc w:val="center"/>
              <w:rPr>
                <w:rFonts w:ascii="宋体" w:hAnsi="宋体"/>
              </w:rPr>
            </w:pPr>
          </w:p>
        </w:tc>
        <w:tc>
          <w:tcPr>
            <w:tcW w:w="134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51"/>
    </w:tbl>
    <w:p>
      <w:pPr>
        <w:spacing w:line="440" w:lineRule="exact"/>
        <w:rPr>
          <w:rFonts w:ascii="宋体" w:hAnsi="宋体"/>
          <w:szCs w:val="21"/>
        </w:rPr>
      </w:pPr>
      <w:r>
        <w:rPr>
          <w:rFonts w:hint="eastAsia" w:ascii="宋体" w:hAnsi="宋体"/>
          <w:szCs w:val="21"/>
        </w:rPr>
        <w:t>注：1.所有价格均用人民币表示，单位为元，精确到个数位。</w:t>
      </w:r>
    </w:p>
    <w:p>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2.总报价应包含货物、货物标准附件、备品备件、专用工具、设备安装辅材、包装、运输、保险等各种费用以及安装、调试、税金、售后服务、技术培训费、更新升级其所有成本费用。</w:t>
      </w:r>
    </w:p>
    <w:p/>
    <w:p/>
    <w:p>
      <w:pPr>
        <w:pStyle w:val="21"/>
        <w:spacing w:line="440" w:lineRule="exact"/>
        <w:ind w:firstLine="3675" w:firstLineChars="1750"/>
        <w:rPr>
          <w:rFonts w:hAnsi="宋体"/>
          <w:u w:val="single"/>
        </w:rPr>
      </w:pPr>
      <w:r>
        <w:rPr>
          <w:rFonts w:hint="eastAsia" w:hAnsi="宋体"/>
        </w:rPr>
        <w:t>法定代表人或授权代表（签名）：</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21"/>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pPr>
        <w:spacing w:line="440" w:lineRule="exact"/>
        <w:ind w:firstLine="3675" w:firstLineChars="1750"/>
        <w:rPr>
          <w:rFonts w:ascii="宋体" w:hAnsi="宋体"/>
          <w:szCs w:val="21"/>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5" w:type="default"/>
      <w:footerReference r:id="rId6" w:type="default"/>
      <w:pgSz w:w="11906" w:h="16838"/>
      <w:pgMar w:top="936" w:right="991" w:bottom="1135" w:left="99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5"/>
          <w:jc w:val="center"/>
        </w:pPr>
        <w:r>
          <w:fldChar w:fldCharType="begin"/>
        </w:r>
        <w:r>
          <w:instrText xml:space="preserve">PAGE   \* MERGEFORMAT</w:instrText>
        </w:r>
        <w:r>
          <w:fldChar w:fldCharType="separate"/>
        </w:r>
        <w:r>
          <w:t>24</w:t>
        </w:r>
        <w:r>
          <w:fldChar w:fldCharType="end"/>
        </w:r>
      </w:p>
    </w:sdtContent>
  </w:sdt>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rPr>
      <w:t>钦州市政府采购中心            浦北县第一职业技术学校建筑工程施工虚拟仿真实训基地设备(</w:t>
    </w:r>
    <w:r>
      <w:rPr>
        <w:rFonts w:hint="eastAsia"/>
        <w:lang w:eastAsia="zh-CN"/>
      </w:rPr>
      <w:t>QZZC2025-J1-220090-QZSZ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4B70784"/>
    <w:multiLevelType w:val="singleLevel"/>
    <w:tmpl w:val="C4B70784"/>
    <w:lvl w:ilvl="0" w:tentative="0">
      <w:start w:val="1"/>
      <w:numFmt w:val="chineseCounting"/>
      <w:suff w:val="nothing"/>
      <w:lvlText w:val="%1、"/>
      <w:lvlJc w:val="left"/>
      <w:rPr>
        <w:rFonts w:hint="eastAsia"/>
      </w:rPr>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1265841F"/>
    <w:multiLevelType w:val="singleLevel"/>
    <w:tmpl w:val="1265841F"/>
    <w:lvl w:ilvl="0" w:tentative="0">
      <w:start w:val="6"/>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5"/>
  </w:num>
  <w:num w:numId="2">
    <w:abstractNumId w:val="1"/>
  </w:num>
  <w:num w:numId="3">
    <w:abstractNumId w:val="6"/>
  </w:num>
  <w:num w:numId="4">
    <w:abstractNumId w:val="7"/>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34DD"/>
    <w:rsid w:val="000248E5"/>
    <w:rsid w:val="0002594F"/>
    <w:rsid w:val="00025985"/>
    <w:rsid w:val="00025AC0"/>
    <w:rsid w:val="00026612"/>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01EC"/>
    <w:rsid w:val="0006170C"/>
    <w:rsid w:val="00061972"/>
    <w:rsid w:val="00061AC4"/>
    <w:rsid w:val="00063151"/>
    <w:rsid w:val="00063CE9"/>
    <w:rsid w:val="00064127"/>
    <w:rsid w:val="0006432D"/>
    <w:rsid w:val="00064B46"/>
    <w:rsid w:val="00064E81"/>
    <w:rsid w:val="000656B5"/>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BC2"/>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963"/>
    <w:rsid w:val="000B2AB7"/>
    <w:rsid w:val="000B2F6F"/>
    <w:rsid w:val="000B3976"/>
    <w:rsid w:val="000B3C2D"/>
    <w:rsid w:val="000B46A8"/>
    <w:rsid w:val="000B470D"/>
    <w:rsid w:val="000B4E66"/>
    <w:rsid w:val="000B5395"/>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059D"/>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0F7F65"/>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477"/>
    <w:rsid w:val="00122899"/>
    <w:rsid w:val="00123679"/>
    <w:rsid w:val="001236BF"/>
    <w:rsid w:val="001236EB"/>
    <w:rsid w:val="00123ACC"/>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526C"/>
    <w:rsid w:val="001356B6"/>
    <w:rsid w:val="001365F4"/>
    <w:rsid w:val="0013661A"/>
    <w:rsid w:val="00136E07"/>
    <w:rsid w:val="001372D1"/>
    <w:rsid w:val="001374A2"/>
    <w:rsid w:val="00137EAE"/>
    <w:rsid w:val="00140295"/>
    <w:rsid w:val="00141121"/>
    <w:rsid w:val="001429D7"/>
    <w:rsid w:val="00143437"/>
    <w:rsid w:val="00143891"/>
    <w:rsid w:val="00143DE4"/>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778"/>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6C19"/>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377"/>
    <w:rsid w:val="0019768C"/>
    <w:rsid w:val="00197F91"/>
    <w:rsid w:val="001A0381"/>
    <w:rsid w:val="001A04B7"/>
    <w:rsid w:val="001A10F0"/>
    <w:rsid w:val="001A24D5"/>
    <w:rsid w:val="001A2637"/>
    <w:rsid w:val="001A270B"/>
    <w:rsid w:val="001A2CE9"/>
    <w:rsid w:val="001A37A7"/>
    <w:rsid w:val="001A397E"/>
    <w:rsid w:val="001A3D56"/>
    <w:rsid w:val="001A4A03"/>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3F7"/>
    <w:rsid w:val="001D6C9C"/>
    <w:rsid w:val="001D7C0A"/>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20E"/>
    <w:rsid w:val="001F299F"/>
    <w:rsid w:val="001F3380"/>
    <w:rsid w:val="001F409D"/>
    <w:rsid w:val="001F4B03"/>
    <w:rsid w:val="001F53DC"/>
    <w:rsid w:val="001F612B"/>
    <w:rsid w:val="001F69C1"/>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AE1"/>
    <w:rsid w:val="00215B9B"/>
    <w:rsid w:val="00215DE3"/>
    <w:rsid w:val="0021617D"/>
    <w:rsid w:val="00216288"/>
    <w:rsid w:val="002168F3"/>
    <w:rsid w:val="00216ACD"/>
    <w:rsid w:val="00217785"/>
    <w:rsid w:val="00217AA5"/>
    <w:rsid w:val="00217F6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0DF3"/>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D9A"/>
    <w:rsid w:val="00270584"/>
    <w:rsid w:val="00270EA2"/>
    <w:rsid w:val="00271121"/>
    <w:rsid w:val="00272DFC"/>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BC0"/>
    <w:rsid w:val="00290E68"/>
    <w:rsid w:val="002910C9"/>
    <w:rsid w:val="00291DAD"/>
    <w:rsid w:val="00293BF8"/>
    <w:rsid w:val="00293EC9"/>
    <w:rsid w:val="00294080"/>
    <w:rsid w:val="00294418"/>
    <w:rsid w:val="00294552"/>
    <w:rsid w:val="00295227"/>
    <w:rsid w:val="00295F39"/>
    <w:rsid w:val="00295F45"/>
    <w:rsid w:val="00296775"/>
    <w:rsid w:val="002974FD"/>
    <w:rsid w:val="00297942"/>
    <w:rsid w:val="002A0ED2"/>
    <w:rsid w:val="002A11BA"/>
    <w:rsid w:val="002A135C"/>
    <w:rsid w:val="002A267D"/>
    <w:rsid w:val="002A270F"/>
    <w:rsid w:val="002A2B15"/>
    <w:rsid w:val="002A2B1E"/>
    <w:rsid w:val="002A323D"/>
    <w:rsid w:val="002A40F2"/>
    <w:rsid w:val="002A532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19C"/>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0C8A"/>
    <w:rsid w:val="00311B0A"/>
    <w:rsid w:val="003137D4"/>
    <w:rsid w:val="00314227"/>
    <w:rsid w:val="00314DBA"/>
    <w:rsid w:val="00314EFA"/>
    <w:rsid w:val="00315AB3"/>
    <w:rsid w:val="003164A3"/>
    <w:rsid w:val="00317A63"/>
    <w:rsid w:val="00317BA9"/>
    <w:rsid w:val="003200AE"/>
    <w:rsid w:val="0032034B"/>
    <w:rsid w:val="00320BF6"/>
    <w:rsid w:val="00320EFA"/>
    <w:rsid w:val="00321E23"/>
    <w:rsid w:val="0032215C"/>
    <w:rsid w:val="00322259"/>
    <w:rsid w:val="003255F1"/>
    <w:rsid w:val="00325789"/>
    <w:rsid w:val="00325A5A"/>
    <w:rsid w:val="00325A89"/>
    <w:rsid w:val="00325FE2"/>
    <w:rsid w:val="00326A2E"/>
    <w:rsid w:val="00326E65"/>
    <w:rsid w:val="003272E3"/>
    <w:rsid w:val="0032780E"/>
    <w:rsid w:val="00327CF0"/>
    <w:rsid w:val="00330325"/>
    <w:rsid w:val="00331922"/>
    <w:rsid w:val="00331AFB"/>
    <w:rsid w:val="0033215F"/>
    <w:rsid w:val="0033295D"/>
    <w:rsid w:val="00332B79"/>
    <w:rsid w:val="00333CAB"/>
    <w:rsid w:val="00333D3B"/>
    <w:rsid w:val="00334C5E"/>
    <w:rsid w:val="00334F81"/>
    <w:rsid w:val="00335E06"/>
    <w:rsid w:val="00336AC2"/>
    <w:rsid w:val="00336FD3"/>
    <w:rsid w:val="00337B76"/>
    <w:rsid w:val="00337BB7"/>
    <w:rsid w:val="00341DE7"/>
    <w:rsid w:val="00341FEE"/>
    <w:rsid w:val="003430E1"/>
    <w:rsid w:val="0034324B"/>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737B0"/>
    <w:rsid w:val="003743F8"/>
    <w:rsid w:val="00374B13"/>
    <w:rsid w:val="00374BBC"/>
    <w:rsid w:val="00374FC1"/>
    <w:rsid w:val="003756A2"/>
    <w:rsid w:val="00375C87"/>
    <w:rsid w:val="00375DC1"/>
    <w:rsid w:val="00375E94"/>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BA8"/>
    <w:rsid w:val="003B3AF7"/>
    <w:rsid w:val="003B4180"/>
    <w:rsid w:val="003B4356"/>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3096"/>
    <w:rsid w:val="003D3994"/>
    <w:rsid w:val="003D3D95"/>
    <w:rsid w:val="003D3EC0"/>
    <w:rsid w:val="003D519A"/>
    <w:rsid w:val="003D7120"/>
    <w:rsid w:val="003D73AB"/>
    <w:rsid w:val="003E00AC"/>
    <w:rsid w:val="003E095B"/>
    <w:rsid w:val="003E1840"/>
    <w:rsid w:val="003E2F30"/>
    <w:rsid w:val="003E30A3"/>
    <w:rsid w:val="003E39C3"/>
    <w:rsid w:val="003E3D24"/>
    <w:rsid w:val="003E414B"/>
    <w:rsid w:val="003E427F"/>
    <w:rsid w:val="003E431F"/>
    <w:rsid w:val="003E439D"/>
    <w:rsid w:val="003E5810"/>
    <w:rsid w:val="003E5A25"/>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9FE"/>
    <w:rsid w:val="00432A04"/>
    <w:rsid w:val="004332C6"/>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183"/>
    <w:rsid w:val="00461667"/>
    <w:rsid w:val="00461CAB"/>
    <w:rsid w:val="00463040"/>
    <w:rsid w:val="00463317"/>
    <w:rsid w:val="00463CCF"/>
    <w:rsid w:val="00463E66"/>
    <w:rsid w:val="0046562A"/>
    <w:rsid w:val="00465DDA"/>
    <w:rsid w:val="00465E8B"/>
    <w:rsid w:val="0046640E"/>
    <w:rsid w:val="00467256"/>
    <w:rsid w:val="00467674"/>
    <w:rsid w:val="00467A24"/>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91CDE"/>
    <w:rsid w:val="0049200E"/>
    <w:rsid w:val="00492566"/>
    <w:rsid w:val="00492C10"/>
    <w:rsid w:val="00492E53"/>
    <w:rsid w:val="004933FA"/>
    <w:rsid w:val="004935EE"/>
    <w:rsid w:val="00493F1E"/>
    <w:rsid w:val="00493F29"/>
    <w:rsid w:val="00493F3D"/>
    <w:rsid w:val="00494354"/>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C7F15"/>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8D3"/>
    <w:rsid w:val="004F3ECB"/>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8DA"/>
    <w:rsid w:val="00504C15"/>
    <w:rsid w:val="00504CCB"/>
    <w:rsid w:val="00505537"/>
    <w:rsid w:val="00506754"/>
    <w:rsid w:val="00506C1E"/>
    <w:rsid w:val="00506CCD"/>
    <w:rsid w:val="0050717B"/>
    <w:rsid w:val="00507647"/>
    <w:rsid w:val="0051007E"/>
    <w:rsid w:val="00510BB6"/>
    <w:rsid w:val="00511D79"/>
    <w:rsid w:val="0051305D"/>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5239"/>
    <w:rsid w:val="005454E5"/>
    <w:rsid w:val="00546B8A"/>
    <w:rsid w:val="00546D05"/>
    <w:rsid w:val="00547244"/>
    <w:rsid w:val="00547933"/>
    <w:rsid w:val="005508AD"/>
    <w:rsid w:val="0055098D"/>
    <w:rsid w:val="00550B24"/>
    <w:rsid w:val="00550FD2"/>
    <w:rsid w:val="005513B4"/>
    <w:rsid w:val="00552031"/>
    <w:rsid w:val="005528E7"/>
    <w:rsid w:val="00553018"/>
    <w:rsid w:val="0055382B"/>
    <w:rsid w:val="0055412E"/>
    <w:rsid w:val="0055419D"/>
    <w:rsid w:val="0055583F"/>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3B8A"/>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60B0"/>
    <w:rsid w:val="0057769E"/>
    <w:rsid w:val="00580435"/>
    <w:rsid w:val="005805B7"/>
    <w:rsid w:val="00580751"/>
    <w:rsid w:val="005812C5"/>
    <w:rsid w:val="00581990"/>
    <w:rsid w:val="0058223C"/>
    <w:rsid w:val="0058260F"/>
    <w:rsid w:val="00583EF1"/>
    <w:rsid w:val="005865CB"/>
    <w:rsid w:val="00586784"/>
    <w:rsid w:val="00586C4A"/>
    <w:rsid w:val="005871CB"/>
    <w:rsid w:val="00587424"/>
    <w:rsid w:val="005878DB"/>
    <w:rsid w:val="0058797B"/>
    <w:rsid w:val="00587E29"/>
    <w:rsid w:val="005927A5"/>
    <w:rsid w:val="00593039"/>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8E4"/>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4B6"/>
    <w:rsid w:val="005D0A54"/>
    <w:rsid w:val="005D0B56"/>
    <w:rsid w:val="005D0F20"/>
    <w:rsid w:val="005D10E6"/>
    <w:rsid w:val="005D1294"/>
    <w:rsid w:val="005D25F9"/>
    <w:rsid w:val="005D3885"/>
    <w:rsid w:val="005D3F38"/>
    <w:rsid w:val="005D500D"/>
    <w:rsid w:val="005D51FF"/>
    <w:rsid w:val="005D5CE7"/>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F9C"/>
    <w:rsid w:val="005F101C"/>
    <w:rsid w:val="005F12E1"/>
    <w:rsid w:val="005F184D"/>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0901"/>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3DD"/>
    <w:rsid w:val="006327BB"/>
    <w:rsid w:val="00632FD3"/>
    <w:rsid w:val="006335EF"/>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0445"/>
    <w:rsid w:val="00651109"/>
    <w:rsid w:val="006517A0"/>
    <w:rsid w:val="00651A1C"/>
    <w:rsid w:val="00652BF4"/>
    <w:rsid w:val="006536AF"/>
    <w:rsid w:val="00654230"/>
    <w:rsid w:val="00655371"/>
    <w:rsid w:val="00655DFD"/>
    <w:rsid w:val="006562D8"/>
    <w:rsid w:val="00656B2E"/>
    <w:rsid w:val="00656B88"/>
    <w:rsid w:val="00657332"/>
    <w:rsid w:val="00657C33"/>
    <w:rsid w:val="006605F9"/>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5260"/>
    <w:rsid w:val="00675350"/>
    <w:rsid w:val="0067650E"/>
    <w:rsid w:val="00676E14"/>
    <w:rsid w:val="00676F2E"/>
    <w:rsid w:val="00677896"/>
    <w:rsid w:val="00677AAE"/>
    <w:rsid w:val="00677ABE"/>
    <w:rsid w:val="00677DB8"/>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01A"/>
    <w:rsid w:val="006948AC"/>
    <w:rsid w:val="00694D39"/>
    <w:rsid w:val="006953CA"/>
    <w:rsid w:val="006954EC"/>
    <w:rsid w:val="006959D6"/>
    <w:rsid w:val="00695EC8"/>
    <w:rsid w:val="00696909"/>
    <w:rsid w:val="00697114"/>
    <w:rsid w:val="00697BC6"/>
    <w:rsid w:val="006A1B84"/>
    <w:rsid w:val="006A1FEF"/>
    <w:rsid w:val="006A27C2"/>
    <w:rsid w:val="006A2EBD"/>
    <w:rsid w:val="006A3009"/>
    <w:rsid w:val="006A3E7B"/>
    <w:rsid w:val="006A4D9B"/>
    <w:rsid w:val="006A6950"/>
    <w:rsid w:val="006A7210"/>
    <w:rsid w:val="006A757D"/>
    <w:rsid w:val="006A7B32"/>
    <w:rsid w:val="006B002A"/>
    <w:rsid w:val="006B130C"/>
    <w:rsid w:val="006B15F2"/>
    <w:rsid w:val="006B28B5"/>
    <w:rsid w:val="006B32C8"/>
    <w:rsid w:val="006B3A46"/>
    <w:rsid w:val="006B5301"/>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3EE"/>
    <w:rsid w:val="00747802"/>
    <w:rsid w:val="00747E9F"/>
    <w:rsid w:val="00747F86"/>
    <w:rsid w:val="00750184"/>
    <w:rsid w:val="007520CE"/>
    <w:rsid w:val="00752414"/>
    <w:rsid w:val="00752573"/>
    <w:rsid w:val="00752A09"/>
    <w:rsid w:val="007548EC"/>
    <w:rsid w:val="00754B63"/>
    <w:rsid w:val="00756180"/>
    <w:rsid w:val="00756636"/>
    <w:rsid w:val="007566F3"/>
    <w:rsid w:val="00756BC6"/>
    <w:rsid w:val="00756F23"/>
    <w:rsid w:val="00757736"/>
    <w:rsid w:val="00757BB3"/>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6AA"/>
    <w:rsid w:val="007919DB"/>
    <w:rsid w:val="00791A91"/>
    <w:rsid w:val="007929EE"/>
    <w:rsid w:val="00792B92"/>
    <w:rsid w:val="00792E68"/>
    <w:rsid w:val="007930CD"/>
    <w:rsid w:val="00793F64"/>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C07"/>
    <w:rsid w:val="007E3350"/>
    <w:rsid w:val="007E3ABE"/>
    <w:rsid w:val="007E455D"/>
    <w:rsid w:val="007E467A"/>
    <w:rsid w:val="007E51A5"/>
    <w:rsid w:val="007E5E3C"/>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4F17"/>
    <w:rsid w:val="0081696A"/>
    <w:rsid w:val="00816EBB"/>
    <w:rsid w:val="008170CE"/>
    <w:rsid w:val="00817642"/>
    <w:rsid w:val="00821C08"/>
    <w:rsid w:val="00821D78"/>
    <w:rsid w:val="0082313D"/>
    <w:rsid w:val="00823153"/>
    <w:rsid w:val="008235A6"/>
    <w:rsid w:val="00823718"/>
    <w:rsid w:val="008240B3"/>
    <w:rsid w:val="00824186"/>
    <w:rsid w:val="008248CE"/>
    <w:rsid w:val="00826265"/>
    <w:rsid w:val="00826288"/>
    <w:rsid w:val="00826980"/>
    <w:rsid w:val="008277D5"/>
    <w:rsid w:val="008303D2"/>
    <w:rsid w:val="008313D1"/>
    <w:rsid w:val="008325BF"/>
    <w:rsid w:val="00832658"/>
    <w:rsid w:val="00832E14"/>
    <w:rsid w:val="00833150"/>
    <w:rsid w:val="00834231"/>
    <w:rsid w:val="008344B3"/>
    <w:rsid w:val="00834CEE"/>
    <w:rsid w:val="00834EA0"/>
    <w:rsid w:val="00835CAA"/>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093E"/>
    <w:rsid w:val="0085139A"/>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4EE4"/>
    <w:rsid w:val="0089507F"/>
    <w:rsid w:val="00896C03"/>
    <w:rsid w:val="00896EFD"/>
    <w:rsid w:val="008974FE"/>
    <w:rsid w:val="00897F5D"/>
    <w:rsid w:val="008A01B8"/>
    <w:rsid w:val="008A0F38"/>
    <w:rsid w:val="008A1BF8"/>
    <w:rsid w:val="008A1E13"/>
    <w:rsid w:val="008A213E"/>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BA0"/>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081"/>
    <w:rsid w:val="008D297A"/>
    <w:rsid w:val="008D2B08"/>
    <w:rsid w:val="008D35B1"/>
    <w:rsid w:val="008D4205"/>
    <w:rsid w:val="008D49C9"/>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68A7"/>
    <w:rsid w:val="008E728C"/>
    <w:rsid w:val="008E7327"/>
    <w:rsid w:val="008E78BF"/>
    <w:rsid w:val="008F03CC"/>
    <w:rsid w:val="008F087E"/>
    <w:rsid w:val="008F189D"/>
    <w:rsid w:val="008F1B54"/>
    <w:rsid w:val="008F255D"/>
    <w:rsid w:val="008F2853"/>
    <w:rsid w:val="008F2EDB"/>
    <w:rsid w:val="008F3209"/>
    <w:rsid w:val="008F3A03"/>
    <w:rsid w:val="008F3FDD"/>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5267"/>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B30"/>
    <w:rsid w:val="00916EFB"/>
    <w:rsid w:val="009201EE"/>
    <w:rsid w:val="009209BD"/>
    <w:rsid w:val="009212C2"/>
    <w:rsid w:val="00921361"/>
    <w:rsid w:val="0092191C"/>
    <w:rsid w:val="00922464"/>
    <w:rsid w:val="00922D98"/>
    <w:rsid w:val="00923600"/>
    <w:rsid w:val="0092394D"/>
    <w:rsid w:val="00923AB8"/>
    <w:rsid w:val="00923AC1"/>
    <w:rsid w:val="00923BAC"/>
    <w:rsid w:val="00923E46"/>
    <w:rsid w:val="00923E7D"/>
    <w:rsid w:val="00925FA1"/>
    <w:rsid w:val="00926019"/>
    <w:rsid w:val="00926A42"/>
    <w:rsid w:val="0092700E"/>
    <w:rsid w:val="009276B1"/>
    <w:rsid w:val="009301AE"/>
    <w:rsid w:val="0093039C"/>
    <w:rsid w:val="00930F58"/>
    <w:rsid w:val="00932182"/>
    <w:rsid w:val="00932A54"/>
    <w:rsid w:val="00932C21"/>
    <w:rsid w:val="00933057"/>
    <w:rsid w:val="009333DA"/>
    <w:rsid w:val="0093350A"/>
    <w:rsid w:val="0093379B"/>
    <w:rsid w:val="00933B5D"/>
    <w:rsid w:val="00933BE8"/>
    <w:rsid w:val="00933C65"/>
    <w:rsid w:val="00933CA9"/>
    <w:rsid w:val="00934CDB"/>
    <w:rsid w:val="00935728"/>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B58"/>
    <w:rsid w:val="00947ECA"/>
    <w:rsid w:val="00950845"/>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77E4"/>
    <w:rsid w:val="00A27A5F"/>
    <w:rsid w:val="00A30167"/>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0D54"/>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24FE"/>
    <w:rsid w:val="00A82727"/>
    <w:rsid w:val="00A850D2"/>
    <w:rsid w:val="00A856A7"/>
    <w:rsid w:val="00A85E75"/>
    <w:rsid w:val="00A86002"/>
    <w:rsid w:val="00A86104"/>
    <w:rsid w:val="00A86836"/>
    <w:rsid w:val="00A8687B"/>
    <w:rsid w:val="00A87773"/>
    <w:rsid w:val="00A877E2"/>
    <w:rsid w:val="00A87C20"/>
    <w:rsid w:val="00A90992"/>
    <w:rsid w:val="00A90C4D"/>
    <w:rsid w:val="00A918BA"/>
    <w:rsid w:val="00A92ACF"/>
    <w:rsid w:val="00A92CE3"/>
    <w:rsid w:val="00A93317"/>
    <w:rsid w:val="00A93F88"/>
    <w:rsid w:val="00A94055"/>
    <w:rsid w:val="00A94056"/>
    <w:rsid w:val="00A94231"/>
    <w:rsid w:val="00A94B5C"/>
    <w:rsid w:val="00A9529C"/>
    <w:rsid w:val="00A9558D"/>
    <w:rsid w:val="00A9577C"/>
    <w:rsid w:val="00A95D47"/>
    <w:rsid w:val="00A964CC"/>
    <w:rsid w:val="00A964D0"/>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27D2"/>
    <w:rsid w:val="00B131C6"/>
    <w:rsid w:val="00B13282"/>
    <w:rsid w:val="00B13596"/>
    <w:rsid w:val="00B156D1"/>
    <w:rsid w:val="00B16429"/>
    <w:rsid w:val="00B16743"/>
    <w:rsid w:val="00B16808"/>
    <w:rsid w:val="00B169A4"/>
    <w:rsid w:val="00B16D9A"/>
    <w:rsid w:val="00B20176"/>
    <w:rsid w:val="00B2055C"/>
    <w:rsid w:val="00B207D8"/>
    <w:rsid w:val="00B20C48"/>
    <w:rsid w:val="00B20D3C"/>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579"/>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E14"/>
    <w:rsid w:val="00BB2E88"/>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49B"/>
    <w:rsid w:val="00BD398B"/>
    <w:rsid w:val="00BD3A56"/>
    <w:rsid w:val="00BD5A3D"/>
    <w:rsid w:val="00BD61A8"/>
    <w:rsid w:val="00BD6459"/>
    <w:rsid w:val="00BD6714"/>
    <w:rsid w:val="00BD6A05"/>
    <w:rsid w:val="00BD6DF0"/>
    <w:rsid w:val="00BD745F"/>
    <w:rsid w:val="00BE1064"/>
    <w:rsid w:val="00BE14F4"/>
    <w:rsid w:val="00BE1820"/>
    <w:rsid w:val="00BE1D76"/>
    <w:rsid w:val="00BE1D92"/>
    <w:rsid w:val="00BE287F"/>
    <w:rsid w:val="00BE2C6C"/>
    <w:rsid w:val="00BE34DB"/>
    <w:rsid w:val="00BE3CD6"/>
    <w:rsid w:val="00BE3D65"/>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AFC"/>
    <w:rsid w:val="00C043FD"/>
    <w:rsid w:val="00C0478B"/>
    <w:rsid w:val="00C047D6"/>
    <w:rsid w:val="00C04836"/>
    <w:rsid w:val="00C0489F"/>
    <w:rsid w:val="00C0490D"/>
    <w:rsid w:val="00C05234"/>
    <w:rsid w:val="00C052D3"/>
    <w:rsid w:val="00C05AD0"/>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43A"/>
    <w:rsid w:val="00C22D7C"/>
    <w:rsid w:val="00C22E37"/>
    <w:rsid w:val="00C2370D"/>
    <w:rsid w:val="00C24249"/>
    <w:rsid w:val="00C2518F"/>
    <w:rsid w:val="00C2627F"/>
    <w:rsid w:val="00C26FDC"/>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5E23"/>
    <w:rsid w:val="00C364E8"/>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E23"/>
    <w:rsid w:val="00C833AB"/>
    <w:rsid w:val="00C837F9"/>
    <w:rsid w:val="00C84170"/>
    <w:rsid w:val="00C85E21"/>
    <w:rsid w:val="00C86421"/>
    <w:rsid w:val="00C8708C"/>
    <w:rsid w:val="00C87547"/>
    <w:rsid w:val="00C9049F"/>
    <w:rsid w:val="00C905E1"/>
    <w:rsid w:val="00C93360"/>
    <w:rsid w:val="00C934A7"/>
    <w:rsid w:val="00C9600E"/>
    <w:rsid w:val="00C96730"/>
    <w:rsid w:val="00C967BD"/>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72CB"/>
    <w:rsid w:val="00CC7564"/>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011"/>
    <w:rsid w:val="00D224E7"/>
    <w:rsid w:val="00D22FB3"/>
    <w:rsid w:val="00D236C2"/>
    <w:rsid w:val="00D23814"/>
    <w:rsid w:val="00D251AB"/>
    <w:rsid w:val="00D25292"/>
    <w:rsid w:val="00D25507"/>
    <w:rsid w:val="00D256E5"/>
    <w:rsid w:val="00D25A2C"/>
    <w:rsid w:val="00D26E1C"/>
    <w:rsid w:val="00D274D2"/>
    <w:rsid w:val="00D2786B"/>
    <w:rsid w:val="00D27D85"/>
    <w:rsid w:val="00D30D41"/>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574"/>
    <w:rsid w:val="00D87C5D"/>
    <w:rsid w:val="00D908C0"/>
    <w:rsid w:val="00D90DA0"/>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C65"/>
    <w:rsid w:val="00DA3CE0"/>
    <w:rsid w:val="00DA496B"/>
    <w:rsid w:val="00DA4E66"/>
    <w:rsid w:val="00DA4FA3"/>
    <w:rsid w:val="00DA5092"/>
    <w:rsid w:val="00DA6975"/>
    <w:rsid w:val="00DA6AC1"/>
    <w:rsid w:val="00DA7243"/>
    <w:rsid w:val="00DA77FA"/>
    <w:rsid w:val="00DA7D1C"/>
    <w:rsid w:val="00DB127E"/>
    <w:rsid w:val="00DB1C28"/>
    <w:rsid w:val="00DB288F"/>
    <w:rsid w:val="00DB2AAD"/>
    <w:rsid w:val="00DB3094"/>
    <w:rsid w:val="00DB3431"/>
    <w:rsid w:val="00DB3972"/>
    <w:rsid w:val="00DB3F40"/>
    <w:rsid w:val="00DB5EE3"/>
    <w:rsid w:val="00DB603C"/>
    <w:rsid w:val="00DB61C7"/>
    <w:rsid w:val="00DB6EF7"/>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AD"/>
    <w:rsid w:val="00DD6BDA"/>
    <w:rsid w:val="00DD707A"/>
    <w:rsid w:val="00DD776F"/>
    <w:rsid w:val="00DD7F79"/>
    <w:rsid w:val="00DE0573"/>
    <w:rsid w:val="00DE27E3"/>
    <w:rsid w:val="00DE2840"/>
    <w:rsid w:val="00DE2A9B"/>
    <w:rsid w:val="00DE348F"/>
    <w:rsid w:val="00DE3907"/>
    <w:rsid w:val="00DE3A0D"/>
    <w:rsid w:val="00DE4ACE"/>
    <w:rsid w:val="00DE5120"/>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F9D"/>
    <w:rsid w:val="00E2049B"/>
    <w:rsid w:val="00E205A9"/>
    <w:rsid w:val="00E2071B"/>
    <w:rsid w:val="00E20754"/>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5D"/>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3CC2"/>
    <w:rsid w:val="00E748B6"/>
    <w:rsid w:val="00E74950"/>
    <w:rsid w:val="00E753B5"/>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5EC"/>
    <w:rsid w:val="00EB0C1A"/>
    <w:rsid w:val="00EB15FB"/>
    <w:rsid w:val="00EB1E31"/>
    <w:rsid w:val="00EB1EA2"/>
    <w:rsid w:val="00EB21C2"/>
    <w:rsid w:val="00EB2466"/>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AD2"/>
    <w:rsid w:val="00EE558E"/>
    <w:rsid w:val="00EE5937"/>
    <w:rsid w:val="00EE645F"/>
    <w:rsid w:val="00EE678E"/>
    <w:rsid w:val="00EE6918"/>
    <w:rsid w:val="00EF072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B4C"/>
    <w:rsid w:val="00F27DA3"/>
    <w:rsid w:val="00F27E8A"/>
    <w:rsid w:val="00F3085A"/>
    <w:rsid w:val="00F30905"/>
    <w:rsid w:val="00F314A2"/>
    <w:rsid w:val="00F323A5"/>
    <w:rsid w:val="00F32894"/>
    <w:rsid w:val="00F32A44"/>
    <w:rsid w:val="00F32D4D"/>
    <w:rsid w:val="00F32F58"/>
    <w:rsid w:val="00F333B8"/>
    <w:rsid w:val="00F33A07"/>
    <w:rsid w:val="00F33B22"/>
    <w:rsid w:val="00F33B6F"/>
    <w:rsid w:val="00F34415"/>
    <w:rsid w:val="00F3478A"/>
    <w:rsid w:val="00F353BC"/>
    <w:rsid w:val="00F35686"/>
    <w:rsid w:val="00F3614C"/>
    <w:rsid w:val="00F3738D"/>
    <w:rsid w:val="00F37786"/>
    <w:rsid w:val="00F377DB"/>
    <w:rsid w:val="00F37AA3"/>
    <w:rsid w:val="00F37E99"/>
    <w:rsid w:val="00F40CD4"/>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93A"/>
    <w:rsid w:val="00F52AC0"/>
    <w:rsid w:val="00F52E2D"/>
    <w:rsid w:val="00F54084"/>
    <w:rsid w:val="00F549A1"/>
    <w:rsid w:val="00F5603F"/>
    <w:rsid w:val="00F5682E"/>
    <w:rsid w:val="00F57DA4"/>
    <w:rsid w:val="00F603F8"/>
    <w:rsid w:val="00F6062F"/>
    <w:rsid w:val="00F606A7"/>
    <w:rsid w:val="00F606C2"/>
    <w:rsid w:val="00F60715"/>
    <w:rsid w:val="00F60B09"/>
    <w:rsid w:val="00F61877"/>
    <w:rsid w:val="00F61ABE"/>
    <w:rsid w:val="00F61ACE"/>
    <w:rsid w:val="00F61D84"/>
    <w:rsid w:val="00F62810"/>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63BC"/>
    <w:rsid w:val="00FB6514"/>
    <w:rsid w:val="00FB6614"/>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500"/>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3DE"/>
    <w:rsid w:val="00FF2792"/>
    <w:rsid w:val="00FF59D0"/>
    <w:rsid w:val="00FF670F"/>
    <w:rsid w:val="00FF72F4"/>
    <w:rsid w:val="00FF7454"/>
    <w:rsid w:val="00FF7ED8"/>
    <w:rsid w:val="010648B5"/>
    <w:rsid w:val="01FB5C4F"/>
    <w:rsid w:val="0256548E"/>
    <w:rsid w:val="02890D36"/>
    <w:rsid w:val="029370C7"/>
    <w:rsid w:val="02F82C0D"/>
    <w:rsid w:val="02FF41F8"/>
    <w:rsid w:val="0314419D"/>
    <w:rsid w:val="036C68D6"/>
    <w:rsid w:val="039312D6"/>
    <w:rsid w:val="04000CEF"/>
    <w:rsid w:val="04E24159"/>
    <w:rsid w:val="04E81B1A"/>
    <w:rsid w:val="05097AD0"/>
    <w:rsid w:val="057065C1"/>
    <w:rsid w:val="05B339D0"/>
    <w:rsid w:val="05CC0E93"/>
    <w:rsid w:val="06443FD4"/>
    <w:rsid w:val="07277E4A"/>
    <w:rsid w:val="07B12937"/>
    <w:rsid w:val="08073E22"/>
    <w:rsid w:val="08822685"/>
    <w:rsid w:val="08FA104A"/>
    <w:rsid w:val="08FA57C7"/>
    <w:rsid w:val="09AA1547"/>
    <w:rsid w:val="0A765FB8"/>
    <w:rsid w:val="0A814349"/>
    <w:rsid w:val="0AF8308E"/>
    <w:rsid w:val="0B4170C0"/>
    <w:rsid w:val="0C2C19C1"/>
    <w:rsid w:val="0C483CB5"/>
    <w:rsid w:val="0C501787"/>
    <w:rsid w:val="0C5F0057"/>
    <w:rsid w:val="0CBB296F"/>
    <w:rsid w:val="0D8D654B"/>
    <w:rsid w:val="0DA914DF"/>
    <w:rsid w:val="0E263246"/>
    <w:rsid w:val="0E3015D7"/>
    <w:rsid w:val="0E6A02CB"/>
    <w:rsid w:val="0EB275D3"/>
    <w:rsid w:val="0EEB4915"/>
    <w:rsid w:val="0F3B2662"/>
    <w:rsid w:val="0FBA21EB"/>
    <w:rsid w:val="101500B2"/>
    <w:rsid w:val="10507C42"/>
    <w:rsid w:val="105A7962"/>
    <w:rsid w:val="109C3C4F"/>
    <w:rsid w:val="115C57C9"/>
    <w:rsid w:val="11F62C07"/>
    <w:rsid w:val="124F3295"/>
    <w:rsid w:val="13737B75"/>
    <w:rsid w:val="13AC582C"/>
    <w:rsid w:val="13B43E61"/>
    <w:rsid w:val="147719A1"/>
    <w:rsid w:val="148C1946"/>
    <w:rsid w:val="148D5ADC"/>
    <w:rsid w:val="14B8240A"/>
    <w:rsid w:val="151A1B70"/>
    <w:rsid w:val="15306BD1"/>
    <w:rsid w:val="154C7218"/>
    <w:rsid w:val="166770BE"/>
    <w:rsid w:val="16823F13"/>
    <w:rsid w:val="168D7598"/>
    <w:rsid w:val="16CF5AC0"/>
    <w:rsid w:val="1717330A"/>
    <w:rsid w:val="17707100"/>
    <w:rsid w:val="17853822"/>
    <w:rsid w:val="17E06C0C"/>
    <w:rsid w:val="17FD3064"/>
    <w:rsid w:val="18947263"/>
    <w:rsid w:val="18CF0341"/>
    <w:rsid w:val="18F71505"/>
    <w:rsid w:val="196C5A40"/>
    <w:rsid w:val="19C2556A"/>
    <w:rsid w:val="19C40CF3"/>
    <w:rsid w:val="19C41B53"/>
    <w:rsid w:val="1A2608F3"/>
    <w:rsid w:val="1A336B23"/>
    <w:rsid w:val="1A990E4A"/>
    <w:rsid w:val="1BCD57AB"/>
    <w:rsid w:val="1C0E1A98"/>
    <w:rsid w:val="1C490289"/>
    <w:rsid w:val="1C6F4FB4"/>
    <w:rsid w:val="1CA6768D"/>
    <w:rsid w:val="1CDB5968"/>
    <w:rsid w:val="1D175E0D"/>
    <w:rsid w:val="1D1F6145"/>
    <w:rsid w:val="1D54432D"/>
    <w:rsid w:val="1DFE4527"/>
    <w:rsid w:val="1E2D620F"/>
    <w:rsid w:val="1E422931"/>
    <w:rsid w:val="1F5E4382"/>
    <w:rsid w:val="20613DA2"/>
    <w:rsid w:val="20621846"/>
    <w:rsid w:val="208244E5"/>
    <w:rsid w:val="21B157E2"/>
    <w:rsid w:val="21BD09EA"/>
    <w:rsid w:val="21C734F7"/>
    <w:rsid w:val="21D2510C"/>
    <w:rsid w:val="22B60C01"/>
    <w:rsid w:val="22D20532"/>
    <w:rsid w:val="231879A1"/>
    <w:rsid w:val="239A46F7"/>
    <w:rsid w:val="2411343C"/>
    <w:rsid w:val="24841953"/>
    <w:rsid w:val="249F6523"/>
    <w:rsid w:val="25407ECB"/>
    <w:rsid w:val="25B84A72"/>
    <w:rsid w:val="266B176E"/>
    <w:rsid w:val="26CA35AD"/>
    <w:rsid w:val="27475E22"/>
    <w:rsid w:val="28B1694E"/>
    <w:rsid w:val="28BC0562"/>
    <w:rsid w:val="29747D10"/>
    <w:rsid w:val="298157D6"/>
    <w:rsid w:val="2A0C7E2E"/>
    <w:rsid w:val="2A2D713F"/>
    <w:rsid w:val="2A423861"/>
    <w:rsid w:val="2A63541A"/>
    <w:rsid w:val="2A8F5EDF"/>
    <w:rsid w:val="2AA84B6D"/>
    <w:rsid w:val="2ABF0192"/>
    <w:rsid w:val="2AFB6893"/>
    <w:rsid w:val="2B1971F4"/>
    <w:rsid w:val="2B581AD0"/>
    <w:rsid w:val="2B937D0B"/>
    <w:rsid w:val="2D1E580E"/>
    <w:rsid w:val="2E1E06B9"/>
    <w:rsid w:val="2EB61B31"/>
    <w:rsid w:val="2EF8259B"/>
    <w:rsid w:val="2F2954D5"/>
    <w:rsid w:val="2F9959A7"/>
    <w:rsid w:val="2FDE4A00"/>
    <w:rsid w:val="30A957E4"/>
    <w:rsid w:val="30C56DD2"/>
    <w:rsid w:val="31920282"/>
    <w:rsid w:val="3198766B"/>
    <w:rsid w:val="319D0DD6"/>
    <w:rsid w:val="32DE1F01"/>
    <w:rsid w:val="331630E9"/>
    <w:rsid w:val="335F6FD7"/>
    <w:rsid w:val="347142EF"/>
    <w:rsid w:val="34C131AF"/>
    <w:rsid w:val="34E87C04"/>
    <w:rsid w:val="35476355"/>
    <w:rsid w:val="356928AF"/>
    <w:rsid w:val="35D579E0"/>
    <w:rsid w:val="36013D27"/>
    <w:rsid w:val="36025D97"/>
    <w:rsid w:val="36E47B9D"/>
    <w:rsid w:val="376568F8"/>
    <w:rsid w:val="382B1499"/>
    <w:rsid w:val="38733E42"/>
    <w:rsid w:val="38C2712E"/>
    <w:rsid w:val="39A62C24"/>
    <w:rsid w:val="3A29797A"/>
    <w:rsid w:val="3A3E409C"/>
    <w:rsid w:val="3A5B7D04"/>
    <w:rsid w:val="3B1D351E"/>
    <w:rsid w:val="3B2575DE"/>
    <w:rsid w:val="3C682428"/>
    <w:rsid w:val="3D417B8C"/>
    <w:rsid w:val="3D4C5F1D"/>
    <w:rsid w:val="3E1A5671"/>
    <w:rsid w:val="3E5457B8"/>
    <w:rsid w:val="3E667CEF"/>
    <w:rsid w:val="3ED34AA0"/>
    <w:rsid w:val="3F2A54AE"/>
    <w:rsid w:val="3F6E789D"/>
    <w:rsid w:val="3FE04FF8"/>
    <w:rsid w:val="3FED2FEE"/>
    <w:rsid w:val="40B118C6"/>
    <w:rsid w:val="412874F2"/>
    <w:rsid w:val="41B4453B"/>
    <w:rsid w:val="42014C57"/>
    <w:rsid w:val="42161379"/>
    <w:rsid w:val="42AF6075"/>
    <w:rsid w:val="42CF43AB"/>
    <w:rsid w:val="42EE6E5E"/>
    <w:rsid w:val="43204EC2"/>
    <w:rsid w:val="43916D03"/>
    <w:rsid w:val="43C845C3"/>
    <w:rsid w:val="44B96BC9"/>
    <w:rsid w:val="46737A24"/>
    <w:rsid w:val="46CA0433"/>
    <w:rsid w:val="476E5110"/>
    <w:rsid w:val="48043D58"/>
    <w:rsid w:val="48516FB5"/>
    <w:rsid w:val="48686BDB"/>
    <w:rsid w:val="487565D5"/>
    <w:rsid w:val="48B459D5"/>
    <w:rsid w:val="49497D40"/>
    <w:rsid w:val="498A7FB7"/>
    <w:rsid w:val="4A9216E3"/>
    <w:rsid w:val="4AE820F1"/>
    <w:rsid w:val="4CC61682"/>
    <w:rsid w:val="4D463470"/>
    <w:rsid w:val="4E634927"/>
    <w:rsid w:val="4F105D44"/>
    <w:rsid w:val="4F355850"/>
    <w:rsid w:val="4F5C4B3F"/>
    <w:rsid w:val="4F8B14B0"/>
    <w:rsid w:val="4FB671CF"/>
    <w:rsid w:val="4FFD7F4B"/>
    <w:rsid w:val="501F5F01"/>
    <w:rsid w:val="50BF05A8"/>
    <w:rsid w:val="50C4051D"/>
    <w:rsid w:val="517B7F78"/>
    <w:rsid w:val="52077FA0"/>
    <w:rsid w:val="52F61E27"/>
    <w:rsid w:val="536F483D"/>
    <w:rsid w:val="53B4284D"/>
    <w:rsid w:val="545C6276"/>
    <w:rsid w:val="5479466B"/>
    <w:rsid w:val="556C60B3"/>
    <w:rsid w:val="561A74D1"/>
    <w:rsid w:val="57283E0B"/>
    <w:rsid w:val="574A1DC1"/>
    <w:rsid w:val="57C00B06"/>
    <w:rsid w:val="58021570"/>
    <w:rsid w:val="580E5197"/>
    <w:rsid w:val="5831455A"/>
    <w:rsid w:val="5863030F"/>
    <w:rsid w:val="58A453AE"/>
    <w:rsid w:val="58B05027"/>
    <w:rsid w:val="58F62B30"/>
    <w:rsid w:val="5906339C"/>
    <w:rsid w:val="592616D2"/>
    <w:rsid w:val="59341B00"/>
    <w:rsid w:val="599779BD"/>
    <w:rsid w:val="59DE0E81"/>
    <w:rsid w:val="59F55223"/>
    <w:rsid w:val="59FF3576"/>
    <w:rsid w:val="59FF35B4"/>
    <w:rsid w:val="5AE470AA"/>
    <w:rsid w:val="5B301727"/>
    <w:rsid w:val="5B5A5DEF"/>
    <w:rsid w:val="5BC56904"/>
    <w:rsid w:val="5C0A6E8C"/>
    <w:rsid w:val="5C3E11C1"/>
    <w:rsid w:val="5C5101F3"/>
    <w:rsid w:val="5CC96265"/>
    <w:rsid w:val="5CEC2D02"/>
    <w:rsid w:val="5D123FB4"/>
    <w:rsid w:val="5D2353DA"/>
    <w:rsid w:val="5E9D3F29"/>
    <w:rsid w:val="5F6D531F"/>
    <w:rsid w:val="5FAE2505"/>
    <w:rsid w:val="60056797"/>
    <w:rsid w:val="60CC1039"/>
    <w:rsid w:val="61094D40"/>
    <w:rsid w:val="614172DE"/>
    <w:rsid w:val="6160574F"/>
    <w:rsid w:val="61A64F1A"/>
    <w:rsid w:val="627C6237"/>
    <w:rsid w:val="642E2B59"/>
    <w:rsid w:val="649E7309"/>
    <w:rsid w:val="6511265D"/>
    <w:rsid w:val="651C4271"/>
    <w:rsid w:val="65A93AD5"/>
    <w:rsid w:val="662015C0"/>
    <w:rsid w:val="662B3EC2"/>
    <w:rsid w:val="66B25BAB"/>
    <w:rsid w:val="6808013C"/>
    <w:rsid w:val="68490BA5"/>
    <w:rsid w:val="68685A44"/>
    <w:rsid w:val="6872092B"/>
    <w:rsid w:val="68A320F0"/>
    <w:rsid w:val="68C10A03"/>
    <w:rsid w:val="68C86ED4"/>
    <w:rsid w:val="691702F9"/>
    <w:rsid w:val="692E7F1E"/>
    <w:rsid w:val="69430A4C"/>
    <w:rsid w:val="6A242849"/>
    <w:rsid w:val="6A7939F1"/>
    <w:rsid w:val="6ADF78E5"/>
    <w:rsid w:val="6B0B3C2C"/>
    <w:rsid w:val="6B634DE9"/>
    <w:rsid w:val="6B8D0D02"/>
    <w:rsid w:val="6C7C2B89"/>
    <w:rsid w:val="6CB30AE5"/>
    <w:rsid w:val="6D030D87"/>
    <w:rsid w:val="6D1118C0"/>
    <w:rsid w:val="6E2E6CFF"/>
    <w:rsid w:val="6E5145FD"/>
    <w:rsid w:val="6E92338D"/>
    <w:rsid w:val="6EA50F15"/>
    <w:rsid w:val="6EF2535F"/>
    <w:rsid w:val="6F1218C9"/>
    <w:rsid w:val="6F35142D"/>
    <w:rsid w:val="6FE10C9C"/>
    <w:rsid w:val="70257F20"/>
    <w:rsid w:val="70375E28"/>
    <w:rsid w:val="70593DDE"/>
    <w:rsid w:val="70A408DB"/>
    <w:rsid w:val="70FA34FE"/>
    <w:rsid w:val="716C763F"/>
    <w:rsid w:val="72401A80"/>
    <w:rsid w:val="7298562B"/>
    <w:rsid w:val="73047240"/>
    <w:rsid w:val="7352144A"/>
    <w:rsid w:val="74125278"/>
    <w:rsid w:val="7474619D"/>
    <w:rsid w:val="75435570"/>
    <w:rsid w:val="75C446E8"/>
    <w:rsid w:val="765E373E"/>
    <w:rsid w:val="76912AA8"/>
    <w:rsid w:val="76936197"/>
    <w:rsid w:val="76DC0A75"/>
    <w:rsid w:val="7845321E"/>
    <w:rsid w:val="78563D16"/>
    <w:rsid w:val="78F51C7B"/>
    <w:rsid w:val="7A2D6D03"/>
    <w:rsid w:val="7AF244C2"/>
    <w:rsid w:val="7B7619D9"/>
    <w:rsid w:val="7C460A98"/>
    <w:rsid w:val="7C8313D5"/>
    <w:rsid w:val="7CB1637A"/>
    <w:rsid w:val="7CC24A99"/>
    <w:rsid w:val="7D0564AB"/>
    <w:rsid w:val="7D5052A6"/>
    <w:rsid w:val="7DE50961"/>
    <w:rsid w:val="7E6F09CD"/>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45"/>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58"/>
    <w:qFormat/>
    <w:uiPriority w:val="0"/>
    <w:pPr>
      <w:keepNext/>
      <w:keepLines/>
      <w:spacing w:before="260" w:after="260" w:line="416" w:lineRule="auto"/>
      <w:outlineLvl w:val="2"/>
    </w:pPr>
    <w:rPr>
      <w:b/>
      <w:bCs/>
      <w:sz w:val="32"/>
      <w:szCs w:val="32"/>
    </w:rPr>
  </w:style>
  <w:style w:type="paragraph" w:styleId="6">
    <w:name w:val="heading 5"/>
    <w:basedOn w:val="1"/>
    <w:next w:val="7"/>
    <w:link w:val="125"/>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26"/>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2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28"/>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29"/>
    <w:qFormat/>
    <w:uiPriority w:val="0"/>
    <w:pPr>
      <w:keepNext/>
      <w:keepLines/>
      <w:numPr>
        <w:ilvl w:val="8"/>
        <w:numId w:val="1"/>
      </w:numPr>
      <w:spacing w:before="240" w:after="64" w:line="320" w:lineRule="auto"/>
      <w:outlineLvl w:val="8"/>
    </w:pPr>
    <w:rPr>
      <w:rFonts w:ascii="Arial" w:hAnsi="Arial" w:eastAsia="黑体"/>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99"/>
    <w:pPr>
      <w:spacing w:before="120" w:after="120" w:line="300" w:lineRule="auto"/>
    </w:pPr>
    <w:rPr>
      <w:rFonts w:ascii="宋体" w:hAnsi="宋体"/>
      <w:b/>
      <w:sz w:val="24"/>
      <w:szCs w:val="20"/>
    </w:rPr>
  </w:style>
  <w:style w:type="paragraph" w:styleId="7">
    <w:name w:val="Normal Indent"/>
    <w:basedOn w:val="1"/>
    <w:link w:val="56"/>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30"/>
    <w:qFormat/>
    <w:uiPriority w:val="0"/>
    <w:pPr>
      <w:shd w:val="clear" w:color="auto" w:fill="000080"/>
    </w:pPr>
  </w:style>
  <w:style w:type="paragraph" w:styleId="15">
    <w:name w:val="annotation text"/>
    <w:basedOn w:val="1"/>
    <w:link w:val="72"/>
    <w:qFormat/>
    <w:uiPriority w:val="0"/>
    <w:pPr>
      <w:jc w:val="left"/>
    </w:pPr>
  </w:style>
  <w:style w:type="paragraph" w:styleId="16">
    <w:name w:val="Body Text 3"/>
    <w:basedOn w:val="1"/>
    <w:link w:val="131"/>
    <w:qFormat/>
    <w:uiPriority w:val="0"/>
    <w:pPr>
      <w:spacing w:line="500" w:lineRule="exact"/>
    </w:pPr>
    <w:rPr>
      <w:b/>
      <w:bCs/>
      <w:sz w:val="24"/>
    </w:rPr>
  </w:style>
  <w:style w:type="paragraph" w:styleId="17">
    <w:name w:val="Body Text"/>
    <w:basedOn w:val="1"/>
    <w:link w:val="132"/>
    <w:qFormat/>
    <w:uiPriority w:val="0"/>
    <w:pPr>
      <w:spacing w:line="380" w:lineRule="exact"/>
    </w:pPr>
    <w:rPr>
      <w:sz w:val="24"/>
    </w:rPr>
  </w:style>
  <w:style w:type="paragraph" w:styleId="18">
    <w:name w:val="Body Text Indent"/>
    <w:basedOn w:val="1"/>
    <w:link w:val="65"/>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2"/>
    <w:qFormat/>
    <w:uiPriority w:val="0"/>
    <w:rPr>
      <w:rFonts w:ascii="宋体" w:hAnsi="Courier New" w:cs="Courier New"/>
      <w:szCs w:val="21"/>
    </w:rPr>
  </w:style>
  <w:style w:type="paragraph" w:styleId="22">
    <w:name w:val="Date"/>
    <w:basedOn w:val="1"/>
    <w:next w:val="1"/>
    <w:link w:val="133"/>
    <w:qFormat/>
    <w:uiPriority w:val="0"/>
    <w:pPr>
      <w:ind w:left="100" w:leftChars="2500"/>
    </w:pPr>
    <w:rPr>
      <w:rFonts w:ascii="宋体" w:hAnsi="Courier New" w:cs="Courier New"/>
      <w:szCs w:val="21"/>
    </w:rPr>
  </w:style>
  <w:style w:type="paragraph" w:styleId="23">
    <w:name w:val="Body Text Indent 2"/>
    <w:basedOn w:val="1"/>
    <w:link w:val="134"/>
    <w:qFormat/>
    <w:uiPriority w:val="0"/>
    <w:pPr>
      <w:ind w:firstLine="630"/>
    </w:pPr>
    <w:rPr>
      <w:sz w:val="32"/>
      <w:szCs w:val="20"/>
    </w:rPr>
  </w:style>
  <w:style w:type="paragraph" w:styleId="24">
    <w:name w:val="Balloon Text"/>
    <w:basedOn w:val="1"/>
    <w:link w:val="71"/>
    <w:qFormat/>
    <w:uiPriority w:val="0"/>
    <w:rPr>
      <w:sz w:val="18"/>
      <w:szCs w:val="18"/>
      <w:lang w:val="zh-CN"/>
    </w:rPr>
  </w:style>
  <w:style w:type="paragraph" w:styleId="25">
    <w:name w:val="footer"/>
    <w:basedOn w:val="1"/>
    <w:link w:val="67"/>
    <w:qFormat/>
    <w:uiPriority w:val="99"/>
    <w:pPr>
      <w:tabs>
        <w:tab w:val="center" w:pos="4153"/>
        <w:tab w:val="right" w:pos="8306"/>
      </w:tabs>
      <w:snapToGrid w:val="0"/>
      <w:jc w:val="left"/>
    </w:pPr>
    <w:rPr>
      <w:sz w:val="18"/>
      <w:szCs w:val="18"/>
      <w:lang w:val="zh-CN"/>
    </w:rPr>
  </w:style>
  <w:style w:type="paragraph" w:styleId="26">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0"/>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5"/>
    <w:qFormat/>
    <w:uiPriority w:val="0"/>
    <w:pPr>
      <w:spacing w:after="120"/>
      <w:ind w:left="420" w:leftChars="200"/>
    </w:pPr>
    <w:rPr>
      <w:sz w:val="16"/>
      <w:szCs w:val="16"/>
    </w:rPr>
  </w:style>
  <w:style w:type="paragraph" w:styleId="31">
    <w:name w:val="Body Text 2"/>
    <w:basedOn w:val="1"/>
    <w:link w:val="136"/>
    <w:qFormat/>
    <w:uiPriority w:val="0"/>
    <w:pPr>
      <w:spacing w:after="120" w:line="480" w:lineRule="auto"/>
    </w:pPr>
  </w:style>
  <w:style w:type="paragraph" w:styleId="32">
    <w:name w:val="HTML Preformatted"/>
    <w:basedOn w:val="1"/>
    <w:link w:val="1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5"/>
    <w:next w:val="15"/>
    <w:link w:val="82"/>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rFonts w:ascii="Times New Roman" w:hAnsi="Times New Roman" w:eastAsia="宋体" w:cs="Times New Roman"/>
      <w:b/>
      <w:bCs/>
    </w:rPr>
  </w:style>
  <w:style w:type="character" w:styleId="39">
    <w:name w:val="page number"/>
    <w:qFormat/>
    <w:uiPriority w:val="0"/>
    <w:rPr>
      <w:rFonts w:ascii="Times New Roman" w:hAnsi="Times New Roman" w:eastAsia="宋体" w:cs="Times New Roman"/>
    </w:rPr>
  </w:style>
  <w:style w:type="character" w:styleId="40">
    <w:name w:val="FollowedHyperlink"/>
    <w:basedOn w:val="37"/>
    <w:semiHidden/>
    <w:unhideWhenUsed/>
    <w:qFormat/>
    <w:uiPriority w:val="99"/>
    <w:rPr>
      <w:color w:val="954F72" w:themeColor="followedHyperlink"/>
      <w:u w:val="single"/>
      <w14:textFill>
        <w14:solidFill>
          <w14:schemeClr w14:val="folHlink"/>
        </w14:solidFill>
      </w14:textFill>
    </w:rPr>
  </w:style>
  <w:style w:type="character" w:styleId="41">
    <w:name w:val="Emphasis"/>
    <w:qFormat/>
    <w:uiPriority w:val="0"/>
    <w:rPr>
      <w:rFonts w:ascii="Times New Roman" w:hAnsi="Times New Roman" w:eastAsia="宋体" w:cs="Times New Roman"/>
      <w:color w:val="CC0033"/>
    </w:rPr>
  </w:style>
  <w:style w:type="character" w:styleId="42">
    <w:name w:val="Hyperlink"/>
    <w:qFormat/>
    <w:uiPriority w:val="99"/>
    <w:rPr>
      <w:rFonts w:ascii="Times New Roman" w:hAnsi="Times New Roman" w:eastAsia="宋体" w:cs="Times New Roman"/>
      <w:color w:val="0000FF"/>
      <w:u w:val="single"/>
    </w:rPr>
  </w:style>
  <w:style w:type="character" w:styleId="43">
    <w:name w:val="annotation reference"/>
    <w:qFormat/>
    <w:uiPriority w:val="0"/>
    <w:rPr>
      <w:rFonts w:ascii="Times New Roman" w:hAnsi="Times New Roman" w:eastAsia="宋体" w:cs="Times New Roman"/>
      <w:sz w:val="21"/>
      <w:szCs w:val="21"/>
    </w:rPr>
  </w:style>
  <w:style w:type="character" w:customStyle="1" w:styleId="44">
    <w:name w:val="标题 1 Char"/>
    <w:link w:val="3"/>
    <w:qFormat/>
    <w:uiPriority w:val="9"/>
    <w:rPr>
      <w:rFonts w:ascii="Times New Roman" w:hAnsi="Times New Roman" w:eastAsia="仿宋_GB2312" w:cs="Times New Roman"/>
      <w:b/>
      <w:bCs/>
      <w:kern w:val="44"/>
      <w:sz w:val="44"/>
      <w:szCs w:val="44"/>
      <w:lang w:val="en-US" w:eastAsia="zh-CN" w:bidi="ar-SA"/>
    </w:rPr>
  </w:style>
  <w:style w:type="character" w:customStyle="1" w:styleId="45">
    <w:name w:val="标题 2 Char"/>
    <w:link w:val="4"/>
    <w:qFormat/>
    <w:uiPriority w:val="9"/>
    <w:rPr>
      <w:rFonts w:ascii="Arial" w:hAnsi="Arial" w:eastAsia="黑体"/>
      <w:b/>
      <w:bCs/>
      <w:kern w:val="2"/>
      <w:sz w:val="24"/>
      <w:szCs w:val="32"/>
    </w:rPr>
  </w:style>
  <w:style w:type="character" w:customStyle="1" w:styleId="46">
    <w:name w:val="font21"/>
    <w:qFormat/>
    <w:uiPriority w:val="0"/>
    <w:rPr>
      <w:rFonts w:hint="eastAsia" w:ascii="宋体" w:hAnsi="宋体" w:eastAsia="宋体" w:cs="宋体"/>
      <w:color w:val="000000"/>
      <w:sz w:val="20"/>
      <w:szCs w:val="20"/>
    </w:rPr>
  </w:style>
  <w:style w:type="character" w:customStyle="1" w:styleId="47">
    <w:name w:val="st1"/>
    <w:qFormat/>
    <w:uiPriority w:val="0"/>
    <w:rPr>
      <w:rFonts w:ascii="Times New Roman" w:hAnsi="Times New Roman" w:eastAsia="宋体" w:cs="Times New Roman"/>
    </w:rPr>
  </w:style>
  <w:style w:type="character" w:customStyle="1" w:styleId="48">
    <w:name w:val="ca-2"/>
    <w:qFormat/>
    <w:uiPriority w:val="0"/>
    <w:rPr>
      <w:rFonts w:ascii="Times New Roman" w:hAnsi="Times New Roman" w:eastAsia="宋体" w:cs="Times New Roman"/>
    </w:rPr>
  </w:style>
  <w:style w:type="character" w:customStyle="1" w:styleId="49">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0">
    <w:name w:val="1ji Char"/>
    <w:link w:val="51"/>
    <w:qFormat/>
    <w:uiPriority w:val="0"/>
    <w:rPr>
      <w:rFonts w:ascii="宋体" w:hAnsi="宋体" w:eastAsia="仿宋_GB2312" w:cs="Times New Roman"/>
      <w:b/>
      <w:bCs/>
      <w:kern w:val="44"/>
      <w:sz w:val="36"/>
      <w:szCs w:val="44"/>
      <w:lang w:val="en-US" w:eastAsia="zh-CN" w:bidi="ar-SA"/>
    </w:rPr>
  </w:style>
  <w:style w:type="paragraph" w:customStyle="1" w:styleId="51">
    <w:name w:val="1ji"/>
    <w:basedOn w:val="3"/>
    <w:link w:val="50"/>
    <w:qFormat/>
    <w:uiPriority w:val="0"/>
    <w:pPr>
      <w:keepLines w:val="0"/>
      <w:widowControl/>
      <w:spacing w:before="0" w:after="0" w:line="240" w:lineRule="auto"/>
    </w:pPr>
    <w:rPr>
      <w:rFonts w:ascii="宋体" w:hAnsi="宋体"/>
      <w:sz w:val="36"/>
    </w:rPr>
  </w:style>
  <w:style w:type="character" w:customStyle="1" w:styleId="52">
    <w:name w:val="纯文本 Char"/>
    <w:link w:val="21"/>
    <w:qFormat/>
    <w:uiPriority w:val="0"/>
    <w:rPr>
      <w:rFonts w:ascii="宋体" w:hAnsi="Courier New" w:eastAsia="宋体" w:cs="Courier New"/>
      <w:kern w:val="2"/>
      <w:sz w:val="21"/>
      <w:szCs w:val="21"/>
      <w:lang w:val="en-US" w:eastAsia="zh-CN" w:bidi="ar-SA"/>
    </w:rPr>
  </w:style>
  <w:style w:type="character" w:customStyle="1" w:styleId="53">
    <w:name w:val="font41"/>
    <w:qFormat/>
    <w:uiPriority w:val="0"/>
    <w:rPr>
      <w:rFonts w:hint="default" w:ascii="Times New Roman" w:hAnsi="Times New Roman" w:eastAsia="宋体" w:cs="Times New Roman"/>
      <w:color w:val="000000"/>
      <w:sz w:val="20"/>
      <w:szCs w:val="20"/>
    </w:rPr>
  </w:style>
  <w:style w:type="character" w:customStyle="1" w:styleId="54">
    <w:name w:val="font31"/>
    <w:qFormat/>
    <w:uiPriority w:val="0"/>
    <w:rPr>
      <w:rFonts w:hint="default" w:ascii="Times New Roman" w:hAnsi="Times New Roman" w:eastAsia="宋体" w:cs="Times New Roman"/>
      <w:color w:val="000000"/>
      <w:sz w:val="20"/>
      <w:szCs w:val="20"/>
    </w:rPr>
  </w:style>
  <w:style w:type="character" w:customStyle="1" w:styleId="55">
    <w:name w:val="apple-style-span"/>
    <w:qFormat/>
    <w:uiPriority w:val="0"/>
    <w:rPr>
      <w:rFonts w:ascii="Times New Roman" w:hAnsi="Times New Roman" w:eastAsia="宋体" w:cs="Times New Roman"/>
    </w:rPr>
  </w:style>
  <w:style w:type="character" w:customStyle="1" w:styleId="56">
    <w:name w:val="正文缩进 Char"/>
    <w:link w:val="7"/>
    <w:qFormat/>
    <w:uiPriority w:val="0"/>
    <w:rPr>
      <w:rFonts w:ascii="Times New Roman" w:hAnsi="Times New Roman" w:eastAsia="宋体" w:cs="Times New Roman"/>
      <w:kern w:val="2"/>
      <w:sz w:val="21"/>
      <w:lang w:val="en-US" w:eastAsia="zh-CN" w:bidi="ar-SA"/>
    </w:rPr>
  </w:style>
  <w:style w:type="character" w:customStyle="1" w:styleId="57">
    <w:name w:val="font51"/>
    <w:qFormat/>
    <w:uiPriority w:val="0"/>
    <w:rPr>
      <w:rFonts w:hint="default" w:ascii="Times New Roman" w:hAnsi="Times New Roman" w:eastAsia="宋体" w:cs="Times New Roman"/>
      <w:color w:val="000000"/>
      <w:sz w:val="20"/>
      <w:szCs w:val="20"/>
    </w:rPr>
  </w:style>
  <w:style w:type="character" w:customStyle="1" w:styleId="58">
    <w:name w:val="标题 3 Char"/>
    <w:link w:val="5"/>
    <w:qFormat/>
    <w:uiPriority w:val="0"/>
    <w:rPr>
      <w:rFonts w:ascii="Times New Roman" w:hAnsi="Times New Roman" w:eastAsia="宋体" w:cs="Times New Roman"/>
      <w:b/>
      <w:bCs/>
      <w:kern w:val="2"/>
      <w:sz w:val="32"/>
      <w:szCs w:val="32"/>
      <w:lang w:val="en-US" w:eastAsia="zh-CN" w:bidi="ar-SA"/>
    </w:rPr>
  </w:style>
  <w:style w:type="character" w:customStyle="1" w:styleId="59">
    <w:name w:val="apple-converted-space"/>
    <w:qFormat/>
    <w:uiPriority w:val="0"/>
    <w:rPr>
      <w:rFonts w:ascii="Times New Roman" w:hAnsi="Times New Roman" w:eastAsia="宋体" w:cs="Times New Roman"/>
    </w:rPr>
  </w:style>
  <w:style w:type="character" w:customStyle="1" w:styleId="60">
    <w:name w:val="Header Char"/>
    <w:qFormat/>
    <w:uiPriority w:val="0"/>
    <w:rPr>
      <w:rFonts w:ascii="Calibri" w:hAnsi="Calibri" w:eastAsia="宋体" w:cs="Times New Roman"/>
      <w:kern w:val="2"/>
      <w:sz w:val="18"/>
      <w:szCs w:val="18"/>
      <w:lang w:val="en-US" w:eastAsia="zh-CN" w:bidi="ar-SA"/>
    </w:rPr>
  </w:style>
  <w:style w:type="character" w:customStyle="1" w:styleId="61">
    <w:name w:val="Footer Char"/>
    <w:qFormat/>
    <w:uiPriority w:val="0"/>
    <w:rPr>
      <w:rFonts w:ascii="Calibri" w:hAnsi="Calibri" w:eastAsia="宋体" w:cs="Times New Roman"/>
      <w:kern w:val="2"/>
      <w:sz w:val="18"/>
      <w:szCs w:val="18"/>
      <w:lang w:val="en-US" w:eastAsia="zh-CN" w:bidi="ar-SA"/>
    </w:rPr>
  </w:style>
  <w:style w:type="character" w:customStyle="1" w:styleId="62">
    <w:name w:val="Plain Text Char"/>
    <w:qFormat/>
    <w:uiPriority w:val="0"/>
    <w:rPr>
      <w:rFonts w:ascii="宋体" w:hAnsi="Courier New" w:eastAsia="宋体" w:cs="Times New Roman"/>
      <w:lang w:bidi="ar-SA"/>
    </w:rPr>
  </w:style>
  <w:style w:type="character" w:customStyle="1" w:styleId="63">
    <w:name w:val="普通文字 Char Char3"/>
    <w:qFormat/>
    <w:uiPriority w:val="0"/>
    <w:rPr>
      <w:rFonts w:ascii="宋体" w:hAnsi="Times New Roman" w:eastAsia="宋体" w:cs="Courier New"/>
      <w:kern w:val="2"/>
      <w:sz w:val="21"/>
      <w:szCs w:val="21"/>
      <w:lang w:val="en-US" w:eastAsia="zh-CN" w:bidi="ar-SA"/>
    </w:rPr>
  </w:style>
  <w:style w:type="character" w:customStyle="1" w:styleId="64">
    <w:name w:val="样式 正文 +"/>
    <w:qFormat/>
    <w:uiPriority w:val="0"/>
    <w:rPr>
      <w:rFonts w:ascii="Times New Roman" w:hAnsi="Times New Roman" w:eastAsia="宋体" w:cs="Times New Roman"/>
      <w:kern w:val="0"/>
      <w:sz w:val="28"/>
    </w:rPr>
  </w:style>
  <w:style w:type="character" w:customStyle="1" w:styleId="65">
    <w:name w:val="正文文本缩进 Char"/>
    <w:link w:val="18"/>
    <w:qFormat/>
    <w:uiPriority w:val="0"/>
    <w:rPr>
      <w:rFonts w:ascii="仿宋_GB2312" w:hAnsi="Times New Roman" w:eastAsia="仿宋_GB2312" w:cs="Times New Roman"/>
      <w:kern w:val="2"/>
      <w:sz w:val="32"/>
      <w:lang w:val="en-US" w:eastAsia="zh-CN" w:bidi="ar-SA"/>
    </w:rPr>
  </w:style>
  <w:style w:type="character" w:customStyle="1" w:styleId="66">
    <w:name w:val="普通文字 Char Char2"/>
    <w:qFormat/>
    <w:uiPriority w:val="0"/>
    <w:rPr>
      <w:rFonts w:ascii="宋体" w:hAnsi="Courier New" w:eastAsia="宋体" w:cs="Times New Roman"/>
      <w:kern w:val="2"/>
      <w:sz w:val="21"/>
      <w:lang w:val="en-US" w:eastAsia="zh-CN" w:bidi="ar-SA"/>
    </w:rPr>
  </w:style>
  <w:style w:type="character" w:customStyle="1" w:styleId="67">
    <w:name w:val="页脚 Char"/>
    <w:link w:val="25"/>
    <w:qFormat/>
    <w:uiPriority w:val="99"/>
    <w:rPr>
      <w:rFonts w:ascii="Times New Roman" w:hAnsi="Times New Roman" w:eastAsia="宋体" w:cs="Times New Roman"/>
      <w:kern w:val="2"/>
      <w:sz w:val="18"/>
      <w:szCs w:val="18"/>
    </w:rPr>
  </w:style>
  <w:style w:type="character" w:customStyle="1" w:styleId="68">
    <w:name w:val="样式 宋体 小四"/>
    <w:qFormat/>
    <w:uiPriority w:val="0"/>
    <w:rPr>
      <w:rFonts w:ascii="宋体" w:hAnsi="宋体" w:eastAsia="宋体" w:cs="Times New Roman"/>
      <w:sz w:val="24"/>
    </w:rPr>
  </w:style>
  <w:style w:type="character" w:customStyle="1" w:styleId="69">
    <w:name w:val="页眉 Char"/>
    <w:link w:val="26"/>
    <w:qFormat/>
    <w:uiPriority w:val="99"/>
    <w:rPr>
      <w:rFonts w:ascii="Times New Roman" w:hAnsi="Times New Roman" w:eastAsia="宋体" w:cs="Times New Roman"/>
      <w:kern w:val="2"/>
      <w:sz w:val="18"/>
      <w:szCs w:val="18"/>
      <w:lang w:val="en-US" w:eastAsia="zh-CN" w:bidi="ar-SA"/>
    </w:rPr>
  </w:style>
  <w:style w:type="character" w:customStyle="1" w:styleId="70">
    <w:name w:val="副标题 Char"/>
    <w:link w:val="28"/>
    <w:qFormat/>
    <w:uiPriority w:val="0"/>
    <w:rPr>
      <w:rFonts w:ascii="Cambria" w:hAnsi="Cambria" w:eastAsia="宋体" w:cs="Times New Roman"/>
      <w:b/>
      <w:bCs/>
      <w:kern w:val="28"/>
      <w:sz w:val="28"/>
      <w:szCs w:val="32"/>
      <w:lang w:val="en-US" w:eastAsia="zh-CN" w:bidi="ar-SA"/>
    </w:rPr>
  </w:style>
  <w:style w:type="character" w:customStyle="1" w:styleId="71">
    <w:name w:val="批注框文本 Char"/>
    <w:link w:val="24"/>
    <w:qFormat/>
    <w:uiPriority w:val="0"/>
    <w:rPr>
      <w:rFonts w:ascii="Times New Roman" w:hAnsi="Times New Roman" w:eastAsia="宋体" w:cs="Times New Roman"/>
      <w:kern w:val="2"/>
      <w:sz w:val="18"/>
      <w:szCs w:val="18"/>
    </w:rPr>
  </w:style>
  <w:style w:type="character" w:customStyle="1" w:styleId="72">
    <w:name w:val="批注文字 Char"/>
    <w:link w:val="15"/>
    <w:qFormat/>
    <w:uiPriority w:val="0"/>
    <w:rPr>
      <w:rFonts w:ascii="Times New Roman" w:hAnsi="Times New Roman" w:eastAsia="宋体" w:cs="Times New Roman"/>
      <w:kern w:val="2"/>
      <w:sz w:val="21"/>
      <w:szCs w:val="24"/>
      <w:lang w:val="en-US" w:eastAsia="zh-CN" w:bidi="ar-SA"/>
    </w:rPr>
  </w:style>
  <w:style w:type="character" w:customStyle="1" w:styleId="73">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4">
    <w:name w:val="ca-1"/>
    <w:qFormat/>
    <w:uiPriority w:val="0"/>
    <w:rPr>
      <w:rFonts w:ascii="Times New Roman" w:hAnsi="Times New Roman" w:eastAsia="宋体" w:cs="Times New Roman"/>
    </w:rPr>
  </w:style>
  <w:style w:type="character" w:customStyle="1" w:styleId="75">
    <w:name w:val="正文360首行缩进 Char"/>
    <w:link w:val="76"/>
    <w:qFormat/>
    <w:uiPriority w:val="0"/>
    <w:rPr>
      <w:rFonts w:ascii="Times New Roman" w:hAnsi="Times New Roman" w:eastAsia="宋体" w:cs="Times New Roman"/>
      <w:sz w:val="24"/>
      <w:szCs w:val="24"/>
    </w:rPr>
  </w:style>
  <w:style w:type="paragraph" w:customStyle="1" w:styleId="76">
    <w:name w:val="正文360首行缩进"/>
    <w:basedOn w:val="1"/>
    <w:link w:val="75"/>
    <w:qFormat/>
    <w:uiPriority w:val="0"/>
    <w:pPr>
      <w:widowControl/>
      <w:spacing w:before="120" w:line="300" w:lineRule="auto"/>
      <w:ind w:firstLine="200"/>
      <w:jc w:val="left"/>
    </w:pPr>
    <w:rPr>
      <w:kern w:val="0"/>
      <w:sz w:val="24"/>
    </w:rPr>
  </w:style>
  <w:style w:type="character" w:customStyle="1" w:styleId="77">
    <w:name w:val="List Paragraph Char"/>
    <w:link w:val="78"/>
    <w:qFormat/>
    <w:locked/>
    <w:uiPriority w:val="0"/>
    <w:rPr>
      <w:rFonts w:ascii="宋体" w:hAnsi="宋体" w:cs="宋体"/>
      <w:sz w:val="24"/>
      <w:szCs w:val="24"/>
    </w:rPr>
  </w:style>
  <w:style w:type="paragraph" w:customStyle="1" w:styleId="78">
    <w:name w:val="列表段落1"/>
    <w:basedOn w:val="1"/>
    <w:link w:val="77"/>
    <w:qFormat/>
    <w:uiPriority w:val="0"/>
    <w:pPr>
      <w:widowControl/>
      <w:ind w:firstLine="420" w:firstLineChars="200"/>
      <w:jc w:val="left"/>
    </w:pPr>
    <w:rPr>
      <w:rFonts w:ascii="宋体" w:hAnsi="宋体"/>
      <w:kern w:val="0"/>
      <w:sz w:val="24"/>
      <w:lang w:val="zh-CN"/>
    </w:rPr>
  </w:style>
  <w:style w:type="character" w:customStyle="1" w:styleId="79">
    <w:name w:val="yyii"/>
    <w:qFormat/>
    <w:uiPriority w:val="0"/>
    <w:rPr>
      <w:rFonts w:ascii="Times New Roman" w:hAnsi="Times New Roman" w:eastAsia="宋体" w:cs="Times New Roman"/>
    </w:rPr>
  </w:style>
  <w:style w:type="character" w:customStyle="1" w:styleId="80">
    <w:name w:val="纯文本 Char1"/>
    <w:qFormat/>
    <w:uiPriority w:val="0"/>
    <w:rPr>
      <w:rFonts w:ascii="宋体" w:hAnsi="Courier New" w:eastAsia="宋体" w:cs="Times New Roman"/>
      <w:kern w:val="2"/>
      <w:sz w:val="21"/>
    </w:rPr>
  </w:style>
  <w:style w:type="character" w:customStyle="1" w:styleId="81">
    <w:name w:val="标题 1 Char1"/>
    <w:qFormat/>
    <w:uiPriority w:val="0"/>
    <w:rPr>
      <w:rFonts w:ascii="Times New Roman" w:hAnsi="Times New Roman" w:eastAsia="宋体" w:cs="Times New Roman"/>
      <w:b/>
      <w:bCs/>
      <w:kern w:val="44"/>
      <w:sz w:val="44"/>
      <w:szCs w:val="44"/>
    </w:rPr>
  </w:style>
  <w:style w:type="character" w:customStyle="1" w:styleId="82">
    <w:name w:val="批注主题 Char"/>
    <w:link w:val="34"/>
    <w:qFormat/>
    <w:uiPriority w:val="0"/>
    <w:rPr>
      <w:rFonts w:ascii="Times New Roman" w:hAnsi="Times New Roman" w:eastAsia="宋体" w:cs="Times New Roman"/>
      <w:b/>
      <w:bCs/>
      <w:kern w:val="2"/>
      <w:sz w:val="21"/>
      <w:szCs w:val="24"/>
      <w:lang w:val="en-US" w:eastAsia="zh-CN" w:bidi="ar-SA"/>
    </w:rPr>
  </w:style>
  <w:style w:type="paragraph" w:customStyle="1" w:styleId="83">
    <w:name w:val="目录 11"/>
    <w:basedOn w:val="1"/>
    <w:next w:val="1"/>
    <w:qFormat/>
    <w:uiPriority w:val="39"/>
  </w:style>
  <w:style w:type="paragraph" w:customStyle="1" w:styleId="84">
    <w:name w:val="目录 21"/>
    <w:basedOn w:val="1"/>
    <w:next w:val="1"/>
    <w:qFormat/>
    <w:uiPriority w:val="39"/>
    <w:pPr>
      <w:tabs>
        <w:tab w:val="right" w:leader="dot" w:pos="9402"/>
      </w:tabs>
      <w:ind w:left="718" w:leftChars="200" w:hanging="298" w:hangingChars="142"/>
    </w:pPr>
  </w:style>
  <w:style w:type="paragraph" w:customStyle="1" w:styleId="85">
    <w:name w:val="目录 31"/>
    <w:basedOn w:val="1"/>
    <w:next w:val="1"/>
    <w:qFormat/>
    <w:uiPriority w:val="39"/>
    <w:pPr>
      <w:ind w:left="840" w:leftChars="400"/>
    </w:pPr>
  </w:style>
  <w:style w:type="paragraph" w:customStyle="1" w:styleId="86">
    <w:name w:val="正文首行缩进1"/>
    <w:basedOn w:val="17"/>
    <w:qFormat/>
    <w:uiPriority w:val="0"/>
    <w:pPr>
      <w:spacing w:after="120" w:line="240" w:lineRule="auto"/>
      <w:ind w:firstLine="420" w:firstLineChars="100"/>
    </w:pPr>
    <w:rPr>
      <w:sz w:val="21"/>
    </w:rPr>
  </w:style>
  <w:style w:type="paragraph" w:customStyle="1" w:styleId="87">
    <w:name w:val="Char Char1 Char Char Char Char"/>
    <w:basedOn w:val="14"/>
    <w:qFormat/>
    <w:uiPriority w:val="0"/>
    <w:rPr>
      <w:rFonts w:ascii="Tahoma" w:hAnsi="Tahoma"/>
      <w:sz w:val="24"/>
    </w:rPr>
  </w:style>
  <w:style w:type="paragraph" w:customStyle="1" w:styleId="88">
    <w:name w:val="列出段落1"/>
    <w:basedOn w:val="1"/>
    <w:qFormat/>
    <w:uiPriority w:val="99"/>
    <w:pPr>
      <w:ind w:firstLine="420" w:firstLineChars="200"/>
    </w:pPr>
    <w:rPr>
      <w:rFonts w:ascii="Calibri" w:hAnsi="Calibri"/>
    </w:rPr>
  </w:style>
  <w:style w:type="paragraph" w:customStyle="1" w:styleId="89">
    <w:name w:val="Char Char Char1 Char"/>
    <w:basedOn w:val="14"/>
    <w:qFormat/>
    <w:uiPriority w:val="0"/>
  </w:style>
  <w:style w:type="paragraph" w:customStyle="1" w:styleId="90">
    <w:name w:val="pa-5"/>
    <w:basedOn w:val="1"/>
    <w:qFormat/>
    <w:uiPriority w:val="0"/>
    <w:pPr>
      <w:widowControl/>
      <w:spacing w:before="150" w:after="150"/>
      <w:jc w:val="left"/>
    </w:pPr>
    <w:rPr>
      <w:rFonts w:ascii="宋体" w:hAnsi="宋体" w:cs="宋体"/>
      <w:kern w:val="0"/>
      <w:sz w:val="24"/>
    </w:rPr>
  </w:style>
  <w:style w:type="paragraph" w:customStyle="1" w:styleId="91">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2">
    <w:name w:val="Char Char1 Char Char Char Char1"/>
    <w:basedOn w:val="14"/>
    <w:qFormat/>
    <w:uiPriority w:val="0"/>
    <w:rPr>
      <w:rFonts w:ascii="Tahoma" w:hAnsi="Tahoma"/>
      <w:sz w:val="24"/>
    </w:rPr>
  </w:style>
  <w:style w:type="paragraph" w:customStyle="1" w:styleId="93">
    <w:name w:val="_Style 35"/>
    <w:basedOn w:val="14"/>
    <w:qFormat/>
    <w:uiPriority w:val="0"/>
    <w:pPr>
      <w:widowControl/>
      <w:ind w:firstLine="454"/>
      <w:jc w:val="left"/>
    </w:pPr>
  </w:style>
  <w:style w:type="paragraph" w:customStyle="1" w:styleId="94">
    <w:name w:val="5 Char Char Char Char Char Char Char Char Char Char"/>
    <w:basedOn w:val="1"/>
    <w:qFormat/>
    <w:uiPriority w:val="0"/>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6">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97">
    <w:name w:val="默认段落字体 Para Char"/>
    <w:basedOn w:val="1"/>
    <w:qFormat/>
    <w:uiPriority w:val="0"/>
    <w:rPr>
      <w:szCs w:val="20"/>
    </w:rPr>
  </w:style>
  <w:style w:type="paragraph" w:customStyle="1" w:styleId="98">
    <w:name w:val="表格文字"/>
    <w:basedOn w:val="1"/>
    <w:qFormat/>
    <w:uiPriority w:val="0"/>
    <w:pPr>
      <w:spacing w:before="25" w:after="25"/>
      <w:jc w:val="left"/>
    </w:pPr>
    <w:rPr>
      <w:bCs/>
      <w:spacing w:val="10"/>
      <w:kern w:val="0"/>
      <w:sz w:val="24"/>
    </w:rPr>
  </w:style>
  <w:style w:type="paragraph" w:customStyle="1" w:styleId="99">
    <w:name w:val="_Style 7"/>
    <w:basedOn w:val="14"/>
    <w:qFormat/>
    <w:uiPriority w:val="0"/>
  </w:style>
  <w:style w:type="paragraph" w:customStyle="1" w:styleId="10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默认段落字体 Para Char Char Char Char Char Char Char Char Char1 Char Char Char Char"/>
    <w:basedOn w:val="1"/>
    <w:qFormat/>
    <w:uiPriority w:val="0"/>
    <w:rPr>
      <w:rFonts w:ascii="Tahoma" w:hAnsi="Tahoma"/>
      <w:sz w:val="24"/>
      <w:szCs w:val="20"/>
    </w:rPr>
  </w:style>
  <w:style w:type="paragraph" w:customStyle="1" w:styleId="102">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3">
    <w:name w:val="样式 小四 行距: 1.5 倍行距"/>
    <w:basedOn w:val="1"/>
    <w:qFormat/>
    <w:uiPriority w:val="0"/>
    <w:pPr>
      <w:spacing w:line="360" w:lineRule="auto"/>
      <w:ind w:firstLine="480" w:firstLineChars="200"/>
    </w:pPr>
    <w:rPr>
      <w:rFonts w:cs="宋体"/>
      <w:sz w:val="24"/>
      <w:szCs w:val="20"/>
    </w:rPr>
  </w:style>
  <w:style w:type="paragraph" w:customStyle="1" w:styleId="104">
    <w:name w:val="p0"/>
    <w:basedOn w:val="1"/>
    <w:qFormat/>
    <w:uiPriority w:val="0"/>
    <w:pPr>
      <w:widowControl/>
    </w:pPr>
    <w:rPr>
      <w:rFonts w:ascii="宋体" w:hAnsi="宋体" w:cs="宋体"/>
      <w:kern w:val="0"/>
      <w:szCs w:val="21"/>
    </w:rPr>
  </w:style>
  <w:style w:type="paragraph" w:customStyle="1" w:styleId="105">
    <w:name w:val="Char Char Char Char Char Char Char Char Char Char Char Char"/>
    <w:basedOn w:val="1"/>
    <w:qFormat/>
    <w:uiPriority w:val="0"/>
    <w:pPr>
      <w:widowControl/>
      <w:spacing w:after="160" w:line="240" w:lineRule="exact"/>
      <w:jc w:val="left"/>
    </w:pPr>
  </w:style>
  <w:style w:type="paragraph" w:customStyle="1" w:styleId="106">
    <w:name w:val="Char Char Char1 Char1"/>
    <w:basedOn w:val="1"/>
    <w:qFormat/>
    <w:uiPriority w:val="0"/>
    <w:rPr>
      <w:rFonts w:ascii="Calibri" w:hAnsi="Calibri"/>
      <w:szCs w:val="22"/>
    </w:rPr>
  </w:style>
  <w:style w:type="paragraph" w:customStyle="1" w:styleId="107">
    <w:name w:val="Char Char Char Char Char Char Char"/>
    <w:basedOn w:val="1"/>
    <w:qFormat/>
    <w:uiPriority w:val="0"/>
  </w:style>
  <w:style w:type="paragraph" w:customStyle="1" w:styleId="108">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09">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0">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2">
    <w:name w:val="Char"/>
    <w:basedOn w:val="14"/>
    <w:qFormat/>
    <w:uiPriority w:val="0"/>
    <w:pPr>
      <w:widowControl/>
      <w:ind w:firstLine="454"/>
      <w:jc w:val="left"/>
    </w:pPr>
    <w:rPr>
      <w:rFonts w:ascii="Tahoma" w:hAnsi="Tahoma" w:cs="宋体"/>
      <w:kern w:val="0"/>
      <w:sz w:val="24"/>
      <w:szCs w:val="20"/>
    </w:rPr>
  </w:style>
  <w:style w:type="paragraph" w:customStyle="1" w:styleId="113">
    <w:name w:val="Char1"/>
    <w:basedOn w:val="14"/>
    <w:qFormat/>
    <w:uiPriority w:val="0"/>
    <w:pPr>
      <w:widowControl/>
      <w:ind w:firstLine="454"/>
      <w:jc w:val="left"/>
    </w:pPr>
    <w:rPr>
      <w:rFonts w:ascii="Tahoma" w:hAnsi="Tahoma" w:cs="宋体"/>
      <w:kern w:val="0"/>
      <w:sz w:val="24"/>
      <w:szCs w:val="20"/>
    </w:rPr>
  </w:style>
  <w:style w:type="paragraph" w:customStyle="1" w:styleId="114">
    <w:name w:val="1"/>
    <w:basedOn w:val="1"/>
    <w:next w:val="21"/>
    <w:qFormat/>
    <w:uiPriority w:val="0"/>
    <w:rPr>
      <w:rFonts w:ascii="宋体" w:hAnsi="Courier New"/>
      <w:szCs w:val="20"/>
    </w:rPr>
  </w:style>
  <w:style w:type="paragraph" w:customStyle="1" w:styleId="115">
    <w:name w:val="_Style 2"/>
    <w:basedOn w:val="1"/>
    <w:qFormat/>
    <w:uiPriority w:val="0"/>
    <w:pPr>
      <w:ind w:firstLine="420" w:firstLineChars="200"/>
    </w:pPr>
  </w:style>
  <w:style w:type="paragraph" w:customStyle="1" w:styleId="116">
    <w:name w:val="正文段"/>
    <w:basedOn w:val="1"/>
    <w:qFormat/>
    <w:uiPriority w:val="0"/>
    <w:pPr>
      <w:widowControl/>
      <w:snapToGrid w:val="0"/>
      <w:spacing w:after="156" w:afterLines="50"/>
      <w:ind w:firstLine="200" w:firstLineChars="200"/>
    </w:pPr>
    <w:rPr>
      <w:kern w:val="0"/>
      <w:sz w:val="24"/>
      <w:szCs w:val="20"/>
    </w:rPr>
  </w:style>
  <w:style w:type="paragraph" w:customStyle="1" w:styleId="117">
    <w:name w:val="列出段落2"/>
    <w:basedOn w:val="1"/>
    <w:qFormat/>
    <w:uiPriority w:val="34"/>
    <w:pPr>
      <w:ind w:firstLine="420" w:firstLineChars="200"/>
    </w:pPr>
    <w:rPr>
      <w:rFonts w:ascii="Calibri" w:hAnsi="Calibri"/>
      <w:szCs w:val="22"/>
    </w:rPr>
  </w:style>
  <w:style w:type="paragraph" w:styleId="11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9">
    <w:name w:val="未处理的提及1"/>
    <w:basedOn w:val="37"/>
    <w:semiHidden/>
    <w:unhideWhenUsed/>
    <w:qFormat/>
    <w:uiPriority w:val="99"/>
    <w:rPr>
      <w:color w:val="605E5C"/>
      <w:shd w:val="clear" w:color="auto" w:fill="E1DFDD"/>
    </w:rPr>
  </w:style>
  <w:style w:type="character" w:customStyle="1" w:styleId="120">
    <w:name w:val="font81"/>
    <w:basedOn w:val="37"/>
    <w:qFormat/>
    <w:uiPriority w:val="0"/>
    <w:rPr>
      <w:rFonts w:hint="eastAsia" w:ascii="宋体" w:hAnsi="宋体" w:eastAsia="宋体" w:cs="宋体"/>
      <w:color w:val="000000"/>
      <w:sz w:val="18"/>
      <w:szCs w:val="18"/>
      <w:u w:val="none"/>
    </w:rPr>
  </w:style>
  <w:style w:type="paragraph" w:styleId="121">
    <w:name w:val="List Paragraph"/>
    <w:basedOn w:val="1"/>
    <w:qFormat/>
    <w:uiPriority w:val="34"/>
    <w:pPr>
      <w:ind w:firstLine="420" w:firstLineChars="200"/>
    </w:pPr>
  </w:style>
  <w:style w:type="character" w:customStyle="1" w:styleId="122">
    <w:name w:val="Unresolved Mention"/>
    <w:basedOn w:val="37"/>
    <w:semiHidden/>
    <w:unhideWhenUsed/>
    <w:qFormat/>
    <w:uiPriority w:val="99"/>
    <w:rPr>
      <w:color w:val="605E5C"/>
      <w:shd w:val="clear" w:color="auto" w:fill="E1DFDD"/>
    </w:rPr>
  </w:style>
  <w:style w:type="character" w:customStyle="1" w:styleId="123">
    <w:name w:val="纯文本 字符1"/>
    <w:qFormat/>
    <w:uiPriority w:val="0"/>
    <w:rPr>
      <w:rFonts w:ascii="宋体" w:hAnsi="Courier New" w:eastAsia="宋体" w:cs="Courier New"/>
      <w:kern w:val="2"/>
      <w:sz w:val="21"/>
      <w:szCs w:val="21"/>
      <w:lang w:val="en-US" w:eastAsia="zh-CN" w:bidi="ar-SA"/>
    </w:rPr>
  </w:style>
  <w:style w:type="paragraph" w:customStyle="1" w:styleId="124">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5">
    <w:name w:val="标题 5 Char"/>
    <w:basedOn w:val="37"/>
    <w:link w:val="6"/>
    <w:qFormat/>
    <w:uiPriority w:val="0"/>
    <w:rPr>
      <w:b/>
      <w:kern w:val="2"/>
      <w:sz w:val="28"/>
      <w:szCs w:val="24"/>
    </w:rPr>
  </w:style>
  <w:style w:type="character" w:customStyle="1" w:styleId="126">
    <w:name w:val="标题 6 Char"/>
    <w:basedOn w:val="37"/>
    <w:link w:val="8"/>
    <w:qFormat/>
    <w:uiPriority w:val="0"/>
    <w:rPr>
      <w:rFonts w:ascii="Arial" w:hAnsi="Arial" w:eastAsia="黑体"/>
      <w:b/>
      <w:kern w:val="2"/>
      <w:sz w:val="24"/>
      <w:szCs w:val="24"/>
    </w:rPr>
  </w:style>
  <w:style w:type="character" w:customStyle="1" w:styleId="127">
    <w:name w:val="标题 7 Char"/>
    <w:basedOn w:val="37"/>
    <w:link w:val="9"/>
    <w:qFormat/>
    <w:uiPriority w:val="0"/>
    <w:rPr>
      <w:b/>
      <w:kern w:val="2"/>
      <w:sz w:val="24"/>
      <w:szCs w:val="24"/>
    </w:rPr>
  </w:style>
  <w:style w:type="character" w:customStyle="1" w:styleId="128">
    <w:name w:val="标题 8 Char"/>
    <w:basedOn w:val="37"/>
    <w:link w:val="10"/>
    <w:qFormat/>
    <w:uiPriority w:val="0"/>
    <w:rPr>
      <w:rFonts w:ascii="Arial" w:hAnsi="Arial" w:eastAsia="黑体"/>
      <w:kern w:val="2"/>
      <w:sz w:val="24"/>
      <w:szCs w:val="24"/>
    </w:rPr>
  </w:style>
  <w:style w:type="character" w:customStyle="1" w:styleId="129">
    <w:name w:val="标题 9 Char"/>
    <w:basedOn w:val="37"/>
    <w:link w:val="11"/>
    <w:qFormat/>
    <w:uiPriority w:val="0"/>
    <w:rPr>
      <w:rFonts w:ascii="Arial" w:hAnsi="Arial" w:eastAsia="黑体"/>
      <w:kern w:val="2"/>
      <w:sz w:val="21"/>
      <w:szCs w:val="24"/>
    </w:rPr>
  </w:style>
  <w:style w:type="character" w:customStyle="1" w:styleId="130">
    <w:name w:val="文档结构图 Char"/>
    <w:basedOn w:val="37"/>
    <w:link w:val="14"/>
    <w:qFormat/>
    <w:uiPriority w:val="0"/>
    <w:rPr>
      <w:kern w:val="2"/>
      <w:sz w:val="21"/>
      <w:szCs w:val="24"/>
      <w:shd w:val="clear" w:color="auto" w:fill="000080"/>
    </w:rPr>
  </w:style>
  <w:style w:type="character" w:customStyle="1" w:styleId="131">
    <w:name w:val="正文文本 3 Char"/>
    <w:basedOn w:val="37"/>
    <w:link w:val="16"/>
    <w:qFormat/>
    <w:uiPriority w:val="0"/>
    <w:rPr>
      <w:b/>
      <w:bCs/>
      <w:kern w:val="2"/>
      <w:sz w:val="24"/>
      <w:szCs w:val="24"/>
    </w:rPr>
  </w:style>
  <w:style w:type="character" w:customStyle="1" w:styleId="132">
    <w:name w:val="正文文本 Char"/>
    <w:basedOn w:val="37"/>
    <w:link w:val="17"/>
    <w:qFormat/>
    <w:uiPriority w:val="0"/>
    <w:rPr>
      <w:kern w:val="2"/>
      <w:sz w:val="24"/>
      <w:szCs w:val="24"/>
    </w:rPr>
  </w:style>
  <w:style w:type="character" w:customStyle="1" w:styleId="133">
    <w:name w:val="日期 Char"/>
    <w:basedOn w:val="37"/>
    <w:link w:val="22"/>
    <w:qFormat/>
    <w:uiPriority w:val="0"/>
    <w:rPr>
      <w:rFonts w:ascii="宋体" w:hAnsi="Courier New" w:cs="Courier New"/>
      <w:kern w:val="2"/>
      <w:sz w:val="21"/>
      <w:szCs w:val="21"/>
    </w:rPr>
  </w:style>
  <w:style w:type="character" w:customStyle="1" w:styleId="134">
    <w:name w:val="正文文本缩进 2 Char"/>
    <w:basedOn w:val="37"/>
    <w:link w:val="23"/>
    <w:qFormat/>
    <w:uiPriority w:val="0"/>
    <w:rPr>
      <w:kern w:val="2"/>
      <w:sz w:val="32"/>
    </w:rPr>
  </w:style>
  <w:style w:type="character" w:customStyle="1" w:styleId="135">
    <w:name w:val="正文文本缩进 3 Char"/>
    <w:basedOn w:val="37"/>
    <w:link w:val="30"/>
    <w:qFormat/>
    <w:uiPriority w:val="0"/>
    <w:rPr>
      <w:kern w:val="2"/>
      <w:sz w:val="16"/>
      <w:szCs w:val="16"/>
    </w:rPr>
  </w:style>
  <w:style w:type="character" w:customStyle="1" w:styleId="136">
    <w:name w:val="正文文本 2 Char"/>
    <w:basedOn w:val="37"/>
    <w:link w:val="31"/>
    <w:qFormat/>
    <w:uiPriority w:val="0"/>
    <w:rPr>
      <w:kern w:val="2"/>
      <w:sz w:val="21"/>
      <w:szCs w:val="24"/>
    </w:rPr>
  </w:style>
  <w:style w:type="character" w:customStyle="1" w:styleId="137">
    <w:name w:val="HTML 预设格式 Char"/>
    <w:basedOn w:val="37"/>
    <w:link w:val="32"/>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55835</Words>
  <Characters>60705</Characters>
  <Lines>497</Lines>
  <Paragraphs>139</Paragraphs>
  <TotalTime>6</TotalTime>
  <ScaleCrop>false</ScaleCrop>
  <LinksUpToDate>false</LinksUpToDate>
  <CharactersWithSpaces>64635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2025-01-17T09:44:00Z</dcterms:created>
  <dc:creator>Huang Qian</dc:creator>
  <cp:lastModifiedBy>Lenovo</cp:lastModifiedBy>
  <cp:lastPrinted>2025-03-26T07:56:00Z</cp:lastPrinted>
  <dcterms:modified xsi:type="dcterms:W3CDTF">2025-05-16T02:56:02Z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AC6F3E29537D4C4CAB4BA8F24010FF49</vt:lpwstr>
  </property>
  <property fmtid="{D5CDD505-2E9C-101B-9397-08002B2CF9AE}" pid="4" name="KSOTemplateDocerSaveRecord">
    <vt:lpwstr>eyJoZGlkIjoiODEwYzk0OGIwYjZiMmQzZmRmZWI2MDcxMzQ1MWNkZTAifQ==</vt:lpwstr>
  </property>
</Properties>
</file>