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1" w:firstLine="0" w:firstLineChars="0"/>
      </w:pPr>
    </w:p>
    <w:p>
      <w:pPr>
        <w:spacing w:before="156" w:beforeLines="50" w:line="1600" w:lineRule="exact"/>
        <w:ind w:left="634" w:leftChars="-64" w:hanging="768" w:hangingChars="64"/>
        <w:jc w:val="center"/>
        <w:rPr>
          <w:rFonts w:hint="eastAsia" w:ascii="方正小标宋_GBK" w:hAnsi="宋体" w:eastAsia="方正小标宋_GBK"/>
          <w:sz w:val="120"/>
          <w:szCs w:val="120"/>
        </w:rPr>
      </w:pPr>
      <w:r>
        <w:rPr>
          <w:rFonts w:hint="eastAsia" w:ascii="方正小标宋_GBK" w:hAnsi="宋体" w:eastAsia="方正小标宋_GBK"/>
          <w:sz w:val="120"/>
          <w:szCs w:val="120"/>
        </w:rPr>
        <w:t>招标文件</w:t>
      </w: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snapToGrid w:val="0"/>
        <w:spacing w:before="156" w:beforeLines="50" w:line="320" w:lineRule="exact"/>
        <w:ind w:left="2976" w:hanging="2976" w:hangingChars="954"/>
        <w:rPr>
          <w:rFonts w:hint="eastAsia" w:ascii="方正小标宋_GBK" w:hAnsi="宋体" w:eastAsia="方正小标宋_GBK"/>
          <w:sz w:val="30"/>
          <w:szCs w:val="72"/>
          <w:lang w:eastAsia="zh-CN"/>
        </w:rPr>
      </w:pPr>
      <w:r>
        <w:rPr>
          <w:rFonts w:hint="eastAsia" w:ascii="方正小标宋_GBK" w:hAnsi="宋体" w:eastAsia="方正小标宋_GBK"/>
          <w:spacing w:val="6"/>
          <w:sz w:val="30"/>
          <w:szCs w:val="72"/>
        </w:rPr>
        <w:t xml:space="preserve">        项目名称</w:t>
      </w:r>
      <w:r>
        <w:rPr>
          <w:rFonts w:hint="eastAsia" w:ascii="方正小标宋_GBK" w:hAnsi="宋体" w:eastAsia="方正小标宋_GBK"/>
          <w:sz w:val="30"/>
          <w:szCs w:val="72"/>
        </w:rPr>
        <w:t>:</w:t>
      </w:r>
      <w:bookmarkStart w:id="0" w:name="_Hlk179639570"/>
      <w:r>
        <w:rPr>
          <w:rFonts w:hint="eastAsia" w:ascii="方正小标宋_GBK" w:hAnsi="宋体" w:eastAsia="方正小标宋_GBK"/>
          <w:sz w:val="30"/>
          <w:szCs w:val="72"/>
          <w:lang w:eastAsia="zh-CN"/>
        </w:rPr>
        <w:t>浦北县第一职业技术学校音乐展厅及校园智慧</w:t>
      </w:r>
    </w:p>
    <w:p>
      <w:pPr>
        <w:snapToGrid w:val="0"/>
        <w:spacing w:before="156" w:beforeLines="50" w:line="320" w:lineRule="exact"/>
        <w:ind w:left="2834" w:leftChars="1278" w:hanging="150" w:hangingChars="50"/>
        <w:rPr>
          <w:rFonts w:hint="eastAsia" w:ascii="方正小标宋_GBK" w:hAnsi="宋体" w:eastAsia="方正小标宋_GBK"/>
          <w:sz w:val="30"/>
          <w:szCs w:val="72"/>
          <w:lang w:eastAsia="zh-CN"/>
        </w:rPr>
      </w:pPr>
      <w:r>
        <w:rPr>
          <w:rFonts w:hint="eastAsia" w:ascii="方正小标宋_GBK" w:hAnsi="宋体" w:eastAsia="方正小标宋_GBK"/>
          <w:sz w:val="30"/>
          <w:szCs w:val="72"/>
          <w:lang w:eastAsia="zh-CN"/>
        </w:rPr>
        <w:t>办公系统建设</w:t>
      </w:r>
    </w:p>
    <w:bookmarkEnd w:id="0"/>
    <w:p>
      <w:pPr>
        <w:snapToGrid w:val="0"/>
        <w:spacing w:before="156" w:beforeLines="50"/>
        <w:ind w:firstLine="0" w:firstLineChars="0"/>
        <w:rPr>
          <w:rFonts w:hint="eastAsia" w:ascii="方正小标宋_GBK" w:hAnsi="宋体" w:eastAsia="宋体"/>
          <w:b/>
          <w:bCs/>
          <w:sz w:val="30"/>
          <w:szCs w:val="30"/>
          <w:lang w:eastAsia="zh-CN"/>
        </w:rPr>
      </w:pPr>
      <w:r>
        <w:rPr>
          <w:rFonts w:hint="eastAsia" w:ascii="方正小标宋_GBK" w:hAnsi="宋体" w:eastAsia="方正小标宋_GBK"/>
          <w:spacing w:val="6"/>
          <w:sz w:val="30"/>
          <w:szCs w:val="72"/>
        </w:rPr>
        <w:t xml:space="preserve">        项目编号</w:t>
      </w:r>
      <w:r>
        <w:rPr>
          <w:rFonts w:hint="eastAsia" w:ascii="方正小标宋_GBK" w:hAnsi="宋体" w:eastAsia="方正小标宋_GBK"/>
          <w:sz w:val="30"/>
          <w:szCs w:val="72"/>
        </w:rPr>
        <w:t>:</w:t>
      </w:r>
      <w:r>
        <w:t xml:space="preserve"> </w:t>
      </w:r>
      <w:r>
        <w:rPr>
          <w:rFonts w:hint="eastAsia" w:ascii="方正小标宋_GBK" w:hAnsi="宋体" w:eastAsia="方正小标宋_GBK"/>
          <w:bCs/>
          <w:sz w:val="30"/>
          <w:szCs w:val="30"/>
          <w:lang w:eastAsia="zh-CN"/>
        </w:rPr>
        <w:t>QZZC2025-G1-220225-QZSZ</w:t>
      </w: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ind w:left="-2" w:leftChars="-1" w:firstLine="0" w:firstLineChars="0"/>
      </w:pPr>
    </w:p>
    <w:p>
      <w:pPr>
        <w:spacing w:line="360" w:lineRule="exact"/>
        <w:ind w:firstLine="0" w:firstLineChars="0"/>
        <w:jc w:val="center"/>
        <w:rPr>
          <w:rFonts w:hint="eastAsia"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snapToGrid w:val="0"/>
        <w:spacing w:before="156" w:beforeLines="50" w:line="360" w:lineRule="exact"/>
        <w:ind w:left="420" w:hanging="420" w:firstLineChars="0"/>
        <w:jc w:val="center"/>
        <w:rPr>
          <w:rFonts w:hint="eastAsia" w:ascii="方正小标宋_GBK" w:hAnsi="宋体" w:eastAsia="方正小标宋_GBK"/>
          <w:sz w:val="30"/>
          <w:szCs w:val="72"/>
          <w:lang w:eastAsia="zh-CN"/>
        </w:rPr>
      </w:pPr>
      <w:r>
        <w:rPr>
          <w:rFonts w:hint="eastAsia" w:ascii="方正小标宋_GBK" w:hAnsi="微软雅黑" w:eastAsia="方正小标宋_GBK"/>
          <w:sz w:val="32"/>
          <w:szCs w:val="32"/>
        </w:rPr>
        <w:t>2025年</w:t>
      </w:r>
      <w:r>
        <w:rPr>
          <w:rFonts w:hint="eastAsia" w:ascii="方正小标宋_GBK" w:hAnsi="微软雅黑" w:eastAsia="方正小标宋_GBK"/>
          <w:sz w:val="32"/>
          <w:szCs w:val="32"/>
          <w:lang w:eastAsia="zh-CN"/>
        </w:rPr>
        <w:t>10月</w:t>
      </w:r>
    </w:p>
    <w:p>
      <w:pPr>
        <w:ind w:firstLine="0" w:firstLineChars="0"/>
      </w:pPr>
      <w:r>
        <w:br w:type="page"/>
      </w:r>
    </w:p>
    <w:p>
      <w:pPr>
        <w:ind w:firstLine="0" w:firstLineChars="0"/>
      </w:pPr>
    </w:p>
    <w:p>
      <w:pPr>
        <w:pStyle w:val="28"/>
        <w:ind w:firstLine="0" w:firstLineChars="0"/>
        <w:jc w:val="center"/>
        <w:rPr>
          <w:rFonts w:ascii="隶书" w:eastAsia="隶书"/>
          <w:b/>
          <w:sz w:val="44"/>
        </w:rPr>
      </w:pPr>
      <w:r>
        <w:rPr>
          <w:rFonts w:hint="eastAsia" w:ascii="隶书" w:eastAsia="隶书"/>
          <w:b/>
          <w:sz w:val="44"/>
        </w:rPr>
        <w:t>目   录</w:t>
      </w:r>
    </w:p>
    <w:p>
      <w:pPr>
        <w:ind w:firstLine="0" w:firstLineChars="0"/>
      </w:pPr>
    </w:p>
    <w:p>
      <w:pPr>
        <w:pStyle w:val="127"/>
        <w:spacing w:line="1000" w:lineRule="exact"/>
        <w:rPr>
          <w:rFonts w:hint="eastAsia" w:ascii="仿宋" w:hAnsi="仿宋" w:eastAsia="仿宋"/>
          <w:sz w:val="28"/>
          <w:szCs w:val="28"/>
        </w:rPr>
      </w:pPr>
      <w:r>
        <w:rPr>
          <w:rFonts w:ascii="宋体" w:hAnsi="宋体"/>
          <w:sz w:val="32"/>
          <w:szCs w:val="32"/>
        </w:rPr>
        <w:fldChar w:fldCharType="begin"/>
      </w:r>
      <w:r>
        <w:rPr>
          <w:rFonts w:ascii="宋体" w:hAnsi="宋体"/>
          <w:sz w:val="32"/>
          <w:szCs w:val="32"/>
        </w:rPr>
        <w:instrText xml:space="preserve"> </w:instrText>
      </w:r>
      <w:r>
        <w:rPr>
          <w:rFonts w:hint="eastAsia" w:ascii="宋体" w:hAnsi="宋体"/>
          <w:sz w:val="32"/>
          <w:szCs w:val="32"/>
        </w:rPr>
        <w:instrText xml:space="preserve">TOC \o "1-1" \h \z \u</w:instrText>
      </w:r>
      <w:r>
        <w:rPr>
          <w:rFonts w:ascii="宋体" w:hAnsi="宋体"/>
          <w:sz w:val="32"/>
          <w:szCs w:val="32"/>
        </w:rPr>
        <w:instrText xml:space="preserve"> </w:instrText>
      </w:r>
      <w:r>
        <w:rPr>
          <w:rFonts w:ascii="宋体" w:hAnsi="宋体"/>
          <w:sz w:val="32"/>
          <w:szCs w:val="32"/>
        </w:rPr>
        <w:fldChar w:fldCharType="separate"/>
      </w:r>
      <w:r>
        <w:fldChar w:fldCharType="begin"/>
      </w:r>
      <w:r>
        <w:instrText xml:space="preserve"> HYPERLINK \l "_Toc91512283" </w:instrText>
      </w:r>
      <w:r>
        <w:fldChar w:fldCharType="separate"/>
      </w:r>
      <w:r>
        <w:rPr>
          <w:rStyle w:val="58"/>
          <w:rFonts w:ascii="仿宋" w:hAnsi="仿宋" w:eastAsia="仿宋"/>
          <w:color w:val="auto"/>
          <w:sz w:val="28"/>
          <w:szCs w:val="28"/>
        </w:rPr>
        <w:t>第一章  公 告</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_Toc91512283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"_Toc91512284" </w:instrText>
      </w:r>
      <w:r>
        <w:fldChar w:fldCharType="separate"/>
      </w:r>
      <w:r>
        <w:rPr>
          <w:rStyle w:val="58"/>
          <w:rFonts w:ascii="仿宋" w:hAnsi="仿宋" w:eastAsia="仿宋"/>
          <w:color w:val="auto"/>
          <w:sz w:val="28"/>
          <w:szCs w:val="28"/>
        </w:rPr>
        <w:t>第二章  项目需求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"_Toc91512285" </w:instrText>
      </w:r>
      <w:r>
        <w:fldChar w:fldCharType="separate"/>
      </w:r>
      <w:r>
        <w:rPr>
          <w:rStyle w:val="58"/>
          <w:rFonts w:ascii="仿宋" w:hAnsi="仿宋" w:eastAsia="仿宋"/>
          <w:color w:val="auto"/>
          <w:sz w:val="28"/>
          <w:szCs w:val="28"/>
        </w:rPr>
        <w:t>第三章  投标人须知及前</w:t>
      </w:r>
      <w:bookmarkStart w:id="1" w:name="_Hlt91583491"/>
      <w:bookmarkStart w:id="2" w:name="_Hlt91583492"/>
      <w:r>
        <w:rPr>
          <w:rStyle w:val="58"/>
          <w:rFonts w:ascii="仿宋" w:hAnsi="仿宋" w:eastAsia="仿宋"/>
          <w:color w:val="auto"/>
          <w:sz w:val="28"/>
          <w:szCs w:val="28"/>
        </w:rPr>
        <w:t>附</w:t>
      </w:r>
      <w:bookmarkEnd w:id="1"/>
      <w:bookmarkEnd w:id="2"/>
      <w:r>
        <w:rPr>
          <w:rStyle w:val="58"/>
          <w:rFonts w:ascii="仿宋" w:hAnsi="仿宋" w:eastAsia="仿宋"/>
          <w:color w:val="auto"/>
          <w:sz w:val="28"/>
          <w:szCs w:val="28"/>
        </w:rPr>
        <w:t>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_Toc91512285 \h </w:instrText>
      </w:r>
      <w:r>
        <w:rPr>
          <w:rFonts w:ascii="仿宋" w:hAnsi="仿宋" w:eastAsia="仿宋"/>
          <w:sz w:val="28"/>
          <w:szCs w:val="28"/>
        </w:rPr>
        <w:fldChar w:fldCharType="separate"/>
      </w:r>
      <w:r>
        <w:rPr>
          <w:rFonts w:ascii="仿宋" w:hAnsi="仿宋" w:eastAsia="仿宋"/>
          <w:sz w:val="28"/>
          <w:szCs w:val="28"/>
        </w:rPr>
        <w:t>53</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"_Toc91512286" </w:instrText>
      </w:r>
      <w:r>
        <w:fldChar w:fldCharType="separate"/>
      </w:r>
      <w:r>
        <w:rPr>
          <w:rStyle w:val="58"/>
          <w:rFonts w:ascii="仿宋" w:hAnsi="仿宋" w:eastAsia="仿宋"/>
          <w:color w:val="auto"/>
          <w:sz w:val="28"/>
          <w:szCs w:val="28"/>
        </w:rPr>
        <w:t>第四章  评</w:t>
      </w:r>
      <w:r>
        <w:rPr>
          <w:rStyle w:val="58"/>
          <w:rFonts w:hint="eastAsia" w:ascii="仿宋" w:hAnsi="仿宋" w:eastAsia="仿宋"/>
          <w:color w:val="auto"/>
          <w:sz w:val="28"/>
          <w:szCs w:val="28"/>
        </w:rPr>
        <w:t>定</w:t>
      </w:r>
      <w:r>
        <w:rPr>
          <w:rStyle w:val="58"/>
          <w:rFonts w:ascii="仿宋" w:hAnsi="仿宋" w:eastAsia="仿宋"/>
          <w:color w:val="auto"/>
          <w:sz w:val="28"/>
          <w:szCs w:val="28"/>
        </w:rPr>
        <w:t>标准及</w:t>
      </w:r>
      <w:r>
        <w:rPr>
          <w:rStyle w:val="58"/>
          <w:rFonts w:hint="eastAsia" w:ascii="仿宋" w:hAnsi="仿宋" w:eastAsia="仿宋"/>
          <w:color w:val="auto"/>
          <w:sz w:val="28"/>
          <w:szCs w:val="28"/>
        </w:rPr>
        <w:t>推荐原则</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_Toc91512286 \h </w:instrText>
      </w:r>
      <w:r>
        <w:rPr>
          <w:rFonts w:ascii="仿宋" w:hAnsi="仿宋" w:eastAsia="仿宋"/>
          <w:sz w:val="28"/>
          <w:szCs w:val="28"/>
        </w:rPr>
        <w:fldChar w:fldCharType="separate"/>
      </w:r>
      <w:r>
        <w:rPr>
          <w:rFonts w:ascii="仿宋" w:hAnsi="仿宋" w:eastAsia="仿宋"/>
          <w:sz w:val="28"/>
          <w:szCs w:val="28"/>
        </w:rPr>
        <w:t>66</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"_Toc91512287" </w:instrText>
      </w:r>
      <w:r>
        <w:fldChar w:fldCharType="separate"/>
      </w:r>
      <w:r>
        <w:rPr>
          <w:rStyle w:val="58"/>
          <w:rFonts w:ascii="仿宋" w:hAnsi="仿宋" w:eastAsia="仿宋"/>
          <w:color w:val="auto"/>
          <w:sz w:val="28"/>
          <w:szCs w:val="28"/>
        </w:rPr>
        <w:t>第五章  政府采购合同主要条款</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_Toc91512287 \h </w:instrText>
      </w:r>
      <w:r>
        <w:rPr>
          <w:rFonts w:ascii="仿宋" w:hAnsi="仿宋" w:eastAsia="仿宋"/>
          <w:sz w:val="28"/>
          <w:szCs w:val="28"/>
        </w:rPr>
        <w:fldChar w:fldCharType="separate"/>
      </w:r>
      <w:r>
        <w:rPr>
          <w:rFonts w:ascii="仿宋" w:hAnsi="仿宋" w:eastAsia="仿宋"/>
          <w:sz w:val="28"/>
          <w:szCs w:val="28"/>
        </w:rPr>
        <w:t>71</w:t>
      </w:r>
      <w:r>
        <w:rPr>
          <w:rFonts w:ascii="仿宋" w:hAnsi="仿宋" w:eastAsia="仿宋"/>
          <w:sz w:val="28"/>
          <w:szCs w:val="28"/>
        </w:rPr>
        <w:fldChar w:fldCharType="end"/>
      </w:r>
      <w:r>
        <w:rPr>
          <w:rFonts w:ascii="仿宋" w:hAnsi="仿宋" w:eastAsia="仿宋"/>
          <w:sz w:val="28"/>
          <w:szCs w:val="28"/>
        </w:rPr>
        <w:fldChar w:fldCharType="end"/>
      </w:r>
    </w:p>
    <w:p>
      <w:pPr>
        <w:pStyle w:val="127"/>
        <w:spacing w:line="1000" w:lineRule="exact"/>
        <w:rPr>
          <w:rFonts w:hint="eastAsia" w:ascii="仿宋" w:hAnsi="仿宋" w:eastAsia="仿宋"/>
          <w:sz w:val="28"/>
          <w:szCs w:val="28"/>
        </w:rPr>
      </w:pPr>
      <w:r>
        <w:fldChar w:fldCharType="begin"/>
      </w:r>
      <w:r>
        <w:instrText xml:space="preserve"> HYPERLINK \l "_Toc91512288" </w:instrText>
      </w:r>
      <w:r>
        <w:fldChar w:fldCharType="separate"/>
      </w:r>
      <w:r>
        <w:rPr>
          <w:rStyle w:val="58"/>
          <w:rFonts w:ascii="仿宋" w:hAnsi="仿宋" w:eastAsia="仿宋"/>
          <w:color w:val="auto"/>
          <w:sz w:val="28"/>
          <w:szCs w:val="28"/>
        </w:rPr>
        <w:t>第六章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_Toc91512288 \h </w:instrText>
      </w:r>
      <w:r>
        <w:rPr>
          <w:rFonts w:ascii="仿宋" w:hAnsi="仿宋" w:eastAsia="仿宋"/>
          <w:sz w:val="28"/>
          <w:szCs w:val="28"/>
        </w:rPr>
        <w:fldChar w:fldCharType="separate"/>
      </w:r>
      <w:r>
        <w:rPr>
          <w:rFonts w:ascii="仿宋" w:hAnsi="仿宋" w:eastAsia="仿宋"/>
          <w:sz w:val="28"/>
          <w:szCs w:val="28"/>
        </w:rPr>
        <w:t>87</w:t>
      </w:r>
      <w:r>
        <w:rPr>
          <w:rFonts w:ascii="仿宋" w:hAnsi="仿宋" w:eastAsia="仿宋"/>
          <w:sz w:val="28"/>
          <w:szCs w:val="28"/>
        </w:rPr>
        <w:fldChar w:fldCharType="end"/>
      </w:r>
      <w:r>
        <w:rPr>
          <w:rFonts w:ascii="仿宋" w:hAnsi="仿宋" w:eastAsia="仿宋"/>
          <w:sz w:val="28"/>
          <w:szCs w:val="28"/>
        </w:rPr>
        <w:fldChar w:fldCharType="end"/>
      </w:r>
    </w:p>
    <w:p>
      <w:pPr>
        <w:ind w:left="-2" w:leftChars="-1"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Borders>
            <w:top w:val="none" w:sz="0" w:space="0"/>
            <w:left w:val="none" w:sz="0" w:space="0"/>
            <w:bottom w:val="none" w:sz="0" w:space="0"/>
            <w:right w:val="none" w:sz="0" w:space="0"/>
          </w:pgBorders>
          <w:cols w:space="720" w:num="1"/>
          <w:titlePg/>
          <w:docGrid w:type="lines" w:linePitch="312" w:charSpace="0"/>
        </w:sectPr>
      </w:pPr>
      <w:r>
        <w:fldChar w:fldCharType="end"/>
      </w:r>
    </w:p>
    <w:p>
      <w:pPr>
        <w:ind w:left="-2" w:leftChars="-1" w:firstLine="0" w:firstLineChars="0"/>
      </w:pPr>
    </w:p>
    <w:p>
      <w:pPr>
        <w:ind w:firstLine="0" w:firstLineChars="0"/>
      </w:pPr>
      <w:bookmarkStart w:id="3" w:name="_Toc91512283"/>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rPr>
          <w:rFonts w:ascii="方正小标宋_GBK"/>
          <w:szCs w:val="44"/>
        </w:rPr>
      </w:pPr>
      <w:r>
        <w:rPr>
          <w:rFonts w:hint="eastAsia" w:ascii="方正小标宋_GBK"/>
          <w:szCs w:val="44"/>
        </w:rPr>
        <w:t>第一章  公 告</w:t>
      </w:r>
      <w:bookmarkEnd w:id="3"/>
    </w:p>
    <w:p>
      <w:pPr>
        <w:ind w:left="420" w:firstLine="0" w:firstLineChars="0"/>
      </w:pPr>
      <w:r>
        <w:br w:type="page"/>
      </w:r>
    </w:p>
    <w:p>
      <w:pPr>
        <w:spacing w:line="440" w:lineRule="exact"/>
        <w:ind w:firstLine="0" w:firstLineChars="0"/>
        <w:jc w:val="center"/>
      </w:pPr>
      <w:r>
        <w:rPr>
          <w:rFonts w:ascii="方正小标宋_GBK" w:eastAsia="方正小标宋_GBK"/>
          <w:b/>
          <w:bCs/>
          <w:sz w:val="36"/>
          <w:szCs w:val="36"/>
        </w:rPr>
        <w:t>钦州市政府采购中心</w:t>
      </w:r>
      <w:bookmarkStart w:id="4" w:name="_Hlk169687345"/>
      <w:r>
        <w:rPr>
          <w:rFonts w:ascii="方正小标宋_GBK" w:eastAsia="方正小标宋_GBK"/>
          <w:b/>
          <w:bCs/>
          <w:sz w:val="36"/>
          <w:szCs w:val="36"/>
        </w:rPr>
        <w:t>关于</w:t>
      </w:r>
      <w:bookmarkStart w:id="5" w:name="OLE_LINK24"/>
      <w:r>
        <w:rPr>
          <w:rFonts w:hint="eastAsia" w:ascii="方正小标宋_GBK" w:eastAsia="方正小标宋_GBK"/>
          <w:b/>
          <w:bCs/>
          <w:sz w:val="36"/>
          <w:szCs w:val="36"/>
          <w:lang w:eastAsia="zh-CN"/>
        </w:rPr>
        <w:t>浦北县第一职业技术学校音乐展厅及校园智慧办公系统建设</w:t>
      </w:r>
      <w:r>
        <w:rPr>
          <w:rFonts w:ascii="方正小标宋_GBK" w:eastAsia="方正小标宋_GBK"/>
          <w:b/>
          <w:bCs/>
          <w:sz w:val="36"/>
          <w:szCs w:val="36"/>
        </w:rPr>
        <w:t>(</w:t>
      </w:r>
      <w:r>
        <w:rPr>
          <w:rFonts w:hint="eastAsia" w:ascii="方正小标宋_GBK" w:eastAsia="方正小标宋_GBK"/>
          <w:b/>
          <w:bCs/>
          <w:sz w:val="36"/>
          <w:szCs w:val="36"/>
          <w:lang w:eastAsia="zh-CN"/>
        </w:rPr>
        <w:t>QZZC2025-G1-220225-QZSZ</w:t>
      </w:r>
      <w:r>
        <w:rPr>
          <w:rFonts w:ascii="方正小标宋_GBK" w:eastAsia="方正小标宋_GBK"/>
          <w:b/>
          <w:bCs/>
          <w:sz w:val="36"/>
          <w:szCs w:val="36"/>
        </w:rPr>
        <w:t>)</w:t>
      </w:r>
      <w:bookmarkEnd w:id="4"/>
      <w:bookmarkEnd w:id="5"/>
      <w:r>
        <w:rPr>
          <w:rFonts w:hint="eastAsia" w:ascii="方正小标宋_GBK" w:eastAsia="方正小标宋_GBK"/>
          <w:b/>
          <w:bCs/>
          <w:sz w:val="36"/>
          <w:szCs w:val="36"/>
        </w:rPr>
        <w:t>的招标公告</w:t>
      </w:r>
    </w:p>
    <w:p>
      <w:pPr>
        <w:pBdr>
          <w:top w:val="single" w:color="auto" w:sz="4" w:space="0"/>
          <w:left w:val="single" w:color="auto" w:sz="4" w:space="4"/>
          <w:bottom w:val="single" w:color="auto" w:sz="4" w:space="1"/>
          <w:right w:val="single" w:color="auto" w:sz="4" w:space="4"/>
        </w:pBdr>
        <w:spacing w:line="412" w:lineRule="exact"/>
        <w:ind w:firstLine="0" w:firstLineChars="0"/>
        <w:rPr>
          <w:rFonts w:hint="eastAsia" w:ascii="宋体" w:hAnsi="宋体"/>
          <w:szCs w:val="21"/>
        </w:rPr>
      </w:pPr>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12" w:lineRule="exact"/>
        <w:ind w:firstLine="420"/>
        <w:rPr>
          <w:rFonts w:hint="eastAsia" w:ascii="宋体" w:hAnsi="宋体"/>
          <w:szCs w:val="21"/>
        </w:rPr>
      </w:pPr>
      <w:r>
        <w:rPr>
          <w:rFonts w:hint="eastAsia" w:ascii="宋体" w:hAnsi="宋体"/>
          <w:bCs/>
          <w:szCs w:val="21"/>
          <w:lang w:eastAsia="zh-CN"/>
        </w:rPr>
        <w:t>浦北县第一职业技术学校音乐展厅及校园智慧办公系统建设</w:t>
      </w:r>
      <w:r>
        <w:rPr>
          <w:rFonts w:hint="eastAsia" w:ascii="宋体" w:hAnsi="宋体"/>
          <w:bCs/>
          <w:szCs w:val="21"/>
        </w:rPr>
        <w:t>招标</w:t>
      </w:r>
      <w:r>
        <w:rPr>
          <w:rFonts w:hint="eastAsia" w:ascii="宋体" w:hAnsi="宋体"/>
          <w:szCs w:val="21"/>
        </w:rPr>
        <w:t>项目的潜在投标人应在广西</w:t>
      </w:r>
      <w:r>
        <w:fldChar w:fldCharType="begin"/>
      </w:r>
      <w:r>
        <w:instrText xml:space="preserve"> HYPERLINK "https://www.zcygov.cn/" </w:instrText>
      </w:r>
      <w:r>
        <w:fldChar w:fldCharType="separate"/>
      </w:r>
      <w:r>
        <w:rPr>
          <w:rStyle w:val="58"/>
          <w:rFonts w:hint="eastAsia" w:ascii="宋体" w:hAnsi="宋体"/>
          <w:color w:val="auto"/>
          <w:szCs w:val="21"/>
          <w:u w:val="none"/>
        </w:rPr>
        <w:t>政府采购云平台</w:t>
      </w:r>
      <w:r>
        <w:rPr>
          <w:rStyle w:val="58"/>
          <w:rFonts w:hint="eastAsia" w:ascii="宋体" w:hAnsi="宋体"/>
          <w:color w:val="auto"/>
          <w:szCs w:val="21"/>
          <w:u w:val="none"/>
        </w:rPr>
        <w:fldChar w:fldCharType="end"/>
      </w:r>
      <w:r>
        <w:rPr>
          <w:rFonts w:hint="eastAsia" w:ascii="宋体" w:hAnsi="宋体"/>
          <w:szCs w:val="21"/>
        </w:rPr>
        <w:t>获取招标文件，并于2025年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rPr>
        <w:t>09</w:t>
      </w:r>
      <w:r>
        <w:t>:</w:t>
      </w:r>
      <w:r>
        <w:rPr>
          <w:rFonts w:hint="eastAsia"/>
        </w:rPr>
        <w:t>3</w:t>
      </w:r>
      <w:r>
        <w:t>0</w:t>
      </w:r>
      <w:r>
        <w:rPr>
          <w:rFonts w:hint="eastAsia" w:ascii="宋体" w:hAnsi="宋体"/>
          <w:szCs w:val="21"/>
        </w:rPr>
        <w:t>（北京时间）前提交投标文件。</w:t>
      </w:r>
    </w:p>
    <w:p>
      <w:pPr>
        <w:spacing w:line="412" w:lineRule="exact"/>
        <w:ind w:firstLine="0" w:firstLineChars="0"/>
        <w:rPr>
          <w:b/>
        </w:rPr>
      </w:pPr>
      <w:bookmarkStart w:id="6" w:name="_Toc35393790"/>
      <w:bookmarkStart w:id="7" w:name="_Toc35393621"/>
      <w:bookmarkStart w:id="8" w:name="_Toc28359002"/>
      <w:bookmarkStart w:id="9" w:name="_Toc28359079"/>
      <w:bookmarkStart w:id="10" w:name="_Hlk24379207"/>
      <w:bookmarkStart w:id="11" w:name="_Hlk92355554"/>
      <w:r>
        <w:rPr>
          <w:rFonts w:hint="eastAsia"/>
          <w:b/>
        </w:rPr>
        <w:t>一、项目基本情况</w:t>
      </w:r>
      <w:bookmarkEnd w:id="6"/>
      <w:bookmarkEnd w:id="7"/>
      <w:bookmarkEnd w:id="8"/>
      <w:bookmarkEnd w:id="9"/>
    </w:p>
    <w:p>
      <w:pPr>
        <w:spacing w:line="412" w:lineRule="exact"/>
        <w:ind w:firstLine="420"/>
        <w:rPr>
          <w:rFonts w:hint="eastAsia" w:eastAsia="宋体"/>
          <w:lang w:eastAsia="zh-CN"/>
        </w:rPr>
      </w:pPr>
      <w:r>
        <w:rPr>
          <w:rFonts w:hint="eastAsia"/>
        </w:rPr>
        <w:t>项目编号：</w:t>
      </w:r>
      <w:r>
        <w:rPr>
          <w:rFonts w:hint="eastAsia"/>
          <w:lang w:eastAsia="zh-CN"/>
        </w:rPr>
        <w:t>QZZC2025-G1-220225-QZSZ</w:t>
      </w:r>
    </w:p>
    <w:p>
      <w:pPr>
        <w:spacing w:line="412" w:lineRule="exact"/>
        <w:ind w:firstLine="420"/>
        <w:rPr>
          <w:rFonts w:hint="eastAsia" w:eastAsia="宋体"/>
          <w:lang w:eastAsia="zh-CN"/>
        </w:rPr>
      </w:pPr>
      <w:r>
        <w:rPr>
          <w:rFonts w:hint="eastAsia"/>
        </w:rPr>
        <w:t>项目名称：</w:t>
      </w:r>
      <w:r>
        <w:rPr>
          <w:rFonts w:hint="eastAsia"/>
          <w:lang w:eastAsia="zh-CN"/>
        </w:rPr>
        <w:t>浦北县第一职业技术学校音乐展厅及校园智慧办公系统建设</w:t>
      </w:r>
    </w:p>
    <w:bookmarkEnd w:id="10"/>
    <w:p>
      <w:pPr>
        <w:spacing w:line="412" w:lineRule="exact"/>
        <w:ind w:firstLine="420"/>
        <w:rPr>
          <w:rFonts w:hint="eastAsia" w:eastAsia="宋体"/>
          <w:lang w:eastAsia="zh-CN"/>
        </w:rPr>
      </w:pPr>
      <w:r>
        <w:rPr>
          <w:rFonts w:hint="eastAsia"/>
        </w:rPr>
        <w:t>预算总金额(元</w:t>
      </w:r>
      <w:r>
        <w:t>)</w:t>
      </w:r>
      <w:r>
        <w:rPr>
          <w:rFonts w:hint="eastAsia"/>
        </w:rPr>
        <w:t>：</w:t>
      </w:r>
      <w:r>
        <w:rPr>
          <w:rFonts w:hint="eastAsia"/>
          <w:lang w:eastAsia="zh-CN"/>
        </w:rPr>
        <w:t>550,000.00</w:t>
      </w:r>
    </w:p>
    <w:p>
      <w:pPr>
        <w:spacing w:line="412" w:lineRule="exact"/>
        <w:ind w:firstLine="420"/>
      </w:pPr>
      <w:r>
        <w:rPr>
          <w:rFonts w:hint="eastAsia"/>
        </w:rPr>
        <w:t>采购需求：</w:t>
      </w:r>
    </w:p>
    <w:p>
      <w:pPr>
        <w:spacing w:line="412" w:lineRule="exact"/>
        <w:ind w:firstLine="420"/>
      </w:pPr>
    </w:p>
    <w:p>
      <w:pPr>
        <w:ind w:firstLine="420"/>
      </w:pPr>
      <w:bookmarkStart w:id="12" w:name="OLE_LINK9"/>
      <w:r>
        <w:rPr>
          <w:rFonts w:hint="eastAsia"/>
        </w:rPr>
        <w:t>标项一</w:t>
      </w:r>
    </w:p>
    <w:p>
      <w:pPr>
        <w:ind w:firstLine="420"/>
        <w:rPr>
          <w:color w:val="auto"/>
          <w:highlight w:val="none"/>
        </w:rPr>
      </w:pPr>
      <w:r>
        <w:rPr>
          <w:rFonts w:hint="eastAsia"/>
          <w:color w:val="auto"/>
          <w:highlight w:val="none"/>
        </w:rPr>
        <w:t>标项名称：</w:t>
      </w:r>
      <w:bookmarkStart w:id="13" w:name="OLE_LINK18"/>
      <w:r>
        <w:rPr>
          <w:rFonts w:hint="eastAsia"/>
          <w:color w:val="auto"/>
          <w:highlight w:val="none"/>
        </w:rPr>
        <w:t>校园智慧办公系统建设</w:t>
      </w:r>
      <w:bookmarkEnd w:id="13"/>
    </w:p>
    <w:p>
      <w:pPr>
        <w:ind w:firstLine="420"/>
        <w:rPr>
          <w:color w:val="auto"/>
          <w:highlight w:val="none"/>
        </w:rPr>
      </w:pPr>
      <w:r>
        <w:rPr>
          <w:rFonts w:hint="eastAsia"/>
          <w:color w:val="auto"/>
          <w:highlight w:val="none"/>
        </w:rPr>
        <w:t>数量：1项</w:t>
      </w:r>
    </w:p>
    <w:p>
      <w:pPr>
        <w:ind w:firstLine="420"/>
        <w:rPr>
          <w:color w:val="auto"/>
          <w:highlight w:val="none"/>
        </w:rPr>
      </w:pPr>
      <w:r>
        <w:rPr>
          <w:rFonts w:hint="eastAsia"/>
          <w:color w:val="auto"/>
          <w:highlight w:val="none"/>
        </w:rPr>
        <w:t>预算金额(元)：450,000.00</w:t>
      </w:r>
    </w:p>
    <w:p>
      <w:pPr>
        <w:ind w:firstLine="420"/>
        <w:rPr>
          <w:color w:val="auto"/>
          <w:highlight w:val="none"/>
        </w:rPr>
      </w:pPr>
      <w:r>
        <w:rPr>
          <w:rFonts w:hint="eastAsia"/>
          <w:color w:val="auto"/>
          <w:highlight w:val="none"/>
        </w:rPr>
        <w:t>简要规格描述或项目基本概况介绍、用途：校园智慧办公系统建设，详见招标文件。</w:t>
      </w:r>
    </w:p>
    <w:p>
      <w:pPr>
        <w:ind w:firstLine="420"/>
        <w:rPr>
          <w:color w:val="auto"/>
          <w:highlight w:val="none"/>
        </w:rPr>
      </w:pPr>
      <w:r>
        <w:rPr>
          <w:rFonts w:hint="eastAsia"/>
          <w:color w:val="auto"/>
          <w:highlight w:val="none"/>
        </w:rPr>
        <w:t>最高限价(如有)：</w:t>
      </w:r>
    </w:p>
    <w:p>
      <w:pPr>
        <w:ind w:firstLine="420"/>
        <w:rPr>
          <w:color w:val="auto"/>
          <w:highlight w:val="none"/>
        </w:rPr>
      </w:pPr>
      <w:r>
        <w:rPr>
          <w:rFonts w:hint="eastAsia"/>
          <w:color w:val="auto"/>
          <w:highlight w:val="none"/>
        </w:rPr>
        <w:t>合同履行期限：</w:t>
      </w:r>
      <w:r>
        <w:rPr>
          <w:rFonts w:hint="eastAsia" w:ascii="宋体" w:hAnsi="宋体" w:cs="宋体"/>
          <w:color w:val="auto"/>
          <w:szCs w:val="21"/>
          <w:highlight w:val="none"/>
        </w:rPr>
        <w:t>自合同签订之日2个月内，完成全部货物的交付、安装、调试并达到初验条件。</w:t>
      </w:r>
    </w:p>
    <w:p>
      <w:pPr>
        <w:ind w:firstLine="420"/>
        <w:rPr>
          <w:color w:val="auto"/>
          <w:highlight w:val="none"/>
        </w:rPr>
      </w:pPr>
      <w:r>
        <w:rPr>
          <w:rFonts w:hint="eastAsia"/>
          <w:color w:val="auto"/>
          <w:highlight w:val="none"/>
        </w:rPr>
        <w:t>本标项(否)接受联合体投标。</w:t>
      </w:r>
    </w:p>
    <w:p>
      <w:pPr>
        <w:ind w:firstLine="420"/>
        <w:rPr>
          <w:color w:val="auto"/>
          <w:highlight w:val="none"/>
        </w:rPr>
      </w:pPr>
      <w:r>
        <w:rPr>
          <w:rFonts w:hint="eastAsia"/>
          <w:color w:val="auto"/>
          <w:highlight w:val="none"/>
        </w:rPr>
        <w:t>备注：</w:t>
      </w:r>
    </w:p>
    <w:bookmarkEnd w:id="12"/>
    <w:p>
      <w:pPr>
        <w:ind w:firstLine="420"/>
      </w:pPr>
    </w:p>
    <w:p>
      <w:pPr>
        <w:ind w:firstLine="420"/>
      </w:pPr>
      <w:r>
        <w:rPr>
          <w:rFonts w:hint="eastAsia"/>
        </w:rPr>
        <w:t>标项二</w:t>
      </w:r>
    </w:p>
    <w:p>
      <w:pPr>
        <w:ind w:firstLine="420"/>
        <w:rPr>
          <w:color w:val="auto"/>
          <w:highlight w:val="none"/>
        </w:rPr>
      </w:pPr>
      <w:r>
        <w:rPr>
          <w:rFonts w:hint="eastAsia"/>
          <w:color w:val="auto"/>
          <w:highlight w:val="none"/>
        </w:rPr>
        <w:t>标项名称：音乐展厅建设</w:t>
      </w:r>
    </w:p>
    <w:p>
      <w:pPr>
        <w:ind w:firstLine="420"/>
        <w:rPr>
          <w:color w:val="auto"/>
          <w:highlight w:val="none"/>
        </w:rPr>
      </w:pPr>
      <w:r>
        <w:rPr>
          <w:rFonts w:hint="eastAsia"/>
          <w:color w:val="auto"/>
          <w:highlight w:val="none"/>
        </w:rPr>
        <w:t>数量：1项</w:t>
      </w:r>
    </w:p>
    <w:p>
      <w:pPr>
        <w:ind w:firstLine="420"/>
        <w:rPr>
          <w:color w:val="auto"/>
          <w:highlight w:val="none"/>
        </w:rPr>
      </w:pPr>
      <w:r>
        <w:rPr>
          <w:rFonts w:hint="eastAsia"/>
          <w:color w:val="auto"/>
          <w:highlight w:val="none"/>
        </w:rPr>
        <w:t>预算金额(元)：100,000.00</w:t>
      </w:r>
    </w:p>
    <w:p>
      <w:pPr>
        <w:ind w:firstLine="420"/>
        <w:rPr>
          <w:color w:val="auto"/>
          <w:highlight w:val="none"/>
        </w:rPr>
      </w:pPr>
      <w:r>
        <w:rPr>
          <w:rFonts w:hint="eastAsia"/>
          <w:color w:val="auto"/>
          <w:highlight w:val="none"/>
        </w:rPr>
        <w:t>简要规格描述或项目基本概况介绍、用途：教室多媒体系统建设，详见招标文件。</w:t>
      </w:r>
    </w:p>
    <w:p>
      <w:pPr>
        <w:ind w:firstLine="420"/>
        <w:rPr>
          <w:color w:val="auto"/>
          <w:highlight w:val="none"/>
        </w:rPr>
      </w:pPr>
      <w:r>
        <w:rPr>
          <w:rFonts w:hint="eastAsia"/>
          <w:color w:val="auto"/>
          <w:highlight w:val="none"/>
        </w:rPr>
        <w:t>最高限价(如有)：</w:t>
      </w:r>
    </w:p>
    <w:p>
      <w:pPr>
        <w:ind w:firstLine="420"/>
        <w:rPr>
          <w:color w:val="auto"/>
          <w:highlight w:val="none"/>
        </w:rPr>
      </w:pPr>
      <w:r>
        <w:rPr>
          <w:rFonts w:hint="eastAsia"/>
          <w:color w:val="auto"/>
          <w:highlight w:val="none"/>
        </w:rPr>
        <w:t>合同履行期限：自合同签订之日2个月内，完成全部货物的交付、安装、调试并达初验水平。</w:t>
      </w:r>
    </w:p>
    <w:p>
      <w:pPr>
        <w:ind w:firstLine="420"/>
        <w:rPr>
          <w:color w:val="auto"/>
          <w:highlight w:val="none"/>
        </w:rPr>
      </w:pPr>
      <w:r>
        <w:rPr>
          <w:rFonts w:hint="eastAsia"/>
          <w:color w:val="auto"/>
          <w:highlight w:val="none"/>
        </w:rPr>
        <w:t>本标项(否)接受联合体投标。</w:t>
      </w:r>
    </w:p>
    <w:p>
      <w:pPr>
        <w:ind w:firstLine="420"/>
        <w:rPr>
          <w:color w:val="auto"/>
          <w:highlight w:val="none"/>
        </w:rPr>
      </w:pPr>
      <w:r>
        <w:rPr>
          <w:rFonts w:hint="eastAsia"/>
        </w:rPr>
        <w:t>备注：</w:t>
      </w:r>
    </w:p>
    <w:p>
      <w:pPr>
        <w:pStyle w:val="21"/>
        <w:ind w:left="0" w:leftChars="0" w:firstLine="0" w:firstLineChars="0"/>
      </w:pPr>
    </w:p>
    <w:p>
      <w:pPr>
        <w:spacing w:line="412" w:lineRule="exact"/>
        <w:ind w:firstLine="0" w:firstLineChars="0"/>
        <w:rPr>
          <w:b/>
        </w:rPr>
      </w:pPr>
      <w:bookmarkStart w:id="14" w:name="_Toc28359080"/>
      <w:bookmarkStart w:id="15" w:name="_Toc35393622"/>
      <w:bookmarkStart w:id="16" w:name="_Toc28359003"/>
      <w:bookmarkStart w:id="17" w:name="_Toc35393791"/>
      <w:r>
        <w:rPr>
          <w:rFonts w:hint="eastAsia"/>
          <w:b/>
        </w:rPr>
        <w:t>二、申请人的资格要求：</w:t>
      </w:r>
      <w:bookmarkEnd w:id="14"/>
      <w:bookmarkEnd w:id="15"/>
      <w:bookmarkEnd w:id="16"/>
      <w:bookmarkEnd w:id="17"/>
      <w:bookmarkStart w:id="18" w:name="_Toc28359004"/>
      <w:bookmarkStart w:id="19" w:name="_Toc35393792"/>
      <w:bookmarkStart w:id="20" w:name="_Toc28359081"/>
      <w:bookmarkStart w:id="21" w:name="_Toc35393623"/>
    </w:p>
    <w:p>
      <w:pPr>
        <w:spacing w:line="412" w:lineRule="exact"/>
        <w:ind w:firstLine="420"/>
        <w:rPr>
          <w:b/>
        </w:rPr>
      </w:pPr>
      <w:r>
        <w:rPr>
          <w:rFonts w:hint="eastAsia"/>
        </w:rPr>
        <w:t>1.满足《中华人民共和国政府采购法》第二十二条规定；</w:t>
      </w:r>
    </w:p>
    <w:p>
      <w:pPr>
        <w:spacing w:line="412" w:lineRule="exact"/>
        <w:ind w:firstLine="420"/>
      </w:pPr>
      <w:r>
        <w:rPr>
          <w:rFonts w:hint="eastAsia"/>
        </w:rPr>
        <w:t>2.落实政府采购政策需满足的资格要求：无</w:t>
      </w:r>
    </w:p>
    <w:p>
      <w:pPr>
        <w:spacing w:line="412" w:lineRule="exact"/>
        <w:ind w:firstLine="420"/>
      </w:pPr>
      <w:r>
        <w:rPr>
          <w:rFonts w:hint="eastAsia"/>
        </w:rPr>
        <w:t>3.本项目的特定资格要求：无</w:t>
      </w:r>
    </w:p>
    <w:p>
      <w:pPr>
        <w:spacing w:line="412" w:lineRule="exact"/>
        <w:ind w:firstLine="0" w:firstLineChars="0"/>
        <w:rPr>
          <w:b/>
        </w:rPr>
      </w:pPr>
      <w:r>
        <w:rPr>
          <w:rFonts w:hint="eastAsia"/>
          <w:b/>
        </w:rPr>
        <w:t>三、获取招标文件</w:t>
      </w:r>
      <w:bookmarkEnd w:id="18"/>
      <w:bookmarkEnd w:id="19"/>
      <w:bookmarkEnd w:id="20"/>
      <w:bookmarkEnd w:id="21"/>
    </w:p>
    <w:p>
      <w:pPr>
        <w:spacing w:line="412" w:lineRule="exact"/>
        <w:ind w:firstLine="420"/>
        <w:jc w:val="left"/>
      </w:pPr>
      <w:bookmarkStart w:id="22" w:name="_Toc38370141"/>
      <w:r>
        <w:rPr>
          <w:rFonts w:hint="eastAsia"/>
        </w:rPr>
        <w:t>时间：2025年</w:t>
      </w:r>
      <w:r>
        <w:rPr>
          <w:rFonts w:hint="eastAsia"/>
          <w:lang w:eastAsia="zh-CN"/>
        </w:rPr>
        <w:t>10月</w:t>
      </w:r>
      <w:r>
        <w:rPr>
          <w:rFonts w:hint="eastAsia"/>
          <w:lang w:val="en-US" w:eastAsia="zh-CN"/>
        </w:rPr>
        <w:t>30</w:t>
      </w:r>
      <w:r>
        <w:rPr>
          <w:rFonts w:hint="eastAsia"/>
        </w:rPr>
        <w:t>日至2025年</w:t>
      </w:r>
      <w:r>
        <w:rPr>
          <w:rFonts w:hint="eastAsia"/>
          <w:lang w:val="en-US" w:eastAsia="zh-CN"/>
        </w:rPr>
        <w:t>11</w:t>
      </w:r>
      <w:r>
        <w:rPr>
          <w:rFonts w:hint="eastAsia"/>
          <w:lang w:eastAsia="zh-CN"/>
        </w:rPr>
        <w:t>月</w:t>
      </w:r>
      <w:r>
        <w:rPr>
          <w:rFonts w:hint="eastAsia"/>
          <w:lang w:val="en-US" w:eastAsia="zh-CN"/>
        </w:rPr>
        <w:t>7</w:t>
      </w:r>
      <w:r>
        <w:rPr>
          <w:rFonts w:hint="eastAsia"/>
        </w:rPr>
        <w:t>日 ，每天上午00:00至12:00，下午12:00至23:59（北京时间，法定节假日除外）</w:t>
      </w:r>
    </w:p>
    <w:p>
      <w:pPr>
        <w:spacing w:line="412" w:lineRule="exact"/>
        <w:ind w:firstLine="420"/>
      </w:pPr>
      <w:r>
        <w:rPr>
          <w:rFonts w:hint="eastAsia"/>
        </w:rPr>
        <w:t>地点(网址</w:t>
      </w:r>
      <w:r>
        <w:t>)</w:t>
      </w:r>
      <w:r>
        <w:rPr>
          <w:rFonts w:hint="eastAsia"/>
        </w:rPr>
        <w:t>：</w:t>
      </w:r>
      <w:bookmarkStart w:id="23" w:name="_Hlk160013661"/>
      <w:bookmarkStart w:id="24" w:name="OLE_LINK2"/>
      <w:r>
        <w:rPr>
          <w:rFonts w:hint="eastAsia"/>
        </w:rPr>
        <w:t>广西政府采购云平台</w:t>
      </w:r>
      <w:bookmarkEnd w:id="23"/>
      <w:r>
        <w:rPr>
          <w:rFonts w:hint="eastAsia"/>
        </w:rPr>
        <w:t>（</w:t>
      </w:r>
      <w:r>
        <w:t>https://www.gcy.zfcg.gxzf.gov.cn/</w:t>
      </w:r>
      <w:r>
        <w:rPr>
          <w:rFonts w:hint="eastAsia"/>
        </w:rPr>
        <w:t>）</w:t>
      </w:r>
      <w:bookmarkEnd w:id="24"/>
    </w:p>
    <w:p>
      <w:pPr>
        <w:spacing w:line="412" w:lineRule="exact"/>
        <w:ind w:firstLine="420"/>
      </w:pPr>
      <w:r>
        <w:rPr>
          <w:rFonts w:hint="eastAsia"/>
        </w:rPr>
        <w:t>方式：</w:t>
      </w:r>
      <w:bookmarkStart w:id="25" w:name="OLE_LINK3"/>
      <w:r>
        <w:rPr>
          <w:rFonts w:hint="eastAsia"/>
        </w:rPr>
        <w:t>供应商登录广西政府采购云平台(以下称“政采云平台”</w:t>
      </w:r>
      <w:r>
        <w:t>)</w:t>
      </w:r>
      <w:r>
        <w:rPr>
          <w:rFonts w:hint="eastAsia"/>
        </w:rPr>
        <w:t>在线获取招标文件（进入“项目采购”应用选择项目，获取招标文件）</w:t>
      </w:r>
      <w:bookmarkEnd w:id="25"/>
    </w:p>
    <w:p>
      <w:pPr>
        <w:spacing w:line="412" w:lineRule="exact"/>
        <w:ind w:firstLine="420"/>
      </w:pPr>
      <w:r>
        <w:rPr>
          <w:rFonts w:hint="eastAsia"/>
        </w:rPr>
        <w:t>售价(元</w:t>
      </w:r>
      <w:r>
        <w:t>)</w:t>
      </w:r>
      <w:r>
        <w:rPr>
          <w:rFonts w:hint="eastAsia"/>
        </w:rPr>
        <w:t xml:space="preserve">：0 </w:t>
      </w:r>
    </w:p>
    <w:p>
      <w:pPr>
        <w:spacing w:line="412" w:lineRule="exact"/>
        <w:ind w:firstLine="0" w:firstLineChars="0"/>
        <w:rPr>
          <w:b/>
        </w:rPr>
      </w:pPr>
      <w:r>
        <w:rPr>
          <w:rFonts w:hint="eastAsia"/>
          <w:b/>
          <w:bCs/>
        </w:rPr>
        <w:t>四、</w:t>
      </w:r>
      <w:bookmarkEnd w:id="22"/>
      <w:bookmarkStart w:id="26" w:name="_Toc28359005"/>
      <w:bookmarkStart w:id="27" w:name="_Toc28359082"/>
      <w:bookmarkStart w:id="28" w:name="_Toc35393624"/>
      <w:bookmarkStart w:id="29" w:name="_Toc35393793"/>
      <w:r>
        <w:rPr>
          <w:rFonts w:hint="eastAsia"/>
          <w:b/>
        </w:rPr>
        <w:t>投标文件</w:t>
      </w:r>
      <w:bookmarkEnd w:id="26"/>
      <w:bookmarkEnd w:id="27"/>
      <w:r>
        <w:rPr>
          <w:rFonts w:hint="eastAsia"/>
          <w:b/>
        </w:rPr>
        <w:t>提交截止时间、开标时间和</w:t>
      </w:r>
      <w:bookmarkEnd w:id="28"/>
      <w:bookmarkEnd w:id="29"/>
      <w:r>
        <w:rPr>
          <w:rFonts w:hint="eastAsia"/>
          <w:b/>
        </w:rPr>
        <w:t>地点</w:t>
      </w:r>
    </w:p>
    <w:p>
      <w:pPr>
        <w:spacing w:line="412" w:lineRule="exact"/>
        <w:ind w:firstLine="420"/>
      </w:pPr>
      <w:r>
        <w:rPr>
          <w:rFonts w:hint="eastAsia"/>
        </w:rPr>
        <w:t>提交投标文件截止时间：2025年</w:t>
      </w:r>
      <w:r>
        <w:rPr>
          <w:rFonts w:hint="eastAsia"/>
          <w:lang w:val="en-US" w:eastAsia="zh-CN"/>
        </w:rPr>
        <w:t>11</w:t>
      </w:r>
      <w:r>
        <w:rPr>
          <w:rFonts w:hint="eastAsia"/>
        </w:rPr>
        <w:t>月</w:t>
      </w:r>
      <w:r>
        <w:rPr>
          <w:rFonts w:hint="eastAsia"/>
          <w:lang w:val="en-US" w:eastAsia="zh-CN"/>
        </w:rPr>
        <w:t>25</w:t>
      </w:r>
      <w:r>
        <w:rPr>
          <w:rFonts w:hint="eastAsia"/>
        </w:rPr>
        <w:t>日09</w:t>
      </w:r>
      <w:r>
        <w:t>:</w:t>
      </w:r>
      <w:r>
        <w:rPr>
          <w:rFonts w:hint="eastAsia"/>
        </w:rPr>
        <w:t>3</w:t>
      </w:r>
      <w:r>
        <w:t>0</w:t>
      </w:r>
      <w:r>
        <w:rPr>
          <w:rFonts w:hint="eastAsia"/>
        </w:rPr>
        <w:t>（北京时间）</w:t>
      </w:r>
    </w:p>
    <w:p>
      <w:pPr>
        <w:spacing w:line="412" w:lineRule="exact"/>
        <w:ind w:firstLine="420"/>
        <w:rPr>
          <w:rFonts w:hint="eastAsia" w:ascii="宋体" w:hAnsi="宋体" w:cs="Courier New"/>
          <w:szCs w:val="21"/>
        </w:rPr>
      </w:pPr>
      <w:r>
        <w:rPr>
          <w:rFonts w:hint="eastAsia"/>
        </w:rPr>
        <w:t>投标地点(网址）：</w:t>
      </w:r>
      <w:bookmarkStart w:id="30" w:name="OLE_LINK4"/>
      <w:r>
        <w:rPr>
          <w:rFonts w:hint="eastAsia" w:ascii="宋体" w:hAnsi="宋体" w:cs="Courier New"/>
          <w:szCs w:val="21"/>
        </w:rPr>
        <w:t>请登录广西政府采购云平台投标客户端投标</w:t>
      </w:r>
      <w:bookmarkEnd w:id="30"/>
    </w:p>
    <w:p>
      <w:pPr>
        <w:spacing w:line="412" w:lineRule="exact"/>
        <w:ind w:firstLine="420"/>
        <w:rPr>
          <w:rFonts w:hint="eastAsia" w:ascii="宋体" w:hAnsi="宋体" w:cs="Courier New"/>
          <w:szCs w:val="21"/>
        </w:rPr>
      </w:pPr>
      <w:r>
        <w:rPr>
          <w:rFonts w:hint="eastAsia" w:ascii="宋体" w:hAnsi="宋体" w:cs="Courier New"/>
          <w:szCs w:val="21"/>
        </w:rPr>
        <w:t>开标时间：2025年</w:t>
      </w:r>
      <w:r>
        <w:rPr>
          <w:rFonts w:hint="eastAsia"/>
          <w:lang w:val="en-US" w:eastAsia="zh-CN"/>
        </w:rPr>
        <w:t>11</w:t>
      </w:r>
      <w:r>
        <w:rPr>
          <w:rFonts w:hint="eastAsia"/>
        </w:rPr>
        <w:t>月</w:t>
      </w:r>
      <w:r>
        <w:rPr>
          <w:rFonts w:hint="eastAsia"/>
          <w:lang w:val="en-US" w:eastAsia="zh-CN"/>
        </w:rPr>
        <w:t>25</w:t>
      </w:r>
      <w:r>
        <w:rPr>
          <w:rFonts w:hint="eastAsia"/>
        </w:rPr>
        <w:t>日</w:t>
      </w:r>
      <w:r>
        <w:rPr>
          <w:rFonts w:hint="eastAsia" w:ascii="宋体" w:hAnsi="宋体" w:cs="Courier New"/>
          <w:szCs w:val="21"/>
        </w:rPr>
        <w:t>0</w:t>
      </w:r>
      <w:r>
        <w:rPr>
          <w:rFonts w:hint="eastAsia"/>
        </w:rPr>
        <w:t>9</w:t>
      </w:r>
      <w:r>
        <w:t>:</w:t>
      </w:r>
      <w:r>
        <w:rPr>
          <w:rFonts w:hint="eastAsia"/>
        </w:rPr>
        <w:t>3</w:t>
      </w:r>
      <w:r>
        <w:t>0</w:t>
      </w:r>
      <w:r>
        <w:rPr>
          <w:rFonts w:hint="eastAsia" w:ascii="宋体" w:hAnsi="宋体" w:cs="Courier New"/>
          <w:szCs w:val="21"/>
        </w:rPr>
        <w:t>（北京时间）</w:t>
      </w:r>
    </w:p>
    <w:p>
      <w:pPr>
        <w:spacing w:line="412" w:lineRule="exact"/>
        <w:ind w:firstLine="420"/>
        <w:rPr>
          <w:rFonts w:hint="eastAsia" w:ascii="宋体" w:hAnsi="宋体" w:cs="Courier New"/>
          <w:szCs w:val="21"/>
        </w:rPr>
      </w:pPr>
      <w:r>
        <w:rPr>
          <w:rFonts w:hint="eastAsia" w:ascii="宋体" w:hAnsi="宋体" w:cs="Courier New"/>
          <w:szCs w:val="21"/>
        </w:rPr>
        <w:t>开标地点：</w:t>
      </w:r>
      <w:bookmarkStart w:id="31" w:name="_Toc35393794"/>
      <w:bookmarkStart w:id="32" w:name="_Toc28359007"/>
      <w:bookmarkStart w:id="33" w:name="_Toc35393625"/>
      <w:bookmarkStart w:id="34" w:name="_Toc28359084"/>
      <w:r>
        <w:rPr>
          <w:rFonts w:hint="eastAsia" w:ascii="宋体" w:hAnsi="宋体" w:cs="Courier New"/>
          <w:szCs w:val="21"/>
        </w:rPr>
        <w:t>广西钦州市金海湾东大街8号市政务服务中心三楼开标室</w:t>
      </w:r>
    </w:p>
    <w:p>
      <w:pPr>
        <w:spacing w:line="412" w:lineRule="exact"/>
        <w:ind w:firstLine="0" w:firstLineChars="0"/>
        <w:rPr>
          <w:b/>
        </w:rPr>
      </w:pPr>
      <w:r>
        <w:rPr>
          <w:rFonts w:hint="eastAsia"/>
          <w:b/>
        </w:rPr>
        <w:t>五、公告期限</w:t>
      </w:r>
      <w:bookmarkEnd w:id="31"/>
      <w:bookmarkEnd w:id="32"/>
      <w:bookmarkEnd w:id="33"/>
      <w:bookmarkEnd w:id="34"/>
    </w:p>
    <w:p>
      <w:pPr>
        <w:spacing w:line="412" w:lineRule="exact"/>
        <w:ind w:firstLine="420"/>
      </w:pPr>
      <w:r>
        <w:rPr>
          <w:rFonts w:hint="eastAsia"/>
        </w:rPr>
        <w:t>自本公告发布之日起5个工作日。</w:t>
      </w:r>
    </w:p>
    <w:p>
      <w:pPr>
        <w:spacing w:line="412" w:lineRule="exact"/>
        <w:ind w:firstLine="0" w:firstLineChars="0"/>
        <w:rPr>
          <w:b/>
        </w:rPr>
      </w:pPr>
      <w:bookmarkStart w:id="35" w:name="_Toc28359085"/>
      <w:bookmarkStart w:id="36" w:name="_Toc35393796"/>
      <w:bookmarkStart w:id="37" w:name="_Toc28359008"/>
      <w:bookmarkStart w:id="38" w:name="_Toc35393627"/>
      <w:r>
        <w:rPr>
          <w:rFonts w:hint="eastAsia"/>
          <w:b/>
        </w:rPr>
        <w:t>六、其他补充事宜</w:t>
      </w:r>
    </w:p>
    <w:p>
      <w:pPr>
        <w:spacing w:line="412" w:lineRule="exact"/>
        <w:ind w:firstLine="420"/>
      </w:pPr>
      <w:r>
        <w:rPr>
          <w:rFonts w:hint="eastAsia" w:ascii="宋体" w:hAnsi="宋体"/>
        </w:rPr>
        <w:t>1.</w:t>
      </w:r>
      <w:r>
        <w:rPr>
          <w:rFonts w:hint="eastAsia"/>
          <w:bCs/>
        </w:rPr>
        <w:t>本项目需落实的政府采购政策</w:t>
      </w:r>
      <w:r>
        <w:rPr>
          <w:rFonts w:hint="eastAsia"/>
          <w:b/>
        </w:rPr>
        <w:t>：</w:t>
      </w:r>
    </w:p>
    <w:p>
      <w:pPr>
        <w:spacing w:line="412" w:lineRule="exact"/>
        <w:ind w:firstLine="420"/>
      </w:pPr>
      <w:r>
        <w:rPr>
          <w:rFonts w:hint="eastAsia"/>
        </w:rPr>
        <w:t>(1)财政部 工业和信息化部关于印发《政府采购促进中小企业发展管理办法》的通知(财库﹝2020﹞46号)</w:t>
      </w:r>
    </w:p>
    <w:p>
      <w:pPr>
        <w:spacing w:line="412" w:lineRule="exact"/>
        <w:ind w:firstLine="420"/>
      </w:pPr>
      <w:r>
        <w:rPr>
          <w:rFonts w:hint="eastAsia"/>
        </w:rPr>
        <w:t>(2)财政部 司法部关于政府采购支持监狱企业发展有关问题的通知 (财库﹝2014﹞68号)</w:t>
      </w:r>
    </w:p>
    <w:p>
      <w:pPr>
        <w:spacing w:line="412" w:lineRule="exact"/>
        <w:ind w:firstLine="420"/>
      </w:pPr>
      <w:r>
        <w:rPr>
          <w:rFonts w:hint="eastAsia"/>
        </w:rPr>
        <w:t>(3)财政部 民政部 中国残疾人联合会关于促进残疾人就业政府采购政策的通知 (财库</w:t>
      </w:r>
      <w:bookmarkStart w:id="39" w:name="_Hlk150507772"/>
      <w:r>
        <w:rPr>
          <w:rFonts w:hint="eastAsia"/>
        </w:rPr>
        <w:t>﹝2017﹞</w:t>
      </w:r>
      <w:bookmarkEnd w:id="39"/>
      <w:r>
        <w:rPr>
          <w:rFonts w:hint="eastAsia"/>
        </w:rPr>
        <w:t>141号)</w:t>
      </w:r>
    </w:p>
    <w:p>
      <w:pPr>
        <w:spacing w:line="412" w:lineRule="exact"/>
        <w:ind w:firstLine="420"/>
      </w:pPr>
      <w:r>
        <w:rPr>
          <w:rFonts w:hint="eastAsia"/>
        </w:rPr>
        <w:t>(4)财政部 发展改革委 生态环境部 市场监管总局关于调整优化节能产品、环境标志产品政府采购执行机制的通知（财库〔2019〕9号）</w:t>
      </w:r>
    </w:p>
    <w:p>
      <w:pPr>
        <w:spacing w:line="412" w:lineRule="exact"/>
        <w:ind w:firstLine="420"/>
        <w:rPr>
          <w:rFonts w:hint="eastAsia"/>
        </w:rPr>
      </w:pPr>
      <w:r>
        <w:rPr>
          <w:rFonts w:hint="eastAsia"/>
        </w:rPr>
        <w:t>(5) 财政部 发展改革委 关于印发节能产品政府采购品目清单的通知（财库〔2019〕19号）</w:t>
      </w:r>
    </w:p>
    <w:p>
      <w:pPr>
        <w:pStyle w:val="2"/>
        <w:ind w:left="0" w:leftChars="0"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w:t>
      </w:r>
      <w:r>
        <w:rPr>
          <w:rFonts w:hint="eastAsia" w:cs="Times New Roman"/>
          <w:kern w:val="2"/>
          <w:sz w:val="21"/>
          <w:szCs w:val="24"/>
          <w:lang w:val="en-US" w:eastAsia="zh-CN" w:bidi="ar-SA"/>
        </w:rPr>
        <w:t xml:space="preserve">国家市场监督管理总局 </w:t>
      </w:r>
      <w:r>
        <w:rPr>
          <w:rFonts w:hint="eastAsia" w:ascii="Times New Roman" w:hAnsi="Times New Roman" w:eastAsia="宋体" w:cs="Times New Roman"/>
          <w:kern w:val="2"/>
          <w:sz w:val="21"/>
          <w:szCs w:val="24"/>
          <w:lang w:val="en-US" w:eastAsia="zh-CN" w:bidi="ar-SA"/>
        </w:rPr>
        <w:t>《强制性产品认证管理规定》</w:t>
      </w:r>
    </w:p>
    <w:p>
      <w:pPr>
        <w:spacing w:line="412" w:lineRule="exact"/>
        <w:ind w:firstLine="420"/>
      </w:pPr>
      <w:bookmarkStart w:id="40" w:name="_Hlk91598380"/>
      <w:r>
        <w:t>2.</w:t>
      </w:r>
      <w:r>
        <w:rPr>
          <w:rFonts w:hint="eastAsia"/>
        </w:rPr>
        <w:t>投标保证金：</w:t>
      </w:r>
      <w:r>
        <w:rPr>
          <w:rStyle w:val="58"/>
          <w:rFonts w:hint="eastAsia" w:ascii="宋体" w:hAnsi="宋体" w:cs="宋体"/>
          <w:color w:val="auto"/>
          <w:kern w:val="0"/>
          <w:szCs w:val="21"/>
          <w:u w:val="none"/>
        </w:rPr>
        <w:t>标项一：肆仟伍佰元整(￥4500.00)、标项二：</w:t>
      </w:r>
      <w:bookmarkStart w:id="41" w:name="_Hlk179792847"/>
      <w:r>
        <w:rPr>
          <w:rStyle w:val="58"/>
          <w:rFonts w:hint="eastAsia" w:ascii="宋体" w:hAnsi="宋体" w:cs="宋体"/>
          <w:color w:val="auto"/>
          <w:kern w:val="0"/>
          <w:szCs w:val="21"/>
          <w:u w:val="none"/>
        </w:rPr>
        <w:t>壹仟元整(￥1000.00)</w:t>
      </w:r>
      <w:bookmarkEnd w:id="41"/>
    </w:p>
    <w:p>
      <w:pPr>
        <w:ind w:firstLine="420"/>
      </w:pPr>
      <w:r>
        <w:rPr>
          <w:rFonts w:hint="eastAsia"/>
        </w:rPr>
        <w:t>提交形式</w:t>
      </w:r>
      <w:r>
        <w:t>:</w:t>
      </w:r>
      <w:r>
        <w:rPr>
          <w:rFonts w:hint="eastAsia"/>
        </w:rPr>
        <w:t>以支票、汇票、本票、网上银行支付或者金融机构、担保机构出具的保函等非现金形式提交。</w:t>
      </w:r>
    </w:p>
    <w:p>
      <w:pPr>
        <w:ind w:firstLine="420"/>
        <w:rPr>
          <w:b/>
        </w:rPr>
      </w:pPr>
      <w:bookmarkStart w:id="42" w:name="_Hlk91771226"/>
      <w:r>
        <w:rPr>
          <w:rFonts w:hint="eastAsia"/>
        </w:rPr>
        <w:t>以支票、汇票、本票、保函等形式提交保证金的，投标人必须将票据、保函等原件于投标文件提交截止时间前递交至本中心财务室（</w:t>
      </w:r>
      <w:r>
        <w:rPr>
          <w:rFonts w:hint="eastAsia" w:ascii="宋体" w:hAnsi="宋体" w:cs="宋体"/>
          <w:bCs/>
          <w:kern w:val="0"/>
          <w:szCs w:val="21"/>
        </w:rPr>
        <w:t>地址:广西钦州市钦南区水东街区金海湾东大街8号市政务服务中心二楼市采购中心财务室，</w:t>
      </w:r>
      <w:r>
        <w:rPr>
          <w:rFonts w:hint="eastAsia"/>
        </w:rPr>
        <w:t>联系方式</w:t>
      </w:r>
      <w:r>
        <w:t>:0777-2886026</w:t>
      </w:r>
      <w:r>
        <w:rPr>
          <w:rFonts w:hint="eastAsia"/>
        </w:rPr>
        <w:t>）。</w:t>
      </w:r>
    </w:p>
    <w:bookmarkEnd w:id="42"/>
    <w:p>
      <w:pPr>
        <w:ind w:firstLine="420"/>
      </w:pPr>
      <w:r>
        <w:rPr>
          <w:rFonts w:hint="eastAsia"/>
        </w:rPr>
        <w:t>网上银行支付形式提交的，投标人必须于投标文件递交截止时间前从投标人账户缴存至本中心银行账户（以到账时间为准）。</w:t>
      </w:r>
    </w:p>
    <w:p>
      <w:pPr>
        <w:ind w:firstLine="420"/>
      </w:pPr>
      <w:r>
        <w:rPr>
          <w:rFonts w:hint="eastAsia"/>
        </w:rPr>
        <w:t>本中心银行账户：</w:t>
      </w:r>
    </w:p>
    <w:p>
      <w:pPr>
        <w:ind w:firstLine="420"/>
      </w:pPr>
      <w:r>
        <w:rPr>
          <w:rFonts w:hint="eastAsia"/>
        </w:rPr>
        <w:t>开户名称</w:t>
      </w:r>
      <w:r>
        <w:t>:</w:t>
      </w:r>
      <w:r>
        <w:rPr>
          <w:rFonts w:hint="eastAsia"/>
        </w:rPr>
        <w:t>钦州市政府采购中心</w:t>
      </w:r>
    </w:p>
    <w:p>
      <w:pPr>
        <w:ind w:firstLine="420"/>
      </w:pPr>
      <w:r>
        <w:rPr>
          <w:rFonts w:hint="eastAsia"/>
        </w:rPr>
        <w:t>开户银行</w:t>
      </w:r>
      <w:r>
        <w:t>:</w:t>
      </w:r>
      <w:r>
        <w:rPr>
          <w:rFonts w:hint="eastAsia"/>
        </w:rPr>
        <w:t>中国工商银行股份有限公司钦州市永福东支行</w:t>
      </w:r>
    </w:p>
    <w:p>
      <w:pPr>
        <w:ind w:firstLine="420"/>
      </w:pPr>
      <w:r>
        <w:rPr>
          <w:rFonts w:hint="eastAsia"/>
        </w:rPr>
        <w:t>银行账号</w:t>
      </w:r>
      <w:r>
        <w:t>:2115591229100078724</w:t>
      </w:r>
    </w:p>
    <w:p>
      <w:pPr>
        <w:ind w:firstLine="420"/>
      </w:pPr>
      <w:r>
        <w:rPr>
          <w:rFonts w:hint="eastAsia"/>
        </w:rPr>
        <w:t>注：投标人无法选择以上开户银行的，请选择“中国工商银行股份有限公司钦州分行”进行缴存。</w:t>
      </w:r>
    </w:p>
    <w:p>
      <w:pPr>
        <w:spacing w:line="412" w:lineRule="exact"/>
        <w:ind w:firstLine="420"/>
      </w:pPr>
      <w:r>
        <w:rPr>
          <w:rFonts w:hint="eastAsia"/>
        </w:rPr>
        <w:t>3.全流程电子化</w:t>
      </w:r>
      <w:bookmarkEnd w:id="40"/>
      <w:r>
        <w:rPr>
          <w:rFonts w:hint="eastAsia"/>
        </w:rPr>
        <w:t>要求：</w:t>
      </w:r>
    </w:p>
    <w:p>
      <w:pPr>
        <w:spacing w:line="412" w:lineRule="exact"/>
        <w:ind w:firstLine="420"/>
      </w:pPr>
      <w:r>
        <w:rPr>
          <w:rFonts w:hint="eastAsia"/>
        </w:rPr>
        <w:t>本项目为全流程电子化项目，潜在投标人应做好参与全流程电子化交易的充分准备，熟悉掌握电子化采购项目操作指南(操作指南：政采云电子卖场首页右上角—服务中心—帮助文档—项目采购)，及时完成CA申领和绑定(操作指南：政采云电子卖场首页右上角—帮助文档—入驻与配置—CA管理；CA证书申领路径：政采云平台—我的工作台右上角—CA管理—CA证书申领)。因未注册入库、未办理CA数字证书、CA证书故障、操作不当等原因造成投标失败等后果由投标人承担。</w:t>
      </w:r>
    </w:p>
    <w:p>
      <w:pPr>
        <w:spacing w:line="412" w:lineRule="exact"/>
        <w:ind w:firstLine="420"/>
      </w:pPr>
      <w:r>
        <w:t>(1)</w:t>
      </w:r>
      <w:r>
        <w:rPr>
          <w:rFonts w:hint="eastAsia"/>
        </w:rPr>
        <w:t>依法获取招标文件：投标人须在获取招标文件时间内登录</w:t>
      </w:r>
      <w:r>
        <w:fldChar w:fldCharType="begin"/>
      </w:r>
      <w:r>
        <w:instrText xml:space="preserve"> </w:instrText>
      </w:r>
      <w:r>
        <w:rPr>
          <w:rFonts w:hint="eastAsia"/>
        </w:rPr>
        <w:instrText xml:space="preserve">HYPERLINK "https://www.zcygov.cn/"</w:instrText>
      </w:r>
      <w:r>
        <w:instrText xml:space="preserve"> </w:instrText>
      </w:r>
      <w:r>
        <w:fldChar w:fldCharType="separate"/>
      </w:r>
      <w:r>
        <w:rPr>
          <w:rStyle w:val="58"/>
          <w:rFonts w:hint="eastAsia"/>
          <w:color w:val="auto"/>
          <w:u w:val="none"/>
        </w:rPr>
        <w:t>政府采购云平台</w:t>
      </w:r>
      <w:r>
        <w:fldChar w:fldCharType="end"/>
      </w:r>
      <w:r>
        <w:rPr>
          <w:rFonts w:hint="eastAsia"/>
        </w:rPr>
        <w:t>申请下载招标文件才视作依法获取招标文件。</w:t>
      </w:r>
    </w:p>
    <w:p>
      <w:pPr>
        <w:spacing w:line="412" w:lineRule="exact"/>
        <w:ind w:firstLine="420"/>
        <w:rPr>
          <w:b/>
        </w:rPr>
      </w:pPr>
      <w:r>
        <w:rPr>
          <w:rFonts w:hint="eastAsia"/>
        </w:rPr>
        <w:t>(</w:t>
      </w:r>
      <w:r>
        <w:t>2)</w:t>
      </w:r>
      <w:r>
        <w:rPr>
          <w:rFonts w:hint="eastAsia"/>
        </w:rPr>
        <w:t>投标人应通过广西政府采购云平台客户端制作投标文件，投标人自行前往下载安装（</w:t>
      </w:r>
      <w:r>
        <w:rPr>
          <w:rFonts w:ascii="宋体" w:hAnsi="宋体"/>
        </w:rPr>
        <w:fldChar w:fldCharType="begin"/>
      </w:r>
      <w:r>
        <w:rPr>
          <w:rFonts w:ascii="宋体" w:hAnsi="宋体"/>
        </w:rPr>
        <w:instrText xml:space="preserve">HYPERLINK "https://sitecdn.zcycdn.com/zcy-client/bidding-client-new/official/guangxi/GuangXiSetup.exe"</w:instrText>
      </w:r>
      <w:r>
        <w:rPr>
          <w:rFonts w:ascii="宋体" w:hAnsi="宋体"/>
        </w:rPr>
        <w:fldChar w:fldCharType="separate"/>
      </w:r>
      <w:r>
        <w:rPr>
          <w:rStyle w:val="58"/>
          <w:rFonts w:hint="eastAsia" w:ascii="宋体" w:hAnsi="宋体"/>
          <w:color w:val="auto"/>
          <w:u w:val="none"/>
        </w:rPr>
        <w:t>客户端</w:t>
      </w:r>
      <w:bookmarkStart w:id="43" w:name="_Hlt151995013"/>
      <w:bookmarkStart w:id="44" w:name="_Hlt153271920"/>
      <w:bookmarkStart w:id="45" w:name="_Hlt151995012"/>
      <w:bookmarkStart w:id="46" w:name="_Hlt153271921"/>
      <w:r>
        <w:rPr>
          <w:rStyle w:val="58"/>
          <w:rFonts w:hint="eastAsia" w:ascii="宋体" w:hAnsi="宋体"/>
          <w:color w:val="auto"/>
          <w:u w:val="none"/>
        </w:rPr>
        <w:t>下</w:t>
      </w:r>
      <w:bookmarkEnd w:id="43"/>
      <w:bookmarkEnd w:id="44"/>
      <w:bookmarkEnd w:id="45"/>
      <w:bookmarkEnd w:id="46"/>
      <w:bookmarkStart w:id="47" w:name="_Hlt162274481"/>
      <w:bookmarkStart w:id="48" w:name="_Hlt153270545"/>
      <w:bookmarkStart w:id="49" w:name="_Hlt162274482"/>
      <w:bookmarkStart w:id="50" w:name="_Hlt153270544"/>
      <w:r>
        <w:rPr>
          <w:rStyle w:val="58"/>
          <w:rFonts w:hint="eastAsia" w:ascii="宋体" w:hAnsi="宋体"/>
          <w:color w:val="auto"/>
          <w:u w:val="none"/>
        </w:rPr>
        <w:t>载</w:t>
      </w:r>
      <w:bookmarkEnd w:id="47"/>
      <w:bookmarkEnd w:id="48"/>
      <w:bookmarkEnd w:id="49"/>
      <w:bookmarkEnd w:id="50"/>
      <w:r>
        <w:rPr>
          <w:rFonts w:ascii="宋体" w:hAnsi="宋体"/>
        </w:rPr>
        <w:fldChar w:fldCharType="end"/>
      </w:r>
      <w:r>
        <w:rPr>
          <w:rFonts w:hint="eastAsia"/>
        </w:rPr>
        <w:t>）。</w:t>
      </w:r>
    </w:p>
    <w:p>
      <w:pPr>
        <w:spacing w:line="412" w:lineRule="exact"/>
        <w:ind w:firstLine="420"/>
      </w:pPr>
      <w:r>
        <w:rPr>
          <w:rFonts w:hint="eastAsia"/>
        </w:rPr>
        <w:t>(</w:t>
      </w:r>
      <w:r>
        <w:t>3)</w:t>
      </w:r>
      <w:r>
        <w:rPr>
          <w:rFonts w:hint="eastAsia"/>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12" w:lineRule="exact"/>
        <w:ind w:firstLine="420"/>
        <w:rPr>
          <w:b/>
        </w:rPr>
      </w:pPr>
      <w:r>
        <w:rPr>
          <w:rFonts w:hint="eastAsia"/>
        </w:rPr>
        <w:t>(</w:t>
      </w:r>
      <w:r>
        <w:t>4)</w:t>
      </w:r>
      <w:r>
        <w:rPr>
          <w:rFonts w:hint="eastAsia"/>
        </w:rPr>
        <w:t>投标人法定代表人或委托代理人须按时登录</w:t>
      </w:r>
      <w:bookmarkStart w:id="51" w:name="_Hlk90367388"/>
      <w:r>
        <w:rPr>
          <w:rFonts w:hint="eastAsia" w:ascii="宋体" w:hAnsi="宋体" w:cs="Courier New"/>
          <w:szCs w:val="21"/>
        </w:rPr>
        <w:t>政采云远程开标大厅</w:t>
      </w:r>
      <w:bookmarkEnd w:id="51"/>
      <w:r>
        <w:rPr>
          <w:rFonts w:hint="eastAsia"/>
        </w:rPr>
        <w:t>，保持全程在线并关注开标评标进度，评标期间评标委员会提出澄清等要求时，投标人须在规定时间内进行应答，否则按招标文件或政采云平台的相关规定执行。</w:t>
      </w:r>
    </w:p>
    <w:p>
      <w:pPr>
        <w:spacing w:line="412" w:lineRule="exact"/>
        <w:ind w:firstLine="420"/>
        <w:rPr>
          <w:rFonts w:hint="eastAsia" w:hAnsi="宋体"/>
        </w:rPr>
      </w:pPr>
      <w:r>
        <w:rPr>
          <w:rFonts w:hint="eastAsia"/>
        </w:rPr>
        <w:t>(</w:t>
      </w:r>
      <w:r>
        <w:t>5)</w:t>
      </w:r>
      <w:r>
        <w:rPr>
          <w:rFonts w:hint="eastAsia"/>
        </w:rPr>
        <w:t>投标人参与投标过程中涉及政府采购云平台的问题，请咨询政采云</w:t>
      </w:r>
      <w:r>
        <w:rPr>
          <w:rFonts w:hint="eastAsia" w:hAnsi="宋体"/>
        </w:rPr>
        <w:t>技术支持热线：</w:t>
      </w:r>
      <w:r>
        <w:rPr>
          <w:rFonts w:hAnsi="宋体"/>
        </w:rPr>
        <w:t>95763</w:t>
      </w:r>
      <w:r>
        <w:rPr>
          <w:rFonts w:hint="eastAsia" w:hAnsi="宋体"/>
        </w:rPr>
        <w:t>。</w:t>
      </w:r>
    </w:p>
    <w:p>
      <w:pPr>
        <w:spacing w:line="412" w:lineRule="exact"/>
        <w:ind w:firstLine="420"/>
        <w:rPr>
          <w:rFonts w:hint="eastAsia" w:hAnsi="宋体"/>
        </w:rPr>
      </w:pPr>
      <w:r>
        <w:rPr>
          <w:rFonts w:hint="eastAsia" w:hAnsi="宋体"/>
        </w:rPr>
        <w:t>4</w:t>
      </w:r>
      <w:r>
        <w:rPr>
          <w:rFonts w:hAnsi="宋体"/>
        </w:rPr>
        <w:t>.</w:t>
      </w:r>
      <w:r>
        <w:rPr>
          <w:rFonts w:hint="eastAsia" w:hAnsi="宋体"/>
        </w:rPr>
        <w:t>查询媒体：</w:t>
      </w:r>
      <w:bookmarkStart w:id="52" w:name="_Hlk97804124"/>
      <w:r>
        <w:rPr>
          <w:rFonts w:hAnsi="宋体"/>
        </w:rPr>
        <w:fldChar w:fldCharType="begin"/>
      </w:r>
      <w:r>
        <w:rPr>
          <w:rFonts w:hAnsi="宋体"/>
        </w:rPr>
        <w:instrText xml:space="preserve">HYPERLINK "http://www.ccgp.gov.cn/"</w:instrText>
      </w:r>
      <w:r>
        <w:rPr>
          <w:rFonts w:hAnsi="宋体"/>
        </w:rPr>
        <w:fldChar w:fldCharType="separate"/>
      </w:r>
      <w:r>
        <w:rPr>
          <w:rStyle w:val="58"/>
          <w:rFonts w:hint="eastAsia" w:hAnsi="宋体"/>
          <w:color w:val="auto"/>
          <w:u w:val="none"/>
        </w:rPr>
        <w:t>中国政府</w:t>
      </w:r>
      <w:bookmarkStart w:id="53" w:name="_Hlt97804064"/>
      <w:bookmarkStart w:id="54" w:name="_Hlt97804063"/>
      <w:r>
        <w:rPr>
          <w:rStyle w:val="58"/>
          <w:rFonts w:hint="eastAsia" w:hAnsi="宋体"/>
          <w:color w:val="auto"/>
          <w:u w:val="none"/>
        </w:rPr>
        <w:t>采</w:t>
      </w:r>
      <w:bookmarkEnd w:id="53"/>
      <w:bookmarkEnd w:id="54"/>
      <w:r>
        <w:rPr>
          <w:rStyle w:val="58"/>
          <w:rFonts w:hint="eastAsia" w:hAnsi="宋体"/>
          <w:color w:val="auto"/>
          <w:u w:val="none"/>
        </w:rPr>
        <w:t>购</w:t>
      </w:r>
      <w:bookmarkStart w:id="55" w:name="_Hlt97804090"/>
      <w:bookmarkStart w:id="56" w:name="_Hlt97804091"/>
      <w:r>
        <w:rPr>
          <w:rStyle w:val="58"/>
          <w:rFonts w:hint="eastAsia" w:hAnsi="宋体"/>
          <w:color w:val="auto"/>
          <w:u w:val="none"/>
        </w:rPr>
        <w:t>网</w:t>
      </w:r>
      <w:bookmarkEnd w:id="55"/>
      <w:bookmarkEnd w:id="56"/>
      <w:r>
        <w:rPr>
          <w:rFonts w:hAnsi="宋体"/>
        </w:rPr>
        <w:fldChar w:fldCharType="end"/>
      </w:r>
      <w:r>
        <w:rPr>
          <w:rFonts w:hint="eastAsia" w:hAnsi="宋体"/>
        </w:rPr>
        <w:t>、</w:t>
      </w:r>
      <w:r>
        <w:fldChar w:fldCharType="begin"/>
      </w:r>
      <w:r>
        <w:instrText xml:space="preserve"> HYPERLINK "http://zfcg.gxzf.gov.cn/" </w:instrText>
      </w:r>
      <w:r>
        <w:fldChar w:fldCharType="separate"/>
      </w:r>
      <w:r>
        <w:rPr>
          <w:rFonts w:hint="eastAsia" w:hAnsi="宋体"/>
        </w:rPr>
        <w:t>广西政府</w:t>
      </w:r>
      <w:bookmarkStart w:id="57" w:name="_Hlt97804098"/>
      <w:bookmarkStart w:id="58" w:name="_Hlt97804099"/>
      <w:r>
        <w:rPr>
          <w:rFonts w:hint="eastAsia" w:hAnsi="宋体"/>
        </w:rPr>
        <w:t>采</w:t>
      </w:r>
      <w:bookmarkEnd w:id="57"/>
      <w:bookmarkEnd w:id="58"/>
      <w:r>
        <w:rPr>
          <w:rFonts w:hint="eastAsia" w:hAnsi="宋体"/>
        </w:rPr>
        <w:t>购网</w:t>
      </w:r>
      <w:r>
        <w:rPr>
          <w:rFonts w:hint="eastAsia" w:hAnsi="宋体"/>
        </w:rPr>
        <w:fldChar w:fldCharType="end"/>
      </w:r>
      <w:r>
        <w:rPr>
          <w:rFonts w:hint="eastAsia" w:hAnsi="宋体"/>
        </w:rPr>
        <w:t>。</w:t>
      </w:r>
      <w:bookmarkEnd w:id="52"/>
    </w:p>
    <w:p>
      <w:pPr>
        <w:spacing w:line="412" w:lineRule="exact"/>
        <w:ind w:firstLine="420"/>
        <w:jc w:val="left"/>
        <w:rPr>
          <w:rFonts w:hint="eastAsia" w:hAnsi="宋体"/>
        </w:rPr>
      </w:pPr>
      <w:r>
        <w:rPr>
          <w:rFonts w:hint="eastAsia" w:hAnsi="宋体"/>
        </w:rPr>
        <w:t>5</w:t>
      </w:r>
      <w:r>
        <w:rPr>
          <w:rFonts w:hAnsi="宋体"/>
        </w:rPr>
        <w:t>.</w:t>
      </w:r>
      <w:r>
        <w:rPr>
          <w:rFonts w:hint="eastAsia" w:hAnsi="宋体"/>
        </w:rPr>
        <w:t>钦州市政府采购中心联系方式：</w:t>
      </w:r>
    </w:p>
    <w:p>
      <w:pPr>
        <w:spacing w:line="412" w:lineRule="exact"/>
        <w:ind w:firstLine="420"/>
        <w:jc w:val="left"/>
        <w:rPr>
          <w:rFonts w:hint="eastAsia" w:hAnsi="宋体"/>
        </w:rPr>
      </w:pPr>
      <w:r>
        <w:rPr>
          <w:rFonts w:hAnsi="宋体"/>
        </w:rPr>
        <w:t>(1)</w:t>
      </w:r>
      <w:r>
        <w:rPr>
          <w:rFonts w:hint="eastAsia" w:hAnsi="宋体"/>
        </w:rPr>
        <w:t>采购部(招标文件</w:t>
      </w:r>
      <w:r>
        <w:rPr>
          <w:rFonts w:hAnsi="宋体"/>
        </w:rPr>
        <w:t>)</w:t>
      </w:r>
    </w:p>
    <w:p>
      <w:pPr>
        <w:spacing w:line="412" w:lineRule="exact"/>
        <w:ind w:firstLine="420"/>
        <w:jc w:val="left"/>
        <w:rPr>
          <w:rFonts w:hint="eastAsia" w:hAnsi="宋体"/>
        </w:rPr>
      </w:pPr>
      <w:r>
        <w:rPr>
          <w:rFonts w:hint="eastAsia" w:hAnsi="宋体"/>
        </w:rPr>
        <w:t>联系人：黄忠秀</w:t>
      </w:r>
      <w:r>
        <w:rPr>
          <w:rFonts w:hAnsi="宋体"/>
        </w:rPr>
        <w:t xml:space="preserve">  </w:t>
      </w:r>
      <w:r>
        <w:rPr>
          <w:rFonts w:hint="eastAsia" w:hAnsi="宋体"/>
        </w:rPr>
        <w:t xml:space="preserve"> 联系方式：0777-2886022</w:t>
      </w:r>
    </w:p>
    <w:p>
      <w:pPr>
        <w:spacing w:line="412" w:lineRule="exact"/>
        <w:ind w:firstLine="420"/>
        <w:jc w:val="left"/>
        <w:rPr>
          <w:rFonts w:hint="eastAsia" w:hAnsi="宋体"/>
        </w:rPr>
      </w:pPr>
      <w:r>
        <w:rPr>
          <w:rFonts w:hint="eastAsia" w:hAnsi="宋体"/>
        </w:rPr>
        <w:t>(</w:t>
      </w:r>
      <w:r>
        <w:rPr>
          <w:rFonts w:hAnsi="宋体"/>
        </w:rPr>
        <w:t>2)</w:t>
      </w:r>
      <w:r>
        <w:rPr>
          <w:rFonts w:hint="eastAsia" w:hAnsi="宋体"/>
        </w:rPr>
        <w:t>综合二部(保证金、开评标、中标及合同管理)</w:t>
      </w:r>
    </w:p>
    <w:p>
      <w:pPr>
        <w:spacing w:line="412" w:lineRule="exact"/>
        <w:ind w:firstLine="420"/>
        <w:jc w:val="left"/>
        <w:rPr>
          <w:rFonts w:hint="eastAsia" w:hAnsi="宋体"/>
        </w:rPr>
      </w:pPr>
      <w:r>
        <w:rPr>
          <w:rFonts w:hint="eastAsia" w:hAnsi="宋体"/>
        </w:rPr>
        <w:t>联系人：陈侃</w:t>
      </w:r>
      <w:r>
        <w:rPr>
          <w:rFonts w:hint="eastAsia" w:hAnsi="宋体"/>
          <w:lang w:eastAsia="zh-CN"/>
        </w:rPr>
        <w:t>、陈启梅</w:t>
      </w:r>
      <w:r>
        <w:rPr>
          <w:rFonts w:hint="eastAsia" w:hAnsi="宋体"/>
        </w:rPr>
        <w:t xml:space="preserve"> </w:t>
      </w:r>
      <w:r>
        <w:rPr>
          <w:rFonts w:hAnsi="宋体"/>
        </w:rPr>
        <w:t xml:space="preserve"> </w:t>
      </w:r>
      <w:r>
        <w:rPr>
          <w:rFonts w:hint="eastAsia" w:hAnsi="宋体"/>
        </w:rPr>
        <w:t xml:space="preserve"> 联系方式：</w:t>
      </w:r>
      <w:r>
        <w:rPr>
          <w:rFonts w:hAnsi="宋体"/>
        </w:rPr>
        <w:t xml:space="preserve"> </w:t>
      </w:r>
      <w:r>
        <w:rPr>
          <w:rFonts w:hint="eastAsia" w:hAnsi="宋体"/>
        </w:rPr>
        <w:t>0777-2886006</w:t>
      </w:r>
    </w:p>
    <w:p>
      <w:pPr>
        <w:spacing w:line="412" w:lineRule="exact"/>
        <w:ind w:firstLine="0" w:firstLineChars="0"/>
        <w:rPr>
          <w:b/>
        </w:rPr>
      </w:pPr>
      <w:r>
        <w:rPr>
          <w:rFonts w:hint="eastAsia"/>
          <w:b/>
        </w:rPr>
        <w:t>七、对本次招标提出询问，请按</w:t>
      </w:r>
      <w:r>
        <w:rPr>
          <w:b/>
        </w:rPr>
        <w:t>以下方式</w:t>
      </w:r>
      <w:r>
        <w:rPr>
          <w:rFonts w:hint="eastAsia"/>
          <w:b/>
        </w:rPr>
        <w:t>联系</w:t>
      </w:r>
      <w:bookmarkEnd w:id="35"/>
      <w:bookmarkEnd w:id="36"/>
      <w:bookmarkEnd w:id="37"/>
      <w:bookmarkEnd w:id="38"/>
    </w:p>
    <w:bookmarkEnd w:id="11"/>
    <w:p>
      <w:pPr>
        <w:spacing w:line="412" w:lineRule="exact"/>
        <w:ind w:firstLine="420"/>
      </w:pPr>
      <w:r>
        <w:rPr>
          <w:rFonts w:hint="eastAsia"/>
        </w:rPr>
        <w:t>1.采购人信息</w:t>
      </w:r>
    </w:p>
    <w:p>
      <w:pPr>
        <w:ind w:firstLine="420"/>
      </w:pPr>
      <w:bookmarkStart w:id="59" w:name="_Toc28359086"/>
      <w:bookmarkStart w:id="60" w:name="_Toc28359009"/>
      <w:bookmarkStart w:id="61" w:name="_Hlk92356946"/>
      <w:r>
        <w:rPr>
          <w:rFonts w:hint="eastAsia"/>
        </w:rPr>
        <w:t>名称：浦北县第一职业技术学校</w:t>
      </w:r>
    </w:p>
    <w:p>
      <w:pPr>
        <w:ind w:firstLine="420"/>
      </w:pPr>
      <w:r>
        <w:rPr>
          <w:rFonts w:hint="eastAsia"/>
        </w:rPr>
        <w:t>地址：浦北县县城金浦新区科园路1号</w:t>
      </w:r>
    </w:p>
    <w:p>
      <w:pPr>
        <w:ind w:firstLine="420"/>
      </w:pPr>
      <w:r>
        <w:rPr>
          <w:rFonts w:hint="eastAsia"/>
        </w:rPr>
        <w:t>项目联系人：</w:t>
      </w:r>
      <w:bookmarkStart w:id="62" w:name="OLE_LINK26"/>
      <w:r>
        <w:rPr>
          <w:rFonts w:hint="eastAsia"/>
        </w:rPr>
        <w:t>谢钦</w:t>
      </w:r>
      <w:bookmarkEnd w:id="62"/>
    </w:p>
    <w:p>
      <w:pPr>
        <w:ind w:firstLine="420"/>
      </w:pPr>
      <w:r>
        <w:rPr>
          <w:rFonts w:hint="eastAsia"/>
        </w:rPr>
        <w:t>项目联系方式：</w:t>
      </w:r>
      <w:bookmarkStart w:id="63" w:name="OLE_LINK27"/>
      <w:r>
        <w:rPr>
          <w:rFonts w:hint="eastAsia"/>
        </w:rPr>
        <w:t>0777-8319585</w:t>
      </w:r>
      <w:bookmarkEnd w:id="63"/>
    </w:p>
    <w:p>
      <w:pPr>
        <w:spacing w:line="412" w:lineRule="exact"/>
        <w:ind w:firstLine="420"/>
      </w:pPr>
      <w:r>
        <w:rPr>
          <w:rFonts w:hint="eastAsia"/>
        </w:rPr>
        <w:t>2.采购代理机构信息</w:t>
      </w:r>
      <w:bookmarkEnd w:id="59"/>
      <w:bookmarkEnd w:id="60"/>
    </w:p>
    <w:p>
      <w:pPr>
        <w:spacing w:line="412" w:lineRule="exact"/>
        <w:ind w:firstLine="420"/>
      </w:pPr>
      <w:r>
        <w:rPr>
          <w:rFonts w:hint="eastAsia"/>
        </w:rPr>
        <w:t>名称：钦州市政府采购中心</w:t>
      </w:r>
    </w:p>
    <w:p>
      <w:pPr>
        <w:spacing w:line="412" w:lineRule="exact"/>
        <w:ind w:firstLine="420"/>
      </w:pPr>
      <w:r>
        <w:rPr>
          <w:rFonts w:hint="eastAsia"/>
        </w:rPr>
        <w:t>地址：钦州市金海湾东大街8号</w:t>
      </w:r>
    </w:p>
    <w:p>
      <w:pPr>
        <w:spacing w:line="412" w:lineRule="exact"/>
        <w:ind w:firstLine="420"/>
      </w:pPr>
      <w:r>
        <w:rPr>
          <w:rFonts w:hint="eastAsia"/>
        </w:rPr>
        <w:t>项目联系人：黄忠秀、陈侃、陈启梅</w:t>
      </w:r>
    </w:p>
    <w:p>
      <w:pPr>
        <w:spacing w:line="412" w:lineRule="exact"/>
        <w:ind w:firstLine="420"/>
      </w:pPr>
      <w:r>
        <w:rPr>
          <w:rFonts w:hint="eastAsia"/>
        </w:rPr>
        <w:t>项目联系方式：</w:t>
      </w:r>
      <w:bookmarkStart w:id="64" w:name="_Toc28359010"/>
      <w:bookmarkStart w:id="65" w:name="_Toc28359087"/>
      <w:r>
        <w:rPr>
          <w:rFonts w:hint="eastAsia"/>
        </w:rPr>
        <w:t>0</w:t>
      </w:r>
      <w:r>
        <w:t>777-2886022</w:t>
      </w:r>
      <w:r>
        <w:rPr>
          <w:rFonts w:hint="eastAsia"/>
        </w:rPr>
        <w:t>、</w:t>
      </w:r>
      <w:r>
        <w:t>2886006</w:t>
      </w:r>
    </w:p>
    <w:bookmarkEnd w:id="61"/>
    <w:bookmarkEnd w:id="64"/>
    <w:bookmarkEnd w:id="65"/>
    <w:p>
      <w:pPr>
        <w:ind w:firstLine="0" w:firstLineChars="0"/>
        <w:jc w:val="left"/>
      </w:pPr>
      <w:r>
        <w:br w:type="page"/>
      </w: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ind w:firstLine="0" w:firstLineChars="0"/>
        <w:jc w:val="left"/>
      </w:pPr>
    </w:p>
    <w:p>
      <w:pPr>
        <w:pStyle w:val="46"/>
        <w:ind w:left="0" w:leftChars="0" w:right="0" w:rightChars="0" w:firstLine="0" w:firstLineChars="0"/>
        <w:jc w:val="center"/>
      </w:pPr>
      <w:bookmarkStart w:id="66" w:name="_Toc352700402"/>
      <w:bookmarkStart w:id="67" w:name="_Toc91512284"/>
      <w:r>
        <w:rPr>
          <w:rFonts w:hint="eastAsia"/>
        </w:rPr>
        <w:t xml:space="preserve">第二章  </w:t>
      </w:r>
      <w:bookmarkEnd w:id="66"/>
      <w:r>
        <w:rPr>
          <w:rFonts w:hint="eastAsia"/>
        </w:rPr>
        <w:t>项目需求</w:t>
      </w:r>
      <w:bookmarkEnd w:id="67"/>
      <w:bookmarkStart w:id="68" w:name="_Toc352700403"/>
    </w:p>
    <w:p>
      <w:pPr>
        <w:spacing w:line="800" w:lineRule="exact"/>
        <w:ind w:left="-291" w:leftChars="-202" w:hanging="133" w:hangingChars="30"/>
        <w:jc w:val="center"/>
        <w:rPr>
          <w:b/>
        </w:rPr>
      </w:pPr>
      <w:r>
        <w:rPr>
          <w:rFonts w:ascii="方正小标宋_GBK" w:eastAsia="方正小标宋_GBK"/>
          <w:b/>
          <w:sz w:val="44"/>
          <w:szCs w:val="44"/>
        </w:rPr>
        <w:br w:type="page"/>
      </w:r>
      <w:bookmarkStart w:id="69" w:name="_Toc14492"/>
      <w:r>
        <w:rPr>
          <w:rFonts w:hint="eastAsia" w:ascii="方正小标宋_GBK" w:eastAsia="方正小标宋_GBK"/>
          <w:b/>
          <w:sz w:val="44"/>
          <w:szCs w:val="44"/>
        </w:rPr>
        <w:t>项目需求</w:t>
      </w:r>
    </w:p>
    <w:p>
      <w:pPr>
        <w:spacing w:line="420" w:lineRule="exact"/>
        <w:ind w:firstLine="420"/>
      </w:pPr>
      <w:r>
        <w:rPr>
          <w:rFonts w:hint="eastAsia"/>
        </w:rPr>
        <w:t>说明：</w:t>
      </w:r>
    </w:p>
    <w:p>
      <w:pPr>
        <w:spacing w:line="360" w:lineRule="exact"/>
        <w:ind w:firstLine="420"/>
        <w:rPr>
          <w:rFonts w:hint="eastAsia" w:ascii="宋体" w:hAnsi="宋体"/>
        </w:rPr>
      </w:pPr>
      <w:r>
        <w:rPr>
          <w:rFonts w:hint="eastAsia" w:ascii="宋体" w:hAnsi="宋体"/>
        </w:rPr>
        <w:t>1.本表中的品牌型号、技术参数及其性能（规格）仅起参考作用，投标人可选用其他品牌型号替代，</w:t>
      </w:r>
      <w:bookmarkStart w:id="70" w:name="_Hlk126843748"/>
      <w:r>
        <w:rPr>
          <w:rFonts w:hint="eastAsia" w:ascii="宋体" w:hAnsi="宋体"/>
        </w:rPr>
        <w:t>但替代的产品整体上要相当于或优于参考品牌型号或其技术参数性能（规格）要求。</w:t>
      </w:r>
      <w:bookmarkEnd w:id="70"/>
    </w:p>
    <w:p>
      <w:pPr>
        <w:spacing w:line="360" w:lineRule="exact"/>
        <w:ind w:firstLine="420"/>
        <w:rPr>
          <w:rFonts w:hint="eastAsia" w:ascii="宋体" w:hAnsi="宋体"/>
        </w:rPr>
      </w:pPr>
      <w:r>
        <w:rPr>
          <w:rFonts w:hint="eastAsia" w:ascii="宋体" w:hAnsi="宋体"/>
        </w:rPr>
        <w:t>2.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pPr>
        <w:spacing w:line="360" w:lineRule="exact"/>
        <w:ind w:firstLine="420"/>
        <w:rPr>
          <w:rFonts w:hint="eastAsia" w:ascii="宋体" w:hAnsi="宋体"/>
          <w:bCs/>
        </w:rPr>
      </w:pPr>
      <w:bookmarkStart w:id="71" w:name="_Hlk92357261"/>
      <w:r>
        <w:rPr>
          <w:rFonts w:hint="eastAsia" w:ascii="宋体" w:hAnsi="宋体"/>
          <w:bCs/>
        </w:rPr>
        <w:t>3.</w:t>
      </w:r>
      <w:r>
        <w:rPr>
          <w:rFonts w:hint="eastAsia"/>
        </w:rPr>
        <w:t>本项目不接受投标人提供通过中国海关报关验放进入中国境内且产自关境外的产品。</w:t>
      </w:r>
    </w:p>
    <w:p>
      <w:pPr>
        <w:spacing w:line="360" w:lineRule="exact"/>
        <w:ind w:firstLine="420"/>
        <w:rPr>
          <w:rFonts w:hint="eastAsia" w:ascii="宋体" w:hAnsi="宋体"/>
          <w:szCs w:val="21"/>
        </w:rPr>
      </w:pPr>
      <w:r>
        <w:rPr>
          <w:rFonts w:hint="eastAsia" w:ascii="宋体" w:hAnsi="宋体"/>
        </w:rPr>
        <w:t>4.</w:t>
      </w:r>
      <w:r>
        <w:rPr>
          <w:rFonts w:hint="eastAsia" w:ascii="宋体" w:hAnsi="宋体"/>
          <w:szCs w:val="21"/>
        </w:rPr>
        <w:t>标注★号的技术参数为实质性要求的参数，要求必须满足或优于，否则视为无效投标文件。</w:t>
      </w:r>
    </w:p>
    <w:p>
      <w:pPr>
        <w:spacing w:line="360" w:lineRule="exact"/>
        <w:ind w:firstLine="420"/>
        <w:rPr>
          <w:rFonts w:hint="eastAsia" w:ascii="宋体" w:hAnsi="宋体"/>
        </w:rPr>
      </w:pPr>
      <w:r>
        <w:rPr>
          <w:rFonts w:hint="eastAsia" w:ascii="宋体" w:hAnsi="宋体"/>
          <w:szCs w:val="21"/>
        </w:rPr>
        <w:t>标注▲号的系与项目实际紧密相关的条款，作为评审依据，</w:t>
      </w:r>
      <w:r>
        <w:rPr>
          <w:rFonts w:hint="eastAsia" w:ascii="宋体" w:hAnsi="宋体" w:cs="宋体"/>
          <w:kern w:val="0"/>
          <w:szCs w:val="21"/>
          <w:lang w:bidi="ar"/>
        </w:rPr>
        <w:t>提供证明材料：包括但不限于厂家证明或功能截图或国家认可的第三方检测报告并加盖供应商公章</w:t>
      </w:r>
      <w:r>
        <w:rPr>
          <w:rFonts w:hint="eastAsia" w:ascii="宋体" w:hAnsi="宋体"/>
          <w:szCs w:val="21"/>
        </w:rPr>
        <w:t>。</w:t>
      </w:r>
    </w:p>
    <w:p>
      <w:pPr>
        <w:spacing w:line="360" w:lineRule="exact"/>
        <w:ind w:firstLine="420"/>
        <w:rPr>
          <w:rFonts w:hint="eastAsia" w:ascii="宋体" w:hAnsi="宋体"/>
        </w:rPr>
      </w:pPr>
      <w:r>
        <w:rPr>
          <w:rFonts w:hint="eastAsia" w:ascii="宋体" w:hAnsi="宋体"/>
        </w:rPr>
        <w:t>5.本项目对应的中小企业划分标准所属行业为</w:t>
      </w:r>
      <w:r>
        <w:rPr>
          <w:rFonts w:hint="eastAsia" w:ascii="宋体" w:hAnsi="宋体"/>
          <w:u w:val="single"/>
        </w:rPr>
        <w:t xml:space="preserve">    工业    </w:t>
      </w:r>
      <w:r>
        <w:rPr>
          <w:rFonts w:hint="eastAsia" w:ascii="宋体" w:hAnsi="宋体"/>
        </w:rPr>
        <w:t>。</w:t>
      </w:r>
    </w:p>
    <w:p>
      <w:pPr>
        <w:spacing w:line="360" w:lineRule="exact"/>
        <w:ind w:firstLine="420"/>
      </w:pPr>
      <w:r>
        <w:rPr>
          <w:rFonts w:hint="eastAsia" w:ascii="宋体" w:hAnsi="宋体"/>
        </w:rPr>
        <w:t>6.</w:t>
      </w:r>
      <w:r>
        <w:rPr>
          <w:rFonts w:hint="eastAsia"/>
        </w:rPr>
        <w:t>预算金额：</w:t>
      </w:r>
      <w:r>
        <w:rPr>
          <w:rFonts w:hint="eastAsia"/>
          <w:u w:val="single"/>
          <w:lang w:val="en-US" w:eastAsia="zh-CN"/>
        </w:rPr>
        <w:t>伍拾伍万元整</w:t>
      </w:r>
      <w:r>
        <w:t>(</w:t>
      </w:r>
      <w:r>
        <w:rPr>
          <w:rFonts w:hint="eastAsia"/>
        </w:rPr>
        <w:t>￥</w:t>
      </w:r>
      <w:r>
        <w:rPr>
          <w:rFonts w:hint="eastAsia"/>
          <w:lang w:eastAsia="zh-CN"/>
        </w:rPr>
        <w:t>550,000.00</w:t>
      </w:r>
      <w:r>
        <w:t>)</w:t>
      </w:r>
    </w:p>
    <w:p>
      <w:pPr>
        <w:ind w:firstLine="420"/>
      </w:pPr>
      <w:r>
        <w:br w:type="page"/>
      </w:r>
      <w:bookmarkEnd w:id="69"/>
      <w:bookmarkEnd w:id="71"/>
    </w:p>
    <w:p>
      <w:pPr>
        <w:ind w:firstLine="422"/>
        <w:rPr>
          <w:rFonts w:hint="eastAsia" w:ascii="宋体" w:hAnsi="宋体"/>
          <w:b/>
          <w:bCs/>
          <w:szCs w:val="21"/>
        </w:rPr>
      </w:pPr>
      <w:bookmarkStart w:id="72" w:name="OLE_LINK12"/>
      <w:r>
        <w:rPr>
          <w:rFonts w:hint="eastAsia" w:ascii="宋体" w:hAnsi="宋体"/>
          <w:b/>
          <w:bCs/>
          <w:szCs w:val="21"/>
        </w:rPr>
        <w:t>标项</w:t>
      </w:r>
      <w:r>
        <w:rPr>
          <w:rFonts w:hint="eastAsia" w:ascii="宋体" w:hAnsi="宋体"/>
          <w:b/>
          <w:bCs/>
          <w:szCs w:val="21"/>
          <w:lang w:val="en-US" w:eastAsia="zh-CN"/>
        </w:rPr>
        <w:t>一</w:t>
      </w:r>
      <w:r>
        <w:rPr>
          <w:rFonts w:hint="eastAsia" w:ascii="宋体" w:hAnsi="宋体"/>
          <w:b/>
          <w:bCs/>
          <w:szCs w:val="21"/>
        </w:rPr>
        <w:t>：</w:t>
      </w:r>
      <w:bookmarkStart w:id="73" w:name="OLE_LINK6"/>
      <w:r>
        <w:rPr>
          <w:rFonts w:hint="eastAsia" w:ascii="宋体" w:hAnsi="宋体"/>
          <w:b/>
          <w:bCs/>
          <w:szCs w:val="21"/>
        </w:rPr>
        <w:t>校园智慧办公系统</w:t>
      </w:r>
      <w:bookmarkEnd w:id="73"/>
      <w:r>
        <w:rPr>
          <w:rFonts w:hint="eastAsia" w:ascii="宋体" w:hAnsi="宋体"/>
          <w:b/>
          <w:bCs/>
          <w:szCs w:val="21"/>
        </w:rPr>
        <w:t>建设</w:t>
      </w:r>
    </w:p>
    <w:p>
      <w:pPr>
        <w:ind w:firstLine="420"/>
        <w:rPr>
          <w:rFonts w:hint="eastAsia" w:ascii="宋体" w:hAnsi="宋体"/>
          <w:szCs w:val="21"/>
        </w:rPr>
      </w:pPr>
      <w:r>
        <w:rPr>
          <w:rFonts w:hint="eastAsia" w:ascii="宋体" w:hAnsi="宋体"/>
          <w:szCs w:val="21"/>
        </w:rPr>
        <w:t>预算金额：肆拾伍万元整（</w:t>
      </w:r>
      <w:r>
        <w:rPr>
          <w:rFonts w:hint="eastAsia" w:ascii="宋体" w:hAnsi="宋体"/>
          <w:szCs w:val="21"/>
          <w:u w:val="single"/>
        </w:rPr>
        <w:t>￥450000.00</w:t>
      </w:r>
      <w:r>
        <w:rPr>
          <w:rFonts w:hint="eastAsia" w:ascii="宋体" w:hAnsi="宋体"/>
          <w:szCs w:val="21"/>
        </w:rPr>
        <w:t>）</w:t>
      </w:r>
    </w:p>
    <w:bookmarkEnd w:id="72"/>
    <w:tbl>
      <w:tblPr>
        <w:tblStyle w:val="49"/>
        <w:tblpPr w:leftFromText="180" w:rightFromText="180" w:vertAnchor="text" w:horzAnchor="page" w:tblpX="1278" w:tblpY="458"/>
        <w:tblOverlap w:val="never"/>
        <w:tblW w:w="9357"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655"/>
        <w:gridCol w:w="125"/>
        <w:gridCol w:w="1971"/>
        <w:gridCol w:w="660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序号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系统设计</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具体要求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2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bookmarkStart w:id="74" w:name="_Toc2313"/>
            <w:bookmarkStart w:id="75" w:name="_Toc14747"/>
            <w:r>
              <w:rPr>
                <w:rFonts w:hint="eastAsia" w:ascii="宋体" w:hAnsi="宋体" w:eastAsia="宋体" w:cs="宋体"/>
                <w:b w:val="0"/>
                <w:bCs w:val="0"/>
                <w:color w:val="auto"/>
                <w:kern w:val="0"/>
                <w:sz w:val="21"/>
                <w:szCs w:val="21"/>
                <w:highlight w:val="none"/>
                <w:lang w:val="en-US" w:eastAsia="zh-CN" w:bidi="ar"/>
              </w:rPr>
              <w:t>（一）系统设计整体要求</w:t>
            </w:r>
            <w:bookmarkEnd w:id="74"/>
            <w:bookmarkEnd w:id="75"/>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运行环境</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教务软件支持</w:t>
            </w:r>
            <w:r>
              <w:rPr>
                <w:rFonts w:hint="eastAsia" w:ascii="宋体" w:hAnsi="宋体" w:eastAsia="宋体" w:cs="宋体"/>
                <w:b w:val="0"/>
                <w:bCs w:val="0"/>
                <w:color w:val="auto"/>
                <w:kern w:val="0"/>
                <w:sz w:val="21"/>
                <w:szCs w:val="21"/>
                <w:highlight w:val="none"/>
                <w:lang w:val="en-US" w:eastAsia="zh-CN" w:bidi="ar"/>
              </w:rPr>
              <w:t>Linux</w:t>
            </w:r>
            <w:r>
              <w:rPr>
                <w:rFonts w:hint="eastAsia" w:ascii="宋体" w:hAnsi="宋体" w:eastAsia="宋体" w:cs="宋体"/>
                <w:b w:val="0"/>
                <w:bCs w:val="0"/>
                <w:color w:val="auto"/>
                <w:kern w:val="0"/>
                <w:sz w:val="21"/>
                <w:szCs w:val="21"/>
                <w:highlight w:val="none"/>
                <w:lang w:val="zh-TW" w:eastAsia="zh-TW" w:bidi="ar"/>
              </w:rPr>
              <w:t>以及</w:t>
            </w:r>
            <w:r>
              <w:rPr>
                <w:rFonts w:hint="eastAsia" w:ascii="宋体" w:hAnsi="宋体" w:eastAsia="宋体" w:cs="宋体"/>
                <w:b w:val="0"/>
                <w:bCs w:val="0"/>
                <w:color w:val="auto"/>
                <w:kern w:val="0"/>
                <w:sz w:val="21"/>
                <w:szCs w:val="21"/>
                <w:highlight w:val="none"/>
                <w:lang w:val="en-US" w:eastAsia="zh-CN" w:bidi="ar"/>
              </w:rPr>
              <w:t>Windows</w:t>
            </w:r>
            <w:r>
              <w:rPr>
                <w:rFonts w:hint="eastAsia" w:ascii="宋体" w:hAnsi="宋体" w:eastAsia="宋体" w:cs="宋体"/>
                <w:b w:val="0"/>
                <w:bCs w:val="0"/>
                <w:color w:val="auto"/>
                <w:kern w:val="0"/>
                <w:sz w:val="21"/>
                <w:szCs w:val="21"/>
                <w:highlight w:val="none"/>
                <w:lang w:val="zh-TW" w:eastAsia="zh-TW" w:bidi="ar"/>
              </w:rPr>
              <w:t>操作系统。系统采用</w:t>
            </w:r>
            <w:r>
              <w:rPr>
                <w:rFonts w:hint="eastAsia" w:ascii="宋体" w:hAnsi="宋体" w:eastAsia="宋体" w:cs="宋体"/>
                <w:b w:val="0"/>
                <w:bCs w:val="0"/>
                <w:color w:val="auto"/>
                <w:kern w:val="0"/>
                <w:sz w:val="21"/>
                <w:szCs w:val="21"/>
                <w:highlight w:val="none"/>
                <w:lang w:val="en-US" w:eastAsia="zh-CN" w:bidi="ar"/>
              </w:rPr>
              <w:t>B/S</w:t>
            </w:r>
            <w:r>
              <w:rPr>
                <w:rFonts w:hint="eastAsia" w:ascii="宋体" w:hAnsi="宋体" w:eastAsia="宋体" w:cs="宋体"/>
                <w:b w:val="0"/>
                <w:bCs w:val="0"/>
                <w:color w:val="auto"/>
                <w:kern w:val="0"/>
                <w:sz w:val="21"/>
                <w:szCs w:val="21"/>
                <w:highlight w:val="none"/>
                <w:lang w:val="zh-TW" w:eastAsia="zh-TW" w:bidi="ar"/>
              </w:rPr>
              <w:t>架构，支持版本自动更新功能。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68"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移动</w:t>
            </w:r>
            <w:r>
              <w:rPr>
                <w:rFonts w:hint="eastAsia" w:ascii="宋体" w:hAnsi="宋体" w:eastAsia="宋体" w:cs="宋体"/>
                <w:b w:val="0"/>
                <w:bCs w:val="0"/>
                <w:color w:val="auto"/>
                <w:kern w:val="0"/>
                <w:sz w:val="21"/>
                <w:szCs w:val="21"/>
                <w:highlight w:val="none"/>
                <w:lang w:val="en-US" w:eastAsia="zh-CN" w:bidi="ar"/>
              </w:rPr>
              <w:t>教学</w:t>
            </w:r>
            <w:r>
              <w:rPr>
                <w:rFonts w:hint="eastAsia" w:ascii="宋体" w:hAnsi="宋体" w:eastAsia="宋体" w:cs="宋体"/>
                <w:b w:val="0"/>
                <w:bCs w:val="0"/>
                <w:color w:val="auto"/>
                <w:kern w:val="0"/>
                <w:sz w:val="21"/>
                <w:szCs w:val="21"/>
                <w:highlight w:val="none"/>
                <w:lang w:val="zh-TW" w:eastAsia="zh-TW" w:bidi="ar"/>
              </w:rPr>
              <w:t>教务</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zh-TW" w:eastAsia="zh-CN" w:bidi="ar"/>
              </w:rPr>
            </w:pPr>
            <w:r>
              <w:rPr>
                <w:rFonts w:hint="eastAsia" w:ascii="宋体" w:hAnsi="宋体" w:eastAsia="宋体" w:cs="宋体"/>
                <w:b w:val="0"/>
                <w:bCs w:val="0"/>
                <w:color w:val="auto"/>
                <w:kern w:val="0"/>
                <w:sz w:val="21"/>
                <w:szCs w:val="21"/>
                <w:highlight w:val="none"/>
                <w:lang w:val="zh-TW" w:eastAsia="zh-TW" w:bidi="ar"/>
              </w:rPr>
              <w:t>系统部分功能，例如课表查询，调课、代课申请，学生成绩查询等，支持在手机或平板等移动端设备使用。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并发用户数</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支持</w:t>
            </w:r>
            <w:r>
              <w:rPr>
                <w:rFonts w:hint="eastAsia" w:ascii="宋体" w:hAnsi="宋体" w:eastAsia="宋体" w:cs="宋体"/>
                <w:b w:val="0"/>
                <w:bCs w:val="0"/>
                <w:color w:val="auto"/>
                <w:kern w:val="0"/>
                <w:sz w:val="21"/>
                <w:szCs w:val="21"/>
                <w:highlight w:val="none"/>
                <w:lang w:val="en-US" w:eastAsia="zh-CN" w:bidi="ar"/>
              </w:rPr>
              <w:t>5000</w:t>
            </w:r>
            <w:r>
              <w:rPr>
                <w:rFonts w:hint="eastAsia" w:ascii="宋体" w:hAnsi="宋体" w:eastAsia="宋体" w:cs="宋体"/>
                <w:b w:val="0"/>
                <w:bCs w:val="0"/>
                <w:color w:val="auto"/>
                <w:kern w:val="0"/>
                <w:sz w:val="21"/>
                <w:szCs w:val="21"/>
                <w:highlight w:val="none"/>
                <w:lang w:val="zh-TW" w:eastAsia="zh-TW" w:bidi="ar"/>
              </w:rPr>
              <w:t>名学生</w:t>
            </w:r>
            <w:r>
              <w:rPr>
                <w:rFonts w:hint="eastAsia" w:ascii="宋体" w:hAnsi="宋体" w:eastAsia="宋体" w:cs="宋体"/>
                <w:b w:val="0"/>
                <w:bCs w:val="0"/>
                <w:color w:val="auto"/>
                <w:kern w:val="0"/>
                <w:sz w:val="21"/>
                <w:szCs w:val="21"/>
                <w:highlight w:val="none"/>
                <w:lang w:val="en-US" w:eastAsia="zh-CN" w:bidi="ar"/>
              </w:rPr>
              <w:t>同时进行在线选课</w:t>
            </w:r>
            <w:r>
              <w:rPr>
                <w:rFonts w:hint="eastAsia" w:ascii="宋体" w:hAnsi="宋体" w:eastAsia="宋体" w:cs="宋体"/>
                <w:b w:val="0"/>
                <w:bCs w:val="0"/>
                <w:color w:val="auto"/>
                <w:kern w:val="0"/>
                <w:sz w:val="21"/>
                <w:szCs w:val="21"/>
                <w:highlight w:val="none"/>
                <w:lang w:val="zh-TW" w:eastAsia="zh-CN" w:bidi="ar"/>
              </w:rPr>
              <w:t>、</w:t>
            </w:r>
            <w:r>
              <w:rPr>
                <w:rFonts w:hint="eastAsia" w:ascii="宋体" w:hAnsi="宋体" w:eastAsia="宋体" w:cs="宋体"/>
                <w:b w:val="0"/>
                <w:bCs w:val="0"/>
                <w:color w:val="auto"/>
                <w:kern w:val="0"/>
                <w:sz w:val="21"/>
                <w:szCs w:val="21"/>
                <w:highlight w:val="none"/>
                <w:lang w:val="en-US" w:eastAsia="zh-CN" w:bidi="ar"/>
              </w:rPr>
              <w:t>2000</w:t>
            </w:r>
            <w:r>
              <w:rPr>
                <w:rFonts w:hint="eastAsia" w:ascii="宋体" w:hAnsi="宋体" w:eastAsia="宋体" w:cs="宋体"/>
                <w:b w:val="0"/>
                <w:bCs w:val="0"/>
                <w:color w:val="auto"/>
                <w:kern w:val="0"/>
                <w:sz w:val="21"/>
                <w:szCs w:val="21"/>
                <w:highlight w:val="none"/>
                <w:lang w:val="zh-TW" w:eastAsia="zh-TW" w:bidi="ar"/>
              </w:rPr>
              <w:t>名教师同时进行</w:t>
            </w:r>
            <w:r>
              <w:rPr>
                <w:rFonts w:hint="eastAsia" w:ascii="宋体" w:hAnsi="宋体" w:eastAsia="宋体" w:cs="宋体"/>
                <w:b w:val="0"/>
                <w:bCs w:val="0"/>
                <w:color w:val="auto"/>
                <w:kern w:val="0"/>
                <w:sz w:val="21"/>
                <w:szCs w:val="21"/>
                <w:highlight w:val="none"/>
                <w:lang w:val="en-US" w:eastAsia="zh-CN" w:bidi="ar"/>
              </w:rPr>
              <w:t>在线</w:t>
            </w:r>
            <w:r>
              <w:rPr>
                <w:rFonts w:hint="eastAsia" w:ascii="宋体" w:hAnsi="宋体" w:eastAsia="宋体" w:cs="宋体"/>
                <w:b w:val="0"/>
                <w:bCs w:val="0"/>
                <w:color w:val="auto"/>
                <w:kern w:val="0"/>
                <w:sz w:val="21"/>
                <w:szCs w:val="21"/>
                <w:highlight w:val="none"/>
                <w:lang w:val="zh-TW" w:eastAsia="zh-TW" w:bidi="ar"/>
              </w:rPr>
              <w:t>成绩录入等操作。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通用数据接口</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zh-TW" w:eastAsia="zh-TW" w:bidi="ar"/>
              </w:rPr>
              <w:t>教务系统开放部分接口，提供第三方应用系统轻量级查询与数据更新操作功能。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6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门户平台</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提供门户平台，将教务系统中针对教师和学生开发的查询、统计等程序接入门户平台。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8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安全</w:t>
            </w:r>
            <w:r>
              <w:rPr>
                <w:rFonts w:hint="eastAsia" w:ascii="宋体" w:hAnsi="宋体" w:eastAsia="宋体" w:cs="宋体"/>
                <w:b w:val="0"/>
                <w:bCs w:val="0"/>
                <w:color w:val="auto"/>
                <w:kern w:val="0"/>
                <w:sz w:val="21"/>
                <w:szCs w:val="21"/>
                <w:highlight w:val="none"/>
                <w:lang w:val="zh-TW" w:eastAsia="zh-CN" w:bidi="ar"/>
              </w:rPr>
              <w:t>性</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具有严格的安全机制，包括真正的三层结构（数据层、应用层、</w:t>
            </w:r>
            <w:r>
              <w:rPr>
                <w:rFonts w:hint="eastAsia" w:ascii="宋体" w:hAnsi="宋体" w:eastAsia="宋体" w:cs="宋体"/>
                <w:b w:val="0"/>
                <w:bCs w:val="0"/>
                <w:color w:val="auto"/>
                <w:kern w:val="0"/>
                <w:sz w:val="21"/>
                <w:szCs w:val="21"/>
                <w:highlight w:val="none"/>
                <w:lang w:val="en-US" w:eastAsia="zh-CN" w:bidi="ar"/>
              </w:rPr>
              <w:t>WEB</w:t>
            </w:r>
            <w:r>
              <w:rPr>
                <w:rFonts w:hint="eastAsia" w:ascii="宋体" w:hAnsi="宋体" w:eastAsia="宋体" w:cs="宋体"/>
                <w:b w:val="0"/>
                <w:bCs w:val="0"/>
                <w:color w:val="auto"/>
                <w:kern w:val="0"/>
                <w:sz w:val="21"/>
                <w:szCs w:val="21"/>
                <w:highlight w:val="none"/>
                <w:lang w:val="zh-TW" w:eastAsia="zh-TW" w:bidi="ar"/>
              </w:rPr>
              <w:t>层）、严格的身份授权机制（绑定</w:t>
            </w:r>
            <w:r>
              <w:rPr>
                <w:rFonts w:hint="eastAsia" w:ascii="宋体" w:hAnsi="宋体" w:eastAsia="宋体" w:cs="宋体"/>
                <w:b w:val="0"/>
                <w:bCs w:val="0"/>
                <w:color w:val="auto"/>
                <w:kern w:val="0"/>
                <w:sz w:val="21"/>
                <w:szCs w:val="21"/>
                <w:highlight w:val="none"/>
                <w:lang w:val="en-US" w:eastAsia="zh-CN" w:bidi="ar"/>
              </w:rPr>
              <w:t>MAC</w:t>
            </w:r>
            <w:r>
              <w:rPr>
                <w:rFonts w:hint="eastAsia" w:ascii="宋体" w:hAnsi="宋体" w:eastAsia="宋体" w:cs="宋体"/>
                <w:b w:val="0"/>
                <w:bCs w:val="0"/>
                <w:color w:val="auto"/>
                <w:kern w:val="0"/>
                <w:sz w:val="21"/>
                <w:szCs w:val="21"/>
                <w:highlight w:val="none"/>
                <w:lang w:val="zh-TW" w:eastAsia="zh-TW" w:bidi="ar"/>
              </w:rPr>
              <w:t>地址、按角色、数据表、字段等授权）等。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兼容性</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保证对多种浏览器（如：</w:t>
            </w:r>
            <w:r>
              <w:rPr>
                <w:rFonts w:hint="eastAsia" w:ascii="宋体" w:hAnsi="宋体" w:eastAsia="宋体" w:cs="宋体"/>
                <w:b w:val="0"/>
                <w:bCs w:val="0"/>
                <w:color w:val="auto"/>
                <w:kern w:val="0"/>
                <w:sz w:val="21"/>
                <w:szCs w:val="21"/>
                <w:highlight w:val="none"/>
                <w:lang w:val="en-US" w:eastAsia="zh-CN" w:bidi="ar"/>
              </w:rPr>
              <w:t xml:space="preserve"> firefox</w:t>
            </w:r>
            <w:r>
              <w:rPr>
                <w:rFonts w:hint="eastAsia" w:ascii="宋体" w:hAnsi="宋体" w:eastAsia="宋体" w:cs="宋体"/>
                <w:b w:val="0"/>
                <w:bCs w:val="0"/>
                <w:color w:val="auto"/>
                <w:kern w:val="0"/>
                <w:sz w:val="21"/>
                <w:szCs w:val="21"/>
                <w:highlight w:val="none"/>
                <w:lang w:val="zh-TW" w:eastAsia="zh-TW" w:bidi="ar"/>
              </w:rPr>
              <w:t>，</w:t>
            </w:r>
            <w:r>
              <w:rPr>
                <w:rFonts w:hint="eastAsia" w:ascii="宋体" w:hAnsi="宋体" w:eastAsia="宋体" w:cs="宋体"/>
                <w:b w:val="0"/>
                <w:bCs w:val="0"/>
                <w:color w:val="auto"/>
                <w:kern w:val="0"/>
                <w:sz w:val="21"/>
                <w:szCs w:val="21"/>
                <w:highlight w:val="none"/>
                <w:lang w:val="en-US" w:eastAsia="zh-CN" w:bidi="ar"/>
              </w:rPr>
              <w:t>chrome</w:t>
            </w:r>
            <w:r>
              <w:rPr>
                <w:rFonts w:hint="eastAsia" w:ascii="宋体" w:hAnsi="宋体" w:eastAsia="宋体" w:cs="宋体"/>
                <w:b w:val="0"/>
                <w:bCs w:val="0"/>
                <w:color w:val="auto"/>
                <w:kern w:val="0"/>
                <w:sz w:val="21"/>
                <w:szCs w:val="21"/>
                <w:highlight w:val="none"/>
                <w:lang w:val="zh-TW" w:eastAsia="zh-TW" w:bidi="ar"/>
              </w:rPr>
              <w:t>等）的兼容。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CN" w:bidi="ar"/>
              </w:rPr>
              <w:t>数据</w:t>
            </w:r>
            <w:r>
              <w:rPr>
                <w:rFonts w:hint="eastAsia" w:ascii="宋体" w:hAnsi="宋体" w:eastAsia="宋体" w:cs="宋体"/>
                <w:b w:val="0"/>
                <w:bCs w:val="0"/>
                <w:color w:val="auto"/>
                <w:kern w:val="0"/>
                <w:sz w:val="21"/>
                <w:szCs w:val="21"/>
                <w:highlight w:val="none"/>
                <w:lang w:val="zh-TW" w:eastAsia="zh-TW" w:bidi="ar"/>
              </w:rPr>
              <w:t>备份</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zh-TW" w:eastAsia="zh-TW" w:bidi="ar"/>
              </w:rPr>
              <w:t>提供可靠的服务器架构方案，可实现服务器系统</w:t>
            </w:r>
            <w:r>
              <w:rPr>
                <w:rFonts w:hint="eastAsia" w:ascii="宋体" w:hAnsi="宋体" w:eastAsia="宋体" w:cs="宋体"/>
                <w:b w:val="0"/>
                <w:bCs w:val="0"/>
                <w:color w:val="auto"/>
                <w:kern w:val="0"/>
                <w:sz w:val="21"/>
                <w:szCs w:val="21"/>
                <w:highlight w:val="none"/>
                <w:lang w:val="zh-TW" w:eastAsia="zh-CN" w:bidi="ar"/>
              </w:rPr>
              <w:t>和</w:t>
            </w:r>
            <w:r>
              <w:rPr>
                <w:rFonts w:hint="eastAsia" w:ascii="宋体" w:hAnsi="宋体" w:eastAsia="宋体" w:cs="宋体"/>
                <w:b w:val="0"/>
                <w:bCs w:val="0"/>
                <w:color w:val="auto"/>
                <w:kern w:val="0"/>
                <w:sz w:val="21"/>
                <w:szCs w:val="21"/>
                <w:highlight w:val="none"/>
                <w:lang w:val="zh-TW" w:eastAsia="zh-TW" w:bidi="ar"/>
              </w:rPr>
              <w:t>数据库的优化、安全冗余、备份，可实现双机热备。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4"/>
              <w:numPr>
                <w:ilvl w:val="1"/>
                <w:numId w:val="0"/>
              </w:numPr>
              <w:spacing w:before="156" w:after="156" w:line="240" w:lineRule="auto"/>
              <w:rPr>
                <w:rFonts w:hint="eastAsia" w:ascii="宋体" w:hAnsi="宋体" w:eastAsia="宋体" w:cs="宋体"/>
                <w:kern w:val="0"/>
                <w:sz w:val="21"/>
                <w:szCs w:val="21"/>
                <w:lang w:val="zh-TW"/>
              </w:rPr>
            </w:pPr>
            <w:bookmarkStart w:id="76" w:name="_Toc20377"/>
            <w:bookmarkStart w:id="77" w:name="_Toc6012"/>
            <w:r>
              <w:rPr>
                <w:rFonts w:hint="eastAsia" w:ascii="宋体" w:hAnsi="宋体" w:eastAsia="宋体" w:cs="宋体"/>
                <w:sz w:val="21"/>
                <w:szCs w:val="21"/>
                <w:lang w:val="zh-TW"/>
              </w:rPr>
              <w:t>（</w:t>
            </w:r>
            <w:r>
              <w:rPr>
                <w:rFonts w:hint="eastAsia" w:ascii="宋体" w:hAnsi="宋体" w:eastAsia="宋体" w:cs="宋体"/>
                <w:sz w:val="21"/>
                <w:szCs w:val="21"/>
              </w:rPr>
              <w:t>二</w:t>
            </w:r>
            <w:r>
              <w:rPr>
                <w:rFonts w:hint="eastAsia" w:ascii="宋体" w:hAnsi="宋体" w:eastAsia="宋体" w:cs="宋体"/>
                <w:sz w:val="21"/>
                <w:szCs w:val="21"/>
                <w:lang w:val="zh-TW"/>
              </w:rPr>
              <w:t>）微服务架构</w:t>
            </w:r>
            <w:bookmarkEnd w:id="76"/>
            <w:bookmarkEnd w:id="77"/>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统计分析</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服务平台后台管理首页提供大数据统计分析，充分利用云计算、大数据、人工智能等新技术，构建全方位、全过程、全天候的数据支持体系，学校管理员只需进入管理后台，即可看到本校的用户行为数据分析，主要包括：用户行为统计、用户统计分析、平台使用量、发现检索统计、阅读统计、基础数据统计、教学统计、教师行为分析、移动课堂使用统计分析。</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除了提供统一的分析模块外，数据统计分析还支持统计模块的自主添加，方便接入微服务平台以外的第三方应用数据的分析，作为学校管理者查看数据的统一入口，还支持统计模块显示顺序、显示状态、编辑等操作，满足学校根据重要次序、不同时期关注点不同等自身需求进行调整。</w:t>
            </w:r>
          </w:p>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大数据分析通过数据清洗、深度的机器学习，有效剔除冗余数据，优化数据结构，实现高效的统计分析功能，以及进行有效的数据挖掘。通过对用户行为的统计分析，帮助管理者实时掌握动态数据，便于学校优化平台建设和运营方向，实现学校业务管理、教学管理等功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用户管理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用户管理实现学校对本单位组织架构、用户基本信息、用户扩展属性、用户角色、移动端通讯录进行管理。学校可以根据自身的情况，在平台上进行组织架构的个性化管理，并且支持单次管理和批量管理，为学校提供导入模板，满足学校批量录入信息的需求，自动生成学校的组织架构和人员信息。同时，平台上的应用只要涉及到人员架构信息，都会从组织架构里统一调取。</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应用管理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支持针对学校实际需求，可以通过系统提供不同的引擎类型进行自建应用，包含表单、审批、图表、活动、座位预约、信息查询等，如通过表单引擎配置教学常规管理。支持通过自建方式对接其它第三方应用。</w:t>
            </w:r>
          </w:p>
          <w:p>
            <w:pPr>
              <w:spacing w:line="360" w:lineRule="auto"/>
              <w:ind w:firstLine="420"/>
              <w:rPr>
                <w:rFonts w:hint="eastAsia" w:ascii="宋体" w:hAnsi="宋体" w:cs="宋体"/>
                <w:szCs w:val="21"/>
                <w:lang w:val="zh-CN"/>
              </w:rPr>
            </w:pPr>
            <w:r>
              <w:rPr>
                <w:rFonts w:hint="eastAsia" w:ascii="宋体" w:hAnsi="宋体" w:cs="宋体"/>
                <w:kern w:val="0"/>
                <w:szCs w:val="21"/>
                <w:lang w:val="zh-TW"/>
              </w:rPr>
              <w:t>管理员进入应用管理后，可以通过应用市场和自建应用两种方式来添加本单位应用。在添加好所需应用后，可以自定义应用分类，同时满足学校对应用分类和应用进行增加、删除和修改；也支持学校对单个应用修改基本信息、设置可见范围、设置二级管理员；</w:t>
            </w:r>
            <w:r>
              <w:rPr>
                <w:rFonts w:hint="eastAsia" w:ascii="宋体" w:hAnsi="宋体" w:cs="宋体"/>
                <w:kern w:val="0"/>
                <w:szCs w:val="21"/>
              </w:rPr>
              <w:t>应用和应用分类创建完成后，管理员可在业务系统配置中设置不同角色可见的应用分类</w:t>
            </w:r>
            <w:r>
              <w:rPr>
                <w:rFonts w:hint="eastAsia" w:ascii="宋体" w:hAnsi="宋体" w:cs="宋体"/>
                <w:kern w:val="0"/>
                <w:szCs w:val="21"/>
                <w:lang w:val="zh-TW"/>
              </w:rPr>
              <w:t>；另外，管理员也可以从应用管理直接进入每个应用的后台。设置完成后，可以通过界面管理中学校空间配置和移动端配置调整应用显示顺序及效果，已达到预期的界面效果。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界面管理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服务平台提供灵活的界面管理工具，具备可视化全功能后台，用户可以自定义设置单位门户、移动端功能界面、个人空间、大数据屏、微信端的配置。考虑到学校可能会面临技术问题，平台专门提供了多种界面模版，用户只需选择模板，通过拖拽的方式，即可对单位门户进行个性化的管理和设计，真正实现了无需技术，就能拥有属于专属单位门户。不仅如此，用户还可以通过界面管理，设置移动端功能界面、管理移动端首页门户，以及管理注册流程。另外，用户还可以对个人空间进行界面管理，实现菜单定制化，首页定制化。</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通过界面管理，真正将管理权限交给用户，将大部分的代码工作提升到界面可视化管理层面，操作简单，快速上手，最大限度地方便用户自主化管理，随时随地进行门户、移动端界面、个人空间、大数据屏的个性化建设。</w:t>
            </w:r>
          </w:p>
          <w:p>
            <w:pPr>
              <w:pStyle w:val="322"/>
              <w:numPr>
                <w:ilvl w:val="0"/>
                <w:numId w:val="1"/>
              </w:numPr>
              <w:spacing w:line="360" w:lineRule="auto"/>
              <w:ind w:firstLineChars="0"/>
              <w:rPr>
                <w:rFonts w:hint="eastAsia" w:ascii="宋体" w:hAnsi="宋体" w:cs="宋体"/>
                <w:kern w:val="0"/>
                <w:szCs w:val="21"/>
                <w:lang w:val="zh-TW"/>
              </w:rPr>
            </w:pPr>
            <w:r>
              <w:rPr>
                <w:rFonts w:hint="eastAsia" w:ascii="宋体" w:hAnsi="宋体" w:cs="宋体"/>
                <w:kern w:val="0"/>
                <w:szCs w:val="21"/>
                <w:lang w:val="zh-TW"/>
              </w:rPr>
              <w:t>移动端管理：主要包含功能界面配置、注册流程管理、首页门户设置三大功能</w:t>
            </w:r>
          </w:p>
          <w:p>
            <w:pPr>
              <w:pStyle w:val="322"/>
              <w:numPr>
                <w:ilvl w:val="0"/>
                <w:numId w:val="1"/>
              </w:numPr>
              <w:spacing w:line="360" w:lineRule="auto"/>
              <w:ind w:firstLineChars="0"/>
              <w:rPr>
                <w:rFonts w:hint="eastAsia" w:ascii="宋体" w:hAnsi="宋体" w:cs="宋体"/>
                <w:kern w:val="0"/>
                <w:szCs w:val="21"/>
                <w:lang w:val="zh-TW"/>
              </w:rPr>
            </w:pPr>
            <w:r>
              <w:rPr>
                <w:rFonts w:hint="eastAsia" w:ascii="宋体" w:hAnsi="宋体" w:cs="宋体"/>
                <w:kern w:val="0"/>
                <w:szCs w:val="21"/>
                <w:lang w:val="zh-TW"/>
              </w:rPr>
              <w:t>个人空间管理：主要包含左侧菜单定制和首页定制两大功能</w:t>
            </w:r>
          </w:p>
          <w:p>
            <w:pPr>
              <w:pStyle w:val="322"/>
              <w:numPr>
                <w:ilvl w:val="0"/>
                <w:numId w:val="1"/>
              </w:numPr>
              <w:spacing w:line="360" w:lineRule="auto"/>
              <w:ind w:firstLineChars="0"/>
              <w:rPr>
                <w:rFonts w:hint="eastAsia" w:ascii="宋体" w:hAnsi="宋体" w:cs="宋体"/>
                <w:kern w:val="0"/>
                <w:szCs w:val="21"/>
                <w:lang w:val="zh-TW"/>
              </w:rPr>
            </w:pPr>
            <w:r>
              <w:rPr>
                <w:rFonts w:hint="eastAsia" w:ascii="宋体" w:hAnsi="宋体" w:cs="宋体"/>
                <w:kern w:val="0"/>
                <w:szCs w:val="21"/>
                <w:lang w:val="zh-TW"/>
              </w:rPr>
              <w:t>门户管理：主要包含域名定制和界面定制两大功能</w:t>
            </w:r>
          </w:p>
          <w:p>
            <w:pPr>
              <w:pStyle w:val="322"/>
              <w:numPr>
                <w:ilvl w:val="0"/>
                <w:numId w:val="1"/>
              </w:numPr>
              <w:spacing w:line="360" w:lineRule="auto"/>
              <w:ind w:firstLineChars="0"/>
              <w:rPr>
                <w:rFonts w:hint="eastAsia" w:ascii="宋体" w:hAnsi="宋体" w:cs="宋体"/>
                <w:kern w:val="0"/>
                <w:szCs w:val="21"/>
                <w:lang w:val="zh-CN"/>
              </w:rPr>
            </w:pPr>
            <w:r>
              <w:rPr>
                <w:rFonts w:hint="eastAsia" w:ascii="宋体" w:hAnsi="宋体" w:cs="宋体"/>
                <w:kern w:val="0"/>
                <w:szCs w:val="21"/>
                <w:lang w:val="zh-TW"/>
              </w:rPr>
              <w:t>大数据屏管理：主要包括版面布局、模块管理和地址管理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数据管理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基于微服务思想，每个应用独立闭环，每个应用对应一张数据表，为每个应用建立一个数据块，为所有应用建立一个集合数据中心。留存每个应用所产生的过程数据及结果数据，同时提供开放api供第三方应用或行为分析系统调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开放平台</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为打造可持续演进、生态化的智慧校园应用体系，本项目要求基于微服务架构构建一个安全、稳定、高效、易用的统一开放平台（Open API Platform）。该平台的核心目标是打破各业务系统（如教务、学工、办公、后勤等）间的数据孤岛和应用壁垒，为校内各部门、第三方开发者及合作企业提供标准化的应用集成、数据共享和能力输出服务。</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1. 核心定位与目标</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枢纽性： 作为校园数字中枢，是所有后端微服务能力面向前端应用（如门户、APP、小程序）和第三方系统集成的唯一出口。</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标准化： 提供完全符合RESTful规范、基于HTTP/HTTPS和JSON数据格式的API接口，确保接口的通用性和易用性。</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生态化： 支持将现有业务系统（特别是教务系统）中的核心业务功能（如信息查询、数据统计等）快速封装成API服务，并便捷地接入到统一信息门户平台中，实现单点登录和界面集成，为用户提供一站式服务体验。</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 具体功能要求</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2.1 API全生命周期管理</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API网关：</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部署高性能API网关，作为所有内部API流量的统一入口，负责路由转发、协议转换、负载均衡和灰度发布。</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API创建与发布： 提供可视化界面，支持开发人员快速将数据库操作、业务逻辑或已有服务包装成RESTful API，并发布到API市场。</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API文档自动化： 支持通过Swagger/OpenAPI 3.0等标准工具自动生成、维护并发布交互式API文档，降低对接成本。</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API市场： 建立校内API市场，所有经审核的API接口需在市场上架，清晰展示功能、参数、调用方式和计费策略（如有），方便校内授权用户检索和申请调用。</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2.2 安全与权限控制</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身份认证：</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与学校统一身份认证中心无缝集成，支持OAuth 2.0、JWT等标准认证协议，确保所有API调用均经过身份合法性校验。</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授权管理： 提供精细化的访问控制：</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应用授权： 为需要接入的第三方应用（如门户平台）分配唯一的AppKey和AppSecret。</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API授权： 支持对具体API接口进行授权，控制哪些应用可以调用哪些API。</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流量控制： 支持基于应用、用户或IP地址的API调用频率和并发数限制，防止恶意调用和资源滥用。</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权限隔离： 严格遵循“最小权限原则”，确保不同角色（如教师、学生、管理员）通过同一应用调用API时，只能访问其权限范围内的数据。</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2.3 监控与运维</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调用监控：提供实时仪表盘，监控API调用量、响应时间、成功率、异常状态等关键指标。</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日志审计：完整记录所有API的调用日志，包括调用方、时间、接口、参数、响应结果和IP地址，满足安全审计和故障排查需求。</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告警机制：支持设置阈值告警，当API出现高延迟、高错误率或流量异常时，能通过短信、邮件、钉钉等方式通知运维人员。</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3. 针对教务系统接入门户的具体实施要求</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本项目要求利用此开放平台，重点实现教务系统相关服务能力对门户平台的输出。</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接口封装：供应商需负责将现有教务系统中涉及教师和学生的核心查询与统计功能，封装成一系列独立的、可复用的API服务。至少包括但不限于：</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教师信息查询API：提供课表查询、教学任务查询、成绩录入状态查询、教室申请查询等。</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学生信息查询API：提供个人课表查询、考试成绩查询、学分统计查询、考试安排查询、空教室查询等。</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统计报表API：提供班级成绩分布统计、课程出勤率统计、教学评价统计等（数据需脱敏，且按权限开放）。</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门户接入：门户平台的开发团队通过调用上述封装好的API，在门户的个人中心、相关应用模块中，直接获取并展示实时数据，避免数据的二次开发和重复建设。</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体验保障：通过开放平台提供的服务，</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确保教师在门户中查询课表、学生在门户中查询成绩等高频操作的体验，与直接访问原教务系统无差异，且响应延迟应低于200毫秒。</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4. 技术指标</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性能： API网关集群需支持每秒处理不少于1000个并发请求，平均响应时间&lt;50ms。</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可用性： 平台整体可用性不低于99.9%，支持高可用和负载均衡部署。</w:t>
            </w:r>
          </w:p>
          <w:p>
            <w:pPr>
              <w:spacing w:line="360" w:lineRule="auto"/>
              <w:ind w:firstLine="420"/>
              <w:rPr>
                <w:rFonts w:hint="eastAsia" w:ascii="宋体" w:hAnsi="宋体" w:cs="宋体"/>
                <w:color w:val="auto"/>
                <w:kern w:val="0"/>
                <w:szCs w:val="21"/>
                <w:lang w:val="zh-CN"/>
              </w:rPr>
            </w:pPr>
            <w:r>
              <w:rPr>
                <w:rFonts w:hint="eastAsia" w:ascii="宋体" w:hAnsi="宋体" w:cs="宋体"/>
                <w:color w:val="auto"/>
                <w:kern w:val="0"/>
                <w:szCs w:val="21"/>
                <w:lang w:val="zh-CN"/>
              </w:rPr>
              <w:t>兼容性：</w:t>
            </w:r>
            <w:r>
              <w:rPr>
                <w:rFonts w:hint="eastAsia" w:ascii="宋体" w:hAnsi="宋体" w:cs="宋体"/>
                <w:color w:val="auto"/>
                <w:kern w:val="0"/>
                <w:szCs w:val="21"/>
                <w:lang w:val="en-US" w:eastAsia="zh-CN"/>
              </w:rPr>
              <w:t>需</w:t>
            </w:r>
            <w:r>
              <w:rPr>
                <w:rFonts w:hint="eastAsia" w:ascii="宋体" w:hAnsi="宋体" w:cs="宋体"/>
                <w:color w:val="auto"/>
                <w:kern w:val="0"/>
                <w:szCs w:val="21"/>
                <w:lang w:val="zh-CN"/>
              </w:rPr>
              <w:t>支持HTTP/HTTPS协议，兼容主流开发语言（Java, Python, PHP, .NET, Go等）进行调用。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lang w:val="zh-CN"/>
              </w:rPr>
            </w:pPr>
            <w:r>
              <w:rPr>
                <w:rFonts w:ascii="宋体" w:hAnsi="宋体" w:eastAsia="宋体" w:cs="宋体"/>
                <w:color w:val="auto"/>
                <w:lang w:val="zh-CN"/>
              </w:rPr>
              <w:t>三大引擎</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微服务平台提供包括资源、工具、流程在内的三大引擎，用户使用三大引擎工具可快速构建学校的业务应用。</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（1）资源引擎</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强大丰富的资源，包含图书、专题、报纸、期刊、视频、课程等，可满足学校各种教学场景的随时调用。</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（2）工具引擎</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拥有众多优质产品，教学工具、专题工具、表单工具、速课工具、课件制作工具、通知工具、转发工具、云盘、直播、投屏等，帮助学校构建业务体系。</w:t>
            </w:r>
          </w:p>
          <w:p>
            <w:pPr>
              <w:spacing w:line="360" w:lineRule="auto"/>
              <w:ind w:firstLine="420"/>
              <w:rPr>
                <w:rFonts w:hint="eastAsia" w:ascii="宋体" w:hAnsi="宋体" w:cs="宋体"/>
                <w:kern w:val="0"/>
                <w:szCs w:val="21"/>
                <w:lang w:val="zh-TW"/>
              </w:rPr>
            </w:pPr>
            <w:r>
              <w:rPr>
                <w:rFonts w:hint="eastAsia" w:ascii="宋体" w:hAnsi="宋体" w:cs="宋体"/>
                <w:kern w:val="0"/>
                <w:szCs w:val="21"/>
                <w:lang w:val="zh-TW"/>
              </w:rPr>
              <w:t>（3）流程引擎</w:t>
            </w:r>
          </w:p>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基于流程管理的办公系统，如请假，报销等，能够帮助学校迅速构建自己的办公管理后台。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center"/>
              <w:rPr>
                <w:rFonts w:ascii="宋体" w:hAnsi="宋体" w:eastAsia="宋体" w:cs="宋体"/>
                <w:color w:val="auto"/>
              </w:rPr>
            </w:pPr>
            <w:r>
              <w:rPr>
                <w:rFonts w:ascii="宋体" w:hAnsi="宋体" w:eastAsia="宋体" w:cs="宋体"/>
                <w:color w:val="auto"/>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widowControl/>
              <w:jc w:val="center"/>
              <w:rPr>
                <w:rFonts w:ascii="宋体" w:hAnsi="宋体" w:eastAsia="宋体" w:cs="宋体"/>
                <w:color w:val="auto"/>
                <w:kern w:val="0"/>
                <w:lang w:val="zh-CN"/>
              </w:rPr>
            </w:pPr>
            <w:r>
              <w:rPr>
                <w:rFonts w:ascii="宋体" w:hAnsi="宋体" w:eastAsia="宋体" w:cs="宋体"/>
                <w:color w:val="auto"/>
                <w:kern w:val="0"/>
                <w:lang w:val="zh-CN"/>
              </w:rPr>
              <w:t>应用服务</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420"/>
              <w:rPr>
                <w:rFonts w:hint="eastAsia" w:ascii="宋体" w:hAnsi="宋体" w:cs="宋体"/>
                <w:kern w:val="0"/>
                <w:szCs w:val="21"/>
                <w:lang w:val="zh-CN"/>
              </w:rPr>
            </w:pPr>
            <w:r>
              <w:rPr>
                <w:rFonts w:hint="eastAsia" w:ascii="宋体" w:hAnsi="宋体" w:cs="宋体"/>
                <w:kern w:val="0"/>
                <w:szCs w:val="21"/>
                <w:lang w:val="zh-TW"/>
              </w:rPr>
              <w:t>以实际应用场景为出发点，用“工具+内容+服务”解决学校信息化场景中的闭环问题，通过这样的方式去响应师生和业务部门在日常生活、办公、教学中的一些已经发现或者暂未凸显出来的信息化诉求，完善和扩展学校的信息化建设场景，强化用户体验，提高软件的可用性和易用性，让师生切实感受到信息化建设带来的有益改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4"/>
              <w:numPr>
                <w:ilvl w:val="1"/>
                <w:numId w:val="0"/>
              </w:numPr>
              <w:spacing w:before="156" w:after="156" w:line="240" w:lineRule="auto"/>
              <w:rPr>
                <w:rFonts w:hint="eastAsia" w:ascii="宋体" w:hAnsi="宋体" w:eastAsia="宋体" w:cs="宋体"/>
                <w:kern w:val="0"/>
                <w:sz w:val="21"/>
                <w:szCs w:val="21"/>
                <w:lang w:val="zh-CN"/>
              </w:rPr>
            </w:pPr>
            <w:bookmarkStart w:id="78" w:name="_Toc10972"/>
            <w:bookmarkStart w:id="79" w:name="_Toc9212"/>
            <w:r>
              <w:rPr>
                <w:rFonts w:hint="eastAsia" w:ascii="宋体" w:hAnsi="宋体" w:eastAsia="宋体" w:cs="宋体"/>
                <w:sz w:val="21"/>
                <w:szCs w:val="21"/>
                <w:lang w:val="zh-TW"/>
              </w:rPr>
              <w:t>（</w:t>
            </w:r>
            <w:r>
              <w:rPr>
                <w:rFonts w:hint="eastAsia" w:ascii="宋体" w:hAnsi="宋体" w:eastAsia="宋体" w:cs="宋体"/>
                <w:sz w:val="21"/>
                <w:szCs w:val="21"/>
              </w:rPr>
              <w:t>三</w:t>
            </w:r>
            <w:r>
              <w:rPr>
                <w:rFonts w:hint="eastAsia" w:ascii="宋体" w:hAnsi="宋体" w:eastAsia="宋体" w:cs="宋体"/>
                <w:sz w:val="21"/>
                <w:szCs w:val="21"/>
                <w:lang w:val="zh-TW"/>
              </w:rPr>
              <w:t>）</w:t>
            </w:r>
            <w:r>
              <w:rPr>
                <w:rFonts w:hint="eastAsia" w:ascii="宋体" w:hAnsi="宋体" w:eastAsia="宋体" w:cs="宋体"/>
                <w:sz w:val="21"/>
                <w:szCs w:val="21"/>
                <w:lang w:val="zh-TW" w:eastAsia="zh-TW"/>
              </w:rPr>
              <w:t>教务管理</w:t>
            </w:r>
            <w:r>
              <w:rPr>
                <w:rFonts w:hint="eastAsia" w:ascii="宋体" w:hAnsi="宋体" w:eastAsia="宋体" w:cs="宋体"/>
                <w:sz w:val="21"/>
                <w:szCs w:val="21"/>
                <w:lang w:val="zh-TW"/>
              </w:rPr>
              <w:t>模块</w:t>
            </w:r>
            <w:bookmarkEnd w:id="78"/>
            <w:bookmarkEnd w:id="79"/>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r>
              <w:rPr>
                <w:rFonts w:ascii="宋体" w:hAnsi="宋体" w:eastAsia="宋体" w:cs="宋体"/>
                <w:color w:val="auto"/>
                <w:lang w:val="zh-TW" w:eastAsia="zh-TW"/>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jc w:val="left"/>
              <w:rPr>
                <w:rFonts w:hint="eastAsia" w:hAnsi="宋体" w:cs="宋体"/>
                <w:kern w:val="0"/>
                <w:sz w:val="21"/>
                <w:szCs w:val="21"/>
                <w:lang w:val="zh-TW" w:eastAsia="zh-TW"/>
              </w:rPr>
            </w:pPr>
            <w:r>
              <w:rPr>
                <w:rFonts w:hint="eastAsia" w:hAnsi="宋体" w:cs="宋体"/>
                <w:sz w:val="21"/>
                <w:szCs w:val="21"/>
                <w:lang w:val="zh-CN"/>
              </w:rPr>
              <w:t>基础信息管理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color w:val="FF0000"/>
                <w:szCs w:val="21"/>
              </w:rPr>
            </w:pPr>
            <w:r>
              <w:rPr>
                <w:rFonts w:hint="eastAsia" w:ascii="宋体" w:hAnsi="宋体" w:cs="宋体"/>
                <w:szCs w:val="21"/>
              </w:rPr>
              <w:t>基础数据管理：支持根据业务的需要，进行系统字典、用户/学校基础数据等内容字段的增删改操作，包含常用中间件，包括单行输入、多行输入、数字输入、下拉框、多级下拉等基础字段，同时包括矩阵单选、子表单、计算公式等高级字段，只需进行“拖、拉、拽”等操作，无需进行二次代码开发。并可将采集的基础数据形成如雷达图、指标图、柱形图等展示。</w:t>
            </w:r>
          </w:p>
          <w:p>
            <w:pPr>
              <w:pStyle w:val="61"/>
              <w:spacing w:line="360" w:lineRule="auto"/>
              <w:ind w:firstLine="0" w:firstLineChars="0"/>
              <w:rPr>
                <w:rFonts w:hint="eastAsia" w:ascii="宋体" w:hAnsi="宋体" w:cs="宋体"/>
                <w:szCs w:val="21"/>
              </w:rPr>
            </w:pPr>
            <w:r>
              <w:rPr>
                <w:rFonts w:hint="eastAsia" w:ascii="宋体" w:hAnsi="宋体" w:cs="宋体"/>
                <w:szCs w:val="21"/>
              </w:rPr>
              <w:t>权限管理：可为不同角色分配每个业务模块、菜单及操作按钮的访问和使用等权限。</w:t>
            </w:r>
          </w:p>
          <w:p>
            <w:pPr>
              <w:pStyle w:val="61"/>
              <w:spacing w:line="360" w:lineRule="auto"/>
              <w:ind w:firstLine="0" w:firstLineChars="0"/>
              <w:rPr>
                <w:rFonts w:hint="eastAsia" w:ascii="宋体" w:hAnsi="宋体" w:cs="宋体"/>
                <w:szCs w:val="21"/>
              </w:rPr>
            </w:pPr>
            <w:r>
              <w:rPr>
                <w:rFonts w:hint="eastAsia" w:ascii="宋体" w:hAnsi="宋体" w:cs="宋体"/>
                <w:szCs w:val="21"/>
              </w:rPr>
              <w:t>1.系统字典管理</w:t>
            </w:r>
          </w:p>
          <w:p>
            <w:pPr>
              <w:pStyle w:val="61"/>
              <w:spacing w:line="360" w:lineRule="auto"/>
              <w:ind w:firstLine="0" w:firstLineChars="0"/>
              <w:rPr>
                <w:rFonts w:hint="eastAsia" w:ascii="宋体" w:hAnsi="宋体" w:cs="宋体"/>
                <w:szCs w:val="21"/>
              </w:rPr>
            </w:pPr>
            <w:r>
              <w:rPr>
                <w:rFonts w:hint="eastAsia" w:ascii="宋体" w:hAnsi="宋体" w:cs="宋体"/>
                <w:szCs w:val="21"/>
              </w:rPr>
              <w:t>包含公共字典和业务字典两部分，提供多个系统所需字段的字典值，支持用户对字典进行自定义配置；</w:t>
            </w:r>
          </w:p>
          <w:p>
            <w:pPr>
              <w:pStyle w:val="61"/>
              <w:spacing w:line="360" w:lineRule="auto"/>
              <w:ind w:firstLine="0" w:firstLineChars="0"/>
              <w:rPr>
                <w:rFonts w:hint="eastAsia" w:ascii="宋体" w:hAnsi="宋体" w:cs="宋体"/>
                <w:szCs w:val="21"/>
              </w:rPr>
            </w:pPr>
            <w:r>
              <w:rPr>
                <w:rFonts w:hint="eastAsia" w:ascii="宋体" w:hAnsi="宋体" w:cs="宋体"/>
                <w:szCs w:val="21"/>
              </w:rPr>
              <w:t>2.学校基础数据管理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1）支持对学校数据、年级数据、校区数据、学年学期、部门数据、教研室数据、系部数据、班级信息、教学楼、教室信息等基础业务数据进行维护和管理；</w:t>
            </w:r>
          </w:p>
          <w:p>
            <w:pPr>
              <w:pStyle w:val="61"/>
              <w:spacing w:line="360" w:lineRule="auto"/>
              <w:ind w:firstLine="0" w:firstLineChars="0"/>
              <w:rPr>
                <w:rFonts w:hint="eastAsia" w:ascii="宋体" w:hAnsi="宋体" w:cs="宋体"/>
                <w:szCs w:val="21"/>
              </w:rPr>
            </w:pPr>
            <w:r>
              <w:rPr>
                <w:rFonts w:hint="eastAsia" w:ascii="宋体" w:hAnsi="宋体" w:cs="宋体"/>
                <w:szCs w:val="21"/>
              </w:rPr>
              <w:t>2）支持数据的逐条添加、批量导入、批量导出、批量删除、对某些字段的批量编辑等多种功能；</w:t>
            </w:r>
          </w:p>
          <w:p>
            <w:pPr>
              <w:pStyle w:val="61"/>
              <w:spacing w:line="360" w:lineRule="auto"/>
              <w:ind w:firstLine="0" w:firstLineChars="0"/>
              <w:rPr>
                <w:rFonts w:hint="eastAsia" w:ascii="宋体" w:hAnsi="宋体" w:cs="宋体"/>
                <w:szCs w:val="21"/>
              </w:rPr>
            </w:pPr>
            <w:r>
              <w:rPr>
                <w:rFonts w:hint="eastAsia" w:ascii="宋体" w:hAnsi="宋体" w:cs="宋体"/>
                <w:szCs w:val="21"/>
              </w:rPr>
              <w:t>3）支持用户对菜单名称、字段名称进行自定义修改和维护，以满足学校个性化的要求；</w:t>
            </w:r>
          </w:p>
          <w:p>
            <w:pPr>
              <w:pStyle w:val="61"/>
              <w:spacing w:line="360" w:lineRule="auto"/>
              <w:ind w:firstLine="0" w:firstLineChars="0"/>
              <w:rPr>
                <w:rFonts w:hint="eastAsia" w:ascii="宋体" w:hAnsi="宋体" w:cs="宋体"/>
                <w:szCs w:val="21"/>
              </w:rPr>
            </w:pPr>
            <w:r>
              <w:rPr>
                <w:rFonts w:hint="eastAsia" w:ascii="宋体" w:hAnsi="宋体" w:cs="宋体"/>
                <w:szCs w:val="21"/>
              </w:rPr>
              <w:t>3.师资管理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1）支持对老师的基本信息（姓名、性别、工号、联系电话等个人信息）和任职信息（教师所属的系部、部门等）进行维护和管理。支持逐条添加和批量导入的方式；</w:t>
            </w:r>
          </w:p>
          <w:p>
            <w:pPr>
              <w:pStyle w:val="61"/>
              <w:spacing w:line="360" w:lineRule="auto"/>
              <w:ind w:firstLine="0" w:firstLineChars="0"/>
              <w:rPr>
                <w:rFonts w:hint="eastAsia" w:ascii="宋体" w:hAnsi="宋体" w:cs="宋体"/>
                <w:szCs w:val="21"/>
              </w:rPr>
            </w:pPr>
            <w:r>
              <w:rPr>
                <w:rFonts w:hint="eastAsia" w:ascii="宋体" w:hAnsi="宋体" w:cs="宋体"/>
                <w:szCs w:val="21"/>
              </w:rPr>
              <w:t>2）支持添加或导入教师基本信息后，给老师生成对应的用户账号，如果维护了手机号，支持给生成的用户账号绑定手机号；</w:t>
            </w:r>
          </w:p>
          <w:p>
            <w:pPr>
              <w:pStyle w:val="61"/>
              <w:spacing w:line="360" w:lineRule="auto"/>
              <w:ind w:firstLine="0" w:firstLineChars="0"/>
              <w:rPr>
                <w:rFonts w:hint="eastAsia" w:ascii="宋体" w:hAnsi="宋体" w:cs="宋体"/>
                <w:szCs w:val="21"/>
              </w:rPr>
            </w:pPr>
            <w:r>
              <w:rPr>
                <w:rFonts w:hint="eastAsia" w:ascii="宋体" w:hAnsi="宋体" w:cs="宋体"/>
                <w:szCs w:val="21"/>
              </w:rPr>
              <w:t>3）支持对教师的角色（例如班主任、教学秘书等）进行维护，维护后可直接将对应教师添加到对应角色下，直接开通对应角色的权限；</w:t>
            </w:r>
          </w:p>
          <w:p>
            <w:pPr>
              <w:pStyle w:val="61"/>
              <w:spacing w:line="360" w:lineRule="auto"/>
              <w:ind w:firstLine="0" w:firstLineChars="0"/>
              <w:rPr>
                <w:rFonts w:hint="eastAsia" w:ascii="宋体" w:hAnsi="宋体" w:cs="宋体"/>
                <w:szCs w:val="21"/>
              </w:rPr>
            </w:pPr>
            <w:r>
              <w:rPr>
                <w:rFonts w:hint="eastAsia" w:ascii="宋体" w:hAnsi="宋体" w:cs="宋体"/>
                <w:szCs w:val="21"/>
              </w:rPr>
              <w:t>4）支持教师对自己的个人信息进行查询和维护；</w:t>
            </w:r>
          </w:p>
          <w:p>
            <w:pPr>
              <w:pStyle w:val="61"/>
              <w:spacing w:line="360" w:lineRule="auto"/>
              <w:ind w:firstLine="0" w:firstLineChars="0"/>
              <w:rPr>
                <w:rFonts w:hint="eastAsia" w:ascii="宋体" w:hAnsi="宋体" w:cs="宋体"/>
                <w:szCs w:val="21"/>
              </w:rPr>
            </w:pPr>
            <w:r>
              <w:rPr>
                <w:rFonts w:hint="eastAsia" w:ascii="宋体" w:hAnsi="宋体" w:cs="宋体"/>
                <w:szCs w:val="21"/>
              </w:rPr>
              <w:t>5）支持查询某一周，一个或多个老师，在该周的空闲时间；</w:t>
            </w:r>
          </w:p>
          <w:p>
            <w:pPr>
              <w:pStyle w:val="61"/>
              <w:spacing w:line="360" w:lineRule="auto"/>
              <w:ind w:firstLine="0" w:firstLineChars="0"/>
              <w:rPr>
                <w:rFonts w:hint="eastAsia" w:ascii="宋体" w:hAnsi="宋体" w:cs="宋体"/>
                <w:szCs w:val="21"/>
              </w:rPr>
            </w:pPr>
            <w:r>
              <w:rPr>
                <w:rFonts w:hint="eastAsia" w:ascii="宋体" w:hAnsi="宋体" w:cs="宋体"/>
                <w:szCs w:val="21"/>
              </w:rPr>
              <w:t>4.学籍管理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1）支持对学生的基本信息（姓名、学号、性别、联系电话等个人信息）和学籍信息（学生所属的年级、班级、专业等）进行维护和管理。支持逐条添加和批量导入的方式；</w:t>
            </w:r>
          </w:p>
          <w:p>
            <w:pPr>
              <w:pStyle w:val="61"/>
              <w:spacing w:line="360" w:lineRule="auto"/>
              <w:ind w:firstLine="0" w:firstLineChars="0"/>
              <w:rPr>
                <w:rFonts w:hint="eastAsia" w:ascii="宋体" w:hAnsi="宋体" w:cs="宋体"/>
                <w:szCs w:val="21"/>
              </w:rPr>
            </w:pPr>
            <w:r>
              <w:rPr>
                <w:rFonts w:hint="eastAsia" w:ascii="宋体" w:hAnsi="宋体" w:cs="宋体"/>
                <w:szCs w:val="21"/>
              </w:rPr>
              <w:t>2）支持添加或导入学生基本信息后，给对应学生生成对应的用户账号，如果维护了手机号，支持给生成的用户账号绑定手机号；</w:t>
            </w:r>
          </w:p>
          <w:p>
            <w:pPr>
              <w:pStyle w:val="61"/>
              <w:spacing w:line="360" w:lineRule="auto"/>
              <w:ind w:firstLine="0" w:firstLineChars="0"/>
              <w:rPr>
                <w:rFonts w:hint="eastAsia" w:ascii="宋体" w:hAnsi="宋体" w:cs="宋体"/>
                <w:szCs w:val="21"/>
              </w:rPr>
            </w:pPr>
            <w:r>
              <w:rPr>
                <w:rFonts w:hint="eastAsia" w:ascii="宋体" w:hAnsi="宋体" w:cs="宋体"/>
                <w:szCs w:val="21"/>
              </w:rPr>
              <w:t>3）支持学生对自己的个人信息进行查询和维护；</w:t>
            </w:r>
          </w:p>
          <w:p>
            <w:pPr>
              <w:pStyle w:val="61"/>
              <w:spacing w:line="360" w:lineRule="auto"/>
              <w:ind w:firstLine="0" w:firstLineChars="0"/>
              <w:rPr>
                <w:rFonts w:hint="eastAsia" w:ascii="宋体" w:hAnsi="宋体" w:cs="宋体"/>
                <w:szCs w:val="21"/>
              </w:rPr>
            </w:pPr>
            <w:r>
              <w:rPr>
                <w:rFonts w:hint="eastAsia" w:ascii="宋体" w:hAnsi="宋体" w:cs="宋体"/>
                <w:szCs w:val="21"/>
              </w:rPr>
              <w:t>4）支持学生学籍异动的申请和审批，支持自定义配置审批流程，支持批量导入来实现批量异动，异动后学生基本信息的相关字段内容自动变更；</w:t>
            </w:r>
          </w:p>
          <w:p>
            <w:pPr>
              <w:pStyle w:val="61"/>
              <w:spacing w:line="360" w:lineRule="auto"/>
              <w:ind w:firstLine="0" w:firstLineChars="0"/>
              <w:rPr>
                <w:rFonts w:hint="eastAsia" w:ascii="宋体" w:hAnsi="宋体" w:cs="宋体"/>
                <w:szCs w:val="21"/>
              </w:rPr>
            </w:pPr>
            <w:r>
              <w:rPr>
                <w:rFonts w:hint="eastAsia" w:ascii="宋体" w:hAnsi="宋体" w:cs="宋体"/>
                <w:szCs w:val="21"/>
              </w:rPr>
              <w:t>5）支持班主任仅查看自己班级学生信息；</w:t>
            </w:r>
          </w:p>
          <w:p>
            <w:pPr>
              <w:pStyle w:val="61"/>
              <w:spacing w:line="360" w:lineRule="auto"/>
              <w:ind w:firstLine="0" w:firstLineChars="0"/>
              <w:rPr>
                <w:rFonts w:hint="eastAsia" w:ascii="宋体" w:hAnsi="宋体" w:cs="宋体"/>
                <w:szCs w:val="21"/>
              </w:rPr>
            </w:pPr>
            <w:r>
              <w:rPr>
                <w:rFonts w:hint="eastAsia" w:ascii="宋体" w:hAnsi="宋体" w:cs="宋体"/>
                <w:szCs w:val="21"/>
              </w:rPr>
              <w:t>5.留级名单管理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1）支持配置留级名单生成规则；</w:t>
            </w:r>
          </w:p>
          <w:p>
            <w:pPr>
              <w:pStyle w:val="61"/>
              <w:spacing w:line="360" w:lineRule="auto"/>
              <w:ind w:firstLine="0" w:firstLineChars="0"/>
              <w:rPr>
                <w:rFonts w:hint="eastAsia" w:ascii="宋体" w:hAnsi="宋体" w:cs="宋体"/>
                <w:szCs w:val="21"/>
              </w:rPr>
            </w:pPr>
            <w:r>
              <w:rPr>
                <w:rFonts w:hint="eastAsia" w:ascii="宋体" w:hAnsi="宋体" w:cs="宋体"/>
                <w:szCs w:val="21"/>
              </w:rPr>
              <w:t>2）支持按照预设规则一键生成留级名单；</w:t>
            </w:r>
          </w:p>
          <w:p>
            <w:pPr>
              <w:pStyle w:val="61"/>
              <w:spacing w:line="360" w:lineRule="auto"/>
              <w:ind w:firstLine="0" w:firstLineChars="0"/>
              <w:rPr>
                <w:rFonts w:hint="eastAsia" w:ascii="宋体" w:hAnsi="宋体" w:cs="宋体"/>
                <w:szCs w:val="21"/>
              </w:rPr>
            </w:pPr>
            <w:r>
              <w:rPr>
                <w:rFonts w:hint="eastAsia" w:ascii="宋体" w:hAnsi="宋体" w:cs="宋体"/>
                <w:szCs w:val="21"/>
              </w:rPr>
              <w:t>3）支持留级名单的查询和导出；</w:t>
            </w:r>
          </w:p>
          <w:p>
            <w:pPr>
              <w:pStyle w:val="61"/>
              <w:spacing w:line="360" w:lineRule="auto"/>
              <w:ind w:firstLine="0" w:firstLineChars="0"/>
              <w:rPr>
                <w:rFonts w:hint="eastAsia" w:ascii="宋体" w:hAnsi="宋体" w:cs="宋体"/>
                <w:szCs w:val="21"/>
              </w:rPr>
            </w:pPr>
            <w:r>
              <w:rPr>
                <w:rFonts w:hint="eastAsia" w:ascii="宋体" w:hAnsi="宋体" w:cs="宋体"/>
                <w:szCs w:val="21"/>
              </w:rPr>
              <w:t>6.学籍预警</w:t>
            </w:r>
          </w:p>
          <w:p>
            <w:pPr>
              <w:pStyle w:val="61"/>
              <w:spacing w:line="360" w:lineRule="auto"/>
              <w:ind w:firstLine="0" w:firstLineChars="0"/>
              <w:rPr>
                <w:rFonts w:hint="eastAsia" w:ascii="宋体" w:hAnsi="宋体" w:cs="宋体"/>
                <w:szCs w:val="21"/>
              </w:rPr>
            </w:pPr>
            <w:r>
              <w:rPr>
                <w:rFonts w:hint="eastAsia" w:ascii="宋体" w:hAnsi="宋体" w:cs="宋体"/>
                <w:szCs w:val="21"/>
              </w:rPr>
              <w:t>1）支持对不同学生维度设置学籍预警和预警规则；</w:t>
            </w:r>
          </w:p>
          <w:p>
            <w:pPr>
              <w:pStyle w:val="61"/>
              <w:spacing w:line="360" w:lineRule="auto"/>
              <w:ind w:firstLine="0" w:firstLineChars="0"/>
              <w:rPr>
                <w:rFonts w:hint="eastAsia" w:ascii="宋体" w:hAnsi="宋体" w:cs="宋体"/>
                <w:szCs w:val="21"/>
              </w:rPr>
            </w:pPr>
            <w:r>
              <w:rPr>
                <w:rFonts w:hint="eastAsia" w:ascii="宋体" w:hAnsi="宋体" w:cs="宋体"/>
                <w:szCs w:val="21"/>
              </w:rPr>
              <w:t>2）支持生成不同级别的学生学籍预警名单；</w:t>
            </w:r>
          </w:p>
          <w:p>
            <w:pPr>
              <w:pStyle w:val="61"/>
              <w:spacing w:line="360" w:lineRule="auto"/>
              <w:ind w:firstLine="0" w:firstLineChars="0"/>
              <w:rPr>
                <w:rFonts w:hint="eastAsia" w:ascii="宋体" w:hAnsi="宋体" w:cs="宋体"/>
                <w:szCs w:val="21"/>
              </w:rPr>
            </w:pPr>
            <w:r>
              <w:rPr>
                <w:rFonts w:hint="eastAsia" w:ascii="宋体" w:hAnsi="宋体" w:cs="宋体"/>
                <w:szCs w:val="21"/>
              </w:rPr>
              <w:t>3）支持给学生、班主任发送学籍预警通知；</w:t>
            </w:r>
          </w:p>
          <w:p>
            <w:pPr>
              <w:pStyle w:val="61"/>
              <w:spacing w:line="360" w:lineRule="auto"/>
              <w:ind w:firstLine="0" w:firstLineChars="0"/>
              <w:rPr>
                <w:rFonts w:hint="eastAsia" w:ascii="宋体" w:hAnsi="宋体" w:cs="宋体"/>
                <w:szCs w:val="21"/>
              </w:rPr>
            </w:pPr>
            <w:r>
              <w:rPr>
                <w:rFonts w:hint="eastAsia" w:ascii="宋体" w:hAnsi="宋体" w:cs="宋体"/>
                <w:szCs w:val="21"/>
              </w:rPr>
              <w:t>7.校历管理</w:t>
            </w:r>
          </w:p>
          <w:p>
            <w:pPr>
              <w:pStyle w:val="61"/>
              <w:spacing w:line="360" w:lineRule="auto"/>
              <w:ind w:firstLine="0" w:firstLineChars="0"/>
              <w:rPr>
                <w:rFonts w:hint="eastAsia" w:ascii="宋体" w:hAnsi="宋体" w:cs="宋体"/>
                <w:szCs w:val="21"/>
              </w:rPr>
            </w:pPr>
            <w:r>
              <w:rPr>
                <w:rFonts w:hint="eastAsia" w:ascii="宋体" w:hAnsi="宋体" w:cs="宋体"/>
                <w:szCs w:val="21"/>
              </w:rPr>
              <w:t>1）支持根据学年学期中预设的参数一键生成校历；</w:t>
            </w:r>
          </w:p>
          <w:p>
            <w:pPr>
              <w:pStyle w:val="61"/>
              <w:spacing w:line="360" w:lineRule="auto"/>
              <w:ind w:firstLine="0" w:firstLineChars="0"/>
              <w:rPr>
                <w:rFonts w:hint="eastAsia" w:ascii="宋体" w:hAnsi="宋体" w:cs="宋体"/>
                <w:szCs w:val="21"/>
              </w:rPr>
            </w:pPr>
            <w:r>
              <w:rPr>
                <w:rFonts w:hint="eastAsia" w:ascii="宋体" w:hAnsi="宋体" w:cs="宋体"/>
                <w:szCs w:val="21"/>
              </w:rPr>
              <w:t>2）支持在校历上标记特殊日程（例如校庆日，运动会等），支持在校历上一键停课；</w:t>
            </w:r>
          </w:p>
          <w:p>
            <w:pPr>
              <w:pStyle w:val="61"/>
              <w:spacing w:line="360" w:lineRule="auto"/>
              <w:ind w:firstLine="0" w:firstLineChars="0"/>
              <w:rPr>
                <w:rFonts w:hint="eastAsia" w:ascii="宋体" w:hAnsi="宋体" w:cs="宋体"/>
                <w:szCs w:val="21"/>
              </w:rPr>
            </w:pPr>
            <w:r>
              <w:rPr>
                <w:rFonts w:hint="eastAsia" w:ascii="宋体" w:hAnsi="宋体" w:cs="宋体"/>
                <w:szCs w:val="21"/>
              </w:rPr>
              <w:t>3）支持在校历上针对不同学生范围按照周次设置实训周和非实训周；</w:t>
            </w:r>
          </w:p>
          <w:p>
            <w:pPr>
              <w:pStyle w:val="61"/>
              <w:spacing w:line="360" w:lineRule="auto"/>
              <w:ind w:firstLine="0" w:firstLineChars="0"/>
              <w:rPr>
                <w:rFonts w:hint="eastAsia" w:ascii="宋体" w:hAnsi="宋体" w:cs="宋体"/>
                <w:szCs w:val="21"/>
              </w:rPr>
            </w:pPr>
            <w:r>
              <w:rPr>
                <w:rFonts w:hint="eastAsia" w:ascii="宋体" w:hAnsi="宋体" w:cs="宋体"/>
                <w:szCs w:val="21"/>
              </w:rPr>
              <w:t>4）支持按照院系维度查询教学校历，并支持导出excel格式的教学校历；</w:t>
            </w:r>
          </w:p>
          <w:p>
            <w:pPr>
              <w:pStyle w:val="61"/>
              <w:spacing w:line="360" w:lineRule="auto"/>
              <w:ind w:firstLine="0" w:firstLineChars="0"/>
              <w:rPr>
                <w:rFonts w:hint="eastAsia" w:ascii="宋体" w:hAnsi="宋体" w:cs="宋体"/>
                <w:szCs w:val="21"/>
              </w:rPr>
            </w:pPr>
            <w:r>
              <w:rPr>
                <w:rFonts w:hint="eastAsia" w:ascii="宋体" w:hAnsi="宋体" w:cs="宋体"/>
                <w:szCs w:val="21"/>
              </w:rPr>
              <w:t>8.课表结构管理</w:t>
            </w:r>
          </w:p>
          <w:p>
            <w:pPr>
              <w:pStyle w:val="61"/>
              <w:spacing w:line="360" w:lineRule="auto"/>
              <w:ind w:firstLine="0" w:firstLineChars="0"/>
              <w:rPr>
                <w:rFonts w:hint="eastAsia" w:ascii="宋体" w:hAnsi="宋体" w:cs="宋体"/>
                <w:szCs w:val="21"/>
              </w:rPr>
            </w:pPr>
            <w:r>
              <w:rPr>
                <w:rFonts w:hint="eastAsia" w:ascii="宋体" w:hAnsi="宋体" w:cs="宋体"/>
                <w:szCs w:val="21"/>
              </w:rPr>
              <w:t>支持根据冬夏令时设置课表结构，可根据切换时间自动切换课表结构。</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rPr>
            </w:pPr>
          </w:p>
          <w:p>
            <w:pPr>
              <w:pStyle w:val="340"/>
              <w:framePr w:wrap="auto" w:vAnchor="margin" w:hAnchor="text" w:yAlign="inline"/>
              <w:jc w:val="left"/>
              <w:rPr>
                <w:rFonts w:ascii="宋体" w:hAnsi="宋体" w:eastAsia="宋体" w:cs="宋体"/>
                <w:color w:val="auto"/>
              </w:rPr>
            </w:pPr>
            <w:r>
              <w:rPr>
                <w:rFonts w:ascii="宋体" w:hAnsi="宋体" w:eastAsia="宋体" w:cs="宋体"/>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80" w:name="_Toc31794"/>
            <w:r>
              <w:rPr>
                <w:rFonts w:hint="eastAsia" w:hAnsi="宋体" w:cs="宋体"/>
                <w:sz w:val="21"/>
                <w:szCs w:val="21"/>
              </w:rPr>
              <w:t>培养过程管理</w:t>
            </w:r>
            <w:bookmarkEnd w:id="80"/>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szCs w:val="21"/>
              </w:rPr>
            </w:pPr>
            <w:r>
              <w:rPr>
                <w:rFonts w:hint="eastAsia" w:ascii="宋体" w:hAnsi="宋体" w:cs="宋体"/>
                <w:szCs w:val="21"/>
              </w:rPr>
              <w:t>培养</w:t>
            </w:r>
            <w:r>
              <w:rPr>
                <w:rFonts w:hint="eastAsia" w:ascii="宋体" w:hAnsi="宋体" w:cs="宋体"/>
                <w:szCs w:val="21"/>
                <w:u w:color="000000"/>
                <w:lang w:val="zh-CN"/>
              </w:rPr>
              <w:t>过程管理：</w:t>
            </w:r>
            <w:r>
              <w:rPr>
                <w:rFonts w:hint="eastAsia" w:ascii="宋体" w:hAnsi="宋体" w:cs="宋体"/>
                <w:szCs w:val="21"/>
                <w:u w:color="000000"/>
              </w:rPr>
              <w:t>支持教务开课后将课程信息和教学班学生信息一键推送至教学平台，在教学平台批量</w:t>
            </w:r>
            <w:r>
              <w:rPr>
                <w:rFonts w:hint="eastAsia" w:ascii="宋体" w:hAnsi="宋体" w:cs="宋体"/>
                <w:szCs w:val="21"/>
              </w:rPr>
              <w:t>开设网络课程和对应班级。</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课程库管理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zh-CN" w:eastAsia="zh-CN"/>
              </w:rPr>
              <w:t>1）支持对全校的课程信息（课程名称、编号、学分、学时等）进行维护，支持逐条添加和批量导入；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2）支持按照开课系部进行数据权限控制；</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2.培养方案管理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1）支持按照不同年级、专业建立培养方案，支持逐条添加和批量导入；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2）支持给每个培养方案下添加课程，支持逐条添加、批量导入、通过教学进程表添加；支持同一门课程在多个学期开设；</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3）支持培养方案的复制，并同步复制教学进程表；</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4）支持按照培养方案设置的课程进行毕业学分要求的计算；</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5）支持培养方案查询的权限控制和培养方案制定的审核流程自定义；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6）支持培养方案管理的撤回和打回</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7）支持培养方案的导出和打印</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8）支持培养方案修订完成之后的修改，支持自定义设置人培方案修改的审核流程</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9）支持学生在PC端查询人培方案中课程的进度情况</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3.教学计划管理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1）支持按照培养方案，一键生成某一个或多个学期的教学计划；</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2）支持对教学计划进行调整，支持逐条添加和批量导入、批量编辑等方式；</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3）支持按照单班、合班、拆班等多种方式生成教学班，支持批量生成教学班；</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4）支持教学计划查询的权限控制和教学计划制定的审核流程自定义；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7）支持教学计划开班之后，进行撤销开班</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8）支持教学计划制定完成之后的修改，支持自定义设置教学计划修改的审核流程</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4.开课管理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1）给在教学计划中生成的教学班进行授课教师、周次、周学时、教室的等开课信息的设置；支持逐条设置和批量设置；</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2）支持不通过教学计划生成，直接通过班课速配的方式快速设置教学班（即批量给班级添加课程，给课程添加班级）；</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3）支持开课管理查询的权限控制和开课管理审核流程自定义；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4）支持开课设置之后，撤销开课</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5）支持在开课管理里面查看授课教师以及班级目前开课学时情况</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5.开课信息表</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1）支持直接在开课信息表中添加开课信息，可以不通过开课生成；支持逐条添加和批量导入的方式；</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2）支持查看和导出教学班学生名单；支持对教学班学生进行调整；</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3）支持批量编辑和修改开课信息；</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6.编组管理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支持给同类型教学班信息进行编组供排课、选课、成绩录入等模块使用；</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7.开课统计</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1）支持按教师维度和行政班维度统计学期开课信息明细和学期开课信息汇总；</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2）支持主讲教师和助教分别统计；</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3）支持统计结果数据的查看和导出；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8.板块管理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1）支持自定义添加板块类型，板块下课程</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2）支持维护板块对象、上课时间以及上课教师、教室等信息</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3）支持将板块下的课程进行选课</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9.教学任务落实</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1）支持按照学年学期查询需要落实的课程情况</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2）支持对未落实的课程进行开课设置的落实</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81" w:name="_Toc20680"/>
            <w:r>
              <w:rPr>
                <w:rFonts w:hint="eastAsia" w:hAnsi="宋体" w:cs="宋体"/>
                <w:sz w:val="21"/>
                <w:szCs w:val="21"/>
                <w:lang w:val="zh-TW" w:eastAsia="zh-TW"/>
              </w:rPr>
              <w:t>排课管理</w:t>
            </w:r>
            <w:bookmarkEnd w:id="81"/>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排课管理：支持PC端自定义名称维度查看全校课表、班级课表、教室课表、老师课表、学生课表，并支持自定义导出字段进行课表内容导出，支持老师、教室维度的无课查询。支持移动端APP查看全校课表、班级课表、教室课表、老师课表、学生课表。</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课表结构</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1）支持设置每周上课天数，晨读、上午、下午、晚自习等每天每个时段的节数，上课时间，每节时长，课间时间等参数，一键生成课表结构；</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2）支持添加课间操，午休等自定义时段；生成课表结构后支持对节次时间进行自定义编辑；</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3）支持为不同校区设置不同课表结构</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2.课表导入</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支持校方已排好的课表按照系统模板格式整理后导入系统；</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3.排课规则</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1）支持对一个或多个班级/老师/教室/课程，在某个节次时段进行禁排；</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2）支持对单个或多个课程/老师在某个节次时段进行预排，支持优先排入和必须排入两种规则；</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3）支持课程互斥规则，两门及以上课程不排在同一时段；</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4）支持教师互斥规则，两个及以上的教师不排在某一节；</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5）支持校区互斥规则，两个及以上的校区不排在同一时段；</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6）支持对连堂规则进行设置</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7）支持对排课均衡性规则进行配置，如老师最大日课时数</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8）每种规则都支持自定义规则描述，自定义标签是否显示；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4.自动排课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1）支持按照预设规则一键自动排课，自动排课会进行规则校验、冲突校验；</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2）自动排课前支持先手动预排部分课程，并作预排标签标记；</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5.手动排课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1）自动排课的结果支持手动调整；</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2）支持直接进行手动排课；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3）支持按周次排课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4）支持进行冲突强排，并做强排标签；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5）支持按班级、按老师、按教室三种不同维度的手动排课；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6）手动排课也会进行冲突和规则校验，通过颜色标识和弹窗提示；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7）每种排课维度可以查看另外两种维度的辅助课表来查看具体冲突明细；</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8）支持每次调整后系统自动进行调整日志记录；</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9）支持一键清除课表；</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10）支持通过护眼模式调整页面颜色样式；</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11）支持课程名称、班级名称、周次、教室等字段内容是否显示的控制；</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12）支持老师课表、班级课表、学生课表、教室课表等维度的预览；</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6.课表保存与恢复</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支持用户自主保存课表，并在发布课表等重要节点自动保存课表，支持恢复已保存的课表.</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7.课表查询与导出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1）支持全校课表、班级课表、老师课表、教室课表、学生课表、课程课表、班主任课表等维度的课表查询和导出；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2）支持不同样式的全校课表导出；支持导出字段的控制</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3）支持移动端个人课表，老师课表，班级课表，学生课表，课程课表，班主任课表的查看；支持移动端课表课堂记录填写；课堂记录字段支持自定义配置；</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8.调代课/停复课</w:t>
            </w:r>
          </w:p>
          <w:p>
            <w:pPr>
              <w:pStyle w:val="341"/>
              <w:framePr w:wrap="auto" w:vAnchor="margin" w:hAnchor="text" w:yAlign="inline"/>
              <w:widowControl w:val="0"/>
              <w:spacing w:line="360" w:lineRule="auto"/>
              <w:ind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支持移动端调课、代课、停复补课等各类申请审批自定义，并发送通知到审批人和申请人，调代课通过后自动更新课表和结果数据，结果数据可用于教师工作量统计。</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1）支持管理端进行调课、代课、跨周调课、停课、复课、补课；</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2）支持移动端教师自行发起调课、代课、跨周调课、停课、复课、补课申请；</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3）支持调代课审批，且支持流程的自定义配置；</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4）支持调代课记录的查询和导出；</w:t>
            </w:r>
          </w:p>
          <w:p>
            <w:pPr>
              <w:pStyle w:val="341"/>
              <w:framePr w:wrap="auto" w:vAnchor="margin" w:hAnchor="text" w:yAlign="inline"/>
              <w:widowControl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5）支持管理端调代课通知设置，添加抄送。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sz w:val="21"/>
                <w:szCs w:val="21"/>
              </w:rPr>
            </w:pPr>
            <w:r>
              <w:rPr>
                <w:rFonts w:hint="eastAsia" w:hAnsi="宋体" w:cs="宋体"/>
                <w:sz w:val="21"/>
                <w:szCs w:val="21"/>
              </w:rPr>
              <w:t>新版选课管理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w:t>
            </w:r>
            <w:r>
              <w:rPr>
                <w:rFonts w:hint="eastAsia" w:ascii="宋体" w:hAnsi="宋体" w:cs="宋体"/>
                <w:kern w:val="0"/>
                <w:szCs w:val="21"/>
                <w:lang w:bidi="ar"/>
              </w:rPr>
              <w:t>支持从开课管理生成选修课、从开课信息表导入选修课，和老师自主申报选修课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szCs w:val="21"/>
                <w:shd w:val="clear" w:color="auto" w:fill="FFFFFF"/>
              </w:rPr>
              <w:t>2）</w:t>
            </w:r>
            <w:r>
              <w:rPr>
                <w:rFonts w:hint="eastAsia" w:ascii="宋体" w:hAnsi="宋体" w:cs="宋体"/>
                <w:kern w:val="0"/>
                <w:szCs w:val="21"/>
                <w:lang w:bidi="ar"/>
              </w:rPr>
              <w:t>支持按学期、分批次进行选课，支持不同校区、年级、院系、专业的学生在同一学期开展多批次选课</w:t>
            </w:r>
            <w:r>
              <w:rPr>
                <w:rFonts w:hint="eastAsia" w:ascii="宋体" w:hAnsi="宋体" w:cs="宋体"/>
                <w:color w:val="000000"/>
                <w:kern w:val="0"/>
                <w:szCs w:val="21"/>
                <w:shd w:val="clear" w:color="auto" w:fill="FFFFFF"/>
              </w:rPr>
              <w:t>；</w:t>
            </w:r>
          </w:p>
          <w:p>
            <w:pPr>
              <w:pStyle w:val="61"/>
              <w:spacing w:line="360" w:lineRule="auto"/>
              <w:ind w:firstLine="0" w:firstLineChars="0"/>
              <w:rPr>
                <w:rFonts w:hint="eastAsia" w:ascii="宋体" w:hAnsi="宋体" w:cs="宋体"/>
                <w:szCs w:val="21"/>
              </w:rPr>
            </w:pPr>
            <w:r>
              <w:rPr>
                <w:rFonts w:hint="eastAsia" w:ascii="宋体" w:hAnsi="宋体" w:cs="宋体"/>
                <w:color w:val="000000"/>
                <w:kern w:val="0"/>
                <w:szCs w:val="21"/>
                <w:shd w:val="clear" w:color="auto" w:fill="FFFFFF"/>
              </w:rPr>
              <w:t>3）支持对专业选修课、公共选修课、分项课程建立选课计划进行选课，支持重修选课</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4）</w:t>
            </w:r>
            <w:r>
              <w:rPr>
                <w:rFonts w:hint="eastAsia" w:ascii="宋体" w:hAnsi="宋体" w:cs="宋体"/>
                <w:kern w:val="0"/>
                <w:szCs w:val="21"/>
                <w:lang w:bidi="ar"/>
              </w:rPr>
              <w:t>支持对选课计划设置可选课程范围，满足多种课程性质同时选课。支持通过excel表导入可选课程</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5）</w:t>
            </w:r>
            <w:r>
              <w:rPr>
                <w:rFonts w:hint="eastAsia" w:ascii="宋体" w:hAnsi="宋体" w:cs="宋体"/>
                <w:kern w:val="0"/>
                <w:szCs w:val="21"/>
                <w:lang w:bidi="ar"/>
              </w:rPr>
              <w:t>支持对选课计划设置学分门数要求，支持不同年级、院系、专业、班级的学生设置不同的学分门数要求。支持单独设置学分、门数要求，支持同时对学分、门数设置要求</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6）</w:t>
            </w:r>
            <w:r>
              <w:rPr>
                <w:rFonts w:hint="eastAsia" w:ascii="宋体" w:hAnsi="宋体" w:cs="宋体"/>
                <w:kern w:val="0"/>
                <w:szCs w:val="21"/>
                <w:lang w:bidi="ar"/>
              </w:rPr>
              <w:t>支持选择是否允许学生重复选课，支持限制学生某个时间段内不可重复选课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7）</w:t>
            </w:r>
            <w:r>
              <w:rPr>
                <w:rFonts w:hint="eastAsia" w:ascii="宋体" w:hAnsi="宋体" w:cs="宋体"/>
                <w:kern w:val="0"/>
                <w:szCs w:val="21"/>
                <w:lang w:bidi="ar"/>
              </w:rPr>
              <w:t>支持对选修课进行性别限制</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8）</w:t>
            </w:r>
            <w:r>
              <w:rPr>
                <w:rFonts w:hint="eastAsia" w:ascii="宋体" w:hAnsi="宋体" w:cs="宋体"/>
                <w:kern w:val="0"/>
                <w:szCs w:val="21"/>
                <w:lang w:bidi="ar"/>
              </w:rPr>
              <w:t>支持对选修课设置同组选课数量限制、前置先修课程以及先修课程成绩限制</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9）</w:t>
            </w:r>
            <w:r>
              <w:rPr>
                <w:rFonts w:hint="eastAsia" w:ascii="宋体" w:hAnsi="宋体" w:cs="宋体"/>
                <w:kern w:val="0"/>
                <w:szCs w:val="21"/>
                <w:lang w:bidi="ar"/>
              </w:rPr>
              <w:t>支持单独为每门选修课设置面向或限制的学生，满足不同课程面向不同年级、院系、专业、班级学生的场景</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10）</w:t>
            </w:r>
            <w:r>
              <w:rPr>
                <w:rFonts w:hint="eastAsia" w:ascii="宋体" w:hAnsi="宋体" w:cs="宋体"/>
                <w:kern w:val="0"/>
                <w:szCs w:val="21"/>
                <w:lang w:bidi="ar"/>
              </w:rPr>
              <w:t>支持每门选修课按班级分配选课名额，指定每个班可选此课的学生数量</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11）</w:t>
            </w:r>
            <w:r>
              <w:rPr>
                <w:rFonts w:hint="eastAsia" w:ascii="宋体" w:hAnsi="宋体" w:cs="宋体"/>
                <w:kern w:val="0"/>
                <w:szCs w:val="21"/>
                <w:lang w:bidi="ar"/>
              </w:rPr>
              <w:t>支持将历史选课计划中已修读的某门课的学生同步到本计划某门课中，无需学生再次选课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12）</w:t>
            </w:r>
            <w:r>
              <w:rPr>
                <w:rFonts w:hint="eastAsia" w:ascii="宋体" w:hAnsi="宋体" w:cs="宋体"/>
                <w:kern w:val="0"/>
                <w:szCs w:val="21"/>
                <w:lang w:bidi="ar"/>
              </w:rPr>
              <w:t>支持学生在PC端和移动端选课，支持课表模式选课和普通列表模式选课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13）</w:t>
            </w:r>
            <w:r>
              <w:rPr>
                <w:rFonts w:hint="eastAsia" w:ascii="宋体" w:hAnsi="宋体" w:cs="宋体"/>
                <w:kern w:val="0"/>
                <w:szCs w:val="21"/>
                <w:lang w:bidi="ar"/>
              </w:rPr>
              <w:t>支持管理人员对学生选课结果进行管理，帮学生选课、退课</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14）</w:t>
            </w:r>
            <w:r>
              <w:rPr>
                <w:rFonts w:hint="eastAsia" w:ascii="宋体" w:hAnsi="宋体" w:cs="宋体"/>
                <w:kern w:val="0"/>
                <w:szCs w:val="21"/>
                <w:lang w:bidi="ar"/>
              </w:rPr>
              <w:t>支持按照学生、课程多维度查看选课结果</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15）</w:t>
            </w:r>
            <w:r>
              <w:rPr>
                <w:rFonts w:hint="eastAsia" w:ascii="宋体" w:hAnsi="宋体" w:cs="宋体"/>
                <w:kern w:val="0"/>
                <w:szCs w:val="21"/>
                <w:lang w:bidi="ar"/>
              </w:rPr>
              <w:t>支持按教学班或行政班维度导出选课名单</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16）</w:t>
            </w:r>
            <w:r>
              <w:rPr>
                <w:rFonts w:hint="eastAsia" w:ascii="宋体" w:hAnsi="宋体" w:cs="宋体"/>
                <w:kern w:val="0"/>
                <w:szCs w:val="21"/>
                <w:lang w:bidi="ar"/>
              </w:rPr>
              <w:t>支持在选课计划开始前和结束前给管理人员和学生发送通知提醒，支持给没有完成选课计划的学生发送通知提醒</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17）</w:t>
            </w:r>
            <w:r>
              <w:rPr>
                <w:rFonts w:hint="eastAsia" w:ascii="宋体" w:hAnsi="宋体" w:cs="宋体"/>
                <w:kern w:val="0"/>
                <w:szCs w:val="21"/>
                <w:lang w:bidi="ar"/>
              </w:rPr>
              <w:t>支持管理人员查看学生退课申请，并进行退课审核</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szCs w:val="21"/>
              </w:rPr>
            </w:pPr>
            <w:r>
              <w:rPr>
                <w:rFonts w:hint="eastAsia" w:ascii="宋体" w:hAnsi="宋体" w:cs="宋体"/>
                <w:color w:val="000000"/>
                <w:szCs w:val="21"/>
                <w:shd w:val="clear" w:color="auto" w:fill="FFFFFF"/>
              </w:rPr>
              <w:t>18）</w:t>
            </w:r>
            <w:r>
              <w:rPr>
                <w:rFonts w:hint="eastAsia" w:ascii="宋体" w:hAnsi="宋体" w:cs="宋体"/>
                <w:kern w:val="0"/>
                <w:szCs w:val="21"/>
                <w:lang w:bidi="ar"/>
              </w:rPr>
              <w:t>支持取消未达到开课标准的课，给学生发送课程被取消通知</w:t>
            </w:r>
            <w:r>
              <w:rPr>
                <w:rFonts w:hint="eastAsia" w:ascii="宋体" w:hAnsi="宋体" w:cs="宋体"/>
                <w:color w:val="000000"/>
                <w:kern w:val="0"/>
                <w:szCs w:val="21"/>
                <w:shd w:val="clear" w:color="auto" w:fill="FFFFFF"/>
              </w:rPr>
              <w:t>；</w:t>
            </w:r>
          </w:p>
          <w:p>
            <w:pPr>
              <w:widowControl/>
              <w:spacing w:line="360" w:lineRule="auto"/>
              <w:ind w:firstLine="0" w:firstLineChars="0"/>
              <w:jc w:val="left"/>
              <w:rPr>
                <w:rFonts w:hint="eastAsia" w:ascii="宋体" w:hAnsi="宋体" w:cs="宋体"/>
                <w:color w:val="000000"/>
                <w:szCs w:val="21"/>
                <w:shd w:val="clear" w:color="auto" w:fill="FFFFFF"/>
              </w:rPr>
            </w:pPr>
            <w:r>
              <w:rPr>
                <w:rFonts w:hint="eastAsia" w:ascii="宋体" w:hAnsi="宋体" w:cs="宋体"/>
                <w:color w:val="000000"/>
                <w:szCs w:val="21"/>
                <w:shd w:val="clear" w:color="auto" w:fill="FFFFFF"/>
              </w:rPr>
              <w:t>19）</w:t>
            </w:r>
            <w:r>
              <w:rPr>
                <w:rFonts w:hint="eastAsia" w:ascii="宋体" w:hAnsi="宋体" w:cs="宋体"/>
                <w:kern w:val="0"/>
                <w:szCs w:val="21"/>
                <w:lang w:bidi="ar"/>
              </w:rPr>
              <w:t>支持在正式选课计划结束后开启补选，方便没有完成选课计划的学生再次选课</w:t>
            </w:r>
            <w:r>
              <w:rPr>
                <w:rFonts w:hint="eastAsia" w:ascii="宋体" w:hAnsi="宋体" w:cs="宋体"/>
                <w:color w:val="000000"/>
                <w:kern w:val="0"/>
                <w:szCs w:val="21"/>
                <w:shd w:val="clear" w:color="auto" w:fill="FFFFFF"/>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82" w:name="_Toc12158"/>
            <w:r>
              <w:rPr>
                <w:rFonts w:hint="eastAsia" w:hAnsi="宋体" w:cs="宋体"/>
                <w:sz w:val="21"/>
                <w:szCs w:val="21"/>
              </w:rPr>
              <w:t>教学常规管理</w:t>
            </w:r>
            <w:bookmarkEnd w:id="82"/>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44"/>
              <w:shd w:val="clear" w:color="auto" w:fill="FFFFFF"/>
              <w:spacing w:before="0" w:beforeAutospacing="0" w:after="0" w:afterAutospacing="0" w:line="360" w:lineRule="auto"/>
              <w:ind w:firstLine="0" w:firstLineChars="0"/>
              <w:jc w:val="both"/>
              <w:rPr>
                <w:rFonts w:hint="eastAsia" w:cs="宋体"/>
                <w:color w:val="000000"/>
                <w:sz w:val="21"/>
                <w:szCs w:val="21"/>
                <w:shd w:val="clear" w:color="auto" w:fill="FFFFFF"/>
              </w:rPr>
            </w:pPr>
            <w:r>
              <w:rPr>
                <w:rFonts w:hint="eastAsia" w:cs="宋体"/>
                <w:color w:val="000000"/>
                <w:sz w:val="21"/>
                <w:szCs w:val="21"/>
                <w:shd w:val="clear" w:color="auto" w:fill="FFFFFF"/>
              </w:rPr>
              <w:t>1.教师获奖管理</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1）支持教职工提交国家、省、市和校级获奖信息；</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2）支持管理人员审核提交的相关材料；</w:t>
            </w:r>
          </w:p>
          <w:p>
            <w:pPr>
              <w:widowControl/>
              <w:spacing w:line="360" w:lineRule="auto"/>
              <w:ind w:firstLine="0" w:firstLineChars="0"/>
              <w:jc w:val="left"/>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3）支持多维度查询获奖情况；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2.课题管理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1）支持把国家、省、市、校级课题纳入管理范畴，教职工可以提交课题名称、类型、级别、负责人、经费、支出经费和相关附件材料；</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2）支持管理人员审核提交的相关课题材料，支持多维度查询课题情况。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3.论文管理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1）支持对教职工发表的论文进行登记统计管理；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2）支持教职工填报提交包括论文标题、级别、刊名，发表时间、字数和相关附件材料；</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3）支持管理人员审核提交的相关论文材料，支持多维度查询论文情况；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4.证书管理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1）支持教职工上传提交各类证书，如毕业证、教师资格证和各类获奖证书等；</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2）支持相关部门对证书审核。系统支持多维度查询证书情况</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5.师资培训管理</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1）支持教师新增参与过的各种培训，填写培训内容，上传培训证书和培训总结，由管理人员审核培训材料；</w:t>
            </w:r>
          </w:p>
          <w:p>
            <w:pPr>
              <w:spacing w:line="360" w:lineRule="auto"/>
              <w:ind w:firstLine="0" w:firstLineChars="0"/>
              <w:rPr>
                <w:rFonts w:hint="eastAsia"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2）支持下载培训证书和培训总结；</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83" w:name="_Toc11399"/>
            <w:r>
              <w:rPr>
                <w:rFonts w:hint="eastAsia" w:hAnsi="宋体" w:cs="宋体"/>
                <w:sz w:val="21"/>
                <w:szCs w:val="21"/>
              </w:rPr>
              <w:t>考务管理</w:t>
            </w:r>
            <w:bookmarkEnd w:id="83"/>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1"/>
              <w:framePr w:wrap="auto" w:vAnchor="margin" w:hAnchor="text" w:yAlign="inline"/>
              <w:widowControl w:val="0"/>
              <w:spacing w:line="360" w:lineRule="auto"/>
              <w:rPr>
                <w:rFonts w:hint="eastAsia" w:ascii="宋体" w:hAnsi="宋体" w:eastAsia="宋体" w:cs="宋体"/>
                <w:color w:val="FF0000"/>
                <w:kern w:val="2"/>
                <w:sz w:val="21"/>
                <w:szCs w:val="21"/>
                <w:lang w:val="en-US" w:eastAsia="zh-CN"/>
              </w:rPr>
            </w:pPr>
            <w:r>
              <w:rPr>
                <w:rFonts w:hint="eastAsia" w:ascii="宋体" w:hAnsi="宋体" w:eastAsia="宋体" w:cs="宋体"/>
                <w:kern w:val="2"/>
                <w:sz w:val="21"/>
                <w:szCs w:val="21"/>
                <w:lang w:val="en-US" w:eastAsia="zh-CN"/>
              </w:rPr>
              <w:t xml:space="preserve"> 支持教务系统排考数据一键推送到考试系统，考试成绩数据一键同步到教务系统成绩模块。</w:t>
            </w:r>
          </w:p>
          <w:p>
            <w:pPr>
              <w:pStyle w:val="341"/>
              <w:framePr w:wrap="auto" w:vAnchor="margin" w:hAnchor="text" w:yAlign="inline"/>
              <w:widowControl w:val="0"/>
              <w:spacing w:line="360" w:lineRule="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.考务基础数据</w:t>
            </w:r>
          </w:p>
          <w:p>
            <w:pPr>
              <w:pStyle w:val="341"/>
              <w:framePr w:wrap="auto" w:vAnchor="margin" w:hAnchor="text" w:yAlign="inline"/>
              <w:widowControl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1）支持创建考试批次，自定义考试批次名称、类型、开始时间、结束时间；</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2）支持单条/导入创建考试场次，自定义考试场次名称、开始时间、结束时间，同时支持继承历史考试批次中的场次记录；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3）支持从教师基本信息同步监考教师信息；</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4）支持从教室信息同步考场信息，支持考场容量自定义设置；</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2.考试任务</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1）支持从开课信息转入考试任务；</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2）支持添加和导入考试任务及考试学生名单；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3.排考规则</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1）支持设置多维度按教学班、行政班学生排考方式</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2）支持自动按照设置的考场容量范围批量拆分考试数据；</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3）支持同个考场自定义监考教师数量</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4）支持教师、教室跨校区排考规则；</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5）支持设置监考教师监考范围</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6）支持设置一个或多个教师/考场在某个场次的禁排；</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7）支持排考任务发布后，自动发送排考信息给各个角色；</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4.安排考试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1）支持自动排考；</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2）支持手动图形化排考；</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3）支持调整考试学生名单；</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5.排考结果</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支持对排考结果进行查询及全校考表的导出；</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6.监考工作量</w:t>
            </w:r>
          </w:p>
          <w:p>
            <w:pPr>
              <w:pStyle w:val="341"/>
              <w:framePr w:wrap="auto" w:vAnchor="margin" w:hAnchor="text" w:yAlign="inline"/>
              <w:widowControl w:val="0"/>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支持对教师监考场次、时长进行自动统计，查询及导出；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84" w:name="_Toc2563"/>
            <w:r>
              <w:rPr>
                <w:rFonts w:hint="eastAsia" w:hAnsi="宋体" w:cs="宋体"/>
                <w:sz w:val="21"/>
                <w:szCs w:val="21"/>
                <w:lang w:val="zh-TW" w:eastAsia="zh-TW"/>
              </w:rPr>
              <w:t>成绩管理</w:t>
            </w:r>
            <w:bookmarkEnd w:id="84"/>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1"/>
              <w:framePr w:wrap="auto" w:vAnchor="margin" w:hAnchor="text" w:yAlign="inline"/>
              <w:widowControl w:val="0"/>
              <w:spacing w:line="360" w:lineRule="auto"/>
              <w:jc w:val="both"/>
              <w:rPr>
                <w:rFonts w:hint="eastAsia" w:ascii="宋体" w:hAnsi="宋体" w:eastAsia="宋体" w:cs="宋体"/>
                <w:color w:val="FF0000"/>
                <w:sz w:val="21"/>
                <w:szCs w:val="21"/>
              </w:rPr>
            </w:pPr>
            <w:r>
              <w:rPr>
                <w:rFonts w:hint="eastAsia" w:ascii="宋体" w:hAnsi="宋体" w:eastAsia="宋体" w:cs="宋体"/>
                <w:color w:val="auto"/>
                <w:sz w:val="21"/>
                <w:szCs w:val="21"/>
                <w:lang w:val="en-US" w:eastAsia="zh-CN"/>
              </w:rPr>
              <w:t>成绩管理：成绩管理模块通过线上方式去管理每个环节的成绩，系统支持录入前的规则配置、录入中的相关操作(正考、补考、重修、毕业考试)、录入后的结果处理 (成绩优化、成绩查询、成绩统计、成绩分析等）</w:t>
            </w:r>
          </w:p>
          <w:p>
            <w:pPr>
              <w:pStyle w:val="341"/>
              <w:framePr w:wrap="auto" w:vAnchor="margin" w:hAnchor="text" w:yAlign="inline"/>
              <w:widowControl w:val="0"/>
              <w:numPr>
                <w:ilvl w:val="0"/>
                <w:numId w:val="2"/>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成绩参数设置</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满足管理员对成绩基本规则的配置，可以控制教师录入成绩的开始时间、结束时间及各种成绩录入的参数（分项、级制、计算规则、学分规则、绩点规则、其他规则设置等）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1）支持设置一次性录入或按照分项分批次录入，支持设置录入开始时间、结束时间；</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2）支持设置成绩分项、自定义分项名称；支持给分项设置二级分项；</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3）支持按照分数制、等级制来自定义设置级制；支持设置分数等级的换算关系、支持根据培养层次设置正考合格标准；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4）支持设置多种成绩计算规则模板；支持使用公式编辑让二级分项也参与计算规则；支持任课教师自行创建成绩计算规则；支持设置综合成绩保留小数位数、是否需要四舍五入；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5）支持设置绩点规则、设置绩点与分数之间的对应关系；支持计算平均学分绩点；</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6）支持根据正考、补考、重修、毕业考试等不同的成绩类型设置不同的学分规则；支持按照分数、等级、计算公式设置课程学分规则；</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7）支持自定义特殊成绩标识（例如缓考、作弊、休学等）；支持自定义成绩质量分析标题；支持自定义成绩质量分析标题；支持配置成绩查询显示内容；</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8）支持成绩一体化对接，教学平台的学习成绩、考试系统的成绩都可以自动与教务成绩进行对接，免手工录入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2.正考成绩管理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1）支持从开课数据自动同步待录入成绩数据；</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2）支持批量配置成绩计算规则（选择模板规则或自行创建)；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3）支持给教师发送通知催促成绩录入；</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4）支持查看录入情况，录入百分比；</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5）支持解除已提交成绩的锁定状态以进行修改或重新录入；支持填写解锁理由；支持锁定成绩；</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6）支持发布、取消发布成绩，供学生查询；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7）支持教学班成绩的批量导出；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8）支持成绩分析报告的导出；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9）支持查看分析内容录入情况，录入百分比；</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10）支持教师端录入正考成绩，做相应权限控制；支持逐条录入和按班级导入；支持对成绩结果一键优化，按等级、按分数、按排名优化正考成绩结果；</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color w:val="auto"/>
                <w:sz w:val="21"/>
                <w:szCs w:val="21"/>
                <w:lang w:val="en-US" w:eastAsia="zh-CN"/>
              </w:rPr>
              <w:t>支持查看教学班各分项成绩统计结果，包括应考人数、实考人数、缺考人数、缓考人数、免考人数、总分、平均分、标准差、及格率、优秀率，分数区间人数等指标统计；</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12）支持控制管理端和教师端顶部筛选、顶部按键、列表字段、右侧按键的显隐规则、锁定状态</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3.补考成绩管理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1）支持设置补考名单生成规则；支持按照规则一键生成补考名单；</w:t>
            </w:r>
          </w:p>
          <w:p>
            <w:pPr>
              <w:pStyle w:val="341"/>
              <w:framePr w:wrap="auto" w:vAnchor="margin" w:hAnchor="text" w:yAlign="inline"/>
              <w:widowControl w:val="0"/>
              <w:spacing w:line="360" w:lineRule="auto"/>
              <w:jc w:val="both"/>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sz w:val="21"/>
                <w:szCs w:val="21"/>
              </w:rPr>
              <w:t>支持自定义补考计算规则（各分项的录入计算比例），可以继承正考的分项成绩作为补考成绩的分项成绩；</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3）支持设置补考成绩录入规则、最终成绩展示与补考成绩的关系；支持按照教学班设置合格标准；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4）支持不同角色（管理员、班主任、老师）按照行政班、教学班、学生三个维度来进行补考成绩的录入、查询、导出；支持老师改变合格分数线，提高学生及格率；</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4.重修成绩管理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1）支持设置重修名单生成规则；支持按照规则一键生成重修名单；</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2）支持设置重修成绩录入规则、最终成绩展示与重修成绩的关系；支持按照教学班设置合格标准；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3）支持不同角色（管理员、班主任、老师）按照教学班维度、学生维度来进行重修成绩的录入、查询、导出；支持老师改变合格分数线，提高学生及格率；</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5.毕业考试成绩管理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1）支持设置毕业考试名单生成规则；支持按照规则一键生成毕业考试名单；</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2）支持设置毕业考试成绩录入规则、最终成绩展示与毕业考试成绩的关系；支持按照教学班设置合格标准；</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3）支持不同角色（管理员、班主任、老师）按教学班维度、学生维度来进行毕业考试成绩的录入、查询、导出；</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6.成绩分析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以升学或就业为目标，对学生成绩进行个性化的/针对性的分析:行政班统计分析、教学班对比分析、行政班对比分析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1）支持按照行政班维度来进行成绩统计分析；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2）支持统计班级学生排名、班级总分、平均分、各科目优秀率、及格率等；</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教学班、行政班维度来进行对比分析；教学班对比分析可以提供给教师对同一教学班不同学期、不同教学班同一学期的成绩结果进行对比分析；行政班对比分析可灵活选择行政班和对比批次，进行同一行政班多个批次、多个行政班同一批次、多个行政班多个批次的均分、均差对比分析；</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4）支持折线图、柱状图等分析样式；</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1）支持按照学期进行班级成绩查询；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2）支持按照学年进行班级成绩查询；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3）支持按照学生维度进行毕业成绩单查询；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8.移动端成绩查询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支持教师、学生在手机、平板等移动端设备进行成绩查询；</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9.日志</w:t>
            </w:r>
          </w:p>
          <w:p>
            <w:pPr>
              <w:pStyle w:val="341"/>
              <w:framePr w:wrap="auto" w:vAnchor="margin" w:hAnchor="text" w:yAlign="inline"/>
              <w:widowControl w:val="0"/>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支持记录和查询数据日志和操作日志，支持成绩恢复；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85" w:name="_Toc6070"/>
            <w:r>
              <w:rPr>
                <w:rFonts w:hint="eastAsia" w:hAnsi="宋体" w:cs="宋体"/>
                <w:sz w:val="21"/>
                <w:szCs w:val="21"/>
                <w:lang w:val="zh-TW" w:eastAsia="zh-TW"/>
              </w:rPr>
              <w:t>教材管理</w:t>
            </w:r>
            <w:bookmarkEnd w:id="85"/>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1.基础数据管理</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1）支持对学期开课的课程进行管理，对学年学期，课程名称，课程编号，开课院系，班级，班级人数等进行基本参数设置；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2）支持对学期学生课程进行管理，对学年学期，学生姓名，学号，年级，课程编号，校区，院系，专业等进行基本参数设置；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3）支持对教材出版社，教材名称，教材编号，ISBN，教材出版社，教材作者，出版年月，单价，折扣等进行基本参数设置；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4）支持对供应商名称，地址，联系人，电话，手机，传真，电子邮件，邮编等进行基本参数设置；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5）支持新增教材申请审批设置，可由教师端填写需要新增入库的教材，管理端进行审批；</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6）支持新增教材批量导入；</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2.课程教材管理</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1）支持统计各班级课程的教材申请情况；</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2）支持教材计划的申请审批设置，可由教师在移动端或电脑端填写课程、班级以及对应的教材，管理员进行审批，审批流程可设置；</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3）支持按部门统计教材申请的情况；</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3.教材征订</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支持按班级、教师部门进行教材征订，可以批量指定供应商，支持学校设置额外征订的教材（留存）；</w:t>
            </w:r>
          </w:p>
          <w:p>
            <w:pPr>
              <w:pStyle w:val="340"/>
              <w:framePr w:wrap="auto" w:vAnchor="margin" w:hAnchor="text" w:yAlign="inline"/>
              <w:numPr>
                <w:ilvl w:val="0"/>
                <w:numId w:val="3"/>
              </w:numPr>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教材征订汇总</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支持根据提交的班级、教师、留存教材征订信息，按供应商及教材进行汇总，包含征订总量、学生征订数量、教师征订数量及额外征订数量；</w:t>
            </w:r>
          </w:p>
          <w:p>
            <w:pPr>
              <w:pStyle w:val="340"/>
              <w:framePr w:wrap="auto" w:vAnchor="margin" w:hAnchor="text" w:yAlign="inline"/>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5.教材领取结算管理</w:t>
            </w:r>
          </w:p>
          <w:p>
            <w:pPr>
              <w:pStyle w:val="340"/>
              <w:framePr w:wrap="auto" w:vAnchor="margin" w:hAnchor="text" w:yAlign="inline"/>
              <w:spacing w:line="360" w:lineRule="auto"/>
              <w:rPr>
                <w:rFonts w:ascii="宋体" w:hAnsi="宋体" w:eastAsia="宋体" w:cs="宋体"/>
                <w:color w:val="auto"/>
              </w:rPr>
            </w:pPr>
            <w:r>
              <w:rPr>
                <w:rFonts w:ascii="宋体" w:hAnsi="宋体" w:eastAsia="宋体" w:cs="宋体"/>
                <w:color w:val="000000" w:themeColor="text1"/>
                <w14:textFill>
                  <w14:solidFill>
                    <w14:schemeClr w14:val="tx1"/>
                  </w14:solidFill>
                </w14:textFill>
              </w:rPr>
              <w:t>可以按班级、教师部门、供应商角度维护教材的领取数量，并计算教材费用，支持学生自主查询教材费用明细，支持班级教材签收单的打印；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9</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rPr>
            </w:pPr>
            <w:bookmarkStart w:id="86" w:name="_Toc20566"/>
            <w:r>
              <w:rPr>
                <w:rFonts w:hint="eastAsia" w:hAnsi="宋体" w:cs="宋体"/>
                <w:sz w:val="21"/>
                <w:szCs w:val="21"/>
                <w:lang w:val="zh-TW" w:eastAsia="zh-TW"/>
              </w:rPr>
              <w:t>评价</w:t>
            </w:r>
            <w:bookmarkEnd w:id="86"/>
            <w:r>
              <w:rPr>
                <w:rFonts w:hint="eastAsia" w:hAnsi="宋体" w:cs="宋体"/>
                <w:sz w:val="21"/>
                <w:szCs w:val="21"/>
                <w:lang w:val="zh-TW"/>
              </w:rPr>
              <w:t>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0" w:firstLineChars="0"/>
              <w:rPr>
                <w:rFonts w:hint="eastAsia" w:ascii="宋体" w:hAnsi="宋体" w:cs="宋体"/>
                <w:szCs w:val="21"/>
              </w:rPr>
            </w:pPr>
            <w:r>
              <w:rPr>
                <w:rFonts w:hint="eastAsia" w:ascii="宋体" w:hAnsi="宋体" w:cs="宋体"/>
                <w:szCs w:val="21"/>
              </w:rPr>
              <w:t>评价问卷发放支持多种方式及业务，至少包括为：公开问卷、评价教师、评价学生、评价课程、评价课堂、听评课问卷；发放督导评教问卷时可选择某个或者某几个督导分类进行定向投放。支持PC端、移动端APP提交评价。</w:t>
            </w:r>
          </w:p>
          <w:p>
            <w:pPr>
              <w:spacing w:line="360" w:lineRule="auto"/>
              <w:ind w:firstLine="420"/>
              <w:rPr>
                <w:rFonts w:hint="eastAsia" w:ascii="宋体" w:hAnsi="宋体" w:cs="宋体"/>
                <w:szCs w:val="21"/>
                <w:lang w:eastAsia="zh-Hans"/>
              </w:rPr>
            </w:pPr>
            <w:r>
              <w:rPr>
                <w:rFonts w:hint="eastAsia" w:ascii="宋体" w:hAnsi="宋体" w:cs="宋体"/>
                <w:szCs w:val="21"/>
              </w:rPr>
              <w:t>1.</w:t>
            </w:r>
            <w:r>
              <w:rPr>
                <w:rFonts w:hint="eastAsia" w:ascii="宋体" w:hAnsi="宋体" w:cs="宋体"/>
                <w:szCs w:val="21"/>
                <w:lang w:eastAsia="zh-Hans"/>
              </w:rPr>
              <w:t>听评课管理</w:t>
            </w:r>
          </w:p>
          <w:p>
            <w:pPr>
              <w:spacing w:line="360" w:lineRule="auto"/>
              <w:ind w:firstLine="420"/>
              <w:rPr>
                <w:rFonts w:hint="eastAsia" w:ascii="宋体" w:hAnsi="宋体" w:cs="宋体"/>
                <w:szCs w:val="21"/>
                <w:lang w:eastAsia="zh-Hans"/>
              </w:rPr>
            </w:pPr>
            <w:r>
              <w:rPr>
                <w:rFonts w:hint="eastAsia" w:ascii="宋体" w:hAnsi="宋体" w:cs="宋体"/>
                <w:szCs w:val="21"/>
              </w:rPr>
              <w:t>1）</w:t>
            </w:r>
            <w:r>
              <w:rPr>
                <w:rFonts w:hint="eastAsia" w:ascii="宋体" w:hAnsi="宋体" w:cs="宋体"/>
                <w:szCs w:val="21"/>
                <w:lang w:eastAsia="zh-Hans"/>
              </w:rPr>
              <w:t>全局设置</w:t>
            </w:r>
          </w:p>
          <w:p>
            <w:pPr>
              <w:spacing w:line="360" w:lineRule="auto"/>
              <w:ind w:firstLine="420"/>
              <w:rPr>
                <w:rFonts w:hint="eastAsia" w:ascii="宋体" w:hAnsi="宋体" w:cs="宋体"/>
                <w:szCs w:val="21"/>
              </w:rPr>
            </w:pPr>
            <w:r>
              <w:rPr>
                <w:rFonts w:hint="eastAsia" w:ascii="宋体" w:hAnsi="宋体" w:cs="宋体"/>
                <w:szCs w:val="21"/>
                <w:lang w:eastAsia="zh-Hans"/>
              </w:rPr>
              <w:t>支持管理员在后台设置教师被听评次数上限，</w:t>
            </w:r>
            <w:r>
              <w:rPr>
                <w:rFonts w:hint="eastAsia" w:ascii="宋体" w:hAnsi="宋体" w:cs="宋体"/>
                <w:szCs w:val="21"/>
              </w:rPr>
              <w:t>以“教师+课程”为单位设置被听评次数上限，管理员可自主设定上限值，“大于等于”上限值后用户将无法对其进行评价</w:t>
            </w:r>
            <w:r>
              <w:rPr>
                <w:rFonts w:hint="eastAsia" w:ascii="宋体" w:hAnsi="宋体" w:cs="宋体"/>
                <w:szCs w:val="21"/>
                <w:lang w:eastAsia="zh-Hans"/>
              </w:rPr>
              <w:t>；</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支持设置新教工课程，</w:t>
            </w:r>
            <w:r>
              <w:rPr>
                <w:rFonts w:hint="eastAsia" w:ascii="宋体" w:hAnsi="宋体" w:cs="宋体"/>
                <w:szCs w:val="21"/>
              </w:rPr>
              <w:t>根据教师的入职时间，系统自行核算，判断在职时长"小于"X年的为新教师，此时该教师的课程将被标记为新教工课程</w:t>
            </w:r>
            <w:r>
              <w:rPr>
                <w:rFonts w:hint="eastAsia" w:ascii="宋体" w:hAnsi="宋体" w:cs="宋体"/>
                <w:szCs w:val="21"/>
                <w:lang w:eastAsia="zh-Hans"/>
              </w:rPr>
              <w:t>。</w:t>
            </w:r>
          </w:p>
          <w:p>
            <w:pPr>
              <w:spacing w:line="360" w:lineRule="auto"/>
              <w:ind w:firstLine="420"/>
              <w:rPr>
                <w:rFonts w:hint="eastAsia" w:ascii="宋体" w:hAnsi="宋体" w:cs="宋体"/>
                <w:szCs w:val="21"/>
                <w:lang w:eastAsia="zh-Hans"/>
              </w:rPr>
            </w:pPr>
            <w:r>
              <w:rPr>
                <w:rFonts w:hint="eastAsia" w:ascii="宋体" w:hAnsi="宋体" w:cs="宋体"/>
                <w:szCs w:val="21"/>
              </w:rPr>
              <w:t>2）</w:t>
            </w:r>
            <w:r>
              <w:rPr>
                <w:rFonts w:hint="eastAsia" w:ascii="宋体" w:hAnsi="宋体" w:cs="宋体"/>
                <w:szCs w:val="21"/>
                <w:lang w:eastAsia="zh-Hans"/>
              </w:rPr>
              <w:t>重点课程</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支持管理员在后台设置重点课程名单，设置完成后督导评课页面，对应的课程将被标记为重点课程。</w:t>
            </w:r>
          </w:p>
          <w:p>
            <w:pPr>
              <w:spacing w:line="360" w:lineRule="auto"/>
              <w:ind w:firstLine="420"/>
              <w:rPr>
                <w:rFonts w:hint="eastAsia" w:ascii="宋体" w:hAnsi="宋体" w:cs="宋体"/>
                <w:szCs w:val="21"/>
                <w:lang w:eastAsia="zh-Hans"/>
              </w:rPr>
            </w:pPr>
            <w:r>
              <w:rPr>
                <w:rFonts w:hint="eastAsia" w:ascii="宋体" w:hAnsi="宋体" w:cs="宋体"/>
                <w:szCs w:val="21"/>
              </w:rPr>
              <w:t>3）</w:t>
            </w:r>
            <w:r>
              <w:rPr>
                <w:rFonts w:hint="eastAsia" w:ascii="宋体" w:hAnsi="宋体" w:cs="宋体"/>
                <w:szCs w:val="21"/>
                <w:lang w:eastAsia="zh-Hans"/>
              </w:rPr>
              <w:t>查看上诉</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支持教师在查看个人被评记录后提交上诉，管理员可在后台查看上诉记录。</w:t>
            </w:r>
          </w:p>
          <w:p>
            <w:pPr>
              <w:spacing w:line="360" w:lineRule="auto"/>
              <w:ind w:firstLine="420"/>
              <w:rPr>
                <w:rFonts w:hint="eastAsia" w:ascii="宋体" w:hAnsi="宋体" w:cs="宋体"/>
                <w:szCs w:val="21"/>
              </w:rPr>
            </w:pPr>
            <w:r>
              <w:rPr>
                <w:rFonts w:hint="eastAsia" w:ascii="宋体" w:hAnsi="宋体" w:cs="宋体"/>
                <w:szCs w:val="21"/>
              </w:rPr>
              <w:t>2.评价问卷建设与发放</w:t>
            </w:r>
          </w:p>
          <w:p>
            <w:pPr>
              <w:spacing w:line="360" w:lineRule="auto"/>
              <w:ind w:firstLine="420"/>
              <w:rPr>
                <w:rFonts w:hint="eastAsia" w:ascii="宋体" w:hAnsi="宋体" w:cs="宋体"/>
                <w:szCs w:val="21"/>
              </w:rPr>
            </w:pPr>
            <w:r>
              <w:rPr>
                <w:rFonts w:hint="eastAsia" w:ascii="宋体" w:hAnsi="宋体" w:cs="宋体"/>
                <w:szCs w:val="21"/>
              </w:rPr>
              <w:t>1）指标管理</w:t>
            </w:r>
          </w:p>
          <w:p>
            <w:pPr>
              <w:spacing w:line="360" w:lineRule="auto"/>
              <w:ind w:firstLine="420"/>
              <w:rPr>
                <w:rFonts w:hint="eastAsia" w:ascii="宋体" w:hAnsi="宋体" w:cs="宋体"/>
                <w:szCs w:val="21"/>
              </w:rPr>
            </w:pPr>
            <w:r>
              <w:rPr>
                <w:rFonts w:hint="eastAsia" w:ascii="宋体" w:hAnsi="宋体" w:cs="宋体"/>
                <w:szCs w:val="21"/>
              </w:rPr>
              <w:t>可以新建评价指标，支持单个添加或批量导入，可以对指标进行分类。指标题型包括单选、多选、填空、简答、打分题、星级评定题、量表题、滑动题等题型。可以根据指标内容选择题型，并添加指标标题和具体内容，每个指标内不同选项可对应不同分值。</w:t>
            </w:r>
          </w:p>
          <w:p>
            <w:pPr>
              <w:spacing w:line="360" w:lineRule="auto"/>
              <w:ind w:firstLine="420"/>
              <w:rPr>
                <w:rFonts w:hint="eastAsia" w:ascii="宋体" w:hAnsi="宋体" w:cs="宋体"/>
                <w:szCs w:val="21"/>
              </w:rPr>
            </w:pPr>
            <w:r>
              <w:rPr>
                <w:rFonts w:hint="eastAsia" w:ascii="宋体" w:hAnsi="宋体" w:cs="宋体"/>
                <w:szCs w:val="21"/>
              </w:rPr>
              <w:t>支持对已建指标进行编辑、删除、查找等操作。</w:t>
            </w:r>
          </w:p>
          <w:p>
            <w:pPr>
              <w:spacing w:line="360" w:lineRule="auto"/>
              <w:ind w:firstLine="420"/>
              <w:rPr>
                <w:rFonts w:hint="eastAsia" w:ascii="宋体" w:hAnsi="宋体" w:cs="宋体"/>
                <w:szCs w:val="21"/>
              </w:rPr>
            </w:pPr>
            <w:r>
              <w:rPr>
                <w:rFonts w:hint="eastAsia" w:ascii="宋体" w:hAnsi="宋体" w:cs="宋体"/>
                <w:szCs w:val="21"/>
              </w:rPr>
              <w:t>2）问卷管理</w:t>
            </w:r>
          </w:p>
          <w:p>
            <w:pPr>
              <w:spacing w:line="360" w:lineRule="auto"/>
              <w:ind w:firstLine="420"/>
              <w:rPr>
                <w:rFonts w:hint="eastAsia" w:ascii="宋体" w:hAnsi="宋体" w:cs="宋体"/>
                <w:szCs w:val="21"/>
              </w:rPr>
            </w:pPr>
            <w:r>
              <w:rPr>
                <w:rFonts w:hint="eastAsia" w:ascii="宋体" w:hAnsi="宋体" w:cs="宋体"/>
                <w:szCs w:val="21"/>
              </w:rPr>
              <w:t>学校可自主搭建不同的指标体系。支持新建问卷，支持输入标题、分类、说明信息，添加指标模块名称，比如：教师师德、教学效果等，可以在每个指标模块下直接录入子指标，或直接从指标库添加指标。</w:t>
            </w:r>
          </w:p>
          <w:p>
            <w:pPr>
              <w:spacing w:line="360" w:lineRule="auto"/>
              <w:ind w:firstLine="420"/>
              <w:rPr>
                <w:rFonts w:hint="eastAsia" w:ascii="宋体" w:hAnsi="宋体" w:cs="宋体"/>
                <w:szCs w:val="21"/>
              </w:rPr>
            </w:pPr>
            <w:r>
              <w:rPr>
                <w:rFonts w:hint="eastAsia" w:ascii="宋体" w:hAnsi="宋体" w:cs="宋体"/>
                <w:szCs w:val="21"/>
              </w:rPr>
              <w:t>支持对已有问卷进行编辑、预览、删除以及复制等操作。</w:t>
            </w:r>
          </w:p>
          <w:p>
            <w:pPr>
              <w:spacing w:line="360" w:lineRule="auto"/>
              <w:ind w:firstLine="420"/>
              <w:rPr>
                <w:rFonts w:hint="eastAsia" w:ascii="宋体" w:hAnsi="宋体" w:cs="宋体"/>
                <w:szCs w:val="21"/>
              </w:rPr>
            </w:pPr>
            <w:r>
              <w:rPr>
                <w:rFonts w:hint="eastAsia" w:ascii="宋体" w:hAnsi="宋体" w:cs="宋体"/>
                <w:szCs w:val="21"/>
              </w:rPr>
              <w:t>可对问卷类型进行定义，例如：评教，评学，活动反馈等等。</w:t>
            </w:r>
          </w:p>
          <w:p>
            <w:pPr>
              <w:spacing w:line="360" w:lineRule="auto"/>
              <w:ind w:firstLine="420"/>
              <w:rPr>
                <w:rFonts w:hint="eastAsia" w:ascii="宋体" w:hAnsi="宋体" w:cs="宋体"/>
                <w:szCs w:val="21"/>
                <w:lang w:eastAsia="zh-Hans"/>
              </w:rPr>
            </w:pPr>
            <w:r>
              <w:rPr>
                <w:rFonts w:hint="eastAsia" w:ascii="宋体" w:hAnsi="宋体" w:cs="宋体"/>
                <w:szCs w:val="21"/>
                <w:lang w:eastAsia="zh-Hans"/>
              </w:rPr>
              <w:t>可对问卷中指标设置指标权重，达到不同指标在问卷中权重不同的效果。</w:t>
            </w:r>
          </w:p>
          <w:p>
            <w:pPr>
              <w:spacing w:line="360" w:lineRule="auto"/>
              <w:ind w:firstLine="420"/>
              <w:rPr>
                <w:rFonts w:hint="eastAsia" w:ascii="宋体" w:hAnsi="宋体" w:cs="宋体"/>
                <w:szCs w:val="21"/>
              </w:rPr>
            </w:pPr>
            <w:r>
              <w:rPr>
                <w:rFonts w:hint="eastAsia" w:ascii="宋体" w:hAnsi="宋体" w:cs="宋体"/>
                <w:szCs w:val="21"/>
              </w:rPr>
              <w:t>3）评价问卷发放管理</w:t>
            </w:r>
          </w:p>
          <w:p>
            <w:pPr>
              <w:spacing w:line="360" w:lineRule="auto"/>
              <w:ind w:firstLine="420"/>
              <w:rPr>
                <w:rFonts w:hint="eastAsia" w:ascii="宋体" w:hAnsi="宋体" w:cs="宋体"/>
                <w:szCs w:val="21"/>
              </w:rPr>
            </w:pPr>
            <w:r>
              <w:rPr>
                <w:rFonts w:hint="eastAsia" w:ascii="宋体" w:hAnsi="宋体" w:cs="宋体"/>
                <w:szCs w:val="21"/>
              </w:rPr>
              <w:t>（1）问卷发放方式</w:t>
            </w:r>
          </w:p>
          <w:p>
            <w:pPr>
              <w:spacing w:line="360" w:lineRule="auto"/>
              <w:ind w:firstLine="420"/>
              <w:rPr>
                <w:rFonts w:hint="eastAsia" w:ascii="宋体" w:hAnsi="宋体" w:cs="宋体"/>
                <w:szCs w:val="21"/>
              </w:rPr>
            </w:pPr>
            <w:r>
              <w:rPr>
                <w:rFonts w:hint="eastAsia" w:ascii="宋体" w:hAnsi="宋体" w:cs="宋体"/>
                <w:szCs w:val="21"/>
              </w:rPr>
              <w:t>问卷发放支持多种方式及业务，至少包括为：公开问卷、评价教师、评价学生、评价课程、评价课堂、听评课问卷；发放督导评教问卷时可选择某个或者某几个督导分类进行定向投放。</w:t>
            </w:r>
          </w:p>
          <w:p>
            <w:pPr>
              <w:spacing w:line="360" w:lineRule="auto"/>
              <w:ind w:firstLine="420"/>
              <w:rPr>
                <w:rFonts w:hint="eastAsia" w:ascii="宋体" w:hAnsi="宋体" w:cs="宋体"/>
                <w:szCs w:val="21"/>
              </w:rPr>
            </w:pPr>
            <w:r>
              <w:rPr>
                <w:rFonts w:hint="eastAsia" w:ascii="宋体" w:hAnsi="宋体" w:cs="宋体"/>
                <w:szCs w:val="21"/>
              </w:rPr>
              <w:t>发放公开问卷</w:t>
            </w:r>
            <w:r>
              <w:rPr>
                <w:rFonts w:hint="eastAsia" w:ascii="宋体" w:hAnsi="宋体" w:cs="宋体"/>
                <w:szCs w:val="21"/>
                <w:lang w:eastAsia="zh-CN"/>
              </w:rPr>
              <w:t>：</w:t>
            </w:r>
            <w:r>
              <w:rPr>
                <w:rFonts w:hint="eastAsia" w:ascii="宋体" w:hAnsi="宋体" w:cs="宋体"/>
                <w:szCs w:val="21"/>
              </w:rPr>
              <w:t>问卷发放成功后，自动生成的二维码及链接，支持发到微信群聊或者朋友圈，所有的人都可以提交评价。支持查看问卷的被评价情况，包括问卷的平均分、已评人数、以及问卷各指标选项的被提交占比。支持导出EXCEL和WORD两种格式的结果文档。</w:t>
            </w:r>
          </w:p>
          <w:p>
            <w:pPr>
              <w:spacing w:line="360" w:lineRule="auto"/>
              <w:ind w:firstLine="420"/>
              <w:rPr>
                <w:rFonts w:hint="eastAsia" w:ascii="宋体" w:hAnsi="宋体" w:cs="宋体"/>
                <w:szCs w:val="21"/>
              </w:rPr>
            </w:pPr>
            <w:r>
              <w:rPr>
                <w:rFonts w:hint="eastAsia" w:ascii="宋体" w:hAnsi="宋体" w:cs="宋体"/>
                <w:szCs w:val="21"/>
              </w:rPr>
              <w:t>评价教师</w:t>
            </w:r>
            <w:r>
              <w:rPr>
                <w:rFonts w:hint="eastAsia" w:ascii="宋体" w:hAnsi="宋体" w:cs="宋体"/>
                <w:szCs w:val="21"/>
                <w:lang w:eastAsia="zh-CN"/>
              </w:rPr>
              <w:t>：</w:t>
            </w:r>
            <w:r>
              <w:rPr>
                <w:rFonts w:hint="eastAsia" w:ascii="宋体" w:hAnsi="宋体" w:cs="宋体"/>
                <w:szCs w:val="21"/>
              </w:rPr>
              <w:t>支持教师自评、同行互评、学生评价、管理员评价等多种场景，管理员可自定义选择评价人和被评价人，也可以根据学生选表数据生成评价关系。同行评价支持教师随机互评，可自定义设置每人被评次数。</w:t>
            </w:r>
          </w:p>
          <w:p>
            <w:pPr>
              <w:spacing w:line="360" w:lineRule="auto"/>
              <w:ind w:firstLine="420"/>
              <w:rPr>
                <w:rFonts w:hint="eastAsia" w:ascii="宋体" w:hAnsi="宋体" w:cs="宋体"/>
                <w:szCs w:val="21"/>
              </w:rPr>
            </w:pPr>
            <w:r>
              <w:rPr>
                <w:rFonts w:hint="eastAsia" w:ascii="宋体" w:hAnsi="宋体" w:cs="宋体"/>
                <w:szCs w:val="21"/>
              </w:rPr>
              <w:t>评价学生</w:t>
            </w:r>
            <w:r>
              <w:rPr>
                <w:rFonts w:hint="eastAsia" w:ascii="宋体" w:hAnsi="宋体" w:cs="宋体"/>
                <w:szCs w:val="21"/>
                <w:lang w:eastAsia="zh-CN"/>
              </w:rPr>
              <w:t>：</w:t>
            </w:r>
            <w:r>
              <w:rPr>
                <w:rFonts w:hint="eastAsia" w:ascii="宋体" w:hAnsi="宋体" w:cs="宋体"/>
                <w:szCs w:val="21"/>
              </w:rPr>
              <w:t>支持按人评价和按班级评价，评价方式支持学生自评、学生随机互评、教师评价、管理员评价。管理员可自定义选择评价人和被评价人，也可以根据学生选表数据生成评价关系。</w:t>
            </w:r>
          </w:p>
          <w:p>
            <w:pPr>
              <w:spacing w:line="360" w:lineRule="auto"/>
              <w:ind w:firstLine="420"/>
              <w:rPr>
                <w:rFonts w:hint="eastAsia" w:ascii="宋体" w:hAnsi="宋体" w:cs="宋体"/>
                <w:szCs w:val="21"/>
              </w:rPr>
            </w:pPr>
            <w:r>
              <w:rPr>
                <w:rFonts w:hint="eastAsia" w:ascii="宋体" w:hAnsi="宋体" w:cs="宋体"/>
                <w:szCs w:val="21"/>
              </w:rPr>
              <w:t>评价课程</w:t>
            </w:r>
            <w:r>
              <w:rPr>
                <w:rFonts w:hint="eastAsia" w:ascii="宋体" w:hAnsi="宋体" w:cs="宋体"/>
                <w:szCs w:val="21"/>
                <w:lang w:eastAsia="zh-CN"/>
              </w:rPr>
              <w:t>：</w:t>
            </w:r>
            <w:r>
              <w:rPr>
                <w:rFonts w:hint="eastAsia" w:ascii="宋体" w:hAnsi="宋体" w:cs="宋体"/>
                <w:szCs w:val="21"/>
              </w:rPr>
              <w:t>支持选课学生评价课程、自选学生评价课程、教师评价课程和管理员评价课程等几种方式。</w:t>
            </w:r>
          </w:p>
          <w:p>
            <w:pPr>
              <w:spacing w:line="360" w:lineRule="auto"/>
              <w:ind w:firstLine="420"/>
              <w:rPr>
                <w:rFonts w:hint="eastAsia" w:ascii="宋体" w:hAnsi="宋体" w:cs="宋体"/>
                <w:szCs w:val="21"/>
              </w:rPr>
            </w:pPr>
            <w:r>
              <w:rPr>
                <w:rFonts w:hint="eastAsia" w:ascii="宋体" w:hAnsi="宋体" w:cs="宋体"/>
                <w:szCs w:val="21"/>
              </w:rPr>
              <w:t>评价课堂</w:t>
            </w:r>
            <w:r>
              <w:rPr>
                <w:rFonts w:hint="eastAsia" w:ascii="宋体" w:hAnsi="宋体" w:cs="宋体"/>
                <w:szCs w:val="21"/>
                <w:lang w:eastAsia="zh-CN"/>
              </w:rPr>
              <w:t>：</w:t>
            </w:r>
            <w:r>
              <w:rPr>
                <w:rFonts w:hint="eastAsia" w:ascii="宋体" w:hAnsi="宋体" w:cs="宋体"/>
                <w:szCs w:val="21"/>
              </w:rPr>
              <w:t>支持学生随堂评价教师，根据课程表上课时间，在每堂课结束后自动发放问卷。支持学生按照课程周期评价教师，管理员可自定义课程时间阶段设置问卷发放， 比如设置当课程学时完成20%和40%时，系统自动发放评价问卷。</w:t>
            </w:r>
          </w:p>
          <w:p>
            <w:pPr>
              <w:spacing w:line="360" w:lineRule="auto"/>
              <w:ind w:firstLine="420"/>
              <w:rPr>
                <w:rFonts w:hint="eastAsia" w:ascii="宋体" w:hAnsi="宋体" w:cs="宋体"/>
                <w:szCs w:val="21"/>
              </w:rPr>
            </w:pPr>
            <w:r>
              <w:rPr>
                <w:rFonts w:hint="eastAsia" w:ascii="宋体" w:hAnsi="宋体" w:cs="宋体"/>
                <w:szCs w:val="21"/>
              </w:rPr>
              <w:t>支持课程开始后随机发放问卷，可根据选课表上的时间，设置随机发放次数。</w:t>
            </w:r>
          </w:p>
          <w:p>
            <w:pPr>
              <w:spacing w:line="360" w:lineRule="auto"/>
              <w:ind w:firstLine="420"/>
              <w:rPr>
                <w:rFonts w:hint="eastAsia" w:ascii="宋体" w:hAnsi="宋体" w:cs="宋体"/>
                <w:szCs w:val="21"/>
              </w:rPr>
            </w:pPr>
            <w:r>
              <w:rPr>
                <w:rFonts w:hint="eastAsia" w:ascii="宋体" w:hAnsi="宋体" w:cs="宋体"/>
                <w:szCs w:val="21"/>
              </w:rPr>
              <w:t>以上方式都能够查询添和批量添加被评教师，设置每份问卷作答的有效期，或设置问卷当天有效，有效日期截止到当天的24:00。</w:t>
            </w:r>
          </w:p>
          <w:p>
            <w:pPr>
              <w:spacing w:line="360" w:lineRule="auto"/>
              <w:ind w:firstLine="420"/>
              <w:rPr>
                <w:rFonts w:hint="eastAsia" w:ascii="宋体" w:hAnsi="宋体" w:cs="宋体"/>
                <w:szCs w:val="21"/>
              </w:rPr>
            </w:pPr>
            <w:r>
              <w:rPr>
                <w:rFonts w:hint="eastAsia" w:ascii="宋体" w:hAnsi="宋体" w:cs="宋体"/>
                <w:szCs w:val="21"/>
              </w:rPr>
              <w:t>听评课</w:t>
            </w:r>
            <w:r>
              <w:rPr>
                <w:rFonts w:hint="eastAsia" w:ascii="宋体" w:hAnsi="宋体" w:cs="宋体"/>
                <w:szCs w:val="21"/>
                <w:lang w:eastAsia="zh-CN"/>
              </w:rPr>
              <w:t>：</w:t>
            </w:r>
            <w:r>
              <w:rPr>
                <w:rFonts w:hint="eastAsia" w:ascii="宋体" w:hAnsi="宋体" w:cs="宋体"/>
                <w:szCs w:val="21"/>
              </w:rPr>
              <w:t>支持督导、</w:t>
            </w:r>
            <w:r>
              <w:rPr>
                <w:rFonts w:hint="eastAsia" w:ascii="宋体" w:hAnsi="宋体" w:cs="宋体"/>
                <w:szCs w:val="21"/>
                <w:lang w:eastAsia="zh-Hans"/>
              </w:rPr>
              <w:t>领带、</w:t>
            </w:r>
            <w:r>
              <w:rPr>
                <w:rFonts w:hint="eastAsia" w:ascii="宋体" w:hAnsi="宋体" w:cs="宋体"/>
                <w:szCs w:val="21"/>
              </w:rPr>
              <w:t>同行教师对教师的课堂进行听评课。可搜索添加某个督导或直接添加某个分类下的督导人员；同行听评课权限可设置同院系、跨院系、全部院系。</w:t>
            </w:r>
          </w:p>
          <w:p>
            <w:pPr>
              <w:spacing w:line="360" w:lineRule="auto"/>
              <w:ind w:firstLine="420"/>
              <w:rPr>
                <w:rFonts w:hint="eastAsia" w:ascii="宋体" w:hAnsi="宋体" w:cs="宋体"/>
                <w:szCs w:val="21"/>
              </w:rPr>
            </w:pPr>
            <w:r>
              <w:rPr>
                <w:rFonts w:hint="eastAsia" w:ascii="宋体" w:hAnsi="宋体" w:cs="宋体"/>
                <w:szCs w:val="21"/>
              </w:rPr>
              <w:t>（2）问卷发放设置</w:t>
            </w:r>
          </w:p>
          <w:p>
            <w:pPr>
              <w:spacing w:line="360" w:lineRule="auto"/>
              <w:ind w:firstLine="420"/>
              <w:rPr>
                <w:rFonts w:hint="eastAsia" w:ascii="宋体" w:hAnsi="宋体" w:cs="宋体"/>
                <w:szCs w:val="21"/>
              </w:rPr>
            </w:pPr>
            <w:r>
              <w:rPr>
                <w:rFonts w:hint="eastAsia" w:ascii="宋体" w:hAnsi="宋体" w:cs="宋体"/>
                <w:szCs w:val="21"/>
              </w:rPr>
              <w:t>问卷发放时间：可自定义设置问卷的发放时间及截止时间。</w:t>
            </w:r>
          </w:p>
          <w:p>
            <w:pPr>
              <w:spacing w:line="360" w:lineRule="auto"/>
              <w:ind w:firstLine="420"/>
              <w:rPr>
                <w:rFonts w:hint="eastAsia" w:ascii="宋体" w:hAnsi="宋体" w:cs="宋体"/>
                <w:szCs w:val="21"/>
              </w:rPr>
            </w:pPr>
            <w:r>
              <w:rPr>
                <w:rFonts w:hint="eastAsia" w:ascii="宋体" w:hAnsi="宋体" w:cs="宋体"/>
                <w:szCs w:val="21"/>
              </w:rPr>
              <w:t>问卷过滤设置：支持去掉评价的最高分及最低分，可自定义设置去掉的占比。</w:t>
            </w:r>
          </w:p>
          <w:p>
            <w:pPr>
              <w:spacing w:line="360" w:lineRule="auto"/>
              <w:ind w:firstLine="420"/>
              <w:rPr>
                <w:rFonts w:hint="eastAsia" w:ascii="宋体" w:hAnsi="宋体" w:cs="宋体"/>
                <w:szCs w:val="21"/>
              </w:rPr>
            </w:pPr>
            <w:r>
              <w:rPr>
                <w:rFonts w:hint="eastAsia" w:ascii="宋体" w:hAnsi="宋体" w:cs="宋体"/>
                <w:szCs w:val="21"/>
              </w:rPr>
              <w:t>问卷隐私设置：支持设置是否允许被评对象查看评价结果，是否允许评价成员查看评价统计。支持评价成员匿名评价，管理员可以查看评价人信息，被评对象和评价人查看评价结果时匿名。</w:t>
            </w:r>
          </w:p>
          <w:p>
            <w:pPr>
              <w:spacing w:line="360" w:lineRule="auto"/>
              <w:ind w:firstLine="420"/>
              <w:rPr>
                <w:rFonts w:hint="eastAsia" w:ascii="宋体" w:hAnsi="宋体" w:cs="宋体"/>
                <w:szCs w:val="21"/>
              </w:rPr>
            </w:pPr>
            <w:r>
              <w:rPr>
                <w:rFonts w:hint="eastAsia" w:ascii="宋体" w:hAnsi="宋体" w:cs="宋体"/>
                <w:szCs w:val="21"/>
              </w:rPr>
              <w:t>问卷提交设置：移动端提交评价时支持定位评价人。</w:t>
            </w:r>
          </w:p>
          <w:p>
            <w:pPr>
              <w:spacing w:line="360" w:lineRule="auto"/>
              <w:ind w:firstLine="420"/>
              <w:rPr>
                <w:rFonts w:hint="eastAsia" w:ascii="宋体" w:hAnsi="宋体" w:cs="宋体"/>
                <w:szCs w:val="21"/>
              </w:rPr>
            </w:pPr>
            <w:r>
              <w:rPr>
                <w:rFonts w:hint="eastAsia" w:ascii="宋体" w:hAnsi="宋体" w:cs="宋体"/>
                <w:szCs w:val="21"/>
              </w:rPr>
              <w:t>教师预警：教师综合得分低于某个分值时，系统可自动给教师发放预警通知；</w:t>
            </w:r>
          </w:p>
          <w:p>
            <w:pPr>
              <w:spacing w:line="360" w:lineRule="auto"/>
              <w:ind w:firstLine="420"/>
              <w:rPr>
                <w:rFonts w:hint="eastAsia" w:ascii="宋体" w:hAnsi="宋体" w:cs="宋体"/>
                <w:szCs w:val="21"/>
              </w:rPr>
            </w:pPr>
            <w:r>
              <w:rPr>
                <w:rFonts w:hint="eastAsia" w:ascii="宋体" w:hAnsi="宋体" w:cs="宋体"/>
                <w:szCs w:val="21"/>
              </w:rPr>
              <w:t>（3）已发放问卷设置更改</w:t>
            </w:r>
          </w:p>
          <w:p>
            <w:pPr>
              <w:spacing w:line="360" w:lineRule="auto"/>
              <w:ind w:firstLine="420"/>
              <w:rPr>
                <w:rFonts w:hint="eastAsia" w:ascii="宋体" w:hAnsi="宋体" w:cs="宋体"/>
                <w:szCs w:val="21"/>
              </w:rPr>
            </w:pPr>
            <w:r>
              <w:rPr>
                <w:rFonts w:hint="eastAsia" w:ascii="宋体" w:hAnsi="宋体" w:cs="宋体"/>
                <w:szCs w:val="21"/>
              </w:rPr>
              <w:t>①支持发放时间更改。支持对已发放问卷重新设定时间，管理员可随时自主延长或缩短问卷的“截止时间”，问卷的状态也会随时间而变化（进行中、已结束等）。</w:t>
            </w:r>
          </w:p>
          <w:p>
            <w:pPr>
              <w:spacing w:line="360" w:lineRule="auto"/>
              <w:ind w:firstLine="420"/>
              <w:rPr>
                <w:rFonts w:hint="eastAsia" w:ascii="宋体" w:hAnsi="宋体" w:cs="宋体"/>
                <w:szCs w:val="21"/>
              </w:rPr>
            </w:pPr>
            <w:r>
              <w:rPr>
                <w:rFonts w:hint="eastAsia" w:ascii="宋体" w:hAnsi="宋体" w:cs="宋体"/>
                <w:szCs w:val="21"/>
              </w:rPr>
              <w:t>②支持评价设置更改：管理员可对已发放问卷的设置进行重新设定。</w:t>
            </w:r>
          </w:p>
          <w:p>
            <w:pPr>
              <w:spacing w:line="360" w:lineRule="auto"/>
              <w:ind w:firstLine="420"/>
              <w:rPr>
                <w:rFonts w:hint="eastAsia" w:ascii="宋体" w:hAnsi="宋体" w:cs="宋体"/>
                <w:szCs w:val="21"/>
              </w:rPr>
            </w:pPr>
            <w:r>
              <w:rPr>
                <w:rFonts w:hint="eastAsia" w:ascii="宋体" w:hAnsi="宋体" w:cs="宋体"/>
                <w:szCs w:val="21"/>
              </w:rPr>
              <w:t>③未评督促设置：支持给当前问卷中所有的未评价人一键发布督促通知，可自定义通知内容</w:t>
            </w:r>
          </w:p>
          <w:p>
            <w:pPr>
              <w:spacing w:line="360" w:lineRule="auto"/>
              <w:ind w:firstLine="420"/>
              <w:rPr>
                <w:rFonts w:hint="eastAsia" w:ascii="宋体" w:hAnsi="宋体" w:cs="宋体"/>
                <w:szCs w:val="21"/>
              </w:rPr>
            </w:pPr>
            <w:r>
              <w:rPr>
                <w:rFonts w:hint="eastAsia" w:ascii="宋体" w:hAnsi="宋体" w:cs="宋体"/>
                <w:szCs w:val="21"/>
              </w:rPr>
              <w:t>3.师生评价</w:t>
            </w:r>
          </w:p>
          <w:p>
            <w:pPr>
              <w:spacing w:line="360" w:lineRule="auto"/>
              <w:ind w:firstLine="420"/>
              <w:rPr>
                <w:rFonts w:hint="eastAsia" w:ascii="宋体" w:hAnsi="宋体" w:cs="宋体"/>
                <w:szCs w:val="21"/>
              </w:rPr>
            </w:pPr>
            <w:r>
              <w:rPr>
                <w:rFonts w:hint="eastAsia" w:ascii="宋体" w:hAnsi="宋体" w:cs="宋体"/>
                <w:szCs w:val="21"/>
              </w:rPr>
              <w:t>1）评价问卷填写</w:t>
            </w:r>
          </w:p>
          <w:p>
            <w:pPr>
              <w:spacing w:line="360" w:lineRule="auto"/>
              <w:ind w:firstLine="420"/>
              <w:rPr>
                <w:rFonts w:hint="eastAsia" w:ascii="宋体" w:hAnsi="宋体" w:cs="宋体"/>
                <w:szCs w:val="21"/>
              </w:rPr>
            </w:pPr>
            <w:r>
              <w:rPr>
                <w:rFonts w:hint="eastAsia" w:ascii="宋体" w:hAnsi="宋体" w:cs="宋体"/>
                <w:szCs w:val="21"/>
              </w:rPr>
              <w:t>教师和学生在个人空间中，可看到个人相关的评价任务信息，可通过评价类型、评价任务状态、评价开始时间、结束时间、评价任务的标题等关键词进行搜索查看对应的评价任务。</w:t>
            </w:r>
          </w:p>
          <w:p>
            <w:pPr>
              <w:spacing w:line="360" w:lineRule="auto"/>
              <w:ind w:firstLine="420"/>
              <w:rPr>
                <w:rFonts w:hint="eastAsia" w:ascii="宋体" w:hAnsi="宋体" w:cs="宋体"/>
                <w:szCs w:val="21"/>
              </w:rPr>
            </w:pPr>
            <w:r>
              <w:rPr>
                <w:rFonts w:hint="eastAsia" w:ascii="宋体" w:hAnsi="宋体" w:cs="宋体"/>
                <w:szCs w:val="21"/>
              </w:rPr>
              <w:t>评价问卷填写时，可以暂时保存评价内容或直接提交。</w:t>
            </w:r>
          </w:p>
          <w:p>
            <w:pPr>
              <w:spacing w:line="360" w:lineRule="auto"/>
              <w:ind w:firstLine="420"/>
              <w:rPr>
                <w:rFonts w:hint="eastAsia" w:ascii="宋体" w:hAnsi="宋体" w:cs="宋体"/>
                <w:szCs w:val="21"/>
              </w:rPr>
            </w:pPr>
            <w:r>
              <w:rPr>
                <w:rFonts w:hint="eastAsia" w:ascii="宋体" w:hAnsi="宋体" w:cs="宋体"/>
                <w:szCs w:val="21"/>
              </w:rPr>
              <w:t>完成评价后，用户可查看对应评价问卷的结果，评价结果包括用户个人的评价平均分、整张评价问卷的平均分以及已经参评的对象的信息，可查看问卷中每道题的个人回答情况以及全部评价对象的回答情况，如果是选择题可看到每道题的选择情况，打分题可以看到每道题的平均分信息。</w:t>
            </w:r>
          </w:p>
          <w:p>
            <w:pPr>
              <w:spacing w:line="360" w:lineRule="auto"/>
              <w:ind w:firstLine="420"/>
              <w:rPr>
                <w:rFonts w:hint="eastAsia" w:ascii="宋体" w:hAnsi="宋体" w:cs="宋体"/>
                <w:szCs w:val="21"/>
              </w:rPr>
            </w:pPr>
            <w:r>
              <w:rPr>
                <w:rFonts w:hint="eastAsia" w:ascii="宋体" w:hAnsi="宋体" w:cs="宋体"/>
                <w:szCs w:val="21"/>
              </w:rPr>
              <w:t>教师和学生可查看自己的被评记录，包括被评问卷的详情，每道题评价情况以及评价结果统计。</w:t>
            </w:r>
          </w:p>
          <w:p>
            <w:pPr>
              <w:spacing w:line="360" w:lineRule="auto"/>
              <w:ind w:firstLine="420"/>
              <w:rPr>
                <w:rFonts w:hint="eastAsia" w:ascii="宋体" w:hAnsi="宋体" w:cs="宋体"/>
                <w:szCs w:val="21"/>
              </w:rPr>
            </w:pPr>
            <w:r>
              <w:rPr>
                <w:rFonts w:hint="eastAsia" w:ascii="宋体" w:hAnsi="宋体" w:cs="宋体"/>
                <w:szCs w:val="21"/>
              </w:rPr>
              <w:t>评价终端支持移动端和pc端，且数据互通。</w:t>
            </w:r>
          </w:p>
          <w:p>
            <w:pPr>
              <w:spacing w:line="360" w:lineRule="auto"/>
              <w:ind w:firstLine="420"/>
              <w:rPr>
                <w:rFonts w:hint="eastAsia" w:ascii="宋体" w:hAnsi="宋体" w:cs="宋体"/>
                <w:szCs w:val="21"/>
              </w:rPr>
            </w:pPr>
            <w:r>
              <w:rPr>
                <w:rFonts w:hint="eastAsia" w:ascii="宋体" w:hAnsi="宋体" w:cs="宋体"/>
                <w:szCs w:val="21"/>
              </w:rPr>
              <w:t>2）</w:t>
            </w:r>
            <w:r>
              <w:rPr>
                <w:rFonts w:hint="eastAsia" w:ascii="宋体" w:hAnsi="宋体" w:cs="宋体"/>
                <w:szCs w:val="21"/>
                <w:lang w:eastAsia="zh-Hans"/>
              </w:rPr>
              <w:t>教师被评报告</w:t>
            </w:r>
          </w:p>
          <w:p>
            <w:pPr>
              <w:spacing w:line="360" w:lineRule="auto"/>
              <w:ind w:firstLine="420"/>
              <w:rPr>
                <w:rFonts w:hint="eastAsia" w:ascii="宋体" w:hAnsi="宋体" w:cs="宋体"/>
                <w:szCs w:val="21"/>
              </w:rPr>
            </w:pPr>
            <w:r>
              <w:rPr>
                <w:rFonts w:hint="eastAsia" w:ascii="宋体" w:hAnsi="宋体" w:cs="宋体"/>
                <w:szCs w:val="21"/>
                <w:lang w:eastAsia="zh-Hans"/>
              </w:rPr>
              <w:t>教师可在PC端个人空间及移动端查看被评报告，包括教师个人得分、全校教师平均分、院系排名、全校排名、课堂得分对比、课程得分对比、指标得分对比、教师优良率统计、多学期指标得分对比等</w:t>
            </w:r>
          </w:p>
          <w:p>
            <w:pPr>
              <w:spacing w:line="360" w:lineRule="auto"/>
              <w:ind w:firstLine="420"/>
              <w:rPr>
                <w:rFonts w:hint="eastAsia" w:ascii="宋体" w:hAnsi="宋体" w:cs="宋体"/>
                <w:szCs w:val="21"/>
              </w:rPr>
            </w:pPr>
            <w:r>
              <w:rPr>
                <w:rFonts w:hint="eastAsia" w:ascii="宋体" w:hAnsi="宋体" w:cs="宋体"/>
                <w:szCs w:val="21"/>
              </w:rPr>
              <w:t>3）评价过程监控</w:t>
            </w:r>
          </w:p>
          <w:p>
            <w:pPr>
              <w:spacing w:line="360" w:lineRule="auto"/>
              <w:ind w:firstLine="420"/>
              <w:rPr>
                <w:rFonts w:hint="eastAsia" w:ascii="宋体" w:hAnsi="宋体" w:cs="宋体"/>
                <w:szCs w:val="21"/>
              </w:rPr>
            </w:pPr>
            <w:r>
              <w:rPr>
                <w:rFonts w:hint="eastAsia" w:ascii="宋体" w:hAnsi="宋体" w:cs="宋体"/>
                <w:szCs w:val="21"/>
              </w:rPr>
              <w:t>支持在系统上直接查看评价进程，可按照评价人、班级、院系不同维度查询，包括应答问卷次数、已答问卷次数、已答率，支持一键导出。</w:t>
            </w:r>
          </w:p>
          <w:p>
            <w:pPr>
              <w:spacing w:line="360" w:lineRule="auto"/>
              <w:ind w:firstLine="420"/>
              <w:rPr>
                <w:rFonts w:hint="eastAsia" w:ascii="宋体" w:hAnsi="宋体" w:cs="宋体"/>
                <w:szCs w:val="21"/>
              </w:rPr>
            </w:pPr>
            <w:r>
              <w:rPr>
                <w:rFonts w:hint="eastAsia" w:ascii="宋体" w:hAnsi="宋体" w:cs="宋体"/>
                <w:szCs w:val="21"/>
              </w:rPr>
              <w:t>4）</w:t>
            </w:r>
            <w:r>
              <w:rPr>
                <w:rFonts w:hint="eastAsia" w:ascii="宋体" w:hAnsi="宋体" w:cs="宋体"/>
                <w:szCs w:val="21"/>
                <w:lang w:eastAsia="zh-Hans"/>
              </w:rPr>
              <w:t>教师个人发问卷</w:t>
            </w:r>
          </w:p>
          <w:p>
            <w:pPr>
              <w:spacing w:line="360" w:lineRule="auto"/>
              <w:ind w:firstLine="420"/>
              <w:rPr>
                <w:rFonts w:hint="eastAsia" w:ascii="宋体" w:hAnsi="宋体" w:cs="宋体"/>
                <w:szCs w:val="21"/>
              </w:rPr>
            </w:pPr>
            <w:r>
              <w:rPr>
                <w:rFonts w:hint="eastAsia" w:ascii="宋体" w:hAnsi="宋体" w:cs="宋体"/>
                <w:szCs w:val="21"/>
              </w:rPr>
              <w:t>支持</w:t>
            </w:r>
            <w:r>
              <w:rPr>
                <w:rFonts w:hint="eastAsia" w:ascii="宋体" w:hAnsi="宋体" w:cs="宋体"/>
                <w:szCs w:val="21"/>
                <w:lang w:eastAsia="zh-Hans"/>
              </w:rPr>
              <w:t>教师个人组建问卷，可选择自主添加指标或选择管理员预置指标，组建完成后可发给个人的授课班级，查看学生作答详情；同时后台可记录所有教师的发放次数及发放记录。</w:t>
            </w:r>
          </w:p>
          <w:p>
            <w:pPr>
              <w:spacing w:line="360" w:lineRule="auto"/>
              <w:ind w:firstLine="420"/>
              <w:rPr>
                <w:rFonts w:hint="eastAsia" w:ascii="宋体" w:hAnsi="宋体" w:cs="宋体"/>
                <w:szCs w:val="21"/>
              </w:rPr>
            </w:pPr>
            <w:r>
              <w:rPr>
                <w:rFonts w:hint="eastAsia" w:ascii="宋体" w:hAnsi="宋体" w:cs="宋体"/>
                <w:szCs w:val="21"/>
              </w:rPr>
              <w:t>4.教学听评课</w:t>
            </w:r>
          </w:p>
          <w:p>
            <w:pPr>
              <w:spacing w:line="360" w:lineRule="auto"/>
              <w:ind w:firstLine="420"/>
              <w:rPr>
                <w:rFonts w:hint="eastAsia" w:ascii="宋体" w:hAnsi="宋体" w:cs="宋体"/>
                <w:szCs w:val="21"/>
              </w:rPr>
            </w:pPr>
            <w:r>
              <w:rPr>
                <w:rFonts w:hint="eastAsia" w:ascii="宋体" w:hAnsi="宋体" w:cs="宋体"/>
                <w:szCs w:val="21"/>
              </w:rPr>
              <w:t>1）移动听评课</w:t>
            </w:r>
          </w:p>
          <w:p>
            <w:pPr>
              <w:spacing w:line="360" w:lineRule="auto"/>
              <w:ind w:firstLine="420"/>
              <w:rPr>
                <w:rFonts w:hint="eastAsia" w:ascii="宋体" w:hAnsi="宋体" w:cs="宋体"/>
                <w:szCs w:val="21"/>
              </w:rPr>
            </w:pPr>
            <w:r>
              <w:rPr>
                <w:rFonts w:hint="eastAsia" w:ascii="宋体" w:hAnsi="宋体" w:cs="宋体"/>
                <w:szCs w:val="21"/>
              </w:rPr>
              <w:t>作为移动评课的工具，通过现场观听，普通教师、学校管理者、督导员、学生就可以在手机上完成对上课教师某一方面、多方面或全方面的评价，并留存数据。</w:t>
            </w:r>
          </w:p>
          <w:p>
            <w:pPr>
              <w:spacing w:line="360" w:lineRule="auto"/>
              <w:ind w:firstLine="420"/>
              <w:rPr>
                <w:rFonts w:hint="eastAsia" w:ascii="宋体" w:hAnsi="宋体" w:cs="宋体"/>
                <w:szCs w:val="21"/>
              </w:rPr>
            </w:pPr>
            <w:r>
              <w:rPr>
                <w:rFonts w:hint="eastAsia" w:ascii="宋体" w:hAnsi="宋体" w:cs="宋体"/>
                <w:szCs w:val="21"/>
              </w:rPr>
              <w:t>（1）选择听课</w:t>
            </w:r>
            <w:r>
              <w:rPr>
                <w:rFonts w:hint="eastAsia" w:ascii="宋体" w:hAnsi="宋体" w:cs="宋体"/>
                <w:szCs w:val="21"/>
                <w:lang w:eastAsia="zh-Hans"/>
              </w:rPr>
              <w:t>：</w:t>
            </w:r>
            <w:r>
              <w:rPr>
                <w:rFonts w:hint="eastAsia" w:ascii="宋体" w:hAnsi="宋体" w:cs="宋体"/>
                <w:szCs w:val="21"/>
              </w:rPr>
              <w:t>督导登录移动端，进入评课页面，可查看其督导范围下的排课安排，默认展示当天的数据，可通过教师院系、课程名称、教师姓名、地点等筛选条件，定位到要听评的对象，点击进入评课页面。</w:t>
            </w:r>
          </w:p>
          <w:p>
            <w:pPr>
              <w:spacing w:line="360" w:lineRule="auto"/>
              <w:ind w:firstLine="420"/>
              <w:rPr>
                <w:rFonts w:hint="eastAsia" w:ascii="宋体" w:hAnsi="宋体" w:cs="宋体"/>
                <w:szCs w:val="21"/>
              </w:rPr>
            </w:pPr>
            <w:r>
              <w:rPr>
                <w:rFonts w:hint="eastAsia" w:ascii="宋体" w:hAnsi="宋体" w:cs="宋体"/>
                <w:szCs w:val="21"/>
              </w:rPr>
              <w:t>（2）填写评课</w:t>
            </w:r>
            <w:r>
              <w:rPr>
                <w:rFonts w:hint="eastAsia" w:ascii="宋体" w:hAnsi="宋体" w:cs="宋体"/>
                <w:szCs w:val="21"/>
                <w:lang w:eastAsia="zh-Hans"/>
              </w:rPr>
              <w:t>：</w:t>
            </w:r>
            <w:r>
              <w:rPr>
                <w:rFonts w:hint="eastAsia" w:ascii="宋体" w:hAnsi="宋体" w:cs="宋体"/>
                <w:szCs w:val="21"/>
              </w:rPr>
              <w:t>不显示在教务系统中的排课，可输入节次信息，包括“课程名称、教师姓名、教学班级、上课地点、上课节次”等信息，填写后可进行评课。</w:t>
            </w:r>
          </w:p>
          <w:p>
            <w:pPr>
              <w:spacing w:line="360" w:lineRule="auto"/>
              <w:ind w:firstLine="420"/>
              <w:rPr>
                <w:rFonts w:hint="eastAsia" w:ascii="宋体" w:hAnsi="宋体" w:cs="宋体"/>
                <w:szCs w:val="21"/>
              </w:rPr>
            </w:pPr>
            <w:r>
              <w:rPr>
                <w:rFonts w:hint="eastAsia" w:ascii="宋体" w:hAnsi="宋体" w:cs="宋体"/>
                <w:szCs w:val="21"/>
              </w:rPr>
              <w:t>（3）评课计划</w:t>
            </w:r>
            <w:r>
              <w:rPr>
                <w:rFonts w:hint="eastAsia" w:ascii="宋体" w:hAnsi="宋体" w:cs="宋体"/>
                <w:szCs w:val="21"/>
                <w:lang w:eastAsia="zh-Hans"/>
              </w:rPr>
              <w:t>：</w:t>
            </w:r>
            <w:r>
              <w:rPr>
                <w:rFonts w:hint="eastAsia" w:ascii="宋体" w:hAnsi="宋体" w:cs="宋体"/>
                <w:szCs w:val="21"/>
              </w:rPr>
              <w:t>督导可提前将想听评对象加入评课计划，到达指定时间后，无需再次查找听评对象，直接进入评课计划区域，填写问卷，提交评价。</w:t>
            </w:r>
          </w:p>
          <w:p>
            <w:pPr>
              <w:spacing w:line="360" w:lineRule="auto"/>
              <w:ind w:firstLine="420"/>
              <w:rPr>
                <w:rFonts w:hint="eastAsia" w:ascii="宋体" w:hAnsi="宋体" w:cs="宋体"/>
                <w:szCs w:val="21"/>
              </w:rPr>
            </w:pPr>
            <w:r>
              <w:rPr>
                <w:rFonts w:hint="eastAsia" w:ascii="宋体" w:hAnsi="宋体" w:cs="宋体"/>
                <w:szCs w:val="21"/>
              </w:rPr>
              <w:t>（4）管理员指派任务</w:t>
            </w:r>
            <w:r>
              <w:rPr>
                <w:rFonts w:hint="eastAsia" w:ascii="宋体" w:hAnsi="宋体" w:cs="宋体"/>
                <w:szCs w:val="21"/>
                <w:lang w:eastAsia="zh-Hans"/>
              </w:rPr>
              <w:t>：</w:t>
            </w:r>
            <w:r>
              <w:rPr>
                <w:rFonts w:hint="eastAsia" w:ascii="宋体" w:hAnsi="宋体" w:cs="宋体"/>
                <w:szCs w:val="21"/>
              </w:rPr>
              <w:t>管理员指派督导听课任务后，督导可进入“邀请我听”区域，查看管理员指派的记录，选择接受或者忽略。</w:t>
            </w:r>
          </w:p>
          <w:p>
            <w:pPr>
              <w:spacing w:line="360" w:lineRule="auto"/>
              <w:ind w:firstLine="420"/>
              <w:rPr>
                <w:rFonts w:hint="eastAsia" w:ascii="宋体" w:hAnsi="宋体" w:cs="宋体"/>
                <w:szCs w:val="21"/>
              </w:rPr>
            </w:pPr>
            <w:r>
              <w:rPr>
                <w:rFonts w:hint="eastAsia" w:ascii="宋体" w:hAnsi="宋体" w:cs="宋体"/>
                <w:szCs w:val="21"/>
              </w:rPr>
              <w:t>（5）教师邀请听课</w:t>
            </w:r>
            <w:r>
              <w:rPr>
                <w:rFonts w:hint="eastAsia" w:ascii="宋体" w:hAnsi="宋体" w:cs="宋体"/>
                <w:szCs w:val="21"/>
                <w:lang w:eastAsia="zh-Hans"/>
              </w:rPr>
              <w:t>：</w:t>
            </w:r>
            <w:r>
              <w:rPr>
                <w:rFonts w:hint="eastAsia" w:ascii="宋体" w:hAnsi="宋体" w:cs="宋体"/>
                <w:szCs w:val="21"/>
              </w:rPr>
              <w:t>教师可邀请督导听课，可进行课程邀请及节次邀请两种方式，邀请时可选择某一督导分类下的所有督导，也可选择单个督导进行邀请，输入邀请说明，完成邀请。督导可查看教师邀请的具体信息，包括课程名称、教师、班级、时间、地点等，选择接受或者忽略。</w:t>
            </w:r>
          </w:p>
          <w:p>
            <w:pPr>
              <w:spacing w:line="360" w:lineRule="auto"/>
              <w:ind w:firstLine="420"/>
              <w:rPr>
                <w:rFonts w:hint="eastAsia" w:ascii="宋体" w:hAnsi="宋体" w:cs="宋体"/>
                <w:szCs w:val="21"/>
              </w:rPr>
            </w:pPr>
            <w:r>
              <w:rPr>
                <w:rFonts w:hint="eastAsia" w:ascii="宋体" w:hAnsi="宋体" w:cs="宋体"/>
                <w:szCs w:val="21"/>
              </w:rPr>
              <w:t>（6）查看已评记录</w:t>
            </w:r>
            <w:r>
              <w:rPr>
                <w:rFonts w:hint="eastAsia" w:ascii="宋体" w:hAnsi="宋体" w:cs="宋体"/>
                <w:szCs w:val="21"/>
                <w:lang w:eastAsia="zh-Hans"/>
              </w:rPr>
              <w:t>：</w:t>
            </w:r>
            <w:r>
              <w:rPr>
                <w:rFonts w:hint="eastAsia" w:ascii="宋体" w:hAnsi="宋体" w:cs="宋体"/>
                <w:szCs w:val="21"/>
              </w:rPr>
              <w:t>督导可查看自己的已评记录详情。</w:t>
            </w:r>
          </w:p>
          <w:p>
            <w:pPr>
              <w:spacing w:line="360" w:lineRule="auto"/>
              <w:ind w:firstLine="420"/>
              <w:rPr>
                <w:rFonts w:hint="eastAsia" w:ascii="宋体" w:hAnsi="宋体" w:cs="宋体"/>
                <w:szCs w:val="21"/>
              </w:rPr>
            </w:pPr>
            <w:r>
              <w:rPr>
                <w:rFonts w:hint="eastAsia" w:ascii="宋体" w:hAnsi="宋体" w:cs="宋体"/>
                <w:szCs w:val="21"/>
              </w:rPr>
              <w:t>（7）督导查看评课报告</w:t>
            </w:r>
            <w:r>
              <w:rPr>
                <w:rFonts w:hint="eastAsia" w:ascii="宋体" w:hAnsi="宋体" w:cs="宋体"/>
                <w:szCs w:val="21"/>
                <w:lang w:eastAsia="zh-Hans"/>
              </w:rPr>
              <w:t>：</w:t>
            </w:r>
            <w:r>
              <w:rPr>
                <w:rFonts w:hint="eastAsia" w:ascii="宋体" w:hAnsi="宋体" w:cs="宋体"/>
                <w:szCs w:val="21"/>
              </w:rPr>
              <w:t>督导在进行评课后，将基于督导个人的评课记录生成统计报告；</w:t>
            </w:r>
            <w:r>
              <w:rPr>
                <w:rFonts w:hint="eastAsia" w:ascii="宋体" w:hAnsi="宋体" w:cs="宋体"/>
                <w:szCs w:val="21"/>
                <w:lang w:eastAsia="zh-Hans"/>
              </w:rPr>
              <w:t>可在PC个人空间及移动端</w:t>
            </w:r>
            <w:r>
              <w:rPr>
                <w:rFonts w:hint="eastAsia" w:ascii="宋体" w:hAnsi="宋体" w:cs="宋体"/>
                <w:szCs w:val="21"/>
              </w:rPr>
              <w:t>查看内容</w:t>
            </w:r>
            <w:r>
              <w:rPr>
                <w:rFonts w:hint="eastAsia" w:ascii="宋体" w:hAnsi="宋体" w:cs="宋体"/>
                <w:szCs w:val="21"/>
                <w:lang w:eastAsia="zh-Hans"/>
              </w:rPr>
              <w:t>，</w:t>
            </w:r>
            <w:r>
              <w:rPr>
                <w:rFonts w:hint="eastAsia" w:ascii="宋体" w:hAnsi="宋体" w:cs="宋体"/>
                <w:szCs w:val="21"/>
              </w:rPr>
              <w:t>包括督导应评次数、已评次数、完成率、各学院听评次数统计等。</w:t>
            </w:r>
          </w:p>
          <w:p>
            <w:pPr>
              <w:spacing w:line="360" w:lineRule="auto"/>
              <w:ind w:firstLine="420"/>
              <w:rPr>
                <w:rFonts w:hint="eastAsia" w:ascii="宋体" w:hAnsi="宋体" w:cs="宋体"/>
                <w:szCs w:val="21"/>
              </w:rPr>
            </w:pPr>
            <w:r>
              <w:rPr>
                <w:rFonts w:hint="eastAsia" w:ascii="宋体" w:hAnsi="宋体" w:cs="宋体"/>
                <w:szCs w:val="21"/>
              </w:rPr>
              <w:t>2） pc端听评课</w:t>
            </w:r>
          </w:p>
          <w:p>
            <w:pPr>
              <w:spacing w:line="360" w:lineRule="auto"/>
              <w:ind w:firstLine="420"/>
              <w:rPr>
                <w:rFonts w:hint="eastAsia" w:ascii="宋体" w:hAnsi="宋体" w:cs="宋体"/>
                <w:szCs w:val="21"/>
              </w:rPr>
            </w:pPr>
            <w:r>
              <w:rPr>
                <w:rFonts w:hint="eastAsia" w:ascii="宋体" w:hAnsi="宋体" w:cs="宋体"/>
                <w:szCs w:val="21"/>
              </w:rPr>
              <w:t>pc端除了支持选择听课、评课计划、完成指派评课任务、完成邀请听课、查看已评记录外，还支持查看教师网络课程建设情况，包括课程的基础数据、课程门户（进入课程门户）、班级任务、学情分析、课程日志信息等内容。</w:t>
            </w:r>
          </w:p>
          <w:p>
            <w:pPr>
              <w:spacing w:line="360" w:lineRule="auto"/>
              <w:ind w:firstLine="420"/>
              <w:rPr>
                <w:rFonts w:hint="eastAsia" w:ascii="宋体" w:hAnsi="宋体" w:cs="宋体"/>
                <w:szCs w:val="21"/>
              </w:rPr>
            </w:pPr>
            <w:r>
              <w:rPr>
                <w:rFonts w:hint="eastAsia" w:ascii="宋体" w:hAnsi="宋体" w:cs="宋体"/>
                <w:szCs w:val="21"/>
              </w:rPr>
              <w:t>5.问卷数据回收</w:t>
            </w:r>
          </w:p>
          <w:p>
            <w:pPr>
              <w:spacing w:line="360" w:lineRule="auto"/>
              <w:ind w:firstLine="420"/>
              <w:rPr>
                <w:rFonts w:hint="eastAsia" w:ascii="宋体" w:hAnsi="宋体" w:cs="宋体"/>
                <w:szCs w:val="21"/>
              </w:rPr>
            </w:pPr>
            <w:r>
              <w:rPr>
                <w:rFonts w:hint="eastAsia" w:ascii="宋体" w:hAnsi="宋体" w:cs="宋体"/>
                <w:szCs w:val="21"/>
              </w:rPr>
              <w:t>（1）问卷详情查看</w:t>
            </w:r>
          </w:p>
          <w:p>
            <w:pPr>
              <w:spacing w:line="360" w:lineRule="auto"/>
              <w:ind w:firstLine="420"/>
              <w:rPr>
                <w:rFonts w:hint="eastAsia" w:ascii="宋体" w:hAnsi="宋体" w:cs="宋体"/>
                <w:szCs w:val="21"/>
              </w:rPr>
            </w:pPr>
            <w:r>
              <w:rPr>
                <w:rFonts w:hint="eastAsia" w:ascii="宋体" w:hAnsi="宋体" w:cs="宋体"/>
                <w:szCs w:val="21"/>
              </w:rPr>
              <w:t>可以查看已发放问卷的详细信息和评价结果，可以看到各个评价人员列表，以及一些基本信息，包括被评对象、教师的账号、所属院系、评价人信息、问卷平均分、综合分数等。可以直接查看问卷内每一道题的得分情况和每个选项的占比。</w:t>
            </w:r>
          </w:p>
          <w:p>
            <w:pPr>
              <w:spacing w:line="360" w:lineRule="auto"/>
              <w:ind w:firstLine="420"/>
              <w:rPr>
                <w:rFonts w:hint="eastAsia" w:ascii="宋体" w:hAnsi="宋体" w:cs="宋体"/>
                <w:szCs w:val="21"/>
              </w:rPr>
            </w:pPr>
            <w:r>
              <w:rPr>
                <w:rFonts w:hint="eastAsia" w:ascii="宋体" w:hAnsi="宋体" w:cs="宋体"/>
                <w:szCs w:val="21"/>
              </w:rPr>
              <w:t>（2）问卷结果导出</w:t>
            </w:r>
          </w:p>
          <w:p>
            <w:pPr>
              <w:spacing w:line="360" w:lineRule="auto"/>
              <w:ind w:firstLine="420"/>
              <w:rPr>
                <w:rFonts w:hint="eastAsia" w:ascii="宋体" w:hAnsi="宋体" w:cs="宋体"/>
                <w:szCs w:val="21"/>
              </w:rPr>
            </w:pPr>
            <w:r>
              <w:rPr>
                <w:rFonts w:hint="eastAsia" w:ascii="宋体" w:hAnsi="宋体" w:cs="宋体"/>
                <w:szCs w:val="21"/>
              </w:rPr>
              <w:t>支持导出问卷详情，可通过邮箱的形式导出问卷的统计详情，也可通过word或excel表格的形式进行导出。导出的内容包括评价结果（被评对象信息、最终平均分）和评价记录详情（被评对象信息、评价人员信息、课程信息、时间、每个评价的指标和结果）。</w:t>
            </w:r>
          </w:p>
          <w:p>
            <w:pPr>
              <w:spacing w:line="360" w:lineRule="auto"/>
              <w:ind w:firstLine="420"/>
              <w:rPr>
                <w:rFonts w:hint="eastAsia" w:ascii="宋体" w:hAnsi="宋体" w:cs="宋体"/>
                <w:szCs w:val="21"/>
              </w:rPr>
            </w:pPr>
            <w:r>
              <w:rPr>
                <w:rFonts w:hint="eastAsia" w:ascii="宋体" w:hAnsi="宋体" w:cs="宋体"/>
                <w:szCs w:val="21"/>
              </w:rPr>
              <w:t>6.统计分析</w:t>
            </w:r>
          </w:p>
          <w:p>
            <w:pPr>
              <w:spacing w:line="360" w:lineRule="auto"/>
              <w:ind w:firstLine="420"/>
              <w:rPr>
                <w:rFonts w:hint="eastAsia" w:ascii="宋体" w:hAnsi="宋体" w:cs="宋体"/>
                <w:szCs w:val="21"/>
              </w:rPr>
            </w:pPr>
            <w:r>
              <w:rPr>
                <w:rFonts w:hint="eastAsia" w:ascii="宋体" w:hAnsi="宋体" w:cs="宋体"/>
                <w:szCs w:val="21"/>
              </w:rPr>
              <w:t>统计分析维度包括评价教师分析、评价课程分析、随堂评教分析、听评课分析</w:t>
            </w:r>
            <w:r>
              <w:rPr>
                <w:rFonts w:hint="eastAsia" w:ascii="宋体" w:hAnsi="宋体" w:cs="宋体"/>
                <w:szCs w:val="21"/>
                <w:lang w:eastAsia="zh-Hans"/>
              </w:rPr>
              <w:t>、评价班级分析</w:t>
            </w:r>
            <w:r>
              <w:rPr>
                <w:rFonts w:hint="eastAsia" w:ascii="宋体" w:hAnsi="宋体" w:cs="宋体"/>
                <w:szCs w:val="21"/>
              </w:rPr>
              <w:t>。</w:t>
            </w:r>
          </w:p>
          <w:p>
            <w:pPr>
              <w:spacing w:line="360" w:lineRule="auto"/>
              <w:ind w:firstLine="420"/>
              <w:rPr>
                <w:rFonts w:hint="eastAsia" w:ascii="宋体" w:hAnsi="宋体" w:cs="宋体"/>
                <w:szCs w:val="21"/>
              </w:rPr>
            </w:pPr>
            <w:r>
              <w:rPr>
                <w:rFonts w:hint="eastAsia" w:ascii="宋体" w:hAnsi="宋体" w:cs="宋体"/>
                <w:szCs w:val="21"/>
              </w:rPr>
              <w:t>可按照评价任务为单位查看每一次评价任务的评价情况，包括评价任务的完成情况、评价问卷的提交情况、被评对象的评分排序、被评对象的分数分布图、院系平均分。各项统计均以饼状图、柱状图等图形或展示方式直观统计展示。</w:t>
            </w:r>
          </w:p>
          <w:p>
            <w:pPr>
              <w:spacing w:line="360" w:lineRule="auto"/>
              <w:ind w:firstLine="420"/>
              <w:rPr>
                <w:rFonts w:hint="eastAsia" w:ascii="宋体" w:hAnsi="宋体" w:cs="宋体"/>
                <w:szCs w:val="21"/>
              </w:rPr>
            </w:pPr>
            <w:r>
              <w:rPr>
                <w:rFonts w:hint="eastAsia" w:ascii="宋体" w:hAnsi="宋体" w:cs="宋体"/>
                <w:szCs w:val="21"/>
              </w:rPr>
              <w:t>选择某份评价教师问卷，</w:t>
            </w:r>
            <w:r>
              <w:rPr>
                <w:rFonts w:hint="eastAsia" w:ascii="宋体" w:hAnsi="宋体" w:cs="宋体"/>
                <w:szCs w:val="21"/>
                <w:lang w:eastAsia="zh-Hans"/>
              </w:rPr>
              <w:t>可查看被评教师人数、参与评价人数、教师平均分、最高分、最低分、参评率、授课教师人数分布等，</w:t>
            </w:r>
            <w:r>
              <w:rPr>
                <w:rFonts w:hint="eastAsia" w:ascii="宋体" w:hAnsi="宋体" w:cs="宋体"/>
                <w:szCs w:val="21"/>
              </w:rPr>
              <w:t>可查看当前问卷各院系平均得分及各分数区间人数占比、及院系各指标平均得分分布图、以及可查看教师的得分排行并支持导出；可以置标准参评率，设置后只分析大于标准参评率的评价结果。针对评价教师分析，可选择多份问卷设置不同权重，得出教师的综合得分，并可按照院系、姓名、分数等级进行筛选查看。</w:t>
            </w:r>
          </w:p>
          <w:p>
            <w:pPr>
              <w:spacing w:line="360" w:lineRule="auto"/>
              <w:ind w:firstLine="420"/>
              <w:rPr>
                <w:rFonts w:hint="eastAsia" w:ascii="宋体" w:hAnsi="宋体" w:cs="宋体"/>
                <w:szCs w:val="21"/>
              </w:rPr>
            </w:pPr>
            <w:r>
              <w:rPr>
                <w:rFonts w:hint="eastAsia" w:ascii="宋体" w:hAnsi="宋体" w:cs="宋体"/>
                <w:szCs w:val="21"/>
              </w:rPr>
              <w:t>支持按照问卷、指标、时间段、时间点、学院、课程进行筛选，查看随堂评教问卷下，各院系的得分和折线图对比情况。支持查看某个班级对某个课程每节课的评价分数和参评率，可以以折线图的形式展现每节课对比情况。支持查看本学期随堂评教情况排名。</w:t>
            </w:r>
          </w:p>
          <w:p>
            <w:pPr>
              <w:spacing w:line="360" w:lineRule="auto"/>
              <w:ind w:firstLine="420"/>
              <w:rPr>
                <w:rFonts w:hint="eastAsia" w:ascii="宋体" w:hAnsi="宋体" w:cs="宋体"/>
                <w:szCs w:val="21"/>
              </w:rPr>
            </w:pPr>
            <w:r>
              <w:rPr>
                <w:rFonts w:hint="eastAsia" w:ascii="宋体" w:hAnsi="宋体" w:cs="宋体"/>
                <w:szCs w:val="21"/>
              </w:rPr>
              <w:t>支持管理员查看督导听评课任务完成情况、各院系听评课完成率对比、已评价课程/教师情况，也可以查看被听评教师按院系、按指标、按学院教师的得分情况以及总体分析。</w:t>
            </w:r>
          </w:p>
          <w:p>
            <w:pPr>
              <w:spacing w:line="360" w:lineRule="auto"/>
              <w:ind w:firstLine="420"/>
              <w:rPr>
                <w:rFonts w:hint="eastAsia" w:ascii="宋体" w:hAnsi="宋体" w:cs="宋体"/>
                <w:szCs w:val="21"/>
                <w:lang w:eastAsia="zh-Hans"/>
              </w:rPr>
            </w:pPr>
            <w:r>
              <w:rPr>
                <w:rFonts w:hint="eastAsia" w:ascii="宋体" w:hAnsi="宋体" w:cs="宋体"/>
                <w:szCs w:val="21"/>
              </w:rPr>
              <w:t>支持管理员</w:t>
            </w:r>
            <w:r>
              <w:rPr>
                <w:rFonts w:hint="eastAsia" w:ascii="宋体" w:hAnsi="宋体" w:cs="宋体"/>
                <w:szCs w:val="21"/>
                <w:lang w:eastAsia="zh-Hans"/>
              </w:rPr>
              <w:t>查看评价班级分析，包括被评班级总数、参与评价人数、班级平均分、参评率、各院系被评班级分布、各院系班级平均分及区间分布、各院系班级平均分排名、班级平均分排名等。</w:t>
            </w:r>
          </w:p>
          <w:p>
            <w:pPr>
              <w:spacing w:line="360" w:lineRule="auto"/>
              <w:ind w:firstLine="420"/>
              <w:rPr>
                <w:rFonts w:hint="eastAsia" w:ascii="宋体" w:hAnsi="宋体" w:cs="宋体"/>
                <w:szCs w:val="21"/>
              </w:rPr>
            </w:pPr>
            <w:r>
              <w:rPr>
                <w:rFonts w:hint="eastAsia" w:ascii="宋体" w:hAnsi="宋体" w:cs="宋体"/>
                <w:szCs w:val="21"/>
              </w:rPr>
              <w:t>7.听评课报告</w:t>
            </w:r>
          </w:p>
          <w:p>
            <w:pPr>
              <w:spacing w:line="360" w:lineRule="auto"/>
              <w:ind w:firstLine="420"/>
              <w:rPr>
                <w:rFonts w:hint="eastAsia" w:ascii="宋体" w:hAnsi="宋体" w:cs="宋体"/>
                <w:szCs w:val="21"/>
              </w:rPr>
            </w:pPr>
            <w:r>
              <w:rPr>
                <w:rFonts w:hint="eastAsia" w:ascii="宋体" w:hAnsi="宋体" w:cs="宋体"/>
                <w:szCs w:val="21"/>
                <w:lang w:eastAsia="zh-Hans"/>
              </w:rPr>
              <w:t>支持管理员在后台生成听评课校级报告，对督导领导的听课数据进行汇总分析，生在报告后支持在线编辑，同时支持导出word，报告包括：评价完成情况、教师覆盖情况分析、课程覆盖情况分析、教师教学质量分析、课程质量分析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10</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jc w:val="left"/>
              <w:rPr>
                <w:rFonts w:hint="eastAsia" w:hAnsi="宋体" w:cs="宋体"/>
                <w:sz w:val="21"/>
                <w:szCs w:val="21"/>
              </w:rPr>
            </w:pPr>
            <w:r>
              <w:rPr>
                <w:rFonts w:hint="eastAsia" w:hAnsi="宋体" w:cs="宋体"/>
                <w:sz w:val="21"/>
                <w:szCs w:val="21"/>
              </w:rPr>
              <w:t>学分管理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0" w:firstLineChars="0"/>
              <w:rPr>
                <w:rFonts w:hint="eastAsia" w:ascii="宋体" w:hAnsi="宋体" w:cs="宋体"/>
                <w:color w:val="FF0000"/>
                <w:szCs w:val="21"/>
              </w:rPr>
            </w:pPr>
            <w:r>
              <w:rPr>
                <w:rFonts w:hint="eastAsia" w:ascii="宋体" w:hAnsi="宋体" w:cs="宋体"/>
                <w:szCs w:val="21"/>
              </w:rPr>
              <w:t>学分管理：在学分制选课模式中，学校所有课程可参与选课，可根据学校针对必修/选修课程不同的学分要求进行设置选课计划，学生按照要求进行分别选择对应学分的必修/选修课程。</w:t>
            </w:r>
          </w:p>
          <w:p>
            <w:pPr>
              <w:spacing w:line="360" w:lineRule="auto"/>
              <w:ind w:firstLine="0" w:firstLineChars="0"/>
              <w:rPr>
                <w:rFonts w:hint="eastAsia" w:ascii="宋体" w:hAnsi="宋体" w:cs="宋体"/>
                <w:szCs w:val="21"/>
              </w:rPr>
            </w:pPr>
            <w:r>
              <w:rPr>
                <w:rFonts w:hint="eastAsia" w:ascii="宋体" w:hAnsi="宋体" w:cs="宋体"/>
                <w:szCs w:val="21"/>
              </w:rPr>
              <w:t>1.学分规则设置</w:t>
            </w:r>
          </w:p>
          <w:p>
            <w:pPr>
              <w:pStyle w:val="61"/>
              <w:spacing w:line="360" w:lineRule="auto"/>
              <w:ind w:firstLine="0" w:firstLineChars="0"/>
              <w:rPr>
                <w:rFonts w:hint="eastAsia" w:ascii="宋体" w:hAnsi="宋体" w:cs="宋体"/>
                <w:szCs w:val="21"/>
              </w:rPr>
            </w:pPr>
            <w:r>
              <w:rPr>
                <w:rFonts w:hint="eastAsia" w:ascii="宋体" w:hAnsi="宋体" w:cs="宋体"/>
                <w:szCs w:val="21"/>
              </w:rPr>
              <w:t>1）系统支持设置课程学分、竞赛学分、证书学分、实习学分、德育学分5种学分类型；</w:t>
            </w:r>
          </w:p>
          <w:p>
            <w:pPr>
              <w:pStyle w:val="61"/>
              <w:spacing w:line="360" w:lineRule="auto"/>
              <w:ind w:firstLine="0" w:firstLineChars="0"/>
              <w:rPr>
                <w:rFonts w:hint="eastAsia" w:ascii="宋体" w:hAnsi="宋体" w:cs="宋体"/>
                <w:szCs w:val="21"/>
                <w:highlight w:val="yellow"/>
              </w:rPr>
            </w:pPr>
            <w:r>
              <w:rPr>
                <w:rFonts w:hint="eastAsia" w:ascii="宋体" w:hAnsi="宋体" w:cs="宋体"/>
                <w:szCs w:val="21"/>
              </w:rPr>
              <w:t>2）对不在以上范围内的学分类型，系统支持自定义新建学分类型；</w:t>
            </w:r>
          </w:p>
          <w:p>
            <w:pPr>
              <w:pStyle w:val="61"/>
              <w:spacing w:line="360" w:lineRule="auto"/>
              <w:ind w:firstLine="0" w:firstLineChars="0"/>
              <w:rPr>
                <w:rFonts w:hint="eastAsia" w:ascii="宋体" w:hAnsi="宋体" w:cs="宋体"/>
                <w:szCs w:val="21"/>
              </w:rPr>
            </w:pPr>
            <w:r>
              <w:rPr>
                <w:rFonts w:hint="eastAsia" w:ascii="宋体" w:hAnsi="宋体" w:cs="宋体"/>
                <w:szCs w:val="21"/>
              </w:rPr>
              <w:t>3）支持设置各种学分类型的换算规则；</w:t>
            </w:r>
          </w:p>
          <w:p>
            <w:pPr>
              <w:pStyle w:val="61"/>
              <w:spacing w:line="360" w:lineRule="auto"/>
              <w:ind w:firstLine="0" w:firstLineChars="0"/>
              <w:rPr>
                <w:rFonts w:hint="eastAsia" w:ascii="宋体" w:hAnsi="宋体" w:cs="宋体"/>
                <w:szCs w:val="21"/>
              </w:rPr>
            </w:pPr>
            <w:r>
              <w:rPr>
                <w:rFonts w:hint="eastAsia" w:ascii="宋体" w:hAnsi="宋体" w:cs="宋体"/>
                <w:szCs w:val="21"/>
              </w:rPr>
              <w:t>4）支持分数、等级等多种类型成绩的学分换算规则</w:t>
            </w:r>
          </w:p>
          <w:p>
            <w:pPr>
              <w:pStyle w:val="61"/>
              <w:spacing w:line="360" w:lineRule="auto"/>
              <w:ind w:firstLine="0" w:firstLineChars="0"/>
              <w:rPr>
                <w:rFonts w:hint="eastAsia" w:ascii="宋体" w:hAnsi="宋体" w:cs="宋体"/>
                <w:szCs w:val="21"/>
              </w:rPr>
            </w:pPr>
            <w:r>
              <w:rPr>
                <w:rFonts w:hint="eastAsia" w:ascii="宋体" w:hAnsi="宋体" w:cs="宋体"/>
                <w:szCs w:val="21"/>
              </w:rPr>
              <w:t>2.学分登记与查询</w:t>
            </w:r>
          </w:p>
          <w:p>
            <w:pPr>
              <w:pStyle w:val="61"/>
              <w:spacing w:line="360" w:lineRule="auto"/>
              <w:ind w:firstLine="0" w:firstLineChars="0"/>
              <w:rPr>
                <w:rFonts w:hint="eastAsia" w:ascii="宋体" w:hAnsi="宋体" w:cs="宋体"/>
                <w:szCs w:val="21"/>
              </w:rPr>
            </w:pPr>
            <w:r>
              <w:rPr>
                <w:rFonts w:hint="eastAsia" w:ascii="宋体" w:hAnsi="宋体" w:cs="宋体"/>
                <w:szCs w:val="21"/>
              </w:rPr>
              <w:t>1）支持课程、竞赛、证书、实习、德育等多种类型的学分的登记；支持逐条添加和批量导入；</w:t>
            </w:r>
          </w:p>
          <w:p>
            <w:pPr>
              <w:pStyle w:val="61"/>
              <w:spacing w:line="360" w:lineRule="auto"/>
              <w:ind w:firstLine="0" w:firstLineChars="0"/>
              <w:rPr>
                <w:rFonts w:hint="eastAsia" w:ascii="宋体" w:hAnsi="宋体" w:cs="宋体"/>
                <w:szCs w:val="21"/>
              </w:rPr>
            </w:pPr>
            <w:r>
              <w:rPr>
                <w:rFonts w:hint="eastAsia" w:ascii="宋体" w:hAnsi="宋体" w:cs="宋体"/>
                <w:szCs w:val="21"/>
              </w:rPr>
              <w:t>2）支持学生自行申请登记；</w:t>
            </w:r>
          </w:p>
          <w:p>
            <w:pPr>
              <w:pStyle w:val="61"/>
              <w:spacing w:line="360" w:lineRule="auto"/>
              <w:ind w:firstLine="0" w:firstLineChars="0"/>
              <w:rPr>
                <w:rFonts w:hint="eastAsia" w:ascii="宋体" w:hAnsi="宋体" w:cs="宋体"/>
                <w:szCs w:val="21"/>
              </w:rPr>
            </w:pPr>
            <w:r>
              <w:rPr>
                <w:rFonts w:hint="eastAsia" w:ascii="宋体" w:hAnsi="宋体" w:cs="宋体"/>
                <w:szCs w:val="21"/>
              </w:rPr>
              <w:t>3）支持对各种类型的学分认定结果进行查询和导出；</w:t>
            </w:r>
          </w:p>
          <w:p>
            <w:pPr>
              <w:pStyle w:val="61"/>
              <w:spacing w:line="360" w:lineRule="auto"/>
              <w:ind w:firstLine="0" w:firstLineChars="0"/>
              <w:rPr>
                <w:rFonts w:hint="eastAsia" w:ascii="宋体" w:hAnsi="宋体" w:cs="宋体"/>
                <w:szCs w:val="21"/>
              </w:rPr>
            </w:pPr>
            <w:r>
              <w:rPr>
                <w:rFonts w:hint="eastAsia" w:ascii="宋体" w:hAnsi="宋体" w:cs="宋体"/>
                <w:szCs w:val="21"/>
              </w:rPr>
              <w:t>3.学分互认</w:t>
            </w:r>
          </w:p>
          <w:p>
            <w:pPr>
              <w:pStyle w:val="61"/>
              <w:spacing w:line="360" w:lineRule="auto"/>
              <w:ind w:firstLine="0" w:firstLineChars="0"/>
              <w:rPr>
                <w:rFonts w:hint="eastAsia" w:ascii="宋体" w:hAnsi="宋体" w:cs="宋体"/>
                <w:szCs w:val="21"/>
              </w:rPr>
            </w:pPr>
            <w:r>
              <w:rPr>
                <w:rFonts w:hint="eastAsia" w:ascii="宋体" w:hAnsi="宋体" w:cs="宋体"/>
                <w:szCs w:val="21"/>
              </w:rPr>
              <w:t>1）支持设置可进行学分互认的学生年级范围、课程范围；互认申请时间；学生是否可自行发起申请；</w:t>
            </w:r>
          </w:p>
          <w:p>
            <w:pPr>
              <w:pStyle w:val="61"/>
              <w:spacing w:line="360" w:lineRule="auto"/>
              <w:ind w:firstLine="0" w:firstLineChars="0"/>
              <w:rPr>
                <w:rFonts w:hint="eastAsia" w:ascii="宋体" w:hAnsi="宋体" w:cs="宋体"/>
                <w:szCs w:val="21"/>
              </w:rPr>
            </w:pPr>
            <w:r>
              <w:rPr>
                <w:rFonts w:hint="eastAsia" w:ascii="宋体" w:hAnsi="宋体" w:cs="宋体"/>
                <w:szCs w:val="21"/>
              </w:rPr>
              <w:t>2）支持管理端使用学生竞赛、证书等学分来认定未获取的课程学分；</w:t>
            </w:r>
          </w:p>
          <w:p>
            <w:pPr>
              <w:pStyle w:val="61"/>
              <w:spacing w:line="360" w:lineRule="auto"/>
              <w:ind w:firstLine="0" w:firstLineChars="0"/>
              <w:rPr>
                <w:rFonts w:hint="eastAsia" w:ascii="宋体" w:hAnsi="宋体" w:cs="宋体"/>
                <w:szCs w:val="21"/>
              </w:rPr>
            </w:pPr>
            <w:r>
              <w:rPr>
                <w:rFonts w:hint="eastAsia" w:ascii="宋体" w:hAnsi="宋体" w:cs="宋体"/>
                <w:szCs w:val="21"/>
              </w:rPr>
              <w:t>3）支持自定义设置审核流程；</w:t>
            </w:r>
          </w:p>
          <w:p>
            <w:pPr>
              <w:pStyle w:val="61"/>
              <w:spacing w:line="360" w:lineRule="auto"/>
              <w:ind w:firstLine="0" w:firstLineChars="0"/>
              <w:rPr>
                <w:rFonts w:hint="eastAsia" w:ascii="宋体" w:hAnsi="宋体" w:cs="宋体"/>
                <w:szCs w:val="21"/>
              </w:rPr>
            </w:pPr>
            <w:r>
              <w:rPr>
                <w:rFonts w:hint="eastAsia" w:ascii="宋体" w:hAnsi="宋体" w:cs="宋体"/>
                <w:szCs w:val="21"/>
              </w:rPr>
              <w:t>4）支持对认定结果进行查询和导出；</w:t>
            </w:r>
          </w:p>
          <w:p>
            <w:pPr>
              <w:pStyle w:val="61"/>
              <w:spacing w:line="360" w:lineRule="auto"/>
              <w:ind w:firstLine="0" w:firstLineChars="0"/>
              <w:rPr>
                <w:rFonts w:hint="eastAsia" w:ascii="宋体" w:hAnsi="宋体" w:cs="宋体"/>
                <w:szCs w:val="21"/>
              </w:rPr>
            </w:pPr>
            <w:r>
              <w:rPr>
                <w:rFonts w:hint="eastAsia" w:ascii="宋体" w:hAnsi="宋体" w:cs="宋体"/>
                <w:szCs w:val="21"/>
              </w:rPr>
              <w:t>4.学生学分查询</w:t>
            </w:r>
          </w:p>
          <w:p>
            <w:pPr>
              <w:pStyle w:val="61"/>
              <w:spacing w:line="360" w:lineRule="auto"/>
              <w:ind w:firstLine="0" w:firstLineChars="0"/>
              <w:rPr>
                <w:rFonts w:hint="eastAsia" w:ascii="宋体" w:hAnsi="宋体" w:cs="宋体"/>
                <w:szCs w:val="21"/>
              </w:rPr>
            </w:pPr>
            <w:r>
              <w:rPr>
                <w:rFonts w:hint="eastAsia" w:ascii="宋体" w:hAnsi="宋体" w:cs="宋体"/>
                <w:szCs w:val="21"/>
              </w:rPr>
              <w:t>1）支持按照学生维度对具体某个学生在校期间获取学分的情况进行查询；</w:t>
            </w:r>
          </w:p>
          <w:p>
            <w:pPr>
              <w:pStyle w:val="61"/>
              <w:spacing w:line="360" w:lineRule="auto"/>
              <w:ind w:firstLine="0" w:firstLineChars="0"/>
              <w:rPr>
                <w:rFonts w:hint="eastAsia" w:ascii="宋体" w:hAnsi="宋体" w:cs="宋体"/>
                <w:szCs w:val="21"/>
              </w:rPr>
            </w:pPr>
            <w:r>
              <w:rPr>
                <w:rFonts w:hint="eastAsia" w:ascii="宋体" w:hAnsi="宋体" w:cs="宋体"/>
                <w:szCs w:val="21"/>
              </w:rPr>
              <w:t>2）支持按照学期维度对某个学生获取学分的情况进行查询</w:t>
            </w:r>
          </w:p>
          <w:p>
            <w:pPr>
              <w:pStyle w:val="61"/>
              <w:spacing w:line="360" w:lineRule="auto"/>
              <w:ind w:firstLine="0" w:firstLineChars="0"/>
              <w:rPr>
                <w:rFonts w:hint="eastAsia" w:ascii="宋体" w:hAnsi="宋体" w:cs="宋体"/>
                <w:szCs w:val="21"/>
              </w:rPr>
            </w:pPr>
            <w:r>
              <w:rPr>
                <w:rFonts w:hint="eastAsia" w:ascii="宋体" w:hAnsi="宋体" w:cs="宋体"/>
                <w:szCs w:val="21"/>
              </w:rPr>
              <w:t>3）支持下载学分学分档案卡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10874"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11</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kern w:val="0"/>
                <w:sz w:val="21"/>
                <w:szCs w:val="21"/>
                <w:lang w:val="zh-TW" w:eastAsia="zh-TW"/>
              </w:rPr>
            </w:pPr>
            <w:bookmarkStart w:id="87" w:name="_Toc17593"/>
            <w:r>
              <w:rPr>
                <w:rFonts w:hint="eastAsia" w:hAnsi="宋体" w:cs="宋体"/>
                <w:sz w:val="21"/>
                <w:szCs w:val="21"/>
                <w:lang w:val="zh-TW" w:eastAsia="zh-TW"/>
              </w:rPr>
              <w:t>毕业管理</w:t>
            </w:r>
            <w:bookmarkEnd w:id="87"/>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340"/>
              <w:framePr w:wrap="auto" w:vAnchor="margin" w:hAnchor="text" w:yAlign="inline"/>
              <w:widowControl/>
              <w:spacing w:line="360" w:lineRule="auto"/>
              <w:jc w:val="left"/>
              <w:rPr>
                <w:rFonts w:ascii="宋体" w:hAnsi="宋体" w:eastAsia="宋体" w:cs="宋体"/>
                <w:color w:val="auto"/>
                <w:kern w:val="0"/>
                <w:lang w:val="zh-TW" w:eastAsia="zh-TW"/>
              </w:rPr>
            </w:pPr>
            <w:r>
              <w:rPr>
                <w:rFonts w:ascii="宋体" w:hAnsi="宋体" w:eastAsia="宋体" w:cs="宋体"/>
                <w:color w:val="auto"/>
                <w:kern w:val="0"/>
                <w:lang w:val="zh-TW" w:eastAsia="zh-TW"/>
              </w:rPr>
              <w:t>毕业学分</w:t>
            </w:r>
            <w:r>
              <w:rPr>
                <w:rFonts w:ascii="宋体" w:hAnsi="宋体" w:eastAsia="宋体" w:cs="宋体"/>
                <w:color w:val="auto"/>
                <w:kern w:val="0"/>
              </w:rPr>
              <w:t>条件</w:t>
            </w:r>
            <w:r>
              <w:rPr>
                <w:rFonts w:ascii="宋体" w:hAnsi="宋体" w:eastAsia="宋体" w:cs="宋体"/>
                <w:color w:val="auto"/>
                <w:kern w:val="0"/>
                <w:lang w:val="zh-TW" w:eastAsia="zh-TW"/>
              </w:rPr>
              <w:t>设置、毕业</w:t>
            </w:r>
            <w:r>
              <w:rPr>
                <w:rFonts w:ascii="宋体" w:hAnsi="宋体" w:eastAsia="宋体" w:cs="宋体"/>
                <w:color w:val="auto"/>
                <w:kern w:val="0"/>
              </w:rPr>
              <w:t>资格审查</w:t>
            </w:r>
            <w:r>
              <w:rPr>
                <w:rFonts w:ascii="宋体" w:hAnsi="宋体" w:eastAsia="宋体" w:cs="宋体"/>
                <w:color w:val="auto"/>
                <w:kern w:val="0"/>
                <w:lang w:val="zh-TW" w:eastAsia="zh-TW"/>
              </w:rPr>
              <w:t>、毕业数据处理、毕业统计分析。</w:t>
            </w:r>
          </w:p>
          <w:p>
            <w:pPr>
              <w:pStyle w:val="340"/>
              <w:framePr w:wrap="auto" w:vAnchor="margin" w:hAnchor="text" w:yAlign="inline"/>
              <w:widowControl/>
              <w:numPr>
                <w:ilvl w:val="0"/>
                <w:numId w:val="4"/>
              </w:numPr>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lang w:val="zh-TW" w:eastAsia="zh-TW"/>
              </w:rPr>
              <w:t>支持</w:t>
            </w:r>
            <w:r>
              <w:rPr>
                <w:rFonts w:ascii="宋体" w:hAnsi="宋体" w:eastAsia="宋体" w:cs="宋体"/>
                <w:color w:val="auto"/>
                <w:kern w:val="0"/>
              </w:rPr>
              <w:t>按照专业维度自定义设置毕业课程条件、毕业学分条件、毕业证书条件，支持</w:t>
            </w:r>
            <w:r>
              <w:rPr>
                <w:rFonts w:ascii="宋体" w:hAnsi="宋体" w:eastAsia="宋体" w:cs="宋体"/>
                <w:color w:val="auto"/>
                <w:kern w:val="0"/>
                <w:lang w:val="zh-TW" w:eastAsia="zh-TW"/>
              </w:rPr>
              <w:t>添加技能等级考试证书加入学生毕业条件审核</w:t>
            </w:r>
            <w:r>
              <w:rPr>
                <w:rFonts w:ascii="宋体" w:hAnsi="宋体" w:eastAsia="宋体" w:cs="宋体"/>
                <w:color w:val="auto"/>
                <w:kern w:val="0"/>
                <w:lang w:val="zh-TW"/>
              </w:rPr>
              <w:t>。</w:t>
            </w:r>
          </w:p>
          <w:p>
            <w:pPr>
              <w:pStyle w:val="340"/>
              <w:framePr w:wrap="auto" w:vAnchor="margin" w:hAnchor="text" w:yAlign="inline"/>
              <w:widowControl/>
              <w:numPr>
                <w:ilvl w:val="0"/>
                <w:numId w:val="4"/>
              </w:numPr>
              <w:pBdr>
                <w:bottom w:val="single" w:color="auto" w:sz="6" w:space="1"/>
              </w:pBdr>
              <w:spacing w:line="360" w:lineRule="auto"/>
              <w:jc w:val="left"/>
              <w:rPr>
                <w:rFonts w:ascii="宋体" w:hAnsi="宋体" w:eastAsia="宋体" w:cs="宋体"/>
                <w:color w:val="auto"/>
                <w:kern w:val="0"/>
              </w:rPr>
            </w:pPr>
            <w:r>
              <w:rPr>
                <w:rFonts w:ascii="宋体" w:hAnsi="宋体" w:eastAsia="宋体" w:cs="宋体"/>
                <w:color w:val="auto"/>
                <w:kern w:val="0"/>
              </w:rPr>
              <w:t>可以针对各个课程性质单独进行毕业学分要求配置。</w:t>
            </w:r>
          </w:p>
          <w:p>
            <w:pPr>
              <w:pStyle w:val="340"/>
              <w:framePr w:wrap="auto" w:vAnchor="margin" w:hAnchor="text" w:yAlign="inline"/>
              <w:widowControl/>
              <w:pBdr>
                <w:bottom w:val="single" w:color="auto" w:sz="6" w:space="1"/>
              </w:pBdr>
              <w:spacing w:line="360" w:lineRule="auto"/>
              <w:ind w:firstLine="420" w:firstLineChars="200"/>
              <w:jc w:val="left"/>
              <w:rPr>
                <w:rFonts w:ascii="宋体" w:hAnsi="宋体" w:eastAsia="宋体" w:cs="宋体"/>
                <w:color w:val="auto"/>
                <w:kern w:val="0"/>
              </w:rPr>
            </w:pPr>
            <w:r>
              <w:rPr>
                <w:rFonts w:ascii="宋体" w:hAnsi="宋体" w:eastAsia="宋体" w:cs="宋体"/>
                <w:color w:val="auto"/>
                <w:kern w:val="0"/>
                <w:lang w:val="zh-TW" w:eastAsia="zh-TW"/>
              </w:rPr>
              <w:t>可批量设置毕业审核条件，也可为单个</w:t>
            </w:r>
            <w:r>
              <w:rPr>
                <w:rFonts w:ascii="宋体" w:hAnsi="宋体" w:eastAsia="宋体" w:cs="宋体"/>
                <w:color w:val="auto"/>
                <w:kern w:val="0"/>
              </w:rPr>
              <w:t>专业</w:t>
            </w:r>
            <w:r>
              <w:rPr>
                <w:rFonts w:ascii="宋体" w:hAnsi="宋体" w:eastAsia="宋体" w:cs="宋体"/>
                <w:color w:val="auto"/>
                <w:kern w:val="0"/>
                <w:lang w:val="zh-TW" w:eastAsia="zh-TW"/>
              </w:rPr>
              <w:t>设置毕业审核条件，符合学分制要求。</w:t>
            </w:r>
            <w:r>
              <w:rPr>
                <w:rFonts w:ascii="宋体" w:hAnsi="宋体" w:eastAsia="宋体" w:cs="宋体"/>
                <w:color w:val="auto"/>
                <w:kern w:val="0"/>
              </w:rPr>
              <w:t>毕业条件包括：</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修读总学分达到要求；</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不及格课程门数（必修）&lt; n门；</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不及格课程门数（选修）&lt; n门；</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毕业时无未撤销处分；</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必修课平均学分绩点≥ n分；</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拥有成绩课程门数 ≥ n门；</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选修课程各课程性质学分达到要求；</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平均学分绩点 &gt; n；</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毕业课程达到要求分数；</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英语六级成绩≥ n分；</w:t>
            </w:r>
          </w:p>
          <w:p>
            <w:pPr>
              <w:pStyle w:val="340"/>
              <w:framePr w:wrap="auto" w:vAnchor="margin" w:hAnchor="text" w:yAlign="inline"/>
              <w:widowControl/>
              <w:pBdr>
                <w:bottom w:val="single" w:color="auto" w:sz="6" w:space="1"/>
              </w:pBdr>
              <w:spacing w:line="360" w:lineRule="auto"/>
              <w:ind w:firstLine="840" w:firstLineChars="400"/>
              <w:jc w:val="left"/>
              <w:rPr>
                <w:rFonts w:ascii="宋体" w:hAnsi="宋体" w:eastAsia="宋体" w:cs="宋体"/>
                <w:color w:val="auto"/>
                <w:kern w:val="0"/>
              </w:rPr>
            </w:pPr>
            <w:r>
              <w:rPr>
                <w:rFonts w:ascii="宋体" w:hAnsi="宋体" w:eastAsia="宋体" w:cs="宋体"/>
                <w:color w:val="auto"/>
                <w:kern w:val="0"/>
              </w:rPr>
              <w:t>计算机二级成绩≥ n分。</w:t>
            </w:r>
          </w:p>
          <w:p>
            <w:pPr>
              <w:pStyle w:val="340"/>
              <w:framePr w:wrap="auto" w:vAnchor="margin" w:hAnchor="text" w:yAlign="inline"/>
              <w:widowControl/>
              <w:pBdr>
                <w:bottom w:val="single" w:color="auto" w:sz="6" w:space="1"/>
              </w:pBdr>
              <w:spacing w:line="360" w:lineRule="auto"/>
              <w:jc w:val="left"/>
              <w:rPr>
                <w:rFonts w:ascii="宋体" w:hAnsi="宋体" w:eastAsia="宋体" w:cs="宋体"/>
                <w:color w:val="auto"/>
                <w:kern w:val="0"/>
              </w:rPr>
            </w:pPr>
            <w:r>
              <w:rPr>
                <w:rFonts w:ascii="宋体" w:hAnsi="宋体" w:eastAsia="宋体" w:cs="宋体"/>
                <w:color w:val="auto"/>
                <w:kern w:val="0"/>
              </w:rPr>
              <w:t xml:space="preserve">   以上n值管理员可以根据需求自行配置。</w:t>
            </w:r>
          </w:p>
          <w:p>
            <w:pPr>
              <w:pStyle w:val="340"/>
              <w:framePr w:wrap="auto" w:vAnchor="margin" w:hAnchor="text" w:yAlign="inline"/>
              <w:widowControl/>
              <w:numPr>
                <w:ilvl w:val="0"/>
                <w:numId w:val="4"/>
              </w:numPr>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lang w:val="zh-TW" w:eastAsia="zh-TW"/>
              </w:rPr>
              <w:t>支持一键审核毕业学生的毕业情况和学位情况，或单独处理某个毕业生的毕业情况，同时显示审核通过或不通过原因</w:t>
            </w:r>
          </w:p>
          <w:p>
            <w:pPr>
              <w:pStyle w:val="340"/>
              <w:framePr w:wrap="auto" w:vAnchor="margin" w:hAnchor="text" w:yAlign="inline"/>
              <w:widowControl/>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rPr>
              <w:t>5）</w:t>
            </w:r>
            <w:r>
              <w:rPr>
                <w:rFonts w:ascii="宋体" w:hAnsi="宋体" w:eastAsia="宋体" w:cs="宋体"/>
                <w:color w:val="auto"/>
                <w:kern w:val="0"/>
                <w:lang w:val="zh-TW" w:eastAsia="zh-TW"/>
              </w:rPr>
              <w:t>支持输出毕业生名单，方便学校进行数据上报。</w:t>
            </w:r>
          </w:p>
          <w:p>
            <w:pPr>
              <w:pStyle w:val="340"/>
              <w:framePr w:wrap="auto" w:vAnchor="margin" w:hAnchor="text" w:yAlign="inline"/>
              <w:widowControl/>
              <w:pBdr>
                <w:bottom w:val="single" w:color="auto" w:sz="6" w:space="1"/>
              </w:pBdr>
              <w:spacing w:line="360" w:lineRule="auto"/>
              <w:jc w:val="left"/>
              <w:rPr>
                <w:rFonts w:ascii="宋体" w:hAnsi="宋体" w:eastAsia="宋体" w:cs="宋体"/>
                <w:color w:val="auto"/>
                <w:kern w:val="0"/>
                <w:lang w:val="zh-TW" w:eastAsia="zh-TW"/>
              </w:rPr>
            </w:pPr>
            <w:r>
              <w:rPr>
                <w:rFonts w:ascii="宋体" w:hAnsi="宋体" w:eastAsia="宋体" w:cs="宋体"/>
                <w:color w:val="auto"/>
                <w:kern w:val="0"/>
              </w:rPr>
              <w:t>6）支持毕业学生的统计查询，包括学院毕业人数汇总；历年毕业人数汇总；班级人数对比；明细表格。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p>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12</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left="80"/>
              <w:jc w:val="left"/>
              <w:rPr>
                <w:rFonts w:hint="eastAsia" w:hAnsi="宋体" w:cs="宋体"/>
                <w:spacing w:val="-6"/>
                <w:sz w:val="21"/>
                <w:szCs w:val="21"/>
              </w:rPr>
            </w:pPr>
            <w:r>
              <w:rPr>
                <w:rFonts w:hint="eastAsia" w:hAnsi="宋体" w:cs="宋体"/>
                <w:sz w:val="21"/>
                <w:szCs w:val="21"/>
              </w:rPr>
              <w:t>教师工作量管理</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1.计算规则设置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1）支持通过“数据工厂”工具来自定义配置统计工作量所需的数据来源表；</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2）支持通过“公式编辑”来自定义配置参与计算的字段、系数等；</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2.课时量数据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1）支持按周统计教师授课课时量数据；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2）支持按月统计教师授课课时量数据；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3）支持按学期统计教师授课课时量数据；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3.监考工作量数据</w:t>
            </w:r>
          </w:p>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支持直接对接考务模块的监考工作量参与总工作量计算。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40"/>
              <w:framePr w:wrap="auto" w:vAnchor="margin" w:hAnchor="text" w:yAlign="inline"/>
              <w:jc w:val="left"/>
              <w:rPr>
                <w:rFonts w:ascii="宋体" w:hAnsi="宋体" w:eastAsia="宋体" w:cs="宋体"/>
                <w:color w:val="auto"/>
              </w:rPr>
            </w:pPr>
            <w:r>
              <w:rPr>
                <w:rFonts w:ascii="宋体" w:hAnsi="宋体" w:eastAsia="宋体" w:cs="宋体"/>
                <w:color w:val="auto"/>
              </w:rPr>
              <w:t>13</w:t>
            </w:r>
          </w:p>
        </w:tc>
        <w:tc>
          <w:tcPr>
            <w:tcW w:w="19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5"/>
              <w:numPr>
                <w:ilvl w:val="2"/>
                <w:numId w:val="0"/>
              </w:numPr>
              <w:spacing w:before="156" w:after="156" w:line="240" w:lineRule="auto"/>
              <w:ind w:firstLine="211" w:firstLineChars="100"/>
              <w:jc w:val="left"/>
              <w:rPr>
                <w:rFonts w:hint="eastAsia" w:hAnsi="宋体" w:cs="宋体"/>
                <w:sz w:val="21"/>
                <w:szCs w:val="21"/>
              </w:rPr>
            </w:pPr>
            <w:r>
              <w:rPr>
                <w:rFonts w:hint="eastAsia" w:hAnsi="宋体" w:cs="宋体"/>
                <w:sz w:val="21"/>
                <w:szCs w:val="21"/>
              </w:rPr>
              <w:t>其他</w:t>
            </w:r>
          </w:p>
        </w:tc>
        <w:tc>
          <w:tcPr>
            <w:tcW w:w="66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61"/>
              <w:spacing w:line="360" w:lineRule="auto"/>
              <w:ind w:firstLine="0" w:firstLineChars="0"/>
              <w:rPr>
                <w:rFonts w:hint="eastAsia" w:ascii="宋体" w:hAnsi="宋体" w:cs="宋体"/>
                <w:spacing w:val="-6"/>
                <w:szCs w:val="21"/>
              </w:rPr>
            </w:pPr>
            <w:r>
              <w:rPr>
                <w:rFonts w:hint="eastAsia" w:ascii="宋体" w:hAnsi="宋体" w:cs="宋体"/>
                <w:spacing w:val="-6"/>
                <w:szCs w:val="21"/>
              </w:rPr>
              <w:t>在教务系统教师端和学生端中，提供网络云盘功能，PC端、移动端都可以使用，提供给全校师生进行资料上传、下载、相关学习文件保存和共享给其他人使用。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9357"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b/>
                <w:bCs/>
                <w:szCs w:val="21"/>
              </w:rPr>
            </w:pPr>
            <w:r>
              <w:rPr>
                <w:rFonts w:hint="eastAsia" w:ascii="宋体" w:hAnsi="宋体" w:cs="宋体"/>
                <w:b/>
                <w:bCs/>
                <w:szCs w:val="21"/>
              </w:rPr>
              <w:t>商务要求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rPr>
            </w:pPr>
            <w:r>
              <w:rPr>
                <w:rFonts w:hint="eastAsia" w:ascii="宋体" w:hAnsi="宋体" w:cs="宋体"/>
                <w:kern w:val="0"/>
                <w:szCs w:val="21"/>
                <w:lang w:bidi="ar"/>
              </w:rPr>
              <w:t>合同签订期</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自中标通知书发出之日起</w:t>
            </w:r>
            <w:r>
              <w:rPr>
                <w:rFonts w:hint="eastAsia" w:ascii="宋体" w:hAnsi="宋体" w:eastAsia="宋体" w:cs="宋体"/>
                <w:color w:val="auto"/>
                <w:kern w:val="0"/>
                <w:sz w:val="21"/>
                <w:szCs w:val="21"/>
                <w:highlight w:val="none"/>
                <w:lang w:bidi="ar"/>
              </w:rPr>
              <w:t>15</w:t>
            </w:r>
            <w:r>
              <w:rPr>
                <w:rFonts w:hint="eastAsia" w:ascii="宋体" w:hAnsi="宋体" w:eastAsia="宋体" w:cs="宋体"/>
                <w:color w:val="auto"/>
                <w:kern w:val="0"/>
                <w:sz w:val="21"/>
                <w:szCs w:val="21"/>
                <w:lang w:bidi="ar"/>
              </w:rPr>
              <w:t>日内。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rPr>
            </w:pPr>
            <w:r>
              <w:rPr>
                <w:rFonts w:hint="eastAsia" w:ascii="宋体" w:hAnsi="宋体" w:cs="宋体"/>
                <w:kern w:val="0"/>
                <w:szCs w:val="21"/>
                <w:lang w:bidi="ar"/>
              </w:rPr>
              <w:t>交货时间及地点</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1.交货期：自合同签订之日2个月内，完成全部货物的交付、安装、调试并达到初验条件。</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2.地点：浦北县第一职业技术学校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center"/>
              <w:rPr>
                <w:rFonts w:hint="eastAsia" w:ascii="宋体" w:hAnsi="宋体" w:cs="宋体"/>
                <w:kern w:val="0"/>
                <w:szCs w:val="21"/>
                <w:lang w:bidi="ar"/>
              </w:rPr>
            </w:pPr>
            <w:r>
              <w:rPr>
                <w:rFonts w:hint="eastAsia" w:ascii="宋体" w:hAnsi="宋体" w:cs="宋体"/>
                <w:kern w:val="0"/>
                <w:szCs w:val="21"/>
                <w:highlight w:val="none"/>
                <w:lang w:bidi="ar"/>
              </w:rPr>
              <w:t>付款方式及条件</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color w:val="auto"/>
                <w:sz w:val="21"/>
                <w:szCs w:val="21"/>
              </w:rPr>
            </w:pPr>
            <w:r>
              <w:rPr>
                <w:rFonts w:ascii="宋体" w:hAnsi="宋体"/>
                <w:bCs/>
                <w:highlight w:val="none"/>
              </w:rPr>
              <w:t>本项目无预付款，</w:t>
            </w:r>
            <w:r>
              <w:rPr>
                <w:rFonts w:hint="eastAsia" w:ascii="宋体" w:hAnsi="宋体"/>
                <w:bCs/>
                <w:highlight w:val="none"/>
                <w:lang w:val="en-US" w:eastAsia="zh-CN"/>
              </w:rPr>
              <w:t>中标供应商</w:t>
            </w:r>
            <w:r>
              <w:rPr>
                <w:rFonts w:ascii="宋体" w:hAnsi="宋体"/>
                <w:bCs/>
                <w:highlight w:val="none"/>
              </w:rPr>
              <w:t>交货完毕</w:t>
            </w:r>
            <w:r>
              <w:rPr>
                <w:rFonts w:hint="eastAsia" w:ascii="宋体" w:hAnsi="宋体"/>
                <w:bCs/>
                <w:highlight w:val="none"/>
                <w:lang w:eastAsia="zh-CN"/>
              </w:rPr>
              <w:t>，</w:t>
            </w:r>
            <w:r>
              <w:rPr>
                <w:rFonts w:ascii="宋体" w:hAnsi="宋体"/>
                <w:bCs/>
                <w:highlight w:val="none"/>
              </w:rPr>
              <w:t>经</w:t>
            </w:r>
            <w:r>
              <w:rPr>
                <w:rFonts w:hint="eastAsia" w:ascii="宋体" w:hAnsi="宋体"/>
                <w:bCs/>
                <w:highlight w:val="none"/>
                <w:lang w:val="en-US" w:eastAsia="zh-CN"/>
              </w:rPr>
              <w:t>采购人</w:t>
            </w:r>
            <w:r>
              <w:rPr>
                <w:rFonts w:ascii="宋体" w:hAnsi="宋体"/>
                <w:bCs/>
                <w:highlight w:val="none"/>
              </w:rPr>
              <w:t>验收合格后且收到</w:t>
            </w:r>
            <w:r>
              <w:rPr>
                <w:rFonts w:hint="eastAsia" w:ascii="宋体" w:hAnsi="宋体"/>
                <w:bCs/>
                <w:highlight w:val="none"/>
                <w:lang w:val="en-US" w:eastAsia="zh-CN"/>
              </w:rPr>
              <w:t>中标供应商</w:t>
            </w:r>
            <w:r>
              <w:rPr>
                <w:rFonts w:ascii="宋体" w:hAnsi="宋体"/>
                <w:bCs/>
                <w:highlight w:val="none"/>
              </w:rPr>
              <w:t>开具的发票，</w:t>
            </w:r>
            <w:r>
              <w:rPr>
                <w:rFonts w:hint="eastAsia" w:ascii="宋体" w:hAnsi="宋体"/>
                <w:bCs/>
                <w:highlight w:val="none"/>
              </w:rPr>
              <w:t>采购人原则上应当自收到发票后10个工作日内将资金支付</w:t>
            </w:r>
            <w:r>
              <w:rPr>
                <w:rFonts w:hint="eastAsia" w:ascii="宋体" w:hAnsi="宋体"/>
                <w:bCs/>
                <w:highlight w:val="none"/>
                <w:lang w:val="en-US" w:eastAsia="zh-CN"/>
              </w:rPr>
              <w:t>给中标人。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质保期</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软件系统质保：5年，包括免费升级、漏洞修复、技术支援、适应性调整；服务类质保：与软件系统同步，包括培训、继承、运维。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售后服务要求</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一、 质量保证期（质保期）要求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期限：要求5年的免费质量保证期，自项目最终验收合格之日起计算。</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范围： 质保范围涵盖所有硬件设备、软件平台、系统集成内容以及所提供的技术服务。</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全免费： 在质保期内，所有正常的设备维修、部件更换、软件维护、升级、技术支持等服务均不得收取任何费用（除非有特殊约定）。</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二、 技术服务与响应要求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 响应时间：</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热线/远程支持： 提供 7×24小时 免费技术支持热线，对于一般性问题，要求 15分钟-2小时内 响应。</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现场响应： 对于无法远程解决的严重故障，要求提供现场服务。通常会分级要求：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一级故障（系统瘫痪）： 2-4小时内 抵达现场。</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二级故障（部分功能失效）： 4-8小时内 抵达现场。</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三级故障（一般性问题）： 下一个工作日内 响应。</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 故障解决时限：</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要求承诺在规定的时限内（如24小时）修复故障或提供应急解决方案。</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 定期巡检与维护：</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要求供应商每季度或每半年提供一次免费的现场巡检服务。</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 巡检内容需包括：检查系统运行状态、性能优化、日志分析、数据备份验证、硬件设备状态检查等，并提交正式的《巡检报告》。</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三、 软件系统维护与升级要求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 系统优化与BUG修复： 免费及时提供系统漏洞补丁和BUG修复程序。</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 免费升级： 明确要求质保期内，提供软件系统同版本内的无限次免费升级（如从V1.0升级到所有V1.X版本）。</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 适应性维护： 因操作系统、数据库等底层平台升级而需要做的兼容性调整，应免费提供。</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 数据维护： 协助学校进行数据备份、迁移和恢复工作。</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四、 技术培训要求</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持续培训： 除了实施初期的培训外，应承诺在质保期内提供不少于每年2次的免费深化培训或新员工培训。</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培训形式： 可包括现场培训、集中培训、远程视频培训等。</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培训资料： 免费提供最新的电子版和纸质版培训手册、操作指南、系统管理员手册等。</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五、 质保期后的服务承诺</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延续服务选项： 要求投标方详细列出质保期结束后的服务内容和收费标准（通常要求每年费用不超过项目总价的某个百分比，如8%-10%）。</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技术延续性： 承诺保证在系统整个生命周期内都能继续提供服务，即使某些产品停产，也应提供功能替代产品。</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七、 组织与资源保障</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rPr>
              <w:t>支持： 对于核心软硬件，要求出具服务承诺函和项目授权书，确保服务来源可靠。</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应急方案：提供详细的重大故障应急处理预案。</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验收标准</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1.微服务框架基础平台验收标准</w:t>
            </w:r>
          </w:p>
          <w:tbl>
            <w:tblPr>
              <w:tblStyle w:val="49"/>
              <w:tblW w:w="8504" w:type="dxa"/>
              <w:tblInd w:w="0" w:type="dxa"/>
              <w:tblLayout w:type="fixed"/>
              <w:tblCellMar>
                <w:top w:w="0" w:type="dxa"/>
                <w:left w:w="0" w:type="dxa"/>
                <w:bottom w:w="0" w:type="dxa"/>
                <w:right w:w="1701" w:type="dxa"/>
              </w:tblCellMar>
            </w:tblPr>
            <w:tblGrid>
              <w:gridCol w:w="1721"/>
              <w:gridCol w:w="1721"/>
              <w:gridCol w:w="5062"/>
            </w:tblGrid>
            <w:tr>
              <w:trPr>
                <w:trHeight w:val="462" w:hRule="atLeast"/>
              </w:trPr>
              <w:tc>
                <w:tcPr>
                  <w:tcW w:w="172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组件名称</w:t>
                  </w:r>
                </w:p>
              </w:tc>
              <w:tc>
                <w:tcPr>
                  <w:tcW w:w="172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验收项</w:t>
                  </w:r>
                </w:p>
              </w:tc>
              <w:tc>
                <w:tcPr>
                  <w:tcW w:w="5062"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right="-1693" w:rightChars="-806"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具体验收标准与方法</w:t>
                  </w:r>
                </w:p>
              </w:tc>
            </w:tr>
            <w:tr>
              <w:trPr>
                <w:trHeight w:val="2801" w:hRule="atLeast"/>
              </w:trPr>
              <w:tc>
                <w:tcPr>
                  <w:tcW w:w="59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通用要求</w:t>
                  </w:r>
                </w:p>
              </w:tc>
              <w:tc>
                <w:tcPr>
                  <w:tcW w:w="1721" w:type="dxa"/>
                  <w:tcBorders>
                    <w:top w:val="nil"/>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部署与高可用</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18" w:firstLineChars="9"/>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1.部署验证：</w:t>
                  </w:r>
                  <w:r>
                    <w:rPr>
                      <w:rFonts w:hint="eastAsia" w:ascii="宋体" w:hAnsi="宋体" w:eastAsia="宋体" w:cs="宋体"/>
                      <w:color w:val="auto"/>
                      <w:kern w:val="0"/>
                      <w:sz w:val="21"/>
                      <w:szCs w:val="21"/>
                    </w:rPr>
                    <w:t>提供完整的部署架构图，并在测试/生产环境成功部署全部微服务组件（包括注册中心、配置中心、API网关、服务实例等）。</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通用要求 部署与高可用 1.部署验证：提供完整的部署架构图，并在测试/生产环境成功部署全部微服务组件（包括注册中心、配置中心、API网关、服务实例等）。</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2. 高可用测试：</w:t>
                  </w:r>
                  <w:r>
                    <w:rPr>
                      <w:rFonts w:hint="eastAsia" w:ascii="宋体" w:hAnsi="宋体" w:eastAsia="宋体" w:cs="宋体"/>
                      <w:color w:val="auto"/>
                      <w:kern w:val="0"/>
                      <w:sz w:val="21"/>
                      <w:szCs w:val="21"/>
                    </w:rPr>
                    <w:t xml:space="preserve"> 模拟任意一个服务实例或服务器节点宕机，系统能自动进行故障转移，核心业务无中断，API网关能自动剔除故障节点。系统整体可用性不低于99.9%。</w:t>
                  </w:r>
                </w:p>
              </w:tc>
            </w:tr>
            <w:tr>
              <w:tblPrEx>
                <w:tblCellMar>
                  <w:top w:w="0" w:type="dxa"/>
                  <w:left w:w="0" w:type="dxa"/>
                  <w:bottom w:w="0" w:type="dxa"/>
                  <w:right w:w="1701" w:type="dxa"/>
                </w:tblCellMar>
              </w:tblPrEx>
              <w:trPr>
                <w:trHeight w:val="2277" w:hRule="atLeast"/>
              </w:trPr>
              <w:tc>
                <w:tcPr>
                  <w:tcW w:w="59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用户管理</w:t>
                  </w:r>
                </w:p>
              </w:tc>
              <w:tc>
                <w:tcPr>
                  <w:tcW w:w="1721" w:type="dxa"/>
                  <w:tcBorders>
                    <w:top w:val="nil"/>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统一身份认证</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1.对接成功：</w:t>
                  </w:r>
                  <w:r>
                    <w:rPr>
                      <w:rFonts w:hint="eastAsia" w:ascii="宋体" w:hAnsi="宋体" w:eastAsia="宋体" w:cs="宋体"/>
                      <w:color w:val="auto"/>
                      <w:kern w:val="0"/>
                      <w:sz w:val="21"/>
                      <w:szCs w:val="21"/>
                    </w:rPr>
                    <w:t>与学校现有统一身份认证系统（如CAS、OAuth2）无缝集成，实现单点登录（SSO）。在智慧办公平台登录后，可无缝访问已集成的其他应用。</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2.全平台同步：</w:t>
                  </w:r>
                  <w:r>
                    <w:rPr>
                      <w:rFonts w:hint="eastAsia" w:ascii="宋体" w:hAnsi="宋体" w:eastAsia="宋体" w:cs="宋体"/>
                      <w:color w:val="auto"/>
                      <w:kern w:val="0"/>
                      <w:sz w:val="21"/>
                      <w:szCs w:val="21"/>
                    </w:rPr>
                    <w:t>在智慧办公平台中创建、禁用或修改用户账号后，其权限和状态能在所有接入的子系统（如教务管理模块）中实时同步生效。</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3.角色权限：</w:t>
                  </w:r>
                  <w:r>
                    <w:rPr>
                      <w:rFonts w:hint="eastAsia" w:ascii="宋体" w:hAnsi="宋体" w:eastAsia="宋体" w:cs="宋体"/>
                      <w:color w:val="auto"/>
                      <w:kern w:val="0"/>
                      <w:sz w:val="21"/>
                      <w:szCs w:val="21"/>
                    </w:rPr>
                    <w:t>系统支持基于角色的访问控制（RBAC），能灵活配置教师、学生、行政人员、管理员等不同角色的菜单、操作和数据权限。</w:t>
                  </w:r>
                </w:p>
              </w:tc>
            </w:tr>
            <w:tr>
              <w:tblPrEx>
                <w:tblCellMar>
                  <w:top w:w="0" w:type="dxa"/>
                  <w:left w:w="0" w:type="dxa"/>
                  <w:bottom w:w="0" w:type="dxa"/>
                  <w:right w:w="1701" w:type="dxa"/>
                </w:tblCellMar>
              </w:tblPrEx>
              <w:trPr>
                <w:trHeight w:val="1125" w:hRule="atLeast"/>
              </w:trPr>
              <w:tc>
                <w:tcPr>
                  <w:tcW w:w="590"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应用管理</w:t>
                  </w:r>
                </w:p>
              </w:tc>
              <w:tc>
                <w:tcPr>
                  <w:tcW w:w="1721" w:type="dxa"/>
                  <w:tcBorders>
                    <w:top w:val="nil"/>
                    <w:left w:val="nil"/>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应用集成与分发</w:t>
                  </w:r>
                </w:p>
              </w:tc>
              <w:tc>
                <w:tcPr>
                  <w:tcW w:w="5062" w:type="dxa"/>
                  <w:tcBorders>
                    <w:top w:val="nil"/>
                    <w:left w:val="nil"/>
                    <w:bottom w:val="single" w:color="auto" w:sz="4" w:space="0"/>
                    <w:right w:val="single" w:color="auto" w:sz="4" w:space="0"/>
                  </w:tcBorders>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1.应用上架：</w:t>
                  </w:r>
                  <w:r>
                    <w:rPr>
                      <w:rFonts w:hint="eastAsia" w:ascii="宋体" w:hAnsi="宋体" w:eastAsia="宋体" w:cs="宋体"/>
                      <w:color w:val="auto"/>
                      <w:kern w:val="0"/>
                      <w:sz w:val="21"/>
                      <w:szCs w:val="21"/>
                    </w:rPr>
                    <w:t>能够将各个业务模块（如教务查询、流程申请）或第三方应用作为独立应用上架到应用中心。</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2.一键访问：</w:t>
                  </w:r>
                  <w:r>
                    <w:rPr>
                      <w:rFonts w:hint="eastAsia" w:ascii="宋体" w:hAnsi="宋体" w:eastAsia="宋体" w:cs="宋体"/>
                      <w:color w:val="auto"/>
                      <w:kern w:val="0"/>
                      <w:sz w:val="21"/>
                      <w:szCs w:val="21"/>
                    </w:rPr>
                    <w:t>用户登录门户后，可根据权限在应用中心看到授权应用，并实现一键点击访问，无需二次登录。</w:t>
                  </w:r>
                  <w:r>
                    <w:rPr>
                      <w:rFonts w:hint="eastAsia" w:ascii="宋体" w:hAnsi="宋体" w:eastAsia="宋体" w:cs="宋体"/>
                      <w:color w:val="auto"/>
                      <w:kern w:val="0"/>
                      <w:sz w:val="21"/>
                      <w:szCs w:val="21"/>
                    </w:rPr>
                    <w:br w:type="textWrapping"/>
                  </w:r>
                  <w:r>
                    <w:rPr>
                      <w:rFonts w:hint="eastAsia" w:ascii="宋体" w:hAnsi="宋体" w:eastAsia="宋体" w:cs="宋体"/>
                      <w:bCs/>
                      <w:color w:val="auto"/>
                      <w:kern w:val="0"/>
                      <w:sz w:val="21"/>
                      <w:szCs w:val="21"/>
                    </w:rPr>
                    <w:t>3.生命周期管理：</w:t>
                  </w:r>
                  <w:r>
                    <w:rPr>
                      <w:rFonts w:hint="eastAsia" w:ascii="宋体" w:hAnsi="宋体" w:eastAsia="宋体" w:cs="宋体"/>
                      <w:color w:val="auto"/>
                      <w:kern w:val="0"/>
                      <w:sz w:val="21"/>
                      <w:szCs w:val="21"/>
                    </w:rPr>
                    <w:t>支持对应用进行启用、禁用、更新、下架等操作。</w:t>
                  </w:r>
                </w:p>
              </w:tc>
            </w:tr>
            <w:tr>
              <w:tblPrEx>
                <w:tblCellMar>
                  <w:top w:w="0" w:type="dxa"/>
                  <w:left w:w="0" w:type="dxa"/>
                  <w:bottom w:w="0" w:type="dxa"/>
                  <w:right w:w="1701" w:type="dxa"/>
                </w:tblCellMar>
              </w:tblPrEx>
              <w:trPr>
                <w:trHeight w:val="480" w:hRule="atLeast"/>
              </w:trPr>
              <w:tc>
                <w:tcPr>
                  <w:tcW w:w="5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界面管理</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门户自定义</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布局拖拽：</w:t>
                  </w:r>
                  <w:r>
                    <w:rPr>
                      <w:rFonts w:hint="eastAsia" w:ascii="宋体" w:hAnsi="宋体" w:eastAsia="宋体" w:cs="宋体"/>
                      <w:color w:val="auto"/>
                      <w:kern w:val="0"/>
                      <w:sz w:val="21"/>
                      <w:szCs w:val="21"/>
                    </w:rPr>
                    <w:t>提供可视化拖拽编辑界面，管理员可自定义门户首页的布局、主题色彩、学校Logo和横幅。</w:t>
                  </w:r>
                </w:p>
              </w:tc>
            </w:tr>
            <w:tr>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内容挂载：</w:t>
                  </w:r>
                  <w:r>
                    <w:rPr>
                      <w:rFonts w:hint="eastAsia" w:ascii="宋体" w:hAnsi="宋体" w:eastAsia="宋体" w:cs="宋体"/>
                      <w:color w:val="auto"/>
                      <w:kern w:val="0"/>
                      <w:sz w:val="21"/>
                      <w:szCs w:val="21"/>
                    </w:rPr>
                    <w:t>能够将应用、待办事项、通知公告、数据报表等不同内容模块自由挂载到门户的不同区域。</w:t>
                  </w:r>
                </w:p>
              </w:tc>
            </w:tr>
            <w:tr>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多终端适配：</w:t>
                  </w:r>
                  <w:r>
                    <w:rPr>
                      <w:rFonts w:hint="eastAsia" w:ascii="宋体" w:hAnsi="宋体" w:eastAsia="宋体" w:cs="宋体"/>
                      <w:color w:val="auto"/>
                      <w:kern w:val="0"/>
                      <w:sz w:val="21"/>
                      <w:szCs w:val="21"/>
                    </w:rPr>
                    <w:t>门户界面能自适应不同尺寸的屏幕，在PC、平板、手机端均有良好的显示和操作体验。</w:t>
                  </w:r>
                </w:p>
              </w:tc>
            </w:tr>
            <w:tr>
              <w:tblPrEx>
                <w:tblCellMar>
                  <w:top w:w="0" w:type="dxa"/>
                  <w:left w:w="0" w:type="dxa"/>
                  <w:bottom w:w="0" w:type="dxa"/>
                  <w:right w:w="1701" w:type="dxa"/>
                </w:tblCellMar>
              </w:tblPrEx>
              <w:trPr>
                <w:trHeight w:val="480" w:hRule="atLeast"/>
              </w:trPr>
              <w:tc>
                <w:tcPr>
                  <w:tcW w:w="5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数据管理</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数据交换与治理</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中心建设：</w:t>
                  </w:r>
                  <w:r>
                    <w:rPr>
                      <w:rFonts w:hint="eastAsia" w:ascii="宋体" w:hAnsi="宋体" w:eastAsia="宋体" w:cs="宋体"/>
                      <w:color w:val="auto"/>
                      <w:kern w:val="0"/>
                      <w:sz w:val="21"/>
                      <w:szCs w:val="21"/>
                    </w:rPr>
                    <w:t>建成统一数据中心，成功对接教务、人事、学工等至少3个核心业务系统的数据库。</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数据同步：</w:t>
                  </w:r>
                  <w:r>
                    <w:rPr>
                      <w:rFonts w:hint="eastAsia" w:ascii="宋体" w:hAnsi="宋体" w:eastAsia="宋体" w:cs="宋体"/>
                      <w:color w:val="auto"/>
                      <w:kern w:val="0"/>
                      <w:sz w:val="21"/>
                      <w:szCs w:val="21"/>
                    </w:rPr>
                    <w:t>制定并执行了定时增量/全量数据同步任务，验证源系统与中心数据的一致性。</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API提供：</w:t>
                  </w:r>
                  <w:r>
                    <w:rPr>
                      <w:rFonts w:hint="eastAsia" w:ascii="宋体" w:hAnsi="宋体" w:eastAsia="宋体" w:cs="宋体"/>
                      <w:color w:val="auto"/>
                      <w:kern w:val="0"/>
                      <w:sz w:val="21"/>
                      <w:szCs w:val="21"/>
                    </w:rPr>
                    <w:t>基于数据中心，提供至少5个标准API接口（如：组织机构API、人员基本信息API）供其他系统调用，接口文档清晰完备。</w:t>
                  </w:r>
                </w:p>
              </w:tc>
            </w:tr>
            <w:tr>
              <w:trPr>
                <w:trHeight w:val="270" w:hRule="atLeast"/>
              </w:trPr>
              <w:tc>
                <w:tcPr>
                  <w:tcW w:w="5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开放平台</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API全生命周期管理</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API网关：</w:t>
                  </w:r>
                  <w:r>
                    <w:rPr>
                      <w:rFonts w:hint="eastAsia" w:ascii="宋体" w:hAnsi="宋体" w:eastAsia="宋体" w:cs="宋体"/>
                      <w:color w:val="auto"/>
                      <w:kern w:val="0"/>
                      <w:sz w:val="21"/>
                      <w:szCs w:val="21"/>
                    </w:rPr>
                    <w:t>所有对外接口必须通过API网关暴露，验证网关的路由、负载均衡功能正常。</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API文档：</w:t>
                  </w:r>
                  <w:r>
                    <w:rPr>
                      <w:rFonts w:hint="eastAsia" w:ascii="宋体" w:hAnsi="宋体" w:eastAsia="宋体" w:cs="宋体"/>
                      <w:color w:val="auto"/>
                      <w:kern w:val="0"/>
                      <w:sz w:val="21"/>
                      <w:szCs w:val="21"/>
                    </w:rPr>
                    <w:t>所有接口必须有基于Swagger/OpenAPI 3.0的自动化文档，文档与接口实际表现一致。</w:t>
                  </w:r>
                </w:p>
              </w:tc>
            </w:tr>
            <w:tr>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安全授权：</w:t>
                  </w:r>
                  <w:r>
                    <w:rPr>
                      <w:rFonts w:hint="eastAsia" w:ascii="宋体" w:hAnsi="宋体" w:eastAsia="宋体" w:cs="宋体"/>
                      <w:color w:val="auto"/>
                      <w:kern w:val="0"/>
                      <w:sz w:val="21"/>
                      <w:szCs w:val="21"/>
                    </w:rPr>
                    <w:t>提供完整的应用(AppKey/Secret)管理机制，能对调用方进行认证、授权和访问次数限流。</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bCs/>
                      <w:color w:val="auto"/>
                      <w:kern w:val="0"/>
                      <w:sz w:val="21"/>
                      <w:szCs w:val="21"/>
                    </w:rPr>
                    <w:t>监控日志：</w:t>
                  </w:r>
                  <w:r>
                    <w:rPr>
                      <w:rFonts w:hint="eastAsia" w:ascii="宋体" w:hAnsi="宋体" w:eastAsia="宋体" w:cs="宋体"/>
                      <w:color w:val="auto"/>
                      <w:kern w:val="0"/>
                      <w:sz w:val="21"/>
                      <w:szCs w:val="21"/>
                    </w:rPr>
                    <w:t>可在管理后台查看所有API的实时调用情况、成功率、响应时间和详细日志，便于审计和排查问题。</w:t>
                  </w:r>
                </w:p>
              </w:tc>
            </w:tr>
            <w:tr>
              <w:tblPrEx>
                <w:tblCellMar>
                  <w:top w:w="0" w:type="dxa"/>
                  <w:left w:w="0" w:type="dxa"/>
                  <w:bottom w:w="0" w:type="dxa"/>
                  <w:right w:w="1701" w:type="dxa"/>
                </w:tblCellMar>
              </w:tblPrEx>
              <w:trPr>
                <w:trHeight w:val="480" w:hRule="atLeast"/>
              </w:trPr>
              <w:tc>
                <w:tcPr>
                  <w:tcW w:w="59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三大引擎</w:t>
                  </w: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流程引擎</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模型设计：</w:t>
                  </w:r>
                  <w:r>
                    <w:rPr>
                      <w:rFonts w:hint="eastAsia" w:ascii="宋体" w:hAnsi="宋体" w:eastAsia="宋体" w:cs="宋体"/>
                      <w:color w:val="auto"/>
                      <w:kern w:val="0"/>
                      <w:sz w:val="21"/>
                      <w:szCs w:val="21"/>
                    </w:rPr>
                    <w:t>使用可视化流程设计器，成功配置至少5个实际业务流程（如：请假审批、用品申购、维修上报）。</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流程执行：</w:t>
                  </w:r>
                  <w:r>
                    <w:rPr>
                      <w:rFonts w:hint="eastAsia" w:ascii="宋体" w:hAnsi="宋体" w:eastAsia="宋体" w:cs="宋体"/>
                      <w:color w:val="auto"/>
                      <w:kern w:val="0"/>
                      <w:sz w:val="21"/>
                      <w:szCs w:val="21"/>
                    </w:rPr>
                    <w:t>发起的流程能按预设节点自动流转，并能通过站内信、短信等方式通知审批人。</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处理能力：</w:t>
                  </w:r>
                  <w:r>
                    <w:rPr>
                      <w:rFonts w:hint="eastAsia" w:ascii="宋体" w:hAnsi="宋体" w:eastAsia="宋体" w:cs="宋体"/>
                      <w:color w:val="auto"/>
                      <w:kern w:val="0"/>
                      <w:sz w:val="21"/>
                      <w:szCs w:val="21"/>
                    </w:rPr>
                    <w:t>支持审批、驳回、转交、会签、抄送等常用操作。能够查看流程的实时状态和历史记录。</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工具引擎</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组件可用：</w:t>
                  </w:r>
                  <w:r>
                    <w:rPr>
                      <w:rFonts w:hint="eastAsia" w:ascii="宋体" w:hAnsi="宋体" w:eastAsia="宋体" w:cs="宋体"/>
                      <w:color w:val="auto"/>
                      <w:kern w:val="0"/>
                      <w:sz w:val="21"/>
                      <w:szCs w:val="21"/>
                    </w:rPr>
                    <w:t>系统提供丰富的表单设计组件（如输入框、下拉菜单、日期选择、附件上传），可用于快速构建业务流程表单。</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报表工具：</w:t>
                  </w:r>
                  <w:r>
                    <w:rPr>
                      <w:rFonts w:hint="eastAsia" w:ascii="宋体" w:hAnsi="宋体" w:eastAsia="宋体" w:cs="宋体"/>
                      <w:color w:val="auto"/>
                      <w:kern w:val="0"/>
                      <w:sz w:val="21"/>
                      <w:szCs w:val="21"/>
                    </w:rPr>
                    <w:t>提供简易的拖拽式报表设计工具，管理员可基于数据中心的数据，自定义创建统计图表（如柱状图、饼图、表格）。</w:t>
                  </w:r>
                </w:p>
              </w:tc>
            </w:tr>
            <w:tr>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p>
              </w:tc>
              <w:tc>
                <w:tcPr>
                  <w:tcW w:w="172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right="-1680" w:rightChars="-800"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资源引擎</w:t>
                  </w: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统一存储：</w:t>
                  </w:r>
                  <w:r>
                    <w:rPr>
                      <w:rFonts w:hint="eastAsia" w:ascii="宋体" w:hAnsi="宋体" w:eastAsia="宋体" w:cs="宋体"/>
                      <w:color w:val="auto"/>
                      <w:kern w:val="0"/>
                      <w:sz w:val="21"/>
                      <w:szCs w:val="21"/>
                    </w:rPr>
                    <w:t>提供统一的文件服务器或对象存储服务，所有系统产生的附件、文档均存储于此。</w:t>
                  </w:r>
                </w:p>
              </w:tc>
            </w:tr>
            <w:tr>
              <w:tblPrEx>
                <w:tblCellMar>
                  <w:top w:w="0" w:type="dxa"/>
                  <w:left w:w="0" w:type="dxa"/>
                  <w:bottom w:w="0" w:type="dxa"/>
                  <w:right w:w="1701" w:type="dxa"/>
                </w:tblCellMar>
              </w:tblPrEx>
              <w:trPr>
                <w:trHeight w:val="480" w:hRule="atLeast"/>
              </w:trPr>
              <w:tc>
                <w:tcPr>
                  <w:tcW w:w="59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721"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5062" w:type="dxa"/>
                  <w:tcBorders>
                    <w:top w:val="nil"/>
                    <w:left w:val="nil"/>
                    <w:bottom w:val="single" w:color="auto" w:sz="4" w:space="0"/>
                    <w:right w:val="single" w:color="auto" w:sz="4" w:space="0"/>
                  </w:tcBorders>
                  <w:shd w:val="clear" w:color="000000" w:fill="FFFFFF"/>
                  <w:vAlign w:val="center"/>
                </w:tcPr>
                <w:p>
                  <w:pPr>
                    <w:widowControl/>
                    <w:spacing w:line="240" w:lineRule="auto"/>
                    <w:ind w:right="-1552" w:rightChars="-739"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权限控制：</w:t>
                  </w:r>
                  <w:r>
                    <w:rPr>
                      <w:rFonts w:hint="eastAsia" w:ascii="宋体" w:hAnsi="宋体" w:eastAsia="宋体" w:cs="宋体"/>
                      <w:color w:val="auto"/>
                      <w:kern w:val="0"/>
                      <w:sz w:val="21"/>
                      <w:szCs w:val="21"/>
                    </w:rPr>
                    <w:t>上传的文件支持设置访问权限（如公开、私有、指定人可见），确保文件安全。</w:t>
                  </w:r>
                </w:p>
              </w:tc>
            </w:tr>
          </w:tbl>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 教务管理模块验收标准</w:t>
            </w:r>
          </w:p>
          <w:tbl>
            <w:tblPr>
              <w:tblStyle w:val="49"/>
              <w:tblW w:w="8564" w:type="dxa"/>
              <w:tblInd w:w="0" w:type="dxa"/>
              <w:tblLayout w:type="fixed"/>
              <w:tblCellMar>
                <w:top w:w="0" w:type="dxa"/>
                <w:left w:w="108" w:type="dxa"/>
                <w:bottom w:w="0" w:type="dxa"/>
                <w:right w:w="108" w:type="dxa"/>
              </w:tblCellMar>
            </w:tblPr>
            <w:tblGrid>
              <w:gridCol w:w="1080"/>
              <w:gridCol w:w="1080"/>
              <w:gridCol w:w="6404"/>
            </w:tblGrid>
            <w:tr>
              <w:trPr>
                <w:trHeight w:val="330" w:hRule="atLeast"/>
              </w:trPr>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功能模块</w:t>
                  </w:r>
                </w:p>
              </w:tc>
              <w:tc>
                <w:tcPr>
                  <w:tcW w:w="108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验收项</w:t>
                  </w:r>
                </w:p>
              </w:tc>
              <w:tc>
                <w:tcPr>
                  <w:tcW w:w="640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具体验收标准与方法</w:t>
                  </w:r>
                </w:p>
              </w:tc>
            </w:tr>
            <w:tr>
              <w:tblPrEx>
                <w:tblCellMar>
                  <w:top w:w="0" w:type="dxa"/>
                  <w:left w:w="108" w:type="dxa"/>
                  <w:bottom w:w="0" w:type="dxa"/>
                  <w:right w:w="108" w:type="dxa"/>
                </w:tblCellMar>
              </w:tblPrEx>
              <w:trPr>
                <w:trHeight w:val="1005" w:hRule="atLeast"/>
              </w:trPr>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spacing w:line="240" w:lineRule="auto"/>
                    <w:ind w:firstLine="0" w:firstLineChars="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核心功能</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信息查询</w:t>
                  </w: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教师端：</w:t>
                  </w:r>
                  <w:r>
                    <w:rPr>
                      <w:rFonts w:hint="eastAsia" w:ascii="宋体" w:hAnsi="宋体" w:eastAsia="宋体" w:cs="宋体"/>
                      <w:color w:val="auto"/>
                      <w:kern w:val="0"/>
                      <w:sz w:val="21"/>
                      <w:szCs w:val="21"/>
                    </w:rPr>
                    <w:t>教师成功通过门户查询本人的</w:t>
                  </w:r>
                  <w:r>
                    <w:rPr>
                      <w:rFonts w:hint="eastAsia" w:ascii="宋体" w:hAnsi="宋体" w:eastAsia="宋体" w:cs="宋体"/>
                      <w:bCs/>
                      <w:color w:val="auto"/>
                      <w:kern w:val="0"/>
                      <w:sz w:val="21"/>
                      <w:szCs w:val="21"/>
                    </w:rPr>
                    <w:t>课表</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教学班级花名册</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成绩录入入口</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考试安排</w:t>
                  </w:r>
                  <w:r>
                    <w:rPr>
                      <w:rFonts w:hint="eastAsia" w:ascii="宋体" w:hAnsi="宋体" w:eastAsia="宋体" w:cs="宋体"/>
                      <w:color w:val="auto"/>
                      <w:kern w:val="0"/>
                      <w:sz w:val="21"/>
                      <w:szCs w:val="21"/>
                    </w:rPr>
                    <w:t>。</w:t>
                  </w:r>
                </w:p>
              </w:tc>
            </w:tr>
            <w:tr>
              <w:trPr>
                <w:trHeight w:val="617"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学生端：</w:t>
                  </w:r>
                  <w:r>
                    <w:rPr>
                      <w:rFonts w:hint="eastAsia" w:ascii="宋体" w:hAnsi="宋体" w:eastAsia="宋体" w:cs="宋体"/>
                      <w:color w:val="auto"/>
                      <w:kern w:val="0"/>
                      <w:sz w:val="21"/>
                      <w:szCs w:val="21"/>
                    </w:rPr>
                    <w:t>学生成功通过门户查询本人的</w:t>
                  </w:r>
                  <w:r>
                    <w:rPr>
                      <w:rFonts w:hint="eastAsia" w:ascii="宋体" w:hAnsi="宋体" w:eastAsia="宋体" w:cs="宋体"/>
                      <w:bCs/>
                      <w:color w:val="auto"/>
                      <w:kern w:val="0"/>
                      <w:sz w:val="21"/>
                      <w:szCs w:val="21"/>
                    </w:rPr>
                    <w:t>课表</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实时成绩</w:t>
                  </w:r>
                  <w:r>
                    <w:rPr>
                      <w:rFonts w:hint="eastAsia" w:ascii="宋体" w:hAnsi="宋体" w:eastAsia="宋体" w:cs="宋体"/>
                      <w:color w:val="auto"/>
                      <w:kern w:val="0"/>
                      <w:sz w:val="21"/>
                      <w:szCs w:val="21"/>
                    </w:rPr>
                    <w:t>（图形化展示趋势）、</w:t>
                  </w:r>
                  <w:r>
                    <w:rPr>
                      <w:rFonts w:hint="eastAsia" w:ascii="宋体" w:hAnsi="宋体" w:eastAsia="宋体" w:cs="宋体"/>
                      <w:bCs/>
                      <w:color w:val="auto"/>
                      <w:kern w:val="0"/>
                      <w:sz w:val="21"/>
                      <w:szCs w:val="21"/>
                    </w:rPr>
                    <w:t>学分获得情况</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考试地点和时间</w:t>
                  </w:r>
                  <w:r>
                    <w:rPr>
                      <w:rFonts w:hint="eastAsia" w:ascii="宋体" w:hAnsi="宋体" w:eastAsia="宋体" w:cs="宋体"/>
                      <w:color w:val="auto"/>
                      <w:kern w:val="0"/>
                      <w:sz w:val="21"/>
                      <w:szCs w:val="21"/>
                    </w:rPr>
                    <w:t>。</w:t>
                  </w:r>
                </w:p>
              </w:tc>
            </w:tr>
            <w:tr>
              <w:tblPrEx>
                <w:tblCellMar>
                  <w:top w:w="0" w:type="dxa"/>
                  <w:left w:w="108" w:type="dxa"/>
                  <w:bottom w:w="0" w:type="dxa"/>
                  <w:right w:w="108" w:type="dxa"/>
                </w:tblCellMar>
              </w:tblPrEx>
              <w:trPr>
                <w:trHeight w:val="712"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（关键点：</w:t>
                  </w:r>
                  <w:r>
                    <w:rPr>
                      <w:rFonts w:hint="eastAsia" w:ascii="宋体" w:hAnsi="宋体" w:eastAsia="宋体" w:cs="宋体"/>
                      <w:color w:val="auto"/>
                      <w:kern w:val="0"/>
                      <w:sz w:val="21"/>
                      <w:szCs w:val="21"/>
                    </w:rPr>
                    <w:t>这些功能</w:t>
                  </w:r>
                  <w:r>
                    <w:rPr>
                      <w:rFonts w:hint="eastAsia" w:ascii="宋体" w:hAnsi="宋体" w:eastAsia="宋体" w:cs="宋体"/>
                      <w:bCs/>
                      <w:color w:val="auto"/>
                      <w:kern w:val="0"/>
                      <w:sz w:val="21"/>
                      <w:szCs w:val="21"/>
                    </w:rPr>
                    <w:t>必须</w:t>
                  </w:r>
                  <w:r>
                    <w:rPr>
                      <w:rFonts w:hint="eastAsia" w:ascii="宋体" w:hAnsi="宋体" w:eastAsia="宋体" w:cs="宋体"/>
                      <w:color w:val="auto"/>
                      <w:kern w:val="0"/>
                      <w:sz w:val="21"/>
                      <w:szCs w:val="21"/>
                    </w:rPr>
                    <w:t>是通过调用</w:t>
                  </w:r>
                  <w:r>
                    <w:rPr>
                      <w:rFonts w:hint="eastAsia" w:ascii="宋体" w:hAnsi="宋体" w:eastAsia="宋体" w:cs="宋体"/>
                      <w:bCs/>
                      <w:color w:val="auto"/>
                      <w:kern w:val="0"/>
                      <w:sz w:val="21"/>
                      <w:szCs w:val="21"/>
                    </w:rPr>
                    <w:t>开放平台</w:t>
                  </w:r>
                  <w:r>
                    <w:rPr>
                      <w:rFonts w:hint="eastAsia" w:ascii="宋体" w:hAnsi="宋体" w:eastAsia="宋体" w:cs="宋体"/>
                      <w:color w:val="auto"/>
                      <w:kern w:val="0"/>
                      <w:sz w:val="21"/>
                      <w:szCs w:val="21"/>
                    </w:rPr>
                    <w:t>提供的API实现，而非直接对接数据库。需验收接口调用的效率和数据准确性）</w:t>
                  </w:r>
                </w:p>
              </w:tc>
            </w:tr>
            <w:tr>
              <w:tblPrEx>
                <w:tblCellMar>
                  <w:top w:w="0" w:type="dxa"/>
                  <w:left w:w="108" w:type="dxa"/>
                  <w:bottom w:w="0" w:type="dxa"/>
                  <w:right w:w="108" w:type="dxa"/>
                </w:tblCellMar>
              </w:tblPrEx>
              <w:trPr>
                <w:trHeight w:val="102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统计报表</w:t>
                  </w: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权限隔离：</w:t>
                  </w:r>
                  <w:r>
                    <w:rPr>
                      <w:rFonts w:hint="eastAsia" w:ascii="宋体" w:hAnsi="宋体" w:eastAsia="宋体" w:cs="宋体"/>
                      <w:color w:val="auto"/>
                      <w:kern w:val="0"/>
                      <w:sz w:val="21"/>
                      <w:szCs w:val="21"/>
                    </w:rPr>
                    <w:t>教务处管理员可统计</w:t>
                  </w:r>
                  <w:r>
                    <w:rPr>
                      <w:rFonts w:hint="eastAsia" w:ascii="宋体" w:hAnsi="宋体" w:eastAsia="宋体" w:cs="宋体"/>
                      <w:bCs/>
                      <w:color w:val="auto"/>
                      <w:kern w:val="0"/>
                      <w:sz w:val="21"/>
                      <w:szCs w:val="21"/>
                    </w:rPr>
                    <w:t>全校</w:t>
                  </w:r>
                  <w:r>
                    <w:rPr>
                      <w:rFonts w:hint="eastAsia" w:ascii="宋体" w:hAnsi="宋体" w:eastAsia="宋体" w:cs="宋体"/>
                      <w:color w:val="auto"/>
                      <w:kern w:val="0"/>
                      <w:sz w:val="21"/>
                      <w:szCs w:val="21"/>
                    </w:rPr>
                    <w:t>班级成绩分布、教师工作量；专业部主任只能查看</w:t>
                  </w:r>
                  <w:r>
                    <w:rPr>
                      <w:rFonts w:hint="eastAsia" w:ascii="宋体" w:hAnsi="宋体" w:eastAsia="宋体" w:cs="宋体"/>
                      <w:bCs/>
                      <w:color w:val="auto"/>
                      <w:kern w:val="0"/>
                      <w:sz w:val="21"/>
                      <w:szCs w:val="21"/>
                    </w:rPr>
                    <w:t>本院系</w:t>
                  </w:r>
                  <w:r>
                    <w:rPr>
                      <w:rFonts w:hint="eastAsia" w:ascii="宋体" w:hAnsi="宋体" w:eastAsia="宋体" w:cs="宋体"/>
                      <w:color w:val="auto"/>
                      <w:kern w:val="0"/>
                      <w:sz w:val="21"/>
                      <w:szCs w:val="21"/>
                    </w:rPr>
                    <w:t>的数据；教师只能查看</w:t>
                  </w:r>
                  <w:r>
                    <w:rPr>
                      <w:rFonts w:hint="eastAsia" w:ascii="宋体" w:hAnsi="宋体" w:eastAsia="宋体" w:cs="宋体"/>
                      <w:bCs/>
                      <w:color w:val="auto"/>
                      <w:kern w:val="0"/>
                      <w:sz w:val="21"/>
                      <w:szCs w:val="21"/>
                    </w:rPr>
                    <w:t>本人所授课程</w:t>
                  </w:r>
                  <w:r>
                    <w:rPr>
                      <w:rFonts w:hint="eastAsia" w:ascii="宋体" w:hAnsi="宋体" w:eastAsia="宋体" w:cs="宋体"/>
                      <w:color w:val="auto"/>
                      <w:kern w:val="0"/>
                      <w:sz w:val="21"/>
                      <w:szCs w:val="21"/>
                    </w:rPr>
                    <w:t>的数据。</w:t>
                  </w:r>
                </w:p>
              </w:tc>
            </w:tr>
            <w:tr>
              <w:tblPrEx>
                <w:tblCellMar>
                  <w:top w:w="0" w:type="dxa"/>
                  <w:left w:w="108" w:type="dxa"/>
                  <w:bottom w:w="0" w:type="dxa"/>
                  <w:right w:w="108" w:type="dxa"/>
                </w:tblCellMar>
              </w:tblPrEx>
              <w:trPr>
                <w:trHeight w:val="78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数据准确：</w:t>
                  </w:r>
                  <w:r>
                    <w:rPr>
                      <w:rFonts w:hint="eastAsia" w:ascii="宋体" w:hAnsi="宋体" w:eastAsia="宋体" w:cs="宋体"/>
                      <w:color w:val="auto"/>
                      <w:kern w:val="0"/>
                      <w:sz w:val="21"/>
                      <w:szCs w:val="21"/>
                    </w:rPr>
                    <w:t>统计报表中的数据与教务系统源头数据保持100%一致。</w:t>
                  </w:r>
                </w:p>
              </w:tc>
            </w:tr>
            <w:tr>
              <w:trPr>
                <w:trHeight w:val="795" w:hRule="atLeast"/>
              </w:trPr>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集成验收</w:t>
                  </w:r>
                </w:p>
              </w:tc>
              <w:tc>
                <w:tcPr>
                  <w:tcW w:w="108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门户集成度</w:t>
                  </w: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Cs/>
                      <w:color w:val="auto"/>
                      <w:kern w:val="0"/>
                      <w:sz w:val="21"/>
                      <w:szCs w:val="21"/>
                    </w:rPr>
                    <w:t>单点登录：</w:t>
                  </w:r>
                  <w:r>
                    <w:rPr>
                      <w:rFonts w:hint="eastAsia" w:ascii="宋体" w:hAnsi="宋体" w:eastAsia="宋体" w:cs="宋体"/>
                      <w:color w:val="auto"/>
                      <w:kern w:val="0"/>
                      <w:sz w:val="21"/>
                      <w:szCs w:val="21"/>
                    </w:rPr>
                    <w:t>从门户点击任一教务查询应用，无需再次输入账号密码。</w:t>
                  </w:r>
                </w:p>
              </w:tc>
            </w:tr>
            <w:tr>
              <w:tblPrEx>
                <w:tblCellMar>
                  <w:top w:w="0" w:type="dxa"/>
                  <w:left w:w="108" w:type="dxa"/>
                  <w:bottom w:w="0" w:type="dxa"/>
                  <w:right w:w="108" w:type="dxa"/>
                </w:tblCellMar>
              </w:tblPrEx>
              <w:trPr>
                <w:trHeight w:val="915"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kern w:val="0"/>
                      <w:sz w:val="21"/>
                      <w:szCs w:val="21"/>
                    </w:rPr>
                    <w:t>界面融合：</w:t>
                  </w:r>
                  <w:r>
                    <w:rPr>
                      <w:rFonts w:hint="eastAsia" w:ascii="宋体" w:hAnsi="宋体" w:eastAsia="宋体" w:cs="宋体"/>
                      <w:color w:val="auto"/>
                      <w:kern w:val="0"/>
                      <w:sz w:val="21"/>
                      <w:szCs w:val="21"/>
                    </w:rPr>
                    <w:t>教务查询的应用界面风格与门户整体风格一致，无突兀感，仿佛是门户原生功能。</w:t>
                  </w:r>
                </w:p>
              </w:tc>
            </w:tr>
            <w:tr>
              <w:trPr>
                <w:trHeight w:val="78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108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bCs/>
                      <w:color w:val="auto"/>
                      <w:kern w:val="0"/>
                      <w:sz w:val="21"/>
                      <w:szCs w:val="21"/>
                    </w:rPr>
                  </w:pPr>
                </w:p>
              </w:tc>
              <w:tc>
                <w:tcPr>
                  <w:tcW w:w="6404"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bCs/>
                      <w:color w:val="auto"/>
                      <w:kern w:val="0"/>
                      <w:sz w:val="21"/>
                      <w:szCs w:val="21"/>
                    </w:rPr>
                    <w:t>待办集成：</w:t>
                  </w:r>
                  <w:r>
                    <w:rPr>
                      <w:rFonts w:hint="eastAsia" w:ascii="宋体" w:hAnsi="宋体" w:eastAsia="宋体" w:cs="宋体"/>
                      <w:color w:val="auto"/>
                      <w:kern w:val="0"/>
                      <w:sz w:val="21"/>
                      <w:szCs w:val="21"/>
                    </w:rPr>
                    <w:t>教师的成绩录入待办、学生的评教待办等，能准确显示在门户首页的待办事项组件中。</w:t>
                  </w:r>
                </w:p>
              </w:tc>
            </w:tr>
          </w:tbl>
          <w:p>
            <w:pPr>
              <w:pStyle w:val="61"/>
              <w:spacing w:line="240" w:lineRule="auto"/>
              <w:ind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文档交付验收标准</w:t>
            </w:r>
          </w:p>
          <w:p>
            <w:pPr>
              <w:pStyle w:val="61"/>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需交付以下文档，且文档内容与系统实际运行情况完全一致：</w:t>
            </w:r>
          </w:p>
          <w:p>
            <w:pPr>
              <w:pStyle w:val="61"/>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《项目总体设计方案》</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《系统管理员操作手册》</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《用户使用手册》</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《API接口文档》（至关重要，必须包含所有接口的地址、参数、示例、错误码）</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《系统部署架构图及运维手册》</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《数据字典与数据库设计说明书》</w:t>
            </w:r>
          </w:p>
          <w:p>
            <w:pPr>
              <w:pStyle w:val="61"/>
              <w:spacing w:line="24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《测试报告》（包括功能、性能、安全测试）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pPr>
            <w:r>
              <w:rPr>
                <w:rFonts w:hint="eastAsia" w:ascii="宋体" w:hAnsi="宋体"/>
                <w:bCs/>
              </w:rPr>
              <w:t>核心产品</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cs="宋体"/>
                <w:szCs w:val="21"/>
              </w:rPr>
            </w:pPr>
            <w:r>
              <w:rPr>
                <w:rFonts w:hint="eastAsia" w:ascii="宋体" w:hAnsi="宋体" w:cs="宋体"/>
                <w:b/>
                <w:bCs/>
                <w:kern w:val="0"/>
                <w:szCs w:val="21"/>
                <w:lang w:bidi="ar"/>
              </w:rPr>
              <w:t xml:space="preserve">本分标 </w:t>
            </w:r>
            <w:r>
              <w:rPr>
                <w:rFonts w:hint="eastAsia" w:ascii="宋体" w:hAnsi="宋体" w:cs="宋体"/>
                <w:b/>
                <w:bCs/>
                <w:kern w:val="0"/>
                <w:szCs w:val="21"/>
                <w:lang w:eastAsia="zh-CN" w:bidi="ar"/>
              </w:rPr>
              <w:t>“</w:t>
            </w:r>
            <w:r>
              <w:rPr>
                <w:rFonts w:hint="eastAsia" w:ascii="宋体" w:hAnsi="宋体"/>
                <w:b/>
                <w:bCs/>
                <w:szCs w:val="21"/>
              </w:rPr>
              <w:t>校园智慧办公系统</w:t>
            </w:r>
            <w:r>
              <w:rPr>
                <w:rFonts w:hint="eastAsia" w:ascii="宋体" w:hAnsi="宋体" w:cs="宋体"/>
                <w:b/>
                <w:bCs/>
                <w:kern w:val="0"/>
                <w:szCs w:val="21"/>
                <w:lang w:bidi="ar"/>
              </w:rPr>
              <w:t>”为核心产品。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cs="宋体"/>
                <w:color w:val="auto"/>
                <w:spacing w:val="0"/>
                <w:kern w:val="2"/>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
              </w:rPr>
              <w:t>现场踏勘</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为保证报价符合采购需求，投标人应在采购人组织下进行实地勘查了解现场实际情况。供应商的现场踏勘实行自愿原则，费用自理。现场勘查须携带的资料：供应商代表持获取采购文件回执函、单位介绍信原件或授权委托书、个人身份证原件。</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踏勘时间：202</w:t>
            </w:r>
            <w:r>
              <w:rPr>
                <w:rFonts w:hint="eastAsia" w:ascii="宋体" w:hAnsi="宋体" w:cs="宋体"/>
                <w:color w:val="auto"/>
                <w:spacing w:val="0"/>
                <w:kern w:val="2"/>
                <w:sz w:val="22"/>
                <w:szCs w:val="24"/>
                <w:highlight w:val="none"/>
                <w:lang w:val="en-US" w:eastAsia="zh-CN" w:bidi="ar-SA"/>
              </w:rPr>
              <w:t>5</w:t>
            </w:r>
            <w:r>
              <w:rPr>
                <w:rFonts w:hint="eastAsia" w:ascii="宋体" w:hAnsi="宋体" w:eastAsia="宋体" w:cs="宋体"/>
                <w:color w:val="auto"/>
                <w:spacing w:val="0"/>
                <w:kern w:val="2"/>
                <w:sz w:val="22"/>
                <w:szCs w:val="24"/>
                <w:highlight w:val="none"/>
                <w:lang w:val="en-US" w:eastAsia="zh-CN" w:bidi="ar-SA"/>
              </w:rPr>
              <w:t>年</w:t>
            </w:r>
            <w:r>
              <w:rPr>
                <w:rFonts w:hint="eastAsia" w:ascii="宋体" w:hAnsi="宋体" w:cs="宋体"/>
                <w:color w:val="auto"/>
                <w:spacing w:val="0"/>
                <w:kern w:val="2"/>
                <w:sz w:val="22"/>
                <w:szCs w:val="24"/>
                <w:highlight w:val="none"/>
                <w:lang w:val="en-US" w:eastAsia="zh-CN" w:bidi="ar-SA"/>
              </w:rPr>
              <w:t>11</w:t>
            </w:r>
            <w:r>
              <w:rPr>
                <w:rFonts w:hint="eastAsia" w:ascii="宋体" w:hAnsi="宋体" w:eastAsia="宋体" w:cs="宋体"/>
                <w:color w:val="auto"/>
                <w:spacing w:val="0"/>
                <w:kern w:val="2"/>
                <w:sz w:val="22"/>
                <w:szCs w:val="24"/>
                <w:highlight w:val="none"/>
                <w:lang w:val="en-US" w:eastAsia="zh-CN" w:bidi="ar-SA"/>
              </w:rPr>
              <w:t>月</w:t>
            </w:r>
            <w:r>
              <w:rPr>
                <w:rFonts w:hint="eastAsia" w:ascii="宋体" w:hAnsi="宋体" w:cs="宋体"/>
                <w:color w:val="auto"/>
                <w:spacing w:val="0"/>
                <w:kern w:val="2"/>
                <w:sz w:val="22"/>
                <w:szCs w:val="24"/>
                <w:highlight w:val="none"/>
                <w:lang w:val="en-US" w:eastAsia="zh-CN" w:bidi="ar-SA"/>
              </w:rPr>
              <w:t>12</w:t>
            </w:r>
            <w:r>
              <w:rPr>
                <w:rFonts w:hint="eastAsia" w:ascii="宋体" w:hAnsi="宋体" w:eastAsia="宋体" w:cs="宋体"/>
                <w:color w:val="auto"/>
                <w:spacing w:val="0"/>
                <w:kern w:val="2"/>
                <w:sz w:val="22"/>
                <w:szCs w:val="24"/>
                <w:highlight w:val="none"/>
                <w:lang w:val="en-US" w:eastAsia="zh-CN" w:bidi="ar-SA"/>
              </w:rPr>
              <w:t>日上午10:</w:t>
            </w:r>
            <w:r>
              <w:rPr>
                <w:rFonts w:hint="eastAsia" w:ascii="宋体" w:hAnsi="宋体" w:cs="宋体"/>
                <w:color w:val="auto"/>
                <w:spacing w:val="0"/>
                <w:kern w:val="2"/>
                <w:sz w:val="22"/>
                <w:szCs w:val="24"/>
                <w:highlight w:val="none"/>
                <w:lang w:val="en-US" w:eastAsia="zh-CN" w:bidi="ar-SA"/>
              </w:rPr>
              <w:t>3</w:t>
            </w:r>
            <w:r>
              <w:rPr>
                <w:rFonts w:hint="eastAsia" w:ascii="宋体" w:hAnsi="宋体" w:eastAsia="宋体" w:cs="宋体"/>
                <w:color w:val="auto"/>
                <w:spacing w:val="0"/>
                <w:kern w:val="2"/>
                <w:sz w:val="22"/>
                <w:szCs w:val="24"/>
                <w:highlight w:val="none"/>
                <w:lang w:val="en-US" w:eastAsia="zh-CN" w:bidi="ar-SA"/>
              </w:rPr>
              <w:t>0分（逾期不候）</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集合地点：浦北县县城金浦新区科园路1号  </w:t>
            </w:r>
          </w:p>
          <w:p>
            <w:pPr>
              <w:pStyle w:val="20"/>
              <w:ind w:firstLine="440" w:firstLineChars="200"/>
              <w:rPr>
                <w:rFonts w:hint="eastAsia" w:ascii="宋体" w:hAnsi="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现场踏勘联系人及电话：</w:t>
            </w:r>
            <w:r>
              <w:rPr>
                <w:rFonts w:hint="eastAsia" w:ascii="宋体" w:hAnsi="宋体" w:cs="宋体"/>
                <w:color w:val="auto"/>
                <w:spacing w:val="0"/>
                <w:kern w:val="2"/>
                <w:sz w:val="22"/>
                <w:szCs w:val="24"/>
                <w:highlight w:val="none"/>
                <w:lang w:val="en-US" w:eastAsia="zh-CN" w:bidi="ar-SA"/>
              </w:rPr>
              <w:t>谢老师</w:t>
            </w:r>
            <w:r>
              <w:rPr>
                <w:rFonts w:hint="eastAsia" w:ascii="宋体" w:hAnsi="宋体" w:eastAsia="宋体" w:cs="宋体"/>
                <w:color w:val="auto"/>
                <w:spacing w:val="0"/>
                <w:kern w:val="2"/>
                <w:sz w:val="22"/>
                <w:szCs w:val="24"/>
                <w:highlight w:val="none"/>
                <w:lang w:val="en-US" w:eastAsia="zh-CN" w:bidi="ar-SA"/>
              </w:rPr>
              <w:t xml:space="preserve">，18778872765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0" w:hRule="atLeast"/>
        </w:trPr>
        <w:tc>
          <w:tcPr>
            <w:tcW w:w="655"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top"/>
          </w:tcPr>
          <w:p>
            <w:pPr>
              <w:spacing w:line="400" w:lineRule="exact"/>
              <w:ind w:left="0" w:leftChars="0" w:firstLine="0" w:firstLineChars="0"/>
              <w:jc w:val="left"/>
              <w:rPr>
                <w:rFonts w:hint="eastAsia" w:ascii="宋体" w:hAnsi="宋体" w:cs="宋体"/>
                <w:b w:val="0"/>
                <w:bCs w:val="0"/>
                <w:color w:val="auto"/>
                <w:kern w:val="0"/>
                <w:sz w:val="21"/>
                <w:szCs w:val="21"/>
                <w:highlight w:val="none"/>
                <w:lang w:val="en-US" w:eastAsia="zh-CN" w:bidi="ar"/>
              </w:rPr>
            </w:pPr>
            <w:r>
              <w:rPr>
                <w:rFonts w:hint="eastAsia" w:ascii="宋体" w:hAnsi="宋体" w:cs="宋体"/>
                <w:color w:val="auto"/>
                <w:spacing w:val="0"/>
                <w:kern w:val="2"/>
                <w:sz w:val="21"/>
                <w:szCs w:val="21"/>
                <w:highlight w:val="none"/>
                <w:lang w:val="en-US" w:eastAsia="zh-CN" w:bidi="ar-SA"/>
              </w:rPr>
              <w:t>其他要求</w:t>
            </w:r>
          </w:p>
        </w:tc>
        <w:tc>
          <w:tcPr>
            <w:tcW w:w="8702" w:type="dxa"/>
            <w:gridSpan w:val="3"/>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400" w:lineRule="exact"/>
              <w:ind w:firstLine="42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cs="宋体"/>
                <w:color w:val="auto"/>
                <w:spacing w:val="0"/>
                <w:kern w:val="2"/>
                <w:sz w:val="21"/>
                <w:szCs w:val="21"/>
                <w:highlight w:val="none"/>
                <w:lang w:val="en-US" w:eastAsia="zh-CN" w:bidi="ar-SA"/>
              </w:rPr>
              <w:t>投标人在政府采购活动中提供任何虚假材料，以及提供的产品技术参数不如实说明，报监管部门查处。</w:t>
            </w:r>
          </w:p>
        </w:tc>
      </w:tr>
    </w:tbl>
    <w:p>
      <w:pPr>
        <w:pStyle w:val="20"/>
        <w:ind w:firstLine="0" w:firstLineChars="0"/>
      </w:pPr>
    </w:p>
    <w:p>
      <w:pPr>
        <w:ind w:firstLine="420"/>
        <w:rPr>
          <w:rFonts w:hint="eastAsia" w:ascii="宋体" w:hAnsi="宋体"/>
          <w:b/>
          <w:bCs/>
          <w:szCs w:val="21"/>
        </w:rPr>
      </w:pPr>
      <w:r>
        <w:br w:type="page"/>
      </w:r>
      <w:r>
        <w:rPr>
          <w:rFonts w:hint="eastAsia" w:ascii="宋体" w:hAnsi="宋体"/>
          <w:b/>
          <w:bCs/>
          <w:szCs w:val="21"/>
        </w:rPr>
        <w:t>标项</w:t>
      </w:r>
      <w:r>
        <w:rPr>
          <w:rFonts w:hint="eastAsia" w:ascii="宋体" w:hAnsi="宋体"/>
          <w:b/>
          <w:bCs/>
          <w:szCs w:val="21"/>
          <w:lang w:val="en-US" w:eastAsia="zh-CN"/>
        </w:rPr>
        <w:t>二</w:t>
      </w:r>
      <w:r>
        <w:rPr>
          <w:rFonts w:hint="eastAsia" w:ascii="宋体" w:hAnsi="宋体"/>
          <w:b/>
          <w:bCs/>
          <w:szCs w:val="21"/>
        </w:rPr>
        <w:t>：音乐展厅建设</w:t>
      </w:r>
    </w:p>
    <w:p>
      <w:pPr>
        <w:ind w:firstLine="420"/>
        <w:rPr>
          <w:rFonts w:hint="eastAsia" w:ascii="宋体" w:hAnsi="宋体"/>
          <w:szCs w:val="21"/>
        </w:rPr>
      </w:pPr>
      <w:r>
        <w:rPr>
          <w:rFonts w:hint="eastAsia" w:ascii="宋体" w:hAnsi="宋体"/>
          <w:szCs w:val="21"/>
        </w:rPr>
        <w:t>预算金额：壹拾万元整（</w:t>
      </w:r>
      <w:r>
        <w:rPr>
          <w:rFonts w:hint="eastAsia" w:ascii="宋体" w:hAnsi="宋体"/>
          <w:szCs w:val="21"/>
          <w:u w:val="single"/>
        </w:rPr>
        <w:t>￥100000.00</w:t>
      </w:r>
      <w:r>
        <w:rPr>
          <w:rFonts w:hint="eastAsia" w:ascii="宋体" w:hAnsi="宋体"/>
          <w:szCs w:val="21"/>
        </w:rPr>
        <w:t>）</w:t>
      </w:r>
    </w:p>
    <w:tbl>
      <w:tblPr>
        <w:tblStyle w:val="50"/>
        <w:tblpPr w:leftFromText="180" w:rightFromText="180" w:vertAnchor="text" w:horzAnchor="page" w:tblpX="1216" w:tblpY="371"/>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88"/>
        <w:gridCol w:w="630"/>
        <w:gridCol w:w="645"/>
        <w:gridCol w:w="7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rPr>
            </w:pPr>
            <w:r>
              <w:rPr>
                <w:rFonts w:hint="eastAsia" w:hAnsi="宋体"/>
                <w:color w:val="auto"/>
                <w:sz w:val="21"/>
                <w:szCs w:val="21"/>
                <w:lang w:bidi="ar"/>
              </w:rPr>
              <w:t>序号</w:t>
            </w:r>
          </w:p>
        </w:tc>
        <w:tc>
          <w:tcPr>
            <w:tcW w:w="888" w:type="dxa"/>
          </w:tcPr>
          <w:p>
            <w:pPr>
              <w:pStyle w:val="21"/>
              <w:ind w:firstLine="0" w:firstLineChars="0"/>
              <w:rPr>
                <w:rFonts w:hint="eastAsia" w:hAnsi="宋体"/>
                <w:color w:val="auto"/>
                <w:sz w:val="21"/>
                <w:szCs w:val="21"/>
              </w:rPr>
            </w:pPr>
            <w:r>
              <w:rPr>
                <w:rFonts w:hint="eastAsia" w:hAnsi="宋体"/>
                <w:color w:val="auto"/>
                <w:sz w:val="21"/>
                <w:szCs w:val="21"/>
                <w:lang w:bidi="ar"/>
              </w:rPr>
              <w:t>货物名称</w:t>
            </w:r>
          </w:p>
        </w:tc>
        <w:tc>
          <w:tcPr>
            <w:tcW w:w="630" w:type="dxa"/>
          </w:tcPr>
          <w:p>
            <w:pPr>
              <w:pStyle w:val="21"/>
              <w:ind w:firstLine="0" w:firstLineChars="0"/>
              <w:rPr>
                <w:rFonts w:hint="eastAsia" w:hAnsi="宋体"/>
                <w:color w:val="auto"/>
                <w:sz w:val="21"/>
                <w:szCs w:val="21"/>
              </w:rPr>
            </w:pPr>
            <w:r>
              <w:rPr>
                <w:rFonts w:hint="eastAsia" w:hAnsi="宋体"/>
                <w:color w:val="auto"/>
                <w:sz w:val="21"/>
                <w:szCs w:val="21"/>
                <w:lang w:bidi="ar"/>
              </w:rPr>
              <w:t>单位</w:t>
            </w:r>
          </w:p>
        </w:tc>
        <w:tc>
          <w:tcPr>
            <w:tcW w:w="645" w:type="dxa"/>
          </w:tcPr>
          <w:p>
            <w:pPr>
              <w:pStyle w:val="21"/>
              <w:ind w:firstLine="0" w:firstLineChars="0"/>
              <w:rPr>
                <w:rFonts w:hint="eastAsia" w:hAnsi="宋体"/>
                <w:color w:val="auto"/>
                <w:sz w:val="21"/>
                <w:szCs w:val="21"/>
              </w:rPr>
            </w:pPr>
            <w:r>
              <w:rPr>
                <w:rFonts w:hint="eastAsia" w:hAnsi="宋体"/>
                <w:color w:val="auto"/>
                <w:sz w:val="21"/>
                <w:szCs w:val="21"/>
                <w:lang w:bidi="ar"/>
              </w:rPr>
              <w:t>数量</w:t>
            </w:r>
          </w:p>
        </w:tc>
        <w:tc>
          <w:tcPr>
            <w:tcW w:w="7090" w:type="dxa"/>
          </w:tcPr>
          <w:p>
            <w:pPr>
              <w:pStyle w:val="21"/>
              <w:ind w:firstLine="308" w:firstLineChars="147"/>
              <w:rPr>
                <w:rFonts w:hint="eastAsia" w:hAnsi="宋体"/>
                <w:color w:val="auto"/>
                <w:sz w:val="21"/>
                <w:szCs w:val="21"/>
              </w:rPr>
            </w:pPr>
            <w:r>
              <w:rPr>
                <w:rFonts w:hint="eastAsia" w:hAnsi="宋体"/>
                <w:color w:val="auto"/>
                <w:sz w:val="21"/>
                <w:szCs w:val="21"/>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空调</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台</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2</w:t>
            </w:r>
          </w:p>
        </w:tc>
        <w:tc>
          <w:tcPr>
            <w:tcW w:w="7090" w:type="dxa"/>
            <w:vAlign w:val="center"/>
          </w:tcPr>
          <w:p>
            <w:pPr>
              <w:widowControl/>
              <w:spacing w:line="360" w:lineRule="auto"/>
              <w:ind w:firstLine="0" w:firstLineChars="0"/>
              <w:jc w:val="left"/>
              <w:textAlignment w:val="center"/>
              <w:rPr>
                <w:rFonts w:hint="eastAsia" w:ascii="宋体" w:hAnsi="宋体" w:eastAsia="宋体" w:cs="宋体"/>
                <w:highlight w:val="none"/>
              </w:rPr>
            </w:pPr>
            <w:r>
              <w:rPr>
                <w:rFonts w:hint="eastAsia" w:ascii="宋体" w:hAnsi="宋体" w:eastAsia="宋体" w:cs="宋体"/>
                <w:highlight w:val="none"/>
              </w:rPr>
              <w:t>品牌整机：</w:t>
            </w:r>
            <w:r>
              <w:rPr>
                <w:rFonts w:hint="eastAsia" w:ascii="宋体" w:hAnsi="宋体" w:eastAsia="宋体" w:cs="宋体"/>
                <w:highlight w:val="none"/>
              </w:rPr>
              <w:br w:type="textWrapping"/>
            </w:r>
            <w:r>
              <w:rPr>
                <w:rFonts w:hint="eastAsia" w:ascii="宋体" w:hAnsi="宋体" w:eastAsia="宋体" w:cs="宋体"/>
                <w:highlight w:val="none"/>
              </w:rPr>
              <w:t>1.规格：3匹冷暖变频柜式空调</w:t>
            </w:r>
            <w:r>
              <w:rPr>
                <w:rFonts w:hint="eastAsia" w:ascii="宋体" w:hAnsi="宋体" w:eastAsia="宋体" w:cs="宋体"/>
                <w:highlight w:val="none"/>
              </w:rPr>
              <w:br w:type="textWrapping"/>
            </w:r>
            <w:r>
              <w:rPr>
                <w:rFonts w:hint="eastAsia" w:ascii="宋体" w:hAnsi="宋体" w:eastAsia="宋体" w:cs="宋体"/>
                <w:highlight w:val="none"/>
              </w:rPr>
              <w:t>2.能效等级：2级以上</w:t>
            </w:r>
            <w:r>
              <w:rPr>
                <w:rFonts w:hint="eastAsia" w:ascii="宋体" w:hAnsi="宋体" w:eastAsia="宋体" w:cs="宋体"/>
                <w:highlight w:val="none"/>
              </w:rPr>
              <w:br w:type="textWrapping"/>
            </w:r>
            <w:r>
              <w:rPr>
                <w:rFonts w:hint="eastAsia" w:ascii="宋体" w:hAnsi="宋体" w:eastAsia="宋体" w:cs="宋体"/>
                <w:highlight w:val="none"/>
              </w:rPr>
              <w:t>3.能效比：3.39</w:t>
            </w:r>
            <w:r>
              <w:rPr>
                <w:rFonts w:hint="eastAsia" w:ascii="宋体" w:hAnsi="宋体" w:eastAsia="宋体" w:cs="宋体"/>
                <w:highlight w:val="none"/>
              </w:rPr>
              <w:br w:type="textWrapping"/>
            </w:r>
            <w:r>
              <w:rPr>
                <w:rFonts w:hint="eastAsia" w:ascii="宋体" w:hAnsi="宋体" w:eastAsia="宋体" w:cs="宋体"/>
                <w:highlight w:val="none"/>
              </w:rPr>
              <w:t>4.额定制冷量：</w:t>
            </w:r>
            <w:r>
              <w:rPr>
                <w:rFonts w:hint="eastAsia" w:ascii="宋体" w:hAnsi="宋体" w:eastAsia="宋体" w:cs="宋体"/>
                <w:highlight w:val="none"/>
                <w:lang w:val="en-US" w:eastAsia="zh-CN"/>
              </w:rPr>
              <w:t>≤</w:t>
            </w:r>
            <w:r>
              <w:rPr>
                <w:rFonts w:hint="eastAsia" w:ascii="宋体" w:hAnsi="宋体" w:eastAsia="宋体" w:cs="宋体"/>
                <w:highlight w:val="none"/>
              </w:rPr>
              <w:t>7350W</w:t>
            </w:r>
            <w:r>
              <w:rPr>
                <w:rFonts w:hint="eastAsia" w:ascii="宋体" w:hAnsi="宋体" w:eastAsia="宋体" w:cs="宋体"/>
                <w:highlight w:val="none"/>
              </w:rPr>
              <w:br w:type="textWrapping"/>
            </w:r>
            <w:r>
              <w:rPr>
                <w:rFonts w:hint="eastAsia" w:ascii="宋体" w:hAnsi="宋体" w:eastAsia="宋体" w:cs="宋体"/>
                <w:highlight w:val="none"/>
              </w:rPr>
              <w:t>5.额定制热量：</w:t>
            </w:r>
            <w:r>
              <w:rPr>
                <w:rFonts w:hint="eastAsia" w:ascii="宋体" w:hAnsi="宋体" w:eastAsia="宋体" w:cs="宋体"/>
                <w:highlight w:val="none"/>
                <w:lang w:val="en-US" w:eastAsia="zh-CN"/>
              </w:rPr>
              <w:t>≤</w:t>
            </w:r>
            <w:r>
              <w:rPr>
                <w:rFonts w:hint="eastAsia" w:ascii="宋体" w:hAnsi="宋体" w:eastAsia="宋体" w:cs="宋体"/>
                <w:highlight w:val="none"/>
              </w:rPr>
              <w:t>8200W</w:t>
            </w:r>
            <w:r>
              <w:rPr>
                <w:rFonts w:hint="eastAsia" w:ascii="宋体" w:hAnsi="宋体" w:eastAsia="宋体" w:cs="宋体"/>
                <w:highlight w:val="none"/>
              </w:rPr>
              <w:br w:type="textWrapping"/>
            </w:r>
            <w:r>
              <w:rPr>
                <w:rFonts w:hint="eastAsia" w:ascii="宋体" w:hAnsi="宋体" w:eastAsia="宋体" w:cs="宋体"/>
                <w:highlight w:val="none"/>
              </w:rPr>
              <w:t>6.额定制冷功率：</w:t>
            </w:r>
            <w:r>
              <w:rPr>
                <w:rFonts w:hint="eastAsia" w:ascii="宋体" w:hAnsi="宋体" w:eastAsia="宋体" w:cs="宋体"/>
                <w:highlight w:val="none"/>
                <w:lang w:val="en-US" w:eastAsia="zh-CN"/>
              </w:rPr>
              <w:t>≤</w:t>
            </w:r>
            <w:r>
              <w:rPr>
                <w:rFonts w:hint="eastAsia" w:ascii="宋体" w:hAnsi="宋体" w:eastAsia="宋体" w:cs="宋体"/>
                <w:highlight w:val="none"/>
              </w:rPr>
              <w:t>2170W</w:t>
            </w:r>
            <w:r>
              <w:rPr>
                <w:rFonts w:hint="eastAsia" w:ascii="宋体" w:hAnsi="宋体" w:eastAsia="宋体" w:cs="宋体"/>
                <w:highlight w:val="none"/>
              </w:rPr>
              <w:br w:type="textWrapping"/>
            </w:r>
            <w:r>
              <w:rPr>
                <w:rFonts w:hint="eastAsia" w:ascii="宋体" w:hAnsi="宋体" w:eastAsia="宋体" w:cs="宋体"/>
                <w:highlight w:val="none"/>
              </w:rPr>
              <w:t>7.额定制热功率：</w:t>
            </w:r>
            <w:r>
              <w:rPr>
                <w:rFonts w:hint="eastAsia" w:ascii="宋体" w:hAnsi="宋体" w:eastAsia="宋体" w:cs="宋体"/>
                <w:highlight w:val="none"/>
                <w:lang w:val="en-US" w:eastAsia="zh-CN"/>
              </w:rPr>
              <w:t>≤</w:t>
            </w:r>
            <w:r>
              <w:rPr>
                <w:rFonts w:hint="eastAsia" w:ascii="宋体" w:hAnsi="宋体" w:eastAsia="宋体" w:cs="宋体"/>
                <w:highlight w:val="none"/>
              </w:rPr>
              <w:t>2240W</w:t>
            </w:r>
            <w:r>
              <w:rPr>
                <w:rFonts w:hint="eastAsia" w:ascii="宋体" w:hAnsi="宋体" w:eastAsia="宋体" w:cs="宋体"/>
                <w:highlight w:val="none"/>
              </w:rPr>
              <w:br w:type="textWrapping"/>
            </w:r>
            <w:r>
              <w:rPr>
                <w:rFonts w:hint="eastAsia" w:ascii="宋体" w:hAnsi="宋体" w:eastAsia="宋体" w:cs="宋体"/>
                <w:highlight w:val="none"/>
              </w:rPr>
              <w:t>8.外机噪音：dB(A)56</w:t>
            </w:r>
            <w:r>
              <w:rPr>
                <w:rFonts w:hint="eastAsia" w:ascii="宋体" w:hAnsi="宋体" w:eastAsia="宋体" w:cs="宋体"/>
                <w:highlight w:val="none"/>
              </w:rPr>
              <w:br w:type="textWrapping"/>
            </w:r>
            <w:r>
              <w:rPr>
                <w:rFonts w:hint="eastAsia" w:ascii="宋体" w:hAnsi="宋体" w:eastAsia="宋体" w:cs="宋体"/>
                <w:highlight w:val="none"/>
              </w:rPr>
              <w:t>9.内机噪音dB(A)：41.5-45.5</w:t>
            </w:r>
            <w:r>
              <w:rPr>
                <w:rFonts w:hint="eastAsia" w:ascii="宋体" w:hAnsi="宋体" w:eastAsia="宋体" w:cs="宋体"/>
                <w:highlight w:val="none"/>
              </w:rPr>
              <w:br w:type="textWrapping"/>
            </w:r>
            <w:r>
              <w:rPr>
                <w:rFonts w:hint="eastAsia" w:ascii="宋体" w:hAnsi="宋体" w:eastAsia="宋体" w:cs="宋体"/>
                <w:highlight w:val="none"/>
              </w:rPr>
              <w:t>10.电源（V/Hz）：220/50</w:t>
            </w:r>
            <w:r>
              <w:rPr>
                <w:rFonts w:hint="eastAsia" w:ascii="宋体" w:hAnsi="宋体" w:eastAsia="宋体" w:cs="宋体"/>
                <w:highlight w:val="none"/>
              </w:rPr>
              <w:br w:type="textWrapping"/>
            </w:r>
            <w:r>
              <w:rPr>
                <w:rFonts w:hint="eastAsia" w:ascii="宋体" w:hAnsi="宋体" w:eastAsia="宋体" w:cs="宋体"/>
                <w:highlight w:val="none"/>
              </w:rPr>
              <w:t>11.标配4米铜管</w:t>
            </w:r>
          </w:p>
          <w:p>
            <w:pPr>
              <w:pStyle w:val="61"/>
              <w:ind w:firstLine="0" w:firstLineChars="0"/>
              <w:rPr>
                <w:rFonts w:hint="eastAsia" w:ascii="宋体" w:hAnsi="宋体" w:eastAsia="宋体" w:cs="宋体"/>
                <w:highlight w:val="none"/>
              </w:rPr>
            </w:pPr>
            <w:r>
              <w:rPr>
                <w:rFonts w:hint="eastAsia" w:ascii="宋体" w:hAnsi="宋体" w:eastAsia="宋体" w:cs="宋体"/>
                <w:color w:val="000000"/>
                <w:kern w:val="0"/>
                <w:szCs w:val="21"/>
                <w:highlight w:val="none"/>
                <w:lang w:bidi="ar"/>
              </w:rPr>
              <w:t>12.</w:t>
            </w:r>
            <w:r>
              <w:rPr>
                <w:rFonts w:hint="eastAsia" w:ascii="宋体" w:hAnsi="宋体" w:eastAsia="宋体" w:cs="宋体"/>
                <w:b/>
                <w:bCs/>
                <w:szCs w:val="21"/>
                <w:highlight w:val="none"/>
              </w:rPr>
              <w:t>★</w:t>
            </w:r>
            <w:r>
              <w:rPr>
                <w:rFonts w:hint="eastAsia" w:ascii="宋体" w:hAnsi="宋体" w:eastAsia="宋体" w:cs="宋体"/>
                <w:szCs w:val="21"/>
                <w:highlight w:val="none"/>
              </w:rPr>
              <w:t>投标文件中必须提供该项产品由国家确定的认证机构出具的处于有效期之内的节能产品认证证书并加盖投标人公章。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2</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环绕音箱</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个</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4</w:t>
            </w:r>
          </w:p>
        </w:tc>
        <w:tc>
          <w:tcPr>
            <w:tcW w:w="7090" w:type="dxa"/>
          </w:tcPr>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音箱与学校功放匹配,含音箱线、音箱支架、接头</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系统：2 WAY Fullrange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频率范围：55Hz-20KHz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低音单元：LF 10  高音单元：HF 1 DRIVER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阻抗：8Ω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灵敏度：97dB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最大声压：127dB                                                       额定功率：250W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 xml:space="preserve">覆盖角度：90*60°                            </w:t>
            </w:r>
            <w:r>
              <w:rPr>
                <w:rFonts w:hint="eastAsia" w:ascii="宋体" w:hAnsi="宋体" w:cs="宋体"/>
                <w:color w:val="000000"/>
                <w:kern w:val="0"/>
                <w:szCs w:val="21"/>
                <w:highlight w:val="none"/>
                <w:lang w:bidi="ar"/>
              </w:rPr>
              <w:br w:type="textWrapping"/>
            </w:r>
            <w:r>
              <w:rPr>
                <w:rFonts w:hint="eastAsia" w:ascii="宋体" w:hAnsi="宋体" w:cs="宋体"/>
                <w:color w:val="000000"/>
                <w:kern w:val="0"/>
                <w:szCs w:val="21"/>
                <w:highlight w:val="none"/>
                <w:lang w:bidi="ar"/>
              </w:rPr>
              <w:t xml:space="preserve">板材：18mm </w:t>
            </w:r>
            <w:r>
              <w:rPr>
                <w:rFonts w:hint="eastAsia"/>
                <w:highlight w:val="none"/>
              </w:rPr>
              <w:t>胶合板</w:t>
            </w:r>
            <w:r>
              <w:rPr>
                <w:rFonts w:hint="eastAsia" w:ascii="宋体" w:hAnsi="宋体" w:cs="宋体"/>
                <w:color w:val="000000"/>
                <w:kern w:val="0"/>
                <w:szCs w:val="21"/>
                <w:highlight w:val="none"/>
                <w:lang w:bidi="ar"/>
              </w:rPr>
              <w:t xml:space="preserve">                                      </w:t>
            </w:r>
          </w:p>
          <w:p>
            <w:pPr>
              <w:widowControl/>
              <w:spacing w:line="360" w:lineRule="auto"/>
              <w:ind w:firstLine="0" w:firstLineChars="0"/>
              <w:jc w:val="left"/>
              <w:textAlignment w:val="top"/>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净重：</w:t>
            </w:r>
            <w:r>
              <w:rPr>
                <w:rFonts w:hint="eastAsia" w:ascii="宋体" w:hAnsi="宋体" w:cs="宋体"/>
                <w:color w:val="000000"/>
                <w:kern w:val="0"/>
                <w:szCs w:val="21"/>
                <w:highlight w:val="none"/>
                <w:lang w:val="en-US" w:eastAsia="zh-CN" w:bidi="ar"/>
              </w:rPr>
              <w:t>约</w:t>
            </w:r>
            <w:r>
              <w:rPr>
                <w:rFonts w:hint="eastAsia" w:ascii="宋体" w:hAnsi="宋体" w:cs="宋体"/>
                <w:color w:val="000000"/>
                <w:kern w:val="0"/>
                <w:szCs w:val="21"/>
                <w:highlight w:val="none"/>
                <w:lang w:bidi="ar"/>
              </w:rPr>
              <w:t xml:space="preserve">16.5kg                                      </w:t>
            </w:r>
          </w:p>
          <w:p>
            <w:pPr>
              <w:widowControl/>
              <w:spacing w:line="360" w:lineRule="auto"/>
              <w:ind w:firstLine="0" w:firstLineChars="0"/>
              <w:jc w:val="left"/>
              <w:textAlignment w:val="top"/>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尺寸：</w:t>
            </w:r>
            <w:r>
              <w:rPr>
                <w:rFonts w:hint="eastAsia" w:ascii="宋体" w:hAnsi="宋体" w:cs="宋体"/>
                <w:color w:val="000000"/>
                <w:kern w:val="0"/>
                <w:szCs w:val="21"/>
                <w:highlight w:val="none"/>
                <w:lang w:val="en-US" w:eastAsia="zh-CN" w:bidi="ar"/>
              </w:rPr>
              <w:t>约</w:t>
            </w:r>
            <w:r>
              <w:rPr>
                <w:rFonts w:hint="eastAsia" w:ascii="宋体" w:hAnsi="宋体" w:cs="宋体"/>
                <w:color w:val="000000"/>
                <w:kern w:val="0"/>
                <w:szCs w:val="21"/>
                <w:highlight w:val="none"/>
                <w:lang w:bidi="ar"/>
              </w:rPr>
              <w:t xml:space="preserve">450mm*300mm*590mm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3</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无线话筒套装</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对</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4</w:t>
            </w:r>
          </w:p>
        </w:tc>
        <w:tc>
          <w:tcPr>
            <w:tcW w:w="7090" w:type="dxa"/>
            <w:vAlign w:val="center"/>
          </w:tcPr>
          <w:p>
            <w:pPr>
              <w:widowControl/>
              <w:spacing w:line="360" w:lineRule="auto"/>
              <w:ind w:firstLine="0" w:firstLineChars="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一拖二UHF频段（可配选配头戴麦克风）</w:t>
            </w:r>
          </w:p>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color w:val="000000"/>
                <w:kern w:val="0"/>
                <w:szCs w:val="21"/>
                <w:lang w:bidi="ar"/>
              </w:rPr>
              <w:t>一、性能描述：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1.2通道UHF无线系统，每通道100个频率可选；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2.配有LCD液晶显示，实时反馈系统工作状态；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3.采用数字音码锁定技术，有效阻隔使用环境中的杂讯干扰；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4.采用最新红外线自动对频（IR）与自动选频（AFS）技术，设定和操作更简便；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5.2支话筒可互换使用，手持管使用金属外观，经久耐用，性能更稳定，可选配手持式/领夹式/头戴式话筒；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6.理想环境中，可叠用超过5台主机同时使用。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二、系统参数：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综合参数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1.频率范围: 640MHz-699MHz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2.调制方式: FM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3.信道数目:200个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4.信道间隔: 300KHZ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5.频率稳定度:±0.005%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6.动态范围: 100db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7.最大偏移:±45KHZ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8.音频频率响应:40HZ-18KHZ(±2db)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9.综合信噪比: &gt;105db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10.综合失真：≤0.5%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三、接收机指标：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1.天线：分体可拆卸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2.中频：110MHZ. 10.7MHZ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3.天线接入： TNC/50Ω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4.灵敏度：12dBuV(80db S/N)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5.灵敏度调节范围：12-32dBuV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6.杂散抑制：≥75db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7.最大输出电平： +10dbv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8.供电方式：直流12V 400mA输入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四、发射机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1.输出功率：高功率30MW，低功率3MW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2.杂散抑制：-60db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3.供电： 2节5号1.5V碱性电池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4.电池寿命：正常功率发射时，可使用超过8小时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尺寸：</w:t>
            </w:r>
            <w:r>
              <w:rPr>
                <w:rFonts w:hint="eastAsia" w:ascii="宋体" w:hAnsi="宋体" w:eastAsia="宋体" w:cs="宋体"/>
                <w:i w:val="0"/>
                <w:iCs w:val="0"/>
                <w:color w:val="000000"/>
                <w:kern w:val="0"/>
                <w:sz w:val="21"/>
                <w:szCs w:val="21"/>
                <w:u w:val="none"/>
                <w:lang w:val="en-US" w:eastAsia="zh-CN" w:bidi="ar"/>
              </w:rPr>
              <w:t>480mm*44mm*172mm</w:t>
            </w:r>
            <w:r>
              <w:rPr>
                <w:rFonts w:hint="eastAsia"/>
                <w:lang w:eastAsia="zh-CN"/>
              </w:rPr>
              <w:t>，</w:t>
            </w:r>
            <w:r>
              <w:rPr>
                <w:rFonts w:hint="eastAsia" w:ascii="宋体" w:hAnsi="宋体" w:cs="宋体"/>
                <w:i w:val="0"/>
                <w:iCs w:val="0"/>
                <w:color w:val="000000"/>
                <w:kern w:val="0"/>
                <w:sz w:val="21"/>
                <w:szCs w:val="21"/>
                <w:u w:val="none"/>
                <w:lang w:val="en-US" w:eastAsia="zh-CN" w:bidi="ar"/>
              </w:rPr>
              <w:t>长宽高误差在±5mm</w:t>
            </w:r>
            <w:r>
              <w:rPr>
                <w:rFonts w:hint="eastAsia" w:ascii="宋体" w:hAnsi="宋体" w:eastAsia="宋体" w:cs="宋体"/>
                <w:i w:val="0"/>
                <w:iCs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4</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路由器9+网络布线</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台</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color w:val="000000"/>
                <w:kern w:val="0"/>
                <w:szCs w:val="21"/>
                <w:lang w:bidi="ar"/>
              </w:rPr>
              <w:t>1.网络带宽：千兆及以上</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2.Wifi速度：6+3000Mbps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3.支持产品间任意组合组网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5</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镜子</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面</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1.0厚镜子钛金拉丝脚线，尺寸：8.65*2.44=21.106平方，按采购人需求现场定制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6</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舞台灯光</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套</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2</w:t>
            </w:r>
          </w:p>
        </w:tc>
        <w:tc>
          <w:tcPr>
            <w:tcW w:w="7090" w:type="dxa"/>
            <w:vAlign w:val="center"/>
          </w:tcPr>
          <w:p>
            <w:pPr>
              <w:widowControl/>
              <w:spacing w:line="360" w:lineRule="auto"/>
              <w:ind w:firstLine="0" w:firstLineChars="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含灯架及简易控制器,2套4个</w:t>
            </w:r>
          </w:p>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color w:val="000000"/>
                <w:kern w:val="0"/>
                <w:szCs w:val="21"/>
                <w:lang w:bidi="ar"/>
              </w:rPr>
              <w:t>输入电压：AC110-240V/50-60Hz.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功   率：200W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光   源：1颗200瓦进口灯珠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发光颜色：白光 暖白高显指95%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发光角度：60°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控制模式：DMX/主从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通道：1-2-6CH通道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色   温：3200K-5600K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流明：15000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外   壳：铝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包装尺寸：53*53*39cm（4台/箱）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产品尺寸：23*22*21cm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净    重： 5.4kg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7</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音响布置安装、维修及配套服务</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项</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pStyle w:val="61"/>
              <w:numPr>
                <w:ilvl w:val="0"/>
                <w:numId w:val="5"/>
              </w:numPr>
              <w:ind w:left="0" w:leftChars="0" w:firstLine="0" w:firstLineChars="0"/>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重新布置音响安装或维修及配套服务。如学校已有的点歌系统、功放、钢琴的安装服务</w:t>
            </w:r>
          </w:p>
          <w:p>
            <w:pPr>
              <w:pStyle w:val="61"/>
              <w:numPr>
                <w:ilvl w:val="0"/>
                <w:numId w:val="5"/>
              </w:numPr>
              <w:ind w:left="0" w:leftChars="0" w:firstLine="0" w:firstLineChars="0"/>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含人工费用</w:t>
            </w:r>
          </w:p>
          <w:p>
            <w:pPr>
              <w:pStyle w:val="61"/>
              <w:numPr>
                <w:ilvl w:val="0"/>
                <w:numId w:val="0"/>
              </w:numPr>
              <w:ind w:leftChars="0" w:right="181" w:rightChars="0"/>
              <w:rPr>
                <w:rFonts w:hint="eastAsia" w:ascii="宋体" w:hAnsi="宋体" w:eastAsia="宋体" w:cs="宋体"/>
                <w:i w:val="0"/>
                <w:iCs w:val="0"/>
                <w:color w:val="000000"/>
                <w:kern w:val="0"/>
                <w:sz w:val="21"/>
                <w:szCs w:val="21"/>
                <w:highlight w:val="none"/>
                <w:u w:val="none"/>
                <w:lang w:val="en-US" w:eastAsia="zh-CN" w:bidi="ar"/>
              </w:rPr>
            </w:pPr>
          </w:p>
          <w:p>
            <w:pPr>
              <w:pStyle w:val="61"/>
              <w:ind w:left="0" w:leftChars="0" w:right="181" w:rightChars="0" w:firstLine="0" w:firstLineChars="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8</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一体机黑板</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套</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2</w:t>
            </w:r>
          </w:p>
        </w:tc>
        <w:tc>
          <w:tcPr>
            <w:tcW w:w="7090" w:type="dxa"/>
            <w:vAlign w:val="center"/>
          </w:tcPr>
          <w:p>
            <w:pPr>
              <w:widowControl/>
              <w:ind w:left="0" w:leftChars="0" w:firstLine="210" w:firstLineChars="10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一、整机规格</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1、整机屏幕采用86 英寸液晶显示器。</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2、整机采用超高清 LED 液晶显示屏，显示比例 16:9，分辨率 3840×2160。</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3、整机色域覆盖率（NTSC）72%</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4、整机背光系统支持 DC 调光方式，多级亮度调节，支持白颜色背景下最暗亮度100nit，用于提升显示对比度。</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5、灰阶等级256 级。</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6、整机屏幕蓝光占比（有害蓝光 415～455nm 能量综合）/（整体蓝光 400～500 能量综合）＜50%</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7、支持标准、多媒体和节能三种图像模式调节。</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8、支持自定义图像设置，可对对比度、屏幕色温、图像亮度、亮度范围、色彩空间调节设置。</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9、整机系统支持手势上滑调出人工智能画质调节模式（AI-PQ），在安卓通道下可根据屏幕内容自动调节画质参数，当屏幕出现人物、建筑、夜景等元素时，自动调整</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对比度、饱和度、锐利度、色调色相值、高光/阴影。</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10、整机视网膜蓝光危害（蓝光加权辐射亮度 LB）满足IEC TR 62778:2014 蓝光危害 RG0 级别</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11、整机全通道支持纸质护眼模式，可实现画面纹理的实时调整；支持纸质纹理：牛皮纸、素描纸、宣纸、水彩纸、水纹纸；支持透明度调节；支持色温调节。</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12、纸质护眼模式下，显示画面各像素点灰度不规则,减少背景干扰。</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二、整机接口设计与安全设计</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1、侧置输入接口具备 2 路 HDMI、1 路 RS232、1 路 USB 接口。</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2、侧置输出接口具备 1 路音频输出、1 路触控 USB 输出。</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3、前置输入接口 3 路 USB 接口（包含 1 路 Type-C、2 路USB）。</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4、支持通过 Type-C 接口 U 盘进行文件传输，兼容 Type-C接口手机充电。</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5、整机采用一体设计，外部无任何可见内部功能模块连接线。边角采用弧形设计，表面无尖锐边缘或凸起。</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6、整机采用全金属外壳设计，边框为金属一体成型。</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7、整机屏幕边缘采用金属圆角包边防护，整机背板采用金属材质，有效屏蔽内部电路器件辐射；防潮耐盐雾蚀锈，适应多种教学环境。</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三、整机系统设计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（一）电脑系统</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1、CPU：搭载 Intel 酷睿系列= i7 CPU。</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2、内存 16GB DDR4 笔记本内存配置。</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3、硬盘：1TB  SSD 固态硬盘。</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4、采用按压式卡扣，无需工具即可快速拆卸电脑模块。</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5、PC 模块可抽拉式插入整机，可实现无单独接线的拔插。</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6、具有独立非外拓展的视频输出接口：1 路 HDMI。</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（二）触摸系统</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1、支持 Windows 7、Windows 8、Windows 10、Windows11、Linux、Mac Os、UOS 和麒麟系统外置电脑操作系统接入时，无需安装触摸驱动。</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2、触摸分辨率 32768×32768。</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3、书写触控延迟25ms</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4、整机触控书写功能集成预测算法，在书写速度50cm/s，支持笔迹距离笔的距离小于 20mm。</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5、触摸响应4ms。</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6、触摸最小识别物3mm。</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7、整机屏幕触摸有效识别高度 3mm，即触摸物体距离玻璃外表面高度 3mm 时，触摸屏识别为点击操作。</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8、整机支持提笔书写，在 Windows 系统下可实现无需点击任意功能入口，当检测到红外笔笔尖接触屏幕时，自动进入书写模式。</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9、整机支持手笔分离，通过提笔即写唤醒批注功能后，可进行手笔分离功能，使用笔正常书写，使用手指可以操作应用，进行点击操作。</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10、整机触摸支持动态压力感应，支持无任何电子功能的普通书写笔在整机上书写或点压时，整机能感应压力变化，书写或点压过程笔迹呈现不同粗细。</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11、支持同一支笔，笔头、笔尾书写不同的颜色，且颜色可自定义。</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12、支持智能板擦功能，系统可根据触控物体的形状自动识别出实物板擦，可擦除电子白板中的内容，无需依赖外部电子设备。</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13、触摸屏具有防遮挡功能，触摸接收器在单点或多点遮挡后仍能正常书写。</w:t>
            </w:r>
          </w:p>
          <w:p>
            <w:pPr>
              <w:widowControl/>
              <w:ind w:left="0" w:leftChars="0" w:firstLine="0" w:firstLineChars="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14、采用红外触控技术，支持 Windows 系统中进行 40 点触控，支持在 Android 系统中进行 40 点触控。</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（三）安卓系统</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1、嵌入式系统版本 Android 13，内存2GB，存储空间8GB。</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2、嵌入式 Android 操作系统下，白板支持对已经书写的笔迹和形状和颜色进行更换。</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3、在嵌入式系统下使用白板软件时，整机可自行调节屏幕亮度。</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4、嵌入式 Android 操作系统下，互动白板支持不同背景颜色，同时提供学科背景，如：五线谱、信纸、田字格、英文格、篮球和足球场地平面图。</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5、无 PC 状态下，嵌入式系统内置互动白板支持十笔书写及手掌擦除（手掌擦除面积根据手掌与屏幕的接触面大小自动调整），白板书写内容可以 PDF、IWB 和 SVG 格式导出。支持 10 种平面图形工具。支持 8 种立体图形工具。</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6、无 PC 状态下，嵌入式系统内置互动白板支持全局漫游，并能在工具栏中对全局内容进行预览和移动。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7、无 PC 状态下，嵌入式 Android 操作系统下可使用白板书写、WPS 软件和网页浏览</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8、在嵌入式 Android 操作系统下，能对 TV 多媒体 USB 所读取到的文件进行自动归类，可分类查找文档、板书、图片、音视频，检索后可直接在界面中打开。</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四、侧边栏教学设计要求</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1、整机全通道侧边栏快捷菜单包含如下小工具：批注、降半屏、截屏、放大镜、倒计时、日历、聚光灯、秒表、冻屏、倒数日、答题、节拍器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2、整机全通道侧边栏快捷菜单小工具支持自定义，支持设置对应小工具的显示/隐藏。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3、整机全通道侧边栏支持使用批注小工具进行批注讲解，可切换书写笔颜色、截屏保存批注内容、清屏，可根据手与屏幕的接触面积自动调整板擦工具的大小。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4、整机全通道侧边栏支持将设备屏幕降低为半屏幕状态，点击上半屏幕可以返回全屏状态。</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5、整机全通道侧边栏支持自行选择所需截取屏幕范围，点击截屏即可成功截取屏幕，并自动保存。</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6、整机全通道侧边栏支持放大选中区域内容，并可支持对未选中区域关灯处理，实现聚光灯效果。</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7、整机全通道侧边栏支持倒计时、正计时功能；倒计时，输入某特定时间值，可精确到秒，点击开始进入倒计时；正计时，点击开始计时便自动开始，并实时显示时间。 </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8、整机全通道侧边栏支持打开日历，查看日期。</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9、整机全通道侧边栏支持聚光灯，支持聚光灯高亮区域大小调节、区域移动。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10、整机全通道侧边栏支持冻屏，将屏幕画面进行缩放。</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11、整机安卓和外接通道下侧边栏支持设置倒数日。</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12、整机安卓和外接通道 下侧边栏支持通过扫描二维码加入班级，老师设置题型，学生回答后提交，教师查看正确率比例及详细讲解；支持随机抽选、实时弹幕；支持管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理当前班级成员；支持导出学生报告。全通道下可支持通过自定义按键调出该功能。</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13、整机安卓和外接通道下侧边栏支持节拍器，支持设置节拍、轻重、节拍播放速度。全通道下可支持通过自定义按键调出该功能。</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14、整机支持在设备上通过摄像头获取教室内图像并自动识别图像内所有人员，并随机抽选 1 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15、整机支持在设备上通过摄像头获取教室内图像并自动识别图像内所有人员，并自动进行人数统计。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16、整机支持在设备上，通过侧边栏实现调用 windows 系统运行、打开文件夹、打开任务管理。</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17、整机 Windows 通道支持在通过侧边栏调取软键盘。</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18、整机 Windows 通道支持对当前运行中的应用进行窗口最大化、窗口最小化、应用强制关闭。</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19、整机处于非内置 PC 通道下，支持通过侧边栏进入 PC通道。</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20、整机全通道侧边栏快捷菜单支持快捷调节音量、亮度，支持自动亮度模式，支持点击静音按钮静音。</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21、整机全通道侧边栏快捷菜单中应用软件可以进行切换，无需在已经开启的应用软件全屏模式下退出当前应用再选择更换。</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22、整机全通道侧边栏支持自定义快捷菜单，支持 windows应用固定，可将应用固定后，在侧边栏进行快捷打开。</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23、整机全通道侧边栏快捷菜单中可实时查看物联设备的连接情况，点击设备图标即可调出中控菜单进行管控。</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24、整机全通道侧边栏快捷菜单支持简洁模式和常规模式切换。</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25、整机全通道侧边栏快捷菜单简洁模式，可进行打开批注、降半屏、主页的基础操作。</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五、教学桌面设计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1、整机设备开机启动后，自动进入教学桌面，支持账号登录、退出，自动获取个人云端教学课件列表、并可进入全部课件列表。</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2、整机设备支持多种身份识别方式，支持通过账号登录、手机扫码登录，并支持账号安全登录检测。  </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3、整机设备支持统一互通的用户身份认证服务，账号登录后，打开教学白板软件教学应用工具时无需再次输入账号密码重复登录。</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4、整机设备教学桌面支持教学白板软件和文件管理软件；教学桌面首页支持自定义桌面应用，支持展示 8 个应用入口，并提供进入本机所有应用的入口。</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5、整机设备可将应用编辑到教学桌面首页，编辑方式支持从教学桌面首页进入编辑，支持在全部应用列表中进入编辑 2 种方式。教学桌面首页应用支持无需进入应用编辑页面，在首页指定应用上长按进行移除。</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6、整机设备教学桌面支持查看设备盘符，支持本地磁盘和外接 U 盘、移动硬盘，点击即可打开该磁盘查看磁盘文件。教学桌面支持显示存储空间状态，当存储空间即将满载时候进行红色标记明显提示。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7、整机设备教学桌面支持进行应用卸载。</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8、整机设备教学桌面支持推荐应用，推荐应用支持移除。</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9、整机设备教学桌面的教师登录账号后，可自动获取并在桌面显示最近使用的教学课件，点击课件可直接进入授课模式；并支持查看所有个人教学课件资源。</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六、整机硬件设计</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1、三合一电源按键，同一电源物理按键完成 Android 系统和 Windows 系统的开机、节能熄屏、关机操作；关机状态下按按键开机；开机状态下按按键实现节能熄屏/唤醒，长按按键实现关机。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2、整机具备 6 个前置按键，可实现开关机、调出中控菜单、音量+/-、护眼、录屏操作。</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3、支持经典护眼模式，可通过前置面板物理功能按键一键启用经典护眼模式。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4、设备支持通过前置面板物理按键一键启动录屏功能，可将屏幕中显示的课件、音频内容与人声同时录制。</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5、前置 USB 接口具备防撞挡板设计，防撞挡板采用转轴式翻转。</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6、整机支持 5 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7、整机内置 2.2 声道扬声器，位于设备上边框，顶置朝前发声，前朝向 10W 高音扬声器 2 个，上朝向 20W 中低音扬声器 2 个，额定总功率 60W。</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8、整机可选择高级音效设置，支持在左右声道平衡显示范围中进行更改；中低频段显示调节范围 125Hz～1KHz，高频段显示调节范围 2KHz～16KHz，分贝显示-12dB～12dB 调节范围。</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9、整机内置非独立外扩展的 4 阵列麦克风，可用于对教室环境音频进行采集，麦克风拾音距离12 米。</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10、整机内置扬声器采用缝隙发声技术，喇叭采用槽式开口设计， 5.8mm</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11、整机扬声器在 100%音量下，可做到 1 米处声压级88db，10 米处声压级79dB</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12、内置摄像头、麦克风无需外接线材连接，无任何可见外接线材及模块化拼接痕迹，未占用整机设备端口。</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13、支持标准、听力、观影和 AI 空间感知音效模式，AI空间感知音效模式可通过内置麦克风采集教室物理环境声音，自动生成符合当前教室物理环境的频段、音量、音效。</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14、整机内置摄像头（非外扩），PC 通道下支持通过视频展台软件调用摄像头进行二维码扫码识别。</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15、具备摄像头工作指示灯，摄像头运行时，有指示灯提示。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16、整机上边框内置非独立摄像头，采用一体化集成设计，可拍摄1300 万像素数的照片，可拍摄输出 4K 分辨率的视频。</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17、整机摄像头对角线视场角120 度</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18、整机内置非独立的高清摄像头，可用于远程巡课。</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19、整机摄像头支持人脸识别、清点人数、随机抽人；识别所有学生，显示标记，然后随机抽选，同时显示标记 60 人。</w:t>
            </w:r>
          </w:p>
          <w:p>
            <w:pPr>
              <w:widowControl/>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20、整机支持通过人脸识别进行登录账号。</w:t>
            </w:r>
          </w:p>
          <w:p>
            <w:pPr>
              <w:spacing w:line="360" w:lineRule="auto"/>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21、整机摄像头支持环境色温判断，根据环境调节合适的显示图像效果。</w:t>
            </w:r>
          </w:p>
          <w:p>
            <w:pPr>
              <w:spacing w:line="360" w:lineRule="auto"/>
              <w:ind w:firstLine="420" w:firstLineChars="200"/>
              <w:jc w:val="left"/>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七、一体机移动支架</w:t>
            </w:r>
            <w:r>
              <w:rPr>
                <w:rFonts w:hint="eastAsia" w:ascii="宋体" w:hAnsi="宋体" w:cs="宋体"/>
                <w:color w:val="auto"/>
                <w:kern w:val="0"/>
                <w:sz w:val="21"/>
                <w:szCs w:val="21"/>
                <w:lang w:val="en-US" w:eastAsia="zh-CN" w:bidi="ar"/>
              </w:rPr>
              <w:t>：配合一体机黑板使用</w:t>
            </w:r>
            <w:r>
              <w:rPr>
                <w:rFonts w:hint="eastAsia" w:ascii="宋体" w:hAnsi="宋体" w:eastAsia="宋体" w:cs="宋体"/>
                <w:color w:val="auto"/>
                <w:kern w:val="0"/>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9</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舞台后幕布</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米</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8</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highlight w:val="none"/>
                <w:lang w:bidi="ar"/>
              </w:rPr>
            </w:pPr>
            <w:r>
              <w:rPr>
                <w:rFonts w:hint="eastAsia" w:ascii="宋体" w:hAnsi="宋体" w:cs="宋体"/>
                <w:color w:val="000000"/>
                <w:kern w:val="0"/>
                <w:szCs w:val="21"/>
                <w:highlight w:val="none"/>
                <w:lang w:bidi="ar"/>
              </w:rPr>
              <w:t>尺寸：8.65*3.32=28.718平方，按采购人需求现场定制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10</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其他耗材、配件</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批</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1</w:t>
            </w:r>
          </w:p>
        </w:tc>
        <w:tc>
          <w:tcPr>
            <w:tcW w:w="7090" w:type="dxa"/>
            <w:vAlign w:val="center"/>
          </w:tcPr>
          <w:p>
            <w:pPr>
              <w:widowControl/>
              <w:spacing w:line="360" w:lineRule="auto"/>
              <w:ind w:firstLine="0" w:firstLineChars="0"/>
              <w:jc w:val="left"/>
              <w:textAlignment w:val="center"/>
              <w:rPr>
                <w:rFonts w:hint="eastAsia" w:ascii="宋体" w:hAnsi="宋体" w:cs="宋体"/>
                <w:kern w:val="0"/>
                <w:szCs w:val="21"/>
                <w:lang w:bidi="ar"/>
              </w:rPr>
            </w:pPr>
            <w:r>
              <w:rPr>
                <w:rFonts w:hint="eastAsia" w:ascii="宋体" w:hAnsi="宋体" w:cs="宋体"/>
                <w:kern w:val="0"/>
                <w:szCs w:val="21"/>
                <w:lang w:bidi="ar"/>
              </w:rPr>
              <w:t>运输/备用配件/耗材/线材延长、插座扩展等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dxa"/>
          </w:tcPr>
          <w:p>
            <w:pPr>
              <w:pStyle w:val="21"/>
              <w:ind w:firstLine="0" w:firstLineChars="0"/>
              <w:rPr>
                <w:rFonts w:hint="eastAsia" w:hAnsi="宋体"/>
                <w:color w:val="auto"/>
                <w:sz w:val="21"/>
                <w:szCs w:val="21"/>
                <w:lang w:bidi="ar"/>
              </w:rPr>
            </w:pPr>
            <w:r>
              <w:rPr>
                <w:rFonts w:hint="eastAsia" w:hAnsi="宋体"/>
                <w:color w:val="auto"/>
                <w:sz w:val="21"/>
                <w:szCs w:val="21"/>
                <w:lang w:bidi="ar"/>
              </w:rPr>
              <w:t>11</w:t>
            </w:r>
          </w:p>
        </w:tc>
        <w:tc>
          <w:tcPr>
            <w:tcW w:w="888" w:type="dxa"/>
            <w:vAlign w:val="center"/>
          </w:tcPr>
          <w:p>
            <w:pPr>
              <w:widowControl/>
              <w:spacing w:line="360" w:lineRule="auto"/>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钢琴凳</w:t>
            </w:r>
          </w:p>
        </w:tc>
        <w:tc>
          <w:tcPr>
            <w:tcW w:w="630"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张</w:t>
            </w:r>
          </w:p>
        </w:tc>
        <w:tc>
          <w:tcPr>
            <w:tcW w:w="645" w:type="dxa"/>
            <w:vAlign w:val="center"/>
          </w:tcPr>
          <w:p>
            <w:pPr>
              <w:pStyle w:val="21"/>
              <w:ind w:firstLine="0" w:firstLineChars="0"/>
              <w:jc w:val="center"/>
              <w:rPr>
                <w:rFonts w:hint="eastAsia" w:hAnsi="宋体"/>
                <w:color w:val="auto"/>
                <w:sz w:val="21"/>
                <w:szCs w:val="21"/>
                <w:lang w:bidi="ar"/>
              </w:rPr>
            </w:pPr>
            <w:r>
              <w:rPr>
                <w:rFonts w:hint="eastAsia" w:hAnsi="宋体"/>
                <w:color w:val="auto"/>
                <w:sz w:val="21"/>
                <w:szCs w:val="21"/>
                <w:lang w:bidi="ar"/>
              </w:rPr>
              <w:t>4</w:t>
            </w:r>
          </w:p>
        </w:tc>
        <w:tc>
          <w:tcPr>
            <w:tcW w:w="7090" w:type="dxa"/>
          </w:tcPr>
          <w:p>
            <w:pPr>
              <w:ind w:left="0" w:leftChars="0" w:firstLine="0" w:firstLineChars="0"/>
              <w:rPr>
                <w:rFonts w:hint="default" w:ascii="宋体" w:eastAsia="宋体" w:cs="宋体"/>
                <w:color w:val="auto"/>
                <w:sz w:val="21"/>
                <w:szCs w:val="21"/>
              </w:rPr>
            </w:pPr>
            <w:r>
              <w:rPr>
                <w:rFonts w:hint="default" w:ascii="宋体" w:eastAsia="宋体" w:cs="宋体"/>
                <w:color w:val="auto"/>
                <w:sz w:val="21"/>
                <w:szCs w:val="21"/>
              </w:rPr>
              <w:t>优质双人钢琴凳（带书箱）</w:t>
            </w:r>
          </w:p>
          <w:p>
            <w:pPr>
              <w:ind w:left="0" w:leftChars="0" w:firstLine="0" w:firstLineChars="0"/>
              <w:rPr>
                <w:rFonts w:hint="default" w:ascii="宋体" w:eastAsia="宋体" w:cs="宋体"/>
                <w:color w:val="auto"/>
                <w:sz w:val="21"/>
                <w:szCs w:val="21"/>
              </w:rPr>
            </w:pPr>
            <w:r>
              <w:rPr>
                <w:rFonts w:hint="default" w:ascii="宋体" w:eastAsia="宋体" w:cs="宋体"/>
                <w:color w:val="auto"/>
                <w:sz w:val="21"/>
                <w:szCs w:val="21"/>
              </w:rPr>
              <w:t>材质：铁、优质皮革、高密度海绵</w:t>
            </w:r>
          </w:p>
          <w:p>
            <w:pPr>
              <w:pStyle w:val="21"/>
              <w:rPr>
                <w:rFonts w:hint="eastAsia" w:hAnsi="宋体"/>
                <w:color w:val="auto"/>
                <w:sz w:val="21"/>
                <w:szCs w:val="21"/>
                <w:lang w:bidi="ar"/>
              </w:rPr>
            </w:pPr>
            <w:r>
              <w:rPr>
                <w:rFonts w:hint="default" w:ascii="宋体" w:eastAsia="宋体" w:cs="宋体"/>
                <w:color w:val="auto"/>
                <w:sz w:val="21"/>
                <w:szCs w:val="21"/>
              </w:rPr>
              <w:t>板面：700*335mm 高度 490mm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85" w:type="dxa"/>
            <w:gridSpan w:val="5"/>
          </w:tcPr>
          <w:p>
            <w:pPr>
              <w:pStyle w:val="21"/>
              <w:ind w:firstLine="0" w:firstLineChars="0"/>
              <w:rPr>
                <w:rFonts w:hint="eastAsia" w:hAnsi="宋体"/>
                <w:color w:val="auto"/>
                <w:sz w:val="21"/>
                <w:szCs w:val="21"/>
                <w:lang w:bidi="ar"/>
              </w:rPr>
            </w:pPr>
            <w:r>
              <w:rPr>
                <w:rFonts w:hint="eastAsia" w:hAnsi="宋体"/>
                <w:b/>
                <w:bCs/>
                <w:color w:val="auto"/>
                <w:sz w:val="21"/>
                <w:szCs w:val="21"/>
                <w:lang w:bidi="ar"/>
              </w:rPr>
              <w:t>商务要求</w:t>
            </w:r>
          </w:p>
        </w:tc>
      </w:tr>
    </w:tbl>
    <w:tbl>
      <w:tblPr>
        <w:tblStyle w:val="49"/>
        <w:tblpPr w:leftFromText="180" w:rightFromText="180" w:vertAnchor="text" w:horzAnchor="page" w:tblpX="1168" w:tblpY="458"/>
        <w:tblOverlap w:val="never"/>
        <w:tblW w:w="9705"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980"/>
        <w:gridCol w:w="77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highlight w:val="none"/>
              </w:rPr>
            </w:pPr>
            <w:r>
              <w:rPr>
                <w:rFonts w:hint="eastAsia" w:ascii="宋体" w:hAnsi="宋体" w:cs="宋体"/>
                <w:kern w:val="0"/>
                <w:szCs w:val="21"/>
                <w:highlight w:val="none"/>
                <w:lang w:bidi="ar"/>
              </w:rPr>
              <w:t>合同签订期</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highlight w:val="none"/>
              </w:rPr>
            </w:pPr>
            <w:r>
              <w:rPr>
                <w:rFonts w:hint="eastAsia" w:ascii="宋体" w:hAnsi="宋体" w:eastAsia="宋体" w:cs="宋体"/>
                <w:sz w:val="21"/>
                <w:szCs w:val="21"/>
                <w:highlight w:val="none"/>
                <w:lang w:val="en-US" w:eastAsia="zh-CN"/>
              </w:rPr>
              <w:t>自中标通知书发出之日起15日内。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rPr>
                <w:rFonts w:hint="eastAsia" w:ascii="宋体" w:hAnsi="宋体" w:cs="宋体"/>
                <w:szCs w:val="21"/>
              </w:rPr>
            </w:pPr>
            <w:r>
              <w:rPr>
                <w:rFonts w:hint="eastAsia" w:ascii="宋体" w:hAnsi="宋体" w:cs="宋体"/>
                <w:kern w:val="0"/>
                <w:szCs w:val="21"/>
                <w:lang w:bidi="ar"/>
              </w:rPr>
              <w:t>交货时间及地点</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rPr>
            </w:pPr>
            <w:r>
              <w:rPr>
                <w:rFonts w:hint="eastAsia" w:ascii="宋体" w:hAnsi="宋体" w:eastAsia="宋体" w:cs="宋体"/>
                <w:sz w:val="21"/>
                <w:szCs w:val="21"/>
                <w:lang w:val="en-US" w:eastAsia="zh-CN"/>
              </w:rPr>
              <w:t>自合同签订之日2个月内，完成全部货物的交付、安装、调试并达</w:t>
            </w:r>
            <w:r>
              <w:rPr>
                <w:rFonts w:hint="eastAsia" w:ascii="宋体" w:hAnsi="宋体" w:cs="宋体"/>
                <w:sz w:val="21"/>
                <w:szCs w:val="21"/>
                <w:lang w:val="en-US" w:eastAsia="zh-CN"/>
              </w:rPr>
              <w:t>初验水平。</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both"/>
              <w:rPr>
                <w:rFonts w:hint="eastAsia" w:ascii="宋体" w:hAnsi="宋体" w:cs="宋体"/>
                <w:kern w:val="0"/>
                <w:szCs w:val="21"/>
                <w:lang w:bidi="ar"/>
              </w:rPr>
            </w:pPr>
            <w:r>
              <w:rPr>
                <w:rFonts w:hint="eastAsia" w:ascii="宋体" w:hAnsi="宋体" w:cs="宋体"/>
                <w:kern w:val="0"/>
                <w:szCs w:val="21"/>
                <w:highlight w:val="none"/>
                <w:lang w:bidi="ar"/>
              </w:rPr>
              <w:t>付款方式及条件</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eastAsia="宋体" w:cs="宋体"/>
                <w:sz w:val="21"/>
                <w:szCs w:val="21"/>
                <w:lang w:val="en-US" w:eastAsia="zh-CN"/>
              </w:rPr>
            </w:pPr>
            <w:r>
              <w:rPr>
                <w:rFonts w:ascii="宋体" w:hAnsi="宋体"/>
                <w:bCs/>
                <w:highlight w:val="none"/>
              </w:rPr>
              <w:t>本项目无预付款，</w:t>
            </w:r>
            <w:r>
              <w:rPr>
                <w:rFonts w:hint="eastAsia" w:ascii="宋体" w:hAnsi="宋体"/>
                <w:bCs/>
                <w:highlight w:val="none"/>
                <w:lang w:val="en-US" w:eastAsia="zh-CN"/>
              </w:rPr>
              <w:t>中标供应商</w:t>
            </w:r>
            <w:r>
              <w:rPr>
                <w:rFonts w:ascii="宋体" w:hAnsi="宋体"/>
                <w:bCs/>
                <w:highlight w:val="none"/>
              </w:rPr>
              <w:t>交货完毕</w:t>
            </w:r>
            <w:r>
              <w:rPr>
                <w:rFonts w:hint="eastAsia" w:ascii="宋体" w:hAnsi="宋体"/>
                <w:bCs/>
                <w:highlight w:val="none"/>
                <w:lang w:eastAsia="zh-CN"/>
              </w:rPr>
              <w:t>，</w:t>
            </w:r>
            <w:r>
              <w:rPr>
                <w:rFonts w:ascii="宋体" w:hAnsi="宋体"/>
                <w:bCs/>
                <w:highlight w:val="none"/>
              </w:rPr>
              <w:t>经</w:t>
            </w:r>
            <w:r>
              <w:rPr>
                <w:rFonts w:hint="eastAsia" w:ascii="宋体" w:hAnsi="宋体"/>
                <w:bCs/>
                <w:highlight w:val="none"/>
                <w:lang w:val="en-US" w:eastAsia="zh-CN"/>
              </w:rPr>
              <w:t>采购人</w:t>
            </w:r>
            <w:r>
              <w:rPr>
                <w:rFonts w:ascii="宋体" w:hAnsi="宋体"/>
                <w:bCs/>
                <w:highlight w:val="none"/>
              </w:rPr>
              <w:t>验收合格后且收到</w:t>
            </w:r>
            <w:r>
              <w:rPr>
                <w:rFonts w:hint="eastAsia" w:ascii="宋体" w:hAnsi="宋体"/>
                <w:bCs/>
                <w:highlight w:val="none"/>
                <w:lang w:val="en-US" w:eastAsia="zh-CN"/>
              </w:rPr>
              <w:t>中标供应商</w:t>
            </w:r>
            <w:r>
              <w:rPr>
                <w:rFonts w:ascii="宋体" w:hAnsi="宋体"/>
                <w:bCs/>
                <w:highlight w:val="none"/>
              </w:rPr>
              <w:t>开具的发票，</w:t>
            </w:r>
            <w:r>
              <w:rPr>
                <w:rFonts w:hint="eastAsia" w:ascii="宋体" w:hAnsi="宋体"/>
                <w:bCs/>
                <w:highlight w:val="none"/>
              </w:rPr>
              <w:t>采购人原则上应当自收到发票后10个工作日内将资金支付</w:t>
            </w:r>
            <w:r>
              <w:rPr>
                <w:rFonts w:hint="eastAsia" w:ascii="宋体" w:hAnsi="宋体"/>
                <w:bCs/>
                <w:highlight w:val="none"/>
                <w:lang w:val="en-US" w:eastAsia="zh-CN"/>
              </w:rPr>
              <w:t>给中标人。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rPr>
            </w:pPr>
            <w:r>
              <w:rPr>
                <w:rFonts w:hint="eastAsia"/>
              </w:rPr>
              <w:t>质保期</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right="181" w:rightChars="0" w:firstLine="0" w:firstLineChars="0"/>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保质期1年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rPr>
                <w:rFonts w:hint="eastAsia" w:ascii="宋体" w:hAnsi="宋体" w:cs="宋体"/>
                <w:szCs w:val="21"/>
                <w:highlight w:val="none"/>
              </w:rPr>
            </w:pPr>
            <w:r>
              <w:rPr>
                <w:rFonts w:hint="eastAsia"/>
                <w:highlight w:val="none"/>
              </w:rPr>
              <w:t>验收标准</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highlight w:val="none"/>
              </w:rPr>
            </w:pPr>
            <w:r>
              <w:rPr>
                <w:rFonts w:hint="eastAsia" w:ascii="宋体" w:hAnsi="宋体" w:cs="宋体"/>
                <w:sz w:val="21"/>
                <w:szCs w:val="21"/>
                <w:highlight w:val="none"/>
                <w:lang w:val="en-US" w:eastAsia="zh-CN"/>
              </w:rPr>
              <w:t>按货物清单满足</w:t>
            </w:r>
            <w:r>
              <w:rPr>
                <w:rFonts w:hint="eastAsia" w:ascii="宋体" w:hAnsi="宋体" w:eastAsia="宋体" w:cs="宋体"/>
                <w:b w:val="0"/>
                <w:bCs w:val="0"/>
                <w:color w:val="auto"/>
                <w:kern w:val="0"/>
                <w:sz w:val="21"/>
                <w:szCs w:val="21"/>
                <w:highlight w:val="none"/>
                <w:lang w:bidi="ar"/>
              </w:rPr>
              <w:t>技术参数、规格及要求</w:t>
            </w:r>
            <w:r>
              <w:rPr>
                <w:rFonts w:hint="eastAsia" w:ascii="宋体" w:hAnsi="宋体" w:cs="宋体"/>
                <w:b w:val="0"/>
                <w:bCs w:val="0"/>
                <w:color w:val="auto"/>
                <w:kern w:val="0"/>
                <w:sz w:val="21"/>
                <w:szCs w:val="21"/>
                <w:highlight w:val="none"/>
                <w:lang w:eastAsia="zh-CN" w:bidi="ar"/>
              </w:rPr>
              <w:t>，</w:t>
            </w:r>
            <w:r>
              <w:rPr>
                <w:rFonts w:hint="eastAsia" w:ascii="宋体" w:hAnsi="宋体" w:cs="宋体"/>
                <w:b w:val="0"/>
                <w:bCs w:val="0"/>
                <w:color w:val="auto"/>
                <w:kern w:val="0"/>
                <w:sz w:val="21"/>
                <w:szCs w:val="21"/>
                <w:highlight w:val="none"/>
                <w:lang w:val="en-US" w:eastAsia="zh-CN" w:bidi="ar"/>
              </w:rPr>
              <w:t>货物能正常使用。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tcPr>
          <w:p>
            <w:pPr>
              <w:ind w:firstLine="0" w:firstLineChars="0"/>
            </w:pPr>
            <w:r>
              <w:rPr>
                <w:rFonts w:hint="eastAsia" w:ascii="宋体" w:hAnsi="宋体"/>
                <w:bCs/>
              </w:rPr>
              <w:t>核心产品</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1"/>
              <w:spacing w:line="240" w:lineRule="auto"/>
              <w:ind w:firstLine="0" w:firstLineChars="0"/>
              <w:rPr>
                <w:rFonts w:hint="eastAsia" w:ascii="宋体" w:hAnsi="宋体" w:cs="宋体"/>
                <w:szCs w:val="21"/>
              </w:rPr>
            </w:pPr>
            <w:r>
              <w:rPr>
                <w:rFonts w:hint="eastAsia" w:ascii="宋体" w:hAnsi="宋体" w:cs="宋体"/>
                <w:b/>
                <w:bCs/>
                <w:kern w:val="0"/>
                <w:szCs w:val="21"/>
                <w:lang w:bidi="ar"/>
              </w:rPr>
              <w:t xml:space="preserve">本分标 第 </w:t>
            </w:r>
            <w:r>
              <w:rPr>
                <w:rFonts w:hint="eastAsia" w:ascii="宋体" w:hAnsi="宋体" w:cs="宋体"/>
                <w:b/>
                <w:bCs/>
                <w:kern w:val="0"/>
                <w:szCs w:val="21"/>
                <w:u w:val="single"/>
                <w:lang w:val="en-US" w:eastAsia="zh-CN" w:bidi="ar"/>
              </w:rPr>
              <w:t>8</w:t>
            </w:r>
            <w:r>
              <w:rPr>
                <w:rFonts w:hint="eastAsia" w:ascii="宋体" w:hAnsi="宋体" w:cs="宋体"/>
                <w:b/>
                <w:bCs/>
                <w:kern w:val="0"/>
                <w:szCs w:val="21"/>
                <w:u w:val="single"/>
                <w:lang w:bidi="ar"/>
              </w:rPr>
              <w:t xml:space="preserve"> </w:t>
            </w:r>
            <w:r>
              <w:rPr>
                <w:rFonts w:hint="eastAsia" w:ascii="宋体" w:hAnsi="宋体" w:cs="宋体"/>
                <w:b/>
                <w:bCs/>
                <w:kern w:val="0"/>
                <w:szCs w:val="21"/>
                <w:lang w:bidi="ar"/>
              </w:rPr>
              <w:t>项产品“</w:t>
            </w:r>
            <w:r>
              <w:rPr>
                <w:rFonts w:hint="eastAsia" w:ascii="宋体" w:hAnsi="宋体" w:eastAsia="宋体" w:cs="宋体"/>
                <w:b/>
                <w:bCs/>
                <w:i w:val="0"/>
                <w:iCs w:val="0"/>
                <w:color w:val="000000"/>
                <w:kern w:val="0"/>
                <w:sz w:val="21"/>
                <w:szCs w:val="21"/>
                <w:u w:val="single"/>
                <w:lang w:val="en-US" w:eastAsia="zh-CN" w:bidi="ar"/>
              </w:rPr>
              <w:t>一体机黑板</w:t>
            </w:r>
            <w:r>
              <w:rPr>
                <w:rFonts w:hint="eastAsia" w:ascii="宋体" w:hAnsi="宋体" w:cs="宋体"/>
                <w:b/>
                <w:bCs/>
                <w:kern w:val="0"/>
                <w:szCs w:val="21"/>
                <w:lang w:bidi="ar"/>
              </w:rPr>
              <w:t>”为核心产品。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bCs/>
                <w:highlight w:val="none"/>
              </w:rPr>
            </w:pPr>
            <w:r>
              <w:rPr>
                <w:rFonts w:hint="eastAsia" w:ascii="宋体" w:hAnsi="宋体" w:cs="宋体"/>
                <w:color w:val="auto"/>
                <w:kern w:val="0"/>
                <w:szCs w:val="21"/>
                <w:highlight w:val="none"/>
                <w:lang w:bidi="ar"/>
              </w:rPr>
              <w:t>验收标准及要求</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1.验收依据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按合同要求及国家标准进行验收。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2.验收标准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（1）所供产品的规格、数量、功能、材质、颜色等符合招标文件采购需求及采购合同约定的要求。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（2）所供产品的外观完好，无严重碰撞、表皮脱落、五金件生锈等明显瑕疵。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（3）所供产品结构牢固，无安全隐患。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（4）如有抽检要求的，检测结果符合招标文件采购需求及采购合同约定的要求。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（5）所有产品均已运输至指定地点，并安装调试完毕。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（6）招标文件采购需求及采购合同约定的附件、工具、技术资料等齐全；提供产品使用说明书、合格证。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3.验收要求 </w:t>
            </w:r>
          </w:p>
          <w:p>
            <w:pPr>
              <w:widowControl/>
              <w:ind w:firstLine="0" w:firstLineChars="0"/>
              <w:jc w:val="left"/>
              <w:rPr>
                <w:color w:val="auto"/>
                <w:highlight w:val="none"/>
              </w:rPr>
            </w:pPr>
            <w:r>
              <w:rPr>
                <w:rFonts w:hint="eastAsia" w:ascii="宋体" w:hAnsi="宋体" w:cs="宋体"/>
                <w:color w:val="auto"/>
                <w:kern w:val="0"/>
                <w:szCs w:val="21"/>
                <w:highlight w:val="none"/>
                <w:lang w:bidi="ar"/>
              </w:rPr>
              <w:t>（1）采购人可以根据采购项目具体情况自行组织验收，或者委托第三方机构或部门开展采购项目履约验收工作。</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2）本项目验收如委托第三方机构组织实施的，由验收小组对照招标文件的技术参数要求核对检验，如不符合招标文件的技术参数要求的，按合同约定执行，中标人承担所有责任和费用。采购人保留进一步追究责任的权利。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①验收活动开始前，中标人应对货物作出全面检查和对验收文件进行整理，并列出清单，作为采购人收货验收和使用的技术条件依据。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②因验收不合格的，需要再次组织验收的，由此产生相关成本费用由中标人承担。 </w:t>
            </w:r>
          </w:p>
          <w:p>
            <w:pPr>
              <w:widowControl/>
              <w:ind w:firstLine="0" w:firstLineChars="0"/>
              <w:jc w:val="left"/>
              <w:rPr>
                <w:color w:val="auto"/>
                <w:highlight w:val="none"/>
              </w:rPr>
            </w:pPr>
            <w:r>
              <w:rPr>
                <w:rFonts w:hint="eastAsia" w:ascii="宋体" w:hAnsi="宋体" w:cs="宋体"/>
                <w:color w:val="auto"/>
                <w:kern w:val="0"/>
                <w:szCs w:val="21"/>
                <w:highlight w:val="none"/>
                <w:lang w:bidi="ar"/>
              </w:rPr>
              <w:t xml:space="preserve">（3）验收时中标人提供验收文档，具体如下：技术方案、实施方案、售后服务方案、培训方案、系统部署文档、测试文档、使用说明书、电子文档等。 </w:t>
            </w:r>
          </w:p>
          <w:p>
            <w:pPr>
              <w:widowControl/>
              <w:ind w:firstLine="0" w:firstLineChars="0"/>
              <w:jc w:val="left"/>
              <w:rPr>
                <w:rFonts w:hint="eastAsia" w:ascii="宋体" w:hAnsi="宋体" w:cs="宋体"/>
                <w:b/>
                <w:bCs/>
                <w:kern w:val="0"/>
                <w:szCs w:val="21"/>
                <w:highlight w:val="none"/>
                <w:lang w:bidi="ar"/>
              </w:rPr>
            </w:pPr>
            <w:r>
              <w:rPr>
                <w:rFonts w:hint="eastAsia" w:ascii="宋体" w:hAnsi="宋体" w:cs="宋体"/>
                <w:color w:val="auto"/>
                <w:kern w:val="0"/>
                <w:szCs w:val="21"/>
                <w:highlight w:val="none"/>
                <w:lang w:bidi="ar"/>
              </w:rPr>
              <w:t>（4）对所有要求出具的证明文件的原件进行核查</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 xml:space="preserve">提供虚假承诺的，按相关规定做退货处理及违约处理，中标人承担所有责任和费用，采购人保留进一步追究责任的权利。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widowControl/>
              <w:ind w:firstLine="0" w:firstLineChars="0"/>
              <w:jc w:val="left"/>
              <w:rPr>
                <w:rFonts w:hint="eastAsia" w:ascii="宋体" w:hAnsi="宋体" w:cs="宋体"/>
                <w:color w:val="auto"/>
                <w:kern w:val="0"/>
                <w:szCs w:val="21"/>
                <w:highlight w:val="none"/>
                <w:lang w:bidi="ar"/>
              </w:rPr>
            </w:pPr>
            <w:r>
              <w:rPr>
                <w:rFonts w:hint="eastAsia" w:ascii="宋体" w:hAnsi="宋体" w:cs="宋体"/>
                <w:b w:val="0"/>
                <w:bCs w:val="0"/>
                <w:color w:val="auto"/>
                <w:kern w:val="0"/>
                <w:sz w:val="21"/>
                <w:szCs w:val="21"/>
                <w:highlight w:val="none"/>
                <w:lang w:val="en-US" w:eastAsia="zh-CN" w:bidi="ar"/>
              </w:rPr>
              <w:t>现场踏勘</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为保证报价符合采购需求，投标人应在采购人组织下进行实地勘查了解现场实际情况。供应商的现场踏勘实行自愿原则，费用自理。现场勘查须携带的资料：供应商代表持获取采购文件回执函、单位介绍信原件或授权委托书、个人身份证原件。</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踏勘时间：202</w:t>
            </w:r>
            <w:r>
              <w:rPr>
                <w:rFonts w:hint="eastAsia" w:ascii="宋体" w:hAnsi="宋体" w:cs="宋体"/>
                <w:color w:val="auto"/>
                <w:spacing w:val="0"/>
                <w:kern w:val="2"/>
                <w:sz w:val="22"/>
                <w:szCs w:val="24"/>
                <w:highlight w:val="none"/>
                <w:lang w:val="en-US" w:eastAsia="zh-CN" w:bidi="ar-SA"/>
              </w:rPr>
              <w:t>5</w:t>
            </w:r>
            <w:r>
              <w:rPr>
                <w:rFonts w:hint="eastAsia" w:ascii="宋体" w:hAnsi="宋体" w:eastAsia="宋体" w:cs="宋体"/>
                <w:color w:val="auto"/>
                <w:spacing w:val="0"/>
                <w:kern w:val="2"/>
                <w:sz w:val="22"/>
                <w:szCs w:val="24"/>
                <w:highlight w:val="none"/>
                <w:lang w:val="en-US" w:eastAsia="zh-CN" w:bidi="ar-SA"/>
              </w:rPr>
              <w:t>年</w:t>
            </w:r>
            <w:r>
              <w:rPr>
                <w:rFonts w:hint="eastAsia" w:ascii="宋体" w:hAnsi="宋体" w:cs="宋体"/>
                <w:color w:val="auto"/>
                <w:spacing w:val="0"/>
                <w:kern w:val="2"/>
                <w:sz w:val="22"/>
                <w:szCs w:val="24"/>
                <w:highlight w:val="none"/>
                <w:lang w:val="en-US" w:eastAsia="zh-CN" w:bidi="ar-SA"/>
              </w:rPr>
              <w:t>11</w:t>
            </w:r>
            <w:r>
              <w:rPr>
                <w:rFonts w:hint="eastAsia" w:ascii="宋体" w:hAnsi="宋体" w:eastAsia="宋体" w:cs="宋体"/>
                <w:color w:val="auto"/>
                <w:spacing w:val="0"/>
                <w:kern w:val="2"/>
                <w:sz w:val="22"/>
                <w:szCs w:val="24"/>
                <w:highlight w:val="none"/>
                <w:lang w:val="en-US" w:eastAsia="zh-CN" w:bidi="ar-SA"/>
              </w:rPr>
              <w:t>月</w:t>
            </w:r>
            <w:r>
              <w:rPr>
                <w:rFonts w:hint="eastAsia" w:ascii="宋体" w:hAnsi="宋体" w:cs="宋体"/>
                <w:color w:val="auto"/>
                <w:spacing w:val="0"/>
                <w:kern w:val="2"/>
                <w:sz w:val="22"/>
                <w:szCs w:val="24"/>
                <w:highlight w:val="none"/>
                <w:lang w:val="en-US" w:eastAsia="zh-CN" w:bidi="ar-SA"/>
              </w:rPr>
              <w:t>12</w:t>
            </w:r>
            <w:r>
              <w:rPr>
                <w:rFonts w:hint="eastAsia" w:ascii="宋体" w:hAnsi="宋体" w:eastAsia="宋体" w:cs="宋体"/>
                <w:color w:val="auto"/>
                <w:spacing w:val="0"/>
                <w:kern w:val="2"/>
                <w:sz w:val="22"/>
                <w:szCs w:val="24"/>
                <w:highlight w:val="none"/>
                <w:lang w:val="en-US" w:eastAsia="zh-CN" w:bidi="ar-SA"/>
              </w:rPr>
              <w:t>日上午10:</w:t>
            </w:r>
            <w:r>
              <w:rPr>
                <w:rFonts w:hint="eastAsia" w:ascii="宋体" w:hAnsi="宋体" w:cs="宋体"/>
                <w:color w:val="auto"/>
                <w:spacing w:val="0"/>
                <w:kern w:val="2"/>
                <w:sz w:val="22"/>
                <w:szCs w:val="24"/>
                <w:highlight w:val="none"/>
                <w:lang w:val="en-US" w:eastAsia="zh-CN" w:bidi="ar-SA"/>
              </w:rPr>
              <w:t>3</w:t>
            </w:r>
            <w:r>
              <w:rPr>
                <w:rFonts w:hint="eastAsia" w:ascii="宋体" w:hAnsi="宋体" w:eastAsia="宋体" w:cs="宋体"/>
                <w:color w:val="auto"/>
                <w:spacing w:val="0"/>
                <w:kern w:val="2"/>
                <w:sz w:val="22"/>
                <w:szCs w:val="24"/>
                <w:highlight w:val="none"/>
                <w:lang w:val="en-US" w:eastAsia="zh-CN" w:bidi="ar-SA"/>
              </w:rPr>
              <w:t>0分（逾期不候）</w:t>
            </w:r>
          </w:p>
          <w:p>
            <w:pPr>
              <w:pStyle w:val="20"/>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集合地点：浦北县县城金浦新区科园路1号  </w:t>
            </w:r>
          </w:p>
          <w:p>
            <w:pPr>
              <w:pStyle w:val="20"/>
              <w:ind w:firstLine="440" w:firstLineChars="200"/>
              <w:rPr>
                <w:rFonts w:hint="eastAsia" w:ascii="宋体" w:hAnsi="宋体" w:cs="宋体"/>
                <w:color w:val="auto"/>
                <w:kern w:val="0"/>
                <w:szCs w:val="21"/>
                <w:highlight w:val="none"/>
                <w:lang w:bidi="ar"/>
              </w:rPr>
            </w:pPr>
            <w:r>
              <w:rPr>
                <w:rFonts w:hint="eastAsia" w:ascii="宋体" w:hAnsi="宋体" w:eastAsia="宋体" w:cs="宋体"/>
                <w:color w:val="auto"/>
                <w:spacing w:val="0"/>
                <w:kern w:val="2"/>
                <w:sz w:val="22"/>
                <w:szCs w:val="24"/>
                <w:highlight w:val="none"/>
                <w:lang w:val="en-US" w:eastAsia="zh-CN" w:bidi="ar-SA"/>
              </w:rPr>
              <w:t>现场踏勘联系人及电话：</w:t>
            </w:r>
            <w:r>
              <w:rPr>
                <w:rFonts w:hint="eastAsia" w:ascii="宋体" w:hAnsi="宋体" w:cs="宋体"/>
                <w:color w:val="auto"/>
                <w:spacing w:val="0"/>
                <w:kern w:val="2"/>
                <w:sz w:val="22"/>
                <w:szCs w:val="24"/>
                <w:highlight w:val="none"/>
                <w:lang w:val="en-US" w:eastAsia="zh-CN" w:bidi="ar-SA"/>
              </w:rPr>
              <w:t>谢老师</w:t>
            </w:r>
            <w:r>
              <w:rPr>
                <w:rFonts w:hint="eastAsia" w:ascii="宋体" w:hAnsi="宋体" w:eastAsia="宋体" w:cs="宋体"/>
                <w:color w:val="auto"/>
                <w:spacing w:val="0"/>
                <w:kern w:val="2"/>
                <w:sz w:val="22"/>
                <w:szCs w:val="24"/>
                <w:highlight w:val="none"/>
                <w:lang w:val="en-US" w:eastAsia="zh-CN" w:bidi="ar-SA"/>
              </w:rPr>
              <w:t xml:space="preserve">，18778872765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8" w:type="dxa"/>
            <w:bottom w:w="0" w:type="dxa"/>
            <w:right w:w="108" w:type="dxa"/>
          </w:tblCellMar>
        </w:tblPrEx>
        <w:trPr>
          <w:trHeight w:val="410" w:hRule="atLeast"/>
        </w:trPr>
        <w:tc>
          <w:tcPr>
            <w:tcW w:w="1980"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top"/>
          </w:tcPr>
          <w:p>
            <w:pPr>
              <w:tabs>
                <w:tab w:val="left" w:pos="361"/>
              </w:tabs>
              <w:spacing w:line="400" w:lineRule="exact"/>
              <w:ind w:left="0" w:leftChars="0" w:firstLine="0" w:firstLineChars="0"/>
              <w:jc w:val="left"/>
              <w:rPr>
                <w:rFonts w:hint="eastAsia" w:ascii="宋体" w:hAnsi="宋体" w:cs="宋体"/>
                <w:b w:val="0"/>
                <w:bCs w:val="0"/>
                <w:color w:val="auto"/>
                <w:kern w:val="0"/>
                <w:sz w:val="21"/>
                <w:szCs w:val="21"/>
                <w:highlight w:val="none"/>
                <w:lang w:val="en-US" w:eastAsia="zh-CN" w:bidi="ar"/>
              </w:rPr>
            </w:pPr>
            <w:r>
              <w:rPr>
                <w:rFonts w:hint="eastAsia" w:ascii="宋体" w:hAnsi="宋体" w:cs="宋体"/>
                <w:color w:val="auto"/>
                <w:spacing w:val="0"/>
                <w:kern w:val="2"/>
                <w:sz w:val="21"/>
                <w:szCs w:val="21"/>
                <w:highlight w:val="none"/>
                <w:lang w:val="en-US" w:eastAsia="zh-CN" w:bidi="ar-SA"/>
              </w:rPr>
              <w:t>其他要求</w:t>
            </w:r>
          </w:p>
        </w:tc>
        <w:tc>
          <w:tcPr>
            <w:tcW w:w="7725"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top"/>
          </w:tcPr>
          <w:p>
            <w:pPr>
              <w:spacing w:line="400" w:lineRule="exact"/>
              <w:ind w:firstLine="42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cs="宋体"/>
                <w:color w:val="auto"/>
                <w:spacing w:val="0"/>
                <w:kern w:val="2"/>
                <w:sz w:val="21"/>
                <w:szCs w:val="21"/>
                <w:highlight w:val="none"/>
                <w:lang w:val="en-US" w:eastAsia="zh-CN" w:bidi="ar-SA"/>
              </w:rPr>
              <w:t>投标人在政府采购活动中提供任何虚假材料，以及提供的产品技术参数不如实说明，报监管部门查处。</w:t>
            </w:r>
          </w:p>
        </w:tc>
      </w:tr>
    </w:tbl>
    <w:p>
      <w:pPr>
        <w:ind w:firstLine="420"/>
      </w:pPr>
      <w:r>
        <w:br w:type="page"/>
      </w:r>
    </w:p>
    <w:p>
      <w:pPr>
        <w:pStyle w:val="61"/>
        <w:ind w:firstLine="420"/>
      </w:pPr>
    </w:p>
    <w:p>
      <w:pPr>
        <w:pStyle w:val="20"/>
        <w:ind w:firstLine="48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pPr>
      <w:bookmarkStart w:id="88" w:name="_Toc91512285"/>
      <w:r>
        <w:rPr>
          <w:rFonts w:hint="eastAsia"/>
        </w:rPr>
        <w:t>第三章  投标人须知及前附表</w:t>
      </w:r>
      <w:bookmarkEnd w:id="68"/>
      <w:bookmarkEnd w:id="88"/>
    </w:p>
    <w:p>
      <w:pPr>
        <w:pStyle w:val="4"/>
        <w:keepNext/>
        <w:keepLines/>
        <w:pageBreakBefore w:val="0"/>
        <w:widowControl w:val="0"/>
        <w:kinsoku/>
        <w:wordWrap/>
        <w:overflowPunct/>
        <w:topLinePunct w:val="0"/>
        <w:autoSpaceDE/>
        <w:autoSpaceDN/>
        <w:bidi w:val="0"/>
        <w:adjustRightInd/>
        <w:snapToGrid/>
        <w:spacing w:after="160" w:line="416" w:lineRule="auto"/>
        <w:ind w:firstLine="0" w:firstLineChars="0"/>
        <w:jc w:val="center"/>
        <w:textAlignment w:val="auto"/>
        <w:rPr>
          <w:rFonts w:hint="eastAsia" w:ascii="宋体" w:hAnsi="宋体" w:eastAsia="宋体"/>
          <w:kern w:val="44"/>
          <w:sz w:val="44"/>
          <w:szCs w:val="44"/>
        </w:rPr>
      </w:pPr>
      <w:r>
        <w:rPr>
          <w:rFonts w:ascii="方正小标宋_GBK" w:hAnsi="方正小标宋_GBK" w:eastAsia="方正小标宋_GBK"/>
        </w:rPr>
        <w:br w:type="page"/>
      </w:r>
      <w:r>
        <w:rPr>
          <w:rFonts w:hint="eastAsia" w:ascii="宋体" w:hAnsi="宋体" w:eastAsia="宋体"/>
          <w:kern w:val="44"/>
          <w:sz w:val="44"/>
          <w:szCs w:val="44"/>
        </w:rPr>
        <w:t>投标人须知前附表</w:t>
      </w:r>
    </w:p>
    <w:tbl>
      <w:tblPr>
        <w:tblStyle w:val="49"/>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0" w:firstLineChars="0"/>
              <w:jc w:val="center"/>
              <w:rPr>
                <w:rFonts w:hint="eastAsia" w:ascii="宋体" w:hAnsi="宋体"/>
                <w:b/>
                <w:szCs w:val="21"/>
              </w:rPr>
            </w:pPr>
            <w:r>
              <w:rPr>
                <w:rFonts w:hint="eastAsia" w:ascii="宋体" w:hAnsi="宋体"/>
                <w:b/>
                <w:szCs w:val="21"/>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0" w:firstLineChars="0"/>
              <w:jc w:val="center"/>
              <w:rPr>
                <w:rFonts w:hint="eastAsia" w:ascii="宋体" w:hAnsi="宋体"/>
                <w:b/>
                <w:szCs w:val="21"/>
              </w:rPr>
            </w:pPr>
            <w:r>
              <w:rPr>
                <w:rFonts w:hint="eastAsia" w:ascii="宋体" w:hAnsi="宋体"/>
                <w:b/>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Style w:val="58"/>
                <w:rFonts w:hint="eastAsia" w:ascii="宋体" w:hAnsi="宋体" w:eastAsia="宋体" w:cs="Arial"/>
                <w:bCs/>
                <w:color w:val="auto"/>
                <w:szCs w:val="21"/>
                <w:u w:val="none"/>
                <w:lang w:eastAsia="zh-CN"/>
              </w:rPr>
            </w:pPr>
            <w:r>
              <w:rPr>
                <w:rFonts w:hAnsi="宋体"/>
              </w:rPr>
              <w:fldChar w:fldCharType="begin"/>
            </w:r>
            <w:r>
              <w:rPr>
                <w:rFonts w:hAnsi="宋体"/>
              </w:rPr>
              <w:instrText xml:space="preserve"> </w:instrText>
            </w:r>
            <w:r>
              <w:rPr>
                <w:rFonts w:hint="eastAsia" w:hAnsi="宋体"/>
              </w:rPr>
              <w:instrText xml:space="preserve">HYPERLINK </w:instrText>
            </w:r>
            <w:r>
              <w:rPr>
                <w:rFonts w:hAnsi="宋体"/>
              </w:rPr>
              <w:instrText xml:space="preserve"> \l "_一、总__则" </w:instrText>
            </w:r>
            <w:r>
              <w:rPr>
                <w:rFonts w:hAnsi="宋体"/>
              </w:rPr>
              <w:fldChar w:fldCharType="separate"/>
            </w:r>
            <w:r>
              <w:rPr>
                <w:rStyle w:val="58"/>
                <w:rFonts w:hint="eastAsia" w:hAnsi="宋体"/>
                <w:color w:val="auto"/>
                <w:u w:val="none"/>
              </w:rPr>
              <w:t>项目名称：</w:t>
            </w:r>
            <w:r>
              <w:rPr>
                <w:rStyle w:val="58"/>
                <w:rFonts w:hint="eastAsia" w:hAnsi="宋体"/>
                <w:color w:val="auto"/>
                <w:u w:val="none"/>
                <w:lang w:eastAsia="zh-CN"/>
              </w:rPr>
              <w:t>浦北县第一职业技术学校音乐展厅及校园智慧办公系统建设</w:t>
            </w:r>
          </w:p>
          <w:p>
            <w:pPr>
              <w:snapToGrid w:val="0"/>
              <w:spacing w:line="340" w:lineRule="exact"/>
              <w:ind w:firstLine="8" w:firstLineChars="4"/>
              <w:rPr>
                <w:rFonts w:hint="eastAsia" w:hAnsi="宋体" w:eastAsia="宋体"/>
                <w:lang w:eastAsia="zh-CN"/>
              </w:rPr>
            </w:pPr>
            <w:r>
              <w:rPr>
                <w:rStyle w:val="58"/>
                <w:rFonts w:hint="eastAsia" w:ascii="宋体" w:hAnsi="宋体"/>
                <w:color w:val="auto"/>
                <w:u w:val="none"/>
              </w:rPr>
              <w:t>项目编号：</w:t>
            </w:r>
            <w:r>
              <w:rPr>
                <w:rFonts w:hAnsi="宋体"/>
              </w:rPr>
              <w:fldChar w:fldCharType="end"/>
            </w:r>
            <w:r>
              <w:rPr>
                <w:rFonts w:hint="eastAsia" w:hAnsi="宋体"/>
                <w:lang w:eastAsia="zh-CN"/>
              </w:rPr>
              <w:t>QZZC2025-G1-220225-QZSZ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pPr>
            <w: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Style w:val="58"/>
                <w:rFonts w:hint="eastAsia" w:ascii="宋体" w:hAnsi="宋体"/>
                <w:color w:val="auto"/>
                <w:u w:val="none"/>
              </w:rPr>
            </w:pPr>
            <w:r>
              <w:rPr>
                <w:rStyle w:val="58"/>
                <w:rFonts w:ascii="宋体" w:hAnsi="宋体"/>
                <w:color w:val="auto"/>
                <w:u w:val="none"/>
              </w:rPr>
              <w:fldChar w:fldCharType="begin"/>
            </w:r>
            <w:r>
              <w:rPr>
                <w:rStyle w:val="58"/>
                <w:rFonts w:ascii="宋体" w:hAnsi="宋体"/>
                <w:color w:val="auto"/>
                <w:u w:val="none"/>
              </w:rPr>
              <w:instrText xml:space="preserve"> </w:instrText>
            </w:r>
            <w:r>
              <w:rPr>
                <w:rStyle w:val="58"/>
                <w:rFonts w:hint="eastAsia" w:ascii="宋体" w:hAnsi="宋体"/>
                <w:color w:val="auto"/>
                <w:u w:val="none"/>
              </w:rPr>
              <w:instrText xml:space="preserve">HYPERLINK </w:instrText>
            </w:r>
            <w:r>
              <w:rPr>
                <w:rStyle w:val="58"/>
                <w:rFonts w:ascii="宋体" w:hAnsi="宋体"/>
                <w:color w:val="auto"/>
                <w:u w:val="none"/>
              </w:rPr>
              <w:instrText xml:space="preserve"> \l "_一、总__则" </w:instrText>
            </w:r>
            <w:r>
              <w:rPr>
                <w:rStyle w:val="58"/>
                <w:rFonts w:ascii="宋体" w:hAnsi="宋体"/>
                <w:color w:val="auto"/>
                <w:u w:val="none"/>
              </w:rPr>
              <w:fldChar w:fldCharType="separate"/>
            </w:r>
            <w:r>
              <w:rPr>
                <w:rStyle w:val="58"/>
                <w:rFonts w:hint="eastAsia" w:ascii="宋体" w:hAnsi="宋体"/>
                <w:color w:val="auto"/>
                <w:u w:val="none"/>
              </w:rPr>
              <w:t>投标人资格：</w:t>
            </w:r>
          </w:p>
          <w:p>
            <w:pPr>
              <w:spacing w:line="340" w:lineRule="exact"/>
              <w:ind w:firstLine="0" w:firstLineChars="0"/>
              <w:rPr>
                <w:rStyle w:val="58"/>
                <w:rFonts w:hint="eastAsia" w:ascii="宋体" w:hAnsi="宋体"/>
                <w:color w:val="auto"/>
                <w:u w:val="none"/>
              </w:rPr>
            </w:pPr>
            <w:r>
              <w:rPr>
                <w:rStyle w:val="58"/>
                <w:rFonts w:hint="eastAsia" w:ascii="宋体" w:hAnsi="宋体"/>
                <w:color w:val="auto"/>
                <w:u w:val="none"/>
              </w:rPr>
              <w:t>1.满足《中华人民共和国政府采购法》第二十二条规定</w:t>
            </w:r>
          </w:p>
          <w:p>
            <w:pPr>
              <w:spacing w:line="340" w:lineRule="exact"/>
              <w:ind w:firstLine="0" w:firstLineChars="0"/>
              <w:rPr>
                <w:rStyle w:val="58"/>
                <w:rFonts w:hint="eastAsia" w:ascii="宋体" w:hAnsi="宋体"/>
                <w:color w:val="auto"/>
                <w:u w:val="none"/>
              </w:rPr>
            </w:pPr>
            <w:r>
              <w:rPr>
                <w:rStyle w:val="58"/>
                <w:rFonts w:hint="eastAsia" w:ascii="宋体" w:hAnsi="宋体"/>
                <w:color w:val="auto"/>
                <w:u w:val="none"/>
              </w:rPr>
              <w:t>2.落实政府采购政策需满足的资格要求：无</w:t>
            </w:r>
          </w:p>
          <w:p>
            <w:pPr>
              <w:spacing w:line="340" w:lineRule="exact"/>
              <w:ind w:firstLine="0" w:firstLineChars="0"/>
              <w:rPr>
                <w:rFonts w:hint="eastAsia" w:ascii="宋体" w:hAnsi="宋体"/>
              </w:rPr>
            </w:pPr>
            <w:r>
              <w:rPr>
                <w:rStyle w:val="58"/>
                <w:rFonts w:hint="eastAsia" w:ascii="宋体" w:hAnsi="宋体"/>
                <w:color w:val="auto"/>
                <w:u w:val="none"/>
              </w:rPr>
              <w:t>3.本项目的特定资格要求：无</w:t>
            </w:r>
            <w:r>
              <w:rPr>
                <w:rStyle w:val="58"/>
                <w:rFonts w:ascii="宋体" w:hAnsi="宋体"/>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lang w:val="en-US" w:eastAsia="zh-CN"/>
              </w:rPr>
            </w:pPr>
            <w:r>
              <w:rPr>
                <w:rFonts w:hint="eastAsia"/>
                <w:lang w:val="en-US" w:eastAsia="zh-CN"/>
              </w:rPr>
              <w:t>3</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0" w:firstLineChars="0"/>
              <w:rPr>
                <w:rStyle w:val="58"/>
                <w:rFonts w:hint="eastAsia" w:ascii="宋体" w:hAnsi="宋体"/>
                <w:color w:val="auto"/>
                <w:u w:val="none"/>
              </w:rPr>
            </w:pPr>
            <w:r>
              <w:rPr>
                <w:rFonts w:hint="eastAsia" w:hAnsi="宋体"/>
              </w:rPr>
              <w:t>投标人认为招标文件、招标过程或中标结果使自己的合法权益受到损害的，可以在知道或者应知其杈益受到损害之日起7个工作日内，以书面形式向采购人提出质疑。投标人必须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lang w:eastAsia="zh-CN"/>
              </w:rPr>
            </w:pPr>
            <w:r>
              <w:rPr>
                <w:rFonts w:hint="eastAsia"/>
                <w:lang w:val="en-US" w:eastAsia="zh-CN"/>
              </w:rP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szCs w:val="21"/>
              </w:rPr>
            </w:pPr>
            <w:r>
              <w:fldChar w:fldCharType="begin"/>
            </w:r>
            <w:r>
              <w:instrText xml:space="preserve"> HYPERLINK \l "_三、投标文件" </w:instrText>
            </w:r>
            <w:r>
              <w:fldChar w:fldCharType="separate"/>
            </w:r>
            <w:r>
              <w:rPr>
                <w:rStyle w:val="58"/>
                <w:rFonts w:hint="eastAsia" w:ascii="宋体" w:hAnsi="宋体"/>
                <w:color w:val="auto"/>
                <w:szCs w:val="21"/>
                <w:u w:val="none"/>
              </w:rPr>
              <w:t>投标文件组成</w:t>
            </w:r>
            <w:bookmarkStart w:id="89" w:name="_Hlt92979199"/>
            <w:r>
              <w:rPr>
                <w:rStyle w:val="58"/>
                <w:rFonts w:hint="eastAsia" w:ascii="宋体" w:hAnsi="宋体"/>
                <w:color w:val="auto"/>
                <w:szCs w:val="21"/>
                <w:u w:val="none"/>
              </w:rPr>
              <w:t>：</w:t>
            </w:r>
            <w:bookmarkEnd w:id="89"/>
            <w:r>
              <w:rPr>
                <w:rStyle w:val="58"/>
                <w:rFonts w:hint="eastAsia" w:ascii="宋体" w:hAnsi="宋体" w:cs="Arial"/>
                <w:color w:val="auto"/>
                <w:szCs w:val="21"/>
                <w:u w:val="none"/>
              </w:rPr>
              <w:t>资格</w:t>
            </w:r>
            <w:bookmarkStart w:id="90" w:name="_Hlt92979142"/>
            <w:r>
              <w:rPr>
                <w:rStyle w:val="58"/>
                <w:rFonts w:hint="eastAsia" w:ascii="宋体" w:hAnsi="宋体" w:cs="Arial"/>
                <w:color w:val="auto"/>
                <w:szCs w:val="21"/>
                <w:u w:val="none"/>
              </w:rPr>
              <w:t>文</w:t>
            </w:r>
            <w:bookmarkEnd w:id="90"/>
            <w:r>
              <w:rPr>
                <w:rStyle w:val="58"/>
                <w:rFonts w:hint="eastAsia" w:ascii="宋体" w:hAnsi="宋体" w:cs="Arial"/>
                <w:color w:val="auto"/>
                <w:szCs w:val="21"/>
                <w:u w:val="none"/>
              </w:rPr>
              <w:t>件、商务技术文件、</w:t>
            </w:r>
            <w:r>
              <w:rPr>
                <w:rStyle w:val="58"/>
                <w:rFonts w:hint="eastAsia" w:ascii="宋体" w:hAnsi="宋体"/>
                <w:color w:val="auto"/>
                <w:szCs w:val="21"/>
                <w:u w:val="none"/>
              </w:rPr>
              <w:t>报价文件。</w:t>
            </w:r>
            <w:r>
              <w:rPr>
                <w:rStyle w:val="58"/>
                <w:rFonts w:hint="eastAsia" w:ascii="宋体" w:hAnsi="宋体"/>
                <w:color w:val="auto"/>
                <w:szCs w:val="21"/>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lang w:eastAsia="zh-CN"/>
              </w:rPr>
            </w:pPr>
            <w:r>
              <w:rPr>
                <w:rFonts w:hint="eastAsia"/>
                <w:lang w:val="en-US" w:eastAsia="zh-CN"/>
              </w:rP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hAnsi="宋体"/>
              </w:rPr>
            </w:pPr>
            <w:r>
              <w:fldChar w:fldCharType="begin"/>
            </w:r>
            <w:r>
              <w:instrText xml:space="preserve"> HYPERLINK \l "_（五）投标报价" </w:instrText>
            </w:r>
            <w:r>
              <w:fldChar w:fldCharType="separate"/>
            </w:r>
            <w:r>
              <w:rPr>
                <w:rStyle w:val="58"/>
                <w:rFonts w:hint="eastAsia" w:hAnsi="宋体"/>
                <w:color w:val="auto"/>
                <w:u w:val="none"/>
              </w:rPr>
              <w:t>投标报价：投标人</w:t>
            </w:r>
            <w:r>
              <w:rPr>
                <w:rStyle w:val="58"/>
                <w:rFonts w:hint="eastAsia"/>
                <w:color w:val="auto"/>
                <w:u w:val="none"/>
              </w:rPr>
              <w:t>必须就本项目/标项货物及服务内容作完整唯一报价，否则投标无效。</w:t>
            </w:r>
            <w:r>
              <w:rPr>
                <w:rStyle w:val="58"/>
                <w:rFonts w:hint="eastAsia"/>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lang w:eastAsia="zh-CN"/>
              </w:rPr>
            </w:pPr>
            <w:r>
              <w:rPr>
                <w:rFonts w:hint="eastAsia"/>
                <w:lang w:val="en-US" w:eastAsia="zh-CN"/>
              </w:rPr>
              <w:t>6</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hAnsi="宋体"/>
              </w:rPr>
            </w:pPr>
            <w:r>
              <w:fldChar w:fldCharType="begin"/>
            </w:r>
            <w:r>
              <w:instrText xml:space="preserve"> HYPERLINK \l "_（六）投标文件有效期" </w:instrText>
            </w:r>
            <w:r>
              <w:fldChar w:fldCharType="separate"/>
            </w:r>
            <w:r>
              <w:rPr>
                <w:rStyle w:val="58"/>
                <w:rFonts w:hint="eastAsia" w:hAnsi="宋体"/>
                <w:color w:val="auto"/>
                <w:u w:val="none"/>
              </w:rPr>
              <w:t>投标有效</w:t>
            </w:r>
            <w:bookmarkStart w:id="91" w:name="_Hlt113541150"/>
            <w:bookmarkStart w:id="92" w:name="_Hlt113541149"/>
            <w:r>
              <w:rPr>
                <w:rStyle w:val="58"/>
                <w:rFonts w:hint="eastAsia" w:hAnsi="宋体"/>
                <w:color w:val="auto"/>
                <w:u w:val="none"/>
              </w:rPr>
              <w:t>期</w:t>
            </w:r>
            <w:bookmarkEnd w:id="91"/>
            <w:bookmarkEnd w:id="92"/>
            <w:r>
              <w:rPr>
                <w:rStyle w:val="58"/>
                <w:rFonts w:hint="eastAsia" w:hAnsi="宋体"/>
                <w:color w:val="auto"/>
                <w:u w:val="none"/>
              </w:rPr>
              <w:t>：9</w:t>
            </w:r>
            <w:r>
              <w:rPr>
                <w:rStyle w:val="58"/>
                <w:rFonts w:hAnsi="宋体"/>
                <w:color w:val="auto"/>
                <w:u w:val="none"/>
              </w:rPr>
              <w:t>0</w:t>
            </w:r>
            <w:bookmarkStart w:id="93" w:name="_Hlt113541412"/>
            <w:r>
              <w:rPr>
                <w:rStyle w:val="58"/>
                <w:rFonts w:hint="eastAsia" w:hAnsi="宋体"/>
                <w:color w:val="auto"/>
                <w:u w:val="none"/>
              </w:rPr>
              <w:t>天</w:t>
            </w:r>
            <w:bookmarkEnd w:id="93"/>
            <w:r>
              <w:rPr>
                <w:rStyle w:val="58"/>
                <w:rFonts w:hint="eastAsia" w:hAnsi="宋体"/>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lang w:eastAsia="zh-CN"/>
              </w:rPr>
            </w:pPr>
            <w:r>
              <w:rPr>
                <w:rFonts w:hint="eastAsia"/>
                <w:lang w:val="en-US" w:eastAsia="zh-CN"/>
              </w:rPr>
              <w:t>7</w:t>
            </w:r>
          </w:p>
        </w:tc>
        <w:tc>
          <w:tcPr>
            <w:tcW w:w="921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eastAsia"/>
                <w:color w:val="000000"/>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"_（七）投标保证金" </w:instrText>
            </w:r>
            <w:r>
              <w:rPr>
                <w:rFonts w:ascii="宋体" w:hAnsi="宋体" w:cs="宋体"/>
                <w:kern w:val="0"/>
                <w:szCs w:val="21"/>
              </w:rPr>
              <w:fldChar w:fldCharType="separate"/>
            </w:r>
            <w:r>
              <w:rPr>
                <w:rStyle w:val="58"/>
                <w:rFonts w:hint="eastAsia" w:ascii="宋体" w:hAnsi="宋体" w:cs="宋体"/>
                <w:color w:val="auto"/>
                <w:kern w:val="0"/>
                <w:szCs w:val="21"/>
                <w:u w:val="none"/>
              </w:rPr>
              <w:t>投标保证金：标项一：</w:t>
            </w:r>
            <w:r>
              <w:rPr>
                <w:rFonts w:hint="eastAsia"/>
                <w:color w:val="000000"/>
              </w:rPr>
              <w:t>肆仟伍佰元整(￥4500.00)</w:t>
            </w:r>
            <w:r>
              <w:rPr>
                <w:rStyle w:val="58"/>
                <w:rFonts w:hint="eastAsia" w:ascii="宋体" w:hAnsi="宋体" w:cs="宋体"/>
                <w:color w:val="auto"/>
                <w:kern w:val="0"/>
                <w:szCs w:val="21"/>
                <w:u w:val="none"/>
              </w:rPr>
              <w:t>、标项二：</w:t>
            </w:r>
            <w:r>
              <w:rPr>
                <w:rFonts w:hint="eastAsia"/>
                <w:color w:val="000000"/>
              </w:rPr>
              <w:t>壹仟元整(￥1000.00)</w:t>
            </w:r>
          </w:p>
          <w:p>
            <w:pPr>
              <w:widowControl/>
              <w:ind w:firstLine="0" w:firstLineChars="0"/>
              <w:rPr>
                <w:rStyle w:val="58"/>
                <w:rFonts w:ascii="宋体"/>
                <w:color w:val="auto"/>
                <w:szCs w:val="21"/>
                <w:u w:val="none"/>
              </w:rPr>
            </w:pPr>
            <w:r>
              <w:rPr>
                <w:rStyle w:val="58"/>
                <w:rFonts w:hint="eastAsia" w:ascii="宋体"/>
                <w:color w:val="auto"/>
                <w:szCs w:val="21"/>
                <w:u w:val="none"/>
              </w:rPr>
              <w:t>注：</w:t>
            </w:r>
            <w:r>
              <w:rPr>
                <w:rStyle w:val="58"/>
                <w:rFonts w:hint="eastAsia"/>
                <w:color w:val="auto"/>
                <w:szCs w:val="21"/>
                <w:u w:val="none"/>
              </w:rPr>
              <w:t>1.</w:t>
            </w:r>
            <w:r>
              <w:rPr>
                <w:rStyle w:val="58"/>
                <w:rFonts w:hint="eastAsia"/>
                <w:color w:val="auto"/>
                <w:u w:val="none"/>
              </w:rPr>
              <w:t>以支票、汇票、本票或者金融机构、担保机构出具的保函等形式提交保证金的，</w:t>
            </w:r>
            <w:r>
              <w:rPr>
                <w:rStyle w:val="58"/>
                <w:rFonts w:hint="eastAsia"/>
                <w:b/>
                <w:bCs/>
                <w:color w:val="auto"/>
                <w:u w:val="none"/>
              </w:rPr>
              <w:t>投标人必须将</w:t>
            </w:r>
            <w:bookmarkStart w:id="94" w:name="_Hlk94188895"/>
            <w:r>
              <w:rPr>
                <w:rStyle w:val="58"/>
                <w:rFonts w:hint="eastAsia"/>
                <w:b/>
                <w:bCs/>
                <w:color w:val="auto"/>
                <w:u w:val="none"/>
              </w:rPr>
              <w:t>票据、保函</w:t>
            </w:r>
            <w:bookmarkEnd w:id="94"/>
            <w:r>
              <w:rPr>
                <w:rStyle w:val="58"/>
                <w:rFonts w:hint="eastAsia"/>
                <w:b/>
                <w:bCs/>
                <w:color w:val="auto"/>
                <w:u w:val="none"/>
              </w:rPr>
              <w:t>等原件于投标文件提交截止时间前递交至本中心财务室</w:t>
            </w:r>
            <w:r>
              <w:rPr>
                <w:rStyle w:val="58"/>
                <w:rFonts w:hint="eastAsia"/>
                <w:color w:val="auto"/>
                <w:u w:val="none"/>
              </w:rPr>
              <w:t>。</w:t>
            </w:r>
          </w:p>
          <w:p>
            <w:pPr>
              <w:autoSpaceDE w:val="0"/>
              <w:autoSpaceDN w:val="0"/>
              <w:snapToGrid w:val="0"/>
              <w:ind w:firstLine="8" w:firstLineChars="4"/>
              <w:textAlignment w:val="bottom"/>
              <w:rPr>
                <w:rFonts w:hint="eastAsia" w:ascii="宋体" w:hAnsi="宋体"/>
                <w:szCs w:val="21"/>
              </w:rPr>
            </w:pPr>
            <w:r>
              <w:rPr>
                <w:rStyle w:val="58"/>
                <w:rFonts w:hint="eastAsia"/>
                <w:color w:val="auto"/>
                <w:u w:val="none"/>
              </w:rPr>
              <w:t>2.</w:t>
            </w:r>
            <w:r>
              <w:rPr>
                <w:rStyle w:val="58"/>
                <w:rFonts w:hint="eastAsia"/>
                <w:color w:val="auto"/>
                <w:szCs w:val="21"/>
                <w:u w:val="none"/>
              </w:rPr>
              <w:t>以网上银行</w:t>
            </w:r>
            <w:r>
              <w:rPr>
                <w:rStyle w:val="58"/>
                <w:rFonts w:hint="eastAsia" w:ascii="宋体" w:hAnsi="宋体"/>
                <w:color w:val="auto"/>
                <w:szCs w:val="21"/>
                <w:u w:val="none"/>
              </w:rPr>
              <w:t>形</w:t>
            </w:r>
            <w:r>
              <w:rPr>
                <w:rStyle w:val="58"/>
                <w:rFonts w:hint="eastAsia"/>
                <w:color w:val="auto"/>
                <w:szCs w:val="21"/>
                <w:u w:val="none"/>
              </w:rPr>
              <w:t>式提交保证金的，投标人必须于投标文件提交截止时间前从投标人账户缴存至本中心银行账户（以到</w:t>
            </w:r>
            <w:bookmarkStart w:id="95" w:name="_Hlt169688195"/>
            <w:r>
              <w:rPr>
                <w:rStyle w:val="58"/>
                <w:rFonts w:hint="eastAsia"/>
                <w:color w:val="auto"/>
                <w:szCs w:val="21"/>
                <w:u w:val="none"/>
              </w:rPr>
              <w:t>账</w:t>
            </w:r>
            <w:bookmarkEnd w:id="95"/>
            <w:r>
              <w:rPr>
                <w:rStyle w:val="58"/>
                <w:rFonts w:hint="eastAsia"/>
                <w:color w:val="auto"/>
                <w:szCs w:val="21"/>
                <w:u w:val="none"/>
              </w:rPr>
              <w:t>时间为准）。</w:t>
            </w:r>
            <w:r>
              <w:rPr>
                <w:rFonts w:ascii="宋体" w:hAnsi="宋体" w:cs="宋体"/>
                <w:kern w:val="0"/>
                <w:szCs w:val="21"/>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5"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lang w:eastAsia="zh-CN"/>
              </w:rPr>
            </w:pPr>
            <w:r>
              <w:rPr>
                <w:rFonts w:hint="eastAsia"/>
                <w:lang w:val="en-US" w:eastAsia="zh-CN"/>
              </w:rPr>
              <w:t>8</w:t>
            </w:r>
          </w:p>
        </w:tc>
        <w:tc>
          <w:tcPr>
            <w:tcW w:w="9214" w:type="dxa"/>
            <w:tcBorders>
              <w:top w:val="single" w:color="auto" w:sz="4" w:space="0"/>
              <w:left w:val="single" w:color="auto" w:sz="4" w:space="0"/>
              <w:bottom w:val="single" w:color="auto" w:sz="4" w:space="0"/>
              <w:right w:val="single" w:color="auto" w:sz="4" w:space="0"/>
            </w:tcBorders>
            <w:vAlign w:val="center"/>
          </w:tcPr>
          <w:p>
            <w:pPr>
              <w:pStyle w:val="28"/>
              <w:ind w:firstLine="8" w:firstLineChars="4"/>
            </w:pPr>
            <w:r>
              <w:rPr>
                <w:rFonts w:hint="eastAsia"/>
                <w:b/>
              </w:rPr>
              <w:t>投标文件提交截止时间及开标时间：</w:t>
            </w:r>
            <w:r>
              <w:rPr>
                <w:rFonts w:hint="eastAsia" w:hAnsi="宋体" w:cs="Arial"/>
              </w:rPr>
              <w:t>2025年</w:t>
            </w:r>
            <w:r>
              <w:rPr>
                <w:rFonts w:hint="eastAsia" w:hAnsi="宋体" w:cs="Arial"/>
                <w:lang w:val="en-US" w:eastAsia="zh-CN"/>
              </w:rPr>
              <w:t>11</w:t>
            </w:r>
            <w:r>
              <w:rPr>
                <w:rFonts w:hint="eastAsia" w:hAnsi="宋体" w:cs="Arial"/>
              </w:rPr>
              <w:t>月</w:t>
            </w:r>
            <w:r>
              <w:rPr>
                <w:rFonts w:hint="eastAsia" w:hAnsi="宋体" w:cs="Arial"/>
                <w:lang w:val="en-US" w:eastAsia="zh-CN"/>
              </w:rPr>
              <w:t>25</w:t>
            </w:r>
            <w:r>
              <w:rPr>
                <w:rFonts w:hint="eastAsia" w:hAnsi="宋体" w:cs="Arial"/>
              </w:rPr>
              <w:t>日09</w:t>
            </w:r>
            <w:r>
              <w:rPr>
                <w:rFonts w:hAnsi="宋体" w:cs="Arial"/>
              </w:rPr>
              <w:t>:</w:t>
            </w:r>
            <w:r>
              <w:rPr>
                <w:rFonts w:hint="eastAsia" w:hAnsi="宋体" w:cs="Arial"/>
              </w:rPr>
              <w:t>3</w:t>
            </w:r>
            <w:r>
              <w:rPr>
                <w:rFonts w:hAnsi="宋体" w:cs="Arial"/>
              </w:rPr>
              <w:t>0</w:t>
            </w:r>
            <w:r>
              <w:rPr>
                <w:rFonts w:hint="eastAsia"/>
              </w:rPr>
              <w:t>（北京时间）</w:t>
            </w:r>
          </w:p>
          <w:p>
            <w:pPr>
              <w:ind w:firstLine="8" w:firstLineChars="4"/>
              <w:rPr>
                <w:szCs w:val="21"/>
              </w:rPr>
            </w:pPr>
            <w:r>
              <w:rPr>
                <w:rFonts w:hint="eastAsia"/>
                <w:szCs w:val="21"/>
              </w:rPr>
              <w:t>投标地点(网址）：</w:t>
            </w:r>
            <w:r>
              <w:rPr>
                <w:rFonts w:hint="eastAsia" w:ascii="宋体" w:hAnsi="宋体" w:cs="Courier New"/>
                <w:szCs w:val="21"/>
              </w:rPr>
              <w:t>请登录广西政府采购云平台投标客户端投标</w:t>
            </w:r>
          </w:p>
          <w:p>
            <w:pPr>
              <w:ind w:firstLine="8" w:firstLineChars="4"/>
              <w:rPr>
                <w:szCs w:val="21"/>
              </w:rPr>
            </w:pPr>
            <w:r>
              <w:rPr>
                <w:rFonts w:hint="eastAsia"/>
                <w:szCs w:val="21"/>
              </w:rPr>
              <w:t>开标地点：</w:t>
            </w:r>
            <w:r>
              <w:rPr>
                <w:rFonts w:hint="eastAsia"/>
              </w:rPr>
              <w:t>广西钦州市金海湾东大</w:t>
            </w:r>
            <w:bookmarkStart w:id="96" w:name="_Hlt169688185"/>
            <w:r>
              <w:rPr>
                <w:rFonts w:hint="eastAsia"/>
              </w:rPr>
              <w:t>街</w:t>
            </w:r>
            <w:bookmarkEnd w:id="96"/>
            <w:r>
              <w:rPr>
                <w:rFonts w:hint="eastAsia"/>
              </w:rPr>
              <w:t>8号市</w:t>
            </w:r>
            <w:bookmarkStart w:id="97" w:name="_Hlt169688171"/>
            <w:bookmarkStart w:id="98" w:name="_Hlt169688172"/>
            <w:r>
              <w:rPr>
                <w:rFonts w:hint="eastAsia"/>
              </w:rPr>
              <w:t>政</w:t>
            </w:r>
            <w:bookmarkEnd w:id="97"/>
            <w:bookmarkEnd w:id="98"/>
            <w:r>
              <w:rPr>
                <w:rFonts w:hint="eastAsia"/>
              </w:rPr>
              <w:t>务服务中心三楼开标室</w:t>
            </w:r>
          </w:p>
          <w:p>
            <w:pPr>
              <w:ind w:firstLine="8" w:firstLineChars="4"/>
              <w:rPr>
                <w:b/>
                <w:bCs/>
              </w:rPr>
            </w:pPr>
            <w:r>
              <w:fldChar w:fldCharType="begin"/>
            </w:r>
            <w:r>
              <w:instrText xml:space="preserve"> HYPERLINK \l "_四、开标" </w:instrText>
            </w:r>
            <w:r>
              <w:fldChar w:fldCharType="separate"/>
            </w:r>
            <w:r>
              <w:rPr>
                <w:rStyle w:val="58"/>
                <w:rFonts w:hint="eastAsia"/>
                <w:b/>
                <w:bCs/>
                <w:color w:val="auto"/>
                <w:u w:val="none"/>
              </w:rPr>
              <w:t>注：</w:t>
            </w:r>
            <w:bookmarkStart w:id="99" w:name="_Hlk90299755"/>
            <w:r>
              <w:rPr>
                <w:rStyle w:val="58"/>
                <w:rFonts w:hint="eastAsia"/>
                <w:b/>
                <w:bCs/>
                <w:color w:val="auto"/>
                <w:u w:val="none"/>
              </w:rPr>
              <w:t>投标人法定代表人或委</w:t>
            </w:r>
            <w:bookmarkStart w:id="100" w:name="_Hlt169688258"/>
            <w:r>
              <w:rPr>
                <w:rStyle w:val="58"/>
                <w:rFonts w:hint="eastAsia"/>
                <w:b/>
                <w:bCs/>
                <w:color w:val="auto"/>
                <w:u w:val="none"/>
              </w:rPr>
              <w:t>托</w:t>
            </w:r>
            <w:bookmarkEnd w:id="100"/>
            <w:r>
              <w:rPr>
                <w:rStyle w:val="58"/>
                <w:rFonts w:hint="eastAsia"/>
                <w:b/>
                <w:bCs/>
                <w:color w:val="auto"/>
                <w:u w:val="none"/>
              </w:rPr>
              <w:t>代理人须按时登录</w:t>
            </w:r>
            <w:r>
              <w:rPr>
                <w:rStyle w:val="58"/>
                <w:rFonts w:hint="eastAsia" w:hAnsi="宋体"/>
                <w:b/>
                <w:bCs/>
                <w:color w:val="auto"/>
                <w:u w:val="none"/>
              </w:rPr>
              <w:t>政采云远程开标大厅</w:t>
            </w:r>
            <w:r>
              <w:rPr>
                <w:rStyle w:val="58"/>
                <w:rFonts w:hint="eastAsia"/>
                <w:b/>
                <w:bCs/>
                <w:color w:val="auto"/>
                <w:u w:val="none"/>
              </w:rPr>
              <w:t>，保持全程在线并关注开标评标进度，评标期间评标委员会提出澄清等要求时，投标人须在规定时间内进行在线应答，否则按招标文件或政采云平台的相关规定执行。</w:t>
            </w:r>
            <w:bookmarkEnd w:id="99"/>
            <w:r>
              <w:rPr>
                <w:rStyle w:val="58"/>
                <w:rFonts w:hint="eastAsia"/>
                <w:b/>
                <w:bCs/>
                <w:color w:val="auto"/>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lang w:eastAsia="zh-CN"/>
              </w:rPr>
            </w:pPr>
            <w:r>
              <w:rPr>
                <w:rFonts w:hint="eastAsia"/>
                <w:lang w:val="en-US" w:eastAsia="zh-CN"/>
              </w:rPr>
              <w:t>9</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ind w:firstLine="0" w:firstLineChars="0"/>
              <w:textAlignment w:val="bottom"/>
              <w:rPr>
                <w:rFonts w:hint="eastAsia" w:ascii="宋体" w:hAnsi="宋体"/>
                <w:szCs w:val="21"/>
              </w:rPr>
            </w:pPr>
            <w:r>
              <w:fldChar w:fldCharType="begin"/>
            </w:r>
            <w:r>
              <w:instrText xml:space="preserve"> HYPERLINK \l "_五、评标" </w:instrText>
            </w:r>
            <w:r>
              <w:fldChar w:fldCharType="separate"/>
            </w:r>
            <w:r>
              <w:rPr>
                <w:rStyle w:val="58"/>
                <w:rFonts w:hint="eastAsia" w:ascii="宋体" w:hAnsi="宋体"/>
                <w:color w:val="auto"/>
                <w:szCs w:val="21"/>
                <w:u w:val="none"/>
              </w:rPr>
              <w:t>评标</w:t>
            </w:r>
            <w:bookmarkStart w:id="101" w:name="_Hlt111715136"/>
            <w:bookmarkStart w:id="102" w:name="_Hlt111715137"/>
            <w:r>
              <w:rPr>
                <w:rStyle w:val="58"/>
                <w:rFonts w:hint="eastAsia" w:ascii="宋体" w:hAnsi="宋体"/>
                <w:color w:val="auto"/>
                <w:szCs w:val="21"/>
                <w:u w:val="none"/>
              </w:rPr>
              <w:t>方</w:t>
            </w:r>
            <w:bookmarkEnd w:id="101"/>
            <w:bookmarkEnd w:id="102"/>
            <w:r>
              <w:rPr>
                <w:rStyle w:val="58"/>
                <w:rFonts w:hint="eastAsia" w:ascii="宋体" w:hAnsi="宋体"/>
                <w:color w:val="auto"/>
                <w:szCs w:val="21"/>
                <w:u w:val="none"/>
              </w:rPr>
              <w:t>法：</w:t>
            </w:r>
            <w:r>
              <w:rPr>
                <w:rStyle w:val="58"/>
                <w:rFonts w:hint="eastAsia"/>
                <w:color w:val="auto"/>
                <w:u w:val="none"/>
              </w:rPr>
              <w:t>综合评分法</w:t>
            </w:r>
            <w:r>
              <w:rPr>
                <w:rStyle w:val="58"/>
                <w:rFonts w:hint="eastAsia"/>
                <w:color w:val="auto"/>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vAlign w:val="center"/>
          </w:tcPr>
          <w:p>
            <w:pPr>
              <w:ind w:left="-424" w:leftChars="-202" w:firstLine="420"/>
              <w:jc w:val="center"/>
              <w:rPr>
                <w:rFonts w:hint="default" w:eastAsia="宋体"/>
                <w:lang w:val="en-US" w:eastAsia="zh-CN"/>
              </w:rPr>
            </w:pPr>
            <w:r>
              <w:rPr>
                <w:rFonts w:hint="eastAsia"/>
                <w:lang w:val="en-US" w:eastAsia="zh-CN"/>
              </w:rPr>
              <w:t>10</w:t>
            </w:r>
          </w:p>
        </w:tc>
        <w:tc>
          <w:tcPr>
            <w:tcW w:w="9214" w:type="dxa"/>
            <w:vAlign w:val="center"/>
          </w:tcPr>
          <w:p>
            <w:pPr>
              <w:pStyle w:val="28"/>
              <w:spacing w:line="340" w:lineRule="exact"/>
              <w:ind w:firstLine="8" w:firstLineChars="4"/>
            </w:pPr>
            <w:bookmarkStart w:id="103" w:name="OLE_LINK5"/>
            <w:r>
              <w:rPr>
                <w:rFonts w:hAnsi="宋体"/>
              </w:rPr>
              <w:fldChar w:fldCharType="begin"/>
            </w:r>
            <w:r>
              <w:rPr>
                <w:rFonts w:hAnsi="宋体"/>
              </w:rPr>
              <w:instrText xml:space="preserve"> </w:instrText>
            </w:r>
            <w:r>
              <w:rPr>
                <w:rFonts w:hint="eastAsia" w:hAnsi="宋体"/>
              </w:rPr>
              <w:instrText xml:space="preserve">HYPERLINK </w:instrText>
            </w:r>
            <w:r>
              <w:rPr>
                <w:rFonts w:hAnsi="宋体"/>
              </w:rPr>
              <w:instrText xml:space="preserve"> \l "_九、其他事项" </w:instrText>
            </w:r>
            <w:r>
              <w:rPr>
                <w:rFonts w:hAnsi="宋体"/>
              </w:rPr>
              <w:fldChar w:fldCharType="separate"/>
            </w:r>
            <w:r>
              <w:rPr>
                <w:rStyle w:val="58"/>
                <w:rFonts w:hint="eastAsia" w:hAnsi="宋体"/>
                <w:color w:val="auto"/>
                <w:u w:val="none"/>
              </w:rPr>
              <w:t>代理服务费：本中心按钦州市物价局“钦市价费﹝2013﹞4号”文件规定向中标人收取代理服务费。中标人应向本中心一次性付清代理服务费。</w:t>
            </w:r>
            <w:r>
              <w:rPr>
                <w:rFonts w:hAnsi="宋体"/>
              </w:rPr>
              <w:fldChar w:fldCharType="end"/>
            </w:r>
            <w:bookmarkEnd w:id="103"/>
          </w:p>
        </w:tc>
      </w:tr>
    </w:tbl>
    <w:p>
      <w:pPr>
        <w:ind w:firstLine="0" w:firstLineChars="0"/>
        <w:jc w:val="left"/>
      </w:pPr>
      <w:r>
        <w:br w:type="page"/>
      </w:r>
      <w:bookmarkStart w:id="104" w:name="_Toc352578891"/>
      <w:bookmarkStart w:id="105" w:name="_Toc352700405"/>
      <w:bookmarkStart w:id="106" w:name="_Toc352578861"/>
      <w:bookmarkStart w:id="107" w:name="_Toc353785275"/>
      <w:bookmarkStart w:id="108" w:name="_Toc352578843"/>
    </w:p>
    <w:p>
      <w:pPr>
        <w:spacing w:line="520" w:lineRule="exact"/>
        <w:ind w:firstLine="0" w:firstLineChars="0"/>
        <w:jc w:val="center"/>
        <w:rPr>
          <w:rFonts w:hint="eastAsia" w:ascii="仿宋_GB2312" w:hAnsi="宋体" w:eastAsia="仿宋_GB2312"/>
          <w:b/>
          <w:sz w:val="44"/>
          <w:szCs w:val="44"/>
        </w:rPr>
      </w:pPr>
      <w:bookmarkStart w:id="109" w:name="_Hlk92374740"/>
      <w:r>
        <w:rPr>
          <w:rFonts w:hint="eastAsia"/>
          <w:b/>
          <w:sz w:val="44"/>
          <w:szCs w:val="44"/>
        </w:rPr>
        <w:t>投标人须知</w:t>
      </w:r>
      <w:bookmarkEnd w:id="104"/>
      <w:bookmarkEnd w:id="105"/>
      <w:bookmarkEnd w:id="106"/>
      <w:bookmarkEnd w:id="107"/>
      <w:bookmarkEnd w:id="108"/>
    </w:p>
    <w:p>
      <w:pPr>
        <w:pStyle w:val="4"/>
        <w:spacing w:before="0" w:after="0" w:line="410" w:lineRule="exact"/>
        <w:ind w:firstLine="0" w:firstLineChars="0"/>
        <w:rPr>
          <w:rFonts w:ascii="方正小标宋_GBK" w:eastAsia="方正小标宋_GBK"/>
          <w:sz w:val="24"/>
          <w:szCs w:val="24"/>
        </w:rPr>
      </w:pPr>
      <w:bookmarkStart w:id="110" w:name="_一、总__则"/>
      <w:bookmarkEnd w:id="110"/>
      <w:bookmarkStart w:id="111" w:name="_Toc352700406"/>
      <w:bookmarkStart w:id="112" w:name="_Toc353785276"/>
      <w:r>
        <w:rPr>
          <w:rFonts w:hint="eastAsia" w:ascii="方正小标宋_GBK" w:eastAsia="方正小标宋_GBK"/>
          <w:sz w:val="24"/>
          <w:szCs w:val="24"/>
        </w:rPr>
        <w:t>一、总  则</w:t>
      </w:r>
      <w:bookmarkEnd w:id="111"/>
      <w:bookmarkEnd w:id="112"/>
    </w:p>
    <w:p>
      <w:pPr>
        <w:spacing w:line="410" w:lineRule="exact"/>
        <w:ind w:firstLine="211" w:firstLineChars="100"/>
        <w:rPr>
          <w:b/>
          <w:bCs/>
        </w:rPr>
      </w:pPr>
      <w:r>
        <w:rPr>
          <w:rFonts w:hint="eastAsia"/>
          <w:b/>
          <w:bCs/>
        </w:rPr>
        <w:t>（一）适用范围</w:t>
      </w:r>
    </w:p>
    <w:p>
      <w:pPr>
        <w:spacing w:line="410" w:lineRule="exact"/>
        <w:ind w:firstLine="420"/>
        <w:rPr>
          <w:rFonts w:hint="eastAsia" w:eastAsia="宋体"/>
          <w:lang w:eastAsia="zh-CN"/>
        </w:rPr>
      </w:pPr>
      <w:bookmarkStart w:id="113" w:name="_Toc352700408"/>
      <w:bookmarkStart w:id="114" w:name="_Toc254970528"/>
      <w:bookmarkStart w:id="115" w:name="_Toc254970669"/>
      <w:bookmarkStart w:id="116" w:name="_Toc353785278"/>
      <w:r>
        <w:rPr>
          <w:rFonts w:hint="eastAsia"/>
        </w:rPr>
        <w:t>1</w:t>
      </w:r>
      <w:r>
        <w:t>.</w:t>
      </w:r>
      <w:r>
        <w:rPr>
          <w:rFonts w:hint="eastAsia"/>
        </w:rPr>
        <w:t>项目名称：</w:t>
      </w:r>
      <w:r>
        <w:rPr>
          <w:rFonts w:hint="eastAsia"/>
          <w:lang w:eastAsia="zh-CN"/>
        </w:rPr>
        <w:t>浦北县第一职业技术学校音乐展厅及校园智慧办公系统建设</w:t>
      </w:r>
    </w:p>
    <w:p>
      <w:pPr>
        <w:spacing w:line="410" w:lineRule="exact"/>
        <w:ind w:firstLine="420"/>
        <w:rPr>
          <w:rFonts w:hint="eastAsia" w:eastAsia="宋体"/>
          <w:lang w:eastAsia="zh-CN"/>
        </w:rPr>
      </w:pPr>
      <w:r>
        <w:t>2.</w:t>
      </w:r>
      <w:r>
        <w:rPr>
          <w:rFonts w:hint="eastAsia"/>
        </w:rPr>
        <w:t>项目编号：</w:t>
      </w:r>
      <w:r>
        <w:rPr>
          <w:rFonts w:hint="eastAsia"/>
          <w:lang w:eastAsia="zh-CN"/>
        </w:rPr>
        <w:t>QZZC2025-G1-220225-QZSZ</w:t>
      </w:r>
    </w:p>
    <w:p>
      <w:pPr>
        <w:spacing w:line="410" w:lineRule="exact"/>
        <w:ind w:firstLine="420"/>
      </w:pPr>
      <w:r>
        <w:rPr>
          <w:rFonts w:hint="eastAsia"/>
        </w:rPr>
        <w:t>本招标文件仅适用于上述项目的招标、投标、评标、定标、验收、合同履约、付款等行为（法律、法规另有规定的，从其规定）。</w:t>
      </w:r>
    </w:p>
    <w:p>
      <w:pPr>
        <w:spacing w:line="410" w:lineRule="exact"/>
        <w:ind w:firstLine="211" w:firstLineChars="100"/>
        <w:rPr>
          <w:b/>
          <w:bCs/>
        </w:rPr>
      </w:pPr>
      <w:r>
        <w:rPr>
          <w:rFonts w:hint="eastAsia"/>
          <w:b/>
          <w:bCs/>
        </w:rPr>
        <w:t>（二）定义</w:t>
      </w:r>
      <w:bookmarkEnd w:id="113"/>
      <w:bookmarkEnd w:id="114"/>
      <w:bookmarkEnd w:id="115"/>
      <w:bookmarkEnd w:id="116"/>
    </w:p>
    <w:p>
      <w:pPr>
        <w:pStyle w:val="28"/>
        <w:snapToGrid w:val="0"/>
        <w:spacing w:line="410" w:lineRule="exact"/>
        <w:ind w:firstLine="420"/>
        <w:rPr>
          <w:rFonts w:hint="eastAsia" w:hAnsi="宋体"/>
        </w:rPr>
      </w:pPr>
      <w:bookmarkStart w:id="117" w:name="_Hlk92374304"/>
      <w:r>
        <w:rPr>
          <w:rFonts w:hAnsi="宋体"/>
          <w:bCs/>
        </w:rPr>
        <w:t>1.</w:t>
      </w:r>
      <w:r>
        <w:rPr>
          <w:rFonts w:hint="eastAsia" w:hAnsi="宋体"/>
          <w:bCs/>
        </w:rPr>
        <w:t>“采购人”系指</w:t>
      </w:r>
      <w:r>
        <w:rPr>
          <w:rFonts w:hAnsi="宋体"/>
        </w:rPr>
        <w:t>依法进行政府采购的国家机关、事业单位、团体组织</w:t>
      </w:r>
    </w:p>
    <w:p>
      <w:pPr>
        <w:pStyle w:val="28"/>
        <w:snapToGrid w:val="0"/>
        <w:spacing w:line="410" w:lineRule="exact"/>
        <w:ind w:firstLine="420"/>
        <w:rPr>
          <w:rFonts w:hint="eastAsia" w:hAnsi="宋体"/>
          <w:bCs/>
        </w:rPr>
      </w:pPr>
      <w:r>
        <w:rPr>
          <w:rFonts w:hAnsi="宋体"/>
          <w:bCs/>
        </w:rPr>
        <w:t>2.</w:t>
      </w:r>
      <w:r>
        <w:rPr>
          <w:rFonts w:hint="eastAsia" w:hAnsi="宋体"/>
          <w:bCs/>
        </w:rPr>
        <w:t>“投标人”系指向招标方提交投标文件的单位或自然人。</w:t>
      </w:r>
    </w:p>
    <w:p>
      <w:pPr>
        <w:pStyle w:val="28"/>
        <w:snapToGrid w:val="0"/>
        <w:spacing w:line="410" w:lineRule="exact"/>
        <w:ind w:firstLine="420"/>
        <w:rPr>
          <w:rFonts w:hint="eastAsia" w:hAnsi="宋体"/>
          <w:bCs/>
        </w:rPr>
      </w:pPr>
      <w:r>
        <w:rPr>
          <w:rFonts w:hAnsi="宋体"/>
          <w:bCs/>
        </w:rPr>
        <w:t>3.</w:t>
      </w:r>
      <w:r>
        <w:rPr>
          <w:rFonts w:hint="eastAsia" w:hAnsi="宋体"/>
          <w:bCs/>
        </w:rPr>
        <w:t>“采购代理机构”系指组织本次招标的钦州市政府采购中心（以下简称“本中心）。</w:t>
      </w:r>
    </w:p>
    <w:p>
      <w:pPr>
        <w:pStyle w:val="28"/>
        <w:snapToGrid w:val="0"/>
        <w:spacing w:line="410" w:lineRule="exact"/>
        <w:ind w:firstLine="420"/>
        <w:rPr>
          <w:rFonts w:hint="eastAsia" w:hAnsi="宋体"/>
          <w:bCs/>
        </w:rPr>
      </w:pPr>
      <w:r>
        <w:rPr>
          <w:rFonts w:hAnsi="宋体"/>
          <w:bCs/>
        </w:rPr>
        <w:t>4.</w:t>
      </w:r>
      <w:r>
        <w:rPr>
          <w:rFonts w:hint="eastAsia" w:hAnsi="宋体"/>
          <w:bCs/>
        </w:rPr>
        <w:t>“货物”系指各种形态和种类的物品，包括原材料、燃料、设备、产品等。</w:t>
      </w:r>
    </w:p>
    <w:p>
      <w:pPr>
        <w:pStyle w:val="28"/>
        <w:snapToGrid w:val="0"/>
        <w:spacing w:line="410" w:lineRule="exact"/>
        <w:ind w:firstLine="420"/>
        <w:rPr>
          <w:rFonts w:hint="eastAsia" w:hAnsi="宋体"/>
          <w:bCs/>
        </w:rPr>
      </w:pPr>
      <w:r>
        <w:rPr>
          <w:rFonts w:hAnsi="宋体"/>
          <w:bCs/>
        </w:rPr>
        <w:t>5.</w:t>
      </w:r>
      <w:r>
        <w:rPr>
          <w:rFonts w:hint="eastAsia" w:hAnsi="宋体"/>
          <w:bCs/>
        </w:rPr>
        <w:t>“服务”系指除货物和工程以外的其他政府采购对象。</w:t>
      </w:r>
    </w:p>
    <w:p>
      <w:pPr>
        <w:pStyle w:val="28"/>
        <w:snapToGrid w:val="0"/>
        <w:spacing w:line="410" w:lineRule="exact"/>
        <w:ind w:firstLine="420"/>
        <w:rPr>
          <w:rFonts w:hint="eastAsia" w:hAnsi="宋体"/>
          <w:bCs/>
        </w:rPr>
      </w:pPr>
      <w:r>
        <w:rPr>
          <w:rFonts w:hAnsi="宋体"/>
          <w:bCs/>
        </w:rPr>
        <w:t>6.</w:t>
      </w:r>
      <w:r>
        <w:rPr>
          <w:rFonts w:hint="eastAsia" w:hAnsi="宋体"/>
          <w:bCs/>
        </w:rPr>
        <w:t>“项目”系指投标人按招标文件规定向采购人提供的产品和服务。</w:t>
      </w:r>
    </w:p>
    <w:p>
      <w:pPr>
        <w:pStyle w:val="28"/>
        <w:snapToGrid w:val="0"/>
        <w:spacing w:line="410" w:lineRule="exact"/>
        <w:ind w:firstLine="420"/>
        <w:rPr>
          <w:rFonts w:hint="eastAsia" w:hAnsi="宋体"/>
          <w:bCs/>
        </w:rPr>
      </w:pPr>
      <w:r>
        <w:rPr>
          <w:rFonts w:hAnsi="宋体"/>
          <w:bCs/>
        </w:rPr>
        <w:t>7.</w:t>
      </w:r>
      <w:r>
        <w:rPr>
          <w:rFonts w:hint="eastAsia" w:hAnsi="宋体"/>
          <w:bCs/>
        </w:rPr>
        <w:t>“书面形式”</w:t>
      </w:r>
      <w:bookmarkEnd w:id="117"/>
      <w:r>
        <w:rPr>
          <w:rFonts w:hint="eastAsia" w:hAnsi="宋体"/>
          <w:bCs/>
        </w:rPr>
        <w:t>是合同书、信件、电报、电传、传真等可以有形地表现所载内容的形式。</w:t>
      </w:r>
    </w:p>
    <w:p>
      <w:pPr>
        <w:spacing w:line="410" w:lineRule="exact"/>
        <w:ind w:firstLine="211" w:firstLineChars="100"/>
        <w:rPr>
          <w:b/>
          <w:bCs/>
        </w:rPr>
      </w:pPr>
      <w:bookmarkStart w:id="118" w:name="_Toc353785279"/>
      <w:r>
        <w:rPr>
          <w:rFonts w:hint="eastAsia"/>
          <w:b/>
          <w:bCs/>
        </w:rPr>
        <w:t>（三）投标人资格</w:t>
      </w:r>
      <w:bookmarkEnd w:id="118"/>
    </w:p>
    <w:p>
      <w:pPr>
        <w:spacing w:line="412" w:lineRule="exact"/>
        <w:ind w:firstLine="420"/>
        <w:rPr>
          <w:b/>
        </w:rPr>
      </w:pPr>
      <w:bookmarkStart w:id="119" w:name="_Toc353785280"/>
      <w:bookmarkStart w:id="120" w:name="_Toc254970529"/>
      <w:bookmarkStart w:id="121" w:name="_Toc352700409"/>
      <w:bookmarkStart w:id="122" w:name="_Toc254970670"/>
      <w:bookmarkStart w:id="123" w:name="_Hlk92444465"/>
      <w:r>
        <w:rPr>
          <w:rFonts w:hint="eastAsia"/>
        </w:rPr>
        <w:t>1.满足《中华人民共和国政府采购法》第二十二条规定</w:t>
      </w:r>
    </w:p>
    <w:p>
      <w:pPr>
        <w:spacing w:line="412" w:lineRule="exact"/>
        <w:ind w:firstLine="420"/>
      </w:pPr>
      <w:r>
        <w:rPr>
          <w:rFonts w:hint="eastAsia"/>
        </w:rPr>
        <w:t>2.落实政府采购政策需满足的资格要求：无</w:t>
      </w:r>
    </w:p>
    <w:p>
      <w:pPr>
        <w:spacing w:line="410" w:lineRule="exact"/>
        <w:ind w:firstLine="420"/>
        <w:rPr>
          <w:rFonts w:hint="eastAsia" w:ascii="宋体" w:hAnsi="宋体"/>
        </w:rPr>
      </w:pPr>
      <w:r>
        <w:rPr>
          <w:rFonts w:hint="eastAsia"/>
        </w:rPr>
        <w:t>3.本项目的特定资格要求：无</w:t>
      </w:r>
    </w:p>
    <w:p>
      <w:pPr>
        <w:spacing w:line="410" w:lineRule="exact"/>
        <w:ind w:firstLine="211" w:firstLineChars="100"/>
        <w:rPr>
          <w:b/>
          <w:bCs/>
        </w:rPr>
      </w:pPr>
      <w:r>
        <w:rPr>
          <w:rFonts w:hint="eastAsia"/>
          <w:b/>
          <w:bCs/>
        </w:rPr>
        <w:t>（四）采购方式</w:t>
      </w:r>
      <w:bookmarkEnd w:id="119"/>
      <w:bookmarkEnd w:id="120"/>
      <w:bookmarkEnd w:id="121"/>
      <w:bookmarkEnd w:id="122"/>
    </w:p>
    <w:p>
      <w:pPr>
        <w:snapToGrid w:val="0"/>
        <w:spacing w:line="410" w:lineRule="exact"/>
        <w:ind w:firstLine="420"/>
        <w:rPr>
          <w:rFonts w:hint="eastAsia" w:ascii="宋体" w:hAnsi="宋体"/>
          <w:szCs w:val="21"/>
        </w:rPr>
      </w:pPr>
      <w:r>
        <w:rPr>
          <w:rFonts w:hint="eastAsia" w:ascii="宋体" w:hAnsi="宋体"/>
          <w:szCs w:val="21"/>
        </w:rPr>
        <w:t>公开招标方式。</w:t>
      </w:r>
    </w:p>
    <w:p>
      <w:pPr>
        <w:spacing w:line="410" w:lineRule="exact"/>
        <w:ind w:firstLine="211" w:firstLineChars="100"/>
        <w:rPr>
          <w:b/>
          <w:bCs/>
        </w:rPr>
      </w:pPr>
      <w:bookmarkStart w:id="124" w:name="_Toc352700410"/>
      <w:bookmarkStart w:id="125" w:name="_Toc353785281"/>
      <w:bookmarkStart w:id="126" w:name="_Toc254970671"/>
      <w:bookmarkStart w:id="127" w:name="_Toc254970530"/>
      <w:r>
        <w:rPr>
          <w:rFonts w:hint="eastAsia"/>
          <w:b/>
          <w:bCs/>
        </w:rPr>
        <w:t>（五）投标委托</w:t>
      </w:r>
      <w:bookmarkEnd w:id="124"/>
      <w:bookmarkEnd w:id="125"/>
      <w:bookmarkEnd w:id="126"/>
      <w:bookmarkEnd w:id="127"/>
    </w:p>
    <w:p>
      <w:pPr>
        <w:pStyle w:val="28"/>
        <w:snapToGrid w:val="0"/>
        <w:spacing w:line="410" w:lineRule="exact"/>
        <w:ind w:firstLine="420"/>
        <w:rPr>
          <w:rFonts w:hint="eastAsia" w:hAnsi="宋体"/>
          <w:bCs/>
        </w:rPr>
      </w:pPr>
      <w:r>
        <w:rPr>
          <w:rFonts w:hint="eastAsia" w:hAnsi="宋体"/>
          <w:bCs/>
        </w:rPr>
        <w:t>委托投标的投标人须提供授权委托书（格式见第六章）。</w:t>
      </w:r>
    </w:p>
    <w:p>
      <w:pPr>
        <w:spacing w:line="410" w:lineRule="exact"/>
        <w:ind w:firstLine="211" w:firstLineChars="100"/>
        <w:rPr>
          <w:b/>
          <w:bCs/>
        </w:rPr>
      </w:pPr>
      <w:bookmarkStart w:id="128" w:name="_Toc352700411"/>
      <w:bookmarkStart w:id="129" w:name="_Toc254970531"/>
      <w:bookmarkStart w:id="130" w:name="_Toc254970672"/>
      <w:bookmarkStart w:id="131" w:name="_Toc353785282"/>
      <w:r>
        <w:rPr>
          <w:rFonts w:hint="eastAsia"/>
          <w:b/>
          <w:bCs/>
        </w:rPr>
        <w:t>（六）投标费用</w:t>
      </w:r>
      <w:bookmarkEnd w:id="128"/>
      <w:bookmarkEnd w:id="129"/>
      <w:bookmarkEnd w:id="130"/>
      <w:bookmarkEnd w:id="131"/>
    </w:p>
    <w:p>
      <w:pPr>
        <w:snapToGrid w:val="0"/>
        <w:spacing w:line="410" w:lineRule="exact"/>
        <w:ind w:firstLine="420"/>
        <w:rPr>
          <w:rFonts w:hint="eastAsia" w:ascii="宋体" w:hAnsi="宋体"/>
          <w:szCs w:val="21"/>
        </w:rPr>
      </w:pPr>
      <w:r>
        <w:rPr>
          <w:rFonts w:hint="eastAsia" w:ascii="宋体" w:hAnsi="宋体"/>
          <w:szCs w:val="21"/>
        </w:rPr>
        <w:t>投标人自行承担所有与投标有关的全部费用。</w:t>
      </w:r>
    </w:p>
    <w:p>
      <w:pPr>
        <w:spacing w:line="410" w:lineRule="exact"/>
        <w:ind w:firstLine="211" w:firstLineChars="100"/>
        <w:rPr>
          <w:b/>
          <w:bCs/>
        </w:rPr>
      </w:pPr>
      <w:bookmarkStart w:id="132" w:name="_Toc352700413"/>
      <w:bookmarkStart w:id="133" w:name="_Toc353785283"/>
      <w:r>
        <w:rPr>
          <w:rFonts w:hint="eastAsia"/>
          <w:b/>
          <w:bCs/>
        </w:rPr>
        <w:t>（七）转包与分包</w:t>
      </w:r>
      <w:bookmarkEnd w:id="132"/>
      <w:bookmarkEnd w:id="133"/>
    </w:p>
    <w:p>
      <w:pPr>
        <w:snapToGrid w:val="0"/>
        <w:spacing w:line="410" w:lineRule="exact"/>
        <w:ind w:firstLine="42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10" w:lineRule="exact"/>
        <w:ind w:firstLine="420"/>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采购人允许采用分包方式履行合同的，应当在采购文件中明确可以分包履行的具体内容、金额或者比例。采购合同分包履行的</w:t>
      </w:r>
      <w:r>
        <w:rPr>
          <w:rFonts w:hint="eastAsia" w:ascii="宋体" w:hAnsi="宋体"/>
          <w:kern w:val="0"/>
          <w:szCs w:val="21"/>
        </w:rPr>
        <w:t>，中标人就采购项目和分包项目向采购人负责，分包供应商就分包项目承担责任。</w:t>
      </w:r>
    </w:p>
    <w:p>
      <w:pPr>
        <w:snapToGrid w:val="0"/>
        <w:spacing w:line="410" w:lineRule="exact"/>
        <w:ind w:firstLine="42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bookmarkEnd w:id="123"/>
    <w:p>
      <w:pPr>
        <w:spacing w:line="410" w:lineRule="exact"/>
        <w:ind w:firstLine="211" w:firstLineChars="100"/>
        <w:rPr>
          <w:b/>
          <w:bCs/>
        </w:rPr>
      </w:pPr>
      <w:bookmarkStart w:id="134" w:name="_Toc254970532"/>
      <w:bookmarkStart w:id="135" w:name="_Toc254970673"/>
      <w:bookmarkStart w:id="136" w:name="_Toc352700414"/>
      <w:bookmarkStart w:id="137" w:name="_Toc353785284"/>
      <w:bookmarkStart w:id="138" w:name="_Hlk92444771"/>
      <w:r>
        <w:rPr>
          <w:rFonts w:hint="eastAsia"/>
          <w:b/>
          <w:bCs/>
        </w:rPr>
        <w:t>（八）特别说明：</w:t>
      </w:r>
      <w:bookmarkEnd w:id="134"/>
      <w:bookmarkEnd w:id="135"/>
      <w:bookmarkEnd w:id="136"/>
      <w:bookmarkEnd w:id="137"/>
    </w:p>
    <w:p>
      <w:pPr>
        <w:pStyle w:val="20"/>
        <w:ind w:firstLine="420"/>
        <w:rPr>
          <w:rFonts w:hint="eastAsia" w:ascii="宋体" w:hAnsi="宋体" w:cs="宋体"/>
          <w:kern w:val="0"/>
          <w:sz w:val="21"/>
          <w:szCs w:val="21"/>
        </w:rPr>
      </w:pPr>
      <w:r>
        <w:rPr>
          <w:rFonts w:hint="eastAsia" w:ascii="宋体" w:hAnsi="宋体" w:cs="宋体"/>
          <w:kern w:val="0"/>
          <w:sz w:val="21"/>
          <w:szCs w:val="21"/>
        </w:rPr>
        <w:t>关联供应商不得参加同一合同项下政府采购活动，否则投标文件将被视为无效：</w:t>
      </w:r>
    </w:p>
    <w:p>
      <w:pPr>
        <w:pStyle w:val="20"/>
        <w:ind w:firstLine="480"/>
      </w:pPr>
    </w:p>
    <w:p>
      <w:pPr>
        <w:spacing w:line="410" w:lineRule="exact"/>
        <w:ind w:firstLine="210" w:firstLineChars="100"/>
        <w:rPr>
          <w:rFonts w:hint="eastAsia" w:ascii="宋体" w:hAnsi="宋体"/>
        </w:rPr>
      </w:pPr>
      <w:bookmarkStart w:id="139" w:name="_Toc254970674"/>
      <w:bookmarkStart w:id="140" w:name="_Toc254970533"/>
      <w:bookmarkStart w:id="141" w:name="_Toc353785285"/>
      <w:bookmarkStart w:id="142" w:name="_Toc352700415"/>
      <w:r>
        <w:rPr>
          <w:rFonts w:hint="eastAsia" w:ascii="宋体" w:hAnsi="宋体"/>
        </w:rPr>
        <w:t>1.单位负责人为同一人或者存在直接控股、管理关系的不同的投标人，不得参加同一合同项下的政府采购活动。</w:t>
      </w:r>
    </w:p>
    <w:p>
      <w:pPr>
        <w:spacing w:line="410" w:lineRule="exact"/>
        <w:ind w:firstLine="210" w:firstLineChars="100"/>
        <w:rPr>
          <w:rFonts w:hint="eastAsia" w:ascii="宋体" w:hAnsi="宋体"/>
        </w:rPr>
      </w:pPr>
      <w:r>
        <w:rPr>
          <w:rFonts w:hint="eastAsia" w:ascii="宋体" w:hAnsi="宋体"/>
        </w:rPr>
        <w:t>2.为采购项目提供整体设计、规范编制或者项目管理、监理、检测等服务的投标人，不得再参加该采购项目的其他采购活动。</w:t>
      </w:r>
    </w:p>
    <w:p>
      <w:pPr>
        <w:spacing w:line="410" w:lineRule="exact"/>
        <w:ind w:firstLine="211" w:firstLineChars="100"/>
        <w:rPr>
          <w:b/>
          <w:bCs/>
        </w:rPr>
      </w:pPr>
      <w:r>
        <w:rPr>
          <w:rFonts w:hint="eastAsia"/>
          <w:b/>
          <w:bCs/>
        </w:rPr>
        <w:t>（九）询问、质疑和投诉</w:t>
      </w:r>
      <w:bookmarkEnd w:id="139"/>
      <w:bookmarkEnd w:id="140"/>
      <w:bookmarkEnd w:id="141"/>
      <w:bookmarkEnd w:id="142"/>
    </w:p>
    <w:p>
      <w:pPr>
        <w:pStyle w:val="28"/>
        <w:snapToGrid w:val="0"/>
        <w:spacing w:line="410" w:lineRule="exact"/>
        <w:ind w:firstLine="420"/>
        <w:rPr>
          <w:rFonts w:hint="eastAsia" w:ascii="宋体" w:hAnsi="宋体" w:eastAsia="宋体" w:cs="宋体"/>
          <w:bCs/>
        </w:rPr>
      </w:pPr>
      <w:r>
        <w:rPr>
          <w:rFonts w:hint="eastAsia" w:ascii="宋体" w:hAnsi="宋体" w:eastAsia="宋体" w:cs="宋体"/>
          <w:bCs/>
        </w:rPr>
        <w:t>1.</w:t>
      </w:r>
      <w:r>
        <w:rPr>
          <w:rFonts w:hint="eastAsia" w:ascii="宋体" w:hAnsi="宋体" w:eastAsia="宋体" w:cs="宋体"/>
          <w:kern w:val="0"/>
        </w:rPr>
        <w:t>投标人对政府采购活动事项有疑问的，可以向采购人提出询问，采购人</w:t>
      </w:r>
      <w:r>
        <w:rPr>
          <w:rFonts w:hint="eastAsia" w:ascii="宋体" w:hAnsi="宋体" w:eastAsia="宋体" w:cs="宋体"/>
          <w:kern w:val="0"/>
          <w:lang w:val="en-US" w:eastAsia="zh-CN"/>
        </w:rPr>
        <w:t>应</w:t>
      </w:r>
      <w:r>
        <w:rPr>
          <w:rFonts w:hint="eastAsia" w:ascii="宋体" w:hAnsi="宋体" w:eastAsia="宋体" w:cs="宋体"/>
          <w:kern w:val="0"/>
        </w:rPr>
        <w:t>当在3个工作日内对投标人依法提出的询问作出答复，但答复的内容不得涉及商业秘密。</w:t>
      </w:r>
    </w:p>
    <w:p>
      <w:pPr>
        <w:pStyle w:val="28"/>
        <w:snapToGrid w:val="0"/>
        <w:spacing w:line="410" w:lineRule="exact"/>
        <w:ind w:firstLine="420"/>
        <w:rPr>
          <w:rFonts w:hint="eastAsia" w:ascii="宋体" w:hAnsi="宋体" w:eastAsia="宋体" w:cs="宋体"/>
          <w:bCs/>
        </w:rPr>
      </w:pPr>
      <w:r>
        <w:rPr>
          <w:rFonts w:hint="eastAsia" w:ascii="宋体" w:hAnsi="宋体" w:eastAsia="宋体" w:cs="宋体"/>
          <w:bCs/>
        </w:rPr>
        <w:t>2.投标人认为招标文件、招标过程或中标结果使自己的合法权益受到损害的，可以在知道或者应知其权益受到损害之日起7个工作日内，</w:t>
      </w:r>
      <w:r>
        <w:rPr>
          <w:rFonts w:hint="eastAsia" w:ascii="宋体" w:hAnsi="宋体" w:eastAsia="宋体" w:cs="宋体"/>
        </w:rPr>
        <w:t>以书面形式（政采云平台）向采购人提出质疑。</w:t>
      </w:r>
      <w:r>
        <w:rPr>
          <w:rFonts w:hint="eastAsia" w:ascii="宋体" w:hAnsi="宋体" w:eastAsia="宋体" w:cs="宋体"/>
          <w:bCs/>
        </w:rPr>
        <w:t>投标人必须在法定质疑期内一次性提出针对同一采购程序环节的质疑。</w:t>
      </w:r>
      <w:r>
        <w:rPr>
          <w:rFonts w:hint="eastAsia" w:ascii="宋体" w:hAnsi="宋体" w:eastAsia="宋体" w:cs="宋体"/>
        </w:rPr>
        <w:t>投标人应知其权益受到损害之日，是指：</w:t>
      </w:r>
    </w:p>
    <w:p>
      <w:pPr>
        <w:pStyle w:val="28"/>
        <w:adjustRightInd w:val="0"/>
        <w:snapToGrid w:val="0"/>
        <w:spacing w:line="410" w:lineRule="exact"/>
        <w:ind w:firstLine="308" w:firstLineChars="147"/>
        <w:rPr>
          <w:rFonts w:hint="eastAsia" w:ascii="宋体" w:hAnsi="宋体" w:eastAsia="宋体" w:cs="宋体"/>
          <w:bCs/>
        </w:rPr>
      </w:pPr>
      <w:r>
        <w:rPr>
          <w:rFonts w:hint="eastAsia" w:ascii="宋体" w:hAnsi="宋体" w:eastAsia="宋体" w:cs="宋体"/>
          <w:bCs/>
        </w:rPr>
        <w:t>(1)对招标文件提出质疑的，为获取招标文件之日；</w:t>
      </w:r>
    </w:p>
    <w:p>
      <w:pPr>
        <w:pStyle w:val="28"/>
        <w:adjustRightInd w:val="0"/>
        <w:snapToGrid w:val="0"/>
        <w:spacing w:line="410" w:lineRule="exact"/>
        <w:ind w:firstLine="308" w:firstLineChars="147"/>
        <w:rPr>
          <w:rFonts w:hint="eastAsia" w:ascii="宋体" w:hAnsi="宋体" w:eastAsia="宋体" w:cs="宋体"/>
          <w:bCs/>
        </w:rPr>
      </w:pPr>
      <w:r>
        <w:rPr>
          <w:rFonts w:hint="eastAsia" w:ascii="宋体" w:hAnsi="宋体" w:eastAsia="宋体" w:cs="宋体"/>
          <w:bCs/>
        </w:rPr>
        <w:t>(2)对招标过程提出质疑的，为各采购程序环节结束之日；</w:t>
      </w:r>
    </w:p>
    <w:p>
      <w:pPr>
        <w:widowControl/>
        <w:adjustRightInd w:val="0"/>
        <w:snapToGrid w:val="0"/>
        <w:spacing w:line="410" w:lineRule="exact"/>
        <w:ind w:firstLine="102" w:firstLineChars="49"/>
        <w:jc w:val="left"/>
        <w:rPr>
          <w:rFonts w:hint="eastAsia" w:ascii="宋体" w:hAnsi="宋体" w:eastAsia="宋体" w:cs="宋体"/>
          <w:bCs/>
          <w:szCs w:val="21"/>
        </w:rPr>
      </w:pPr>
      <w:r>
        <w:rPr>
          <w:rFonts w:hint="eastAsia" w:ascii="宋体" w:hAnsi="宋体" w:eastAsia="宋体" w:cs="宋体"/>
          <w:bCs/>
          <w:szCs w:val="21"/>
        </w:rPr>
        <w:t xml:space="preserve">  (3)对中标结果提出质疑的，为中标结果公告期限届满之日。</w:t>
      </w:r>
    </w:p>
    <w:p>
      <w:pPr>
        <w:widowControl/>
        <w:adjustRightInd w:val="0"/>
        <w:snapToGrid w:val="0"/>
        <w:spacing w:line="410" w:lineRule="exact"/>
        <w:ind w:firstLine="420"/>
        <w:jc w:val="left"/>
        <w:rPr>
          <w:rFonts w:hint="eastAsia" w:ascii="宋体" w:hAnsi="宋体" w:eastAsia="宋体" w:cs="宋体"/>
          <w:bCs/>
          <w:szCs w:val="21"/>
        </w:rPr>
      </w:pPr>
      <w:r>
        <w:rPr>
          <w:rFonts w:hint="eastAsia" w:ascii="宋体" w:hAnsi="宋体" w:eastAsia="宋体" w:cs="宋体"/>
          <w:bCs/>
          <w:szCs w:val="21"/>
        </w:rPr>
        <w:t>3.</w:t>
      </w:r>
      <w:r>
        <w:rPr>
          <w:rFonts w:hint="eastAsia" w:ascii="宋体" w:hAnsi="宋体" w:eastAsia="宋体" w:cs="宋体"/>
        </w:rPr>
        <w:t>投标人对采购人质疑答复不满意或者采购人未在规定时间内作出答复的，可以在答复期满后十五个工作日内向同级采购监管部门投诉。</w:t>
      </w:r>
    </w:p>
    <w:p>
      <w:pPr>
        <w:pStyle w:val="28"/>
        <w:snapToGrid w:val="0"/>
        <w:spacing w:line="410" w:lineRule="exact"/>
        <w:ind w:firstLine="420"/>
        <w:rPr>
          <w:rFonts w:hint="eastAsia" w:ascii="黑体" w:hAnsi="黑体" w:eastAsia="黑体" w:cs="黑体"/>
          <w:bCs/>
        </w:rPr>
      </w:pPr>
      <w:r>
        <w:rPr>
          <w:rFonts w:hint="eastAsia" w:ascii="黑体" w:hAnsi="黑体" w:eastAsia="黑体" w:cs="黑体"/>
          <w:bCs/>
        </w:rPr>
        <w:t>4.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410" w:lineRule="exact"/>
        <w:ind w:firstLine="420"/>
        <w:rPr>
          <w:rFonts w:hint="eastAsia" w:ascii="宋体" w:hAnsi="宋体" w:eastAsia="宋体" w:cs="宋体"/>
          <w:lang w:val="en-US" w:eastAsia="zh-CN"/>
        </w:rPr>
      </w:pPr>
      <w:r>
        <w:rPr>
          <w:rFonts w:hint="eastAsia" w:ascii="宋体" w:hAnsi="宋体" w:eastAsia="宋体" w:cs="宋体"/>
        </w:rPr>
        <w:t>质疑部门联系方式</w:t>
      </w:r>
      <w:r>
        <w:rPr>
          <w:rFonts w:hint="eastAsia" w:ascii="宋体" w:hAnsi="宋体" w:eastAsia="宋体" w:cs="宋体"/>
          <w:lang w:eastAsia="zh-CN"/>
        </w:rPr>
        <w:t>：</w:t>
      </w:r>
      <w:r>
        <w:rPr>
          <w:rFonts w:hint="eastAsia" w:ascii="宋体" w:hAnsi="宋体" w:eastAsia="宋体" w:cs="宋体"/>
        </w:rPr>
        <w:t>浦北县第一职业技术学校          0777-</w:t>
      </w:r>
      <w:r>
        <w:rPr>
          <w:rFonts w:hint="eastAsia" w:ascii="宋体" w:hAnsi="宋体" w:eastAsia="宋体" w:cs="宋体"/>
          <w:lang w:val="en-US" w:eastAsia="zh-CN"/>
        </w:rPr>
        <w:t>8319585</w:t>
      </w:r>
    </w:p>
    <w:p>
      <w:pPr>
        <w:spacing w:line="410" w:lineRule="exact"/>
        <w:ind w:firstLine="420"/>
        <w:jc w:val="left"/>
        <w:rPr>
          <w:rFonts w:hint="eastAsia" w:ascii="宋体" w:hAnsi="宋体" w:eastAsia="宋体" w:cs="宋体"/>
        </w:rPr>
      </w:pPr>
      <w:r>
        <w:rPr>
          <w:rFonts w:hint="eastAsia" w:ascii="宋体" w:hAnsi="宋体" w:eastAsia="宋体" w:cs="宋体"/>
        </w:rPr>
        <w:t xml:space="preserve">采购监管部门联系方式：浦北县财政局      </w:t>
      </w:r>
      <w:bookmarkStart w:id="143" w:name="OLE_LINK1"/>
      <w:r>
        <w:rPr>
          <w:rFonts w:hint="eastAsia" w:ascii="宋体" w:hAnsi="宋体" w:eastAsia="宋体" w:cs="宋体"/>
        </w:rPr>
        <w:t>0777-8314622</w:t>
      </w:r>
      <w:bookmarkEnd w:id="143"/>
    </w:p>
    <w:p>
      <w:pPr>
        <w:spacing w:line="410" w:lineRule="exact"/>
        <w:ind w:firstLine="211" w:firstLineChars="100"/>
        <w:rPr>
          <w:rFonts w:hint="eastAsia" w:hAnsi="宋体"/>
        </w:rPr>
      </w:pPr>
      <w:bookmarkStart w:id="144" w:name="_Hlk92793564"/>
      <w:r>
        <w:rPr>
          <w:rFonts w:hint="eastAsia"/>
          <w:b/>
          <w:bCs/>
        </w:rPr>
        <w:t>（十）查询媒体</w:t>
      </w:r>
      <w:bookmarkEnd w:id="138"/>
      <w:bookmarkEnd w:id="144"/>
      <w:r>
        <w:rPr>
          <w:rFonts w:hint="eastAsia"/>
          <w:b/>
          <w:bCs/>
        </w:rPr>
        <w:t>:</w:t>
      </w:r>
      <w:r>
        <w:fldChar w:fldCharType="begin"/>
      </w:r>
      <w:r>
        <w:instrText xml:space="preserve"> HYPERLINK "http://www.ccgp.gov.cn/" </w:instrText>
      </w:r>
      <w:r>
        <w:fldChar w:fldCharType="separate"/>
      </w:r>
      <w:r>
        <w:rPr>
          <w:rStyle w:val="58"/>
          <w:rFonts w:hint="eastAsia" w:hAnsi="宋体"/>
          <w:color w:val="auto"/>
          <w:u w:val="none"/>
        </w:rPr>
        <w:t>中国政府采购网</w:t>
      </w:r>
      <w:r>
        <w:rPr>
          <w:rStyle w:val="58"/>
          <w:rFonts w:hint="eastAsia" w:hAnsi="宋体"/>
          <w:color w:val="auto"/>
          <w:u w:val="none"/>
        </w:rPr>
        <w:fldChar w:fldCharType="end"/>
      </w:r>
      <w:r>
        <w:rPr>
          <w:rFonts w:hint="eastAsia" w:hAnsi="宋体"/>
        </w:rPr>
        <w:t>、</w:t>
      </w:r>
      <w:r>
        <w:fldChar w:fldCharType="begin"/>
      </w:r>
      <w:r>
        <w:instrText xml:space="preserve"> HYPERLINK "http://zfcg.gxzf.gov.cn/" </w:instrText>
      </w:r>
      <w:r>
        <w:fldChar w:fldCharType="separate"/>
      </w:r>
      <w:r>
        <w:rPr>
          <w:rFonts w:hint="eastAsia" w:hAnsi="宋体"/>
        </w:rPr>
        <w:t>广西政府采购网</w:t>
      </w:r>
      <w:r>
        <w:rPr>
          <w:rFonts w:hint="eastAsia" w:hAnsi="宋体"/>
        </w:rPr>
        <w:fldChar w:fldCharType="end"/>
      </w:r>
      <w:r>
        <w:rPr>
          <w:rFonts w:hint="eastAsia" w:hAnsi="宋体"/>
        </w:rPr>
        <w:t>。</w:t>
      </w:r>
    </w:p>
    <w:p>
      <w:pPr>
        <w:spacing w:line="410" w:lineRule="exact"/>
        <w:ind w:firstLine="211" w:firstLineChars="100"/>
        <w:rPr>
          <w:b/>
          <w:bCs/>
        </w:rPr>
      </w:pPr>
    </w:p>
    <w:p>
      <w:pPr>
        <w:pStyle w:val="4"/>
        <w:spacing w:before="0" w:after="0" w:line="410" w:lineRule="exact"/>
        <w:ind w:firstLine="0" w:firstLineChars="0"/>
        <w:rPr>
          <w:rFonts w:ascii="方正小标宋_GBK" w:eastAsia="方正小标宋_GBK"/>
          <w:sz w:val="24"/>
          <w:szCs w:val="24"/>
        </w:rPr>
      </w:pPr>
      <w:bookmarkStart w:id="145" w:name="_Toc352700416"/>
      <w:bookmarkStart w:id="146" w:name="_Toc353785286"/>
      <w:r>
        <w:rPr>
          <w:rFonts w:hint="eastAsia" w:ascii="方正小标宋_GBK" w:eastAsia="方正小标宋_GBK"/>
          <w:sz w:val="24"/>
          <w:szCs w:val="24"/>
        </w:rPr>
        <w:t>二、招标文件</w:t>
      </w:r>
      <w:bookmarkEnd w:id="145"/>
      <w:bookmarkEnd w:id="146"/>
    </w:p>
    <w:p>
      <w:pPr>
        <w:spacing w:line="410" w:lineRule="exact"/>
        <w:ind w:firstLine="211" w:firstLineChars="100"/>
        <w:rPr>
          <w:b/>
          <w:bCs/>
        </w:rPr>
      </w:pPr>
      <w:bookmarkStart w:id="147" w:name="_Toc352700417"/>
      <w:bookmarkStart w:id="148" w:name="_Toc353785287"/>
      <w:r>
        <w:rPr>
          <w:rFonts w:hint="eastAsia"/>
          <w:b/>
          <w:bCs/>
        </w:rPr>
        <w:t>（一）招标文件的组成</w:t>
      </w:r>
      <w:bookmarkEnd w:id="147"/>
      <w:bookmarkEnd w:id="148"/>
    </w:p>
    <w:p>
      <w:pPr>
        <w:pStyle w:val="28"/>
        <w:snapToGrid w:val="0"/>
        <w:spacing w:line="410" w:lineRule="exact"/>
        <w:ind w:firstLine="420"/>
        <w:rPr>
          <w:rFonts w:hint="eastAsia" w:hAnsi="宋体"/>
        </w:rPr>
      </w:pPr>
      <w:r>
        <w:rPr>
          <w:rFonts w:hint="eastAsia" w:hAnsi="宋体"/>
        </w:rPr>
        <w:t>第一章 招标公告</w:t>
      </w:r>
    </w:p>
    <w:p>
      <w:pPr>
        <w:pStyle w:val="28"/>
        <w:snapToGrid w:val="0"/>
        <w:spacing w:line="410" w:lineRule="exact"/>
        <w:ind w:firstLine="420"/>
        <w:rPr>
          <w:rFonts w:hint="eastAsia" w:hAnsi="宋体"/>
        </w:rPr>
      </w:pPr>
      <w:r>
        <w:rPr>
          <w:rFonts w:hint="eastAsia" w:hAnsi="宋体"/>
        </w:rPr>
        <w:t>第二章 项目需求</w:t>
      </w:r>
    </w:p>
    <w:p>
      <w:pPr>
        <w:pStyle w:val="28"/>
        <w:snapToGrid w:val="0"/>
        <w:spacing w:line="410" w:lineRule="exact"/>
        <w:ind w:firstLine="420"/>
        <w:rPr>
          <w:rFonts w:hint="eastAsia" w:hAnsi="宋体"/>
        </w:rPr>
      </w:pPr>
      <w:r>
        <w:rPr>
          <w:rFonts w:hint="eastAsia" w:hAnsi="宋体"/>
        </w:rPr>
        <w:t>第三章 投标人须知及前附表</w:t>
      </w:r>
    </w:p>
    <w:p>
      <w:pPr>
        <w:pStyle w:val="28"/>
        <w:snapToGrid w:val="0"/>
        <w:spacing w:line="410" w:lineRule="exact"/>
        <w:ind w:firstLine="420"/>
        <w:rPr>
          <w:rFonts w:hint="eastAsia" w:hAnsi="宋体"/>
        </w:rPr>
      </w:pPr>
      <w:r>
        <w:rPr>
          <w:rFonts w:hint="eastAsia" w:hAnsi="宋体"/>
        </w:rPr>
        <w:t>第四章 评定标准及推荐原则</w:t>
      </w:r>
    </w:p>
    <w:p>
      <w:pPr>
        <w:pStyle w:val="28"/>
        <w:snapToGrid w:val="0"/>
        <w:spacing w:line="410" w:lineRule="exact"/>
        <w:ind w:firstLine="420"/>
        <w:rPr>
          <w:rFonts w:hint="eastAsia" w:hAnsi="宋体"/>
        </w:rPr>
      </w:pPr>
      <w:r>
        <w:rPr>
          <w:rFonts w:hint="eastAsia" w:hAnsi="宋体"/>
        </w:rPr>
        <w:t>第五章 政府采购合同主要条款</w:t>
      </w:r>
    </w:p>
    <w:p>
      <w:pPr>
        <w:pStyle w:val="28"/>
        <w:snapToGrid w:val="0"/>
        <w:spacing w:line="410" w:lineRule="exact"/>
        <w:ind w:firstLine="420"/>
        <w:rPr>
          <w:rFonts w:hint="eastAsia" w:hAnsi="宋体"/>
        </w:rPr>
      </w:pPr>
      <w:r>
        <w:rPr>
          <w:rFonts w:hint="eastAsia" w:hAnsi="宋体"/>
        </w:rPr>
        <w:t>第六章 投标文件格式</w:t>
      </w:r>
    </w:p>
    <w:p>
      <w:pPr>
        <w:spacing w:line="410" w:lineRule="exact"/>
        <w:ind w:firstLine="211" w:firstLineChars="100"/>
        <w:rPr>
          <w:b/>
          <w:bCs/>
        </w:rPr>
      </w:pPr>
      <w:bookmarkStart w:id="149" w:name="_Toc352700419"/>
      <w:bookmarkStart w:id="150" w:name="_Toc353785289"/>
      <w:r>
        <w:rPr>
          <w:rFonts w:hint="eastAsia"/>
          <w:b/>
          <w:bCs/>
        </w:rPr>
        <w:t>（二）招标文件的澄清与修改</w:t>
      </w:r>
      <w:bookmarkEnd w:id="149"/>
      <w:bookmarkEnd w:id="150"/>
    </w:p>
    <w:p>
      <w:pPr>
        <w:pStyle w:val="28"/>
        <w:snapToGrid w:val="0"/>
        <w:spacing w:line="410" w:lineRule="exact"/>
        <w:ind w:firstLine="420"/>
        <w:jc w:val="left"/>
      </w:pPr>
      <w:r>
        <w:rPr>
          <w:rFonts w:hAnsi="宋体"/>
        </w:rPr>
        <w:t>1.</w:t>
      </w:r>
      <w:r>
        <w:t>采购人</w:t>
      </w:r>
      <w:r>
        <w:rPr>
          <w:rFonts w:hint="eastAsia"/>
        </w:rPr>
        <w:t>或者本中心</w:t>
      </w:r>
      <w:r>
        <w:t>可以对已发出的招标文件进行必要的</w:t>
      </w:r>
      <w:bookmarkStart w:id="151" w:name="_Hlk92287343"/>
      <w:r>
        <w:t>澄清或者修改</w:t>
      </w:r>
      <w:bookmarkEnd w:id="151"/>
      <w:r>
        <w:t>，但不得改变采购标的和资格条件。澄清或者修改应当在原公告发布媒体上发布澄清公告。澄清或者修改的内容为招标文件的组成部分。</w:t>
      </w:r>
    </w:p>
    <w:p>
      <w:pPr>
        <w:pStyle w:val="28"/>
        <w:snapToGrid w:val="0"/>
        <w:spacing w:line="410" w:lineRule="exact"/>
        <w:ind w:firstLine="420"/>
        <w:jc w:val="left"/>
        <w:rPr>
          <w:rFonts w:hint="eastAsia" w:hAnsi="宋体"/>
        </w:rPr>
      </w:pPr>
      <w:r>
        <w:rPr>
          <w:rFonts w:hAnsi="宋体"/>
        </w:rPr>
        <w:t>2.澄清或者修改的内容可能影响投标文件编制的，采购人或者采购代理机构应当在投标截止时间至少15日前，以</w:t>
      </w:r>
      <w:r>
        <w:rPr>
          <w:rFonts w:hint="eastAsia" w:hAnsi="宋体"/>
        </w:rPr>
        <w:t>书面形式</w:t>
      </w:r>
      <w:r>
        <w:rPr>
          <w:rFonts w:hAnsi="宋体"/>
        </w:rPr>
        <w:t>通知所有</w:t>
      </w:r>
      <w:r>
        <w:rPr>
          <w:rFonts w:hint="eastAsia" w:hAnsi="宋体"/>
        </w:rPr>
        <w:t>依法</w:t>
      </w:r>
      <w:r>
        <w:rPr>
          <w:rFonts w:hAnsi="宋体"/>
        </w:rPr>
        <w:t>获取招标文件的潜在投标人；不足15日的，采购人或者采购代理机构应当顺延提交投标文件的截止时间。</w:t>
      </w:r>
    </w:p>
    <w:p>
      <w:pPr>
        <w:pStyle w:val="28"/>
        <w:snapToGrid w:val="0"/>
        <w:spacing w:line="410" w:lineRule="exact"/>
        <w:ind w:firstLine="420"/>
        <w:jc w:val="left"/>
        <w:rPr>
          <w:rFonts w:ascii="Arial" w:hAnsi="Arial" w:cs="Arial"/>
        </w:rPr>
      </w:pPr>
      <w:bookmarkStart w:id="152" w:name="_Hlk92446337"/>
      <w:r>
        <w:rPr>
          <w:rFonts w:hAnsi="宋体"/>
        </w:rPr>
        <w:t>3.</w:t>
      </w:r>
      <w:r>
        <w:rPr>
          <w:rFonts w:ascii="Arial" w:hAnsi="Arial" w:cs="Arial"/>
        </w:rPr>
        <w:t>提供期限届满后，获取招标文件的潜在投标人不足3家的，</w:t>
      </w:r>
      <w:r>
        <w:rPr>
          <w:rFonts w:hint="eastAsia" w:ascii="Arial" w:hAnsi="Arial" w:cs="Arial"/>
        </w:rPr>
        <w:t>本中心</w:t>
      </w:r>
      <w:r>
        <w:rPr>
          <w:rFonts w:ascii="Arial" w:hAnsi="Arial" w:cs="Arial"/>
        </w:rPr>
        <w:t>可以顺延提供期限，并予公告。</w:t>
      </w:r>
    </w:p>
    <w:bookmarkEnd w:id="152"/>
    <w:p>
      <w:pPr>
        <w:pStyle w:val="4"/>
        <w:spacing w:before="0" w:after="0" w:line="410" w:lineRule="exact"/>
        <w:ind w:firstLine="0" w:firstLineChars="0"/>
        <w:rPr>
          <w:rFonts w:ascii="方正小标宋_GBK" w:eastAsia="方正小标宋_GBK"/>
          <w:b w:val="0"/>
          <w:sz w:val="24"/>
          <w:szCs w:val="24"/>
        </w:rPr>
      </w:pPr>
      <w:bookmarkStart w:id="153" w:name="_三、投标文件"/>
      <w:bookmarkEnd w:id="153"/>
      <w:bookmarkStart w:id="154" w:name="_Toc254970676"/>
      <w:bookmarkStart w:id="155" w:name="_Toc353785290"/>
      <w:bookmarkStart w:id="156" w:name="_Toc254970535"/>
      <w:bookmarkStart w:id="157" w:name="_Toc352700420"/>
      <w:r>
        <w:rPr>
          <w:rFonts w:hint="eastAsia" w:ascii="方正小标宋_GBK" w:eastAsia="方正小标宋_GBK"/>
          <w:b w:val="0"/>
          <w:sz w:val="24"/>
          <w:szCs w:val="24"/>
        </w:rPr>
        <w:t>三、</w:t>
      </w:r>
      <w:bookmarkStart w:id="158" w:name="_Hlk92446512"/>
      <w:r>
        <w:rPr>
          <w:rFonts w:hint="eastAsia" w:ascii="方正小标宋_GBK" w:eastAsia="方正小标宋_GBK"/>
          <w:b w:val="0"/>
          <w:sz w:val="24"/>
          <w:szCs w:val="24"/>
        </w:rPr>
        <w:t>投标文件</w:t>
      </w:r>
      <w:bookmarkEnd w:id="154"/>
      <w:bookmarkEnd w:id="155"/>
      <w:bookmarkEnd w:id="156"/>
      <w:bookmarkEnd w:id="157"/>
    </w:p>
    <w:p>
      <w:pPr>
        <w:spacing w:line="410" w:lineRule="exact"/>
        <w:ind w:firstLine="211" w:firstLineChars="100"/>
        <w:rPr>
          <w:rFonts w:hint="eastAsia" w:hAnsi="宋体"/>
          <w:b/>
          <w:bCs/>
        </w:rPr>
      </w:pPr>
      <w:bookmarkStart w:id="159" w:name="_Toc353785291"/>
      <w:bookmarkStart w:id="160" w:name="_Toc352700421"/>
      <w:bookmarkStart w:id="161" w:name="_Toc254970536"/>
      <w:bookmarkStart w:id="162" w:name="_Toc254970677"/>
      <w:r>
        <w:rPr>
          <w:rFonts w:hint="eastAsia" w:hAnsi="宋体"/>
          <w:b/>
          <w:bCs/>
        </w:rPr>
        <w:t>（一）投标人的风险</w:t>
      </w:r>
    </w:p>
    <w:p>
      <w:pPr>
        <w:spacing w:line="410" w:lineRule="exact"/>
        <w:ind w:firstLine="420"/>
        <w:rPr>
          <w:rFonts w:hint="eastAsia" w:hAnsi="宋体"/>
        </w:rPr>
      </w:pPr>
      <w:r>
        <w:rPr>
          <w:rFonts w:hAnsi="宋体"/>
        </w:rPr>
        <w:t>1.</w:t>
      </w:r>
      <w:r>
        <w:rPr>
          <w:rFonts w:hint="eastAsia" w:hAnsi="宋体"/>
        </w:rPr>
        <w:t>投标人应仔细阅读招标文件的全部内容，按照招标文件的要求提交投标文件，并对所提供的全部资料的真实性承担法律责任。</w:t>
      </w:r>
    </w:p>
    <w:p>
      <w:pPr>
        <w:spacing w:line="410" w:lineRule="exact"/>
        <w:ind w:firstLine="420"/>
        <w:rPr>
          <w:rFonts w:hint="eastAsia" w:hAnsi="宋体"/>
        </w:rPr>
      </w:pPr>
      <w:r>
        <w:rPr>
          <w:rFonts w:hAnsi="宋体"/>
        </w:rPr>
        <w:t>2.</w:t>
      </w:r>
      <w:r>
        <w:rPr>
          <w:rFonts w:hint="eastAsia" w:hAnsi="宋体"/>
        </w:rPr>
        <w:t>投标人在投标活动中提供任何虚假材料的，评标委员会将报财政部门查处。</w:t>
      </w:r>
    </w:p>
    <w:bookmarkEnd w:id="158"/>
    <w:p>
      <w:pPr>
        <w:snapToGrid w:val="0"/>
        <w:spacing w:line="410" w:lineRule="exact"/>
        <w:ind w:firstLine="211" w:firstLineChars="100"/>
        <w:rPr>
          <w:rFonts w:hint="eastAsia" w:ascii="宋体" w:hAnsi="宋体"/>
          <w:b/>
          <w:szCs w:val="21"/>
        </w:rPr>
      </w:pPr>
      <w:bookmarkStart w:id="163" w:name="_Hlk92446638"/>
      <w:r>
        <w:rPr>
          <w:rFonts w:hint="eastAsia" w:hAnsi="宋体"/>
          <w:b/>
          <w:bCs/>
        </w:rPr>
        <w:t>（二）</w:t>
      </w:r>
      <w:r>
        <w:rPr>
          <w:rFonts w:hint="eastAsia" w:ascii="宋体" w:hAnsi="宋体"/>
          <w:b/>
          <w:szCs w:val="21"/>
        </w:rPr>
        <w:t>投标文件的组成</w:t>
      </w:r>
    </w:p>
    <w:p>
      <w:pPr>
        <w:snapToGrid w:val="0"/>
        <w:spacing w:line="410" w:lineRule="exact"/>
        <w:ind w:firstLine="422"/>
        <w:rPr>
          <w:rFonts w:hint="eastAsia" w:ascii="宋体" w:hAnsi="宋体"/>
          <w:b/>
          <w:szCs w:val="21"/>
        </w:rPr>
      </w:pPr>
      <w:bookmarkStart w:id="164"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10" w:lineRule="exact"/>
        <w:ind w:firstLine="420"/>
        <w:rPr>
          <w:rFonts w:hint="eastAsia" w:ascii="宋体" w:hAnsi="宋体"/>
          <w:szCs w:val="21"/>
        </w:rPr>
      </w:pPr>
      <w:r>
        <w:rPr>
          <w:rFonts w:hint="eastAsia" w:ascii="宋体" w:hAnsi="宋体" w:cs="宋体"/>
          <w:bCs/>
          <w:kern w:val="0"/>
          <w:szCs w:val="21"/>
        </w:rPr>
        <w:t>★</w:t>
      </w:r>
      <w:bookmarkStart w:id="165"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165"/>
    <w:p>
      <w:pPr>
        <w:tabs>
          <w:tab w:val="left" w:pos="3870"/>
          <w:tab w:val="left" w:pos="4085"/>
        </w:tabs>
        <w:snapToGrid w:val="0"/>
        <w:spacing w:line="410" w:lineRule="exact"/>
        <w:ind w:firstLine="420"/>
        <w:rPr>
          <w:rFonts w:hint="eastAsia" w:hAnsi="宋体"/>
        </w:rPr>
      </w:pPr>
      <w:r>
        <w:rPr>
          <w:rFonts w:hint="eastAsia" w:ascii="宋体" w:hAnsi="宋体" w:cs="宋体"/>
          <w:bCs/>
          <w:kern w:val="0"/>
          <w:szCs w:val="21"/>
        </w:rPr>
        <w:t>★(</w:t>
      </w:r>
      <w:r>
        <w:rPr>
          <w:rFonts w:ascii="宋体" w:hAnsi="宋体" w:cs="宋体"/>
          <w:bCs/>
          <w:kern w:val="0"/>
          <w:szCs w:val="21"/>
        </w:rPr>
        <w:t>2)</w:t>
      </w:r>
      <w:r>
        <w:rPr>
          <w:rFonts w:hint="eastAsia" w:ascii="宋体" w:hAnsi="宋体"/>
          <w:szCs w:val="21"/>
        </w:rPr>
        <w:t>投标人具备参加政府采购活动条件的承诺书</w:t>
      </w:r>
      <w:r>
        <w:rPr>
          <w:rFonts w:hint="eastAsia" w:ascii="宋体" w:hAnsi="宋体" w:cs="宋体"/>
          <w:szCs w:val="21"/>
        </w:rPr>
        <w:t>(格式见第六章</w:t>
      </w:r>
      <w:r>
        <w:rPr>
          <w:rFonts w:ascii="宋体" w:hAnsi="宋体" w:cs="宋体"/>
          <w:szCs w:val="21"/>
        </w:rPr>
        <w:t>）</w:t>
      </w:r>
    </w:p>
    <w:p>
      <w:pPr>
        <w:tabs>
          <w:tab w:val="left" w:pos="3870"/>
          <w:tab w:val="left" w:pos="4085"/>
        </w:tabs>
        <w:snapToGrid w:val="0"/>
        <w:spacing w:line="410" w:lineRule="exact"/>
        <w:ind w:firstLine="420"/>
        <w:rPr>
          <w:rFonts w:hint="eastAsia" w:hAnsi="宋体"/>
        </w:rPr>
      </w:pPr>
      <w:r>
        <w:rPr>
          <w:rFonts w:hint="eastAsia" w:ascii="宋体" w:hAnsi="宋体" w:cs="宋体"/>
          <w:bCs/>
          <w:kern w:val="0"/>
          <w:szCs w:val="21"/>
        </w:rPr>
        <w:t>★(</w:t>
      </w:r>
      <w:r>
        <w:rPr>
          <w:rFonts w:ascii="宋体" w:hAnsi="宋体" w:cs="宋体"/>
          <w:bCs/>
          <w:kern w:val="0"/>
          <w:szCs w:val="21"/>
        </w:rPr>
        <w:t>3)</w:t>
      </w:r>
      <w:r>
        <w:rPr>
          <w:rFonts w:hint="eastAsia" w:hAnsi="宋体"/>
        </w:rPr>
        <w:t>参加政府采购活动前3年内在经营活动中没有重大违法记录的书面声明(格式见第六章)</w:t>
      </w:r>
    </w:p>
    <w:p>
      <w:pPr>
        <w:snapToGrid w:val="0"/>
        <w:spacing w:line="410" w:lineRule="exact"/>
        <w:ind w:firstLine="422"/>
        <w:rPr>
          <w:rFonts w:hint="eastAsia" w:ascii="宋体" w:hAnsi="宋体"/>
          <w:b/>
          <w:szCs w:val="21"/>
        </w:rPr>
      </w:pPr>
      <w:r>
        <w:rPr>
          <w:rFonts w:ascii="宋体" w:hAnsi="宋体"/>
          <w:b/>
          <w:szCs w:val="21"/>
        </w:rPr>
        <w:t>2.</w:t>
      </w:r>
      <w:r>
        <w:rPr>
          <w:rFonts w:hint="eastAsia" w:ascii="宋体" w:hAnsi="宋体"/>
          <w:b/>
          <w:szCs w:val="21"/>
        </w:rPr>
        <w:t>商务技术文件：</w:t>
      </w:r>
    </w:p>
    <w:p>
      <w:pPr>
        <w:snapToGrid w:val="0"/>
        <w:spacing w:line="410" w:lineRule="exact"/>
        <w:ind w:firstLine="422"/>
        <w:rPr>
          <w:rFonts w:hint="eastAsia" w:ascii="宋体" w:hAnsi="宋体"/>
          <w:szCs w:val="21"/>
        </w:rPr>
      </w:pPr>
      <w:r>
        <w:rPr>
          <w:rFonts w:ascii="宋体" w:hAnsi="宋体"/>
          <w:b/>
          <w:szCs w:val="21"/>
        </w:rPr>
        <w:t xml:space="preserve"> </w:t>
      </w:r>
      <w:r>
        <w:rPr>
          <w:rFonts w:ascii="宋体" w:hAnsi="宋体"/>
          <w:szCs w:val="21"/>
        </w:rPr>
        <w:t xml:space="preserve"> (1)</w:t>
      </w:r>
      <w:bookmarkStart w:id="166" w:name="_Hlk97803518"/>
      <w:r>
        <w:rPr>
          <w:rFonts w:hint="eastAsia" w:ascii="宋体" w:hAnsi="宋体"/>
          <w:szCs w:val="21"/>
        </w:rPr>
        <w:t>投标保证金票据或转账凭证(户名、账号及开户行等信息清晰可辨）</w:t>
      </w:r>
      <w:bookmarkEnd w:id="166"/>
    </w:p>
    <w:p>
      <w:pPr>
        <w:tabs>
          <w:tab w:val="left" w:pos="3870"/>
          <w:tab w:val="left" w:pos="4085"/>
        </w:tabs>
        <w:snapToGrid w:val="0"/>
        <w:spacing w:line="410" w:lineRule="exact"/>
        <w:ind w:firstLine="420"/>
        <w:rPr>
          <w:rFonts w:hint="eastAsia" w:ascii="宋体" w:hAnsi="宋体"/>
          <w:szCs w:val="21"/>
        </w:rPr>
      </w:pPr>
      <w:r>
        <w:rPr>
          <w:rFonts w:hint="eastAsia" w:ascii="宋体" w:hAnsi="宋体" w:cs="宋体"/>
          <w:bCs/>
          <w:kern w:val="0"/>
          <w:szCs w:val="21"/>
        </w:rPr>
        <w:t>★</w:t>
      </w:r>
      <w:r>
        <w:rPr>
          <w:rFonts w:hint="eastAsia" w:ascii="宋体" w:hAnsi="宋体"/>
          <w:szCs w:val="21"/>
        </w:rPr>
        <w:t>(</w:t>
      </w:r>
      <w:r>
        <w:rPr>
          <w:rFonts w:ascii="宋体" w:hAnsi="宋体"/>
          <w:szCs w:val="21"/>
        </w:rPr>
        <w:t>2)</w:t>
      </w:r>
      <w:r>
        <w:rPr>
          <w:rFonts w:hint="eastAsia" w:ascii="宋体" w:hAnsi="宋体"/>
          <w:szCs w:val="21"/>
        </w:rPr>
        <w:t>投标函（格式见第六章）</w:t>
      </w:r>
    </w:p>
    <w:p>
      <w:pPr>
        <w:tabs>
          <w:tab w:val="left" w:pos="3870"/>
          <w:tab w:val="left" w:pos="4085"/>
        </w:tabs>
        <w:snapToGrid w:val="0"/>
        <w:spacing w:line="410" w:lineRule="exact"/>
        <w:ind w:firstLine="420"/>
        <w:rPr>
          <w:rFonts w:hint="eastAsia" w:ascii="宋体" w:hAnsi="宋体"/>
          <w:szCs w:val="21"/>
        </w:rPr>
      </w:pPr>
      <w:r>
        <w:rPr>
          <w:rFonts w:hint="eastAsia" w:ascii="宋体" w:hAnsi="宋体" w:cs="宋体"/>
          <w:bCs/>
          <w:kern w:val="0"/>
          <w:szCs w:val="21"/>
        </w:rPr>
        <w:t>★</w:t>
      </w:r>
      <w:r>
        <w:rPr>
          <w:rFonts w:hint="eastAsia" w:ascii="宋体" w:hAnsi="宋体"/>
          <w:szCs w:val="21"/>
        </w:rPr>
        <w:t>(</w:t>
      </w:r>
      <w:r>
        <w:rPr>
          <w:rFonts w:ascii="宋体" w:hAnsi="宋体"/>
          <w:szCs w:val="21"/>
        </w:rPr>
        <w:t>3)</w:t>
      </w:r>
      <w:r>
        <w:rPr>
          <w:rFonts w:hint="eastAsia" w:ascii="宋体" w:hAnsi="宋体"/>
          <w:szCs w:val="21"/>
        </w:rPr>
        <w:t>法定代表人身份证</w:t>
      </w:r>
    </w:p>
    <w:p>
      <w:pPr>
        <w:snapToGrid w:val="0"/>
        <w:spacing w:line="410" w:lineRule="exact"/>
        <w:ind w:firstLine="417" w:firstLineChars="199"/>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法定代表人授权委托书和代理人身份证（委托代理时必须提供，格式见第六章）</w:t>
      </w:r>
    </w:p>
    <w:p>
      <w:pPr>
        <w:snapToGrid w:val="0"/>
        <w:spacing w:line="410" w:lineRule="exact"/>
        <w:ind w:firstLine="420" w:firstLineChars="199"/>
        <w:rPr>
          <w:rFonts w:hint="eastAsia" w:ascii="宋体" w:hAnsi="宋体"/>
          <w:szCs w:val="21"/>
        </w:rPr>
      </w:pPr>
      <w:r>
        <w:rPr>
          <w:rFonts w:hint="eastAsia" w:ascii="宋体" w:hAnsi="宋体"/>
          <w:b/>
          <w:szCs w:val="21"/>
        </w:rPr>
        <w:t>★</w:t>
      </w:r>
      <w:r>
        <w:rPr>
          <w:rFonts w:hint="eastAsia" w:ascii="宋体" w:hAnsi="宋体"/>
          <w:szCs w:val="21"/>
        </w:rPr>
        <w:t>(</w:t>
      </w:r>
      <w:r>
        <w:rPr>
          <w:rFonts w:ascii="宋体" w:hAnsi="宋体"/>
          <w:szCs w:val="21"/>
        </w:rPr>
        <w:t>5)</w:t>
      </w:r>
      <w:r>
        <w:rPr>
          <w:rFonts w:ascii="宋体" w:hAnsi="宋体"/>
        </w:rPr>
        <w:t>商务响应表(格式见第六章)</w:t>
      </w:r>
    </w:p>
    <w:p>
      <w:pPr>
        <w:snapToGrid w:val="0"/>
        <w:spacing w:line="410" w:lineRule="exact"/>
        <w:ind w:firstLine="420" w:firstLineChars="199"/>
        <w:rPr>
          <w:rFonts w:hint="eastAsia" w:ascii="宋体" w:hAnsi="宋体"/>
        </w:rPr>
      </w:pPr>
      <w:r>
        <w:rPr>
          <w:rFonts w:hint="eastAsia" w:ascii="宋体" w:hAnsi="宋体"/>
          <w:b/>
          <w:szCs w:val="21"/>
        </w:rPr>
        <w:t>★</w:t>
      </w:r>
      <w:r>
        <w:rPr>
          <w:rFonts w:hint="eastAsia" w:ascii="宋体" w:hAnsi="宋体"/>
        </w:rPr>
        <w:t>(</w:t>
      </w:r>
      <w:r>
        <w:rPr>
          <w:rFonts w:ascii="宋体" w:hAnsi="宋体"/>
        </w:rPr>
        <w:t>6)</w:t>
      </w:r>
      <w:r>
        <w:rPr>
          <w:rFonts w:hint="eastAsia" w:ascii="宋体" w:hAnsi="宋体"/>
          <w:szCs w:val="21"/>
        </w:rPr>
        <w:t>技术响应表</w:t>
      </w:r>
      <w:bookmarkStart w:id="167" w:name="_Hlk92285954"/>
      <w:r>
        <w:rPr>
          <w:rFonts w:ascii="宋体" w:hAnsi="宋体"/>
        </w:rPr>
        <w:t>(格式见第六章)</w:t>
      </w:r>
      <w:bookmarkEnd w:id="167"/>
    </w:p>
    <w:p>
      <w:pPr>
        <w:snapToGrid w:val="0"/>
        <w:spacing w:line="410" w:lineRule="exact"/>
        <w:ind w:firstLine="420" w:firstLineChars="199"/>
        <w:rPr>
          <w:rFonts w:hint="eastAsia" w:ascii="宋体" w:hAnsi="宋体"/>
          <w:szCs w:val="21"/>
        </w:rPr>
      </w:pPr>
      <w:r>
        <w:rPr>
          <w:rFonts w:hint="eastAsia" w:ascii="宋体" w:hAnsi="宋体"/>
          <w:b/>
          <w:szCs w:val="21"/>
        </w:rPr>
        <w:t>★</w:t>
      </w:r>
      <w:r>
        <w:rPr>
          <w:rFonts w:hint="eastAsia" w:ascii="宋体" w:hAnsi="宋体"/>
        </w:rPr>
        <w:t>(7</w:t>
      </w:r>
      <w:r>
        <w:rPr>
          <w:rFonts w:ascii="宋体" w:hAnsi="宋体"/>
        </w:rPr>
        <w:t>)</w:t>
      </w:r>
      <w:r>
        <w:rPr>
          <w:rFonts w:hint="eastAsia" w:ascii="宋体" w:hAnsi="宋体"/>
        </w:rPr>
        <w:t>《项目需求》中要求必须提供的材料</w:t>
      </w:r>
    </w:p>
    <w:p>
      <w:pPr>
        <w:snapToGrid w:val="0"/>
        <w:spacing w:line="410" w:lineRule="exact"/>
        <w:ind w:firstLine="627" w:firstLineChars="299"/>
        <w:rPr>
          <w:rFonts w:hint="eastAsia" w:ascii="宋体" w:hAnsi="宋体"/>
        </w:rPr>
      </w:pPr>
      <w:r>
        <w:rPr>
          <w:rFonts w:hint="eastAsia" w:ascii="宋体" w:hAnsi="宋体"/>
          <w:szCs w:val="21"/>
        </w:rPr>
        <w:t>(8</w:t>
      </w:r>
      <w:r>
        <w:rPr>
          <w:rFonts w:ascii="宋体" w:hAnsi="宋体"/>
          <w:szCs w:val="21"/>
        </w:rPr>
        <w:t>)</w:t>
      </w:r>
      <w:r>
        <w:rPr>
          <w:rFonts w:hint="eastAsia" w:ascii="宋体" w:hAnsi="宋体"/>
        </w:rPr>
        <w:t>项目实施</w:t>
      </w:r>
      <w:r>
        <w:rPr>
          <w:rFonts w:hint="eastAsia" w:ascii="宋体" w:hAnsi="宋体" w:cs="宋体"/>
          <w:szCs w:val="21"/>
        </w:rPr>
        <w:t>方案</w:t>
      </w:r>
      <w:r>
        <w:rPr>
          <w:rFonts w:hint="eastAsia" w:ascii="宋体" w:hAnsi="宋体"/>
        </w:rPr>
        <w:t>（</w:t>
      </w:r>
      <w:r>
        <w:rPr>
          <w:rFonts w:hint="eastAsia" w:ascii="宋体" w:cs="宋体"/>
          <w:kern w:val="0"/>
          <w:szCs w:val="21"/>
        </w:rPr>
        <w:t>根据项目需求及《评定标准及推荐原则》的要求提供，格式自拟</w:t>
      </w:r>
      <w:r>
        <w:rPr>
          <w:rFonts w:hint="eastAsia" w:ascii="宋体" w:hAnsi="宋体"/>
        </w:rPr>
        <w:t>）</w:t>
      </w:r>
    </w:p>
    <w:p>
      <w:pPr>
        <w:snapToGrid w:val="0"/>
        <w:spacing w:line="410" w:lineRule="exact"/>
        <w:ind w:firstLine="627" w:firstLineChars="299"/>
        <w:rPr>
          <w:rFonts w:hint="eastAsia" w:ascii="宋体" w:hAnsi="宋体"/>
        </w:rPr>
      </w:pPr>
      <w:r>
        <w:rPr>
          <w:rFonts w:hint="eastAsia" w:ascii="宋体" w:hAnsi="宋体"/>
          <w:szCs w:val="21"/>
        </w:rPr>
        <w:t>(9</w:t>
      </w:r>
      <w:r>
        <w:rPr>
          <w:rFonts w:ascii="宋体" w:hAnsi="宋体"/>
          <w:szCs w:val="21"/>
        </w:rPr>
        <w:t>)</w:t>
      </w:r>
      <w:r>
        <w:rPr>
          <w:rFonts w:hint="eastAsia" w:ascii="宋体" w:hAnsi="宋体"/>
        </w:rPr>
        <w:t>售后服务</w:t>
      </w:r>
      <w:r>
        <w:rPr>
          <w:rFonts w:hint="eastAsia" w:ascii="宋体" w:hAnsi="宋体" w:cs="宋体"/>
          <w:szCs w:val="21"/>
        </w:rPr>
        <w:t>方案</w:t>
      </w:r>
      <w:r>
        <w:rPr>
          <w:rFonts w:hint="eastAsia" w:ascii="宋体" w:hAnsi="宋体"/>
        </w:rPr>
        <w:t>（</w:t>
      </w:r>
      <w:r>
        <w:rPr>
          <w:rFonts w:hint="eastAsia" w:ascii="宋体" w:cs="宋体"/>
          <w:kern w:val="0"/>
          <w:szCs w:val="21"/>
        </w:rPr>
        <w:t>根据项目需求及《评定标准及推荐原则》的要求提供，格式自拟</w:t>
      </w:r>
      <w:r>
        <w:rPr>
          <w:rFonts w:hint="eastAsia" w:ascii="宋体" w:hAnsi="宋体"/>
        </w:rPr>
        <w:t>）</w:t>
      </w:r>
    </w:p>
    <w:p>
      <w:pPr>
        <w:spacing w:line="410" w:lineRule="exact"/>
        <w:ind w:firstLine="630" w:firstLineChars="300"/>
        <w:rPr>
          <w:rFonts w:hint="eastAsia" w:ascii="宋体" w:hAnsi="宋体"/>
          <w:szCs w:val="21"/>
        </w:rPr>
      </w:pPr>
      <w:r>
        <w:rPr>
          <w:rFonts w:ascii="宋体" w:hAnsi="宋体"/>
          <w:szCs w:val="21"/>
        </w:rPr>
        <w:t>(</w:t>
      </w:r>
      <w:r>
        <w:rPr>
          <w:rFonts w:hint="eastAsia" w:ascii="宋体" w:hAnsi="宋体"/>
          <w:szCs w:val="21"/>
        </w:rPr>
        <w:t>10</w:t>
      </w:r>
      <w:r>
        <w:rPr>
          <w:rFonts w:ascii="宋体" w:hAnsi="宋体"/>
          <w:szCs w:val="21"/>
        </w:rPr>
        <w:t>)</w:t>
      </w:r>
      <w:r>
        <w:rPr>
          <w:rFonts w:hint="eastAsia" w:ascii="宋体" w:hAnsi="宋体"/>
        </w:rPr>
        <w:t>项目</w:t>
      </w:r>
      <w:r>
        <w:rPr>
          <w:rFonts w:hint="eastAsia" w:ascii="宋体" w:hAnsi="宋体"/>
          <w:lang w:val="en-US" w:eastAsia="zh-CN"/>
        </w:rPr>
        <w:t>技术</w:t>
      </w:r>
      <w:r>
        <w:rPr>
          <w:rFonts w:hint="eastAsia" w:ascii="宋体" w:hAnsi="宋体" w:cs="宋体"/>
          <w:szCs w:val="21"/>
        </w:rPr>
        <w:t>方案</w:t>
      </w:r>
      <w:r>
        <w:rPr>
          <w:rFonts w:hint="eastAsia" w:ascii="宋体" w:hAnsi="宋体"/>
        </w:rPr>
        <w:t>（</w:t>
      </w:r>
      <w:r>
        <w:rPr>
          <w:rFonts w:hint="eastAsia" w:ascii="宋体" w:cs="宋体"/>
          <w:kern w:val="0"/>
          <w:szCs w:val="21"/>
        </w:rPr>
        <w:t>根据项目需求及《评定标准及推荐原则》的要求提供，格式自拟</w:t>
      </w:r>
      <w:r>
        <w:rPr>
          <w:rFonts w:hint="eastAsia" w:ascii="宋体" w:hAnsi="宋体"/>
        </w:rPr>
        <w:t>）</w:t>
      </w:r>
    </w:p>
    <w:p>
      <w:pPr>
        <w:spacing w:line="410" w:lineRule="exact"/>
        <w:ind w:firstLine="630" w:firstLineChars="300"/>
        <w:rPr>
          <w:rFonts w:hint="eastAsia" w:ascii="宋体" w:hAnsi="宋体"/>
          <w:szCs w:val="21"/>
        </w:rPr>
      </w:pPr>
      <w:r>
        <w:rPr>
          <w:rFonts w:hint="eastAsia" w:ascii="宋体" w:hAnsi="宋体"/>
          <w:szCs w:val="21"/>
        </w:rPr>
        <w:t>(11)投标人自2021年以来具有同类合同的证明材料</w:t>
      </w:r>
    </w:p>
    <w:p>
      <w:pPr>
        <w:spacing w:line="410" w:lineRule="exact"/>
        <w:ind w:firstLine="630" w:firstLineChars="300"/>
        <w:rPr>
          <w:rFonts w:hint="eastAsia" w:ascii="宋体" w:hAnsi="宋体"/>
        </w:rPr>
      </w:pPr>
      <w:r>
        <w:rPr>
          <w:rFonts w:ascii="宋体" w:hAnsi="宋体"/>
          <w:szCs w:val="21"/>
        </w:rPr>
        <w:t>(1</w:t>
      </w:r>
      <w:r>
        <w:rPr>
          <w:rFonts w:hint="eastAsia" w:ascii="宋体" w:hAnsi="宋体"/>
          <w:szCs w:val="21"/>
        </w:rPr>
        <w:t>2</w:t>
      </w:r>
      <w:r>
        <w:rPr>
          <w:rFonts w:ascii="宋体" w:hAnsi="宋体"/>
          <w:szCs w:val="21"/>
        </w:rPr>
        <w:t>)</w:t>
      </w:r>
      <w:r>
        <w:rPr>
          <w:rFonts w:hint="eastAsia" w:ascii="宋体" w:hAnsi="宋体"/>
        </w:rPr>
        <w:t>投标人认为有必要提供的声明或材料(中小企业声明、残疾人福利性单位声明、监狱企业证明、节能或环境标志产品证书等)</w:t>
      </w:r>
    </w:p>
    <w:p>
      <w:pPr>
        <w:pStyle w:val="2"/>
        <w:rPr>
          <w:rFonts w:hint="default" w:eastAsia="宋体"/>
          <w:lang w:val="en-US" w:eastAsia="zh-CN"/>
        </w:rPr>
      </w:pPr>
    </w:p>
    <w:p>
      <w:pPr>
        <w:snapToGrid w:val="0"/>
        <w:spacing w:line="410" w:lineRule="exact"/>
        <w:ind w:firstLine="422"/>
        <w:rPr>
          <w:rFonts w:hint="eastAsia" w:ascii="宋体" w:hAnsi="宋体"/>
          <w:b/>
          <w:szCs w:val="21"/>
        </w:rPr>
      </w:pPr>
      <w:r>
        <w:rPr>
          <w:rFonts w:ascii="宋体" w:hAnsi="宋体"/>
          <w:b/>
          <w:szCs w:val="21"/>
        </w:rPr>
        <w:t>3.</w:t>
      </w:r>
      <w:r>
        <w:rPr>
          <w:rFonts w:hint="eastAsia" w:ascii="宋体" w:hAnsi="宋体"/>
          <w:b/>
          <w:szCs w:val="21"/>
        </w:rPr>
        <w:t>报价文件</w:t>
      </w:r>
    </w:p>
    <w:p>
      <w:pPr>
        <w:snapToGrid w:val="0"/>
        <w:spacing w:line="410" w:lineRule="exact"/>
        <w:ind w:firstLine="422"/>
        <w:rPr>
          <w:rFonts w:hint="eastAsia" w:ascii="宋体" w:hAnsi="宋体"/>
          <w:b/>
          <w:szCs w:val="21"/>
        </w:rPr>
      </w:pPr>
      <w:r>
        <w:rPr>
          <w:rFonts w:hint="eastAsia" w:ascii="宋体" w:hAnsi="宋体"/>
          <w:b/>
          <w:szCs w:val="21"/>
        </w:rPr>
        <w:t>★</w:t>
      </w:r>
      <w:r>
        <w:rPr>
          <w:rFonts w:hint="eastAsia" w:ascii="宋体" w:hAnsi="宋体"/>
          <w:bCs/>
          <w:szCs w:val="21"/>
        </w:rPr>
        <w:t>(</w:t>
      </w:r>
      <w:r>
        <w:rPr>
          <w:rFonts w:ascii="宋体" w:hAnsi="宋体"/>
          <w:bCs/>
          <w:szCs w:val="21"/>
        </w:rPr>
        <w:t>1)</w:t>
      </w:r>
      <w:r>
        <w:rPr>
          <w:rFonts w:hint="eastAsia" w:ascii="宋体" w:hAnsi="宋体"/>
          <w:szCs w:val="21"/>
        </w:rPr>
        <w:t>开标一览表(格式见第六章）</w:t>
      </w:r>
    </w:p>
    <w:p>
      <w:pPr>
        <w:snapToGrid w:val="0"/>
        <w:spacing w:line="410" w:lineRule="exact"/>
        <w:ind w:firstLine="422"/>
        <w:rPr>
          <w:rFonts w:hint="eastAsia" w:ascii="宋体" w:hAnsi="宋体"/>
        </w:rPr>
      </w:pPr>
      <w:r>
        <w:rPr>
          <w:rFonts w:hint="eastAsia" w:ascii="宋体" w:hAnsi="宋体"/>
          <w:b/>
          <w:szCs w:val="21"/>
        </w:rPr>
        <w:t>★</w:t>
      </w:r>
      <w:r>
        <w:rPr>
          <w:rFonts w:hint="eastAsia" w:ascii="宋体" w:hAnsi="宋体"/>
          <w:bCs/>
          <w:szCs w:val="21"/>
        </w:rPr>
        <w:t>(</w:t>
      </w:r>
      <w:r>
        <w:rPr>
          <w:rFonts w:ascii="宋体" w:hAnsi="宋体"/>
          <w:bCs/>
          <w:szCs w:val="21"/>
        </w:rPr>
        <w:t>2)</w:t>
      </w:r>
      <w:bookmarkStart w:id="168" w:name="_Hlk92265738"/>
      <w:r>
        <w:rPr>
          <w:rFonts w:hint="eastAsia" w:ascii="宋体" w:hAnsi="宋体"/>
          <w:bCs/>
          <w:szCs w:val="21"/>
        </w:rPr>
        <w:t>报价明细表</w:t>
      </w:r>
      <w:bookmarkEnd w:id="168"/>
      <w:r>
        <w:rPr>
          <w:rFonts w:hint="eastAsia" w:ascii="宋体" w:hAnsi="宋体"/>
          <w:bCs/>
          <w:szCs w:val="21"/>
        </w:rPr>
        <w:t>(格式见第六章)</w:t>
      </w:r>
    </w:p>
    <w:bookmarkEnd w:id="164"/>
    <w:p>
      <w:pPr>
        <w:snapToGrid w:val="0"/>
        <w:spacing w:line="410" w:lineRule="exact"/>
        <w:ind w:firstLine="420"/>
        <w:rPr>
          <w:rFonts w:hint="eastAsia" w:ascii="宋体" w:hAnsi="宋体"/>
          <w:szCs w:val="21"/>
        </w:rPr>
      </w:pPr>
      <w:r>
        <w:rPr>
          <w:rFonts w:hint="eastAsia" w:ascii="宋体" w:hAnsi="宋体"/>
          <w:szCs w:val="21"/>
        </w:rPr>
        <w:t>注：标注★号的材料均为必须提供的材料须由投标人加盖公章，授权委托书必须由法定代表人签名，报价文件还须由法定代表人或授权代表签名，否则视为无效投标文件。</w:t>
      </w:r>
    </w:p>
    <w:bookmarkEnd w:id="159"/>
    <w:bookmarkEnd w:id="160"/>
    <w:bookmarkEnd w:id="161"/>
    <w:bookmarkEnd w:id="162"/>
    <w:bookmarkEnd w:id="163"/>
    <w:p>
      <w:pPr>
        <w:spacing w:line="410" w:lineRule="exact"/>
        <w:ind w:firstLine="211" w:firstLineChars="100"/>
        <w:rPr>
          <w:rFonts w:hint="eastAsia" w:ascii="宋体" w:hAnsi="宋体"/>
          <w:b/>
          <w:bCs/>
          <w:szCs w:val="21"/>
        </w:rPr>
      </w:pPr>
      <w:bookmarkStart w:id="169" w:name="_Hlk90906323"/>
      <w:bookmarkStart w:id="170" w:name="_Hlk92447223"/>
      <w:r>
        <w:rPr>
          <w:rFonts w:hint="eastAsia" w:ascii="宋体" w:hAnsi="宋体"/>
          <w:b/>
          <w:szCs w:val="21"/>
        </w:rPr>
        <w:t>（三）</w:t>
      </w:r>
      <w:bookmarkStart w:id="171" w:name="_Toc254970678"/>
      <w:bookmarkStart w:id="172" w:name="_Toc353785292"/>
      <w:bookmarkStart w:id="173" w:name="_Toc352700422"/>
      <w:bookmarkStart w:id="174" w:name="_Toc254970537"/>
      <w:r>
        <w:rPr>
          <w:rFonts w:hint="eastAsia" w:ascii="宋体" w:hAnsi="宋体"/>
          <w:b/>
          <w:bCs/>
          <w:szCs w:val="21"/>
        </w:rPr>
        <w:t>投标文件的编制、签署及加密</w:t>
      </w:r>
    </w:p>
    <w:p>
      <w:pPr>
        <w:spacing w:line="410" w:lineRule="exact"/>
        <w:ind w:firstLine="420"/>
        <w:rPr>
          <w:rFonts w:hint="eastAsia" w:ascii="宋体" w:hAnsi="宋体"/>
          <w:szCs w:val="21"/>
        </w:rPr>
      </w:pPr>
      <w:r>
        <w:rPr>
          <w:rFonts w:ascii="宋体" w:hAnsi="宋体"/>
          <w:szCs w:val="21"/>
        </w:rPr>
        <w:t>1.</w:t>
      </w:r>
      <w:r>
        <w:rPr>
          <w:rFonts w:hint="eastAsia" w:ascii="宋体" w:hAnsi="宋体"/>
          <w:szCs w:val="21"/>
        </w:rPr>
        <w:t>投标人应认真阅读、并充分理解招标文件的全部内容(包括所有的补充、修改内容)，承诺履行其各项条款的规定并按要求编制，投标文件应为电子文件或扫描件(样品除外)。</w:t>
      </w:r>
    </w:p>
    <w:p>
      <w:pPr>
        <w:spacing w:line="410" w:lineRule="exact"/>
        <w:ind w:firstLine="420"/>
        <w:rPr>
          <w:rFonts w:hint="eastAsia" w:ascii="宋体" w:hAnsi="宋体"/>
          <w:szCs w:val="21"/>
        </w:rPr>
      </w:pPr>
      <w:r>
        <w:rPr>
          <w:rFonts w:ascii="宋体" w:hAnsi="宋体"/>
          <w:szCs w:val="21"/>
        </w:rPr>
        <w:t>2.</w:t>
      </w:r>
      <w:r>
        <w:rPr>
          <w:rFonts w:hint="eastAsia" w:ascii="宋体" w:hAnsi="宋体"/>
          <w:szCs w:val="21"/>
        </w:rPr>
        <w:t>投标人应通过广西政府采购云平台客户端编制加密投标文件。</w:t>
      </w:r>
    </w:p>
    <w:p>
      <w:pPr>
        <w:spacing w:line="410" w:lineRule="exact"/>
        <w:ind w:firstLine="420"/>
        <w:rPr>
          <w:rFonts w:hint="eastAsia" w:ascii="宋体" w:hAnsi="宋体"/>
          <w:szCs w:val="21"/>
        </w:rPr>
      </w:pPr>
      <w:r>
        <w:rPr>
          <w:rFonts w:ascii="宋体" w:hAnsi="宋体"/>
          <w:szCs w:val="21"/>
        </w:rPr>
        <w:t>3.</w:t>
      </w:r>
      <w:r>
        <w:rPr>
          <w:rFonts w:hint="eastAsia" w:ascii="宋体" w:hAnsi="宋体"/>
          <w:szCs w:val="21"/>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10" w:lineRule="exact"/>
        <w:ind w:firstLine="0" w:firstLineChars="0"/>
        <w:rPr>
          <w:rFonts w:hint="eastAsia" w:ascii="宋体" w:hAnsi="宋体"/>
          <w:b/>
          <w:bCs/>
          <w:szCs w:val="21"/>
        </w:rPr>
      </w:pPr>
      <w:r>
        <w:rPr>
          <w:rFonts w:ascii="宋体" w:hAnsi="宋体"/>
          <w:szCs w:val="21"/>
        </w:rPr>
        <w:tab/>
      </w:r>
      <w:r>
        <w:rPr>
          <w:rFonts w:ascii="宋体" w:hAnsi="宋体"/>
          <w:b/>
          <w:bCs/>
          <w:szCs w:val="21"/>
        </w:rPr>
        <w:t>4.</w:t>
      </w:r>
      <w:r>
        <w:rPr>
          <w:rFonts w:hint="eastAsia" w:ascii="宋体" w:hAnsi="宋体"/>
          <w:b/>
          <w:bCs/>
          <w:szCs w:val="21"/>
        </w:rPr>
        <w:t>投标文件由投标人在规定位置由法定代表人或授权委托人签名（可为电子签名）、填写投标人名称，并加盖公章(简称“盖章”，可为电子公章)，投标人名称应写全称。</w:t>
      </w:r>
    </w:p>
    <w:p>
      <w:pPr>
        <w:snapToGrid w:val="0"/>
        <w:spacing w:line="410" w:lineRule="exact"/>
        <w:ind w:firstLine="210" w:firstLineChars="100"/>
        <w:rPr>
          <w:rFonts w:hint="eastAsia" w:ascii="宋体" w:hAnsi="宋体"/>
          <w:b/>
          <w:bCs/>
          <w:szCs w:val="21"/>
        </w:rPr>
      </w:pPr>
      <w:r>
        <w:rPr>
          <w:rFonts w:ascii="宋体" w:hAnsi="宋体"/>
          <w:szCs w:val="21"/>
        </w:rPr>
        <w:tab/>
      </w:r>
      <w:r>
        <w:rPr>
          <w:rFonts w:ascii="宋体" w:hAnsi="宋体"/>
          <w:szCs w:val="21"/>
        </w:rPr>
        <w:t>5.</w:t>
      </w:r>
      <w:r>
        <w:rPr>
          <w:rFonts w:hint="eastAsia" w:ascii="宋体" w:hAnsi="宋体"/>
          <w:szCs w:val="21"/>
        </w:rPr>
        <w:t>投标文件内容不完整、编排混乱、不清晰等原因导致被误读或漏读的责任和后果由投标人承担。</w:t>
      </w:r>
    </w:p>
    <w:bookmarkEnd w:id="169"/>
    <w:p>
      <w:pPr>
        <w:spacing w:line="410" w:lineRule="exact"/>
        <w:ind w:firstLine="211" w:firstLineChars="100"/>
      </w:pPr>
      <w:r>
        <w:rPr>
          <w:rFonts w:hint="eastAsia"/>
          <w:b/>
          <w:bCs/>
        </w:rPr>
        <w:t>（四）投标文件的语言及计量</w:t>
      </w:r>
      <w:bookmarkEnd w:id="171"/>
      <w:bookmarkEnd w:id="172"/>
      <w:bookmarkEnd w:id="173"/>
      <w:bookmarkEnd w:id="174"/>
    </w:p>
    <w:p>
      <w:pPr>
        <w:snapToGrid w:val="0"/>
        <w:spacing w:line="410" w:lineRule="exact"/>
        <w:ind w:firstLine="420"/>
        <w:rPr>
          <w:rFonts w:hint="eastAsia" w:ascii="宋体" w:hAnsi="宋体"/>
          <w:szCs w:val="21"/>
        </w:rPr>
      </w:pPr>
      <w:r>
        <w:rPr>
          <w:rFonts w:ascii="宋体" w:hAnsi="宋体"/>
          <w:szCs w:val="21"/>
        </w:rPr>
        <w:t>1.</w:t>
      </w:r>
      <w:r>
        <w:rPr>
          <w:rFonts w:hint="eastAsia" w:ascii="宋体" w:hAnsi="宋体"/>
          <w:szCs w:val="21"/>
        </w:rPr>
        <w:t>投标文件以及投标人与采购人、本中心就有关投标事宜的所有来往函电，均应以中文汉语书写。除签名、盖章、专用名称等特殊情形外，以中文汉语以外的文字表述的视为无效文件。</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投标计量单位，招标文件已有明确规定的，使用招标文件规定的计量单位；招标文件没有规定的，应采用中华人民共和国法定计量单位（货币单位：人民币元），否则视为无效投标文件。</w:t>
      </w:r>
    </w:p>
    <w:bookmarkEnd w:id="170"/>
    <w:p>
      <w:pPr>
        <w:pStyle w:val="4"/>
        <w:spacing w:before="0" w:after="0" w:line="410" w:lineRule="exact"/>
        <w:ind w:firstLine="211" w:firstLineChars="100"/>
        <w:rPr>
          <w:rFonts w:hint="eastAsia" w:ascii="宋体" w:hAnsi="宋体" w:eastAsia="宋体"/>
          <w:sz w:val="21"/>
          <w:szCs w:val="21"/>
        </w:rPr>
      </w:pPr>
      <w:bookmarkStart w:id="175" w:name="_（五）投标报价"/>
      <w:bookmarkEnd w:id="175"/>
      <w:bookmarkStart w:id="176" w:name="_Toc254970538"/>
      <w:bookmarkStart w:id="177" w:name="_Toc254970679"/>
      <w:bookmarkStart w:id="178" w:name="_Toc352700423"/>
      <w:bookmarkStart w:id="179" w:name="_Toc353785293"/>
      <w:bookmarkStart w:id="180" w:name="_Hlk92447977"/>
      <w:r>
        <w:rPr>
          <w:rFonts w:hint="eastAsia" w:ascii="宋体" w:hAnsi="宋体" w:eastAsia="宋体"/>
          <w:sz w:val="21"/>
          <w:szCs w:val="21"/>
        </w:rPr>
        <w:t>（五）投标报价</w:t>
      </w:r>
      <w:bookmarkEnd w:id="176"/>
      <w:bookmarkEnd w:id="177"/>
      <w:bookmarkEnd w:id="178"/>
      <w:bookmarkEnd w:id="179"/>
    </w:p>
    <w:p>
      <w:pPr>
        <w:pStyle w:val="28"/>
        <w:snapToGrid w:val="0"/>
        <w:spacing w:line="410" w:lineRule="exact"/>
        <w:ind w:firstLine="420"/>
        <w:rPr>
          <w:rFonts w:hint="eastAsia" w:hAnsi="宋体"/>
        </w:rPr>
      </w:pPr>
      <w:r>
        <w:rPr>
          <w:rFonts w:hAnsi="宋体"/>
        </w:rPr>
        <w:t>1.</w:t>
      </w:r>
      <w:r>
        <w:rPr>
          <w:rFonts w:hint="eastAsia" w:hAnsi="宋体"/>
        </w:rPr>
        <w:t>招标文件中未列明，而投标人认为必需的费用也须列入总报价。在合同实施时，采购人将不予支付中标人没有列入总报价的费用，并认为此项费用已包含在总报价中。</w:t>
      </w:r>
    </w:p>
    <w:p>
      <w:pPr>
        <w:pStyle w:val="28"/>
        <w:snapToGrid w:val="0"/>
        <w:spacing w:line="410" w:lineRule="exact"/>
        <w:ind w:firstLine="420"/>
      </w:pPr>
      <w:r>
        <w:rPr>
          <w:rFonts w:hAnsi="宋体"/>
        </w:rPr>
        <w:t>2.</w:t>
      </w:r>
      <w:r>
        <w:rPr>
          <w:rFonts w:hint="eastAsia" w:hAnsi="宋体"/>
        </w:rPr>
        <w:t>投标报价应按招标文件中相关附表格式填写。投标人</w:t>
      </w:r>
      <w:r>
        <w:rPr>
          <w:rFonts w:hint="eastAsia"/>
        </w:rPr>
        <w:t>必须就《项目需求》的内容作完整唯一报价。</w:t>
      </w:r>
    </w:p>
    <w:p>
      <w:pPr>
        <w:tabs>
          <w:tab w:val="left" w:pos="525"/>
        </w:tabs>
        <w:snapToGrid w:val="0"/>
        <w:spacing w:line="410" w:lineRule="exact"/>
        <w:ind w:firstLine="420"/>
        <w:rPr>
          <w:rFonts w:hint="eastAsia" w:ascii="宋体" w:hAnsi="宋体"/>
          <w:szCs w:val="21"/>
        </w:rPr>
      </w:pPr>
      <w:r>
        <w:rPr>
          <w:rFonts w:ascii="宋体" w:hAnsi="宋体"/>
          <w:szCs w:val="21"/>
        </w:rPr>
        <w:t>3.</w:t>
      </w:r>
      <w:r>
        <w:rPr>
          <w:rFonts w:hint="eastAsia" w:ascii="宋体" w:hAnsi="宋体"/>
          <w:szCs w:val="21"/>
        </w:rPr>
        <w:t>投标文件每标项只允许有一个总报价，有选择的或有条件的报价视为无效投标文件。</w:t>
      </w:r>
    </w:p>
    <w:p>
      <w:pPr>
        <w:pStyle w:val="4"/>
        <w:spacing w:before="0" w:after="0" w:line="410" w:lineRule="exact"/>
        <w:ind w:firstLine="211" w:firstLineChars="100"/>
        <w:rPr>
          <w:rFonts w:hint="eastAsia" w:ascii="宋体" w:hAnsi="宋体" w:eastAsia="宋体"/>
          <w:sz w:val="21"/>
          <w:szCs w:val="21"/>
        </w:rPr>
      </w:pPr>
      <w:bookmarkStart w:id="181" w:name="_（六）投标文件有效期"/>
      <w:bookmarkEnd w:id="181"/>
      <w:bookmarkStart w:id="182" w:name="_Toc352700424"/>
      <w:bookmarkStart w:id="183" w:name="_Toc353785294"/>
      <w:r>
        <w:rPr>
          <w:rFonts w:hint="eastAsia" w:ascii="宋体" w:hAnsi="宋体" w:eastAsia="宋体"/>
          <w:sz w:val="21"/>
          <w:szCs w:val="21"/>
        </w:rPr>
        <w:t>（六）投标有效期</w:t>
      </w:r>
      <w:bookmarkEnd w:id="180"/>
      <w:bookmarkEnd w:id="182"/>
      <w:bookmarkEnd w:id="183"/>
      <w:bookmarkStart w:id="184" w:name="_（七）投标保证金"/>
      <w:bookmarkEnd w:id="184"/>
      <w:bookmarkStart w:id="185" w:name="_Toc254970682"/>
      <w:bookmarkStart w:id="186" w:name="_Toc254970541"/>
      <w:bookmarkStart w:id="187" w:name="_Toc353785295"/>
      <w:bookmarkStart w:id="188" w:name="_Toc352700425"/>
      <w:bookmarkStart w:id="189" w:name="_Hlk92448848"/>
    </w:p>
    <w:p>
      <w:pPr>
        <w:spacing w:line="410" w:lineRule="exact"/>
        <w:ind w:firstLine="420"/>
      </w:pPr>
      <w:r>
        <w:rPr>
          <w:rFonts w:hint="eastAsia"/>
        </w:rPr>
        <w:t>投标有效期从提交投标文件的截止之日起算。投标文件中承诺的投标有效期应当不少于9</w:t>
      </w:r>
      <w:r>
        <w:t>0</w:t>
      </w:r>
      <w:r>
        <w:rPr>
          <w:rFonts w:hint="eastAsia"/>
        </w:rPr>
        <w:t>天。</w:t>
      </w:r>
    </w:p>
    <w:p>
      <w:pPr>
        <w:pStyle w:val="4"/>
        <w:spacing w:before="0" w:after="0" w:line="410" w:lineRule="exact"/>
        <w:ind w:firstLine="211" w:firstLineChars="100"/>
        <w:rPr>
          <w:rFonts w:hint="eastAsia" w:ascii="宋体" w:hAnsi="宋体" w:eastAsia="宋体"/>
          <w:sz w:val="21"/>
          <w:szCs w:val="21"/>
        </w:rPr>
      </w:pPr>
      <w:r>
        <w:rPr>
          <w:rFonts w:hint="eastAsia" w:ascii="宋体" w:hAnsi="宋体" w:eastAsia="宋体"/>
          <w:sz w:val="21"/>
          <w:szCs w:val="21"/>
        </w:rPr>
        <w:t>（七）投标保证金</w:t>
      </w:r>
      <w:bookmarkEnd w:id="185"/>
      <w:bookmarkEnd w:id="186"/>
      <w:bookmarkEnd w:id="187"/>
      <w:bookmarkEnd w:id="188"/>
    </w:p>
    <w:p>
      <w:pPr>
        <w:snapToGrid w:val="0"/>
        <w:spacing w:line="410" w:lineRule="exact"/>
        <w:ind w:firstLine="420"/>
        <w:rPr>
          <w:rFonts w:hint="eastAsia" w:ascii="宋体" w:hAnsi="宋体"/>
          <w:szCs w:val="21"/>
        </w:rPr>
      </w:pPr>
      <w:bookmarkStart w:id="190" w:name="_Toc353785296"/>
      <w:bookmarkStart w:id="191" w:name="_Toc352700426"/>
      <w:bookmarkStart w:id="192" w:name="_Toc254970542"/>
      <w:bookmarkStart w:id="193" w:name="_Toc254970683"/>
      <w:r>
        <w:rPr>
          <w:rFonts w:hint="eastAsia" w:ascii="宋体" w:hAnsi="宋体"/>
          <w:szCs w:val="21"/>
        </w:rPr>
        <w:t>1</w:t>
      </w:r>
      <w:r>
        <w:rPr>
          <w:rFonts w:ascii="宋体" w:hAnsi="宋体"/>
          <w:szCs w:val="21"/>
        </w:rPr>
        <w:t>.</w:t>
      </w:r>
      <w:r>
        <w:rPr>
          <w:rFonts w:hint="eastAsia" w:ascii="宋体" w:hAnsi="宋体"/>
          <w:szCs w:val="21"/>
        </w:rPr>
        <w:t>投标保证金金额：标项一：肆仟伍佰元整(￥4500.00)、标项二：壹仟元整(￥1000.00)</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提交形式：以支票、汇票、本票、网上银行支付</w:t>
      </w:r>
      <w:bookmarkStart w:id="194" w:name="_Hlk91771269"/>
      <w:r>
        <w:rPr>
          <w:rFonts w:hint="eastAsia" w:ascii="宋体" w:hAnsi="宋体"/>
          <w:szCs w:val="21"/>
        </w:rPr>
        <w:t>或者金融机构、担保机构出具的保函</w:t>
      </w:r>
      <w:bookmarkEnd w:id="194"/>
      <w:r>
        <w:rPr>
          <w:rFonts w:hint="eastAsia" w:ascii="宋体" w:hAnsi="宋体"/>
          <w:szCs w:val="21"/>
        </w:rPr>
        <w:t>等非现金形式提交。</w:t>
      </w:r>
    </w:p>
    <w:p>
      <w:pPr>
        <w:snapToGrid w:val="0"/>
        <w:spacing w:line="410" w:lineRule="exact"/>
        <w:ind w:firstLine="420"/>
        <w:jc w:val="left"/>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以网上银行形式提交保证金的，投标人必须于投标文件提交截止时间前从投标人账户缴存至本中心银行账户并确保到账，否则视为无效保证金。</w:t>
      </w:r>
    </w:p>
    <w:p>
      <w:pPr>
        <w:snapToGrid w:val="0"/>
        <w:spacing w:line="410" w:lineRule="exact"/>
        <w:ind w:firstLine="0" w:firstLineChars="0"/>
        <w:rPr>
          <w:rFonts w:hint="eastAsia" w:ascii="宋体" w:hAnsi="宋体"/>
          <w:bCs/>
          <w:szCs w:val="21"/>
        </w:rPr>
      </w:pPr>
      <w:r>
        <w:rPr>
          <w:rFonts w:hint="eastAsia" w:ascii="宋体" w:hAnsi="宋体"/>
          <w:bCs/>
          <w:szCs w:val="21"/>
        </w:rPr>
        <w:tab/>
      </w:r>
      <w:r>
        <w:rPr>
          <w:rFonts w:hint="eastAsia" w:ascii="宋体" w:hAnsi="宋体"/>
          <w:bCs/>
          <w:szCs w:val="21"/>
        </w:rPr>
        <w:t>本中心银行账户：</w:t>
      </w:r>
    </w:p>
    <w:p>
      <w:pPr>
        <w:snapToGrid w:val="0"/>
        <w:spacing w:line="410" w:lineRule="exact"/>
        <w:ind w:firstLine="0" w:firstLineChars="0"/>
        <w:rPr>
          <w:rFonts w:hint="eastAsia" w:ascii="宋体" w:hAnsi="宋体"/>
          <w:szCs w:val="21"/>
        </w:rPr>
      </w:pPr>
      <w:r>
        <w:rPr>
          <w:rFonts w:hint="eastAsia" w:ascii="宋体" w:hAnsi="宋体"/>
          <w:bCs/>
          <w:szCs w:val="21"/>
        </w:rPr>
        <w:tab/>
      </w:r>
      <w:r>
        <w:rPr>
          <w:rFonts w:hint="eastAsia" w:ascii="宋体" w:hAnsi="宋体"/>
          <w:bCs/>
          <w:szCs w:val="21"/>
        </w:rPr>
        <w:t>开户名称：钦州市政府采购中心</w:t>
      </w:r>
    </w:p>
    <w:p>
      <w:pPr>
        <w:snapToGrid w:val="0"/>
        <w:spacing w:line="410" w:lineRule="exact"/>
        <w:ind w:firstLine="0" w:firstLineChars="0"/>
        <w:rPr>
          <w:rFonts w:hint="eastAsia" w:ascii="宋体" w:hAnsi="宋体"/>
          <w:szCs w:val="21"/>
        </w:rPr>
      </w:pPr>
      <w:r>
        <w:rPr>
          <w:rFonts w:hint="eastAsia" w:ascii="宋体" w:hAnsi="宋体"/>
          <w:bCs/>
          <w:szCs w:val="21"/>
        </w:rPr>
        <w:tab/>
      </w:r>
      <w:r>
        <w:rPr>
          <w:rFonts w:hint="eastAsia" w:ascii="宋体" w:hAnsi="宋体"/>
          <w:bCs/>
          <w:szCs w:val="21"/>
        </w:rPr>
        <w:t>开户银行：中国工商银行股份有限公司钦州市永福东支行</w:t>
      </w:r>
    </w:p>
    <w:p>
      <w:pPr>
        <w:snapToGrid w:val="0"/>
        <w:spacing w:line="410" w:lineRule="exact"/>
        <w:ind w:firstLine="0" w:firstLineChars="0"/>
        <w:rPr>
          <w:rFonts w:hint="eastAsia" w:ascii="宋体" w:hAnsi="宋体"/>
          <w:bCs/>
          <w:szCs w:val="21"/>
        </w:rPr>
      </w:pPr>
      <w:r>
        <w:rPr>
          <w:rFonts w:hint="eastAsia" w:ascii="宋体" w:hAnsi="宋体"/>
          <w:bCs/>
          <w:szCs w:val="21"/>
        </w:rPr>
        <w:tab/>
      </w:r>
      <w:r>
        <w:rPr>
          <w:rFonts w:hint="eastAsia" w:ascii="宋体" w:hAnsi="宋体"/>
          <w:bCs/>
          <w:szCs w:val="21"/>
        </w:rPr>
        <w:t>银行账号：2115591229100078724</w:t>
      </w:r>
    </w:p>
    <w:p>
      <w:pPr>
        <w:snapToGrid w:val="0"/>
        <w:spacing w:line="410" w:lineRule="exact"/>
        <w:ind w:firstLine="420" w:firstLineChars="0"/>
        <w:rPr>
          <w:rFonts w:hint="eastAsia" w:ascii="宋体" w:hAnsi="宋体"/>
          <w:bCs/>
          <w:szCs w:val="21"/>
        </w:rPr>
      </w:pPr>
      <w:r>
        <w:rPr>
          <w:rFonts w:hint="eastAsia" w:ascii="宋体" w:hAnsi="宋体"/>
          <w:szCs w:val="21"/>
        </w:rPr>
        <w:t>注：投标人无法选择以上开户银行的，请选择“中国工商银行股份有限公司钦州分行”进行缴存。</w:t>
      </w:r>
    </w:p>
    <w:p>
      <w:pPr>
        <w:snapToGrid w:val="0"/>
        <w:spacing w:line="410" w:lineRule="exact"/>
        <w:ind w:firstLine="0" w:firstLineChars="0"/>
        <w:rPr>
          <w:rFonts w:hint="eastAsia" w:ascii="宋体" w:hAnsi="宋体"/>
          <w:szCs w:val="21"/>
        </w:rPr>
      </w:pPr>
      <w:r>
        <w:rPr>
          <w:rFonts w:hint="eastAsia" w:ascii="宋体" w:hAnsi="宋体"/>
          <w:szCs w:val="21"/>
        </w:rPr>
        <w:tab/>
      </w:r>
      <w:r>
        <w:rPr>
          <w:rFonts w:ascii="宋体" w:hAnsi="宋体"/>
          <w:szCs w:val="21"/>
        </w:rPr>
        <w:t>3.</w:t>
      </w:r>
      <w:r>
        <w:rPr>
          <w:rFonts w:hint="eastAsia" w:ascii="宋体" w:hAnsi="宋体"/>
          <w:szCs w:val="21"/>
        </w:rPr>
        <w:t>评标委员会将以投标人递交的支票、汇票、本票、保函原件以及本中心财务室出具的《保证金收缴情况表》作为评审依据，对未按规定提交投标保证金的投标文件作无效处理。</w:t>
      </w:r>
    </w:p>
    <w:p>
      <w:pPr>
        <w:snapToGrid w:val="0"/>
        <w:spacing w:line="410" w:lineRule="exact"/>
        <w:ind w:firstLine="420"/>
        <w:rPr>
          <w:rFonts w:hint="eastAsia" w:ascii="宋体" w:hAnsi="宋体"/>
          <w:szCs w:val="21"/>
        </w:rPr>
      </w:pPr>
      <w:r>
        <w:rPr>
          <w:rFonts w:ascii="宋体" w:hAnsi="宋体"/>
          <w:szCs w:val="21"/>
        </w:rPr>
        <w:t>4.</w:t>
      </w:r>
      <w:r>
        <w:rPr>
          <w:rFonts w:hint="eastAsia" w:ascii="宋体" w:hAnsi="宋体"/>
          <w:szCs w:val="21"/>
        </w:rPr>
        <w:t>保证金的退付：</w:t>
      </w:r>
    </w:p>
    <w:tbl>
      <w:tblPr>
        <w:tblStyle w:val="49"/>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43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l2br w:val="single" w:color="auto" w:sz="4" w:space="0"/>
            </w:tcBorders>
            <w:vAlign w:val="center"/>
          </w:tcPr>
          <w:p>
            <w:pPr>
              <w:snapToGrid w:val="0"/>
              <w:spacing w:line="410" w:lineRule="exact"/>
              <w:ind w:firstLine="33" w:firstLineChars="16"/>
              <w:rPr>
                <w:rFonts w:hint="eastAsia" w:ascii="宋体" w:hAnsi="宋体"/>
                <w:szCs w:val="21"/>
              </w:rPr>
            </w:pPr>
            <w:r>
              <w:rPr>
                <w:rFonts w:hint="eastAsia" w:ascii="宋体" w:hAnsi="宋体"/>
                <w:szCs w:val="21"/>
              </w:rPr>
              <w:t xml:space="preserve">     提交形式</w:t>
            </w:r>
          </w:p>
          <w:p>
            <w:pPr>
              <w:snapToGrid w:val="0"/>
              <w:spacing w:line="410" w:lineRule="exact"/>
              <w:ind w:firstLine="0" w:firstLineChars="0"/>
              <w:rPr>
                <w:rFonts w:hint="eastAsia" w:ascii="宋体" w:hAnsi="宋体"/>
                <w:szCs w:val="21"/>
              </w:rPr>
            </w:pPr>
            <w:r>
              <w:rPr>
                <w:rFonts w:hint="eastAsia" w:ascii="宋体" w:hAnsi="宋体"/>
                <w:szCs w:val="21"/>
              </w:rPr>
              <w:t>投标人</w:t>
            </w:r>
          </w:p>
        </w:tc>
        <w:tc>
          <w:tcPr>
            <w:tcW w:w="4394" w:type="dxa"/>
            <w:vAlign w:val="center"/>
          </w:tcPr>
          <w:p>
            <w:pPr>
              <w:snapToGrid w:val="0"/>
              <w:spacing w:line="410" w:lineRule="exact"/>
              <w:ind w:firstLine="0" w:firstLineChars="0"/>
              <w:jc w:val="center"/>
              <w:rPr>
                <w:rFonts w:hint="eastAsia" w:ascii="宋体" w:hAnsi="宋体"/>
                <w:szCs w:val="21"/>
              </w:rPr>
            </w:pPr>
            <w:r>
              <w:rPr>
                <w:rFonts w:hint="eastAsia" w:ascii="宋体" w:hAnsi="宋体"/>
                <w:szCs w:val="21"/>
              </w:rPr>
              <w:t>网上银行形式</w:t>
            </w:r>
          </w:p>
        </w:tc>
        <w:tc>
          <w:tcPr>
            <w:tcW w:w="3260" w:type="dxa"/>
            <w:vAlign w:val="center"/>
          </w:tcPr>
          <w:p>
            <w:pPr>
              <w:snapToGrid w:val="0"/>
              <w:spacing w:line="410" w:lineRule="exact"/>
              <w:ind w:firstLine="0" w:firstLineChars="0"/>
              <w:jc w:val="center"/>
              <w:rPr>
                <w:rFonts w:hint="eastAsia" w:ascii="宋体" w:hAnsi="宋体"/>
                <w:spacing w:val="-10"/>
                <w:szCs w:val="21"/>
              </w:rPr>
            </w:pPr>
            <w:r>
              <w:rPr>
                <w:rFonts w:hint="eastAsia" w:ascii="宋体" w:hAnsi="宋体"/>
                <w:spacing w:val="-10"/>
                <w:szCs w:val="21"/>
              </w:rPr>
              <w:t>支票、汇票、本票、保函等形式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pPr>
              <w:snapToGrid w:val="0"/>
              <w:spacing w:line="410" w:lineRule="exact"/>
              <w:ind w:firstLine="0" w:firstLineChars="0"/>
              <w:jc w:val="center"/>
              <w:rPr>
                <w:rFonts w:hint="eastAsia" w:ascii="宋体" w:hAnsi="宋体"/>
                <w:szCs w:val="21"/>
              </w:rPr>
            </w:pPr>
            <w:r>
              <w:rPr>
                <w:rFonts w:hint="eastAsia" w:ascii="宋体" w:hAnsi="宋体"/>
                <w:szCs w:val="21"/>
              </w:rPr>
              <w:t>未中标人</w:t>
            </w:r>
          </w:p>
        </w:tc>
        <w:tc>
          <w:tcPr>
            <w:tcW w:w="4394"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中标通知书(结果公告)发出之日起四个工作日内以网上银行形式退回到投标人银行账户。</w:t>
            </w:r>
          </w:p>
        </w:tc>
        <w:tc>
          <w:tcPr>
            <w:tcW w:w="3260"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中标通知书(结果公告)发出之日起四个工作日内退还。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pPr>
              <w:snapToGrid w:val="0"/>
              <w:spacing w:line="410" w:lineRule="exact"/>
              <w:ind w:firstLine="33" w:firstLineChars="16"/>
              <w:jc w:val="center"/>
              <w:rPr>
                <w:rFonts w:hint="eastAsia" w:ascii="宋体" w:hAnsi="宋体"/>
                <w:szCs w:val="21"/>
              </w:rPr>
            </w:pPr>
            <w:r>
              <w:rPr>
                <w:rFonts w:hint="eastAsia" w:ascii="宋体" w:hAnsi="宋体"/>
                <w:szCs w:val="21"/>
              </w:rPr>
              <w:t>中标人</w:t>
            </w:r>
          </w:p>
        </w:tc>
        <w:tc>
          <w:tcPr>
            <w:tcW w:w="4394"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在政府采购合同签订之日起四个工作日内以网上银行形式退回到投标人银行账户。</w:t>
            </w:r>
          </w:p>
        </w:tc>
        <w:tc>
          <w:tcPr>
            <w:tcW w:w="3260" w:type="dxa"/>
            <w:vAlign w:val="center"/>
          </w:tcPr>
          <w:p>
            <w:pPr>
              <w:snapToGrid w:val="0"/>
              <w:spacing w:line="410" w:lineRule="exact"/>
              <w:ind w:firstLine="0" w:firstLineChars="0"/>
              <w:rPr>
                <w:rFonts w:hint="eastAsia" w:ascii="宋体" w:hAnsi="宋体"/>
                <w:szCs w:val="21"/>
              </w:rPr>
            </w:pPr>
            <w:r>
              <w:rPr>
                <w:rFonts w:hint="eastAsia" w:ascii="宋体" w:hAnsi="宋体"/>
                <w:szCs w:val="21"/>
              </w:rPr>
              <w:t>在政府采购合同签订之日起四个工作日内退还。</w:t>
            </w:r>
          </w:p>
        </w:tc>
      </w:tr>
    </w:tbl>
    <w:p>
      <w:pPr>
        <w:widowControl/>
        <w:spacing w:line="410" w:lineRule="exact"/>
        <w:ind w:firstLine="424" w:firstLineChars="202"/>
        <w:jc w:val="left"/>
        <w:rPr>
          <w:rFonts w:hint="eastAsia" w:ascii="宋体" w:hAnsi="宋体"/>
          <w:szCs w:val="21"/>
        </w:rPr>
      </w:pPr>
      <w:r>
        <w:rPr>
          <w:rFonts w:hint="eastAsia" w:ascii="宋体" w:hAnsi="宋体"/>
          <w:szCs w:val="21"/>
        </w:rPr>
        <w:t>注：因投标人自身原因导致无法及时退还的除外</w:t>
      </w:r>
    </w:p>
    <w:p>
      <w:pPr>
        <w:snapToGrid w:val="0"/>
        <w:spacing w:line="410" w:lineRule="exact"/>
        <w:ind w:firstLine="420"/>
        <w:rPr>
          <w:rFonts w:hint="eastAsia" w:ascii="宋体" w:hAnsi="宋体"/>
          <w:szCs w:val="21"/>
        </w:rPr>
      </w:pPr>
      <w:r>
        <w:rPr>
          <w:rFonts w:ascii="宋体" w:hAnsi="宋体"/>
          <w:szCs w:val="21"/>
        </w:rPr>
        <w:t>5.</w:t>
      </w:r>
      <w:r>
        <w:rPr>
          <w:rFonts w:hint="eastAsia" w:ascii="宋体" w:hAnsi="宋体"/>
          <w:szCs w:val="21"/>
        </w:rPr>
        <w:t>投标人有下列情形之一的，投标保证金将不予退还：</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投标人在投标有效期内撤回投标文件的；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投标人在投标文件中提供虚假材料的；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投标人与其他投标人或采购代理机构恶意串通的；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中标人无正当理由不与采购人签订采购合同的；</w:t>
      </w:r>
    </w:p>
    <w:p>
      <w:pPr>
        <w:snapToGrid w:val="0"/>
        <w:spacing w:line="410" w:lineRule="exact"/>
        <w:ind w:firstLine="42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招标文件规定的其他情形。</w:t>
      </w:r>
    </w:p>
    <w:bookmarkEnd w:id="189"/>
    <w:bookmarkEnd w:id="190"/>
    <w:bookmarkEnd w:id="191"/>
    <w:bookmarkEnd w:id="192"/>
    <w:bookmarkEnd w:id="193"/>
    <w:p>
      <w:pPr>
        <w:spacing w:line="410" w:lineRule="exact"/>
        <w:ind w:firstLine="211" w:firstLineChars="100"/>
        <w:rPr>
          <w:b/>
          <w:bCs/>
        </w:rPr>
      </w:pPr>
      <w:r>
        <w:rPr>
          <w:rFonts w:hint="eastAsia"/>
          <w:b/>
          <w:bCs/>
        </w:rPr>
        <w:t>（八）投标文件的上传、提交、修改、撤回</w:t>
      </w:r>
    </w:p>
    <w:p>
      <w:pPr>
        <w:snapToGrid w:val="0"/>
        <w:spacing w:line="410" w:lineRule="exact"/>
        <w:ind w:firstLine="420"/>
        <w:rPr>
          <w:rFonts w:hint="eastAsia" w:ascii="宋体" w:hAnsi="宋体"/>
          <w:szCs w:val="21"/>
        </w:rPr>
      </w:pPr>
      <w:bookmarkStart w:id="195" w:name="_Toc352700427"/>
      <w:bookmarkStart w:id="196" w:name="_Toc353785297"/>
      <w:r>
        <w:rPr>
          <w:rFonts w:ascii="宋体" w:hAnsi="宋体"/>
          <w:szCs w:val="21"/>
        </w:rPr>
        <w:t>1.</w:t>
      </w:r>
      <w:r>
        <w:rPr>
          <w:rFonts w:hint="eastAsia" w:ascii="宋体" w:hAnsi="宋体"/>
          <w:szCs w:val="21"/>
        </w:rPr>
        <w:t>投标文件的上传和提交:投标人须将编制好的加密投标文件上传至政府采购云平台，并在投标文件提交截止时间前提交，否则</w:t>
      </w:r>
      <w:bookmarkStart w:id="197" w:name="_Hlk91772691"/>
      <w:r>
        <w:rPr>
          <w:rFonts w:hint="eastAsia" w:ascii="宋体" w:hAnsi="宋体"/>
          <w:szCs w:val="21"/>
        </w:rPr>
        <w:t>政府采购云平台</w:t>
      </w:r>
      <w:bookmarkEnd w:id="197"/>
      <w:r>
        <w:rPr>
          <w:rFonts w:hint="eastAsia" w:ascii="宋体" w:hAnsi="宋体"/>
          <w:szCs w:val="21"/>
        </w:rPr>
        <w:t>将予以拒收。投标文件提交成功后，投标人可自行打印投标文件接收回执。</w:t>
      </w:r>
    </w:p>
    <w:p>
      <w:pPr>
        <w:snapToGrid w:val="0"/>
        <w:spacing w:line="410" w:lineRule="exact"/>
        <w:ind w:firstLine="420"/>
        <w:rPr>
          <w:rFonts w:hint="eastAsia" w:ascii="宋体" w:hAnsi="宋体"/>
          <w:szCs w:val="21"/>
        </w:rPr>
      </w:pPr>
      <w:r>
        <w:rPr>
          <w:rFonts w:ascii="宋体" w:hAnsi="宋体"/>
          <w:szCs w:val="21"/>
        </w:rPr>
        <w:t>2.</w:t>
      </w:r>
      <w:r>
        <w:rPr>
          <w:rFonts w:hint="eastAsia" w:ascii="宋体" w:hAnsi="宋体"/>
          <w:szCs w:val="21"/>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pPr>
        <w:snapToGrid w:val="0"/>
        <w:spacing w:line="410" w:lineRule="exact"/>
        <w:ind w:firstLine="420"/>
        <w:rPr>
          <w:rFonts w:hint="eastAsia" w:ascii="宋体" w:hAnsi="宋体"/>
          <w:szCs w:val="21"/>
        </w:rPr>
      </w:pPr>
    </w:p>
    <w:p>
      <w:pPr>
        <w:pStyle w:val="4"/>
        <w:spacing w:before="0" w:after="0" w:line="410" w:lineRule="exact"/>
        <w:ind w:firstLine="0" w:firstLineChars="0"/>
        <w:rPr>
          <w:rFonts w:ascii="方正小标宋_GBK" w:eastAsia="方正小标宋_GBK"/>
          <w:b w:val="0"/>
          <w:bCs w:val="0"/>
          <w:sz w:val="24"/>
          <w:szCs w:val="24"/>
        </w:rPr>
      </w:pPr>
      <w:bookmarkStart w:id="198" w:name="_四、开标"/>
      <w:bookmarkEnd w:id="198"/>
      <w:r>
        <w:rPr>
          <w:rFonts w:hint="eastAsia" w:ascii="方正小标宋_GBK" w:eastAsia="方正小标宋_GBK"/>
          <w:b w:val="0"/>
          <w:bCs w:val="0"/>
          <w:sz w:val="24"/>
          <w:szCs w:val="24"/>
        </w:rPr>
        <w:t>四、开标</w:t>
      </w:r>
      <w:bookmarkStart w:id="199" w:name="_Toc352700430"/>
      <w:bookmarkStart w:id="200" w:name="_Toc353785300"/>
    </w:p>
    <w:bookmarkEnd w:id="199"/>
    <w:bookmarkEnd w:id="200"/>
    <w:p>
      <w:pPr>
        <w:spacing w:line="410" w:lineRule="exact"/>
        <w:ind w:firstLine="210" w:firstLineChars="100"/>
        <w:rPr>
          <w:rFonts w:ascii="方正小标宋_GBK" w:hAnsi="Arial" w:eastAsia="方正小标宋_GBK"/>
          <w:bCs/>
          <w:sz w:val="24"/>
        </w:rPr>
      </w:pPr>
      <w:r>
        <w:rPr>
          <w:rFonts w:hint="eastAsia"/>
        </w:rPr>
        <w:t>（一）本中心将在投标文件提交截止时间后在</w:t>
      </w:r>
      <w:bookmarkStart w:id="201" w:name="_Hlk90300735"/>
      <w:r>
        <w:rPr>
          <w:rFonts w:hint="eastAsia"/>
        </w:rPr>
        <w:t>政采云远程开标大厅</w:t>
      </w:r>
      <w:bookmarkEnd w:id="201"/>
      <w:r>
        <w:rPr>
          <w:rFonts w:hint="eastAsia"/>
        </w:rPr>
        <w:t>进行开标，投标人法定代表人或委托代理人须按时登录</w:t>
      </w:r>
      <w:bookmarkStart w:id="202" w:name="_Hlk90300780"/>
      <w:r>
        <w:rPr>
          <w:rFonts w:hint="eastAsia"/>
        </w:rPr>
        <w:t>政采云远程开标大厅</w:t>
      </w:r>
      <w:bookmarkEnd w:id="202"/>
      <w:r>
        <w:rPr>
          <w:rFonts w:hint="eastAsia"/>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203" w:name="_Toc352700431"/>
      <w:bookmarkStart w:id="204" w:name="_Toc353785301"/>
    </w:p>
    <w:p>
      <w:pPr>
        <w:spacing w:line="410" w:lineRule="exact"/>
        <w:ind w:firstLine="210" w:firstLineChars="100"/>
        <w:rPr>
          <w:rFonts w:ascii="方正小标宋_GBK" w:hAnsi="Arial" w:eastAsia="方正小标宋_GBK"/>
          <w:bCs/>
          <w:sz w:val="24"/>
        </w:rPr>
      </w:pPr>
      <w:r>
        <w:rPr>
          <w:rFonts w:hint="eastAsia"/>
        </w:rPr>
        <w:t>（二）开标程序</w:t>
      </w:r>
      <w:bookmarkEnd w:id="203"/>
      <w:bookmarkEnd w:id="204"/>
    </w:p>
    <w:p>
      <w:pPr>
        <w:spacing w:line="410" w:lineRule="exact"/>
        <w:ind w:left="420" w:firstLine="0" w:firstLineChars="0"/>
      </w:pPr>
      <w:r>
        <w:t>1.</w:t>
      </w:r>
      <w:r>
        <w:rPr>
          <w:rFonts w:hint="eastAsia"/>
        </w:rPr>
        <w:t>开标会由本中心主持；</w:t>
      </w:r>
    </w:p>
    <w:p>
      <w:pPr>
        <w:spacing w:line="410" w:lineRule="exact"/>
        <w:ind w:firstLine="420"/>
      </w:pPr>
      <w:r>
        <w:t>2.</w:t>
      </w:r>
      <w:r>
        <w:rPr>
          <w:rFonts w:hint="eastAsia"/>
          <w:b/>
          <w:bCs/>
        </w:rPr>
        <w:t>解密：</w:t>
      </w:r>
      <w:r>
        <w:rPr>
          <w:rFonts w:hint="eastAsia"/>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pPr>
        <w:spacing w:line="410" w:lineRule="exact"/>
        <w:ind w:firstLine="420"/>
      </w:pPr>
      <w:r>
        <w:rPr>
          <w:rFonts w:hint="eastAsia"/>
        </w:rPr>
        <w:t>注：当招标项目(或分标</w:t>
      </w:r>
      <w:r>
        <w:t>)</w:t>
      </w:r>
      <w:r>
        <w:rPr>
          <w:rFonts w:hint="eastAsia"/>
        </w:rPr>
        <w:t>的投标人不足3家的，不开标。</w:t>
      </w:r>
    </w:p>
    <w:p>
      <w:pPr>
        <w:spacing w:line="410" w:lineRule="exact"/>
        <w:ind w:firstLine="211" w:firstLineChars="100"/>
        <w:rPr>
          <w:b/>
          <w:bCs/>
        </w:rPr>
      </w:pPr>
      <w:r>
        <w:rPr>
          <w:rFonts w:hint="eastAsia"/>
          <w:b/>
          <w:bCs/>
        </w:rPr>
        <w:t>（三）资格审查</w:t>
      </w:r>
    </w:p>
    <w:p>
      <w:pPr>
        <w:spacing w:line="410" w:lineRule="exact"/>
        <w:ind w:firstLine="420"/>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采购人依法对投标人的资格进行审查，招标项目(或分标)</w:t>
      </w:r>
      <w:r>
        <w:rPr>
          <w:rFonts w:ascii="Arial" w:hAnsi="Arial" w:cs="Arial"/>
        </w:rPr>
        <w:t>合格投标人不足3家的，不评标</w:t>
      </w:r>
      <w:r>
        <w:rPr>
          <w:rFonts w:hint="eastAsia" w:ascii="宋体" w:hAnsi="宋体"/>
          <w:szCs w:val="21"/>
        </w:rPr>
        <w:t>。</w:t>
      </w:r>
    </w:p>
    <w:p>
      <w:pPr>
        <w:spacing w:line="410" w:lineRule="exact"/>
        <w:ind w:firstLine="420"/>
        <w:rPr>
          <w:rFonts w:hint="eastAsia" w:ascii="宋体" w:hAnsi="宋体"/>
          <w:szCs w:val="21"/>
        </w:rPr>
      </w:pPr>
      <w:r>
        <w:rPr>
          <w:rFonts w:ascii="宋体" w:hAnsi="宋体"/>
          <w:szCs w:val="21"/>
        </w:rPr>
        <w:t>2.</w:t>
      </w:r>
      <w:r>
        <w:rPr>
          <w:rFonts w:hint="eastAsia" w:ascii="宋体" w:hAnsi="宋体"/>
          <w:szCs w:val="21"/>
        </w:rPr>
        <w:t>资格性审查时，如发现下列情形之一的，投标文件将被视为无效：</w:t>
      </w:r>
    </w:p>
    <w:p>
      <w:pPr>
        <w:spacing w:line="410" w:lineRule="exact"/>
        <w:ind w:firstLine="420"/>
        <w:rPr>
          <w:rFonts w:hint="eastAsia" w:ascii="宋体" w:hAnsi="宋体"/>
          <w:szCs w:val="21"/>
        </w:rPr>
      </w:pPr>
      <w:r>
        <w:rPr>
          <w:rFonts w:hint="eastAsia" w:ascii="宋体" w:hAnsi="宋体"/>
          <w:szCs w:val="21"/>
        </w:rPr>
        <w:t>(1)超越了按照法律法规规定必须获得行政许可或者行政审批的经营范围的；</w:t>
      </w:r>
    </w:p>
    <w:p>
      <w:pPr>
        <w:spacing w:line="410" w:lineRule="exact"/>
        <w:ind w:firstLine="420"/>
        <w:rPr>
          <w:rFonts w:hint="eastAsia" w:ascii="宋体" w:hAnsi="宋体"/>
          <w:szCs w:val="21"/>
        </w:rPr>
      </w:pPr>
      <w:r>
        <w:rPr>
          <w:rFonts w:hint="eastAsia" w:ascii="宋体" w:hAnsi="宋体"/>
          <w:szCs w:val="21"/>
        </w:rPr>
        <w:t>(2)资格证明文件不全的，或者不符合招标文件标明的资格要求的；</w:t>
      </w:r>
    </w:p>
    <w:p>
      <w:pPr>
        <w:snapToGrid w:val="0"/>
        <w:spacing w:line="410" w:lineRule="exact"/>
        <w:ind w:firstLine="420"/>
        <w:jc w:val="left"/>
        <w:rPr>
          <w:rFonts w:hint="eastAsia" w:ascii="宋体" w:hAnsi="宋体"/>
          <w:szCs w:val="21"/>
        </w:rPr>
      </w:pPr>
      <w:r>
        <w:rPr>
          <w:rFonts w:ascii="宋体" w:hAnsi="宋体"/>
          <w:szCs w:val="21"/>
        </w:rPr>
        <w:t>3.</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pStyle w:val="4"/>
        <w:spacing w:before="0" w:after="0" w:line="410" w:lineRule="exact"/>
        <w:ind w:firstLine="0" w:firstLineChars="0"/>
        <w:rPr>
          <w:rFonts w:ascii="方正小标宋_GBK" w:eastAsia="方正小标宋_GBK"/>
          <w:b w:val="0"/>
          <w:bCs w:val="0"/>
          <w:sz w:val="24"/>
          <w:szCs w:val="24"/>
        </w:rPr>
      </w:pPr>
      <w:bookmarkStart w:id="205" w:name="_五、评标"/>
      <w:bookmarkEnd w:id="205"/>
      <w:bookmarkStart w:id="206" w:name="_Toc254970686"/>
      <w:bookmarkStart w:id="207" w:name="_Toc254970545"/>
      <w:bookmarkStart w:id="208" w:name="_Toc353785302"/>
      <w:bookmarkStart w:id="209" w:name="_Toc352700432"/>
      <w:r>
        <w:rPr>
          <w:rFonts w:hint="eastAsia" w:ascii="方正小标宋_GBK" w:eastAsia="方正小标宋_GBK"/>
          <w:b w:val="0"/>
          <w:bCs w:val="0"/>
          <w:sz w:val="24"/>
          <w:szCs w:val="24"/>
        </w:rPr>
        <w:t>五、评标</w:t>
      </w:r>
      <w:bookmarkEnd w:id="206"/>
      <w:bookmarkEnd w:id="207"/>
      <w:bookmarkEnd w:id="208"/>
      <w:bookmarkEnd w:id="209"/>
    </w:p>
    <w:p>
      <w:pPr>
        <w:snapToGrid w:val="0"/>
        <w:spacing w:line="410" w:lineRule="exact"/>
        <w:ind w:firstLine="211" w:firstLineChars="100"/>
        <w:rPr>
          <w:rFonts w:hint="eastAsia" w:ascii="宋体" w:hAnsi="宋体"/>
          <w:b/>
          <w:bCs/>
          <w:szCs w:val="21"/>
        </w:rPr>
      </w:pPr>
      <w:bookmarkStart w:id="210" w:name="_Toc353785303"/>
      <w:bookmarkStart w:id="211" w:name="_Toc352700433"/>
      <w:r>
        <w:rPr>
          <w:rFonts w:hint="eastAsia" w:ascii="宋体" w:hAnsi="宋体"/>
          <w:b/>
          <w:bCs/>
          <w:szCs w:val="21"/>
        </w:rPr>
        <w:t>（一）评标原则：</w:t>
      </w:r>
    </w:p>
    <w:p>
      <w:pPr>
        <w:snapToGrid w:val="0"/>
        <w:spacing w:line="410" w:lineRule="exact"/>
        <w:ind w:firstLine="420"/>
        <w:rPr>
          <w:rFonts w:hint="eastAsia" w:ascii="宋体" w:hAnsi="宋体"/>
          <w:szCs w:val="21"/>
        </w:rPr>
      </w:pPr>
      <w:r>
        <w:rPr>
          <w:rFonts w:ascii="宋体" w:hAnsi="宋体"/>
          <w:szCs w:val="21"/>
        </w:rPr>
        <w:t>1.</w:t>
      </w:r>
      <w:r>
        <w:rPr>
          <w:rFonts w:hint="eastAsia" w:ascii="宋体" w:hAnsi="宋体"/>
          <w:szCs w:val="21"/>
        </w:rPr>
        <w:t>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rPr>
          <w:rFonts w:hint="eastAsia" w:ascii="宋体" w:hAnsi="宋体" w:cs="Courier New"/>
          <w:szCs w:val="21"/>
        </w:rPr>
      </w:pPr>
      <w:r>
        <w:rPr>
          <w:rFonts w:ascii="宋体" w:hAnsi="宋体"/>
          <w:szCs w:val="21"/>
        </w:rPr>
        <w:t>2.</w:t>
      </w:r>
      <w:r>
        <w:rPr>
          <w:rFonts w:hint="eastAsia" w:ascii="宋体" w:hAnsi="宋体" w:cs="Courier New"/>
          <w:szCs w:val="21"/>
        </w:rPr>
        <w:t>本项目采用不公开方式评标，评标的依据为招标文件和投标文件。</w:t>
      </w:r>
    </w:p>
    <w:p>
      <w:pPr>
        <w:snapToGrid w:val="0"/>
        <w:spacing w:line="410" w:lineRule="exact"/>
        <w:ind w:firstLine="420"/>
        <w:rPr>
          <w:rFonts w:hint="eastAsia" w:ascii="宋体" w:hAnsi="宋体"/>
          <w:szCs w:val="21"/>
        </w:rPr>
      </w:pPr>
      <w:r>
        <w:rPr>
          <w:rFonts w:hint="eastAsia" w:ascii="宋体" w:hAnsi="宋体" w:cs="Courier New"/>
          <w:szCs w:val="21"/>
        </w:rPr>
        <w:t>3</w:t>
      </w:r>
      <w:r>
        <w:rPr>
          <w:rFonts w:ascii="宋体" w:hAnsi="宋体" w:cs="Courier New"/>
          <w:szCs w:val="21"/>
        </w:rPr>
        <w:t>.</w:t>
      </w:r>
      <w:r>
        <w:rPr>
          <w:rFonts w:hint="eastAsia" w:ascii="宋体" w:hAnsi="宋体" w:cs="宋体"/>
          <w:szCs w:val="21"/>
        </w:rPr>
        <w:t>评标方法：综合评分法，即满足招标文件全部实质性要求且按照评审因素的量化指标评审得分最高的供应商为中标候选人。</w:t>
      </w:r>
    </w:p>
    <w:p>
      <w:pPr>
        <w:snapToGrid w:val="0"/>
        <w:spacing w:line="410" w:lineRule="exact"/>
        <w:ind w:firstLine="211" w:firstLineChars="100"/>
        <w:rPr>
          <w:rFonts w:hint="eastAsia" w:ascii="宋体" w:hAnsi="宋体"/>
          <w:b/>
          <w:bCs/>
          <w:szCs w:val="21"/>
        </w:rPr>
      </w:pPr>
      <w:r>
        <w:rPr>
          <w:rFonts w:hint="eastAsia"/>
          <w:b/>
          <w:bCs/>
        </w:rPr>
        <w:t>（二）组建评标委员会</w:t>
      </w:r>
    </w:p>
    <w:p>
      <w:pPr>
        <w:snapToGrid w:val="0"/>
        <w:spacing w:line="410" w:lineRule="exact"/>
        <w:ind w:firstLine="420"/>
        <w:rPr>
          <w:rFonts w:hint="eastAsia" w:ascii="宋体" w:hAnsi="宋体"/>
          <w:szCs w:val="21"/>
        </w:rPr>
      </w:pPr>
      <w:r>
        <w:rPr>
          <w:rFonts w:ascii="宋体" w:hAnsi="宋体" w:cs="Courier New"/>
          <w:bCs/>
          <w:szCs w:val="21"/>
        </w:rPr>
        <w:t>评标委员会由采购人代表和评审专家组成，成员人数应当为</w:t>
      </w:r>
      <w:r>
        <w:rPr>
          <w:rFonts w:hint="eastAsia" w:ascii="宋体" w:hAnsi="宋体" w:cs="Courier New"/>
          <w:bCs/>
          <w:szCs w:val="21"/>
        </w:rPr>
        <w:t>5</w:t>
      </w:r>
      <w:r>
        <w:rPr>
          <w:rFonts w:ascii="宋体" w:hAnsi="宋体" w:cs="Courier New"/>
          <w:bCs/>
          <w:szCs w:val="21"/>
        </w:rPr>
        <w:t>人以上单数，其中评审专家不得少于成员总数的三分之二。</w:t>
      </w:r>
      <w:bookmarkEnd w:id="210"/>
      <w:bookmarkEnd w:id="211"/>
    </w:p>
    <w:p>
      <w:pPr>
        <w:spacing w:line="410" w:lineRule="exact"/>
        <w:ind w:firstLine="211" w:firstLineChars="100"/>
        <w:rPr>
          <w:rFonts w:hint="eastAsia" w:ascii="宋体" w:hAnsi="宋体" w:cs="Courier New"/>
          <w:szCs w:val="21"/>
        </w:rPr>
      </w:pPr>
      <w:r>
        <w:rPr>
          <w:rFonts w:hint="eastAsia" w:ascii="宋体" w:hAnsi="宋体"/>
          <w:b/>
          <w:bCs/>
          <w:szCs w:val="21"/>
        </w:rPr>
        <w:t>（三）符合性审查</w:t>
      </w:r>
    </w:p>
    <w:p>
      <w:pPr>
        <w:snapToGrid w:val="0"/>
        <w:spacing w:line="410" w:lineRule="exact"/>
        <w:ind w:firstLine="420"/>
        <w:rPr>
          <w:rFonts w:hint="eastAsia" w:ascii="宋体" w:hAnsi="宋体"/>
          <w:szCs w:val="21"/>
        </w:rPr>
      </w:pPr>
      <w:r>
        <w:rPr>
          <w:rFonts w:hint="eastAsia" w:ascii="宋体" w:hAnsi="宋体"/>
          <w:szCs w:val="21"/>
        </w:rPr>
        <w:t>评标委员会对符合资格的投标人投标文件进行符合性审查，以确定其是否满足招标文件的实质性要求。</w:t>
      </w:r>
    </w:p>
    <w:p>
      <w:pPr>
        <w:snapToGrid w:val="0"/>
        <w:spacing w:line="410" w:lineRule="exact"/>
        <w:ind w:firstLine="422"/>
        <w:rPr>
          <w:rFonts w:hint="eastAsia" w:ascii="宋体" w:hAnsi="宋体"/>
          <w:b/>
          <w:bCs/>
          <w:szCs w:val="21"/>
        </w:rPr>
      </w:pPr>
      <w:r>
        <w:rPr>
          <w:rFonts w:ascii="宋体" w:hAnsi="宋体"/>
          <w:b/>
          <w:bCs/>
          <w:szCs w:val="21"/>
        </w:rPr>
        <w:t>1.</w:t>
      </w:r>
      <w:r>
        <w:rPr>
          <w:rFonts w:hint="eastAsia" w:ascii="宋体" w:hAnsi="宋体"/>
          <w:b/>
          <w:bCs/>
          <w:szCs w:val="21"/>
        </w:rPr>
        <w:t>符合性审查时，如发现下列情形之一的，投标文件将被视为无效：</w:t>
      </w:r>
    </w:p>
    <w:p>
      <w:pPr>
        <w:snapToGrid w:val="0"/>
        <w:spacing w:line="410" w:lineRule="exact"/>
        <w:ind w:firstLine="422"/>
        <w:rPr>
          <w:rFonts w:hint="eastAsia" w:ascii="宋体" w:hAnsi="宋体"/>
          <w:b/>
          <w:bCs/>
          <w:szCs w:val="21"/>
        </w:rPr>
      </w:pPr>
      <w:r>
        <w:rPr>
          <w:rFonts w:hint="eastAsia" w:ascii="宋体" w:hAnsi="宋体"/>
          <w:b/>
          <w:bCs/>
          <w:szCs w:val="21"/>
        </w:rPr>
        <w:t>(</w:t>
      </w:r>
      <w:r>
        <w:rPr>
          <w:rFonts w:ascii="宋体" w:hAnsi="宋体"/>
          <w:b/>
          <w:bCs/>
          <w:szCs w:val="21"/>
        </w:rPr>
        <w:t>1)</w:t>
      </w:r>
      <w:r>
        <w:rPr>
          <w:rFonts w:hint="eastAsia" w:ascii="宋体" w:hAnsi="宋体"/>
          <w:b/>
          <w:bCs/>
          <w:szCs w:val="21"/>
        </w:rPr>
        <w:t>商务评审:</w:t>
      </w:r>
    </w:p>
    <w:p>
      <w:pPr>
        <w:snapToGrid w:val="0"/>
        <w:spacing w:line="410" w:lineRule="exact"/>
        <w:ind w:firstLine="525" w:firstLineChars="250"/>
        <w:rPr>
          <w:rFonts w:hint="eastAsia" w:ascii="宋体" w:hAnsi="宋体"/>
          <w:szCs w:val="21"/>
        </w:rPr>
      </w:pPr>
      <w:r>
        <w:rPr>
          <w:rFonts w:hint="eastAsia" w:ascii="宋体" w:hAnsi="宋体"/>
          <w:szCs w:val="21"/>
        </w:rPr>
        <w:t>①应交未交投标保证金的；</w:t>
      </w:r>
    </w:p>
    <w:p>
      <w:pPr>
        <w:snapToGrid w:val="0"/>
        <w:spacing w:line="410" w:lineRule="exact"/>
        <w:ind w:firstLine="525" w:firstLineChars="250"/>
        <w:rPr>
          <w:rFonts w:hint="eastAsia" w:ascii="宋体" w:hAnsi="宋体"/>
          <w:szCs w:val="21"/>
        </w:rPr>
      </w:pPr>
      <w:r>
        <w:rPr>
          <w:rFonts w:hint="eastAsia" w:ascii="宋体" w:hAnsi="宋体"/>
          <w:szCs w:val="21"/>
        </w:rPr>
        <w:t>②投标文件未按投标文件编制要求提供或内容虚假的</w:t>
      </w:r>
    </w:p>
    <w:p>
      <w:pPr>
        <w:snapToGrid w:val="0"/>
        <w:spacing w:line="410" w:lineRule="exact"/>
        <w:ind w:firstLine="525" w:firstLineChars="250"/>
        <w:rPr>
          <w:rFonts w:hint="eastAsia" w:ascii="宋体" w:hAnsi="宋体"/>
          <w:szCs w:val="21"/>
        </w:rPr>
      </w:pPr>
      <w:r>
        <w:rPr>
          <w:rFonts w:hint="eastAsia" w:ascii="宋体" w:hAnsi="宋体"/>
          <w:szCs w:val="21"/>
        </w:rPr>
        <w:t>③投标文件无法定代表人或其委托代理人签署、未提供授权委托书，或未按规定盖章的；</w:t>
      </w:r>
    </w:p>
    <w:p>
      <w:pPr>
        <w:snapToGrid w:val="0"/>
        <w:spacing w:line="410" w:lineRule="exact"/>
        <w:ind w:firstLine="525" w:firstLineChars="250"/>
        <w:rPr>
          <w:rFonts w:hint="eastAsia" w:ascii="宋体" w:hAnsi="宋体"/>
          <w:szCs w:val="21"/>
        </w:rPr>
      </w:pPr>
      <w:r>
        <w:rPr>
          <w:rFonts w:hint="eastAsia" w:ascii="宋体" w:hAnsi="宋体"/>
          <w:szCs w:val="21"/>
        </w:rPr>
        <w:t>④投标人代表未能出具身份证明或与法定代表人委托代理人身份不符的；</w:t>
      </w:r>
    </w:p>
    <w:p>
      <w:pPr>
        <w:snapToGrid w:val="0"/>
        <w:spacing w:line="410" w:lineRule="exact"/>
        <w:ind w:firstLine="525" w:firstLineChars="250"/>
        <w:rPr>
          <w:rFonts w:hint="eastAsia" w:ascii="宋体" w:hAnsi="宋体"/>
          <w:szCs w:val="21"/>
        </w:rPr>
      </w:pPr>
      <w:r>
        <w:rPr>
          <w:rFonts w:hint="eastAsia" w:ascii="宋体" w:hAnsi="宋体"/>
          <w:szCs w:val="21"/>
        </w:rPr>
        <w:t>⑤投</w:t>
      </w:r>
      <w:bookmarkStart w:id="212" w:name="_Hlk112423038"/>
      <w:r>
        <w:rPr>
          <w:rFonts w:hint="eastAsia" w:ascii="宋体" w:hAnsi="宋体"/>
          <w:szCs w:val="21"/>
        </w:rPr>
        <w:t>标有效期、交货时间、质保期等不允许偏离的实质性要求和条件不能满足招标文件要求的；</w:t>
      </w:r>
      <w:bookmarkEnd w:id="212"/>
    </w:p>
    <w:p>
      <w:pPr>
        <w:snapToGrid w:val="0"/>
        <w:spacing w:line="410" w:lineRule="exact"/>
        <w:ind w:firstLine="525" w:firstLineChars="250"/>
        <w:rPr>
          <w:rFonts w:hint="eastAsia" w:ascii="宋体" w:hAnsi="宋体"/>
          <w:szCs w:val="21"/>
        </w:rPr>
      </w:pPr>
      <w:r>
        <w:rPr>
          <w:rFonts w:hint="eastAsia" w:ascii="宋体" w:hAnsi="宋体"/>
          <w:szCs w:val="21"/>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szCs w:val="21"/>
        </w:rPr>
      </w:pPr>
      <w:r>
        <w:rPr>
          <w:rFonts w:hint="eastAsia" w:ascii="宋体" w:hAnsi="宋体"/>
          <w:szCs w:val="21"/>
        </w:rPr>
        <w:t>⑦未实质性响应招标文件要求或者投标文件有采购人不能接受的附加条件的；</w:t>
      </w:r>
    </w:p>
    <w:p>
      <w:pPr>
        <w:snapToGrid w:val="0"/>
        <w:spacing w:line="410" w:lineRule="exact"/>
        <w:ind w:firstLine="422"/>
        <w:rPr>
          <w:rFonts w:hint="eastAsia" w:ascii="宋体" w:hAnsi="宋体"/>
          <w:b/>
          <w:bCs/>
          <w:szCs w:val="21"/>
        </w:rPr>
      </w:pPr>
      <w:r>
        <w:rPr>
          <w:rFonts w:hint="eastAsia" w:ascii="宋体" w:hAnsi="宋体"/>
          <w:b/>
          <w:bCs/>
          <w:szCs w:val="21"/>
        </w:rPr>
        <w:t>(</w:t>
      </w:r>
      <w:r>
        <w:rPr>
          <w:rFonts w:ascii="宋体" w:hAnsi="宋体"/>
          <w:b/>
          <w:bCs/>
          <w:szCs w:val="21"/>
        </w:rPr>
        <w:t>2)</w:t>
      </w:r>
      <w:r>
        <w:rPr>
          <w:rFonts w:hint="eastAsia" w:ascii="宋体" w:hAnsi="宋体"/>
          <w:b/>
          <w:bCs/>
          <w:szCs w:val="21"/>
        </w:rPr>
        <w:t>技术评审：</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①</w:t>
      </w:r>
      <w:r>
        <w:rPr>
          <w:rFonts w:hint="eastAsia" w:ascii="宋体" w:hAnsi="宋体"/>
          <w:szCs w:val="21"/>
        </w:rPr>
        <w:t>未提供或未如实提供货物技术参数或服务响应，或投标文件标明的响应或偏离与事实不符的；</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③投标文件技术方案不明确，存在一个或一个以上备选（替代）投标方案的。</w:t>
      </w:r>
    </w:p>
    <w:p>
      <w:pPr>
        <w:snapToGrid w:val="0"/>
        <w:spacing w:line="410" w:lineRule="exact"/>
        <w:ind w:firstLine="422"/>
        <w:rPr>
          <w:rFonts w:hint="eastAsia" w:ascii="宋体" w:hAnsi="宋体"/>
          <w:b/>
          <w:bCs/>
          <w:szCs w:val="21"/>
        </w:rPr>
      </w:pPr>
      <w:r>
        <w:rPr>
          <w:rFonts w:hint="eastAsia" w:ascii="宋体" w:hAnsi="宋体"/>
          <w:b/>
          <w:bCs/>
          <w:szCs w:val="21"/>
        </w:rPr>
        <w:t>(</w:t>
      </w:r>
      <w:r>
        <w:rPr>
          <w:rFonts w:ascii="宋体" w:hAnsi="宋体"/>
          <w:b/>
          <w:bCs/>
          <w:szCs w:val="21"/>
        </w:rPr>
        <w:t>3)</w:t>
      </w:r>
      <w:r>
        <w:rPr>
          <w:rFonts w:hint="eastAsia" w:ascii="宋体" w:hAnsi="宋体"/>
          <w:b/>
          <w:bCs/>
          <w:szCs w:val="21"/>
        </w:rPr>
        <w:t>报价评审：</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①</w:t>
      </w:r>
      <w:r>
        <w:rPr>
          <w:rFonts w:ascii="宋体" w:hAnsi="宋体"/>
          <w:spacing w:val="-4"/>
          <w:szCs w:val="21"/>
        </w:rPr>
        <w:t>报价超过招标文件中规定的预算金额或者最高限价的</w:t>
      </w:r>
      <w:r>
        <w:rPr>
          <w:rFonts w:hint="eastAsia" w:ascii="宋体" w:hAnsi="宋体"/>
          <w:spacing w:val="-4"/>
          <w:szCs w:val="21"/>
        </w:rPr>
        <w:t>；</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②未采用人民币报价或者未按照招标文件标明的币种报价的；</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③投标报价具有选择性；</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④</w:t>
      </w:r>
      <w:r>
        <w:rPr>
          <w:rFonts w:hint="eastAsia" w:ascii="宋体" w:hAnsi="宋体" w:cs="Courier New"/>
          <w:szCs w:val="21"/>
        </w:rPr>
        <w:t>评标委员会认为投标人的报价明显低于其他通过符合性审查投标人的报价，有可能影响产品质量或者不能诚信履约的，投标人不能证明其报价合理性的</w:t>
      </w:r>
      <w:r>
        <w:rPr>
          <w:rFonts w:hint="eastAsia" w:ascii="宋体" w:hAnsi="宋体"/>
          <w:spacing w:val="-4"/>
          <w:szCs w:val="21"/>
        </w:rPr>
        <w:t>；</w:t>
      </w:r>
    </w:p>
    <w:p>
      <w:pPr>
        <w:snapToGrid w:val="0"/>
        <w:spacing w:line="410" w:lineRule="exact"/>
        <w:ind w:firstLine="505" w:firstLineChars="250"/>
        <w:rPr>
          <w:rFonts w:hint="eastAsia" w:ascii="宋体" w:hAnsi="宋体"/>
          <w:spacing w:val="-4"/>
          <w:szCs w:val="21"/>
        </w:rPr>
      </w:pPr>
      <w:r>
        <w:rPr>
          <w:rFonts w:hint="eastAsia" w:ascii="宋体" w:hAnsi="宋体"/>
          <w:spacing w:val="-4"/>
          <w:szCs w:val="21"/>
        </w:rPr>
        <w:t>⑤</w:t>
      </w:r>
      <w:r>
        <w:rPr>
          <w:rFonts w:hint="eastAsia" w:ascii="宋体" w:hAnsi="宋体"/>
          <w:szCs w:val="21"/>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211" w:firstLineChars="100"/>
        <w:rPr>
          <w:rFonts w:hint="eastAsia" w:ascii="宋体" w:hAnsi="宋体"/>
          <w:b/>
          <w:bCs/>
          <w:szCs w:val="21"/>
        </w:rPr>
      </w:pPr>
      <w:r>
        <w:rPr>
          <w:rFonts w:hint="eastAsia" w:ascii="宋体" w:hAnsi="宋体"/>
          <w:b/>
          <w:bCs/>
          <w:szCs w:val="21"/>
        </w:rPr>
        <w:t>（四）比较与评价</w:t>
      </w:r>
    </w:p>
    <w:p>
      <w:pPr>
        <w:snapToGrid w:val="0"/>
        <w:spacing w:line="410" w:lineRule="exact"/>
        <w:ind w:firstLine="420"/>
        <w:rPr>
          <w:rFonts w:hint="eastAsia" w:ascii="宋体" w:hAnsi="宋体"/>
          <w:szCs w:val="21"/>
        </w:rPr>
      </w:pPr>
      <w:r>
        <w:rPr>
          <w:rFonts w:ascii="宋体" w:hAnsi="宋体"/>
          <w:szCs w:val="21"/>
        </w:rPr>
        <w:t>1.</w:t>
      </w:r>
      <w:r>
        <w:rPr>
          <w:rFonts w:hint="eastAsia" w:ascii="宋体" w:hAnsi="Courier New" w:cs="Courier New"/>
          <w:szCs w:val="21"/>
        </w:rPr>
        <w:t>评分细则：</w:t>
      </w:r>
      <w:bookmarkStart w:id="213" w:name="_Hlk92463857"/>
      <w:r>
        <w:rPr>
          <w:rFonts w:hint="eastAsia" w:ascii="宋体" w:hAnsi="Courier New" w:cs="Courier New"/>
          <w:szCs w:val="21"/>
        </w:rPr>
        <w:t>详见第四章《评定标准及推荐原则》</w:t>
      </w:r>
      <w:bookmarkEnd w:id="213"/>
      <w:r>
        <w:rPr>
          <w:rFonts w:hint="eastAsia" w:ascii="宋体" w:hAnsi="Courier New" w:cs="Courier New"/>
          <w:szCs w:val="21"/>
        </w:rPr>
        <w:t>。</w:t>
      </w:r>
    </w:p>
    <w:p>
      <w:pPr>
        <w:snapToGrid w:val="0"/>
        <w:spacing w:line="410" w:lineRule="exact"/>
        <w:ind w:firstLine="42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评标委员会按评分细则对各投标人的投标文件进行评价打分，由政府采购云平台进行计算。</w:t>
      </w:r>
    </w:p>
    <w:p>
      <w:pPr>
        <w:snapToGrid w:val="0"/>
        <w:spacing w:line="410" w:lineRule="exact"/>
        <w:ind w:firstLine="420"/>
        <w:rPr>
          <w:rFonts w:hint="eastAsia" w:ascii="宋体" w:hAnsi="宋体"/>
          <w:szCs w:val="21"/>
        </w:rPr>
      </w:pPr>
      <w:bookmarkStart w:id="214" w:name="_Hlk90303998"/>
      <w:r>
        <w:rPr>
          <w:rFonts w:ascii="宋体" w:hAnsi="宋体"/>
          <w:szCs w:val="21"/>
        </w:rPr>
        <w:t>2.</w:t>
      </w:r>
      <w:r>
        <w:rPr>
          <w:rFonts w:hint="eastAsia" w:ascii="宋体" w:hAnsi="宋体"/>
          <w:szCs w:val="21"/>
        </w:rPr>
        <w:t>评标委员会</w:t>
      </w:r>
      <w:bookmarkEnd w:id="214"/>
      <w:r>
        <w:rPr>
          <w:rFonts w:hint="eastAsia" w:ascii="宋体" w:hAnsi="宋体"/>
          <w:szCs w:val="21"/>
        </w:rPr>
        <w:t>完成评标后,由政府采购云平台对各投标人各项得分进行汇总，计算各投标人最终得分。评标委员会按推荐原则推荐中标候选人同时形成评标报告。</w:t>
      </w:r>
      <w:bookmarkStart w:id="215" w:name="_Toc353785306"/>
      <w:bookmarkStart w:id="216" w:name="_Toc352700436"/>
    </w:p>
    <w:p>
      <w:pPr>
        <w:snapToGrid w:val="0"/>
        <w:spacing w:line="410" w:lineRule="exact"/>
        <w:ind w:firstLine="211" w:firstLineChars="100"/>
        <w:rPr>
          <w:rFonts w:hint="eastAsia" w:ascii="宋体" w:hAnsi="宋体"/>
          <w:b/>
          <w:bCs/>
          <w:szCs w:val="32"/>
        </w:rPr>
      </w:pPr>
      <w:r>
        <w:rPr>
          <w:rFonts w:hint="eastAsia" w:ascii="宋体" w:hAnsi="宋体"/>
          <w:b/>
          <w:bCs/>
          <w:szCs w:val="32"/>
        </w:rPr>
        <w:t>（五）澄清问题的形式</w:t>
      </w:r>
      <w:bookmarkEnd w:id="215"/>
      <w:bookmarkEnd w:id="216"/>
    </w:p>
    <w:p>
      <w:pPr>
        <w:spacing w:line="410" w:lineRule="exact"/>
        <w:ind w:firstLine="420"/>
      </w:pPr>
      <w:bookmarkStart w:id="217" w:name="_Toc353785307"/>
      <w:bookmarkStart w:id="218" w:name="_Toc352700437"/>
      <w:r>
        <w:rPr>
          <w:rFonts w:hint="eastAsia"/>
        </w:rPr>
        <w:t>对于投标文件中含义不明确、同类问题表述不一致或者有明显文字和计算错误的内容，评标委员会应当以书面形式要求投标人作出必要的</w:t>
      </w:r>
      <w:bookmarkStart w:id="219" w:name="_Hlk92457660"/>
      <w:r>
        <w:rPr>
          <w:rFonts w:hint="eastAsia"/>
        </w:rPr>
        <w:t>澄清、说明或者补正</w:t>
      </w:r>
      <w:bookmarkEnd w:id="219"/>
      <w:r>
        <w:rPr>
          <w:rFonts w:hint="eastAsia"/>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1" w:firstLineChars="100"/>
        <w:rPr>
          <w:b/>
          <w:bCs/>
        </w:rPr>
      </w:pPr>
      <w:r>
        <w:rPr>
          <w:rFonts w:hint="eastAsia"/>
          <w:b/>
          <w:bCs/>
        </w:rPr>
        <w:t>（六）错误修正</w:t>
      </w:r>
      <w:bookmarkEnd w:id="217"/>
      <w:bookmarkEnd w:id="218"/>
    </w:p>
    <w:p>
      <w:pPr>
        <w:snapToGrid w:val="0"/>
        <w:spacing w:line="410" w:lineRule="exact"/>
        <w:ind w:firstLine="420"/>
        <w:rPr>
          <w:rFonts w:hint="eastAsia" w:ascii="宋体" w:hAnsi="宋体" w:cs="Courier New"/>
          <w:szCs w:val="21"/>
        </w:rPr>
      </w:pPr>
      <w:r>
        <w:rPr>
          <w:rFonts w:hint="eastAsia" w:ascii="宋体" w:hAnsi="宋体" w:cs="Courier New"/>
          <w:szCs w:val="21"/>
        </w:rPr>
        <w:t>投标文件报价出现前后不一致的，除招标文件另有规定外，按照下列规定修正：</w:t>
      </w:r>
    </w:p>
    <w:p>
      <w:pPr>
        <w:snapToGrid w:val="0"/>
        <w:spacing w:line="410" w:lineRule="exact"/>
        <w:ind w:firstLine="420"/>
        <w:rPr>
          <w:rFonts w:hint="eastAsia" w:ascii="宋体" w:hAnsi="宋体" w:cs="Courier New"/>
          <w:szCs w:val="21"/>
        </w:rPr>
      </w:pPr>
      <w:r>
        <w:rPr>
          <w:rFonts w:hint="eastAsia" w:ascii="宋体" w:hAnsi="宋体" w:cs="Courier New"/>
          <w:szCs w:val="21"/>
        </w:rPr>
        <w:t>1</w:t>
      </w:r>
      <w:r>
        <w:rPr>
          <w:rFonts w:ascii="宋体" w:hAnsi="宋体" w:cs="Courier New"/>
          <w:szCs w:val="21"/>
        </w:rPr>
        <w:t>.</w:t>
      </w:r>
      <w:r>
        <w:rPr>
          <w:rFonts w:hint="eastAsia" w:ascii="宋体" w:hAnsi="宋体" w:cs="Courier New"/>
          <w:szCs w:val="21"/>
        </w:rPr>
        <w:t>投标文件中开标一览表内容</w:t>
      </w:r>
      <w:bookmarkStart w:id="220" w:name="_Hlk92464203"/>
      <w:r>
        <w:rPr>
          <w:rFonts w:hint="eastAsia" w:ascii="宋体" w:hAnsi="宋体" w:cs="Courier New"/>
          <w:szCs w:val="21"/>
        </w:rPr>
        <w:t>与投标文件中相应内容不一致的</w:t>
      </w:r>
      <w:bookmarkEnd w:id="220"/>
      <w:r>
        <w:rPr>
          <w:rFonts w:hint="eastAsia" w:ascii="宋体" w:hAnsi="宋体" w:cs="Courier New"/>
          <w:szCs w:val="21"/>
        </w:rPr>
        <w:t>，以开标一览表为准；</w:t>
      </w:r>
    </w:p>
    <w:p>
      <w:pPr>
        <w:snapToGrid w:val="0"/>
        <w:spacing w:line="410" w:lineRule="exact"/>
        <w:ind w:firstLine="420"/>
        <w:rPr>
          <w:rFonts w:hint="eastAsia" w:ascii="宋体" w:hAnsi="宋体" w:cs="Courier New"/>
          <w:szCs w:val="21"/>
        </w:rPr>
      </w:pPr>
      <w:r>
        <w:rPr>
          <w:rFonts w:hint="eastAsia" w:ascii="宋体" w:hAnsi="宋体" w:cs="Courier New"/>
          <w:szCs w:val="21"/>
        </w:rPr>
        <w:t>2</w:t>
      </w:r>
      <w:r>
        <w:rPr>
          <w:rFonts w:ascii="宋体" w:hAnsi="宋体" w:cs="Courier New"/>
          <w:szCs w:val="21"/>
        </w:rPr>
        <w:t>.</w:t>
      </w:r>
      <w:r>
        <w:rPr>
          <w:rFonts w:hint="eastAsia" w:ascii="宋体" w:hAnsi="宋体" w:cs="Courier New"/>
          <w:szCs w:val="21"/>
        </w:rPr>
        <w:t>大写金额和小写金额不一致的，以大写金额为准；</w:t>
      </w:r>
    </w:p>
    <w:p>
      <w:pPr>
        <w:snapToGrid w:val="0"/>
        <w:spacing w:line="410" w:lineRule="exact"/>
        <w:ind w:firstLine="420"/>
        <w:rPr>
          <w:rFonts w:hint="eastAsia" w:ascii="宋体" w:hAnsi="宋体" w:cs="Courier New"/>
          <w:szCs w:val="21"/>
        </w:rPr>
      </w:pPr>
      <w:r>
        <w:rPr>
          <w:rFonts w:hint="eastAsia" w:ascii="宋体" w:hAnsi="宋体" w:cs="Courier New"/>
          <w:szCs w:val="21"/>
        </w:rPr>
        <w:t>3</w:t>
      </w:r>
      <w:r>
        <w:rPr>
          <w:rFonts w:ascii="宋体" w:hAnsi="宋体" w:cs="Courier New"/>
          <w:szCs w:val="21"/>
        </w:rPr>
        <w:t>.</w:t>
      </w:r>
      <w:r>
        <w:rPr>
          <w:rFonts w:hint="eastAsia" w:ascii="宋体" w:hAnsi="宋体" w:cs="Courier New"/>
          <w:szCs w:val="21"/>
        </w:rPr>
        <w:t>单价金额小数点或者百分比有明显错位的，以开标一览表的总价为准，并修改单价；</w:t>
      </w:r>
    </w:p>
    <w:p>
      <w:pPr>
        <w:snapToGrid w:val="0"/>
        <w:spacing w:line="410" w:lineRule="exact"/>
        <w:ind w:firstLine="420"/>
        <w:rPr>
          <w:rFonts w:hint="eastAsia" w:ascii="宋体" w:hAnsi="宋体" w:cs="Courier New"/>
          <w:szCs w:val="21"/>
        </w:rPr>
      </w:pPr>
      <w:r>
        <w:rPr>
          <w:rFonts w:hint="eastAsia" w:ascii="宋体" w:hAnsi="宋体" w:cs="Courier New"/>
          <w:szCs w:val="21"/>
        </w:rPr>
        <w:t>4</w:t>
      </w:r>
      <w:r>
        <w:rPr>
          <w:rFonts w:ascii="宋体" w:hAnsi="宋体" w:cs="Courier New"/>
          <w:szCs w:val="21"/>
        </w:rPr>
        <w:t>.</w:t>
      </w:r>
      <w:r>
        <w:rPr>
          <w:rFonts w:hint="eastAsia" w:ascii="宋体" w:hAnsi="宋体" w:cs="Courier New"/>
          <w:szCs w:val="21"/>
        </w:rPr>
        <w:t>总价金额与按单价汇总金额不一致的，以单价金额计算结果为准。</w:t>
      </w:r>
    </w:p>
    <w:p>
      <w:pPr>
        <w:snapToGrid w:val="0"/>
        <w:spacing w:line="410" w:lineRule="exact"/>
        <w:ind w:firstLine="420"/>
        <w:rPr>
          <w:rFonts w:hint="eastAsia" w:ascii="宋体" w:hAnsi="宋体" w:cs="Courier New"/>
          <w:szCs w:val="21"/>
        </w:rPr>
      </w:pPr>
      <w:r>
        <w:rPr>
          <w:rFonts w:hint="eastAsia" w:ascii="宋体" w:hAnsi="宋体" w:cs="Courier New"/>
          <w:szCs w:val="21"/>
        </w:rPr>
        <w:t>同时出现两种以上不一致的，按照前款规定的顺序修正。修正后的报价按照澄清、说明或者补正的规定经投标人确认后产生约束力，投标人不确认的，其投标无效。</w:t>
      </w:r>
    </w:p>
    <w:bookmarkEnd w:id="195"/>
    <w:bookmarkEnd w:id="196"/>
    <w:p>
      <w:pPr>
        <w:pStyle w:val="28"/>
        <w:spacing w:line="410" w:lineRule="exact"/>
        <w:ind w:firstLine="211" w:firstLineChars="100"/>
        <w:rPr>
          <w:rFonts w:hint="eastAsia" w:hAnsi="宋体"/>
          <w:b/>
        </w:rPr>
      </w:pPr>
      <w:bookmarkStart w:id="221" w:name="_Toc254970685"/>
      <w:bookmarkStart w:id="222" w:name="_Toc353785299"/>
      <w:bookmarkStart w:id="223" w:name="_Toc352700429"/>
      <w:bookmarkStart w:id="224" w:name="_Toc254970544"/>
      <w:r>
        <w:rPr>
          <w:rFonts w:hint="eastAsia" w:hAnsi="宋体"/>
          <w:b/>
        </w:rPr>
        <w:t>（七）核心产品相同品牌产品投标、串通投标、恶意串通行为的说明：</w:t>
      </w:r>
    </w:p>
    <w:p>
      <w:pPr>
        <w:spacing w:line="410" w:lineRule="exact"/>
        <w:ind w:firstLine="420"/>
        <w:rPr>
          <w:rFonts w:hint="eastAsia" w:ascii="宋体" w:hAnsi="宋体"/>
        </w:rPr>
      </w:pPr>
      <w:r>
        <w:rPr>
          <w:rFonts w:ascii="宋体" w:hAnsi="宋体"/>
        </w:rPr>
        <w:t>1.</w:t>
      </w:r>
      <w:r>
        <w:rPr>
          <w:rFonts w:hint="eastAsia" w:ascii="宋体" w:hAnsi="宋体"/>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rPr>
          <w:rFonts w:hint="eastAsia" w:ascii="宋体" w:hAnsi="宋体"/>
        </w:rPr>
      </w:pPr>
      <w:r>
        <w:rPr>
          <w:rFonts w:ascii="宋体" w:hAnsi="宋体"/>
        </w:rPr>
        <w:t>2.</w:t>
      </w:r>
      <w:r>
        <w:rPr>
          <w:rFonts w:hint="eastAsia" w:ascii="宋体" w:hAnsi="宋体"/>
        </w:rPr>
        <w:t>有下列情形之一的视为供应商相互串通投标，投标文件将被视为无效：</w:t>
      </w:r>
    </w:p>
    <w:p>
      <w:pPr>
        <w:spacing w:line="410" w:lineRule="exact"/>
        <w:ind w:firstLine="420"/>
        <w:rPr>
          <w:rFonts w:hint="eastAsia" w:ascii="宋体" w:hAnsi="宋体"/>
        </w:rPr>
      </w:pPr>
      <w:r>
        <w:rPr>
          <w:rFonts w:hint="eastAsia" w:ascii="宋体" w:hAnsi="宋体"/>
        </w:rPr>
        <w:t>(</w:t>
      </w:r>
      <w:r>
        <w:rPr>
          <w:rFonts w:ascii="宋体" w:hAnsi="宋体"/>
        </w:rPr>
        <w:t>1)不同投标人的投标文件由同一单位或者个人编制</w:t>
      </w:r>
      <w:bookmarkStart w:id="225" w:name="OLE_LINK10"/>
      <w:r>
        <w:rPr>
          <w:rFonts w:hint="eastAsia" w:ascii="宋体" w:hAnsi="宋体"/>
        </w:rPr>
        <w:t>；或不同投标人报名的IP地址一致的；</w:t>
      </w:r>
      <w:bookmarkEnd w:id="225"/>
    </w:p>
    <w:p>
      <w:pPr>
        <w:spacing w:line="410" w:lineRule="exact"/>
        <w:ind w:firstLine="420"/>
        <w:rPr>
          <w:rFonts w:hint="eastAsia" w:ascii="宋体" w:hAnsi="宋体"/>
        </w:rPr>
      </w:pPr>
      <w:r>
        <w:rPr>
          <w:rFonts w:hint="eastAsia" w:ascii="宋体" w:hAnsi="宋体"/>
        </w:rPr>
        <w:t>(</w:t>
      </w:r>
      <w:r>
        <w:rPr>
          <w:rFonts w:ascii="宋体" w:hAnsi="宋体"/>
        </w:rPr>
        <w:t>2)不同投标人委托同一单位或者个人办理投标事宜；</w:t>
      </w:r>
    </w:p>
    <w:p>
      <w:pPr>
        <w:spacing w:line="410" w:lineRule="exact"/>
        <w:ind w:firstLine="420"/>
        <w:rPr>
          <w:rFonts w:hint="eastAsia" w:ascii="宋体" w:hAnsi="宋体"/>
        </w:rPr>
      </w:pPr>
      <w:r>
        <w:rPr>
          <w:rFonts w:hint="eastAsia" w:ascii="宋体" w:hAnsi="宋体"/>
        </w:rPr>
        <w:t>(</w:t>
      </w:r>
      <w:r>
        <w:rPr>
          <w:rFonts w:ascii="宋体" w:hAnsi="宋体"/>
        </w:rPr>
        <w:t>3)不同投标人的投标文件载明的项目管理成员或者联系人员为同一人；</w:t>
      </w:r>
    </w:p>
    <w:p>
      <w:pPr>
        <w:spacing w:line="410" w:lineRule="exact"/>
        <w:ind w:firstLine="420"/>
        <w:rPr>
          <w:rFonts w:hint="eastAsia" w:ascii="宋体" w:hAnsi="宋体"/>
        </w:rPr>
      </w:pPr>
      <w:r>
        <w:rPr>
          <w:rFonts w:hint="eastAsia" w:ascii="宋体" w:hAnsi="宋体"/>
        </w:rPr>
        <w:t>(</w:t>
      </w:r>
      <w:r>
        <w:rPr>
          <w:rFonts w:ascii="宋体" w:hAnsi="宋体"/>
        </w:rPr>
        <w:t>4)不同投标人的投标文件异常一致或者投标报价呈规律性差异；</w:t>
      </w:r>
    </w:p>
    <w:p>
      <w:pPr>
        <w:spacing w:line="410" w:lineRule="exact"/>
        <w:ind w:firstLine="420"/>
        <w:rPr>
          <w:rFonts w:hint="eastAsia" w:ascii="宋体" w:hAnsi="宋体"/>
        </w:rPr>
      </w:pPr>
      <w:r>
        <w:rPr>
          <w:rFonts w:hint="eastAsia" w:ascii="宋体" w:hAnsi="宋体"/>
        </w:rPr>
        <w:t>(</w:t>
      </w:r>
      <w:r>
        <w:rPr>
          <w:rFonts w:ascii="宋体" w:hAnsi="宋体"/>
        </w:rPr>
        <w:t>5)不同投标人的投标文件相互混装；</w:t>
      </w:r>
    </w:p>
    <w:p>
      <w:pPr>
        <w:spacing w:line="410" w:lineRule="exact"/>
        <w:ind w:firstLine="420"/>
        <w:rPr>
          <w:rFonts w:hint="eastAsia" w:ascii="宋体" w:hAnsi="宋体"/>
        </w:rPr>
      </w:pPr>
      <w:r>
        <w:rPr>
          <w:rFonts w:hint="eastAsia" w:ascii="宋体" w:hAnsi="宋体"/>
        </w:rPr>
        <w:t>(</w:t>
      </w:r>
      <w:r>
        <w:rPr>
          <w:rFonts w:ascii="宋体" w:hAnsi="宋体"/>
        </w:rPr>
        <w:t>6)不同投标人的投标保证金从同一单位或者个人的账户转出。</w:t>
      </w:r>
    </w:p>
    <w:p>
      <w:pPr>
        <w:spacing w:line="410" w:lineRule="exact"/>
        <w:ind w:firstLine="420"/>
        <w:rPr>
          <w:rFonts w:hint="eastAsia" w:ascii="宋体" w:hAnsi="宋体"/>
        </w:rPr>
      </w:pPr>
      <w:r>
        <w:rPr>
          <w:rFonts w:ascii="宋体" w:hAnsi="宋体"/>
        </w:rPr>
        <w:t>3.</w:t>
      </w:r>
      <w:r>
        <w:rPr>
          <w:rFonts w:hint="eastAsia" w:ascii="宋体" w:hAnsi="宋体"/>
        </w:rPr>
        <w:t>供应商有下列情形之一的，属于</w:t>
      </w:r>
      <w:bookmarkStart w:id="226" w:name="_Hlk90304995"/>
      <w:r>
        <w:rPr>
          <w:rFonts w:hint="eastAsia" w:ascii="宋体" w:hAnsi="宋体"/>
        </w:rPr>
        <w:t>恶意串通</w:t>
      </w:r>
      <w:bookmarkEnd w:id="226"/>
      <w:r>
        <w:rPr>
          <w:rFonts w:hint="eastAsia" w:ascii="宋体" w:hAnsi="宋体"/>
        </w:rPr>
        <w:t>：</w:t>
      </w:r>
    </w:p>
    <w:p>
      <w:pPr>
        <w:spacing w:line="410" w:lineRule="exact"/>
        <w:ind w:firstLine="420"/>
        <w:rPr>
          <w:rFonts w:hint="eastAsia" w:ascii="宋体" w:hAnsi="宋体"/>
        </w:rPr>
      </w:pPr>
      <w:r>
        <w:rPr>
          <w:rFonts w:hint="eastAsia" w:ascii="宋体" w:hAnsi="宋体"/>
        </w:rPr>
        <w:t>(</w:t>
      </w:r>
      <w:r>
        <w:rPr>
          <w:rFonts w:ascii="宋体" w:hAnsi="宋体"/>
        </w:rPr>
        <w:t>1)</w:t>
      </w:r>
      <w:r>
        <w:rPr>
          <w:rFonts w:hint="eastAsia" w:ascii="宋体" w:hAnsi="宋体"/>
        </w:rPr>
        <w:t>供应商直接或者间接从采购人或者采购代理机构处获得其他供应商的相关信息并修改其投标文件：</w:t>
      </w:r>
    </w:p>
    <w:p>
      <w:pPr>
        <w:spacing w:line="410" w:lineRule="exact"/>
        <w:ind w:firstLine="420"/>
        <w:rPr>
          <w:rFonts w:hint="eastAsia" w:ascii="宋体" w:hAnsi="宋体"/>
        </w:rPr>
      </w:pPr>
      <w:r>
        <w:rPr>
          <w:rFonts w:hint="eastAsia" w:ascii="宋体" w:hAnsi="宋体"/>
        </w:rPr>
        <w:t>(</w:t>
      </w:r>
      <w:r>
        <w:rPr>
          <w:rFonts w:ascii="宋体" w:hAnsi="宋体"/>
        </w:rPr>
        <w:t>2)</w:t>
      </w:r>
      <w:r>
        <w:rPr>
          <w:rFonts w:hint="eastAsia" w:ascii="宋体" w:hAnsi="宋体"/>
        </w:rPr>
        <w:t>供应商按照采购人或者采购代理机构的授意撤换、修改投标文件；</w:t>
      </w:r>
    </w:p>
    <w:p>
      <w:pPr>
        <w:spacing w:line="410" w:lineRule="exact"/>
        <w:ind w:firstLine="0" w:firstLineChars="0"/>
        <w:rPr>
          <w:rFonts w:hint="eastAsia" w:ascii="宋体" w:hAnsi="宋体"/>
        </w:rPr>
      </w:pPr>
      <w:r>
        <w:rPr>
          <w:rFonts w:ascii="宋体" w:hAnsi="宋体"/>
        </w:rPr>
        <w:tab/>
      </w:r>
      <w:r>
        <w:rPr>
          <w:rFonts w:hint="eastAsia" w:ascii="宋体" w:hAnsi="宋体"/>
        </w:rPr>
        <w:t>(</w:t>
      </w:r>
      <w:r>
        <w:rPr>
          <w:rFonts w:ascii="宋体" w:hAnsi="宋体"/>
        </w:rPr>
        <w:t>3)</w:t>
      </w:r>
      <w:r>
        <w:rPr>
          <w:rFonts w:hint="eastAsia" w:ascii="宋体" w:hAnsi="宋体"/>
        </w:rPr>
        <w:t>供应商之间协商报价、技术方案等投标文件的实质性内容；</w:t>
      </w:r>
    </w:p>
    <w:p>
      <w:pPr>
        <w:spacing w:line="410" w:lineRule="exact"/>
        <w:ind w:firstLine="420"/>
        <w:rPr>
          <w:rFonts w:hint="eastAsia" w:ascii="宋体" w:hAnsi="宋体"/>
        </w:rPr>
      </w:pPr>
      <w:r>
        <w:rPr>
          <w:rFonts w:hint="eastAsia" w:ascii="宋体" w:hAnsi="宋体"/>
        </w:rPr>
        <w:t>(</w:t>
      </w:r>
      <w:r>
        <w:rPr>
          <w:rFonts w:ascii="宋体" w:hAnsi="宋体"/>
        </w:rPr>
        <w:t>4)</w:t>
      </w:r>
      <w:r>
        <w:rPr>
          <w:rFonts w:hint="eastAsia" w:ascii="宋体" w:hAnsi="宋体"/>
        </w:rPr>
        <w:t>属于同一集团、协会、商会等组织成员的供应商按照该组织要求协同参加政府采购活动；</w:t>
      </w:r>
    </w:p>
    <w:p>
      <w:pPr>
        <w:spacing w:line="410" w:lineRule="exact"/>
        <w:ind w:firstLine="420"/>
        <w:rPr>
          <w:rFonts w:hint="eastAsia" w:ascii="宋体" w:hAnsi="宋体"/>
        </w:rPr>
      </w:pPr>
      <w:r>
        <w:rPr>
          <w:rFonts w:hint="eastAsia" w:ascii="宋体" w:hAnsi="宋体"/>
        </w:rPr>
        <w:t>(</w:t>
      </w:r>
      <w:r>
        <w:rPr>
          <w:rFonts w:ascii="宋体" w:hAnsi="宋体"/>
        </w:rPr>
        <w:t>5)</w:t>
      </w:r>
      <w:r>
        <w:rPr>
          <w:rFonts w:hint="eastAsia" w:ascii="宋体" w:hAnsi="宋体"/>
        </w:rPr>
        <w:t>供应商之间事先约定一致抬高或者压低报价，或者在采购项目中事先约定轮流以高价位或者低价位成交，或者事先约定由某一特定供应商成交，然后再参加投标；</w:t>
      </w:r>
    </w:p>
    <w:p>
      <w:pPr>
        <w:spacing w:line="410" w:lineRule="exact"/>
        <w:ind w:firstLine="420"/>
        <w:rPr>
          <w:rFonts w:hint="eastAsia" w:ascii="宋体" w:hAnsi="宋体"/>
        </w:rPr>
      </w:pPr>
      <w:r>
        <w:rPr>
          <w:rFonts w:hint="eastAsia" w:ascii="宋体" w:hAnsi="宋体"/>
        </w:rPr>
        <w:t>(</w:t>
      </w:r>
      <w:r>
        <w:rPr>
          <w:rFonts w:ascii="宋体" w:hAnsi="宋体"/>
        </w:rPr>
        <w:t>6)</w:t>
      </w:r>
      <w:r>
        <w:rPr>
          <w:rFonts w:hint="eastAsia" w:ascii="宋体" w:hAnsi="宋体"/>
        </w:rPr>
        <w:t>供应商之间商定部分供应商放弃参加政府采购活动或者放弃成交；</w:t>
      </w:r>
    </w:p>
    <w:p>
      <w:pPr>
        <w:spacing w:line="410" w:lineRule="exact"/>
        <w:ind w:firstLine="420"/>
        <w:rPr>
          <w:rFonts w:hint="eastAsia" w:ascii="宋体" w:hAnsi="宋体"/>
        </w:rPr>
      </w:pPr>
      <w:r>
        <w:rPr>
          <w:rFonts w:hint="eastAsia" w:ascii="宋体" w:hAnsi="宋体"/>
        </w:rPr>
        <w:t>(</w:t>
      </w:r>
      <w:r>
        <w:rPr>
          <w:rFonts w:ascii="宋体" w:hAnsi="宋体"/>
        </w:rPr>
        <w:t>7)</w:t>
      </w:r>
      <w:r>
        <w:rPr>
          <w:rFonts w:hint="eastAsia" w:ascii="宋体" w:hAnsi="宋体"/>
        </w:rPr>
        <w:t>供应商与采购人或者采购代理机构之间、供应商相互之间，为谋求特定供应商成交或者排斥其他供应商的其他串通行为。</w:t>
      </w:r>
    </w:p>
    <w:p>
      <w:pPr>
        <w:pStyle w:val="28"/>
        <w:spacing w:line="410" w:lineRule="exact"/>
        <w:ind w:firstLine="211" w:firstLineChars="100"/>
        <w:rPr>
          <w:rFonts w:hint="eastAsia" w:hAnsi="宋体"/>
          <w:b/>
        </w:rPr>
      </w:pPr>
      <w:r>
        <w:rPr>
          <w:rFonts w:hint="eastAsia" w:hAnsi="宋体"/>
          <w:b/>
        </w:rPr>
        <w:t>（八）废标</w:t>
      </w:r>
    </w:p>
    <w:p>
      <w:pPr>
        <w:pStyle w:val="28"/>
        <w:spacing w:line="410" w:lineRule="exact"/>
        <w:ind w:firstLine="420"/>
        <w:rPr>
          <w:rFonts w:hint="eastAsia" w:hAnsi="宋体"/>
        </w:rPr>
      </w:pPr>
      <w:r>
        <w:rPr>
          <w:rFonts w:hAnsi="宋体"/>
        </w:rPr>
        <w:t>出现下列情形之一的，应予废标：</w:t>
      </w:r>
    </w:p>
    <w:p>
      <w:pPr>
        <w:pStyle w:val="28"/>
        <w:spacing w:line="410" w:lineRule="exact"/>
        <w:ind w:firstLine="420"/>
        <w:rPr>
          <w:rFonts w:hint="eastAsia" w:hAnsi="宋体"/>
        </w:rPr>
      </w:pPr>
      <w:r>
        <w:rPr>
          <w:rFonts w:hint="eastAsia" w:hAnsi="宋体"/>
        </w:rPr>
        <w:t>1</w:t>
      </w:r>
      <w:r>
        <w:rPr>
          <w:rFonts w:hAnsi="宋体"/>
        </w:rPr>
        <w:t>.符合专业条件的供应商或者对招标文件作实质响应的供应商不足三家的；</w:t>
      </w:r>
    </w:p>
    <w:p>
      <w:pPr>
        <w:pStyle w:val="28"/>
        <w:spacing w:line="410" w:lineRule="exact"/>
        <w:ind w:firstLine="420"/>
        <w:rPr>
          <w:rFonts w:hint="eastAsia" w:hAnsi="宋体"/>
        </w:rPr>
      </w:pPr>
      <w:r>
        <w:rPr>
          <w:rFonts w:hint="eastAsia" w:hAnsi="宋体"/>
        </w:rPr>
        <w:t>2</w:t>
      </w:r>
      <w:r>
        <w:rPr>
          <w:rFonts w:hAnsi="宋体"/>
        </w:rPr>
        <w:t>.出现影响采购公正的违法、违规行为的；</w:t>
      </w:r>
    </w:p>
    <w:p>
      <w:pPr>
        <w:pStyle w:val="28"/>
        <w:spacing w:line="410" w:lineRule="exact"/>
        <w:ind w:firstLine="420"/>
        <w:rPr>
          <w:rFonts w:hint="eastAsia" w:hAnsi="宋体"/>
        </w:rPr>
      </w:pPr>
      <w:r>
        <w:rPr>
          <w:rFonts w:hint="eastAsia" w:hAnsi="宋体"/>
        </w:rPr>
        <w:t>3</w:t>
      </w:r>
      <w:r>
        <w:rPr>
          <w:rFonts w:hAnsi="宋体"/>
        </w:rPr>
        <w:t>.投标人的报价均超过了采购预算，采购人不能支付的；</w:t>
      </w:r>
    </w:p>
    <w:p>
      <w:pPr>
        <w:pStyle w:val="28"/>
        <w:spacing w:line="410" w:lineRule="exact"/>
        <w:ind w:firstLine="420"/>
        <w:rPr>
          <w:rFonts w:hint="eastAsia" w:hAnsi="宋体"/>
        </w:rPr>
      </w:pPr>
      <w:r>
        <w:rPr>
          <w:rFonts w:hint="eastAsia" w:hAnsi="宋体"/>
        </w:rPr>
        <w:t>4</w:t>
      </w:r>
      <w:r>
        <w:rPr>
          <w:rFonts w:hAnsi="宋体"/>
        </w:rPr>
        <w:t>.因重大变故，采购任务取消的。</w:t>
      </w:r>
      <w:bookmarkEnd w:id="221"/>
      <w:bookmarkEnd w:id="222"/>
      <w:bookmarkEnd w:id="223"/>
      <w:bookmarkEnd w:id="224"/>
    </w:p>
    <w:p>
      <w:pPr>
        <w:spacing w:line="410" w:lineRule="exact"/>
        <w:ind w:firstLine="211" w:firstLineChars="100"/>
        <w:rPr>
          <w:b/>
          <w:bCs/>
        </w:rPr>
      </w:pPr>
      <w:bookmarkStart w:id="227" w:name="_Toc353785309"/>
      <w:bookmarkStart w:id="228" w:name="_Toc352700439"/>
      <w:r>
        <w:rPr>
          <w:rFonts w:hint="eastAsia"/>
          <w:b/>
          <w:bCs/>
        </w:rPr>
        <w:t>（</w:t>
      </w:r>
      <w:r>
        <w:rPr>
          <w:rFonts w:hint="eastAsia" w:hAnsi="宋体"/>
          <w:b/>
        </w:rPr>
        <w:t>九</w:t>
      </w:r>
      <w:r>
        <w:rPr>
          <w:rFonts w:hint="eastAsia"/>
          <w:b/>
          <w:bCs/>
        </w:rPr>
        <w:t>）评标过程的监控</w:t>
      </w:r>
      <w:bookmarkEnd w:id="227"/>
      <w:bookmarkEnd w:id="228"/>
    </w:p>
    <w:p>
      <w:pPr>
        <w:snapToGrid w:val="0"/>
        <w:spacing w:line="410" w:lineRule="exact"/>
        <w:ind w:firstLine="420"/>
        <w:rPr>
          <w:rFonts w:hint="eastAsia" w:hAnsi="宋体"/>
        </w:rPr>
      </w:pPr>
      <w:r>
        <w:rPr>
          <w:rFonts w:hint="eastAsia" w:hAnsi="宋体"/>
        </w:rPr>
        <w:t>本项目评标过程实行全程录音、录像监控，投标人在评标过程中所进行的试图影响评标结果的不公正活动，可能导致其投标无效。</w:t>
      </w:r>
    </w:p>
    <w:p>
      <w:pPr>
        <w:snapToGrid w:val="0"/>
        <w:spacing w:line="410" w:lineRule="exact"/>
        <w:ind w:firstLine="420"/>
        <w:rPr>
          <w:rFonts w:hint="eastAsia" w:ascii="宋体" w:hAnsi="宋体"/>
          <w:szCs w:val="21"/>
        </w:rPr>
      </w:pPr>
    </w:p>
    <w:p>
      <w:pPr>
        <w:pStyle w:val="4"/>
        <w:spacing w:before="0" w:after="0" w:line="410" w:lineRule="exact"/>
        <w:ind w:firstLine="0" w:firstLineChars="0"/>
        <w:rPr>
          <w:rFonts w:ascii="方正小标宋_GBK" w:eastAsia="方正小标宋_GBK"/>
          <w:b w:val="0"/>
          <w:sz w:val="24"/>
          <w:szCs w:val="24"/>
        </w:rPr>
      </w:pPr>
      <w:bookmarkStart w:id="229" w:name="_Toc352700440"/>
      <w:bookmarkStart w:id="230" w:name="_Toc353785310"/>
      <w:bookmarkStart w:id="231" w:name="_Toc254970546"/>
      <w:bookmarkStart w:id="232" w:name="_Toc254970687"/>
      <w:r>
        <w:rPr>
          <w:rFonts w:hint="eastAsia" w:ascii="方正小标宋_GBK" w:eastAsia="方正小标宋_GBK"/>
          <w:b w:val="0"/>
          <w:sz w:val="24"/>
          <w:szCs w:val="24"/>
        </w:rPr>
        <w:t>六、评标结果</w:t>
      </w:r>
      <w:bookmarkEnd w:id="229"/>
      <w:bookmarkEnd w:id="230"/>
      <w:bookmarkEnd w:id="231"/>
      <w:bookmarkEnd w:id="232"/>
    </w:p>
    <w:p>
      <w:pPr>
        <w:pStyle w:val="28"/>
        <w:spacing w:line="410" w:lineRule="exact"/>
        <w:ind w:firstLine="210" w:firstLineChars="100"/>
        <w:rPr>
          <w:rFonts w:hint="eastAsia" w:hAnsi="宋体"/>
        </w:rPr>
      </w:pPr>
      <w:r>
        <w:rPr>
          <w:rFonts w:hint="eastAsia" w:hAnsi="宋体"/>
          <w:bCs/>
        </w:rPr>
        <w:t>（一）</w:t>
      </w:r>
      <w:r>
        <w:rPr>
          <w:rFonts w:hint="eastAsia" w:hAnsi="宋体"/>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rPr>
      </w:pPr>
      <w:r>
        <w:rPr>
          <w:rFonts w:hint="eastAsia"/>
        </w:rPr>
        <w:t>（二）中标人确定后，本中心</w:t>
      </w:r>
      <w:r>
        <w:rPr>
          <w:rFonts w:hint="eastAsia" w:ascii="宋体" w:hAnsi="宋体"/>
        </w:rPr>
        <w:t>在省级以上财政部门指定的媒体上公告中标结果，</w:t>
      </w:r>
      <w:r>
        <w:rPr>
          <w:rFonts w:hint="eastAsia" w:hAnsi="宋体"/>
        </w:rPr>
        <w:t>同时向中标人发出中标通知书</w:t>
      </w:r>
      <w:r>
        <w:rPr>
          <w:rFonts w:hint="eastAsia" w:ascii="宋体" w:hAnsi="宋体"/>
        </w:rPr>
        <w:t>。</w:t>
      </w:r>
    </w:p>
    <w:p>
      <w:pPr>
        <w:pStyle w:val="28"/>
        <w:spacing w:line="410" w:lineRule="exact"/>
        <w:ind w:firstLine="210" w:firstLineChars="100"/>
        <w:rPr>
          <w:rFonts w:hint="eastAsia" w:hAnsi="宋体"/>
        </w:rPr>
      </w:pPr>
      <w:r>
        <w:rPr>
          <w:rFonts w:hint="eastAsia" w:hAnsi="宋体"/>
        </w:rPr>
        <w:t>（三）</w:t>
      </w:r>
      <w:bookmarkStart w:id="233" w:name="_Toc352700441"/>
      <w:bookmarkStart w:id="234" w:name="_Toc353785311"/>
      <w:r>
        <w:rPr>
          <w:rFonts w:hint="eastAsia" w:hAnsi="宋体"/>
        </w:rPr>
        <w:t>中标通知书发出后，采购人不得违法改变中标结果，中标人无正当理由不得放弃中标。</w:t>
      </w:r>
    </w:p>
    <w:p>
      <w:pPr>
        <w:pStyle w:val="28"/>
        <w:spacing w:line="410" w:lineRule="exact"/>
        <w:ind w:firstLine="210" w:firstLineChars="100"/>
        <w:rPr>
          <w:rFonts w:hint="eastAsia" w:hAnsi="宋体"/>
        </w:rPr>
      </w:pPr>
    </w:p>
    <w:p>
      <w:pPr>
        <w:pStyle w:val="4"/>
        <w:spacing w:before="0" w:after="0" w:line="410" w:lineRule="exact"/>
        <w:ind w:firstLine="0" w:firstLineChars="0"/>
        <w:rPr>
          <w:rFonts w:ascii="方正小标宋_GBK" w:eastAsia="方正小标宋_GBK"/>
          <w:b w:val="0"/>
          <w:sz w:val="24"/>
          <w:szCs w:val="24"/>
        </w:rPr>
      </w:pPr>
      <w:r>
        <w:rPr>
          <w:rFonts w:hint="eastAsia" w:ascii="方正小标宋_GBK" w:eastAsia="方正小标宋_GBK"/>
          <w:b w:val="0"/>
          <w:sz w:val="24"/>
          <w:szCs w:val="24"/>
        </w:rPr>
        <w:t>七、签订合同</w:t>
      </w:r>
      <w:bookmarkEnd w:id="233"/>
      <w:bookmarkEnd w:id="234"/>
    </w:p>
    <w:p>
      <w:pPr>
        <w:pStyle w:val="28"/>
        <w:spacing w:line="410" w:lineRule="exact"/>
        <w:ind w:firstLine="210" w:firstLineChars="100"/>
        <w:rPr>
          <w:rFonts w:hint="eastAsia" w:hAnsi="宋体"/>
        </w:rPr>
      </w:pPr>
      <w:r>
        <w:rPr>
          <w:rFonts w:hint="eastAsia" w:hAnsi="宋体" w:cs="Times New Roman"/>
          <w:szCs w:val="32"/>
        </w:rPr>
        <w:t>（一）</w:t>
      </w:r>
      <w:r>
        <w:rPr>
          <w:rFonts w:hint="eastAsia" w:hAnsi="宋体"/>
        </w:rPr>
        <w:t>采购人应当自中标通知书发出之日起15日内，按照招标文件和中标人投标文件的规定，与中标人签订书面合同。所签订的合同不得对招标文件确定的事项和中标人投标文件作实质性修改。</w:t>
      </w:r>
    </w:p>
    <w:p>
      <w:pPr>
        <w:pStyle w:val="28"/>
        <w:spacing w:line="410" w:lineRule="exact"/>
        <w:ind w:firstLine="210" w:firstLineChars="100"/>
        <w:rPr>
          <w:rFonts w:hint="eastAsia" w:hAnsi="宋体"/>
        </w:rPr>
      </w:pPr>
      <w:r>
        <w:rPr>
          <w:rFonts w:hint="eastAsia" w:hAnsi="宋体"/>
        </w:rPr>
        <w:t>（二）中标通知书对采购人和中标人均具有法律效力。中标通知书发出后，采购人改变中标结果的，或者中标人放弃中标项目的，应当依法承担法律责任。</w:t>
      </w:r>
    </w:p>
    <w:p>
      <w:pPr>
        <w:pStyle w:val="28"/>
        <w:spacing w:line="410" w:lineRule="exact"/>
        <w:ind w:firstLine="210" w:firstLineChars="100"/>
        <w:rPr>
          <w:rFonts w:hint="eastAsia" w:hAnsi="宋体"/>
        </w:rPr>
      </w:pPr>
      <w:r>
        <w:rPr>
          <w:rFonts w:hint="eastAsia" w:hAnsi="宋体"/>
        </w:rPr>
        <w:t>（三）</w:t>
      </w:r>
      <w:r>
        <w:rPr>
          <w:rFonts w:hint="eastAsia" w:hAnsi="宋体" w:cs="宋体"/>
          <w:kern w:val="0"/>
        </w:rPr>
        <w:t>中标人可凭成交通知书或政府采购合同等在内的相关材料、信息，通过中征应收账款融资服务平台向银行业金融机构在线申请</w:t>
      </w:r>
      <w:r>
        <w:rPr>
          <w:rFonts w:hAnsi="宋体" w:cs="宋体"/>
          <w:kern w:val="0"/>
        </w:rPr>
        <w:t>“</w:t>
      </w:r>
      <w:r>
        <w:rPr>
          <w:rFonts w:hint="eastAsia" w:hAnsi="宋体" w:cs="宋体"/>
          <w:kern w:val="0"/>
        </w:rPr>
        <w:t>政采贷”融资。</w:t>
      </w:r>
    </w:p>
    <w:p>
      <w:pPr>
        <w:pStyle w:val="28"/>
        <w:spacing w:line="410" w:lineRule="exact"/>
        <w:ind w:firstLine="210" w:firstLineChars="100"/>
        <w:rPr>
          <w:rFonts w:hint="eastAsia" w:hAnsi="宋体"/>
        </w:rPr>
      </w:pPr>
      <w:r>
        <w:rPr>
          <w:rFonts w:hint="eastAsia" w:hAnsi="宋体"/>
        </w:rPr>
        <w:t>（四）中标人拒绝与采购人签订合同的，采购人可以按照评标报告推荐的中标候选人名单排序，确定下一候选人为中标人，也可以重新开展政府采购活动。</w:t>
      </w:r>
    </w:p>
    <w:p>
      <w:pPr>
        <w:pStyle w:val="28"/>
        <w:spacing w:line="410" w:lineRule="exact"/>
        <w:ind w:firstLine="210" w:firstLineChars="100"/>
        <w:rPr>
          <w:rFonts w:hint="eastAsia" w:hAnsi="宋体"/>
        </w:rPr>
      </w:pPr>
      <w:r>
        <w:rPr>
          <w:rFonts w:hint="eastAsia" w:hAnsi="宋体"/>
        </w:rPr>
        <w:t>（五）采购人与中标人应当根据合同的约定依法履行合同义务。政府采购合同的履行、违约责任和解决争议的方法等适用《中华人民共和国民法典》。</w:t>
      </w:r>
    </w:p>
    <w:p>
      <w:pPr>
        <w:pStyle w:val="28"/>
        <w:spacing w:line="410" w:lineRule="exact"/>
        <w:ind w:firstLine="0" w:firstLineChars="0"/>
        <w:rPr>
          <w:rFonts w:hint="eastAsia" w:hAnsi="宋体"/>
        </w:rPr>
      </w:pPr>
    </w:p>
    <w:p>
      <w:pPr>
        <w:spacing w:line="410" w:lineRule="exact"/>
        <w:ind w:firstLine="0" w:firstLineChars="0"/>
        <w:rPr>
          <w:rFonts w:ascii="方正小标宋_GBK" w:eastAsia="方正小标宋_GBK"/>
          <w:b/>
          <w:sz w:val="24"/>
        </w:rPr>
      </w:pPr>
      <w:bookmarkStart w:id="235" w:name="_Toc352315998"/>
      <w:bookmarkStart w:id="236" w:name="_Toc353785315"/>
      <w:bookmarkStart w:id="237" w:name="_Toc352700445"/>
      <w:r>
        <w:rPr>
          <w:rFonts w:hint="eastAsia" w:ascii="方正小标宋_GBK" w:eastAsia="方正小标宋_GBK"/>
          <w:b/>
          <w:sz w:val="24"/>
        </w:rPr>
        <w:t>八、适用法律</w:t>
      </w:r>
    </w:p>
    <w:p>
      <w:pPr>
        <w:spacing w:line="410" w:lineRule="exact"/>
        <w:ind w:firstLine="210" w:firstLineChars="100"/>
        <w:rPr>
          <w:rFonts w:hint="eastAsia" w:ascii="宋体" w:hAnsi="宋体"/>
          <w:szCs w:val="21"/>
        </w:rPr>
      </w:pPr>
      <w:r>
        <w:rPr>
          <w:rFonts w:hint="eastAsia" w:ascii="宋体" w:hAnsi="宋体"/>
          <w:szCs w:val="21"/>
        </w:rPr>
        <w:t>本项目采购活动适用于《中华人民共和国政府采购法》及其实施条例、《政府采购货物和服务招标投标管理办法》等规定。</w:t>
      </w:r>
    </w:p>
    <w:p>
      <w:pPr>
        <w:spacing w:line="410" w:lineRule="exact"/>
        <w:ind w:firstLine="0" w:firstLineChars="0"/>
        <w:rPr>
          <w:rFonts w:hint="eastAsia" w:ascii="宋体" w:hAnsi="宋体"/>
          <w:szCs w:val="21"/>
        </w:rPr>
      </w:pPr>
    </w:p>
    <w:p>
      <w:pPr>
        <w:pStyle w:val="4"/>
        <w:spacing w:before="0" w:after="0" w:line="410" w:lineRule="exact"/>
        <w:ind w:firstLine="0" w:firstLineChars="0"/>
        <w:rPr>
          <w:rFonts w:ascii="方正小标宋_GBK" w:eastAsia="方正小标宋_GBK"/>
          <w:b w:val="0"/>
          <w:sz w:val="24"/>
          <w:szCs w:val="24"/>
        </w:rPr>
      </w:pPr>
      <w:bookmarkStart w:id="238" w:name="_九、其他事项"/>
      <w:bookmarkEnd w:id="238"/>
      <w:r>
        <w:rPr>
          <w:rFonts w:hint="eastAsia" w:ascii="方正小标宋_GBK" w:eastAsia="方正小标宋_GBK"/>
          <w:b w:val="0"/>
          <w:sz w:val="24"/>
          <w:szCs w:val="24"/>
        </w:rPr>
        <w:t>九、其他事项</w:t>
      </w:r>
      <w:bookmarkEnd w:id="235"/>
      <w:bookmarkEnd w:id="236"/>
      <w:bookmarkEnd w:id="237"/>
    </w:p>
    <w:p>
      <w:pPr>
        <w:pStyle w:val="28"/>
        <w:spacing w:line="410" w:lineRule="exact"/>
        <w:ind w:firstLine="210" w:firstLineChars="100"/>
        <w:rPr>
          <w:rFonts w:hint="eastAsia" w:hAnsi="宋体"/>
          <w:bCs/>
        </w:rPr>
      </w:pPr>
      <w:r>
        <w:rPr>
          <w:rFonts w:hint="eastAsia" w:hAnsi="宋体"/>
          <w:bCs/>
        </w:rPr>
        <w:t>（一）代理服务费</w:t>
      </w:r>
    </w:p>
    <w:p>
      <w:pPr>
        <w:pStyle w:val="28"/>
        <w:spacing w:line="410" w:lineRule="exact"/>
        <w:ind w:firstLine="420"/>
        <w:rPr>
          <w:rFonts w:hint="eastAsia" w:hAnsi="宋体"/>
        </w:rPr>
      </w:pPr>
      <w:r>
        <w:rPr>
          <w:rFonts w:hAnsi="宋体"/>
        </w:rPr>
        <w:t>1.</w:t>
      </w:r>
      <w:bookmarkStart w:id="239" w:name="_Hlk92466646"/>
      <w:r>
        <w:rPr>
          <w:rFonts w:hint="eastAsia" w:hAnsi="宋体"/>
        </w:rPr>
        <w:t>本中心按钦州市物价局“钦市价费﹝2013﹞4号”文件规定向中标人收取代理服务费，中标人须向本中心一次付清代理服务费。</w:t>
      </w:r>
      <w:bookmarkEnd w:id="239"/>
    </w:p>
    <w:p>
      <w:pPr>
        <w:pStyle w:val="28"/>
        <w:spacing w:line="410" w:lineRule="exact"/>
        <w:ind w:firstLine="420"/>
        <w:rPr>
          <w:rFonts w:hint="eastAsia" w:hAnsi="宋体"/>
          <w:bCs/>
        </w:rPr>
      </w:pPr>
      <w:r>
        <w:rPr>
          <w:rFonts w:hAnsi="宋体"/>
          <w:bCs/>
        </w:rPr>
        <w:t>2.</w:t>
      </w:r>
      <w:bookmarkStart w:id="240" w:name="_Hlk92466736"/>
      <w:r>
        <w:rPr>
          <w:rFonts w:hint="eastAsia" w:hAnsi="宋体"/>
          <w:bCs/>
        </w:rPr>
        <w:t>代理服务收费标准：</w:t>
      </w:r>
      <w:bookmarkEnd w:id="240"/>
    </w:p>
    <w:tbl>
      <w:tblPr>
        <w:tblStyle w:val="49"/>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ind w:firstLine="420"/>
              <w:rPr>
                <w:rFonts w:hint="eastAsia" w:ascii="宋体" w:hAnsi="宋体"/>
                <w:kern w:val="0"/>
                <w:szCs w:val="21"/>
              </w:rPr>
            </w:pPr>
            <w:r>
              <w:rPr>
                <w:rFonts w:ascii="宋体" w:hAnsi="宋体"/>
                <w:kern w:val="0"/>
                <w:szCs w:val="21"/>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MZ4M1gAAAAkBAAAPAAAAAAAAAAEA&#10;IAAAACIAAABkcnMvZG93bnJldi54bWxQSwECFAAUAAAACACHTuJASAozStgBAADS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服务类型</w:t>
            </w:r>
          </w:p>
          <w:p>
            <w:pPr>
              <w:widowControl/>
              <w:ind w:firstLine="0" w:firstLineChars="0"/>
              <w:jc w:val="center"/>
              <w:rPr>
                <w:rFonts w:hint="eastAsia" w:ascii="宋体" w:hAnsi="宋体"/>
                <w:kern w:val="0"/>
                <w:szCs w:val="21"/>
              </w:rPr>
            </w:pPr>
            <w:r>
              <w:rPr>
                <w:rFonts w:hint="eastAsia" w:ascii="宋体" w:hAnsi="宋体"/>
                <w:kern w:val="0"/>
                <w:szCs w:val="21"/>
              </w:rPr>
              <w:t>费率</w:t>
            </w:r>
          </w:p>
          <w:p>
            <w:pPr>
              <w:widowControl/>
              <w:ind w:left="2" w:firstLine="420"/>
              <w:jc w:val="left"/>
              <w:rPr>
                <w:rFonts w:hint="eastAsia" w:ascii="宋体" w:hAnsi="宋体"/>
                <w:kern w:val="0"/>
                <w:szCs w:val="21"/>
              </w:rPr>
            </w:pPr>
          </w:p>
          <w:p>
            <w:pPr>
              <w:widowControl/>
              <w:ind w:firstLine="0" w:firstLineChars="0"/>
              <w:jc w:val="left"/>
              <w:rPr>
                <w:rFonts w:hint="eastAsia" w:ascii="宋体" w:hAnsi="宋体"/>
                <w:kern w:val="0"/>
                <w:szCs w:val="21"/>
              </w:rPr>
            </w:pPr>
          </w:p>
          <w:p>
            <w:pPr>
              <w:widowControl/>
              <w:ind w:firstLine="0" w:firstLineChars="0"/>
              <w:jc w:val="left"/>
              <w:rPr>
                <w:rFonts w:hint="eastAsia" w:ascii="宋体" w:hAnsi="宋体"/>
                <w:kern w:val="0"/>
                <w:szCs w:val="21"/>
              </w:rPr>
            </w:pPr>
            <w:r>
              <w:rPr>
                <w:rFonts w:hint="eastAsia" w:ascii="宋体" w:hAnsi="宋体"/>
                <w:kern w:val="0"/>
                <w:szCs w:val="21"/>
              </w:rPr>
              <w:t>中标金额（万元）</w:t>
            </w:r>
          </w:p>
        </w:tc>
        <w:tc>
          <w:tcPr>
            <w:tcW w:w="1899" w:type="dxa"/>
            <w:tcBorders>
              <w:top w:val="single" w:color="000000" w:sz="4" w:space="0"/>
              <w:left w:val="nil"/>
              <w:right w:val="single" w:color="auto"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货物招标</w:t>
            </w:r>
          </w:p>
        </w:tc>
        <w:tc>
          <w:tcPr>
            <w:tcW w:w="1980" w:type="dxa"/>
            <w:tcBorders>
              <w:top w:val="single" w:color="000000" w:sz="4" w:space="0"/>
              <w:left w:val="single" w:color="auto" w:sz="4" w:space="0"/>
              <w:right w:val="single" w:color="auto"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服务招标</w:t>
            </w:r>
          </w:p>
        </w:tc>
        <w:tc>
          <w:tcPr>
            <w:tcW w:w="1980" w:type="dxa"/>
            <w:tcBorders>
              <w:top w:val="single" w:color="000000" w:sz="4" w:space="0"/>
              <w:left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100以下</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1.2%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1.2%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100-500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0.88%</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0.64%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51" w:firstLineChars="215"/>
              <w:jc w:val="center"/>
              <w:rPr>
                <w:rFonts w:hint="eastAsia" w:ascii="宋体" w:hAnsi="宋体"/>
                <w:kern w:val="0"/>
                <w:szCs w:val="21"/>
              </w:rPr>
            </w:pPr>
            <w:r>
              <w:rPr>
                <w:rFonts w:hint="eastAsia" w:ascii="宋体" w:hAnsi="宋体"/>
                <w:kern w:val="0"/>
                <w:szCs w:val="21"/>
              </w:rPr>
              <w:t>500-1000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0.64%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0.36%</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1000-5000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5000-10000</w:t>
            </w:r>
          </w:p>
        </w:tc>
        <w:tc>
          <w:tcPr>
            <w:tcW w:w="1899"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0.2%</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ind w:firstLine="420"/>
              <w:jc w:val="center"/>
              <w:rPr>
                <w:rFonts w:hint="eastAsia" w:ascii="宋体" w:hAnsi="宋体"/>
                <w:kern w:val="0"/>
                <w:szCs w:val="21"/>
              </w:rPr>
            </w:pPr>
            <w:r>
              <w:rPr>
                <w:rFonts w:hint="eastAsia" w:ascii="宋体" w:hAnsi="宋体"/>
                <w:kern w:val="0"/>
                <w:szCs w:val="21"/>
              </w:rPr>
              <w:t>10000-50000</w:t>
            </w:r>
          </w:p>
        </w:tc>
        <w:tc>
          <w:tcPr>
            <w:tcW w:w="1899"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0.04%</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0.04%</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50000-100000</w:t>
            </w:r>
          </w:p>
        </w:tc>
        <w:tc>
          <w:tcPr>
            <w:tcW w:w="1899"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0.028%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0.028%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ind w:firstLine="420"/>
              <w:jc w:val="center"/>
              <w:rPr>
                <w:rFonts w:hint="eastAsia" w:ascii="宋体" w:hAnsi="宋体"/>
                <w:kern w:val="0"/>
                <w:szCs w:val="21"/>
              </w:rPr>
            </w:pPr>
            <w:r>
              <w:rPr>
                <w:rFonts w:hint="eastAsia" w:ascii="宋体" w:hAnsi="宋体"/>
                <w:kern w:val="0"/>
                <w:szCs w:val="21"/>
              </w:rPr>
              <w:t>100000-500000</w:t>
            </w:r>
          </w:p>
        </w:tc>
        <w:tc>
          <w:tcPr>
            <w:tcW w:w="1899"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0.0064%</w:t>
            </w:r>
          </w:p>
        </w:tc>
        <w:tc>
          <w:tcPr>
            <w:tcW w:w="1980"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0.0064%</w:t>
            </w:r>
          </w:p>
        </w:tc>
        <w:tc>
          <w:tcPr>
            <w:tcW w:w="1980"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ind w:firstLine="420"/>
              <w:jc w:val="center"/>
              <w:rPr>
                <w:rFonts w:hint="eastAsia" w:ascii="宋体" w:hAnsi="宋体"/>
                <w:kern w:val="0"/>
                <w:szCs w:val="21"/>
              </w:rPr>
            </w:pPr>
            <w:r>
              <w:rPr>
                <w:rFonts w:hint="eastAsia" w:ascii="宋体" w:hAnsi="宋体"/>
                <w:kern w:val="0"/>
                <w:szCs w:val="21"/>
              </w:rPr>
              <w:t>500000-1000000</w:t>
            </w:r>
          </w:p>
        </w:tc>
        <w:tc>
          <w:tcPr>
            <w:tcW w:w="1899"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0.0048%</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0.0048%</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rPr>
            </w:pPr>
            <w:r>
              <w:rPr>
                <w:rFonts w:hint="eastAsia" w:ascii="宋体" w:hAnsi="宋体"/>
                <w:kern w:val="0"/>
                <w:szCs w:val="21"/>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rPr>
            </w:pPr>
            <w:r>
              <w:rPr>
                <w:rFonts w:hint="eastAsia" w:ascii="宋体" w:hAnsi="宋体"/>
                <w:kern w:val="0"/>
                <w:szCs w:val="21"/>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0.0032%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0.0032%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rPr>
            </w:pPr>
            <w:r>
              <w:rPr>
                <w:rFonts w:hint="eastAsia" w:ascii="宋体" w:hAnsi="宋体"/>
                <w:kern w:val="0"/>
                <w:szCs w:val="21"/>
              </w:rPr>
              <w:t>0.0032%</w:t>
            </w:r>
          </w:p>
        </w:tc>
      </w:tr>
    </w:tbl>
    <w:p>
      <w:pPr>
        <w:pStyle w:val="28"/>
        <w:spacing w:line="400" w:lineRule="atLeast"/>
        <w:ind w:firstLine="315" w:firstLineChars="150"/>
        <w:rPr>
          <w:rFonts w:hint="eastAsia" w:hAnsi="宋体"/>
        </w:rPr>
      </w:pPr>
      <w:r>
        <w:rPr>
          <w:rFonts w:hAnsi="宋体"/>
        </w:rPr>
        <w:tab/>
      </w:r>
      <w:bookmarkStart w:id="241" w:name="_Hlk92466755"/>
      <w:r>
        <w:rPr>
          <w:rFonts w:hint="eastAsia" w:hAnsi="宋体"/>
        </w:rPr>
        <w:t>注：代理服务收费按差额定率累进法计算</w:t>
      </w:r>
      <w:bookmarkEnd w:id="241"/>
      <w:r>
        <w:rPr>
          <w:rFonts w:hint="eastAsia" w:hAnsi="宋体"/>
        </w:rPr>
        <w:t>。</w:t>
      </w:r>
    </w:p>
    <w:p>
      <w:pPr>
        <w:spacing w:line="410" w:lineRule="exact"/>
        <w:ind w:firstLine="420"/>
        <w:rPr>
          <w:rFonts w:hint="eastAsia" w:ascii="宋体" w:hAnsi="宋体" w:cs="Courier New"/>
          <w:szCs w:val="21"/>
        </w:rPr>
      </w:pPr>
      <w:r>
        <w:rPr>
          <w:rFonts w:hint="eastAsia" w:ascii="宋体" w:hAnsi="宋体" w:cs="Courier New"/>
          <w:szCs w:val="21"/>
        </w:rPr>
        <w:t>3.缴纳代理服务费银行账户：</w:t>
      </w:r>
    </w:p>
    <w:p>
      <w:pPr>
        <w:spacing w:line="410" w:lineRule="exact"/>
        <w:ind w:left="420" w:firstLine="210" w:firstLineChars="100"/>
        <w:rPr>
          <w:rFonts w:hint="eastAsia" w:ascii="宋体" w:hAnsi="宋体" w:cs="Courier New"/>
          <w:szCs w:val="21"/>
        </w:rPr>
      </w:pPr>
      <w:r>
        <w:rPr>
          <w:rFonts w:hint="eastAsia" w:ascii="宋体" w:hAnsi="宋体" w:cs="Courier New"/>
          <w:szCs w:val="21"/>
        </w:rPr>
        <w:t>开户名称:钦州市政府采购中心</w:t>
      </w:r>
    </w:p>
    <w:p>
      <w:pPr>
        <w:spacing w:line="410" w:lineRule="exact"/>
        <w:ind w:firstLine="630" w:firstLineChars="300"/>
        <w:rPr>
          <w:rFonts w:hint="eastAsia" w:ascii="宋体" w:hAnsi="宋体" w:cs="Courier New"/>
          <w:szCs w:val="21"/>
        </w:rPr>
      </w:pPr>
      <w:r>
        <w:rPr>
          <w:rFonts w:hint="eastAsia" w:ascii="宋体" w:hAnsi="宋体" w:cs="Courier New"/>
          <w:szCs w:val="21"/>
        </w:rPr>
        <w:t>开户银行:兴业银行钦州支行</w:t>
      </w:r>
    </w:p>
    <w:p>
      <w:pPr>
        <w:spacing w:line="410" w:lineRule="exact"/>
        <w:ind w:firstLine="630" w:firstLineChars="300"/>
        <w:rPr>
          <w:rFonts w:hint="eastAsia" w:ascii="仿宋_GB2312" w:hAnsi="宋体" w:eastAsia="仿宋_GB2312" w:cs="Courier New"/>
          <w:b/>
          <w:sz w:val="28"/>
          <w:szCs w:val="28"/>
        </w:rPr>
      </w:pPr>
      <w:r>
        <w:rPr>
          <w:rFonts w:hint="eastAsia" w:ascii="宋体" w:hAnsi="宋体" w:cs="Courier New"/>
          <w:szCs w:val="21"/>
        </w:rPr>
        <w:t>银行账号:554010100100129709</w:t>
      </w:r>
    </w:p>
    <w:p>
      <w:pPr>
        <w:pStyle w:val="28"/>
        <w:spacing w:line="400" w:lineRule="atLeast"/>
        <w:ind w:firstLine="210" w:firstLineChars="100"/>
        <w:rPr>
          <w:rFonts w:hint="eastAsia" w:hAnsi="宋体"/>
          <w:bCs/>
        </w:rPr>
      </w:pPr>
      <w:r>
        <w:rPr>
          <w:rFonts w:hint="eastAsia" w:hAnsi="宋体"/>
          <w:bCs/>
        </w:rPr>
        <w:t>（二）解释权：</w:t>
      </w:r>
      <w:bookmarkStart w:id="242" w:name="_Hlk92466777"/>
      <w:r>
        <w:rPr>
          <w:rFonts w:hint="eastAsia" w:hAnsi="宋体"/>
          <w:bCs/>
          <w:spacing w:val="-4"/>
        </w:rPr>
        <w:t>本招标文件解释权属本中心</w:t>
      </w:r>
      <w:bookmarkEnd w:id="242"/>
      <w:r>
        <w:rPr>
          <w:rFonts w:hint="eastAsia" w:hAnsi="宋体"/>
          <w:bCs/>
          <w:spacing w:val="-4"/>
        </w:rPr>
        <w:t>。</w:t>
      </w:r>
    </w:p>
    <w:p>
      <w:pPr>
        <w:pStyle w:val="28"/>
        <w:spacing w:line="400" w:lineRule="atLeast"/>
        <w:ind w:firstLine="210" w:firstLineChars="100"/>
        <w:rPr>
          <w:rFonts w:hint="eastAsia" w:hAnsi="宋体"/>
          <w:bCs/>
        </w:rPr>
      </w:pPr>
      <w:r>
        <w:rPr>
          <w:rFonts w:hint="eastAsia" w:hAnsi="宋体"/>
          <w:bCs/>
        </w:rPr>
        <w:t>（三）有关事宜</w:t>
      </w:r>
    </w:p>
    <w:p>
      <w:pPr>
        <w:pStyle w:val="28"/>
        <w:spacing w:line="400" w:lineRule="atLeast"/>
        <w:ind w:firstLine="0" w:firstLineChars="0"/>
        <w:rPr>
          <w:rFonts w:hint="eastAsia" w:hAnsi="宋体"/>
        </w:rPr>
      </w:pPr>
      <w:r>
        <w:rPr>
          <w:rFonts w:hAnsi="宋体"/>
        </w:rPr>
        <w:tab/>
      </w:r>
      <w:r>
        <w:rPr>
          <w:rFonts w:hint="eastAsia" w:hAnsi="宋体"/>
        </w:rPr>
        <w:t>所有与本招标文件有关的函件请按下列通讯地址联系：</w:t>
      </w:r>
    </w:p>
    <w:p>
      <w:pPr>
        <w:pStyle w:val="28"/>
        <w:spacing w:line="400" w:lineRule="atLeast"/>
        <w:ind w:firstLine="420"/>
        <w:rPr>
          <w:rFonts w:hint="eastAsia" w:hAnsi="宋体"/>
        </w:rPr>
      </w:pPr>
      <w:bookmarkStart w:id="243" w:name="_Hlk92466867"/>
      <w:r>
        <w:rPr>
          <w:rFonts w:hint="eastAsia" w:hAnsi="宋体"/>
        </w:rPr>
        <w:t>钦州市政府采购中心</w:t>
      </w:r>
    </w:p>
    <w:p>
      <w:pPr>
        <w:pStyle w:val="28"/>
        <w:tabs>
          <w:tab w:val="left" w:pos="1990"/>
        </w:tabs>
        <w:spacing w:line="400" w:lineRule="atLeast"/>
        <w:ind w:firstLine="420"/>
        <w:rPr>
          <w:rFonts w:hint="eastAsia" w:hAnsi="宋体"/>
          <w:u w:val="single"/>
        </w:rPr>
      </w:pPr>
      <w:r>
        <w:rPr>
          <w:rFonts w:hint="eastAsia" w:hAnsi="宋体"/>
        </w:rPr>
        <w:t>邮政编码：535000</w:t>
      </w:r>
    </w:p>
    <w:p>
      <w:pPr>
        <w:pStyle w:val="28"/>
        <w:tabs>
          <w:tab w:val="left" w:pos="1990"/>
        </w:tabs>
        <w:spacing w:line="400" w:lineRule="atLeast"/>
        <w:ind w:firstLine="420"/>
        <w:rPr>
          <w:rFonts w:hint="eastAsia" w:hAnsi="宋体"/>
          <w:spacing w:val="-4"/>
        </w:rPr>
      </w:pPr>
      <w:r>
        <w:rPr>
          <w:rFonts w:hint="eastAsia" w:hAnsi="宋体"/>
        </w:rPr>
        <w:t>通讯地址：</w:t>
      </w:r>
      <w:r>
        <w:rPr>
          <w:rFonts w:hint="eastAsia" w:ascii="Times New Roman" w:hAnsi="Times New Roman" w:cs="Times New Roman"/>
          <w:szCs w:val="24"/>
        </w:rPr>
        <w:t>钦州市金海湾东大街8号</w:t>
      </w:r>
    </w:p>
    <w:bookmarkEnd w:id="109"/>
    <w:bookmarkEnd w:id="243"/>
    <w:p>
      <w:pPr>
        <w:widowControl/>
        <w:spacing w:line="400" w:lineRule="atLeast"/>
        <w:ind w:firstLine="420"/>
        <w:jc w:val="left"/>
      </w:pPr>
      <w:bookmarkStart w:id="244" w:name="_Hlk108515537"/>
      <w:r>
        <w:rPr>
          <w:rFonts w:hint="eastAsia" w:hAnsi="宋体"/>
        </w:rPr>
        <w:t>钦州市政府采购中心联系方式</w:t>
      </w:r>
      <w:r>
        <w:rPr>
          <w:rFonts w:hint="eastAsia"/>
        </w:rPr>
        <w:t>：</w:t>
      </w:r>
    </w:p>
    <w:p>
      <w:pPr>
        <w:widowControl/>
        <w:spacing w:line="400" w:lineRule="atLeast"/>
        <w:ind w:firstLine="420"/>
        <w:jc w:val="left"/>
      </w:pPr>
      <w:r>
        <w:rPr>
          <w:rFonts w:hint="eastAsia"/>
        </w:rPr>
        <w:t>(1)采购部(采购文件)</w:t>
      </w:r>
    </w:p>
    <w:p>
      <w:pPr>
        <w:widowControl/>
        <w:spacing w:line="400" w:lineRule="atLeast"/>
        <w:ind w:firstLine="420"/>
        <w:jc w:val="left"/>
      </w:pPr>
      <w:r>
        <w:rPr>
          <w:rFonts w:hint="eastAsia"/>
        </w:rPr>
        <w:t xml:space="preserve">联系人：黄忠秀 </w:t>
      </w:r>
      <w:r>
        <w:t xml:space="preserve"> </w:t>
      </w:r>
      <w:r>
        <w:rPr>
          <w:rFonts w:hint="eastAsia"/>
        </w:rPr>
        <w:t xml:space="preserve"> 联系方式：0777-2886022</w:t>
      </w:r>
    </w:p>
    <w:p>
      <w:pPr>
        <w:widowControl/>
        <w:spacing w:line="400" w:lineRule="atLeast"/>
        <w:ind w:firstLine="420"/>
        <w:jc w:val="left"/>
      </w:pPr>
      <w:r>
        <w:rPr>
          <w:rFonts w:hint="eastAsia"/>
        </w:rPr>
        <w:t>(2)综合二部(保证金、开标、评标、中标及合同管理)</w:t>
      </w:r>
    </w:p>
    <w:p>
      <w:pPr>
        <w:widowControl/>
        <w:spacing w:line="400" w:lineRule="atLeast"/>
        <w:ind w:firstLine="420"/>
        <w:jc w:val="left"/>
      </w:pPr>
      <w:r>
        <w:rPr>
          <w:rFonts w:hint="eastAsia"/>
        </w:rPr>
        <w:t>联系人：陈侃、陈启梅</w:t>
      </w:r>
      <w:r>
        <w:t xml:space="preserve">  </w:t>
      </w:r>
      <w:r>
        <w:rPr>
          <w:rFonts w:hint="eastAsia"/>
        </w:rPr>
        <w:t>联系方式：0777-2886006</w:t>
      </w:r>
    </w:p>
    <w:p>
      <w:pPr>
        <w:widowControl/>
        <w:spacing w:line="400" w:lineRule="atLeast"/>
        <w:ind w:firstLine="420"/>
        <w:jc w:val="left"/>
      </w:pPr>
      <w:r>
        <w:rPr>
          <w:rFonts w:hint="eastAsia"/>
        </w:rPr>
        <w:t>(</w:t>
      </w:r>
      <w:r>
        <w:t>3)</w:t>
      </w:r>
      <w:r>
        <w:rPr>
          <w:rFonts w:hint="eastAsia"/>
        </w:rPr>
        <w:t>政采云技术支持热线：</w:t>
      </w:r>
      <w:r>
        <w:rPr>
          <w:rFonts w:hAnsi="宋体"/>
        </w:rPr>
        <w:t>95763</w:t>
      </w:r>
    </w:p>
    <w:bookmarkEnd w:id="244"/>
    <w:p>
      <w:pPr>
        <w:ind w:firstLine="420"/>
      </w:pPr>
      <w:r>
        <w:br w:type="page"/>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pStyle w:val="46"/>
        <w:ind w:left="0" w:leftChars="0" w:right="0" w:rightChars="0" w:firstLine="0" w:firstLineChars="0"/>
        <w:jc w:val="center"/>
      </w:pPr>
      <w:bookmarkStart w:id="245" w:name="_Toc91512286"/>
      <w:r>
        <w:rPr>
          <w:rFonts w:hint="eastAsia"/>
        </w:rPr>
        <w:t xml:space="preserve">第四章  </w:t>
      </w:r>
      <w:bookmarkEnd w:id="245"/>
      <w:r>
        <w:rPr>
          <w:rFonts w:hint="eastAsia"/>
        </w:rPr>
        <w:t>评定标准及推荐原则</w:t>
      </w:r>
    </w:p>
    <w:p>
      <w:pPr>
        <w:ind w:firstLine="0" w:firstLineChars="0"/>
      </w:pPr>
      <w:r>
        <w:br w:type="page"/>
      </w:r>
    </w:p>
    <w:p>
      <w:pPr>
        <w:spacing w:line="380" w:lineRule="exact"/>
        <w:ind w:firstLine="0" w:firstLineChars="0"/>
        <w:jc w:val="center"/>
        <w:rPr>
          <w:rFonts w:hint="eastAsia" w:ascii="宋体" w:hAnsi="宋体"/>
          <w:b/>
          <w:sz w:val="32"/>
          <w:szCs w:val="32"/>
        </w:rPr>
      </w:pPr>
      <w:r>
        <w:rPr>
          <w:rFonts w:hint="eastAsia" w:ascii="宋体" w:hAnsi="宋体"/>
          <w:b/>
          <w:sz w:val="32"/>
        </w:rPr>
        <w:t>评定标准和推荐原则</w:t>
      </w:r>
      <w:r>
        <w:rPr>
          <w:rFonts w:hint="eastAsia" w:ascii="宋体" w:hAnsi="宋体"/>
          <w:b/>
          <w:color w:val="000000"/>
          <w:sz w:val="32"/>
        </w:rPr>
        <w:t>（标项</w:t>
      </w:r>
      <w:r>
        <w:rPr>
          <w:rFonts w:hint="eastAsia" w:ascii="宋体" w:hAnsi="宋体"/>
          <w:b/>
          <w:color w:val="000000"/>
          <w:sz w:val="32"/>
          <w:lang w:val="en-US" w:eastAsia="zh-CN"/>
        </w:rPr>
        <w:t>一</w:t>
      </w:r>
      <w:r>
        <w:rPr>
          <w:rFonts w:hint="eastAsia" w:ascii="宋体" w:hAnsi="宋体"/>
          <w:b/>
          <w:color w:val="000000"/>
          <w:sz w:val="32"/>
        </w:rPr>
        <w:t>）</w:t>
      </w:r>
    </w:p>
    <w:p>
      <w:pPr>
        <w:pStyle w:val="28"/>
        <w:spacing w:line="500" w:lineRule="exact"/>
        <w:ind w:firstLine="0" w:firstLineChars="0"/>
        <w:jc w:val="left"/>
        <w:rPr>
          <w:rFonts w:hint="eastAsia" w:hAnsi="宋体"/>
          <w:b/>
          <w:bCs/>
        </w:rPr>
      </w:pPr>
      <w:bookmarkStart w:id="246" w:name="OLE_LINK19"/>
      <w:r>
        <w:rPr>
          <w:rFonts w:hint="eastAsia" w:hAnsi="宋体"/>
          <w:b/>
          <w:bCs/>
        </w:rPr>
        <w:t>一、评标原则</w:t>
      </w:r>
    </w:p>
    <w:p>
      <w:pPr>
        <w:pStyle w:val="28"/>
        <w:spacing w:line="500" w:lineRule="exact"/>
        <w:ind w:firstLine="210" w:firstLineChars="100"/>
        <w:jc w:val="left"/>
        <w:rPr>
          <w:rFonts w:hint="eastAsia"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pPr>
        <w:pStyle w:val="28"/>
        <w:spacing w:line="500" w:lineRule="exact"/>
        <w:ind w:firstLine="210" w:firstLineChars="100"/>
        <w:jc w:val="left"/>
        <w:rPr>
          <w:rFonts w:hint="eastAsia" w:hAnsi="宋体"/>
        </w:rPr>
      </w:pPr>
      <w:r>
        <w:rPr>
          <w:rFonts w:hint="eastAsia" w:hAnsi="宋体"/>
        </w:rPr>
        <w:t>（二）评标委员会组成：由采购人代表和评审专家组成，成员人数应当为5人以上单数，其中评审专家的人数不得少于成员总数的三分之二。</w:t>
      </w:r>
    </w:p>
    <w:p>
      <w:pPr>
        <w:pStyle w:val="28"/>
        <w:spacing w:line="500" w:lineRule="exact"/>
        <w:ind w:firstLine="210" w:firstLineChars="100"/>
        <w:jc w:val="left"/>
        <w:rPr>
          <w:rFonts w:hint="eastAsia" w:hAnsi="宋体"/>
        </w:rPr>
      </w:pPr>
      <w:r>
        <w:rPr>
          <w:rFonts w:hint="eastAsia" w:hAnsi="宋体"/>
        </w:rPr>
        <w:t>（三）评分方式：评标委员会各成员独立对每个投标人的投标文件进行评价。</w:t>
      </w:r>
    </w:p>
    <w:p>
      <w:pPr>
        <w:pStyle w:val="28"/>
        <w:spacing w:line="500" w:lineRule="exact"/>
        <w:ind w:firstLine="0" w:firstLineChars="0"/>
        <w:jc w:val="left"/>
        <w:rPr>
          <w:rFonts w:hint="eastAsia" w:hAnsi="宋体"/>
          <w:b/>
          <w:bCs/>
        </w:rPr>
      </w:pPr>
      <w:r>
        <w:rPr>
          <w:rFonts w:hint="eastAsia" w:hAnsi="宋体"/>
          <w:b/>
          <w:bCs/>
        </w:rPr>
        <w:t>二、评分细则</w:t>
      </w:r>
    </w:p>
    <w:p>
      <w:pPr>
        <w:spacing w:line="500" w:lineRule="exact"/>
        <w:ind w:firstLine="210" w:firstLineChars="100"/>
        <w:jc w:val="left"/>
        <w:rPr>
          <w:rFonts w:hint="eastAsia" w:ascii="宋体" w:hAnsi="宋体" w:cs="Courier New"/>
          <w:szCs w:val="21"/>
        </w:rPr>
      </w:pPr>
      <w:r>
        <w:rPr>
          <w:rFonts w:hint="eastAsia" w:ascii="宋体" w:hAnsi="宋体" w:cs="Courier New"/>
          <w:szCs w:val="21"/>
        </w:rPr>
        <w:t>综合评分法：对满足招标文件全部实质性要求的投标人投标文件</w:t>
      </w:r>
      <w:r>
        <w:rPr>
          <w:rFonts w:ascii="宋体" w:hAnsi="宋体" w:cs="Arial"/>
          <w:szCs w:val="21"/>
        </w:rPr>
        <w:t>按照评审因素的量化指标评审</w:t>
      </w:r>
      <w:r>
        <w:rPr>
          <w:rFonts w:hint="eastAsia" w:ascii="宋体" w:hAnsi="宋体" w:cs="Arial"/>
          <w:szCs w:val="21"/>
        </w:rPr>
        <w:t>并汇总(</w:t>
      </w:r>
      <w:r>
        <w:rPr>
          <w:rFonts w:hint="eastAsia" w:ascii="宋体" w:hAnsi="宋体" w:cs="Courier New"/>
          <w:szCs w:val="21"/>
        </w:rPr>
        <w:t>四舍五入取至百分位)。</w:t>
      </w:r>
    </w:p>
    <w:p>
      <w:pPr>
        <w:spacing w:line="500" w:lineRule="exact"/>
        <w:ind w:firstLine="211" w:firstLineChars="100"/>
        <w:rPr>
          <w:rFonts w:hint="eastAsia" w:ascii="宋体" w:hAnsi="宋体"/>
          <w:b/>
          <w:bCs/>
        </w:rPr>
      </w:pPr>
      <w:r>
        <w:rPr>
          <w:rFonts w:hint="eastAsia" w:ascii="宋体" w:hAnsi="宋体"/>
          <w:b/>
          <w:bCs/>
        </w:rPr>
        <w:t>（一）报价分（</w:t>
      </w:r>
      <w:r>
        <w:rPr>
          <w:rFonts w:hint="eastAsia" w:ascii="宋体" w:hAnsi="宋体"/>
          <w:b/>
          <w:bCs/>
          <w:lang w:val="en-US" w:eastAsia="zh-CN"/>
        </w:rPr>
        <w:t>6</w:t>
      </w:r>
      <w:r>
        <w:rPr>
          <w:rFonts w:hint="eastAsia" w:ascii="宋体" w:hAnsi="宋体"/>
          <w:b/>
          <w:bCs/>
        </w:rPr>
        <w:t>0分）</w:t>
      </w:r>
    </w:p>
    <w:p>
      <w:pPr>
        <w:spacing w:line="500" w:lineRule="exact"/>
        <w:ind w:firstLine="420"/>
        <w:jc w:val="left"/>
        <w:rPr>
          <w:rFonts w:hint="eastAsia" w:ascii="宋体" w:hAnsi="宋体" w:cs="Courier New"/>
          <w:szCs w:val="21"/>
        </w:rPr>
      </w:pPr>
      <w:r>
        <w:rPr>
          <w:rFonts w:hint="eastAsia" w:ascii="宋体" w:hAnsi="宋体" w:cs="Courier New"/>
          <w:szCs w:val="21"/>
        </w:rPr>
        <w:tab/>
      </w:r>
      <w:r>
        <w:rPr>
          <w:rFonts w:hint="eastAsia" w:ascii="宋体" w:hAnsi="宋体" w:cs="Courier New"/>
          <w:szCs w:val="21"/>
        </w:rPr>
        <w:t>1.投标人的价格分统一按照下列公式计算：</w:t>
      </w:r>
    </w:p>
    <w:p>
      <w:pPr>
        <w:spacing w:line="500" w:lineRule="exact"/>
        <w:ind w:firstLine="422"/>
        <w:jc w:val="left"/>
        <w:rPr>
          <w:rFonts w:hint="eastAsia" w:ascii="宋体" w:hAnsi="宋体" w:cs="Courier New"/>
          <w:b/>
          <w:szCs w:val="21"/>
        </w:rPr>
      </w:pPr>
      <w:r>
        <w:rPr>
          <w:rFonts w:hint="eastAsia" w:ascii="宋体" w:hAnsi="宋体" w:cs="Courier New"/>
          <w:b/>
          <w:szCs w:val="21"/>
        </w:rPr>
        <w:tab/>
      </w:r>
      <w:r>
        <w:rPr>
          <w:rFonts w:hint="eastAsia" w:ascii="宋体" w:hAnsi="宋体" w:cs="Courier New"/>
          <w:b/>
          <w:szCs w:val="21"/>
        </w:rPr>
        <w:t>某投标人价格分=（评标基准价/某投标人评标价）×</w:t>
      </w:r>
      <w:r>
        <w:rPr>
          <w:rFonts w:hint="eastAsia" w:ascii="宋体" w:hAnsi="宋体" w:cs="Courier New"/>
          <w:b/>
          <w:szCs w:val="21"/>
          <w:lang w:val="en-US" w:eastAsia="zh-CN"/>
        </w:rPr>
        <w:t>6</w:t>
      </w:r>
      <w:r>
        <w:rPr>
          <w:rFonts w:hint="eastAsia" w:ascii="宋体" w:hAnsi="宋体" w:cs="Courier New"/>
          <w:b/>
          <w:szCs w:val="21"/>
        </w:rPr>
        <w:t>0分</w:t>
      </w:r>
    </w:p>
    <w:p>
      <w:pPr>
        <w:widowControl/>
        <w:spacing w:line="500" w:lineRule="exact"/>
        <w:ind w:firstLine="420"/>
        <w:jc w:val="left"/>
        <w:rPr>
          <w:rFonts w:hint="eastAsia" w:ascii="宋体" w:hAnsi="宋体" w:cs="Courier New"/>
          <w:szCs w:val="21"/>
        </w:rPr>
      </w:pPr>
      <w:r>
        <w:rPr>
          <w:rFonts w:hint="eastAsia" w:ascii="宋体" w:hAnsi="宋体" w:cs="Courier New"/>
          <w:szCs w:val="21"/>
        </w:rPr>
        <w:t>注：</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ascii="宋体" w:hAnsi="宋体" w:cs="Courier New"/>
          <w:szCs w:val="21"/>
        </w:rPr>
      </w:pPr>
      <w:r>
        <w:rPr>
          <w:rFonts w:hint="eastAsia" w:ascii="宋体" w:hAnsi="宋体" w:cs="Courier New"/>
        </w:rPr>
        <w:t>投标人获得政策性价格扣除的，评标价</w:t>
      </w:r>
      <w:r>
        <w:rPr>
          <w:rFonts w:ascii="宋体" w:hAnsi="宋体" w:cs="Courier New"/>
        </w:rPr>
        <w:t>=</w:t>
      </w:r>
      <w:r>
        <w:rPr>
          <w:rFonts w:hint="eastAsia" w:ascii="宋体" w:hAnsi="宋体" w:cs="Courier New"/>
        </w:rPr>
        <w:t>投标报价×（</w:t>
      </w:r>
      <w:r>
        <w:rPr>
          <w:rFonts w:ascii="宋体" w:hAnsi="宋体" w:cs="Courier New"/>
        </w:rPr>
        <w:t>1-</w:t>
      </w:r>
      <w:r>
        <w:rPr>
          <w:rFonts w:hint="eastAsia" w:ascii="宋体" w:hAnsi="宋体" w:cs="Courier New"/>
        </w:rPr>
        <w:t>2</w:t>
      </w:r>
      <w:r>
        <w:rPr>
          <w:rFonts w:ascii="宋体" w:hAnsi="宋体" w:cs="Courier New"/>
        </w:rPr>
        <w:t>0%</w:t>
      </w:r>
      <w:r>
        <w:rPr>
          <w:rFonts w:hint="eastAsia" w:ascii="宋体" w:hAnsi="宋体" w:cs="Courier New"/>
        </w:rPr>
        <w:t>），否则评标价</w:t>
      </w:r>
      <w:r>
        <w:rPr>
          <w:rFonts w:ascii="宋体" w:hAnsi="宋体" w:cs="Courier New"/>
        </w:rPr>
        <w:t>=</w:t>
      </w:r>
      <w:r>
        <w:rPr>
          <w:rFonts w:hint="eastAsia" w:ascii="宋体" w:hAnsi="宋体" w:cs="Courier New"/>
        </w:rPr>
        <w:t>投标报价。满足招标文件全部实质性要求的投标人最低评标价为评标基准价。评标价仅作评标时使用，中标金额＝投标报价。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numPr>
          <w:ilvl w:val="0"/>
          <w:numId w:val="0"/>
        </w:numPr>
        <w:spacing w:line="500" w:lineRule="exact"/>
        <w:rPr>
          <w:rFonts w:hint="eastAsia" w:ascii="宋体" w:hAnsi="宋体" w:cs="宋体"/>
          <w:b/>
          <w:bCs/>
          <w:spacing w:val="-12"/>
          <w:kern w:val="0"/>
          <w:szCs w:val="21"/>
        </w:rPr>
      </w:pPr>
      <w:r>
        <w:rPr>
          <w:rFonts w:hint="eastAsia" w:ascii="宋体" w:hAnsi="宋体" w:cs="宋体"/>
          <w:b/>
          <w:bCs/>
          <w:kern w:val="0"/>
          <w:szCs w:val="21"/>
          <w:lang w:eastAsia="zh-CN"/>
        </w:rPr>
        <w:t>（</w:t>
      </w:r>
      <w:r>
        <w:rPr>
          <w:rFonts w:hint="eastAsia" w:ascii="宋体" w:hAnsi="宋体" w:cs="宋体"/>
          <w:b/>
          <w:bCs/>
          <w:kern w:val="0"/>
          <w:szCs w:val="21"/>
          <w:lang w:val="en-US" w:eastAsia="zh-CN"/>
        </w:rPr>
        <w:t>二</w:t>
      </w:r>
      <w:r>
        <w:rPr>
          <w:rFonts w:hint="eastAsia" w:ascii="宋体" w:hAnsi="宋体" w:cs="宋体"/>
          <w:b/>
          <w:bCs/>
          <w:kern w:val="0"/>
          <w:szCs w:val="21"/>
          <w:lang w:eastAsia="zh-CN"/>
        </w:rPr>
        <w:t>）</w:t>
      </w:r>
      <w:r>
        <w:rPr>
          <w:rFonts w:hint="eastAsia" w:ascii="宋体" w:hAnsi="宋体" w:cs="宋体"/>
          <w:b/>
          <w:bCs/>
          <w:kern w:val="0"/>
          <w:szCs w:val="21"/>
        </w:rPr>
        <w:t>技术商务资信分</w:t>
      </w:r>
      <w:r>
        <w:rPr>
          <w:rFonts w:hint="eastAsia" w:ascii="宋体" w:hAnsi="宋体" w:cs="宋体"/>
          <w:b/>
          <w:bCs/>
          <w:spacing w:val="-12"/>
          <w:kern w:val="0"/>
          <w:szCs w:val="21"/>
        </w:rPr>
        <w:t>（</w:t>
      </w:r>
      <w:r>
        <w:rPr>
          <w:rFonts w:hint="eastAsia" w:ascii="宋体" w:hAnsi="宋体" w:cs="宋体"/>
          <w:b/>
          <w:bCs/>
          <w:spacing w:val="-12"/>
          <w:kern w:val="0"/>
          <w:szCs w:val="21"/>
          <w:lang w:val="en-US" w:eastAsia="zh-CN"/>
        </w:rPr>
        <w:t>4</w:t>
      </w:r>
      <w:r>
        <w:rPr>
          <w:rFonts w:hint="eastAsia" w:ascii="宋体" w:hAnsi="宋体" w:cs="宋体"/>
          <w:b/>
          <w:bCs/>
          <w:spacing w:val="-12"/>
          <w:kern w:val="0"/>
          <w:szCs w:val="21"/>
        </w:rPr>
        <w:t>0分）</w:t>
      </w:r>
    </w:p>
    <w:p>
      <w:pPr>
        <w:pStyle w:val="2"/>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1.技术分（30分）</w:t>
      </w:r>
    </w:p>
    <w:p>
      <w:pPr>
        <w:widowControl/>
        <w:spacing w:line="500" w:lineRule="exact"/>
        <w:ind w:firstLine="422"/>
        <w:jc w:val="left"/>
        <w:outlineLvl w:val="1"/>
        <w:rPr>
          <w:rFonts w:ascii="宋体" w:hAnsi="宋体" w:cs="宋体"/>
          <w:color w:val="auto"/>
          <w:sz w:val="22"/>
          <w:szCs w:val="28"/>
          <w:highlight w:val="none"/>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1</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方案分(</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方案包含①对项目的需求理解、②总体设计思路、③详细系统功能描述</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5</w:t>
      </w:r>
      <w:r>
        <w:rPr>
          <w:rFonts w:hint="eastAsia" w:ascii="宋体" w:hAnsi="宋体"/>
          <w:color w:val="auto"/>
          <w:szCs w:val="21"/>
          <w:highlight w:val="none"/>
        </w:rPr>
        <w:t>分，满分</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2</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售后服务</w:t>
      </w:r>
      <w:r>
        <w:rPr>
          <w:rFonts w:hint="eastAsia" w:ascii="宋体" w:hAnsi="宋体" w:cs="宋体"/>
          <w:b/>
          <w:bCs/>
          <w:color w:val="auto"/>
          <w:kern w:val="0"/>
          <w:szCs w:val="21"/>
          <w:highlight w:val="none"/>
          <w:lang w:bidi="ar"/>
        </w:rPr>
        <w:t>方案(</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方案包含①响应时间</w:t>
      </w:r>
      <w:r>
        <w:rPr>
          <w:rFonts w:hint="eastAsia" w:ascii="宋体" w:hAnsi="宋体"/>
          <w:color w:val="auto"/>
          <w:szCs w:val="21"/>
          <w:highlight w:val="none"/>
          <w:lang w:eastAsia="zh-CN"/>
        </w:rPr>
        <w:t>、</w:t>
      </w:r>
      <w:r>
        <w:rPr>
          <w:rFonts w:hint="eastAsia" w:ascii="宋体" w:hAnsi="宋体"/>
          <w:color w:val="auto"/>
          <w:szCs w:val="21"/>
          <w:highlight w:val="none"/>
        </w:rPr>
        <w:t>②服务具体措施、③设有售后服务点</w:t>
      </w:r>
      <w:r>
        <w:rPr>
          <w:rFonts w:hint="eastAsia" w:ascii="宋体" w:hAnsi="宋体"/>
          <w:color w:val="auto"/>
          <w:szCs w:val="21"/>
          <w:highlight w:val="none"/>
          <w:lang w:eastAsia="zh-CN"/>
        </w:rPr>
        <w:t>、</w:t>
      </w:r>
      <w:r>
        <w:rPr>
          <w:rFonts w:hint="eastAsia" w:ascii="宋体" w:hAnsi="宋体"/>
          <w:color w:val="auto"/>
          <w:szCs w:val="21"/>
          <w:highlight w:val="none"/>
        </w:rPr>
        <w:t>④免费培训计划</w:t>
      </w:r>
      <w:r>
        <w:rPr>
          <w:rFonts w:hint="eastAsia" w:ascii="宋体" w:hAnsi="宋体"/>
          <w:color w:val="auto"/>
          <w:szCs w:val="21"/>
          <w:highlight w:val="none"/>
          <w:lang w:eastAsia="zh-CN"/>
        </w:rPr>
        <w:t>、</w:t>
      </w:r>
      <w:r>
        <w:rPr>
          <w:rFonts w:hint="eastAsia" w:ascii="宋体" w:hAnsi="宋体"/>
          <w:color w:val="auto"/>
          <w:szCs w:val="21"/>
          <w:highlight w:val="none"/>
        </w:rPr>
        <w:t>⑤售后维护应急预案</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3</w:t>
      </w:r>
      <w:r>
        <w:rPr>
          <w:rFonts w:hint="eastAsia" w:ascii="宋体" w:hAnsi="宋体"/>
          <w:color w:val="auto"/>
          <w:szCs w:val="21"/>
          <w:highlight w:val="none"/>
        </w:rPr>
        <w:t>分，满分</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2.商务分(10分)</w:t>
      </w:r>
    </w:p>
    <w:p>
      <w:pPr>
        <w:ind w:firstLine="420"/>
        <w:rPr>
          <w:rFonts w:hint="eastAsia" w:ascii="宋体" w:hAnsi="宋体" w:eastAsia="宋体" w:cs="宋体"/>
          <w:strike/>
          <w:color w:val="auto"/>
          <w:highlight w:val="none"/>
          <w:lang w:eastAsia="zh-CN"/>
        </w:rPr>
      </w:pPr>
      <w:r>
        <w:rPr>
          <w:rFonts w:hint="eastAsia" w:hAnsi="宋体" w:cs="宋体"/>
          <w:bCs/>
          <w:color w:val="auto"/>
          <w:highlight w:val="none"/>
          <w:lang w:val="en-US" w:eastAsia="zh-CN"/>
        </w:rPr>
        <w:t>投标人</w:t>
      </w:r>
      <w:r>
        <w:rPr>
          <w:rFonts w:hint="eastAsia" w:hAnsi="宋体" w:cs="宋体"/>
          <w:bCs/>
          <w:color w:val="auto"/>
          <w:highlight w:val="none"/>
        </w:rPr>
        <w:t>提供202</w:t>
      </w:r>
      <w:r>
        <w:rPr>
          <w:rFonts w:hint="eastAsia" w:hAnsi="宋体" w:cs="宋体"/>
          <w:bCs/>
          <w:color w:val="auto"/>
          <w:highlight w:val="none"/>
          <w:lang w:val="en-US" w:eastAsia="zh-CN"/>
        </w:rPr>
        <w:t>1</w:t>
      </w:r>
      <w:r>
        <w:rPr>
          <w:rFonts w:hint="eastAsia" w:hAnsi="宋体" w:cs="宋体"/>
          <w:bCs/>
          <w:color w:val="auto"/>
          <w:highlight w:val="none"/>
        </w:rPr>
        <w:t>年以来类似项目</w:t>
      </w:r>
      <w:r>
        <w:rPr>
          <w:rFonts w:hint="eastAsia" w:hAnsi="宋体" w:cs="宋体"/>
          <w:bCs/>
          <w:color w:val="auto"/>
          <w:highlight w:val="none"/>
          <w:lang w:val="en-US" w:eastAsia="zh-CN"/>
        </w:rPr>
        <w:t>合同</w:t>
      </w:r>
      <w:r>
        <w:rPr>
          <w:rFonts w:hint="eastAsia" w:hAnsi="宋体" w:cs="宋体"/>
          <w:bCs/>
          <w:color w:val="auto"/>
          <w:highlight w:val="none"/>
        </w:rPr>
        <w:t>（以有效的中标通知书或合同复印件为准,每个</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rPr>
        <w:t>分，满分</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w:t>
      </w:r>
    </w:p>
    <w:p>
      <w:pPr>
        <w:spacing w:line="500" w:lineRule="exact"/>
        <w:ind w:firstLine="0" w:firstLineChars="0"/>
        <w:rPr>
          <w:rFonts w:hint="eastAsia" w:ascii="宋体" w:hAnsi="宋体"/>
          <w:b/>
          <w:bCs/>
        </w:rPr>
      </w:pPr>
      <w:r>
        <w:rPr>
          <w:rFonts w:hint="eastAsia" w:ascii="宋体" w:hAnsi="宋体"/>
          <w:b/>
          <w:bCs/>
        </w:rPr>
        <w:t>三、总得分=价格分+技术商务资信分</w:t>
      </w:r>
    </w:p>
    <w:p>
      <w:pPr>
        <w:spacing w:line="500" w:lineRule="exact"/>
        <w:ind w:firstLine="0" w:firstLineChars="0"/>
        <w:rPr>
          <w:rFonts w:hint="eastAsia" w:ascii="宋体" w:hAnsi="宋体"/>
          <w:b/>
          <w:bCs/>
        </w:rPr>
      </w:pPr>
      <w:r>
        <w:rPr>
          <w:rFonts w:hint="eastAsia" w:ascii="宋体" w:hAnsi="宋体"/>
          <w:b/>
          <w:bCs/>
        </w:rPr>
        <w:t>四、中标候选人推荐原则</w:t>
      </w:r>
    </w:p>
    <w:p>
      <w:pPr>
        <w:ind w:firstLine="420"/>
      </w:pPr>
      <w:r>
        <w:rPr>
          <w:rFonts w:ascii="宋体" w:hAnsi="宋体"/>
        </w:rPr>
        <w:tab/>
      </w:r>
      <w:r>
        <w:rPr>
          <w:rFonts w:hint="eastAsia" w:ascii="宋体" w:hAnsi="宋体"/>
        </w:rPr>
        <w:t>评标委员会将根据</w:t>
      </w:r>
      <w:r>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bookmarkEnd w:id="246"/>
    <w:p>
      <w:pPr>
        <w:ind w:firstLine="420"/>
      </w:pPr>
      <w:r>
        <w:br w:type="page"/>
      </w:r>
    </w:p>
    <w:p>
      <w:pPr>
        <w:spacing w:line="380" w:lineRule="exact"/>
        <w:ind w:firstLine="0" w:firstLineChars="0"/>
        <w:jc w:val="center"/>
        <w:rPr>
          <w:rFonts w:hint="eastAsia" w:ascii="宋体" w:hAnsi="宋体"/>
          <w:b/>
          <w:sz w:val="32"/>
          <w:szCs w:val="32"/>
        </w:rPr>
      </w:pPr>
      <w:r>
        <w:rPr>
          <w:rFonts w:hint="eastAsia" w:ascii="宋体" w:hAnsi="宋体"/>
          <w:b/>
          <w:sz w:val="32"/>
        </w:rPr>
        <w:t>评定标准和推荐原则</w:t>
      </w:r>
      <w:r>
        <w:rPr>
          <w:rFonts w:hint="eastAsia" w:ascii="宋体" w:hAnsi="宋体"/>
          <w:b/>
          <w:color w:val="000000"/>
          <w:sz w:val="32"/>
        </w:rPr>
        <w:t>（标项</w:t>
      </w:r>
      <w:r>
        <w:rPr>
          <w:rFonts w:hint="eastAsia" w:ascii="宋体" w:hAnsi="宋体"/>
          <w:b/>
          <w:color w:val="000000"/>
          <w:sz w:val="32"/>
          <w:lang w:val="en-US" w:eastAsia="zh-CN"/>
        </w:rPr>
        <w:t>二</w:t>
      </w:r>
      <w:r>
        <w:rPr>
          <w:rFonts w:hint="eastAsia" w:ascii="宋体" w:hAnsi="宋体"/>
          <w:b/>
          <w:color w:val="000000"/>
          <w:sz w:val="32"/>
        </w:rPr>
        <w:t>）</w:t>
      </w:r>
    </w:p>
    <w:p>
      <w:pPr>
        <w:pStyle w:val="28"/>
        <w:spacing w:line="500" w:lineRule="exact"/>
        <w:ind w:firstLine="0" w:firstLineChars="0"/>
        <w:jc w:val="left"/>
        <w:rPr>
          <w:rFonts w:hint="eastAsia" w:hAnsi="宋体"/>
          <w:b/>
          <w:bCs/>
        </w:rPr>
      </w:pPr>
      <w:r>
        <w:rPr>
          <w:rFonts w:hint="eastAsia" w:hAnsi="宋体"/>
          <w:b/>
          <w:bCs/>
        </w:rPr>
        <w:t>一、评标原则</w:t>
      </w:r>
    </w:p>
    <w:p>
      <w:pPr>
        <w:pStyle w:val="28"/>
        <w:spacing w:line="500" w:lineRule="exact"/>
        <w:ind w:firstLine="210" w:firstLineChars="100"/>
        <w:jc w:val="left"/>
        <w:rPr>
          <w:rFonts w:hint="eastAsia"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pPr>
        <w:pStyle w:val="28"/>
        <w:spacing w:line="500" w:lineRule="exact"/>
        <w:ind w:firstLine="210" w:firstLineChars="100"/>
        <w:jc w:val="left"/>
        <w:rPr>
          <w:rFonts w:hint="eastAsia" w:hAnsi="宋体"/>
        </w:rPr>
      </w:pPr>
      <w:r>
        <w:rPr>
          <w:rFonts w:hint="eastAsia" w:hAnsi="宋体"/>
        </w:rPr>
        <w:t>（二）评标委员会组成：由采购人代表和评审专家组成，成员人数应当为5人以上单数，其中评审专家的人数不得少于成员总数的三分之二。</w:t>
      </w:r>
    </w:p>
    <w:p>
      <w:pPr>
        <w:pStyle w:val="28"/>
        <w:spacing w:line="500" w:lineRule="exact"/>
        <w:ind w:firstLine="210" w:firstLineChars="100"/>
        <w:jc w:val="left"/>
        <w:rPr>
          <w:rFonts w:hint="eastAsia" w:hAnsi="宋体"/>
        </w:rPr>
      </w:pPr>
      <w:r>
        <w:rPr>
          <w:rFonts w:hint="eastAsia" w:hAnsi="宋体"/>
        </w:rPr>
        <w:t>（三）评分方式：评标委员会各成员独立对每个投标人的投标文件进行评价。</w:t>
      </w:r>
    </w:p>
    <w:p>
      <w:pPr>
        <w:pStyle w:val="28"/>
        <w:spacing w:line="500" w:lineRule="exact"/>
        <w:ind w:firstLine="0" w:firstLineChars="0"/>
        <w:jc w:val="left"/>
        <w:rPr>
          <w:rFonts w:hint="eastAsia" w:hAnsi="宋体"/>
          <w:b/>
          <w:bCs/>
        </w:rPr>
      </w:pPr>
      <w:r>
        <w:rPr>
          <w:rFonts w:hint="eastAsia" w:hAnsi="宋体"/>
          <w:b/>
          <w:bCs/>
        </w:rPr>
        <w:t>二、评分细则</w:t>
      </w:r>
    </w:p>
    <w:p>
      <w:pPr>
        <w:spacing w:line="500" w:lineRule="exact"/>
        <w:ind w:firstLine="210" w:firstLineChars="100"/>
        <w:jc w:val="left"/>
        <w:rPr>
          <w:rFonts w:hint="eastAsia" w:ascii="宋体" w:hAnsi="宋体" w:cs="Courier New"/>
          <w:szCs w:val="21"/>
        </w:rPr>
      </w:pPr>
      <w:r>
        <w:rPr>
          <w:rFonts w:hint="eastAsia" w:ascii="宋体" w:hAnsi="宋体" w:cs="Courier New"/>
          <w:szCs w:val="21"/>
        </w:rPr>
        <w:t>综合评分法：对满足招标文件全部实质性要求的投标人投标文件</w:t>
      </w:r>
      <w:r>
        <w:rPr>
          <w:rFonts w:ascii="宋体" w:hAnsi="宋体" w:cs="Arial"/>
          <w:szCs w:val="21"/>
        </w:rPr>
        <w:t>按照评审因素的量化指标评审</w:t>
      </w:r>
      <w:r>
        <w:rPr>
          <w:rFonts w:hint="eastAsia" w:ascii="宋体" w:hAnsi="宋体" w:cs="Arial"/>
          <w:szCs w:val="21"/>
        </w:rPr>
        <w:t>并汇总(</w:t>
      </w:r>
      <w:r>
        <w:rPr>
          <w:rFonts w:hint="eastAsia" w:ascii="宋体" w:hAnsi="宋体" w:cs="Courier New"/>
          <w:szCs w:val="21"/>
        </w:rPr>
        <w:t>四舍五入取至百分位)。</w:t>
      </w:r>
    </w:p>
    <w:p>
      <w:pPr>
        <w:spacing w:line="500" w:lineRule="exact"/>
        <w:ind w:firstLine="211" w:firstLineChars="100"/>
        <w:rPr>
          <w:rFonts w:hint="eastAsia" w:ascii="宋体" w:hAnsi="宋体"/>
          <w:b/>
          <w:bCs/>
        </w:rPr>
      </w:pPr>
      <w:r>
        <w:rPr>
          <w:rFonts w:hint="eastAsia" w:ascii="宋体" w:hAnsi="宋体"/>
          <w:b/>
          <w:bCs/>
        </w:rPr>
        <w:t>（一）报价分（</w:t>
      </w:r>
      <w:r>
        <w:rPr>
          <w:rFonts w:hint="eastAsia" w:ascii="宋体" w:hAnsi="宋体"/>
          <w:b/>
          <w:bCs/>
          <w:lang w:val="en-US" w:eastAsia="zh-CN"/>
        </w:rPr>
        <w:t>6</w:t>
      </w:r>
      <w:r>
        <w:rPr>
          <w:rFonts w:hint="eastAsia" w:ascii="宋体" w:hAnsi="宋体"/>
          <w:b/>
          <w:bCs/>
        </w:rPr>
        <w:t>0分）</w:t>
      </w:r>
    </w:p>
    <w:p>
      <w:pPr>
        <w:spacing w:line="500" w:lineRule="exact"/>
        <w:ind w:firstLine="420"/>
        <w:jc w:val="left"/>
        <w:rPr>
          <w:rFonts w:hint="eastAsia" w:ascii="宋体" w:hAnsi="宋体" w:cs="Courier New"/>
          <w:szCs w:val="21"/>
        </w:rPr>
      </w:pPr>
      <w:r>
        <w:rPr>
          <w:rFonts w:hint="eastAsia" w:ascii="宋体" w:hAnsi="宋体" w:cs="Courier New"/>
          <w:szCs w:val="21"/>
        </w:rPr>
        <w:tab/>
      </w:r>
      <w:r>
        <w:rPr>
          <w:rFonts w:hint="eastAsia" w:ascii="宋体" w:hAnsi="宋体" w:cs="Courier New"/>
          <w:szCs w:val="21"/>
        </w:rPr>
        <w:t>1.投标人的价格分统一按照下列公式计算：</w:t>
      </w:r>
    </w:p>
    <w:p>
      <w:pPr>
        <w:spacing w:line="500" w:lineRule="exact"/>
        <w:ind w:firstLine="422"/>
        <w:jc w:val="left"/>
        <w:rPr>
          <w:rFonts w:hint="eastAsia" w:ascii="宋体" w:hAnsi="宋体" w:cs="Courier New"/>
          <w:b/>
          <w:szCs w:val="21"/>
        </w:rPr>
      </w:pPr>
      <w:r>
        <w:rPr>
          <w:rFonts w:hint="eastAsia" w:ascii="宋体" w:hAnsi="宋体" w:cs="Courier New"/>
          <w:b/>
          <w:szCs w:val="21"/>
        </w:rPr>
        <w:tab/>
      </w:r>
      <w:r>
        <w:rPr>
          <w:rFonts w:hint="eastAsia" w:ascii="宋体" w:hAnsi="宋体" w:cs="Courier New"/>
          <w:b/>
          <w:szCs w:val="21"/>
        </w:rPr>
        <w:t>某投标人价格分=（评标基准价/某投标人评标价）×</w:t>
      </w:r>
      <w:r>
        <w:rPr>
          <w:rFonts w:hint="eastAsia" w:ascii="宋体" w:hAnsi="宋体" w:cs="Courier New"/>
          <w:b/>
          <w:szCs w:val="21"/>
          <w:lang w:val="en-US" w:eastAsia="zh-CN"/>
        </w:rPr>
        <w:t>6</w:t>
      </w:r>
      <w:r>
        <w:rPr>
          <w:rFonts w:hint="eastAsia" w:ascii="宋体" w:hAnsi="宋体" w:cs="Courier New"/>
          <w:b/>
          <w:szCs w:val="21"/>
        </w:rPr>
        <w:t>0分</w:t>
      </w:r>
    </w:p>
    <w:p>
      <w:pPr>
        <w:widowControl/>
        <w:spacing w:line="500" w:lineRule="exact"/>
        <w:ind w:firstLine="420"/>
        <w:jc w:val="left"/>
        <w:rPr>
          <w:rFonts w:hint="eastAsia" w:ascii="宋体" w:hAnsi="宋体" w:cs="Courier New"/>
          <w:szCs w:val="21"/>
        </w:rPr>
      </w:pPr>
      <w:r>
        <w:rPr>
          <w:rFonts w:hint="eastAsia" w:ascii="宋体" w:hAnsi="宋体" w:cs="Courier New"/>
          <w:szCs w:val="21"/>
        </w:rPr>
        <w:t>注：</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line="500" w:lineRule="exact"/>
        <w:ind w:firstLine="420"/>
        <w:jc w:val="left"/>
        <w:rPr>
          <w:rFonts w:hint="eastAsia" w:ascii="宋体" w:hAnsi="宋体" w:cs="Courier New"/>
          <w:szCs w:val="21"/>
        </w:rPr>
      </w:pPr>
      <w:r>
        <w:rPr>
          <w:rFonts w:hint="eastAsia" w:ascii="宋体" w:hAnsi="宋体" w:cs="Courier New"/>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line="500" w:lineRule="exact"/>
        <w:ind w:firstLine="420"/>
        <w:jc w:val="left"/>
        <w:rPr>
          <w:rFonts w:hint="eastAsia" w:ascii="宋体" w:hAnsi="宋体" w:cs="Courier New"/>
          <w:szCs w:val="21"/>
        </w:rPr>
      </w:pPr>
      <w:r>
        <w:rPr>
          <w:rFonts w:hint="eastAsia" w:ascii="宋体" w:hAnsi="宋体" w:cs="Courier New"/>
        </w:rPr>
        <w:t>投标人获得政策性价格扣除的，评标价</w:t>
      </w:r>
      <w:r>
        <w:rPr>
          <w:rFonts w:ascii="宋体" w:hAnsi="宋体" w:cs="Courier New"/>
        </w:rPr>
        <w:t>=</w:t>
      </w:r>
      <w:r>
        <w:rPr>
          <w:rFonts w:hint="eastAsia" w:ascii="宋体" w:hAnsi="宋体" w:cs="Courier New"/>
        </w:rPr>
        <w:t>投标报价×（</w:t>
      </w:r>
      <w:r>
        <w:rPr>
          <w:rFonts w:ascii="宋体" w:hAnsi="宋体" w:cs="Courier New"/>
        </w:rPr>
        <w:t>1-</w:t>
      </w:r>
      <w:r>
        <w:rPr>
          <w:rFonts w:hint="eastAsia" w:ascii="宋体" w:hAnsi="宋体" w:cs="Courier New"/>
        </w:rPr>
        <w:t>2</w:t>
      </w:r>
      <w:r>
        <w:rPr>
          <w:rFonts w:ascii="宋体" w:hAnsi="宋体" w:cs="Courier New"/>
        </w:rPr>
        <w:t>0%</w:t>
      </w:r>
      <w:r>
        <w:rPr>
          <w:rFonts w:hint="eastAsia" w:ascii="宋体" w:hAnsi="宋体" w:cs="Courier New"/>
        </w:rPr>
        <w:t>），否则评标价</w:t>
      </w:r>
      <w:r>
        <w:rPr>
          <w:rFonts w:ascii="宋体" w:hAnsi="宋体" w:cs="Courier New"/>
        </w:rPr>
        <w:t>=</w:t>
      </w:r>
      <w:r>
        <w:rPr>
          <w:rFonts w:hint="eastAsia" w:ascii="宋体" w:hAnsi="宋体" w:cs="Courier New"/>
        </w:rPr>
        <w:t>投标报价。满足招标文件全部实质性要求的投标人最低评标价为评标基准价。评标价仅作评标时使用，中标金额＝投标报价。</w:t>
      </w:r>
    </w:p>
    <w:p>
      <w:pPr>
        <w:widowControl/>
        <w:spacing w:line="500" w:lineRule="exact"/>
        <w:ind w:firstLine="420"/>
        <w:jc w:val="left"/>
        <w:rPr>
          <w:rFonts w:hint="eastAsia" w:ascii="宋体" w:hAnsi="宋体" w:cs="Courier New"/>
          <w:szCs w:val="21"/>
        </w:rPr>
      </w:pPr>
      <w:r>
        <w:rPr>
          <w:rFonts w:hint="eastAsia" w:ascii="宋体" w:hAnsi="宋体"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numPr>
          <w:ilvl w:val="0"/>
          <w:numId w:val="0"/>
        </w:numPr>
        <w:spacing w:line="500" w:lineRule="exact"/>
        <w:rPr>
          <w:rFonts w:hint="eastAsia" w:ascii="宋体" w:hAnsi="宋体" w:eastAsia="宋体" w:cs="宋体"/>
          <w:b w:val="0"/>
          <w:bCs/>
          <w:color w:val="auto"/>
          <w:kern w:val="0"/>
          <w:szCs w:val="21"/>
          <w:highlight w:val="none"/>
        </w:rPr>
      </w:pPr>
      <w:r>
        <w:rPr>
          <w:rFonts w:hint="eastAsia" w:ascii="宋体" w:hAnsi="宋体" w:cs="宋体"/>
          <w:b/>
          <w:bCs/>
          <w:kern w:val="0"/>
          <w:szCs w:val="21"/>
          <w:lang w:eastAsia="zh-CN"/>
        </w:rPr>
        <w:t>（</w:t>
      </w:r>
      <w:r>
        <w:rPr>
          <w:rFonts w:hint="eastAsia" w:ascii="宋体" w:hAnsi="宋体" w:cs="宋体"/>
          <w:b/>
          <w:bCs/>
          <w:kern w:val="0"/>
          <w:szCs w:val="21"/>
          <w:lang w:val="en-US" w:eastAsia="zh-CN"/>
        </w:rPr>
        <w:t>二</w:t>
      </w:r>
      <w:r>
        <w:rPr>
          <w:rFonts w:hint="eastAsia" w:ascii="宋体" w:hAnsi="宋体" w:cs="宋体"/>
          <w:b/>
          <w:bCs/>
          <w:kern w:val="0"/>
          <w:szCs w:val="21"/>
          <w:lang w:eastAsia="zh-CN"/>
        </w:rPr>
        <w:t>）</w:t>
      </w:r>
      <w:r>
        <w:rPr>
          <w:rFonts w:hint="eastAsia" w:ascii="宋体" w:hAnsi="宋体" w:cs="宋体"/>
          <w:b/>
          <w:bCs/>
          <w:kern w:val="0"/>
          <w:szCs w:val="21"/>
        </w:rPr>
        <w:t>技术商务资信分</w:t>
      </w:r>
      <w:r>
        <w:rPr>
          <w:rFonts w:hint="eastAsia" w:ascii="宋体" w:hAnsi="宋体" w:cs="宋体"/>
          <w:b/>
          <w:bCs/>
          <w:spacing w:val="-12"/>
          <w:kern w:val="0"/>
          <w:szCs w:val="21"/>
        </w:rPr>
        <w:t>（</w:t>
      </w:r>
      <w:r>
        <w:rPr>
          <w:rFonts w:hint="eastAsia" w:ascii="宋体" w:hAnsi="宋体" w:cs="宋体"/>
          <w:b/>
          <w:bCs/>
          <w:spacing w:val="-12"/>
          <w:kern w:val="0"/>
          <w:szCs w:val="21"/>
          <w:lang w:val="en-US" w:eastAsia="zh-CN"/>
        </w:rPr>
        <w:t>4</w:t>
      </w:r>
      <w:r>
        <w:rPr>
          <w:rFonts w:hint="eastAsia" w:ascii="宋体" w:hAnsi="宋体" w:cs="宋体"/>
          <w:b/>
          <w:bCs/>
          <w:spacing w:val="-12"/>
          <w:kern w:val="0"/>
          <w:szCs w:val="21"/>
        </w:rPr>
        <w:t>0分）</w:t>
      </w:r>
    </w:p>
    <w:p>
      <w:pPr>
        <w:pStyle w:val="2"/>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1.技术分（30分）</w:t>
      </w:r>
    </w:p>
    <w:p>
      <w:pPr>
        <w:widowControl/>
        <w:spacing w:line="500" w:lineRule="exact"/>
        <w:ind w:firstLine="422"/>
        <w:jc w:val="left"/>
        <w:outlineLvl w:val="1"/>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1</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技术</w:t>
      </w:r>
      <w:r>
        <w:rPr>
          <w:rFonts w:hint="eastAsia" w:ascii="宋体" w:hAnsi="宋体" w:cs="宋体"/>
          <w:b/>
          <w:bCs/>
          <w:color w:val="auto"/>
          <w:kern w:val="0"/>
          <w:szCs w:val="21"/>
          <w:highlight w:val="none"/>
          <w:lang w:bidi="ar"/>
        </w:rPr>
        <w:t>方案分(</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技术</w:t>
      </w:r>
      <w:r>
        <w:rPr>
          <w:rFonts w:hint="eastAsia" w:ascii="宋体" w:hAnsi="宋体"/>
          <w:color w:val="auto"/>
          <w:szCs w:val="21"/>
          <w:highlight w:val="none"/>
        </w:rPr>
        <w:t>方案包含①对项目的需求理解、②总体设计思路、③详细系统功能描述</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5</w:t>
      </w:r>
      <w:r>
        <w:rPr>
          <w:rFonts w:hint="eastAsia" w:ascii="宋体" w:hAnsi="宋体"/>
          <w:color w:val="auto"/>
          <w:szCs w:val="21"/>
          <w:highlight w:val="none"/>
        </w:rPr>
        <w:t>分，满分</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w:t>
      </w:r>
      <w:r>
        <w:rPr>
          <w:rFonts w:hint="eastAsia" w:ascii="宋体" w:hAnsi="宋体" w:cs="宋体"/>
          <w:b/>
          <w:bCs/>
          <w:color w:val="auto"/>
          <w:kern w:val="0"/>
          <w:szCs w:val="21"/>
          <w:highlight w:val="none"/>
          <w:lang w:val="en-US" w:eastAsia="zh-CN" w:bidi="ar"/>
        </w:rPr>
        <w:t>2</w:t>
      </w:r>
      <w:r>
        <w:rPr>
          <w:rFonts w:hint="eastAsia" w:ascii="宋体" w:hAnsi="宋体" w:cs="宋体"/>
          <w:b/>
          <w:bCs/>
          <w:color w:val="auto"/>
          <w:kern w:val="0"/>
          <w:szCs w:val="21"/>
          <w:highlight w:val="none"/>
          <w:lang w:bidi="ar"/>
        </w:rPr>
        <w:t>项目</w:t>
      </w:r>
      <w:r>
        <w:rPr>
          <w:rFonts w:hint="eastAsia" w:ascii="宋体" w:hAnsi="宋体" w:cs="宋体"/>
          <w:b/>
          <w:bCs/>
          <w:color w:val="auto"/>
          <w:kern w:val="0"/>
          <w:szCs w:val="21"/>
          <w:highlight w:val="none"/>
          <w:lang w:val="en-US" w:eastAsia="zh-CN" w:bidi="ar"/>
        </w:rPr>
        <w:t>售后服务</w:t>
      </w:r>
      <w:r>
        <w:rPr>
          <w:rFonts w:hint="eastAsia" w:ascii="宋体" w:hAnsi="宋体" w:cs="宋体"/>
          <w:b/>
          <w:bCs/>
          <w:color w:val="auto"/>
          <w:kern w:val="0"/>
          <w:szCs w:val="21"/>
          <w:highlight w:val="none"/>
          <w:lang w:bidi="ar"/>
        </w:rPr>
        <w:t>方案(</w:t>
      </w:r>
      <w:r>
        <w:rPr>
          <w:rFonts w:hint="eastAsia" w:ascii="宋体" w:hAnsi="宋体" w:cs="宋体"/>
          <w:b/>
          <w:bCs/>
          <w:color w:val="auto"/>
          <w:kern w:val="0"/>
          <w:szCs w:val="21"/>
          <w:highlight w:val="none"/>
          <w:lang w:val="en-US" w:eastAsia="zh-CN" w:bidi="ar"/>
        </w:rPr>
        <w:t>15</w:t>
      </w:r>
      <w:r>
        <w:rPr>
          <w:rFonts w:hint="eastAsia" w:ascii="宋体" w:hAnsi="宋体" w:cs="宋体"/>
          <w:b/>
          <w:bCs/>
          <w:color w:val="auto"/>
          <w:kern w:val="0"/>
          <w:szCs w:val="21"/>
          <w:highlight w:val="none"/>
          <w:lang w:bidi="ar"/>
        </w:rPr>
        <w:t>分)</w:t>
      </w:r>
    </w:p>
    <w:p>
      <w:pPr>
        <w:spacing w:line="500" w:lineRule="exact"/>
        <w:ind w:firstLine="420"/>
        <w:rPr>
          <w:rFonts w:ascii="宋体" w:hAnsi="宋体"/>
          <w:color w:val="auto"/>
          <w:szCs w:val="21"/>
          <w:highlight w:val="none"/>
        </w:rPr>
      </w:pPr>
      <w:r>
        <w:rPr>
          <w:rFonts w:hint="eastAsia" w:ascii="宋体" w:hAnsi="宋体"/>
          <w:color w:val="auto"/>
          <w:szCs w:val="21"/>
          <w:highlight w:val="none"/>
        </w:rPr>
        <w:t>由评标委员会根据投标文件综合评定投标人项目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方案是否满足本项目需求并按以下规则进行评分：</w:t>
      </w:r>
    </w:p>
    <w:p>
      <w:pPr>
        <w:spacing w:line="500" w:lineRule="exact"/>
        <w:ind w:firstLine="420"/>
        <w:rPr>
          <w:rFonts w:hint="eastAsia" w:ascii="宋体" w:hAnsi="宋体"/>
          <w:color w:val="auto"/>
          <w:szCs w:val="21"/>
          <w:highlight w:val="none"/>
        </w:rPr>
      </w:pPr>
      <w:r>
        <w:rPr>
          <w:rFonts w:hint="eastAsia" w:ascii="宋体" w:hAnsi="宋体"/>
          <w:color w:val="auto"/>
          <w:szCs w:val="21"/>
          <w:highlight w:val="none"/>
        </w:rPr>
        <w:t>投标人提供的项目</w:t>
      </w:r>
      <w:r>
        <w:rPr>
          <w:rFonts w:hint="eastAsia" w:ascii="宋体" w:hAnsi="宋体"/>
          <w:color w:val="auto"/>
          <w:szCs w:val="21"/>
          <w:highlight w:val="none"/>
          <w:lang w:val="en-US" w:eastAsia="zh-CN"/>
        </w:rPr>
        <w:t>售后服务</w:t>
      </w:r>
      <w:r>
        <w:rPr>
          <w:rFonts w:hint="eastAsia" w:ascii="宋体" w:hAnsi="宋体"/>
          <w:color w:val="auto"/>
          <w:szCs w:val="21"/>
          <w:highlight w:val="none"/>
        </w:rPr>
        <w:t>方案包含①响应时间</w:t>
      </w:r>
      <w:r>
        <w:rPr>
          <w:rFonts w:hint="eastAsia" w:ascii="宋体" w:hAnsi="宋体"/>
          <w:color w:val="auto"/>
          <w:szCs w:val="21"/>
          <w:highlight w:val="none"/>
          <w:lang w:eastAsia="zh-CN"/>
        </w:rPr>
        <w:t>、</w:t>
      </w:r>
      <w:r>
        <w:rPr>
          <w:rFonts w:hint="eastAsia" w:ascii="宋体" w:hAnsi="宋体"/>
          <w:color w:val="auto"/>
          <w:szCs w:val="21"/>
          <w:highlight w:val="none"/>
        </w:rPr>
        <w:t>②服务具体措施、③设有售后服务点</w:t>
      </w:r>
      <w:r>
        <w:rPr>
          <w:rFonts w:hint="eastAsia" w:ascii="宋体" w:hAnsi="宋体"/>
          <w:color w:val="auto"/>
          <w:szCs w:val="21"/>
          <w:highlight w:val="none"/>
          <w:lang w:eastAsia="zh-CN"/>
        </w:rPr>
        <w:t>、</w:t>
      </w:r>
      <w:r>
        <w:rPr>
          <w:rFonts w:hint="eastAsia" w:ascii="宋体" w:hAnsi="宋体"/>
          <w:color w:val="auto"/>
          <w:szCs w:val="21"/>
          <w:highlight w:val="none"/>
        </w:rPr>
        <w:t>④免费培训计划</w:t>
      </w:r>
      <w:r>
        <w:rPr>
          <w:rFonts w:hint="eastAsia" w:ascii="宋体" w:hAnsi="宋体"/>
          <w:color w:val="auto"/>
          <w:szCs w:val="21"/>
          <w:highlight w:val="none"/>
          <w:lang w:eastAsia="zh-CN"/>
        </w:rPr>
        <w:t>、</w:t>
      </w:r>
      <w:r>
        <w:rPr>
          <w:rFonts w:hint="eastAsia" w:ascii="宋体" w:hAnsi="宋体"/>
          <w:color w:val="auto"/>
          <w:szCs w:val="21"/>
          <w:highlight w:val="none"/>
        </w:rPr>
        <w:t>⑤售后维护应急预案</w:t>
      </w:r>
      <w:r>
        <w:rPr>
          <w:rFonts w:hint="eastAsia" w:ascii="宋体" w:hAnsi="宋体"/>
          <w:color w:val="auto"/>
          <w:szCs w:val="21"/>
          <w:highlight w:val="none"/>
          <w:lang w:eastAsia="zh-CN"/>
        </w:rPr>
        <w:t>，</w:t>
      </w:r>
      <w:r>
        <w:rPr>
          <w:rFonts w:hint="eastAsia" w:ascii="宋体" w:hAnsi="宋体"/>
          <w:color w:val="auto"/>
          <w:szCs w:val="21"/>
          <w:highlight w:val="none"/>
        </w:rPr>
        <w:t>每项得</w:t>
      </w:r>
      <w:r>
        <w:rPr>
          <w:rFonts w:hint="eastAsia" w:ascii="宋体" w:hAnsi="宋体"/>
          <w:color w:val="auto"/>
          <w:szCs w:val="21"/>
          <w:highlight w:val="none"/>
          <w:lang w:val="en-US" w:eastAsia="zh-CN"/>
        </w:rPr>
        <w:t>3</w:t>
      </w:r>
      <w:r>
        <w:rPr>
          <w:rFonts w:hint="eastAsia" w:ascii="宋体" w:hAnsi="宋体"/>
          <w:color w:val="auto"/>
          <w:szCs w:val="21"/>
          <w:highlight w:val="none"/>
        </w:rPr>
        <w:t>分，满分</w:t>
      </w:r>
      <w:r>
        <w:rPr>
          <w:rFonts w:hint="eastAsia" w:ascii="宋体" w:hAnsi="宋体"/>
          <w:color w:val="auto"/>
          <w:szCs w:val="21"/>
          <w:highlight w:val="none"/>
          <w:lang w:val="en-US" w:eastAsia="zh-CN"/>
        </w:rPr>
        <w:t>1</w:t>
      </w:r>
      <w:bookmarkStart w:id="276" w:name="_GoBack"/>
      <w:bookmarkEnd w:id="276"/>
      <w:r>
        <w:rPr>
          <w:rFonts w:hint="eastAsia" w:ascii="宋体" w:hAnsi="宋体"/>
          <w:color w:val="auto"/>
          <w:szCs w:val="21"/>
          <w:highlight w:val="none"/>
          <w:lang w:val="en-US" w:eastAsia="zh-CN"/>
        </w:rPr>
        <w:t>5</w:t>
      </w:r>
      <w:r>
        <w:rPr>
          <w:rFonts w:hint="eastAsia" w:ascii="宋体" w:hAnsi="宋体"/>
          <w:color w:val="auto"/>
          <w:szCs w:val="21"/>
          <w:highlight w:val="none"/>
        </w:rPr>
        <w:t>分。</w:t>
      </w:r>
    </w:p>
    <w:p>
      <w:pPr>
        <w:widowControl/>
        <w:spacing w:line="500" w:lineRule="exact"/>
        <w:ind w:firstLine="422"/>
        <w:jc w:val="left"/>
        <w:outlineLvl w:val="1"/>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2.商务分(10分)</w:t>
      </w:r>
    </w:p>
    <w:p>
      <w:pPr>
        <w:ind w:firstLine="420"/>
        <w:rPr>
          <w:rFonts w:hint="eastAsia" w:ascii="宋体" w:hAnsi="宋体" w:eastAsia="宋体" w:cs="宋体"/>
          <w:strike/>
          <w:color w:val="auto"/>
          <w:highlight w:val="none"/>
          <w:lang w:eastAsia="zh-CN"/>
        </w:rPr>
      </w:pPr>
      <w:r>
        <w:rPr>
          <w:rFonts w:hint="eastAsia" w:hAnsi="宋体" w:cs="宋体"/>
          <w:bCs/>
          <w:color w:val="auto"/>
          <w:highlight w:val="none"/>
          <w:lang w:val="en-US" w:eastAsia="zh-CN"/>
        </w:rPr>
        <w:t>投标人</w:t>
      </w:r>
      <w:r>
        <w:rPr>
          <w:rFonts w:hint="eastAsia" w:hAnsi="宋体" w:cs="宋体"/>
          <w:bCs/>
          <w:color w:val="auto"/>
          <w:highlight w:val="none"/>
        </w:rPr>
        <w:t>提供202</w:t>
      </w:r>
      <w:r>
        <w:rPr>
          <w:rFonts w:hint="eastAsia" w:hAnsi="宋体" w:cs="宋体"/>
          <w:bCs/>
          <w:color w:val="auto"/>
          <w:highlight w:val="none"/>
          <w:lang w:val="en-US" w:eastAsia="zh-CN"/>
        </w:rPr>
        <w:t>1</w:t>
      </w:r>
      <w:r>
        <w:rPr>
          <w:rFonts w:hint="eastAsia" w:hAnsi="宋体" w:cs="宋体"/>
          <w:bCs/>
          <w:color w:val="auto"/>
          <w:highlight w:val="none"/>
        </w:rPr>
        <w:t>年以来类似项目</w:t>
      </w:r>
      <w:r>
        <w:rPr>
          <w:rFonts w:hint="eastAsia" w:hAnsi="宋体" w:cs="宋体"/>
          <w:bCs/>
          <w:color w:val="auto"/>
          <w:highlight w:val="none"/>
          <w:lang w:val="en-US" w:eastAsia="zh-CN"/>
        </w:rPr>
        <w:t>合同</w:t>
      </w:r>
      <w:r>
        <w:rPr>
          <w:rFonts w:hint="eastAsia" w:hAnsi="宋体" w:cs="宋体"/>
          <w:bCs/>
          <w:color w:val="auto"/>
          <w:highlight w:val="none"/>
        </w:rPr>
        <w:t>（以有效的中标通知书或合同复印件为准,每个</w:t>
      </w:r>
      <w:r>
        <w:rPr>
          <w:rFonts w:hint="eastAsia" w:hAnsi="宋体" w:cs="宋体"/>
          <w:bCs/>
          <w:color w:val="auto"/>
          <w:sz w:val="21"/>
          <w:szCs w:val="21"/>
          <w:highlight w:val="none"/>
        </w:rPr>
        <w:t>得</w:t>
      </w: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rPr>
        <w:t>分，满分</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rPr>
        <w:t>分</w:t>
      </w:r>
      <w:r>
        <w:rPr>
          <w:rFonts w:hint="eastAsia" w:hAnsi="宋体" w:cs="宋体"/>
          <w:bCs/>
          <w:color w:val="auto"/>
          <w:sz w:val="21"/>
          <w:szCs w:val="21"/>
          <w:highlight w:val="none"/>
          <w:lang w:eastAsia="zh-CN"/>
        </w:rPr>
        <w:t>。</w:t>
      </w:r>
    </w:p>
    <w:p>
      <w:pPr>
        <w:spacing w:line="500" w:lineRule="exact"/>
        <w:ind w:firstLine="0" w:firstLineChars="0"/>
        <w:rPr>
          <w:rFonts w:hint="eastAsia" w:ascii="宋体" w:hAnsi="宋体"/>
          <w:b/>
          <w:bCs/>
        </w:rPr>
      </w:pPr>
      <w:r>
        <w:rPr>
          <w:rFonts w:hint="eastAsia" w:ascii="宋体" w:hAnsi="宋体"/>
          <w:b/>
          <w:bCs/>
        </w:rPr>
        <w:t>三、总得分=价格分+技术商务资信分</w:t>
      </w:r>
    </w:p>
    <w:p>
      <w:pPr>
        <w:spacing w:line="500" w:lineRule="exact"/>
        <w:ind w:firstLine="0" w:firstLineChars="0"/>
        <w:rPr>
          <w:rFonts w:hint="eastAsia" w:ascii="宋体" w:hAnsi="宋体"/>
          <w:b/>
          <w:bCs/>
        </w:rPr>
      </w:pPr>
      <w:r>
        <w:rPr>
          <w:rFonts w:hint="eastAsia" w:ascii="宋体" w:hAnsi="宋体"/>
          <w:b/>
          <w:bCs/>
        </w:rPr>
        <w:t>四、中标候选人推荐原则</w:t>
      </w:r>
    </w:p>
    <w:p>
      <w:pPr>
        <w:ind w:firstLine="420"/>
      </w:pPr>
      <w:r>
        <w:rPr>
          <w:rFonts w:ascii="宋体" w:hAnsi="宋体"/>
        </w:rPr>
        <w:tab/>
      </w:r>
      <w:r>
        <w:rPr>
          <w:rFonts w:hint="eastAsia" w:ascii="宋体" w:hAnsi="宋体"/>
        </w:rPr>
        <w:t>评标委员会将根据</w:t>
      </w:r>
      <w:r>
        <w:rPr>
          <w:rFonts w:ascii="宋体" w:hAnsi="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br w:type="page"/>
      </w:r>
    </w:p>
    <w:p>
      <w:pPr>
        <w:pStyle w:val="61"/>
        <w:ind w:firstLine="420"/>
      </w:pPr>
    </w:p>
    <w:p>
      <w:pPr>
        <w:pStyle w:val="61"/>
        <w:ind w:firstLine="42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pPr>
      <w:bookmarkStart w:id="247" w:name="_Toc91512287"/>
      <w:r>
        <w:rPr>
          <w:rFonts w:hint="eastAsia"/>
        </w:rPr>
        <w:t xml:space="preserve">第五章 </w:t>
      </w:r>
      <w:r>
        <w:t xml:space="preserve"> </w:t>
      </w:r>
      <w:r>
        <w:rPr>
          <w:rFonts w:hint="eastAsia"/>
        </w:rPr>
        <w:t>政府采购合同主要条款</w:t>
      </w:r>
      <w:bookmarkEnd w:id="247"/>
    </w:p>
    <w:p>
      <w:pPr>
        <w:ind w:firstLine="480"/>
        <w:jc w:val="center"/>
        <w:rPr>
          <w:sz w:val="24"/>
        </w:rPr>
      </w:pPr>
      <w:bookmarkStart w:id="248" w:name="_Toc389638324"/>
      <w:r>
        <w:rPr>
          <w:rFonts w:hint="eastAsia"/>
          <w:sz w:val="24"/>
        </w:rPr>
        <w:t>（拟签订文本）</w:t>
      </w:r>
      <w:bookmarkEnd w:id="248"/>
    </w:p>
    <w:p>
      <w:pPr>
        <w:pStyle w:val="28"/>
        <w:ind w:firstLine="0" w:firstLineChars="0"/>
        <w:jc w:val="left"/>
      </w:pPr>
      <w:r>
        <w:br w:type="page"/>
      </w:r>
    </w:p>
    <w:p>
      <w:pPr>
        <w:spacing w:line="600" w:lineRule="exact"/>
        <w:ind w:firstLine="420"/>
        <w:jc w:val="center"/>
      </w:pPr>
    </w:p>
    <w:p>
      <w:pPr>
        <w:spacing w:line="600" w:lineRule="exact"/>
        <w:ind w:firstLine="884"/>
        <w:jc w:val="center"/>
        <w:rPr>
          <w:rFonts w:hint="eastAsia" w:ascii="宋体" w:hAnsi="宋体" w:cs="宋体"/>
          <w:b/>
          <w:bCs/>
          <w:spacing w:val="-20"/>
          <w:kern w:val="44"/>
          <w:sz w:val="48"/>
          <w:szCs w:val="48"/>
        </w:rPr>
      </w:pPr>
      <w:r>
        <w:rPr>
          <w:rFonts w:hint="eastAsia" w:ascii="宋体" w:hAnsi="宋体" w:cs="宋体"/>
          <w:b/>
          <w:bCs/>
          <w:spacing w:val="-20"/>
          <w:kern w:val="44"/>
          <w:sz w:val="48"/>
          <w:szCs w:val="48"/>
          <w:u w:val="single"/>
        </w:rPr>
        <w:t xml:space="preserve">           </w:t>
      </w:r>
      <w:r>
        <w:rPr>
          <w:rFonts w:hint="eastAsia" w:ascii="宋体" w:hAnsi="宋体" w:cs="宋体"/>
          <w:b/>
          <w:bCs/>
          <w:spacing w:val="-20"/>
          <w:kern w:val="44"/>
          <w:sz w:val="48"/>
          <w:szCs w:val="48"/>
        </w:rPr>
        <w:t>政府采购货物买卖合同</w:t>
      </w: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spacing w:line="360" w:lineRule="auto"/>
        <w:ind w:left="420" w:leftChars="200" w:firstLine="1600" w:firstLineChars="5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firstLine="1600" w:firstLineChars="5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firstLine="1600" w:firstLineChars="5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Pr>
        <w:ind w:firstLine="420"/>
      </w:pPr>
    </w:p>
    <w:p>
      <w:pPr>
        <w:ind w:firstLine="880"/>
      </w:pPr>
      <w:r>
        <w:rPr>
          <w:rFonts w:eastAsia="黑体"/>
          <w:sz w:val="44"/>
          <w:szCs w:val="44"/>
        </w:rPr>
        <w:br w:type="page"/>
      </w:r>
    </w:p>
    <w:p>
      <w:pPr>
        <w:spacing w:line="460" w:lineRule="exact"/>
        <w:ind w:firstLine="880"/>
        <w:jc w:val="center"/>
        <w:rPr>
          <w:rFonts w:eastAsia="黑体"/>
          <w:sz w:val="44"/>
          <w:szCs w:val="44"/>
        </w:rPr>
      </w:pPr>
      <w:r>
        <w:rPr>
          <w:rFonts w:hint="eastAsia" w:eastAsia="黑体"/>
          <w:sz w:val="44"/>
          <w:szCs w:val="44"/>
        </w:rPr>
        <w:t>使 用 说 明</w:t>
      </w:r>
    </w:p>
    <w:p>
      <w:pPr>
        <w:ind w:firstLine="420"/>
      </w:pP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1.本合同标准文本适用于购买现成货物的采购项目，不包括需要供应商定制开发、创新研发的货物采购项目。</w:t>
      </w:r>
    </w:p>
    <w:p>
      <w:pPr>
        <w:ind w:firstLine="560"/>
        <w:rPr>
          <w:rFonts w:eastAsia="黑体"/>
          <w:sz w:val="28"/>
          <w:szCs w:val="28"/>
        </w:rPr>
      </w:pPr>
      <w:r>
        <w:rPr>
          <w:rFonts w:hint="eastAsia" w:ascii="仿宋_GB2312" w:hAnsi="仿宋_GB2312" w:eastAsia="仿宋_GB2312" w:cs="仿宋_GB2312"/>
          <w:sz w:val="28"/>
          <w:szCs w:val="28"/>
        </w:rPr>
        <w:t>2.本合同标准文本为政府采购货物买卖合同编制提供参考，可以结合采购项目具体情况，对文本作必要的调整修订后使用。</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3.本合同标准文本各条款中，如涉及填写多家供应商、制造商，多种采购标的、分包主要内容等信息的，可根据采购项目具体情况添加信息项。</w:t>
      </w:r>
    </w:p>
    <w:p>
      <w:pPr>
        <w:ind w:firstLine="0" w:firstLineChars="0"/>
        <w:rPr>
          <w:rFonts w:hint="eastAsia" w:ascii="仿宋_GB2312" w:hAnsi="仿宋_GB2312" w:eastAsia="仿宋_GB2312" w:cs="仿宋_GB2312"/>
          <w:sz w:val="28"/>
          <w:szCs w:val="28"/>
        </w:rPr>
      </w:pPr>
      <w:bookmarkStart w:id="249" w:name="_Toc22209"/>
    </w:p>
    <w:p>
      <w:pPr>
        <w:keepNext/>
        <w:keepLines/>
        <w:adjustRightInd w:val="0"/>
        <w:snapToGrid w:val="0"/>
        <w:ind w:firstLine="560"/>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249"/>
    </w:p>
    <w:p>
      <w:pPr>
        <w:keepNext/>
        <w:keepLines/>
        <w:adjustRightInd w:val="0"/>
        <w:snapToGrid w:val="0"/>
        <w:ind w:firstLine="560"/>
        <w:jc w:val="center"/>
        <w:outlineLvl w:val="1"/>
        <w:rPr>
          <w:rFonts w:hint="eastAsia" w:ascii="黑体" w:hAnsi="华文中宋" w:eastAsia="黑体"/>
          <w:sz w:val="28"/>
          <w:szCs w:val="28"/>
        </w:rPr>
      </w:pPr>
    </w:p>
    <w:p>
      <w:pPr>
        <w:adjustRightInd w:val="0"/>
        <w:snapToGrid w:val="0"/>
        <w:spacing w:line="420" w:lineRule="exact"/>
        <w:ind w:firstLine="420"/>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 xml:space="preserve">（采购人、受采购人委托签订合同的单位或采购文件约定的合同甲方） </w:t>
      </w:r>
    </w:p>
    <w:p>
      <w:pPr>
        <w:adjustRightInd w:val="0"/>
        <w:snapToGrid w:val="0"/>
        <w:spacing w:line="420" w:lineRule="exact"/>
        <w:ind w:firstLine="420"/>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20" w:lineRule="exact"/>
        <w:ind w:firstLine="420"/>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20" w:lineRule="exact"/>
        <w:ind w:firstLine="420"/>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20" w:lineRule="exact"/>
        <w:ind w:firstLine="420"/>
      </w:pPr>
    </w:p>
    <w:p>
      <w:pPr>
        <w:adjustRightInd w:val="0"/>
        <w:snapToGrid w:val="0"/>
        <w:spacing w:line="420" w:lineRule="exact"/>
        <w:ind w:firstLine="42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6"/>
        </w:numPr>
        <w:adjustRightInd w:val="0"/>
        <w:snapToGrid w:val="0"/>
        <w:spacing w:line="420" w:lineRule="exact"/>
        <w:ind w:firstLine="422"/>
        <w:rPr>
          <w:rFonts w:hint="eastAsia" w:ascii="宋体" w:hAnsi="宋体"/>
          <w:b/>
          <w:szCs w:val="21"/>
        </w:rPr>
      </w:pPr>
      <w:r>
        <w:rPr>
          <w:rFonts w:hint="eastAsia" w:ascii="宋体" w:hAnsi="宋体"/>
          <w:b/>
          <w:szCs w:val="21"/>
        </w:rPr>
        <w:t>项目信息</w:t>
      </w:r>
    </w:p>
    <w:p>
      <w:pPr>
        <w:adjustRightInd w:val="0"/>
        <w:snapToGrid w:val="0"/>
        <w:spacing w:line="420" w:lineRule="exact"/>
        <w:ind w:firstLine="210" w:firstLineChars="100"/>
        <w:rPr>
          <w:rFonts w:hint="eastAsia" w:ascii="宋体" w:hAnsi="宋体"/>
          <w:szCs w:val="21"/>
          <w:u w:val="single"/>
        </w:rPr>
      </w:pPr>
      <w:r>
        <w:rPr>
          <w:rFonts w:hint="eastAsia" w:ascii="宋体" w:hAnsi="宋体"/>
          <w:szCs w:val="21"/>
        </w:rPr>
        <w:t>（1）采购项目名称：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tabs>
          <w:tab w:val="left" w:pos="999"/>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pPr>
        <w:adjustRightInd w:val="0"/>
        <w:snapToGrid w:val="0"/>
        <w:spacing w:line="420" w:lineRule="exact"/>
        <w:ind w:firstLine="199" w:firstLineChars="95"/>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pPr>
        <w:adjustRightInd w:val="0"/>
        <w:snapToGrid w:val="0"/>
        <w:spacing w:line="420" w:lineRule="exact"/>
        <w:ind w:firstLine="199" w:firstLineChars="95"/>
        <w:rPr>
          <w:rFonts w:hint="eastAsia" w:ascii="宋体" w:hAnsi="宋体"/>
          <w:szCs w:val="21"/>
        </w:rPr>
      </w:pPr>
      <w:r>
        <w:rPr>
          <w:rFonts w:hint="eastAsia" w:ascii="宋体" w:hAnsi="宋体"/>
          <w:szCs w:val="21"/>
        </w:rPr>
        <w:t>（3）项目内容：</w:t>
      </w:r>
    </w:p>
    <w:p>
      <w:pPr>
        <w:adjustRightInd w:val="0"/>
        <w:snapToGrid w:val="0"/>
        <w:spacing w:line="420" w:lineRule="exact"/>
        <w:ind w:firstLine="42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420" w:lineRule="exact"/>
        <w:ind w:firstLine="42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pPr>
        <w:adjustRightInd w:val="0"/>
        <w:snapToGrid w:val="0"/>
        <w:spacing w:line="420" w:lineRule="exact"/>
        <w:ind w:firstLine="735" w:firstLineChars="350"/>
        <w:rPr>
          <w:rFonts w:hint="eastAsia" w:ascii="宋体" w:hAnsi="宋体" w:cs="宋体"/>
          <w:szCs w:val="21"/>
          <w:lang w:val="en"/>
        </w:rPr>
      </w:pPr>
      <w:r>
        <w:rPr>
          <w:rFonts w:hint="eastAsia" w:ascii="宋体" w:hAnsi="宋体"/>
          <w:szCs w:val="21"/>
        </w:rPr>
        <w:t>采购标的的技术要求、商务要求具体见附件。</w:t>
      </w:r>
    </w:p>
    <w:p>
      <w:pPr>
        <w:adjustRightInd w:val="0"/>
        <w:snapToGrid w:val="0"/>
        <w:spacing w:line="420" w:lineRule="exact"/>
        <w:ind w:firstLine="735" w:firstLineChars="3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adjustRightInd w:val="0"/>
        <w:snapToGrid w:val="0"/>
        <w:spacing w:line="420" w:lineRule="exact"/>
        <w:ind w:firstLine="42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pPr>
        <w:adjustRightInd w:val="0"/>
        <w:snapToGrid w:val="0"/>
        <w:spacing w:line="420" w:lineRule="exact"/>
        <w:ind w:firstLine="42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关键部件</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rPr>
      </w:pPr>
      <w:r>
        <w:rPr>
          <w:rFonts w:hint="eastAsia" w:ascii="宋体" w:hAnsi="宋体" w:cs="宋体"/>
          <w:kern w:val="0"/>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品牌：</w:t>
      </w:r>
      <w:r>
        <w:rPr>
          <w:rFonts w:hint="eastAsia" w:ascii="宋体" w:hAnsi="宋体" w:cs="宋体"/>
          <w:kern w:val="0"/>
          <w:szCs w:val="21"/>
          <w:u w:val="single"/>
        </w:rPr>
        <w:t xml:space="preserve">        </w:t>
      </w:r>
      <w:r>
        <w:rPr>
          <w:rFonts w:hint="eastAsia" w:ascii="宋体" w:hAnsi="宋体" w:cs="宋体"/>
          <w:kern w:val="0"/>
          <w:szCs w:val="21"/>
        </w:rPr>
        <w:t xml:space="preserve"> 型号：</w:t>
      </w:r>
      <w:r>
        <w:rPr>
          <w:rFonts w:hint="eastAsia" w:ascii="宋体" w:hAnsi="宋体" w:cs="宋体"/>
          <w:kern w:val="0"/>
          <w:szCs w:val="21"/>
          <w:u w:val="single"/>
        </w:rPr>
        <w:t xml:space="preserve">          </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hint="eastAsia" w:ascii="汉仪书宋二S" w:hAnsi="汉仪书宋二S" w:eastAsia="汉仪书宋二S" w:cs="汉仪书宋二S"/>
          <w:kern w:val="0"/>
          <w:szCs w:val="21"/>
        </w:rPr>
        <w:t>②</w:t>
      </w:r>
      <w:r>
        <w:rPr>
          <w:rFonts w:hint="eastAsia" w:ascii="宋体" w:hAnsi="宋体" w:cs="宋体"/>
          <w:kern w:val="0"/>
          <w:szCs w:val="21"/>
        </w:rPr>
        <w:t>涉及车辆采购，请填写是否属于新能源汽车：</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w:t>
      </w:r>
      <w:r>
        <w:rPr>
          <w:rFonts w:hint="eastAsia" w:ascii="宋体" w:hAnsi="宋体" w:cs="宋体"/>
          <w:kern w:val="0"/>
          <w:szCs w:val="21"/>
          <w:u w:val="single"/>
        </w:rPr>
        <w:t xml:space="preserve">      </w:t>
      </w:r>
      <w:r>
        <w:rPr>
          <w:rFonts w:hint="eastAsia" w:ascii="宋体" w:hAnsi="宋体" w:cs="宋体"/>
          <w:kern w:val="0"/>
          <w:szCs w:val="21"/>
        </w:rPr>
        <w:t xml:space="preserve"> 数量：</w:t>
      </w:r>
      <w:r>
        <w:rPr>
          <w:rFonts w:hint="eastAsia" w:ascii="宋体" w:hAnsi="宋体" w:cs="宋体"/>
          <w:kern w:val="0"/>
          <w:szCs w:val="21"/>
          <w:u w:val="single"/>
        </w:rPr>
        <w:t xml:space="preserve">     </w:t>
      </w:r>
      <w:r>
        <w:rPr>
          <w:rFonts w:hint="eastAsia" w:ascii="宋体" w:hAnsi="宋体" w:cs="宋体"/>
          <w:kern w:val="0"/>
          <w:szCs w:val="21"/>
        </w:rPr>
        <w:t xml:space="preserve"> 金额：</w:t>
      </w:r>
      <w:r>
        <w:rPr>
          <w:rFonts w:hint="eastAsia" w:ascii="宋体" w:hAnsi="宋体" w:cs="宋体"/>
          <w:kern w:val="0"/>
          <w:szCs w:val="21"/>
          <w:u w:val="single"/>
        </w:rPr>
        <w:t xml:space="preserve">          </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rPr>
        <w:sym w:font="Wingdings" w:char="00A8"/>
      </w:r>
      <w:r>
        <w:rPr>
          <w:rFonts w:hint="eastAsia" w:ascii="宋体" w:hAnsi="宋体" w:cs="宋体"/>
          <w:kern w:val="0"/>
          <w:szCs w:val="21"/>
        </w:rPr>
        <w:t>否</w:t>
      </w:r>
    </w:p>
    <w:p>
      <w:pPr>
        <w:widowControl/>
        <w:autoSpaceDE w:val="0"/>
        <w:autoSpaceDN w:val="0"/>
        <w:adjustRightInd w:val="0"/>
        <w:snapToGrid w:val="0"/>
        <w:spacing w:line="420" w:lineRule="exact"/>
        <w:ind w:firstLine="0" w:firstLineChars="0"/>
        <w:jc w:val="left"/>
        <w:rPr>
          <w:rFonts w:hint="eastAsia" w:ascii="宋体" w:hAnsi="宋体" w:cs="宋体"/>
          <w:kern w:val="0"/>
          <w:szCs w:val="21"/>
        </w:rPr>
      </w:pPr>
      <w:r>
        <w:rPr>
          <w:rFonts w:hint="eastAsia" w:ascii="宋体" w:hAnsi="宋体" w:cs="宋体"/>
          <w:kern w:val="0"/>
          <w:szCs w:val="21"/>
        </w:rPr>
        <w:t xml:space="preserve">   （</w:t>
      </w:r>
      <w:r>
        <w:rPr>
          <w:rFonts w:ascii="宋体" w:hAnsi="宋体" w:cs="宋体"/>
          <w:kern w:val="0"/>
          <w:szCs w:val="21"/>
          <w:lang w:val="en"/>
        </w:rPr>
        <w:t>4</w:t>
      </w:r>
      <w:r>
        <w:rPr>
          <w:rFonts w:hint="eastAsia" w:ascii="宋体" w:hAnsi="宋体" w:cs="宋体"/>
          <w:kern w:val="0"/>
          <w:szCs w:val="21"/>
        </w:rPr>
        <w:t>）政府采购组织形式：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pPr>
        <w:widowControl/>
        <w:autoSpaceDE w:val="0"/>
        <w:autoSpaceDN w:val="0"/>
        <w:adjustRightInd w:val="0"/>
        <w:snapToGrid w:val="0"/>
        <w:spacing w:line="420" w:lineRule="exact"/>
        <w:ind w:firstLine="283" w:firstLineChars="135"/>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lang w:val="en"/>
        </w:rPr>
        <w:t>5</w:t>
      </w:r>
      <w:r>
        <w:rPr>
          <w:rFonts w:hint="eastAsia" w:ascii="宋体" w:hAnsi="宋体" w:cs="宋体"/>
          <w:kern w:val="0"/>
          <w:szCs w:val="21"/>
        </w:rPr>
        <w:t>）政府采购方式：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pPr>
        <w:widowControl/>
        <w:autoSpaceDE w:val="0"/>
        <w:autoSpaceDN w:val="0"/>
        <w:adjustRightInd w:val="0"/>
        <w:snapToGrid w:val="0"/>
        <w:spacing w:line="420" w:lineRule="exact"/>
        <w:ind w:firstLine="420" w:firstLineChars="0"/>
        <w:jc w:val="left"/>
        <w:rPr>
          <w:rFonts w:hint="eastAsia" w:ascii="宋体" w:hAnsi="宋体" w:cs="宋体"/>
          <w:kern w:val="0"/>
          <w:szCs w:val="21"/>
          <w:u w:val="single"/>
        </w:rPr>
      </w:pPr>
      <w:r>
        <w:rPr>
          <w:rFonts w:hint="eastAsia" w:ascii="宋体" w:hAnsi="宋体" w:eastAsia="华文楷体" w:cs="宋体"/>
          <w:kern w:val="0"/>
          <w:sz w:val="22"/>
          <w:szCs w:val="21"/>
        </w:rPr>
        <w:t xml:space="preserve">                 </w:t>
      </w: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r>
        <w:rPr>
          <w:rFonts w:hint="eastAsia" w:ascii="宋体" w:hAnsi="宋体" w:cs="宋体"/>
          <w:kern w:val="0"/>
          <w:szCs w:val="21"/>
          <w:u w:val="single"/>
        </w:rPr>
        <w:t xml:space="preserve">          </w:t>
      </w:r>
    </w:p>
    <w:p>
      <w:pPr>
        <w:widowControl/>
        <w:autoSpaceDE w:val="0"/>
        <w:autoSpaceDN w:val="0"/>
        <w:adjustRightInd w:val="0"/>
        <w:snapToGrid w:val="0"/>
        <w:spacing w:line="420" w:lineRule="exact"/>
        <w:ind w:firstLine="283" w:firstLineChars="135"/>
        <w:jc w:val="left"/>
        <w:rPr>
          <w:rFonts w:hint="eastAsia" w:ascii="宋体" w:hAnsi="宋体"/>
          <w:szCs w:val="21"/>
        </w:rPr>
      </w:pPr>
      <w:r>
        <w:rPr>
          <w:rFonts w:hint="eastAsia" w:ascii="宋体" w:hAnsi="宋体" w:cs="华文楷体"/>
          <w:kern w:val="0"/>
          <w:szCs w:val="21"/>
        </w:rPr>
        <w:t>（6）</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pPr>
        <w:adjustRightInd w:val="0"/>
        <w:snapToGrid w:val="0"/>
        <w:spacing w:line="420" w:lineRule="exact"/>
        <w:ind w:firstLine="0" w:firstLineChars="0"/>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0" w:firstLineChars="0"/>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0" w:firstLineChars="0"/>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20" w:lineRule="exact"/>
        <w:ind w:firstLine="420"/>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409" w:firstLineChars="195"/>
        <w:rPr>
          <w:rFonts w:hint="eastAsia" w:ascii="宋体" w:hAnsi="宋体"/>
          <w:szCs w:val="21"/>
        </w:rPr>
      </w:pPr>
      <w:r>
        <w:rPr>
          <w:rFonts w:hint="eastAsia" w:ascii="宋体" w:hAnsi="宋体"/>
          <w:szCs w:val="21"/>
        </w:rPr>
        <w:t>(</w:t>
      </w:r>
      <w:r>
        <w:rPr>
          <w:rFonts w:ascii="宋体" w:hAnsi="宋体"/>
          <w:szCs w:val="21"/>
          <w:lang w:val="en"/>
        </w:rPr>
        <w:t>7</w:t>
      </w:r>
      <w:r>
        <w:rPr>
          <w:rFonts w:ascii="宋体" w:hAnsi="宋体"/>
          <w:szCs w:val="21"/>
        </w:rPr>
        <w:t>）</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20" w:lineRule="exact"/>
        <w:ind w:firstLine="840" w:firstLineChars="400"/>
        <w:rPr>
          <w:rFonts w:hint="eastAsia" w:ascii="宋体" w:hAnsi="宋体"/>
          <w:szCs w:val="21"/>
          <w:u w:val="single"/>
        </w:rPr>
      </w:pPr>
      <w:r>
        <w:rPr>
          <w:rFonts w:hint="eastAsia" w:ascii="宋体" w:hAnsi="宋体"/>
          <w:szCs w:val="21"/>
        </w:rPr>
        <w:t>分包主要内容：</w:t>
      </w:r>
      <w:r>
        <w:rPr>
          <w:rFonts w:hint="eastAsia" w:ascii="宋体" w:hAnsi="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t>分包供应商/制造商名称（如供应商和制造商不同，请分别填写）：</w:t>
      </w:r>
    </w:p>
    <w:p>
      <w:pPr>
        <w:adjustRightInd w:val="0"/>
        <w:snapToGrid w:val="0"/>
        <w:spacing w:line="42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t>分包供应商/制造商类型（如果供应商和制造商不同，只填写制造商类型）：</w:t>
      </w:r>
    </w:p>
    <w:p>
      <w:pPr>
        <w:adjustRightInd w:val="0"/>
        <w:snapToGrid w:val="0"/>
        <w:spacing w:line="420" w:lineRule="exact"/>
        <w:ind w:firstLine="840" w:firstLineChars="400"/>
        <w:rPr>
          <w:rFonts w:hint="eastAsia" w:ascii="宋体" w:hAnsi="宋体"/>
          <w:iCs/>
          <w:szCs w:val="21"/>
        </w:rPr>
      </w:pP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p>
    <w:p>
      <w:pPr>
        <w:adjustRightInd w:val="0"/>
        <w:snapToGrid w:val="0"/>
        <w:spacing w:line="420" w:lineRule="exact"/>
        <w:ind w:firstLine="735" w:firstLineChars="35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adjustRightInd w:val="0"/>
        <w:snapToGrid w:val="0"/>
        <w:spacing w:line="420" w:lineRule="exact"/>
        <w:ind w:firstLine="0" w:firstLineChars="0"/>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widowControl/>
        <w:tabs>
          <w:tab w:val="left" w:pos="1340"/>
        </w:tabs>
        <w:autoSpaceDE w:val="0"/>
        <w:autoSpaceDN w:val="0"/>
        <w:adjustRightInd w:val="0"/>
        <w:spacing w:line="420" w:lineRule="exact"/>
        <w:ind w:firstLine="420"/>
        <w:jc w:val="left"/>
        <w:rPr>
          <w:rFonts w:hint="eastAsia"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pPr>
        <w:adjustRightInd w:val="0"/>
        <w:snapToGrid w:val="0"/>
        <w:spacing w:line="420" w:lineRule="exact"/>
        <w:ind w:firstLine="304" w:firstLineChars="145"/>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pPr>
        <w:adjustRightInd w:val="0"/>
        <w:snapToGrid w:val="0"/>
        <w:spacing w:line="420" w:lineRule="exact"/>
        <w:ind w:firstLine="735" w:firstLineChars="35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cs="宋体"/>
          <w:szCs w:val="21"/>
        </w:rPr>
        <w:t>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p>
    <w:p>
      <w:pPr>
        <w:adjustRightInd w:val="0"/>
        <w:snapToGrid w:val="0"/>
        <w:spacing w:line="42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否</w:t>
      </w:r>
    </w:p>
    <w:p>
      <w:pPr>
        <w:tabs>
          <w:tab w:val="left" w:pos="740"/>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tabs>
          <w:tab w:val="left" w:pos="740"/>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是否涉及环境标志产品：</w:t>
      </w:r>
    </w:p>
    <w:p>
      <w:pPr>
        <w:tabs>
          <w:tab w:val="left" w:pos="740"/>
        </w:tabs>
        <w:adjustRightInd w:val="0"/>
        <w:snapToGrid w:val="0"/>
        <w:spacing w:line="420" w:lineRule="exact"/>
        <w:ind w:firstLine="0" w:firstLineChars="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widowControl/>
        <w:autoSpaceDE w:val="0"/>
        <w:autoSpaceDN w:val="0"/>
        <w:adjustRightInd w:val="0"/>
        <w:snapToGrid w:val="0"/>
        <w:spacing w:line="420" w:lineRule="exact"/>
        <w:ind w:firstLine="0" w:firstLineChars="0"/>
        <w:jc w:val="left"/>
        <w:rPr>
          <w:rFonts w:hint="eastAsia" w:ascii="宋体" w:hAnsi="宋体"/>
          <w:szCs w:val="21"/>
        </w:rPr>
      </w:pPr>
      <w:r>
        <w:rPr>
          <w:rFonts w:hint="eastAsia" w:ascii="宋体" w:hAnsi="宋体" w:eastAsia="华文楷体" w:cs="华文楷体"/>
          <w:kern w:val="0"/>
          <w:szCs w:val="21"/>
        </w:rPr>
        <w:t xml:space="preserve">        </w:t>
      </w:r>
      <w:r>
        <w:rPr>
          <w:rFonts w:hint="eastAsia" w:ascii="宋体" w:hAnsi="宋体"/>
          <w:szCs w:val="21"/>
        </w:rPr>
        <w:t xml:space="preserve">是否涉及绿色产品： </w:t>
      </w:r>
    </w:p>
    <w:p>
      <w:pPr>
        <w:widowControl/>
        <w:autoSpaceDE w:val="0"/>
        <w:autoSpaceDN w:val="0"/>
        <w:adjustRightInd w:val="0"/>
        <w:spacing w:line="420" w:lineRule="exact"/>
        <w:ind w:firstLine="420"/>
        <w:jc w:val="left"/>
        <w:rPr>
          <w:rFonts w:hint="eastAsia" w:ascii="宋体" w:hAnsi="宋体" w:cs="华文楷体"/>
          <w:kern w:val="0"/>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kern w:val="0"/>
          <w:sz w:val="22"/>
          <w:szCs w:val="21"/>
          <w:u w:val="single"/>
        </w:rPr>
        <w:t xml:space="preserve">                      </w:t>
      </w:r>
    </w:p>
    <w:p>
      <w:pPr>
        <w:tabs>
          <w:tab w:val="left" w:pos="740"/>
        </w:tabs>
        <w:adjustRightInd w:val="0"/>
        <w:snapToGrid w:val="0"/>
        <w:spacing w:line="420" w:lineRule="exact"/>
        <w:ind w:firstLine="0" w:firstLineChars="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r>
        <w:rPr>
          <w:rFonts w:hint="eastAsia" w:ascii="宋体" w:hAnsi="宋体"/>
          <w:szCs w:val="21"/>
        </w:rPr>
        <w:sym w:font="Wingdings" w:char="00A8"/>
      </w:r>
      <w:r>
        <w:rPr>
          <w:rFonts w:hint="eastAsia" w:ascii="宋体" w:hAnsi="宋体"/>
          <w:szCs w:val="21"/>
        </w:rPr>
        <w:t>否</w:t>
      </w:r>
    </w:p>
    <w:p>
      <w:pPr>
        <w:adjustRightInd w:val="0"/>
        <w:snapToGrid w:val="0"/>
        <w:spacing w:line="420" w:lineRule="exact"/>
        <w:ind w:firstLine="315" w:firstLineChars="150"/>
        <w:rPr>
          <w:rFonts w:hint="eastAsia" w:ascii="宋体" w:hAnsi="宋体"/>
          <w:szCs w:val="21"/>
        </w:rPr>
      </w:pPr>
      <w:r>
        <w:rPr>
          <w:rFonts w:hint="eastAsia" w:ascii="宋体" w:hAnsi="宋体"/>
          <w:szCs w:val="21"/>
        </w:rPr>
        <w:t>（1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6"/>
        </w:numPr>
        <w:adjustRightInd w:val="0"/>
        <w:snapToGrid w:val="0"/>
        <w:spacing w:line="420" w:lineRule="exact"/>
        <w:ind w:firstLine="422"/>
        <w:rPr>
          <w:rFonts w:hint="eastAsia" w:ascii="宋体" w:hAnsi="宋体"/>
          <w:b/>
          <w:szCs w:val="21"/>
        </w:rPr>
      </w:pPr>
      <w:r>
        <w:rPr>
          <w:rFonts w:hint="eastAsia" w:ascii="宋体" w:hAnsi="宋体"/>
          <w:b/>
          <w:szCs w:val="21"/>
        </w:rPr>
        <w:t>合同金额</w:t>
      </w:r>
    </w:p>
    <w:p>
      <w:pPr>
        <w:adjustRightInd w:val="0"/>
        <w:snapToGrid w:val="0"/>
        <w:spacing w:line="420" w:lineRule="exact"/>
        <w:ind w:firstLine="42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20" w:lineRule="exact"/>
        <w:ind w:firstLine="420"/>
        <w:rPr>
          <w:rFonts w:hint="eastAsia" w:ascii="宋体" w:hAnsi="宋体"/>
          <w:szCs w:val="21"/>
        </w:rPr>
      </w:pPr>
      <w:r>
        <w:rPr>
          <w:rFonts w:hint="eastAsia" w:ascii="宋体" w:hAnsi="宋体"/>
          <w:szCs w:val="21"/>
        </w:rPr>
        <w:t xml:space="preserve">    （注：固定单价合同应填写单价和最高限价）</w:t>
      </w:r>
    </w:p>
    <w:p>
      <w:pPr>
        <w:adjustRightInd w:val="0"/>
        <w:snapToGrid w:val="0"/>
        <w:spacing w:line="420" w:lineRule="exact"/>
        <w:ind w:firstLine="0" w:firstLineChars="0"/>
        <w:rPr>
          <w:rFonts w:hint="eastAsia"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20" w:lineRule="exact"/>
        <w:ind w:firstLine="42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spacing w:line="420" w:lineRule="exact"/>
        <w:ind w:firstLine="420"/>
        <w:rPr>
          <w:szCs w:val="21"/>
        </w:rPr>
      </w:pPr>
      <w:r>
        <w:rPr>
          <w:rFonts w:hint="eastAsia" w:ascii="宋体" w:hAnsi="宋体"/>
          <w:szCs w:val="21"/>
        </w:rPr>
        <w:t>（3）付款方式（按项目实际勾选填写）：</w:t>
      </w:r>
    </w:p>
    <w:p>
      <w:pPr>
        <w:adjustRightInd w:val="0"/>
        <w:snapToGrid w:val="0"/>
        <w:spacing w:line="42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2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w:t>
      </w:r>
      <w:r>
        <w:rPr>
          <w:rFonts w:hint="eastAsia" w:ascii="宋体" w:hAnsi="宋体"/>
          <w:szCs w:val="21"/>
        </w:rPr>
        <w:t>，其中涉及预付款的：</w:t>
      </w:r>
      <w:r>
        <w:rPr>
          <w:rFonts w:hint="eastAsia" w:ascii="宋体" w:hAnsi="宋体"/>
          <w:szCs w:val="21"/>
          <w:u w:val="single"/>
        </w:rPr>
        <w:t xml:space="preserve"> （应明确预付款的支付比例和支付条件）</w:t>
      </w:r>
    </w:p>
    <w:p>
      <w:pPr>
        <w:adjustRightInd w:val="0"/>
        <w:snapToGrid w:val="0"/>
        <w:spacing w:line="42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2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6"/>
        </w:numPr>
        <w:adjustRightInd w:val="0"/>
        <w:snapToGrid w:val="0"/>
        <w:spacing w:line="420" w:lineRule="exact"/>
        <w:ind w:firstLine="422"/>
        <w:rPr>
          <w:rFonts w:hint="eastAsia" w:ascii="宋体" w:hAnsi="宋体"/>
          <w:b/>
          <w:szCs w:val="21"/>
          <w:u w:val="single"/>
        </w:rPr>
      </w:pPr>
      <w:r>
        <w:rPr>
          <w:rFonts w:hint="eastAsia" w:ascii="宋体" w:hAnsi="宋体"/>
          <w:b/>
          <w:szCs w:val="21"/>
        </w:rPr>
        <w:t>合同履行</w:t>
      </w:r>
    </w:p>
    <w:p>
      <w:pPr>
        <w:adjustRightInd w:val="0"/>
        <w:snapToGrid w:val="0"/>
        <w:spacing w:line="420" w:lineRule="exact"/>
        <w:ind w:firstLine="199" w:firstLineChars="95"/>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20" w:lineRule="exact"/>
        <w:ind w:firstLine="199" w:firstLineChars="95"/>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20" w:lineRule="exact"/>
        <w:ind w:firstLine="199" w:firstLineChars="95"/>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widowControl/>
        <w:autoSpaceDE w:val="0"/>
        <w:autoSpaceDN w:val="0"/>
        <w:adjustRightInd w:val="0"/>
        <w:spacing w:line="420" w:lineRule="exact"/>
        <w:ind w:firstLine="440"/>
        <w:jc w:val="left"/>
        <w:rPr>
          <w:rFonts w:hint="eastAsia" w:ascii="宋体" w:hAnsi="宋体" w:cs="宋体"/>
          <w:kern w:val="0"/>
          <w:szCs w:val="21"/>
        </w:rPr>
      </w:pPr>
      <w:r>
        <w:rPr>
          <w:rFonts w:hint="eastAsia" w:ascii="宋体" w:hAnsi="宋体" w:eastAsia="华文楷体" w:cs="宋体"/>
          <w:bCs/>
          <w:kern w:val="0"/>
          <w:sz w:val="22"/>
          <w:szCs w:val="21"/>
        </w:rPr>
        <w:t xml:space="preserve"> </w:t>
      </w:r>
      <w:r>
        <w:rPr>
          <w:rFonts w:hint="eastAsia" w:ascii="宋体" w:hAnsi="宋体" w:cs="宋体"/>
          <w:kern w:val="0"/>
          <w:szCs w:val="21"/>
        </w:rPr>
        <w:t xml:space="preserve">  收取履约保证金形式：</w:t>
      </w:r>
      <w:r>
        <w:rPr>
          <w:rFonts w:hint="eastAsia" w:ascii="宋体" w:hAnsi="宋体" w:cs="宋体"/>
          <w:bCs/>
          <w:kern w:val="0"/>
          <w:szCs w:val="21"/>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rPr>
      </w:pPr>
      <w:r>
        <w:rPr>
          <w:rFonts w:hint="eastAsia" w:ascii="宋体" w:hAnsi="宋体" w:cs="宋体"/>
          <w:kern w:val="0"/>
          <w:szCs w:val="21"/>
        </w:rPr>
        <w:t xml:space="preserve">   收取履约保证金金额：</w:t>
      </w:r>
      <w:r>
        <w:rPr>
          <w:rFonts w:hint="eastAsia" w:ascii="宋体" w:hAnsi="宋体" w:cs="宋体"/>
          <w:bCs/>
          <w:kern w:val="0"/>
          <w:szCs w:val="21"/>
          <w:u w:val="single"/>
        </w:rPr>
        <w:t xml:space="preserve">                                  </w:t>
      </w:r>
    </w:p>
    <w:p>
      <w:pPr>
        <w:snapToGrid w:val="0"/>
        <w:spacing w:line="420" w:lineRule="exact"/>
        <w:ind w:firstLine="42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20" w:lineRule="exact"/>
        <w:ind w:firstLine="199" w:firstLineChars="95"/>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20" w:lineRule="exact"/>
        <w:ind w:firstLine="199" w:firstLineChars="95"/>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6"/>
        </w:numPr>
        <w:adjustRightInd w:val="0"/>
        <w:snapToGrid w:val="0"/>
        <w:spacing w:line="420" w:lineRule="exact"/>
        <w:ind w:firstLine="422"/>
        <w:rPr>
          <w:rFonts w:hint="eastAsia" w:ascii="宋体" w:hAnsi="宋体"/>
          <w:b/>
          <w:szCs w:val="21"/>
        </w:rPr>
      </w:pPr>
      <w:r>
        <w:rPr>
          <w:rFonts w:hint="eastAsia" w:ascii="宋体" w:hAnsi="宋体"/>
          <w:b/>
          <w:szCs w:val="21"/>
        </w:rPr>
        <w:t>合同验收</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（1）验收组织方式：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20" w:lineRule="exact"/>
        <w:ind w:firstLine="420"/>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20" w:lineRule="exact"/>
        <w:ind w:firstLine="420"/>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2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一次性验收</w:t>
      </w:r>
    </w:p>
    <w:p>
      <w:pPr>
        <w:adjustRightInd w:val="0"/>
        <w:snapToGrid w:val="0"/>
        <w:spacing w:line="420" w:lineRule="exact"/>
        <w:ind w:firstLine="42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widowControl/>
        <w:autoSpaceDE w:val="0"/>
        <w:autoSpaceDN w:val="0"/>
        <w:adjustRightInd w:val="0"/>
        <w:spacing w:line="420" w:lineRule="exact"/>
        <w:ind w:firstLine="210" w:firstLineChars="100"/>
        <w:jc w:val="left"/>
        <w:rPr>
          <w:rFonts w:hint="eastAsia"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pPr>
        <w:adjustRightInd w:val="0"/>
        <w:snapToGrid w:val="0"/>
        <w:spacing w:line="420" w:lineRule="exact"/>
        <w:ind w:firstLine="210" w:firstLineChars="1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6"/>
        </w:numPr>
        <w:adjustRightInd w:val="0"/>
        <w:snapToGrid w:val="0"/>
        <w:spacing w:line="420" w:lineRule="exact"/>
        <w:ind w:firstLine="422"/>
        <w:rPr>
          <w:rFonts w:hint="eastAsia" w:ascii="宋体" w:hAnsi="宋体"/>
          <w:b/>
          <w:szCs w:val="21"/>
        </w:rPr>
      </w:pPr>
      <w:r>
        <w:rPr>
          <w:rFonts w:hint="eastAsia" w:ascii="宋体" w:hAnsi="宋体"/>
          <w:b/>
          <w:szCs w:val="21"/>
        </w:rPr>
        <w:t>组成合同的文件</w:t>
      </w:r>
    </w:p>
    <w:p>
      <w:pPr>
        <w:adjustRightInd w:val="0"/>
        <w:snapToGrid w:val="0"/>
        <w:spacing w:line="420" w:lineRule="exact"/>
        <w:ind w:firstLine="42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（1）政府采购合同协议书及其变更、补充协议</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（2）政府采购合同专用条款</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（3）政府采购合同通用条款</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（4）中标（成交）通知书</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（5）投标（响应）文件</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（6）采购文件</w:t>
      </w:r>
    </w:p>
    <w:p>
      <w:pPr>
        <w:adjustRightInd w:val="0"/>
        <w:snapToGrid w:val="0"/>
        <w:spacing w:line="420" w:lineRule="exact"/>
        <w:ind w:firstLine="210" w:firstLineChars="100"/>
        <w:rPr>
          <w:rFonts w:hint="eastAsia" w:ascii="宋体" w:hAnsi="宋体"/>
          <w:szCs w:val="21"/>
        </w:rPr>
      </w:pPr>
      <w:r>
        <w:rPr>
          <w:rFonts w:hint="eastAsia" w:ascii="宋体" w:hAnsi="宋体"/>
          <w:szCs w:val="21"/>
        </w:rPr>
        <w:t>（7）有关技术文件，图纸</w:t>
      </w:r>
    </w:p>
    <w:p>
      <w:pPr>
        <w:widowControl/>
        <w:autoSpaceDE w:val="0"/>
        <w:autoSpaceDN w:val="0"/>
        <w:adjustRightInd w:val="0"/>
        <w:spacing w:line="420" w:lineRule="exact"/>
        <w:ind w:firstLine="210" w:firstLineChars="100"/>
        <w:jc w:val="left"/>
        <w:rPr>
          <w:rFonts w:hint="eastAsia"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pPr>
        <w:numPr>
          <w:ilvl w:val="0"/>
          <w:numId w:val="6"/>
        </w:numPr>
        <w:adjustRightInd w:val="0"/>
        <w:snapToGrid w:val="0"/>
        <w:spacing w:line="420" w:lineRule="exact"/>
        <w:ind w:firstLine="422"/>
        <w:rPr>
          <w:rFonts w:hint="eastAsia" w:ascii="宋体" w:hAnsi="宋体"/>
          <w:b/>
          <w:szCs w:val="21"/>
        </w:rPr>
      </w:pPr>
      <w:r>
        <w:rPr>
          <w:rFonts w:hint="eastAsia" w:ascii="宋体" w:hAnsi="宋体"/>
          <w:b/>
          <w:szCs w:val="21"/>
        </w:rPr>
        <w:t>合同生效</w:t>
      </w:r>
    </w:p>
    <w:p>
      <w:pPr>
        <w:adjustRightInd w:val="0"/>
        <w:snapToGrid w:val="0"/>
        <w:spacing w:line="420" w:lineRule="exact"/>
        <w:ind w:firstLine="42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6"/>
        </w:numPr>
        <w:adjustRightInd w:val="0"/>
        <w:snapToGrid w:val="0"/>
        <w:spacing w:line="420" w:lineRule="exact"/>
        <w:ind w:firstLine="422"/>
        <w:rPr>
          <w:rFonts w:hint="eastAsia" w:ascii="宋体" w:hAnsi="宋体"/>
          <w:b/>
          <w:szCs w:val="21"/>
        </w:rPr>
      </w:pPr>
      <w:r>
        <w:rPr>
          <w:rFonts w:hint="eastAsia" w:ascii="宋体" w:hAnsi="宋体"/>
          <w:b/>
          <w:szCs w:val="21"/>
        </w:rPr>
        <w:t>合同份数</w:t>
      </w:r>
    </w:p>
    <w:p>
      <w:pPr>
        <w:adjustRightInd w:val="0"/>
        <w:snapToGrid w:val="0"/>
        <w:spacing w:line="420" w:lineRule="exact"/>
        <w:ind w:firstLine="42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20" w:lineRule="exact"/>
        <w:ind w:firstLine="42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20" w:lineRule="exact"/>
        <w:ind w:firstLine="42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20" w:lineRule="exact"/>
        <w:ind w:firstLine="420"/>
      </w:pPr>
      <w:r>
        <w:rPr>
          <w:rFonts w:hint="eastAsia" w:ascii="宋体" w:hAnsi="宋体"/>
          <w:szCs w:val="21"/>
        </w:rPr>
        <w:t>附件：具体标的及其技术要求和商务要求、联合协议、分包意向协议等。</w:t>
      </w:r>
    </w:p>
    <w:p>
      <w:pPr>
        <w:widowControl/>
        <w:spacing w:line="420" w:lineRule="exact"/>
        <w:ind w:firstLine="420"/>
        <w:jc w:val="left"/>
        <w:rPr>
          <w:szCs w:val="21"/>
        </w:rPr>
      </w:pPr>
      <w:r>
        <w:rPr>
          <w:szCs w:val="21"/>
        </w:rPr>
        <w:br w:type="page"/>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5119" w:type="dxa"/>
            <w:gridSpan w:val="2"/>
            <w:tcBorders>
              <w:bottom w:val="single" w:color="auto" w:sz="2" w:space="0"/>
              <w:right w:val="single" w:color="auto" w:sz="2" w:space="0"/>
            </w:tcBorders>
            <w:vAlign w:val="center"/>
          </w:tcPr>
          <w:p>
            <w:pPr>
              <w:adjustRightInd w:val="0"/>
              <w:snapToGrid w:val="0"/>
              <w:spacing w:line="300" w:lineRule="exact"/>
              <w:ind w:firstLine="420"/>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pPr>
              <w:adjustRightInd w:val="0"/>
              <w:snapToGrid w:val="0"/>
              <w:spacing w:line="300" w:lineRule="exact"/>
              <w:ind w:firstLine="420"/>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法定代表人</w:t>
            </w:r>
          </w:p>
          <w:p>
            <w:pPr>
              <w:adjustRightInd w:val="0"/>
              <w:snapToGrid w:val="0"/>
              <w:spacing w:line="300" w:lineRule="exact"/>
              <w:ind w:firstLine="420"/>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42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开户名称</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开户银行</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银行账号</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9990" w:type="dxa"/>
            <w:gridSpan w:val="4"/>
            <w:tcBorders>
              <w:top w:val="single" w:color="auto" w:sz="2" w:space="0"/>
            </w:tcBorders>
            <w:vAlign w:val="center"/>
          </w:tcPr>
          <w:p>
            <w:pPr>
              <w:adjustRightInd w:val="0"/>
              <w:snapToGrid w:val="0"/>
              <w:spacing w:before="156" w:beforeLines="50" w:line="360" w:lineRule="auto"/>
              <w:ind w:firstLine="420"/>
              <w:jc w:val="left"/>
              <w:rPr>
                <w:spacing w:val="20"/>
                <w:szCs w:val="21"/>
              </w:rPr>
            </w:pPr>
            <w:r>
              <w:rPr>
                <w:rFonts w:hint="eastAsia" w:ascii="宋体" w:hAnsi="宋体"/>
                <w:szCs w:val="21"/>
              </w:rPr>
              <w:t>注：涉及联合体或其他合同主体的信息应按上表格式加列。</w:t>
            </w:r>
          </w:p>
        </w:tc>
      </w:tr>
    </w:tbl>
    <w:p>
      <w:pPr>
        <w:keepNext/>
        <w:keepLines/>
        <w:adjustRightInd w:val="0"/>
        <w:snapToGrid w:val="0"/>
        <w:spacing w:before="156" w:beforeLines="50" w:line="360" w:lineRule="auto"/>
        <w:ind w:firstLine="422"/>
        <w:jc w:val="center"/>
        <w:outlineLvl w:val="1"/>
        <w:rPr>
          <w:rFonts w:hint="eastAsia" w:ascii="黑体" w:hAnsi="黑体" w:eastAsia="黑体"/>
          <w:b/>
          <w:bCs/>
          <w:sz w:val="28"/>
          <w:szCs w:val="28"/>
        </w:rPr>
      </w:pPr>
      <w:r>
        <w:rPr>
          <w:rFonts w:ascii="宋体" w:hAnsi="宋体"/>
          <w:b/>
          <w:bCs/>
          <w:szCs w:val="21"/>
          <w:u w:val="single"/>
        </w:rPr>
        <w:br w:type="page"/>
      </w:r>
      <w:bookmarkStart w:id="250" w:name="_Toc27624"/>
      <w:r>
        <w:rPr>
          <w:rFonts w:hint="eastAsia" w:ascii="黑体" w:hAnsi="黑体" w:eastAsia="黑体"/>
          <w:sz w:val="28"/>
          <w:szCs w:val="28"/>
        </w:rPr>
        <w:t>第二节 政府采购合同通用条款</w:t>
      </w:r>
      <w:bookmarkEnd w:id="250"/>
    </w:p>
    <w:p>
      <w:pPr>
        <w:tabs>
          <w:tab w:val="left" w:pos="8820"/>
          <w:tab w:val="left" w:pos="9345"/>
          <w:tab w:val="left" w:pos="9765"/>
        </w:tabs>
        <w:adjustRightInd w:val="0"/>
        <w:snapToGrid w:val="0"/>
        <w:spacing w:line="460" w:lineRule="exact"/>
        <w:ind w:firstLine="482"/>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1.1合同当事人</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1.2本合同下列术语应解释为：</w:t>
      </w:r>
    </w:p>
    <w:p>
      <w:pPr>
        <w:adjustRightInd w:val="0"/>
        <w:snapToGrid w:val="0"/>
        <w:spacing w:line="460" w:lineRule="exact"/>
        <w:ind w:firstLine="42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pPr>
        <w:adjustRightInd w:val="0"/>
        <w:snapToGrid w:val="0"/>
        <w:spacing w:line="460" w:lineRule="exact"/>
        <w:ind w:firstLine="42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pPr>
        <w:adjustRightInd w:val="0"/>
        <w:snapToGrid w:val="0"/>
        <w:spacing w:line="460" w:lineRule="exact"/>
        <w:ind w:firstLine="42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60" w:lineRule="exact"/>
        <w:ind w:firstLine="42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7"/>
        </w:num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sz w:val="24"/>
        </w:rPr>
        <w:t>合同标的及金额</w:t>
      </w:r>
    </w:p>
    <w:p>
      <w:pPr>
        <w:autoSpaceDE w:val="0"/>
        <w:autoSpaceDN w:val="0"/>
        <w:adjustRightInd w:val="0"/>
        <w:snapToGrid w:val="0"/>
        <w:spacing w:line="460" w:lineRule="exact"/>
        <w:ind w:firstLine="42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pPr>
        <w:adjustRightInd w:val="0"/>
        <w:snapToGrid w:val="0"/>
        <w:spacing w:line="460" w:lineRule="exact"/>
        <w:ind w:firstLine="482"/>
        <w:jc w:val="left"/>
        <w:rPr>
          <w:rFonts w:hint="eastAsia" w:ascii="宋体" w:hAnsi="宋体"/>
          <w:b/>
          <w:sz w:val="24"/>
        </w:rPr>
      </w:pPr>
      <w:r>
        <w:rPr>
          <w:rFonts w:hint="eastAsia" w:ascii="宋体" w:hAnsi="宋体"/>
          <w:b/>
          <w:sz w:val="24"/>
        </w:rPr>
        <w:t>3. 履行合同的时间、地点和方式</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4. 甲方的权利和义务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60" w:lineRule="exact"/>
        <w:ind w:firstLine="42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60" w:lineRule="exact"/>
        <w:ind w:firstLine="42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5. 乙方的权利和义务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spacing w:line="460" w:lineRule="exact"/>
        <w:ind w:firstLine="369"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spacing w:line="460" w:lineRule="exact"/>
        <w:ind w:firstLine="369"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8"/>
        </w:num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合同履行</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60" w:lineRule="exact"/>
        <w:ind w:firstLine="42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60" w:lineRule="exact"/>
        <w:ind w:firstLine="482"/>
        <w:jc w:val="left"/>
        <w:rPr>
          <w:rFonts w:hint="eastAsia"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60" w:lineRule="exact"/>
        <w:ind w:firstLine="42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60" w:lineRule="exact"/>
        <w:ind w:firstLine="42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widowControl/>
        <w:autoSpaceDE w:val="0"/>
        <w:autoSpaceDN w:val="0"/>
        <w:adjustRightInd w:val="0"/>
        <w:spacing w:line="460" w:lineRule="exact"/>
        <w:ind w:firstLine="420"/>
        <w:jc w:val="left"/>
        <w:rPr>
          <w:rFonts w:hint="eastAsia" w:ascii="华文楷体" w:hAnsi="华文楷体" w:eastAsia="华文楷体" w:cs="华文楷体"/>
          <w:kern w:val="0"/>
          <w:szCs w:val="21"/>
        </w:rPr>
      </w:pPr>
      <w:r>
        <w:rPr>
          <w:rFonts w:hint="eastAsia" w:ascii="宋体" w:hAnsi="宋体"/>
          <w:szCs w:val="21"/>
        </w:rPr>
        <w:t>7.6 如因包装、运输问题导致货物损毁、丢失或者品质下降，甲方有权要求降价、换货、拒收部分或整批货物，由此产生的费用和损失，均由乙方承担。</w:t>
      </w:r>
    </w:p>
    <w:p>
      <w:pPr>
        <w:adjustRightInd w:val="0"/>
        <w:snapToGrid w:val="0"/>
        <w:spacing w:line="460" w:lineRule="exact"/>
        <w:ind w:firstLine="482"/>
        <w:jc w:val="left"/>
        <w:rPr>
          <w:rFonts w:hint="eastAsia" w:ascii="宋体" w:hAnsi="宋体"/>
          <w:b/>
          <w:sz w:val="24"/>
        </w:rPr>
      </w:pPr>
      <w:r>
        <w:rPr>
          <w:rFonts w:hint="eastAsia" w:ascii="宋体" w:hAnsi="宋体"/>
          <w:b/>
          <w:sz w:val="24"/>
        </w:rPr>
        <w:t>8. 质量标准和保证</w:t>
      </w:r>
    </w:p>
    <w:p>
      <w:pPr>
        <w:adjustRightInd w:val="0"/>
        <w:snapToGrid w:val="0"/>
        <w:spacing w:line="460" w:lineRule="exact"/>
        <w:ind w:firstLine="420"/>
        <w:jc w:val="left"/>
        <w:rPr>
          <w:rFonts w:hint="eastAsia" w:ascii="宋体" w:hAnsi="宋体" w:cs="Courier New"/>
          <w:b/>
          <w:szCs w:val="21"/>
        </w:rPr>
      </w:pPr>
      <w:r>
        <w:rPr>
          <w:rFonts w:hint="eastAsia" w:ascii="宋体" w:hAnsi="宋体" w:cs="Courier New"/>
          <w:szCs w:val="21"/>
        </w:rPr>
        <w:t>8.1 质量标准</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60" w:lineRule="exact"/>
        <w:ind w:firstLine="420"/>
        <w:jc w:val="left"/>
        <w:rPr>
          <w:rFonts w:hint="eastAsia" w:ascii="宋体" w:hAnsi="宋体" w:cs="Courier New"/>
          <w:szCs w:val="21"/>
        </w:rPr>
      </w:pPr>
      <w:r>
        <w:rPr>
          <w:rFonts w:hint="eastAsia" w:ascii="宋体" w:hAnsi="宋体" w:cs="Courier New"/>
          <w:szCs w:val="21"/>
        </w:rPr>
        <w:t>（2）采用中华人民共和国法定计量单位。</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8.2 保证</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60" w:lineRule="exact"/>
        <w:ind w:firstLine="42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60" w:lineRule="exact"/>
        <w:ind w:firstLine="482"/>
        <w:jc w:val="left"/>
        <w:rPr>
          <w:rFonts w:hint="eastAsia" w:ascii="宋体" w:hAnsi="宋体"/>
          <w:b/>
          <w:bCs/>
          <w:sz w:val="24"/>
        </w:rPr>
      </w:pPr>
      <w:r>
        <w:rPr>
          <w:rFonts w:hint="eastAsia" w:ascii="宋体" w:hAnsi="宋体"/>
          <w:b/>
          <w:bCs/>
          <w:sz w:val="24"/>
        </w:rPr>
        <w:t>9. 权利瑕疵担保</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10. 知识产权保护</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251"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251"/>
      <w:r>
        <w:rPr>
          <w:rFonts w:hint="eastAsia" w:ascii="宋体" w:hAnsi="宋体"/>
          <w:szCs w:val="21"/>
        </w:rPr>
        <w:t>。</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11. 保密义务</w:t>
      </w:r>
    </w:p>
    <w:p>
      <w:pPr>
        <w:autoSpaceDE w:val="0"/>
        <w:autoSpaceDN w:val="0"/>
        <w:adjustRightInd w:val="0"/>
        <w:snapToGrid w:val="0"/>
        <w:spacing w:line="460" w:lineRule="exact"/>
        <w:ind w:firstLine="42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12. 合同价款支付</w:t>
      </w:r>
    </w:p>
    <w:p>
      <w:pPr>
        <w:adjustRightInd w:val="0"/>
        <w:snapToGrid w:val="0"/>
        <w:spacing w:line="460" w:lineRule="exact"/>
        <w:ind w:firstLine="420"/>
        <w:jc w:val="left"/>
        <w:rPr>
          <w:rFonts w:hint="eastAsia" w:ascii="宋体" w:hAnsi="宋体"/>
          <w:szCs w:val="21"/>
        </w:rPr>
      </w:pPr>
      <w:r>
        <w:rPr>
          <w:rFonts w:hint="eastAsia" w:ascii="宋体" w:hAnsi="宋体"/>
          <w:szCs w:val="21"/>
        </w:rPr>
        <w:t>12.1 合同价款支付按照国库集中支付制度及财政管理相关规定执行。</w:t>
      </w:r>
    </w:p>
    <w:p>
      <w:pPr>
        <w:keepNext/>
        <w:keepLines/>
        <w:spacing w:line="460" w:lineRule="exact"/>
        <w:ind w:firstLine="42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pPr>
        <w:spacing w:line="460" w:lineRule="exact"/>
        <w:ind w:firstLine="482"/>
        <w:rPr>
          <w:rFonts w:hint="eastAsia" w:ascii="宋体" w:hAnsi="宋体"/>
          <w:b/>
          <w:bCs/>
          <w:sz w:val="24"/>
        </w:rPr>
      </w:pPr>
      <w:r>
        <w:rPr>
          <w:rFonts w:hint="eastAsia" w:ascii="宋体" w:hAnsi="宋体"/>
          <w:b/>
          <w:bCs/>
          <w:sz w:val="24"/>
        </w:rPr>
        <w:t>13. 履约保证金</w:t>
      </w:r>
    </w:p>
    <w:p>
      <w:pPr>
        <w:adjustRightInd w:val="0"/>
        <w:snapToGrid w:val="0"/>
        <w:spacing w:line="460" w:lineRule="exact"/>
        <w:ind w:firstLine="42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60" w:lineRule="exact"/>
        <w:ind w:firstLine="42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6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60" w:lineRule="exact"/>
        <w:ind w:firstLine="482"/>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（4）在制造商所在地或指定现场就货物的安装</w:t>
      </w:r>
      <w:r>
        <w:rPr>
          <w:rFonts w:hint="eastAsia" w:ascii="宋体" w:hAnsi="宋体"/>
          <w:spacing w:val="-20"/>
          <w:szCs w:val="21"/>
        </w:rPr>
        <w:t>、</w:t>
      </w:r>
      <w:r>
        <w:rPr>
          <w:rFonts w:hint="eastAsia" w:ascii="宋体" w:hAnsi="宋体"/>
          <w:szCs w:val="21"/>
        </w:rPr>
        <w:t>启动</w:t>
      </w:r>
      <w:r>
        <w:rPr>
          <w:rFonts w:hint="eastAsia" w:ascii="宋体" w:hAnsi="宋体"/>
          <w:spacing w:val="-20"/>
          <w:szCs w:val="21"/>
        </w:rPr>
        <w:t>、</w:t>
      </w:r>
      <w:r>
        <w:rPr>
          <w:rFonts w:hint="eastAsia" w:ascii="宋体" w:hAnsi="宋体"/>
          <w:szCs w:val="21"/>
        </w:rPr>
        <w:t>运营</w:t>
      </w:r>
      <w:r>
        <w:rPr>
          <w:rFonts w:hint="eastAsia" w:ascii="宋体" w:hAnsi="宋体"/>
          <w:spacing w:val="-20"/>
          <w:szCs w:val="21"/>
        </w:rPr>
        <w:t>、</w:t>
      </w:r>
      <w:r>
        <w:rPr>
          <w:rFonts w:hint="eastAsia" w:ascii="宋体" w:hAnsi="宋体"/>
          <w:szCs w:val="21"/>
        </w:rPr>
        <w:t>维护</w:t>
      </w:r>
      <w:r>
        <w:rPr>
          <w:rFonts w:hint="eastAsia" w:ascii="宋体" w:hAnsi="宋体"/>
          <w:spacing w:val="-20"/>
          <w:szCs w:val="21"/>
        </w:rPr>
        <w:t>、</w:t>
      </w:r>
      <w:r>
        <w:rPr>
          <w:rFonts w:hint="eastAsia" w:ascii="宋体" w:hAnsi="宋体"/>
          <w:szCs w:val="21"/>
        </w:rPr>
        <w:t>废弃处置等对甲方操作人员进行培训</w:t>
      </w:r>
      <w:r>
        <w:rPr>
          <w:rFonts w:hint="eastAsia" w:ascii="宋体" w:hAnsi="宋体" w:cs="宋体"/>
          <w:szCs w:val="15"/>
        </w:rPr>
        <w:t>；</w:t>
      </w:r>
    </w:p>
    <w:p>
      <w:pPr>
        <w:widowControl/>
        <w:autoSpaceDE w:val="0"/>
        <w:autoSpaceDN w:val="0"/>
        <w:adjustRightInd w:val="0"/>
        <w:spacing w:line="460" w:lineRule="exact"/>
        <w:ind w:firstLine="420"/>
        <w:jc w:val="left"/>
        <w:rPr>
          <w:rFonts w:hint="eastAsia" w:ascii="宋体" w:hAnsi="宋体" w:cs="宋体"/>
          <w:kern w:val="0"/>
          <w:szCs w:val="21"/>
        </w:rPr>
      </w:pPr>
      <w:r>
        <w:rPr>
          <w:rFonts w:hint="eastAsia" w:ascii="宋体" w:hAnsi="宋体" w:cs="宋体"/>
          <w:kern w:val="0"/>
          <w:szCs w:val="21"/>
        </w:rPr>
        <w:t>（5）依照法律、行政法规的规定或者按照</w:t>
      </w:r>
      <w:r>
        <w:rPr>
          <w:rFonts w:hint="eastAsia" w:ascii="宋体" w:hAnsi="宋体" w:cs="宋体"/>
          <w:b/>
          <w:bCs/>
          <w:kern w:val="0"/>
          <w:szCs w:val="21"/>
        </w:rPr>
        <w:t>【政府采购合同专用条款】</w:t>
      </w:r>
      <w:r>
        <w:rPr>
          <w:rFonts w:hint="eastAsia" w:ascii="宋体" w:hAnsi="宋体" w:cs="宋体"/>
          <w:kern w:val="0"/>
          <w:szCs w:val="21"/>
        </w:rPr>
        <w:t>约定，货物在有效使用年限届满后应予回收的，乙方负有自行或者委托第三人对货物予以回收的义务；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60" w:lineRule="exact"/>
        <w:ind w:firstLine="482"/>
        <w:jc w:val="left"/>
        <w:rPr>
          <w:rFonts w:hint="eastAsia" w:ascii="宋体" w:hAnsi="宋体"/>
          <w:b/>
          <w:bCs/>
          <w:sz w:val="24"/>
        </w:rPr>
      </w:pPr>
      <w:r>
        <w:rPr>
          <w:rFonts w:hint="eastAsia" w:ascii="宋体" w:hAnsi="宋体"/>
          <w:b/>
          <w:bCs/>
          <w:sz w:val="24"/>
        </w:rPr>
        <w:t>15. 违约责任</w:t>
      </w:r>
    </w:p>
    <w:p>
      <w:pPr>
        <w:adjustRightInd w:val="0"/>
        <w:snapToGrid w:val="0"/>
        <w:spacing w:line="460" w:lineRule="exact"/>
        <w:ind w:firstLine="420"/>
        <w:jc w:val="left"/>
        <w:rPr>
          <w:rFonts w:hint="eastAsia" w:ascii="宋体" w:hAnsi="宋体"/>
          <w:bCs/>
          <w:szCs w:val="21"/>
        </w:rPr>
      </w:pPr>
      <w:r>
        <w:rPr>
          <w:rFonts w:hint="eastAsia" w:ascii="宋体" w:hAnsi="宋体"/>
          <w:bCs/>
          <w:szCs w:val="21"/>
        </w:rPr>
        <w:t>15.1质量瑕疵的违约责任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60" w:lineRule="exact"/>
        <w:ind w:firstLine="420"/>
        <w:jc w:val="left"/>
        <w:rPr>
          <w:rFonts w:hint="eastAsia" w:ascii="宋体" w:hAnsi="宋体"/>
          <w:bCs/>
          <w:szCs w:val="21"/>
        </w:rPr>
      </w:pPr>
      <w:r>
        <w:rPr>
          <w:rFonts w:hint="eastAsia" w:ascii="宋体" w:hAnsi="宋体"/>
          <w:bCs/>
          <w:szCs w:val="21"/>
        </w:rPr>
        <w:t>15.2 迟延交货的违约责任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15.3 迟延支付的违约责任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60" w:lineRule="exact"/>
        <w:ind w:firstLine="42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9"/>
        </w:numPr>
        <w:autoSpaceDE w:val="0"/>
        <w:autoSpaceDN w:val="0"/>
        <w:adjustRightInd w:val="0"/>
        <w:snapToGrid w:val="0"/>
        <w:spacing w:line="460" w:lineRule="exact"/>
        <w:ind w:firstLine="482"/>
        <w:jc w:val="left"/>
        <w:rPr>
          <w:rFonts w:hint="eastAsia" w:ascii="宋体" w:hAnsi="宋体"/>
          <w:b/>
          <w:sz w:val="24"/>
        </w:rPr>
      </w:pPr>
      <w:r>
        <w:rPr>
          <w:rFonts w:hint="eastAsia" w:ascii="宋体" w:hAnsi="宋体"/>
          <w:b/>
          <w:sz w:val="24"/>
        </w:rPr>
        <w:t>合同变更、中止与终止</w:t>
      </w:r>
    </w:p>
    <w:p>
      <w:pPr>
        <w:adjustRightInd w:val="0"/>
        <w:snapToGrid w:val="0"/>
        <w:spacing w:line="460" w:lineRule="exact"/>
        <w:ind w:firstLine="420"/>
        <w:jc w:val="left"/>
        <w:rPr>
          <w:rFonts w:hint="eastAsia" w:ascii="宋体" w:hAnsi="宋体"/>
          <w:szCs w:val="21"/>
        </w:rPr>
      </w:pPr>
      <w:r>
        <w:rPr>
          <w:rFonts w:hint="eastAsia" w:ascii="宋体" w:hAnsi="宋体"/>
          <w:szCs w:val="21"/>
        </w:rPr>
        <w:t>16.1合同的变更</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60" w:lineRule="exact"/>
        <w:ind w:firstLine="420"/>
        <w:jc w:val="left"/>
        <w:rPr>
          <w:rFonts w:hint="eastAsia" w:ascii="宋体" w:hAnsi="宋体"/>
          <w:szCs w:val="21"/>
        </w:rPr>
      </w:pPr>
      <w:r>
        <w:rPr>
          <w:rFonts w:hint="eastAsia" w:ascii="宋体" w:hAnsi="宋体"/>
          <w:szCs w:val="21"/>
        </w:rPr>
        <w:t>16.2合同的中止</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60" w:lineRule="exact"/>
        <w:ind w:firstLine="420"/>
        <w:rPr>
          <w:rFonts w:hint="eastAsia" w:ascii="华文楷体" w:hAnsi="华文楷体" w:eastAsia="华文楷体" w:cs="华文楷体"/>
          <w:kern w:val="0"/>
          <w:szCs w:val="21"/>
        </w:rPr>
      </w:pPr>
      <w:r>
        <w:rPr>
          <w:rFonts w:hint="eastAsia" w:ascii="宋体" w:hAnsi="宋体" w:cs="宋体"/>
          <w:kern w:val="0"/>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60" w:lineRule="exact"/>
        <w:ind w:firstLine="42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60" w:lineRule="exact"/>
        <w:ind w:firstLine="420"/>
        <w:jc w:val="left"/>
        <w:rPr>
          <w:rFonts w:hint="eastAsia" w:ascii="宋体" w:hAnsi="宋体"/>
          <w:szCs w:val="21"/>
        </w:rPr>
      </w:pPr>
      <w:r>
        <w:rPr>
          <w:rFonts w:hint="eastAsia" w:ascii="宋体" w:hAnsi="宋体"/>
          <w:szCs w:val="21"/>
        </w:rPr>
        <w:t>16.3合同的终止</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（1）合同因有效期限届满而终止；</w:t>
      </w:r>
    </w:p>
    <w:p>
      <w:pPr>
        <w:snapToGrid w:val="0"/>
        <w:spacing w:line="460" w:lineRule="exact"/>
        <w:ind w:firstLine="42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widowControl/>
        <w:autoSpaceDE w:val="0"/>
        <w:autoSpaceDN w:val="0"/>
        <w:adjustRightInd w:val="0"/>
        <w:spacing w:line="460" w:lineRule="exact"/>
        <w:ind w:firstLine="440"/>
        <w:jc w:val="left"/>
        <w:rPr>
          <w:rFonts w:hint="eastAsia" w:ascii="宋体" w:hAnsi="宋体" w:eastAsia="华文楷体" w:cs="华文楷体"/>
          <w:kern w:val="0"/>
          <w:sz w:val="22"/>
          <w:szCs w:val="21"/>
        </w:rPr>
      </w:pPr>
      <w:r>
        <w:rPr>
          <w:rFonts w:hint="eastAsia" w:ascii="宋体" w:hAnsi="宋体" w:eastAsia="华文楷体" w:cs="华文楷体"/>
          <w:kern w:val="0"/>
          <w:sz w:val="22"/>
          <w:szCs w:val="21"/>
        </w:rPr>
        <w:t xml:space="preserve">16.4 </w:t>
      </w:r>
      <w:r>
        <w:rPr>
          <w:rFonts w:hint="eastAsia" w:ascii="宋体" w:hAnsi="宋体"/>
          <w:szCs w:val="21"/>
        </w:rPr>
        <w:t>涉及国家利益、社会公共利益的情形</w:t>
      </w:r>
    </w:p>
    <w:p>
      <w:pPr>
        <w:widowControl/>
        <w:autoSpaceDE w:val="0"/>
        <w:autoSpaceDN w:val="0"/>
        <w:adjustRightInd w:val="0"/>
        <w:spacing w:line="460" w:lineRule="exact"/>
        <w:ind w:firstLine="420"/>
        <w:rPr>
          <w:rFonts w:hint="eastAsia" w:ascii="华文楷体" w:hAnsi="华文楷体" w:eastAsia="华文楷体" w:cs="华文楷体"/>
          <w:kern w:val="0"/>
          <w:szCs w:val="21"/>
        </w:rPr>
      </w:pPr>
      <w:r>
        <w:rPr>
          <w:rFonts w:hint="eastAsia" w:ascii="宋体" w:hAnsi="宋体" w:cs="宋体"/>
          <w:kern w:val="0"/>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17. 合同分包</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18. 不可抗力</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60" w:lineRule="exact"/>
        <w:ind w:firstLine="482"/>
        <w:jc w:val="left"/>
        <w:rPr>
          <w:rFonts w:hint="eastAsia" w:ascii="宋体" w:hAnsi="宋体"/>
          <w:b/>
          <w:bCs/>
          <w:sz w:val="24"/>
        </w:rPr>
      </w:pPr>
      <w:r>
        <w:rPr>
          <w:rFonts w:hint="eastAsia" w:ascii="宋体" w:hAnsi="宋体"/>
          <w:b/>
          <w:bCs/>
          <w:sz w:val="24"/>
        </w:rPr>
        <w:t>19. 解决争议的方法</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19.2 选择仲裁的，应在</w:t>
      </w:r>
      <w:r>
        <w:rPr>
          <w:rFonts w:hint="eastAsia" w:ascii="宋体" w:hAnsi="宋体" w:cs="宋体"/>
          <w:b/>
          <w:bCs/>
          <w:kern w:val="0"/>
          <w:szCs w:val="21"/>
        </w:rPr>
        <w:t>【政府采购合同专用条款】</w:t>
      </w:r>
      <w:r>
        <w:rPr>
          <w:rFonts w:hint="eastAsia" w:ascii="宋体" w:hAnsi="宋体" w:cs="宋体"/>
          <w:kern w:val="0"/>
          <w:szCs w:val="21"/>
        </w:rPr>
        <w:t>中明确仲裁机构及仲裁地；通过诉讼方式解决的，可以在</w:t>
      </w:r>
      <w:r>
        <w:rPr>
          <w:rFonts w:hint="eastAsia" w:ascii="宋体" w:hAnsi="宋体" w:cs="宋体"/>
          <w:b/>
          <w:bCs/>
          <w:kern w:val="0"/>
          <w:szCs w:val="21"/>
        </w:rPr>
        <w:t>【政府采购合同专用条款】</w:t>
      </w:r>
      <w:r>
        <w:rPr>
          <w:rFonts w:hint="eastAsia" w:ascii="宋体" w:hAnsi="宋体" w:cs="宋体"/>
          <w:kern w:val="0"/>
          <w:szCs w:val="21"/>
        </w:rPr>
        <w:t>中进一步约定选择与争议有实际联系的地点的人民法院管辖，但管辖法院的约定不得违反级别管辖和专属管辖的规定。</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19.3 如甲乙双方有争议的事项不影响合同其他部分的履行，在争议解决期间，合同其他部分应当继续履行。</w:t>
      </w:r>
    </w:p>
    <w:p>
      <w:pPr>
        <w:autoSpaceDE w:val="0"/>
        <w:autoSpaceDN w:val="0"/>
        <w:adjustRightInd w:val="0"/>
        <w:snapToGrid w:val="0"/>
        <w:spacing w:line="460" w:lineRule="exact"/>
        <w:ind w:firstLine="482"/>
        <w:jc w:val="left"/>
        <w:rPr>
          <w:rFonts w:hint="eastAsia" w:ascii="宋体" w:hAnsi="宋体"/>
          <w:sz w:val="24"/>
        </w:rPr>
      </w:pPr>
      <w:r>
        <w:rPr>
          <w:rFonts w:hint="eastAsia" w:ascii="宋体" w:hAnsi="宋体"/>
          <w:b/>
          <w:sz w:val="24"/>
        </w:rPr>
        <w:t>20. 政府采购政策</w:t>
      </w:r>
    </w:p>
    <w:p>
      <w:pPr>
        <w:autoSpaceDE w:val="0"/>
        <w:autoSpaceDN w:val="0"/>
        <w:adjustRightInd w:val="0"/>
        <w:snapToGrid w:val="0"/>
        <w:spacing w:line="460" w:lineRule="exact"/>
        <w:ind w:firstLine="42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60" w:lineRule="exact"/>
        <w:ind w:firstLine="42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spacing w:line="460" w:lineRule="exact"/>
        <w:ind w:firstLine="420"/>
        <w:rPr>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60" w:lineRule="exact"/>
        <w:ind w:firstLine="482"/>
        <w:jc w:val="left"/>
        <w:rPr>
          <w:rFonts w:hint="eastAsia" w:ascii="宋体" w:hAnsi="宋体"/>
          <w:b/>
          <w:sz w:val="24"/>
        </w:rPr>
      </w:pPr>
      <w:r>
        <w:rPr>
          <w:rFonts w:hint="eastAsia" w:ascii="宋体" w:hAnsi="宋体"/>
          <w:b/>
          <w:sz w:val="24"/>
        </w:rPr>
        <w:t>21. 法律适用</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21.1 本合同的订立、生效、解释、履行及与本合同有关的争议解决，均适用法律、行政法规。</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21.2 本合同条款与法律、行政法规的强制性规定不一致的，双方当事人应按照法律、行政法规的强制性规定修改本合同的相关条款。</w:t>
      </w:r>
    </w:p>
    <w:p>
      <w:pPr>
        <w:autoSpaceDE w:val="0"/>
        <w:autoSpaceDN w:val="0"/>
        <w:adjustRightInd w:val="0"/>
        <w:snapToGrid w:val="0"/>
        <w:spacing w:line="460" w:lineRule="exact"/>
        <w:ind w:firstLine="420" w:firstLineChars="0"/>
        <w:jc w:val="left"/>
        <w:rPr>
          <w:rFonts w:hint="eastAsia" w:ascii="宋体" w:hAnsi="宋体"/>
          <w:b/>
          <w:sz w:val="24"/>
        </w:rPr>
      </w:pPr>
      <w:r>
        <w:rPr>
          <w:rFonts w:hint="eastAsia" w:ascii="宋体" w:hAnsi="宋体"/>
          <w:b/>
          <w:sz w:val="24"/>
        </w:rPr>
        <w:t>22. 通知</w:t>
      </w:r>
    </w:p>
    <w:p>
      <w:pPr>
        <w:widowControl/>
        <w:autoSpaceDE w:val="0"/>
        <w:autoSpaceDN w:val="0"/>
        <w:adjustRightInd w:val="0"/>
        <w:spacing w:line="460" w:lineRule="exact"/>
        <w:ind w:firstLine="420"/>
        <w:rPr>
          <w:rFonts w:hint="eastAsia" w:ascii="宋体" w:hAnsi="宋体" w:cs="宋体"/>
          <w:kern w:val="0"/>
          <w:szCs w:val="21"/>
        </w:rPr>
      </w:pPr>
      <w:r>
        <w:rPr>
          <w:rFonts w:hint="eastAsia" w:ascii="宋体" w:hAnsi="宋体" w:cs="宋体"/>
          <w:kern w:val="0"/>
          <w:szCs w:val="21"/>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60" w:lineRule="exact"/>
        <w:ind w:firstLine="420"/>
        <w:rPr>
          <w:rFonts w:hint="eastAsia" w:ascii="华文楷体" w:hAnsi="华文楷体" w:eastAsia="华文楷体" w:cs="华文楷体"/>
          <w:kern w:val="0"/>
          <w:szCs w:val="21"/>
        </w:rPr>
      </w:pPr>
      <w:r>
        <w:rPr>
          <w:rFonts w:hint="eastAsia" w:ascii="宋体" w:hAnsi="宋体" w:cs="宋体"/>
          <w:kern w:val="0"/>
          <w:szCs w:val="21"/>
        </w:rPr>
        <w:t>22.2 一方当事人变更名称、住所、联系人、联系电话或电子邮箱等信息的，应当在变更后3日内及时书面通知对方，对方实际收到变更通知前的送达仍为有效送达。</w:t>
      </w:r>
    </w:p>
    <w:p>
      <w:pPr>
        <w:adjustRightInd w:val="0"/>
        <w:snapToGrid w:val="0"/>
        <w:spacing w:line="460" w:lineRule="exact"/>
        <w:ind w:firstLine="42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60" w:lineRule="exact"/>
        <w:ind w:firstLine="420"/>
        <w:jc w:val="left"/>
        <w:rPr>
          <w:rFonts w:hint="eastAsia" w:ascii="宋体" w:hAnsi="宋体"/>
          <w:szCs w:val="21"/>
        </w:rPr>
      </w:pPr>
      <w:r>
        <w:rPr>
          <w:rFonts w:hint="eastAsia" w:ascii="宋体" w:hAnsi="宋体"/>
          <w:szCs w:val="21"/>
        </w:rPr>
        <w:t>22.4通知以送达之日或通知书中规定的生效之日起生效，两者中以较迟之日为准。</w:t>
      </w:r>
    </w:p>
    <w:p>
      <w:pPr>
        <w:numPr>
          <w:ilvl w:val="0"/>
          <w:numId w:val="10"/>
        </w:numPr>
        <w:adjustRightInd w:val="0"/>
        <w:snapToGrid w:val="0"/>
        <w:spacing w:line="460" w:lineRule="exact"/>
        <w:ind w:firstLine="482"/>
        <w:jc w:val="left"/>
        <w:rPr>
          <w:rFonts w:hint="eastAsia" w:ascii="宋体" w:hAnsi="宋体"/>
          <w:b/>
          <w:bCs/>
          <w:sz w:val="24"/>
        </w:rPr>
      </w:pPr>
      <w:r>
        <w:rPr>
          <w:rFonts w:hint="eastAsia" w:ascii="宋体" w:hAnsi="宋体"/>
          <w:b/>
          <w:bCs/>
          <w:sz w:val="24"/>
        </w:rPr>
        <w:t>合同未尽事项</w:t>
      </w:r>
    </w:p>
    <w:p>
      <w:pPr>
        <w:adjustRightInd w:val="0"/>
        <w:snapToGrid w:val="0"/>
        <w:spacing w:line="460" w:lineRule="exact"/>
        <w:ind w:firstLine="42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60" w:lineRule="exact"/>
        <w:ind w:firstLine="420"/>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252" w:name="_Toc20313"/>
    </w:p>
    <w:p>
      <w:pPr>
        <w:adjustRightInd w:val="0"/>
        <w:snapToGrid w:val="0"/>
        <w:ind w:firstLine="56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ind w:firstLine="560"/>
        <w:jc w:val="center"/>
        <w:outlineLvl w:val="1"/>
        <w:rPr>
          <w:rFonts w:hint="eastAsia" w:ascii="黑体" w:hAnsi="华文中宋" w:eastAsia="黑体"/>
          <w:sz w:val="28"/>
          <w:szCs w:val="28"/>
        </w:rPr>
      </w:pPr>
      <w:r>
        <w:rPr>
          <w:rFonts w:hint="eastAsia" w:ascii="黑体" w:hAnsi="华文中宋" w:eastAsia="黑体"/>
          <w:sz w:val="28"/>
          <w:szCs w:val="28"/>
        </w:rPr>
        <w:t>第三节 政府采购合同专用条款</w:t>
      </w:r>
      <w:bookmarkEnd w:id="252"/>
    </w:p>
    <w:tbl>
      <w:tblPr>
        <w:tblStyle w:val="49"/>
        <w:tblW w:w="0" w:type="auto"/>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9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第1.2（6）项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联合体具体要求</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第1.2（7）项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其他术语解释</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第4.4款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履约验收中甲方提出异议或作出说明的期限</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第4.6款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约定甲方承担的其他义务和责任</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snapToGrid w:val="0"/>
              <w:ind w:firstLine="420"/>
              <w:jc w:val="center"/>
            </w:pPr>
            <w:r>
              <w:rPr>
                <w:rFonts w:hint="eastAsia" w:ascii="宋体" w:hAnsi="宋体"/>
                <w:szCs w:val="21"/>
              </w:rPr>
              <w:t>第5.4款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约定乙方承担的其他义务和责任</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snapToGrid w:val="0"/>
              <w:ind w:firstLine="420"/>
              <w:jc w:val="center"/>
              <w:rPr>
                <w:rFonts w:hint="eastAsia" w:ascii="宋体" w:hAnsi="宋体"/>
                <w:szCs w:val="21"/>
              </w:rPr>
            </w:pPr>
            <w:r>
              <w:rPr>
                <w:rFonts w:hint="eastAsia" w:ascii="宋体" w:hAnsi="宋体"/>
                <w:szCs w:val="21"/>
              </w:rPr>
              <w:t>第6.1款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履行合同义务的顺序</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第7.1款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包装特殊要求</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ind w:firstLine="420"/>
              <w:jc w:val="center"/>
              <w:rPr>
                <w:rFonts w:hint="eastAsia" w:ascii="宋体" w:hAnsi="宋体"/>
                <w:szCs w:val="21"/>
              </w:rPr>
            </w:pP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指定现场</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第7.2款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运输特殊要求</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第7.3款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保险要求</w:t>
            </w:r>
          </w:p>
        </w:tc>
        <w:tc>
          <w:tcPr>
            <w:tcW w:w="5954" w:type="dxa"/>
            <w:vAlign w:val="center"/>
          </w:tcPr>
          <w:p>
            <w:pPr>
              <w:ind w:firstLine="420"/>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第8.2（1）项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质量保证期</w:t>
            </w:r>
          </w:p>
        </w:tc>
        <w:tc>
          <w:tcPr>
            <w:tcW w:w="5954" w:type="dxa"/>
            <w:vAlign w:val="center"/>
          </w:tcPr>
          <w:p>
            <w:pPr>
              <w:autoSpaceDE w:val="0"/>
              <w:autoSpaceDN w:val="0"/>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第8.2（3）项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货物质量缺陷</w:t>
            </w:r>
          </w:p>
          <w:p>
            <w:pPr>
              <w:adjustRightInd w:val="0"/>
              <w:snapToGrid w:val="0"/>
              <w:ind w:firstLine="420"/>
              <w:jc w:val="left"/>
              <w:rPr>
                <w:rFonts w:hint="eastAsia" w:ascii="宋体" w:hAnsi="宋体"/>
                <w:szCs w:val="21"/>
              </w:rPr>
            </w:pPr>
            <w:r>
              <w:rPr>
                <w:rFonts w:hint="eastAsia" w:ascii="宋体" w:hAnsi="宋体"/>
                <w:szCs w:val="21"/>
              </w:rPr>
              <w:t>响应时间</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ind w:firstLine="420"/>
              <w:jc w:val="center"/>
              <w:rPr>
                <w:rFonts w:hint="eastAsia" w:ascii="宋体" w:hAnsi="宋体" w:cs="宋体"/>
                <w:szCs w:val="21"/>
              </w:rPr>
            </w:pPr>
            <w:r>
              <w:rPr>
                <w:rFonts w:hint="eastAsia" w:ascii="宋体" w:hAnsi="宋体" w:cs="宋体"/>
                <w:szCs w:val="21"/>
              </w:rPr>
              <w:t>第二节</w:t>
            </w:r>
          </w:p>
          <w:p>
            <w:pPr>
              <w:widowControl/>
              <w:autoSpaceDE w:val="0"/>
              <w:autoSpaceDN w:val="0"/>
              <w:adjustRightInd w:val="0"/>
              <w:ind w:firstLine="440"/>
              <w:jc w:val="center"/>
              <w:rPr>
                <w:rFonts w:hint="eastAsia" w:ascii="华文楷体" w:hAnsi="华文楷体" w:eastAsia="华文楷体" w:cs="华文楷体"/>
                <w:kern w:val="0"/>
                <w:sz w:val="22"/>
                <w:szCs w:val="21"/>
              </w:rPr>
            </w:pPr>
            <w:r>
              <w:rPr>
                <w:rFonts w:hint="eastAsia" w:ascii="宋体" w:hAnsi="宋体" w:cs="宋体"/>
                <w:kern w:val="0"/>
                <w:sz w:val="22"/>
                <w:szCs w:val="21"/>
              </w:rPr>
              <w:t>第11.1款</w:t>
            </w:r>
          </w:p>
        </w:tc>
        <w:tc>
          <w:tcPr>
            <w:tcW w:w="2362" w:type="dxa"/>
            <w:vAlign w:val="center"/>
          </w:tcPr>
          <w:p>
            <w:pPr>
              <w:adjustRightInd w:val="0"/>
              <w:snapToGrid w:val="0"/>
              <w:ind w:firstLine="420"/>
              <w:rPr>
                <w:rFonts w:hint="eastAsia" w:ascii="宋体" w:hAnsi="宋体"/>
                <w:szCs w:val="21"/>
              </w:rPr>
            </w:pPr>
            <w:r>
              <w:rPr>
                <w:rFonts w:hint="eastAsia" w:ascii="宋体" w:hAnsi="宋体"/>
                <w:szCs w:val="21"/>
              </w:rPr>
              <w:t>其他应当保密的信息</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第12.2款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合同价款支付时间</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第13.2款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履约保证金不予退还的情形</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第13.3款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履约保证金退还时间及逾期退还的违约金</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第14.1（3）项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运行监督、维修期限</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第14.1（5）项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货物回收的约定</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第14.1（6）项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乙方提供的其他服务</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修理、重作、更换相关具体规定</w:t>
            </w:r>
          </w:p>
        </w:tc>
        <w:tc>
          <w:tcPr>
            <w:tcW w:w="5954" w:type="dxa"/>
            <w:vAlign w:val="center"/>
          </w:tcPr>
          <w:p>
            <w:pPr>
              <w:adjustRightInd w:val="0"/>
              <w:snapToGrid w:val="0"/>
              <w:ind w:firstLine="420"/>
              <w:jc w:val="left"/>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第15.2（2）项</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迟延交货赔偿费</w:t>
            </w:r>
          </w:p>
        </w:tc>
        <w:tc>
          <w:tcPr>
            <w:tcW w:w="5954" w:type="dxa"/>
            <w:vAlign w:val="center"/>
          </w:tcPr>
          <w:p>
            <w:pPr>
              <w:adjustRightInd w:val="0"/>
              <w:snapToGrid w:val="0"/>
              <w:ind w:firstLine="42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第15.3款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szCs w:val="21"/>
              </w:rPr>
              <w:t>逾期付款利息</w:t>
            </w:r>
          </w:p>
        </w:tc>
        <w:tc>
          <w:tcPr>
            <w:tcW w:w="5954" w:type="dxa"/>
            <w:vAlign w:val="center"/>
          </w:tcPr>
          <w:p>
            <w:pPr>
              <w:adjustRightInd w:val="0"/>
              <w:snapToGrid w:val="0"/>
              <w:ind w:firstLine="42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ind w:firstLine="420"/>
              <w:jc w:val="left"/>
              <w:rPr>
                <w:rFonts w:hint="eastAsia" w:ascii="宋体" w:hAnsi="宋体"/>
                <w:szCs w:val="21"/>
              </w:rPr>
            </w:pPr>
            <w:r>
              <w:rPr>
                <w:rFonts w:hint="eastAsia" w:ascii="宋体" w:hAnsi="宋体"/>
                <w:szCs w:val="21"/>
              </w:rPr>
              <w:t>其他违约责任</w:t>
            </w:r>
          </w:p>
        </w:tc>
        <w:tc>
          <w:tcPr>
            <w:tcW w:w="5954" w:type="dxa"/>
            <w:tcBorders>
              <w:left w:val="single" w:color="auto" w:sz="2" w:space="0"/>
              <w:bottom w:val="single" w:color="auto" w:sz="2" w:space="0"/>
            </w:tcBorders>
            <w:vAlign w:val="center"/>
          </w:tcPr>
          <w:p>
            <w:pPr>
              <w:adjustRightInd w:val="0"/>
              <w:snapToGrid w:val="0"/>
              <w:ind w:firstLine="420"/>
              <w:jc w:val="left"/>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ind w:firstLine="420"/>
              <w:jc w:val="left"/>
              <w:rPr>
                <w:rFonts w:hint="eastAsia" w:ascii="宋体" w:hAnsi="宋体"/>
                <w:szCs w:val="21"/>
              </w:rPr>
            </w:pPr>
            <w:r>
              <w:rPr>
                <w:rFonts w:hint="eastAsia" w:ascii="宋体" w:hAnsi="宋体"/>
                <w:szCs w:val="21"/>
              </w:rPr>
              <w:t>解决争议的方法</w:t>
            </w:r>
          </w:p>
        </w:tc>
        <w:tc>
          <w:tcPr>
            <w:tcW w:w="5954" w:type="dxa"/>
            <w:tcBorders>
              <w:top w:val="single" w:color="auto" w:sz="2" w:space="0"/>
              <w:left w:val="single" w:color="auto" w:sz="2" w:space="0"/>
            </w:tcBorders>
            <w:vAlign w:val="center"/>
          </w:tcPr>
          <w:p>
            <w:pPr>
              <w:autoSpaceDE w:val="0"/>
              <w:autoSpaceDN w:val="0"/>
              <w:adjustRightInd w:val="0"/>
              <w:snapToGrid w:val="0"/>
              <w:ind w:firstLine="420"/>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ind w:firstLine="420"/>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ind w:firstLine="42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872" w:type="dxa"/>
            <w:vAlign w:val="center"/>
          </w:tcPr>
          <w:p>
            <w:pPr>
              <w:adjustRightInd w:val="0"/>
              <w:snapToGrid w:val="0"/>
              <w:ind w:firstLine="420"/>
              <w:jc w:val="center"/>
              <w:rPr>
                <w:rFonts w:hint="eastAsia" w:ascii="宋体" w:hAnsi="宋体"/>
                <w:szCs w:val="21"/>
              </w:rPr>
            </w:pPr>
            <w:r>
              <w:rPr>
                <w:rFonts w:hint="eastAsia" w:ascii="宋体" w:hAnsi="宋体"/>
                <w:szCs w:val="21"/>
              </w:rPr>
              <w:t>第二节</w:t>
            </w:r>
          </w:p>
          <w:p>
            <w:pPr>
              <w:adjustRightInd w:val="0"/>
              <w:snapToGrid w:val="0"/>
              <w:ind w:firstLine="420"/>
              <w:jc w:val="center"/>
              <w:rPr>
                <w:rFonts w:hint="eastAsia" w:ascii="宋体" w:hAnsi="宋体"/>
                <w:szCs w:val="21"/>
              </w:rPr>
            </w:pPr>
            <w:r>
              <w:rPr>
                <w:rFonts w:hint="eastAsia" w:ascii="宋体" w:hAnsi="宋体"/>
                <w:szCs w:val="21"/>
              </w:rPr>
              <w:t>第23.1款</w:t>
            </w:r>
          </w:p>
        </w:tc>
        <w:tc>
          <w:tcPr>
            <w:tcW w:w="2362" w:type="dxa"/>
            <w:vAlign w:val="center"/>
          </w:tcPr>
          <w:p>
            <w:pPr>
              <w:adjustRightInd w:val="0"/>
              <w:snapToGrid w:val="0"/>
              <w:ind w:firstLine="420"/>
              <w:jc w:val="left"/>
              <w:rPr>
                <w:rFonts w:hint="eastAsia" w:ascii="宋体" w:hAnsi="宋体"/>
                <w:szCs w:val="21"/>
              </w:rPr>
            </w:pPr>
            <w:r>
              <w:rPr>
                <w:rFonts w:hint="eastAsia" w:ascii="宋体" w:hAnsi="宋体"/>
                <w:bCs/>
                <w:szCs w:val="21"/>
              </w:rPr>
              <w:t>其他专用条款</w:t>
            </w:r>
          </w:p>
        </w:tc>
        <w:tc>
          <w:tcPr>
            <w:tcW w:w="5954" w:type="dxa"/>
            <w:vAlign w:val="center"/>
          </w:tcPr>
          <w:p>
            <w:pPr>
              <w:adjustRightInd w:val="0"/>
              <w:snapToGrid w:val="0"/>
              <w:ind w:firstLine="420"/>
              <w:jc w:val="left"/>
              <w:rPr>
                <w:rFonts w:hint="eastAsia" w:ascii="宋体" w:hAnsi="宋体"/>
                <w:szCs w:val="21"/>
              </w:rPr>
            </w:pPr>
          </w:p>
        </w:tc>
      </w:tr>
    </w:tbl>
    <w:p>
      <w:pPr>
        <w:widowControl/>
        <w:ind w:firstLine="420"/>
        <w:jc w:val="left"/>
        <w:rPr>
          <w:rFonts w:ascii="宋体" w:hAnsi="Courier New" w:cs="Courier New"/>
          <w:szCs w:val="21"/>
        </w:rPr>
      </w:pPr>
    </w:p>
    <w:p>
      <w:pPr>
        <w:widowControl/>
        <w:ind w:firstLine="0" w:firstLineChars="0"/>
        <w:jc w:val="left"/>
        <w:rPr>
          <w:rFonts w:ascii="宋体" w:hAnsi="Courier New" w:cs="Courier New"/>
          <w:szCs w:val="21"/>
        </w:rPr>
      </w:pPr>
      <w:r>
        <w:rPr>
          <w:rFonts w:ascii="宋体" w:hAnsi="Courier New" w:cs="Courier New"/>
          <w:szCs w:val="21"/>
        </w:rPr>
        <w:br w:type="page"/>
      </w:r>
    </w:p>
    <w:p>
      <w:pPr>
        <w:ind w:firstLine="0" w:firstLineChars="0"/>
      </w:pPr>
      <w:bookmarkStart w:id="253" w:name="_Hlk92701478"/>
    </w:p>
    <w:bookmarkEnd w:id="253"/>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46"/>
        <w:ind w:left="0" w:leftChars="0" w:right="0" w:rightChars="0" w:firstLine="0" w:firstLineChars="0"/>
        <w:jc w:val="center"/>
      </w:pPr>
      <w:bookmarkStart w:id="254" w:name="_Toc91512288"/>
      <w:bookmarkStart w:id="255" w:name="_Toc352700352"/>
      <w:bookmarkStart w:id="256" w:name="_Toc352700448"/>
      <w:r>
        <w:rPr>
          <w:rFonts w:hint="eastAsia"/>
        </w:rPr>
        <w:t>第六章　投标文件格式</w:t>
      </w:r>
      <w:bookmarkEnd w:id="254"/>
      <w:bookmarkEnd w:id="255"/>
      <w:bookmarkEnd w:id="256"/>
    </w:p>
    <w:p>
      <w:pPr>
        <w:pStyle w:val="28"/>
        <w:ind w:firstLine="0" w:firstLineChars="0"/>
        <w:rPr>
          <w:rFonts w:hint="eastAsia" w:hAnsi="宋体"/>
          <w:b/>
          <w:sz w:val="32"/>
          <w:szCs w:val="32"/>
        </w:rPr>
      </w:pPr>
      <w:r>
        <w:rPr>
          <w:rFonts w:hAnsi="宋体"/>
        </w:rPr>
        <w:br w:type="page"/>
      </w:r>
      <w:r>
        <w:rPr>
          <w:rFonts w:hAnsi="宋体"/>
        </w:rPr>
        <w:t xml:space="preserve"> </w:t>
      </w:r>
      <w:r>
        <w:rPr>
          <w:rFonts w:hint="eastAsia" w:hAnsi="宋体"/>
          <w:b/>
          <w:sz w:val="32"/>
          <w:szCs w:val="32"/>
        </w:rPr>
        <w:t>一、资格文件</w:t>
      </w:r>
    </w:p>
    <w:p>
      <w:pPr>
        <w:tabs>
          <w:tab w:val="left" w:pos="3402"/>
        </w:tabs>
        <w:spacing w:line="320" w:lineRule="exact"/>
        <w:ind w:firstLine="0" w:firstLineChars="0"/>
        <w:jc w:val="left"/>
        <w:rPr>
          <w:rFonts w:hint="eastAsia" w:ascii="仿宋_GB2312" w:hAnsi="Adobe 仿宋 Std R" w:eastAsia="仿宋_GB2312"/>
          <w:b/>
          <w:spacing w:val="10"/>
          <w:sz w:val="32"/>
          <w:szCs w:val="32"/>
        </w:rPr>
      </w:pPr>
    </w:p>
    <w:p>
      <w:pPr>
        <w:tabs>
          <w:tab w:val="left" w:pos="3402"/>
        </w:tabs>
        <w:spacing w:line="240" w:lineRule="auto"/>
        <w:ind w:firstLine="602" w:firstLineChars="0"/>
        <w:jc w:val="center"/>
        <w:rPr>
          <w:rFonts w:hint="eastAsia" w:ascii="仿宋_GB2312" w:hAnsi="Adobe 仿宋 Std R" w:eastAsia="仿宋_GB2312"/>
          <w:b/>
          <w:spacing w:val="10"/>
          <w:sz w:val="32"/>
          <w:szCs w:val="32"/>
        </w:rPr>
      </w:pPr>
      <w:r>
        <w:rPr>
          <w:rFonts w:hint="eastAsia" w:ascii="仿宋_GB2312" w:hAnsi="Adobe 仿宋 Std R" w:eastAsia="仿宋_GB2312"/>
          <w:b/>
          <w:spacing w:val="10"/>
          <w:sz w:val="32"/>
          <w:szCs w:val="32"/>
        </w:rPr>
        <w:t>投标人具备参加政府采购活动条件的承诺书</w:t>
      </w:r>
      <w:r>
        <w:rPr>
          <w:rFonts w:hint="eastAsia" w:ascii="仿宋_GB2312" w:hAnsi="Adobe 仿宋 Std R" w:eastAsia="仿宋_GB2312" w:cs="黑体"/>
          <w:bCs/>
          <w:sz w:val="24"/>
        </w:rPr>
        <w:t>(格式)</w:t>
      </w:r>
    </w:p>
    <w:p>
      <w:pPr>
        <w:tabs>
          <w:tab w:val="left" w:pos="3402"/>
        </w:tabs>
        <w:spacing w:line="240" w:lineRule="auto"/>
        <w:ind w:firstLine="0" w:firstLineChars="0"/>
        <w:jc w:val="left"/>
        <w:rPr>
          <w:rFonts w:hint="eastAsia" w:ascii="仿宋_GB2312" w:hAnsi="仿宋" w:eastAsia="仿宋_GB2312"/>
          <w:b/>
          <w:spacing w:val="10"/>
          <w:szCs w:val="21"/>
        </w:rPr>
      </w:pPr>
    </w:p>
    <w:p>
      <w:pPr>
        <w:spacing w:line="520" w:lineRule="exact"/>
        <w:ind w:firstLine="0" w:firstLineChars="0"/>
        <w:rPr>
          <w:rFonts w:hint="eastAsia" w:ascii="宋体" w:hAnsi="宋体"/>
          <w:bCs/>
          <w:szCs w:val="22"/>
        </w:rPr>
      </w:pPr>
      <w:r>
        <w:rPr>
          <w:rFonts w:hint="eastAsia" w:ascii="宋体" w:hAnsi="宋体"/>
          <w:bCs/>
          <w:szCs w:val="22"/>
        </w:rPr>
        <w:t>钦州市政府采购中心：</w:t>
      </w:r>
    </w:p>
    <w:p>
      <w:pPr>
        <w:spacing w:line="520" w:lineRule="exact"/>
        <w:ind w:firstLine="420" w:firstLineChars="0"/>
        <w:rPr>
          <w:rFonts w:hint="eastAsia"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firstLineChars="0"/>
        <w:rPr>
          <w:rFonts w:hint="eastAsia" w:ascii="宋体" w:hAnsi="宋体"/>
          <w:bCs/>
          <w:szCs w:val="22"/>
        </w:rPr>
      </w:pPr>
      <w:r>
        <w:rPr>
          <w:rFonts w:ascii="宋体" w:hAnsi="宋体"/>
          <w:bCs/>
          <w:szCs w:val="22"/>
          <w:u w:val="single"/>
        </w:rPr>
        <w:t>(</w:t>
      </w:r>
      <w:r>
        <w:rPr>
          <w:rFonts w:hint="eastAsia" w:ascii="宋体" w:hAnsi="宋体"/>
          <w:bCs/>
          <w:szCs w:val="22"/>
          <w:u w:val="single"/>
        </w:rPr>
        <w:t>投标人名称)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firstLineChars="0"/>
        <w:rPr>
          <w:rFonts w:hint="eastAsia"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firstLineChars="0"/>
        <w:rPr>
          <w:rFonts w:hint="eastAsia" w:ascii="宋体" w:hAnsi="宋体"/>
          <w:bCs/>
          <w:szCs w:val="22"/>
        </w:rPr>
      </w:pPr>
      <w:r>
        <w:rPr>
          <w:rFonts w:hint="eastAsia" w:ascii="宋体" w:hAnsi="宋体"/>
          <w:bCs/>
          <w:szCs w:val="22"/>
        </w:rPr>
        <w:t>特此承诺。</w:t>
      </w:r>
    </w:p>
    <w:p>
      <w:pPr>
        <w:spacing w:line="240" w:lineRule="auto"/>
        <w:ind w:firstLine="420" w:firstLineChars="0"/>
        <w:rPr>
          <w:rFonts w:hint="eastAsia" w:ascii="宋体" w:hAnsi="宋体"/>
          <w:bCs/>
          <w:szCs w:val="22"/>
        </w:rPr>
      </w:pPr>
    </w:p>
    <w:p>
      <w:pPr>
        <w:spacing w:line="240" w:lineRule="auto"/>
        <w:ind w:firstLine="420" w:firstLineChars="0"/>
        <w:rPr>
          <w:rFonts w:hint="eastAsia" w:ascii="宋体" w:hAnsi="宋体"/>
          <w:bCs/>
          <w:szCs w:val="22"/>
        </w:rPr>
      </w:pPr>
    </w:p>
    <w:p>
      <w:pPr>
        <w:spacing w:line="240" w:lineRule="auto"/>
        <w:ind w:firstLine="420" w:firstLineChars="0"/>
        <w:rPr>
          <w:rFonts w:hint="eastAsia" w:ascii="宋体" w:hAnsi="宋体"/>
          <w:bCs/>
          <w:szCs w:val="22"/>
        </w:rPr>
      </w:pPr>
    </w:p>
    <w:p>
      <w:pPr>
        <w:spacing w:line="440" w:lineRule="exact"/>
        <w:ind w:right="1050" w:rightChars="500" w:firstLine="5250" w:firstLineChars="2500"/>
        <w:jc w:val="left"/>
        <w:rPr>
          <w:rFonts w:hint="eastAsia"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投标人（盖章）：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firstLine="0" w:firstLineChars="0"/>
        <w:jc w:val="center"/>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ind w:firstLine="0" w:firstLineChars="0"/>
      </w:pPr>
    </w:p>
    <w:p>
      <w:pPr>
        <w:ind w:firstLine="0" w:firstLineChars="0"/>
      </w:pPr>
    </w:p>
    <w:p>
      <w:pPr>
        <w:ind w:firstLine="0" w:firstLineChars="0"/>
      </w:pPr>
    </w:p>
    <w:p>
      <w:pPr>
        <w:tabs>
          <w:tab w:val="left" w:pos="3402"/>
        </w:tabs>
        <w:ind w:firstLine="683"/>
        <w:jc w:val="center"/>
        <w:rPr>
          <w:rFonts w:hint="eastAsia" w:ascii="仿宋_GB2312" w:hAnsi="仿宋" w:eastAsia="仿宋_GB2312"/>
          <w:b/>
          <w:spacing w:val="10"/>
          <w:sz w:val="28"/>
          <w:szCs w:val="28"/>
        </w:rPr>
      </w:pPr>
      <w:r>
        <w:rPr>
          <w:rFonts w:hint="eastAsia" w:ascii="仿宋_GB2312" w:hAnsi="仿宋" w:eastAsia="仿宋_GB2312"/>
          <w:b/>
          <w:spacing w:val="10"/>
          <w:sz w:val="32"/>
          <w:szCs w:val="32"/>
        </w:rPr>
        <w:t>无重大违法记录的书面声明</w:t>
      </w:r>
      <w:r>
        <w:rPr>
          <w:rFonts w:hint="eastAsia" w:ascii="仿宋_GB2312" w:hAnsi="仿宋" w:eastAsia="仿宋_GB2312"/>
          <w:bCs/>
          <w:spacing w:val="10"/>
          <w:sz w:val="24"/>
        </w:rPr>
        <w:t>（格式）</w:t>
      </w:r>
    </w:p>
    <w:p>
      <w:pPr>
        <w:tabs>
          <w:tab w:val="left" w:pos="3402"/>
        </w:tabs>
        <w:ind w:firstLine="0" w:firstLineChars="0"/>
        <w:jc w:val="left"/>
        <w:rPr>
          <w:rFonts w:hint="eastAsia" w:ascii="仿宋_GB2312" w:hAnsi="仿宋" w:eastAsia="仿宋_GB2312"/>
          <w:b/>
          <w:spacing w:val="10"/>
          <w:szCs w:val="21"/>
        </w:rPr>
      </w:pPr>
    </w:p>
    <w:p>
      <w:pPr>
        <w:spacing w:line="440" w:lineRule="exact"/>
        <w:ind w:firstLine="0" w:firstLineChars="0"/>
        <w:rPr>
          <w:rFonts w:hint="eastAsia" w:ascii="宋体" w:hAnsi="宋体"/>
          <w:bCs/>
        </w:rPr>
      </w:pPr>
      <w:r>
        <w:rPr>
          <w:rFonts w:hint="eastAsia" w:ascii="宋体" w:hAnsi="宋体"/>
          <w:bCs/>
        </w:rPr>
        <w:t>钦州市政府采购中心：</w:t>
      </w:r>
    </w:p>
    <w:p>
      <w:pPr>
        <w:spacing w:line="440" w:lineRule="exact"/>
        <w:ind w:firstLine="420"/>
        <w:rPr>
          <w:rFonts w:hint="eastAsia"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w:t>
      </w:r>
      <w:r>
        <w:rPr>
          <w:rFonts w:hint="eastAsia" w:ascii="宋体" w:hAnsi="宋体"/>
          <w:bCs/>
          <w:u w:val="single"/>
        </w:rPr>
        <w:t>（投标人名称）</w:t>
      </w:r>
      <w:r>
        <w:rPr>
          <w:rFonts w:hint="eastAsia" w:ascii="宋体" w:hAnsi="宋体"/>
          <w:bCs/>
        </w:rPr>
        <w:t>郑重声明：</w:t>
      </w:r>
    </w:p>
    <w:p>
      <w:pPr>
        <w:spacing w:line="440" w:lineRule="exact"/>
        <w:ind w:firstLine="420"/>
        <w:rPr>
          <w:rFonts w:hint="eastAsia" w:ascii="宋体" w:hAnsi="宋体"/>
          <w:bCs/>
        </w:rPr>
      </w:pPr>
      <w:r>
        <w:rPr>
          <w:rFonts w:ascii="宋体" w:hAnsi="宋体"/>
          <w:bCs/>
          <w:u w:val="single"/>
        </w:rPr>
        <w:t>(</w:t>
      </w:r>
      <w:r>
        <w:rPr>
          <w:rFonts w:hint="eastAsia" w:ascii="宋体" w:hAnsi="宋体"/>
          <w:bCs/>
          <w:u w:val="single"/>
        </w:rPr>
        <w:t>投标人名称)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440" w:lineRule="exact"/>
        <w:ind w:firstLine="420"/>
        <w:rPr>
          <w:rFonts w:hint="eastAsia" w:ascii="宋体" w:hAnsi="宋体"/>
          <w:bCs/>
        </w:rPr>
      </w:pPr>
      <w:r>
        <w:rPr>
          <w:rFonts w:hint="eastAsia" w:ascii="宋体" w:hAnsi="宋体"/>
          <w:bCs/>
        </w:rPr>
        <w:t>本单位对上述声明内容事项真实性负责，如有虚假，由我单位承担相关法律责任。</w:t>
      </w:r>
    </w:p>
    <w:p>
      <w:pPr>
        <w:ind w:firstLine="420"/>
        <w:rPr>
          <w:rFonts w:hint="eastAsia" w:ascii="宋体" w:hAnsi="宋体"/>
          <w:bCs/>
        </w:rPr>
      </w:pPr>
      <w:r>
        <w:rPr>
          <w:rFonts w:hint="eastAsia" w:ascii="宋体" w:hAnsi="宋体"/>
          <w:bCs/>
        </w:rPr>
        <w:t>特此声明。</w:t>
      </w:r>
    </w:p>
    <w:p>
      <w:pPr>
        <w:ind w:firstLine="420"/>
        <w:rPr>
          <w:rFonts w:hint="eastAsia" w:ascii="宋体" w:hAnsi="宋体"/>
          <w:bCs/>
        </w:rPr>
      </w:pPr>
    </w:p>
    <w:p>
      <w:pPr>
        <w:ind w:firstLine="420"/>
        <w:rPr>
          <w:rFonts w:hint="eastAsia" w:ascii="宋体" w:hAnsi="宋体"/>
          <w:bCs/>
        </w:rPr>
      </w:pPr>
    </w:p>
    <w:p>
      <w:pPr>
        <w:ind w:firstLine="420"/>
        <w:rPr>
          <w:rFonts w:hint="eastAsia" w:ascii="宋体" w:hAnsi="宋体"/>
          <w:bCs/>
        </w:rPr>
      </w:pPr>
    </w:p>
    <w:p>
      <w:pPr>
        <w:ind w:right="1050" w:rightChars="500" w:firstLine="4819" w:firstLineChars="2295"/>
        <w:jc w:val="left"/>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投标人（盖章）：</w:t>
      </w:r>
      <w:r>
        <w:rPr>
          <w:rFonts w:hint="eastAsia" w:ascii="宋体" w:hAnsi="宋体"/>
          <w:bCs/>
          <w:u w:val="single"/>
        </w:rPr>
        <w:t xml:space="preserve">          </w:t>
      </w:r>
      <w:r>
        <w:rPr>
          <w:rFonts w:ascii="宋体" w:hAnsi="宋体"/>
          <w:bCs/>
          <w:u w:val="single"/>
        </w:rPr>
        <w:t xml:space="preserve"> </w:t>
      </w:r>
    </w:p>
    <w:p>
      <w:pPr>
        <w:ind w:right="1050" w:rightChars="500" w:firstLine="420"/>
        <w:jc w:val="right"/>
        <w:rPr>
          <w:rFonts w:hint="eastAsia" w:ascii="宋体" w:hAnsi="宋体"/>
          <w:bCs/>
        </w:rPr>
      </w:pPr>
      <w:r>
        <w:rPr>
          <w:rFonts w:hint="eastAsia" w:ascii="宋体" w:hAnsi="宋体"/>
          <w:bCs/>
        </w:rPr>
        <w:t>日期：</w:t>
      </w:r>
      <w:bookmarkStart w:id="257" w:name="_Hlk112336125"/>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bookmarkEnd w:id="257"/>
    </w:p>
    <w:p>
      <w:pPr>
        <w:snapToGrid w:val="0"/>
        <w:spacing w:before="156" w:beforeLines="50" w:after="50" w:line="360" w:lineRule="exact"/>
        <w:ind w:firstLine="0" w:firstLineChars="0"/>
        <w:jc w:val="left"/>
        <w:rPr>
          <w:rFonts w:hint="eastAsia" w:ascii="宋体" w:hAnsi="宋体"/>
          <w:b/>
          <w:sz w:val="32"/>
          <w:szCs w:val="32"/>
        </w:rPr>
      </w:pPr>
      <w:r>
        <w:rPr>
          <w:rFonts w:ascii="宋体" w:hAnsi="宋体"/>
          <w:b/>
          <w:sz w:val="32"/>
          <w:szCs w:val="32"/>
        </w:rPr>
        <w:br w:type="page"/>
      </w:r>
      <w:r>
        <w:rPr>
          <w:rFonts w:hint="eastAsia" w:ascii="宋体" w:hAnsi="宋体"/>
          <w:b/>
          <w:sz w:val="32"/>
          <w:szCs w:val="32"/>
        </w:rPr>
        <w:t>二、资信技术文件</w:t>
      </w:r>
    </w:p>
    <w:p>
      <w:pPr>
        <w:snapToGrid w:val="0"/>
        <w:spacing w:before="156" w:beforeLines="50" w:after="50" w:line="360" w:lineRule="exact"/>
        <w:ind w:firstLine="0" w:firstLineChars="0"/>
        <w:jc w:val="center"/>
        <w:rPr>
          <w:rFonts w:hint="eastAsia" w:ascii="仿宋_GB2312" w:hAnsi="宋体" w:eastAsia="仿宋_GB2312"/>
          <w:b/>
          <w:sz w:val="28"/>
          <w:szCs w:val="28"/>
        </w:rPr>
      </w:pPr>
      <w:r>
        <w:rPr>
          <w:rFonts w:hint="eastAsia" w:ascii="仿宋_GB2312" w:hAnsi="宋体" w:eastAsia="仿宋_GB2312"/>
          <w:b/>
          <w:sz w:val="28"/>
          <w:szCs w:val="28"/>
        </w:rPr>
        <w:t>投 标 函</w:t>
      </w:r>
      <w:r>
        <w:rPr>
          <w:rFonts w:hint="eastAsia" w:ascii="仿宋_GB2312" w:hAnsi="宋体" w:eastAsia="仿宋_GB2312"/>
          <w:bCs/>
          <w:sz w:val="24"/>
        </w:rPr>
        <w:t>（格式）</w:t>
      </w:r>
    </w:p>
    <w:p>
      <w:pPr>
        <w:ind w:firstLine="0" w:firstLineChars="0"/>
        <w:rPr>
          <w:rFonts w:hint="eastAsia" w:ascii="宋体" w:hAnsi="宋体"/>
          <w:szCs w:val="21"/>
        </w:rPr>
      </w:pPr>
      <w:r>
        <w:rPr>
          <w:rFonts w:hint="eastAsia" w:ascii="宋体" w:hAnsi="宋体"/>
          <w:szCs w:val="21"/>
        </w:rPr>
        <w:t>致：钦州市政府采购中心：</w:t>
      </w:r>
    </w:p>
    <w:p>
      <w:pPr>
        <w:ind w:firstLine="0" w:firstLineChars="0"/>
        <w:rPr>
          <w:rFonts w:hint="eastAsia" w:ascii="宋体" w:hAnsi="宋体"/>
          <w:szCs w:val="21"/>
        </w:rPr>
      </w:pPr>
    </w:p>
    <w:p>
      <w:pPr>
        <w:ind w:firstLine="0" w:firstLineChars="0"/>
        <w:jc w:val="left"/>
        <w:rPr>
          <w:rFonts w:hint="eastAsia" w:ascii="宋体" w:hAnsi="宋体"/>
          <w:szCs w:val="21"/>
        </w:rPr>
      </w:pPr>
      <w:r>
        <w:rPr>
          <w:rFonts w:ascii="宋体" w:hAnsi="宋体"/>
          <w:szCs w:val="21"/>
        </w:rPr>
        <w:tab/>
      </w:r>
      <w:r>
        <w:rPr>
          <w:rFonts w:hint="eastAsia" w:ascii="宋体" w:hAnsi="宋体"/>
          <w:szCs w:val="21"/>
        </w:rPr>
        <w:t>根据贵方为</w:t>
      </w:r>
      <w:r>
        <w:rPr>
          <w:rFonts w:hint="eastAsia" w:ascii="宋体" w:hAnsi="宋体"/>
          <w:szCs w:val="21"/>
          <w:u w:val="single"/>
        </w:rPr>
        <w:t xml:space="preserve">   （项目名称）</w:t>
      </w:r>
      <w:r>
        <w:rPr>
          <w:rFonts w:ascii="宋体" w:hAnsi="宋体"/>
          <w:szCs w:val="21"/>
          <w:u w:val="single"/>
        </w:rPr>
        <w:t xml:space="preserve">   </w:t>
      </w:r>
      <w:r>
        <w:rPr>
          <w:rFonts w:hint="eastAsia" w:ascii="宋体" w:hAnsi="宋体"/>
          <w:szCs w:val="21"/>
        </w:rPr>
        <w:t>招标文件</w:t>
      </w:r>
      <w:r>
        <w:rPr>
          <w:rFonts w:hint="eastAsia" w:ascii="宋体" w:hAnsi="宋体"/>
          <w:szCs w:val="21"/>
          <w:u w:val="single"/>
        </w:rPr>
        <w:t xml:space="preserve"> （项目编号及分标号）</w:t>
      </w:r>
      <w:r>
        <w:rPr>
          <w:rFonts w:ascii="宋体" w:hAnsi="宋体"/>
          <w:szCs w:val="21"/>
          <w:u w:val="single"/>
        </w:rPr>
        <w:t xml:space="preserve"> </w:t>
      </w:r>
      <w:r>
        <w:rPr>
          <w:rFonts w:hint="eastAsia" w:ascii="宋体" w:hAnsi="宋体"/>
          <w:szCs w:val="21"/>
        </w:rPr>
        <w:t>，</w:t>
      </w:r>
      <w:bookmarkStart w:id="258" w:name="_Hlk92702218"/>
      <w:r>
        <w:rPr>
          <w:rFonts w:hint="eastAsia" w:ascii="宋体" w:hAnsi="宋体"/>
          <w:szCs w:val="21"/>
        </w:rPr>
        <w:t>我方</w:t>
      </w:r>
      <w:r>
        <w:rPr>
          <w:rFonts w:hint="eastAsia" w:ascii="宋体" w:hAnsi="宋体"/>
          <w:szCs w:val="21"/>
          <w:u w:val="single"/>
        </w:rPr>
        <w:t xml:space="preserve">  （投标人名称）  </w:t>
      </w:r>
      <w:r>
        <w:rPr>
          <w:rFonts w:hint="eastAsia" w:ascii="宋体" w:hAnsi="宋体"/>
          <w:szCs w:val="21"/>
        </w:rPr>
        <w:t>经正式授权代表</w:t>
      </w:r>
      <w:r>
        <w:rPr>
          <w:rFonts w:hint="eastAsia" w:ascii="宋体" w:hAnsi="宋体"/>
          <w:szCs w:val="21"/>
          <w:u w:val="single"/>
        </w:rPr>
        <w:t xml:space="preserve">   （被授权人）   </w:t>
      </w:r>
      <w:r>
        <w:rPr>
          <w:rFonts w:hint="eastAsia" w:ascii="宋体" w:hAnsi="宋体"/>
          <w:szCs w:val="21"/>
        </w:rPr>
        <w:t>提交</w:t>
      </w:r>
      <w:bookmarkEnd w:id="258"/>
      <w:r>
        <w:rPr>
          <w:rFonts w:hint="eastAsia" w:ascii="宋体" w:hAnsi="宋体"/>
          <w:szCs w:val="21"/>
        </w:rPr>
        <w:t>投标文件：</w:t>
      </w:r>
    </w:p>
    <w:p>
      <w:pPr>
        <w:ind w:firstLine="0" w:firstLineChars="0"/>
        <w:rPr>
          <w:rFonts w:hint="eastAsia" w:ascii="宋体" w:hAnsi="宋体"/>
          <w:szCs w:val="21"/>
        </w:rPr>
      </w:pPr>
      <w:r>
        <w:rPr>
          <w:rFonts w:ascii="宋体" w:hAnsi="宋体"/>
          <w:szCs w:val="21"/>
        </w:rPr>
        <w:tab/>
      </w:r>
      <w:r>
        <w:rPr>
          <w:rFonts w:hint="eastAsia" w:ascii="宋体" w:hAnsi="宋体"/>
          <w:szCs w:val="21"/>
        </w:rPr>
        <w:t>据此函，投标人承诺：</w:t>
      </w:r>
    </w:p>
    <w:p>
      <w:pPr>
        <w:snapToGrid w:val="0"/>
        <w:spacing w:line="360" w:lineRule="exact"/>
        <w:ind w:firstLine="420"/>
        <w:rPr>
          <w:rFonts w:hint="eastAsia" w:ascii="宋体" w:hAnsi="宋体"/>
          <w:szCs w:val="21"/>
        </w:rPr>
      </w:pPr>
      <w:r>
        <w:rPr>
          <w:rFonts w:ascii="宋体" w:hAnsi="宋体"/>
          <w:szCs w:val="21"/>
        </w:rPr>
        <w:t>1.</w:t>
      </w:r>
      <w:r>
        <w:rPr>
          <w:rFonts w:hint="eastAsia" w:ascii="宋体" w:hAnsi="宋体"/>
          <w:szCs w:val="21"/>
        </w:rPr>
        <w:t>我方已详细审阅招标文件（包括澄清或者修改文件），已经了解我方对于招标文件、采购过程、采购结果有依法进行询问、质疑、投诉的权利及相关渠道和要求。</w:t>
      </w:r>
    </w:p>
    <w:p>
      <w:pPr>
        <w:snapToGrid w:val="0"/>
        <w:spacing w:line="360" w:lineRule="exact"/>
        <w:ind w:firstLine="420"/>
        <w:rPr>
          <w:rFonts w:hint="eastAsia"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rPr>
          <w:rFonts w:hint="eastAsia" w:ascii="宋体" w:hAnsi="宋体"/>
          <w:szCs w:val="21"/>
        </w:rPr>
      </w:pPr>
      <w:r>
        <w:rPr>
          <w:rFonts w:ascii="宋体" w:hAnsi="宋体"/>
          <w:szCs w:val="21"/>
        </w:rPr>
        <w:t>3.</w:t>
      </w:r>
      <w:r>
        <w:rPr>
          <w:rFonts w:hint="eastAsia" w:ascii="宋体" w:hAnsi="宋体"/>
          <w:szCs w:val="21"/>
        </w:rPr>
        <w:t>我方在投标之前已经与贵方进行了充分的沟通，完全理解并接受招标文件的各项规定和要求，对招标文件的合理性、合法性不再有异议。</w:t>
      </w:r>
    </w:p>
    <w:p>
      <w:pPr>
        <w:snapToGrid w:val="0"/>
        <w:spacing w:line="360" w:lineRule="exact"/>
        <w:ind w:firstLine="420"/>
        <w:rPr>
          <w:rFonts w:hint="eastAsia" w:ascii="宋体" w:hAnsi="宋体"/>
          <w:szCs w:val="21"/>
        </w:rPr>
      </w:pPr>
      <w:r>
        <w:rPr>
          <w:rFonts w:ascii="宋体" w:hAnsi="宋体"/>
          <w:szCs w:val="21"/>
        </w:rPr>
        <w:t>4.</w:t>
      </w:r>
      <w:r>
        <w:rPr>
          <w:rFonts w:hint="eastAsia" w:ascii="宋体" w:hAnsi="宋体"/>
          <w:szCs w:val="21"/>
        </w:rPr>
        <w:t>我方同意在开标日期起遵循本投标文件，并在投标有效期9</w:t>
      </w:r>
      <w:r>
        <w:rPr>
          <w:rFonts w:ascii="宋体" w:hAnsi="宋体"/>
          <w:szCs w:val="21"/>
        </w:rPr>
        <w:t>0</w:t>
      </w:r>
      <w:r>
        <w:rPr>
          <w:rFonts w:hint="eastAsia" w:ascii="宋体" w:hAnsi="宋体"/>
          <w:szCs w:val="21"/>
        </w:rPr>
        <w:t>天内均具有约束力。</w:t>
      </w:r>
    </w:p>
    <w:p>
      <w:pPr>
        <w:ind w:firstLine="0" w:firstLineChars="0"/>
        <w:rPr>
          <w:rFonts w:hint="eastAsia" w:ascii="宋体" w:hAnsi="宋体"/>
          <w:szCs w:val="21"/>
        </w:rPr>
      </w:pPr>
      <w:r>
        <w:rPr>
          <w:rFonts w:ascii="宋体" w:hAnsi="宋体"/>
          <w:szCs w:val="21"/>
        </w:rPr>
        <w:tab/>
      </w:r>
      <w:r>
        <w:rPr>
          <w:rFonts w:ascii="宋体" w:hAnsi="宋体"/>
          <w:szCs w:val="21"/>
        </w:rPr>
        <w:t>5</w:t>
      </w:r>
      <w:r>
        <w:rPr>
          <w:rFonts w:hint="eastAsia" w:ascii="宋体" w:hAnsi="宋体"/>
          <w:szCs w:val="21"/>
        </w:rPr>
        <w:t>.我方承诺具备《中华人民共和国政府采购法》中规定的参加政府采购活动供应商应当具备的条件。</w:t>
      </w:r>
    </w:p>
    <w:p>
      <w:pPr>
        <w:ind w:firstLine="0" w:firstLineChars="0"/>
        <w:rPr>
          <w:rFonts w:hint="eastAsia" w:ascii="宋体" w:hAnsi="宋体"/>
          <w:szCs w:val="21"/>
        </w:rPr>
      </w:pPr>
      <w:r>
        <w:rPr>
          <w:rFonts w:ascii="宋体" w:hAnsi="宋体"/>
          <w:szCs w:val="21"/>
        </w:rPr>
        <w:tab/>
      </w:r>
      <w:r>
        <w:rPr>
          <w:rFonts w:ascii="宋体" w:hAnsi="宋体"/>
          <w:szCs w:val="21"/>
        </w:rPr>
        <w:t>6</w:t>
      </w:r>
      <w:r>
        <w:rPr>
          <w:rFonts w:hint="eastAsia" w:ascii="宋体" w:hAnsi="宋体"/>
          <w:szCs w:val="21"/>
        </w:rPr>
        <w:t>.我方根据招标文件的规定，承担完成合同的责任和义务。</w:t>
      </w:r>
    </w:p>
    <w:p>
      <w:pPr>
        <w:ind w:firstLine="0" w:firstLineChars="0"/>
        <w:rPr>
          <w:rFonts w:hint="eastAsia" w:ascii="宋体" w:hAnsi="宋体"/>
          <w:szCs w:val="21"/>
        </w:rPr>
      </w:pPr>
      <w:r>
        <w:rPr>
          <w:rFonts w:ascii="宋体" w:hAnsi="宋体"/>
          <w:szCs w:val="21"/>
        </w:rPr>
        <w:tab/>
      </w:r>
      <w:r>
        <w:rPr>
          <w:rFonts w:ascii="宋体" w:hAnsi="宋体"/>
          <w:szCs w:val="21"/>
        </w:rPr>
        <w:t>7</w:t>
      </w:r>
      <w:r>
        <w:rPr>
          <w:rFonts w:hint="eastAsia" w:ascii="宋体" w:hAnsi="宋体"/>
          <w:szCs w:val="21"/>
        </w:rPr>
        <w:t>.如果在投标截止时间后的投标有效期内撤回投标或者有其他违约行为，我方的投标保证金可被贵方全部没收。</w:t>
      </w:r>
    </w:p>
    <w:p>
      <w:pPr>
        <w:ind w:firstLine="0" w:firstLineChars="0"/>
        <w:rPr>
          <w:rFonts w:hint="eastAsia" w:ascii="宋体" w:hAnsi="宋体"/>
          <w:szCs w:val="21"/>
        </w:rPr>
      </w:pPr>
      <w:r>
        <w:rPr>
          <w:rFonts w:ascii="宋体" w:hAnsi="宋体"/>
          <w:szCs w:val="21"/>
        </w:rPr>
        <w:tab/>
      </w:r>
      <w:r>
        <w:rPr>
          <w:rFonts w:ascii="宋体" w:hAnsi="宋体"/>
          <w:szCs w:val="21"/>
        </w:rPr>
        <w:t>8</w:t>
      </w:r>
      <w:r>
        <w:rPr>
          <w:rFonts w:hint="eastAsia" w:ascii="宋体" w:hAnsi="宋体"/>
          <w:szCs w:val="21"/>
        </w:rPr>
        <w:t>.同意向贵方提供贵方可能要求的与本投标有关的人员、数据和资料。</w:t>
      </w:r>
    </w:p>
    <w:p>
      <w:pPr>
        <w:ind w:firstLine="0" w:firstLineChars="0"/>
        <w:rPr>
          <w:rFonts w:hint="eastAsia" w:ascii="宋体" w:hAnsi="宋体"/>
          <w:szCs w:val="21"/>
        </w:rPr>
      </w:pPr>
      <w:r>
        <w:rPr>
          <w:rFonts w:ascii="宋体" w:hAnsi="宋体"/>
          <w:szCs w:val="21"/>
        </w:rPr>
        <w:tab/>
      </w:r>
      <w:r>
        <w:rPr>
          <w:rFonts w:ascii="宋体" w:hAnsi="宋体"/>
          <w:szCs w:val="21"/>
        </w:rPr>
        <w:t>9</w:t>
      </w:r>
      <w:r>
        <w:rPr>
          <w:rFonts w:hint="eastAsia" w:ascii="宋体" w:hAnsi="宋体"/>
          <w:szCs w:val="21"/>
        </w:rPr>
        <w:t>.我方完全理解贵方不一定要接受最低报价的投标人为中标人。</w:t>
      </w:r>
    </w:p>
    <w:p>
      <w:pPr>
        <w:ind w:firstLine="424" w:firstLineChars="202"/>
        <w:rPr>
          <w:rFonts w:hint="eastAsia" w:ascii="宋体" w:hAnsi="宋体"/>
          <w:szCs w:val="21"/>
        </w:rPr>
      </w:pPr>
      <w:r>
        <w:rPr>
          <w:rFonts w:ascii="宋体" w:hAnsi="宋体"/>
          <w:szCs w:val="21"/>
        </w:rPr>
        <w:t>10.</w:t>
      </w:r>
      <w:r>
        <w:rPr>
          <w:rFonts w:hint="eastAsia" w:ascii="宋体" w:hAnsi="宋体"/>
          <w:szCs w:val="21"/>
        </w:rPr>
        <w:t>我方向贵方提交的所有投标文件、资料都是准确的和真实的。</w:t>
      </w:r>
    </w:p>
    <w:p>
      <w:pPr>
        <w:ind w:firstLine="0" w:firstLineChars="0"/>
        <w:rPr>
          <w:rFonts w:hint="eastAsia" w:ascii="宋体" w:hAnsi="宋体"/>
          <w:szCs w:val="21"/>
        </w:rPr>
      </w:pPr>
    </w:p>
    <w:p>
      <w:pPr>
        <w:ind w:firstLine="426" w:firstLineChars="0"/>
        <w:rPr>
          <w:rFonts w:hint="eastAsia" w:ascii="宋体" w:hAnsi="宋体"/>
          <w:szCs w:val="21"/>
        </w:rPr>
      </w:pPr>
      <w:r>
        <w:rPr>
          <w:rFonts w:hint="eastAsia" w:ascii="宋体" w:hAnsi="宋体"/>
          <w:szCs w:val="21"/>
        </w:rPr>
        <w:t>与我公司有关的正式通讯方式：</w:t>
      </w:r>
    </w:p>
    <w:p>
      <w:pPr>
        <w:ind w:firstLine="0" w:firstLineChars="0"/>
        <w:rPr>
          <w:rFonts w:hint="eastAsia"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ind w:firstLine="0" w:firstLineChars="0"/>
        <w:rPr>
          <w:rFonts w:hint="eastAsia"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Pr>
        <w:ind w:firstLine="0" w:firstLineChars="0"/>
        <w:rPr>
          <w:rFonts w:hint="eastAsia" w:ascii="宋体" w:hAnsi="宋体"/>
          <w:szCs w:val="21"/>
        </w:rPr>
      </w:pPr>
    </w:p>
    <w:p>
      <w:pPr>
        <w:ind w:firstLine="0" w:firstLineChars="0"/>
        <w:rPr>
          <w:rFonts w:hint="eastAsia" w:ascii="宋体" w:hAnsi="宋体"/>
          <w:szCs w:val="21"/>
        </w:rPr>
      </w:pPr>
    </w:p>
    <w:p>
      <w:pPr>
        <w:ind w:firstLine="0" w:firstLineChars="0"/>
        <w:rPr>
          <w:rFonts w:hint="eastAsia" w:ascii="宋体" w:hAnsi="宋体"/>
          <w:szCs w:val="21"/>
        </w:rPr>
      </w:pPr>
    </w:p>
    <w:p>
      <w:pPr>
        <w:ind w:firstLine="0" w:firstLineChars="0"/>
        <w:rPr>
          <w:rFonts w:hint="eastAsia" w:ascii="宋体" w:hAnsi="宋体"/>
          <w:szCs w:val="21"/>
          <w:u w:val="single"/>
        </w:rPr>
      </w:pPr>
      <w:r>
        <w:rPr>
          <w:rFonts w:ascii="宋体" w:hAnsi="宋体"/>
          <w:szCs w:val="21"/>
        </w:rPr>
        <w:tab/>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ind w:firstLine="0" w:firstLineChars="0"/>
        <w:rPr>
          <w:rFonts w:hint="eastAsia"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ind w:firstLine="0" w:firstLineChars="0"/>
      </w:pPr>
    </w:p>
    <w:p>
      <w:pPr>
        <w:tabs>
          <w:tab w:val="left" w:pos="3870"/>
          <w:tab w:val="left" w:pos="4085"/>
        </w:tabs>
        <w:snapToGrid w:val="0"/>
        <w:spacing w:line="600" w:lineRule="exact"/>
        <w:ind w:firstLine="0" w:firstLineChars="0"/>
        <w:jc w:val="center"/>
        <w:rPr>
          <w:rFonts w:hint="eastAsia" w:ascii="仿宋_GB2312" w:hAnsi="宋体" w:eastAsia="仿宋_GB2312"/>
          <w:b/>
          <w:sz w:val="28"/>
          <w:szCs w:val="28"/>
        </w:rPr>
      </w:pPr>
      <w:bookmarkStart w:id="259" w:name="_Hlk92702580"/>
      <w:r>
        <w:rPr>
          <w:rFonts w:hint="eastAsia" w:ascii="仿宋_GB2312" w:hAnsi="宋体" w:eastAsia="仿宋_GB2312"/>
          <w:b/>
          <w:sz w:val="32"/>
          <w:szCs w:val="32"/>
        </w:rPr>
        <w:t>授权委托书</w:t>
      </w:r>
      <w:r>
        <w:rPr>
          <w:rFonts w:hint="eastAsia" w:ascii="仿宋_GB2312" w:hAnsi="宋体" w:eastAsia="仿宋_GB2312"/>
          <w:bCs/>
          <w:sz w:val="24"/>
        </w:rPr>
        <w:t>（格式）</w:t>
      </w:r>
    </w:p>
    <w:p>
      <w:pPr>
        <w:snapToGrid w:val="0"/>
        <w:spacing w:before="156" w:beforeLines="50" w:after="50"/>
        <w:ind w:firstLine="0" w:firstLineChars="0"/>
        <w:rPr>
          <w:rFonts w:hint="eastAsia" w:ascii="宋体" w:hAnsi="宋体"/>
          <w:b/>
          <w:bCs/>
          <w:szCs w:val="21"/>
        </w:rPr>
      </w:pPr>
      <w:r>
        <w:rPr>
          <w:rFonts w:hint="eastAsia" w:ascii="宋体" w:hAnsi="宋体"/>
          <w:bCs/>
          <w:szCs w:val="21"/>
        </w:rPr>
        <w:t>致：</w:t>
      </w:r>
      <w:r>
        <w:rPr>
          <w:rFonts w:hint="eastAsia"/>
        </w:rPr>
        <w:t>钦州市政府采购中心</w:t>
      </w:r>
    </w:p>
    <w:p>
      <w:pPr>
        <w:snapToGrid w:val="0"/>
        <w:spacing w:before="156" w:beforeLines="50" w:after="50"/>
        <w:ind w:firstLine="420"/>
        <w:rPr>
          <w:rFonts w:hint="eastAsia"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的投标活动，并代表我方全权办理针对上述项目的投标、开标、评标、签约等具体事务和签署相关文件。</w:t>
      </w:r>
    </w:p>
    <w:p>
      <w:pPr>
        <w:snapToGrid w:val="0"/>
        <w:spacing w:before="156" w:beforeLines="50" w:after="50"/>
        <w:ind w:firstLine="420"/>
        <w:rPr>
          <w:rFonts w:hint="eastAsia" w:ascii="宋体" w:hAnsi="宋体"/>
          <w:szCs w:val="21"/>
        </w:rPr>
      </w:pPr>
      <w:r>
        <w:rPr>
          <w:rFonts w:hint="eastAsia" w:ascii="宋体" w:hAnsi="宋体"/>
          <w:szCs w:val="21"/>
        </w:rPr>
        <w:t>我方对被授权人的签名事项负全部责任。</w:t>
      </w:r>
    </w:p>
    <w:p>
      <w:pPr>
        <w:snapToGrid w:val="0"/>
        <w:spacing w:before="156" w:beforeLines="50" w:after="50"/>
        <w:ind w:firstLine="420"/>
        <w:rPr>
          <w:rFonts w:hint="eastAsia"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ind w:firstLine="420"/>
        <w:rPr>
          <w:rFonts w:hint="eastAsia" w:ascii="宋体" w:hAnsi="宋体"/>
          <w:szCs w:val="21"/>
        </w:rPr>
      </w:pPr>
      <w:r>
        <w:rPr>
          <w:rFonts w:hint="eastAsia" w:ascii="宋体" w:hAnsi="宋体"/>
          <w:szCs w:val="21"/>
        </w:rPr>
        <w:t>被授权人无转委托权，特此委托。</w:t>
      </w:r>
    </w:p>
    <w:p>
      <w:pPr>
        <w:snapToGrid w:val="0"/>
        <w:spacing w:before="156" w:beforeLines="50" w:after="50" w:line="300" w:lineRule="exact"/>
        <w:ind w:firstLine="525" w:firstLineChars="250"/>
        <w:rPr>
          <w:rFonts w:hint="eastAsia" w:ascii="宋体" w:hAnsi="宋体"/>
          <w:szCs w:val="21"/>
        </w:rPr>
      </w:pPr>
    </w:p>
    <w:p>
      <w:pPr>
        <w:snapToGrid w:val="0"/>
        <w:spacing w:before="156" w:beforeLines="50" w:after="50" w:line="300" w:lineRule="exact"/>
        <w:ind w:firstLine="420"/>
        <w:rPr>
          <w:rFonts w:hint="eastAsia" w:ascii="宋体" w:hAnsi="宋体"/>
          <w:szCs w:val="21"/>
        </w:rPr>
      </w:pPr>
      <w:r>
        <w:rPr>
          <w:rFonts w:hint="eastAsia" w:ascii="宋体" w:hAnsi="宋体"/>
          <w:szCs w:val="21"/>
        </w:rPr>
        <w:t>所在部门职务：</w:t>
      </w:r>
      <w:r>
        <w:rPr>
          <w:rFonts w:hint="eastAsia" w:ascii="宋体" w:hAnsi="宋体"/>
          <w:szCs w:val="21"/>
          <w:u w:val="single"/>
        </w:rPr>
        <w:t xml:space="preserve">                        </w:t>
      </w:r>
    </w:p>
    <w:p>
      <w:pPr>
        <w:snapToGrid w:val="0"/>
        <w:spacing w:before="156" w:beforeLines="50" w:after="50" w:line="300" w:lineRule="exact"/>
        <w:ind w:firstLine="420"/>
        <w:rPr>
          <w:rFonts w:hint="eastAsia" w:ascii="宋体" w:hAnsi="宋体"/>
          <w:szCs w:val="21"/>
          <w:u w:val="single"/>
        </w:rPr>
      </w:pPr>
      <w:r>
        <w:rPr>
          <w:rFonts w:hint="eastAsia" w:ascii="宋体" w:hAnsi="宋体"/>
          <w:szCs w:val="21"/>
        </w:rPr>
        <w:t>职务：</w:t>
      </w:r>
      <w:r>
        <w:rPr>
          <w:rFonts w:hint="eastAsia" w:ascii="宋体" w:hAnsi="宋体"/>
          <w:szCs w:val="21"/>
          <w:u w:val="single"/>
        </w:rPr>
        <w:t xml:space="preserve">                                </w:t>
      </w:r>
    </w:p>
    <w:p>
      <w:pPr>
        <w:snapToGrid w:val="0"/>
        <w:spacing w:before="156" w:beforeLines="50" w:after="50" w:line="300" w:lineRule="exact"/>
        <w:ind w:firstLine="420"/>
        <w:rPr>
          <w:rFonts w:hint="eastAsia"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156" w:beforeLines="50" w:after="50" w:line="300" w:lineRule="exact"/>
        <w:ind w:firstLine="420"/>
        <w:rPr>
          <w:rFonts w:hint="eastAsia" w:hAnsi="宋体"/>
        </w:rPr>
      </w:pPr>
      <w:r>
        <w:rPr>
          <w:rFonts w:hint="eastAsia" w:hAnsi="宋体"/>
        </w:rPr>
        <w:t>附：委托代理人身份证(正反面</w:t>
      </w:r>
      <w:r>
        <w:rPr>
          <w:rFonts w:hAnsi="宋体"/>
        </w:rPr>
        <w:t>)</w:t>
      </w:r>
    </w:p>
    <w:p>
      <w:pPr>
        <w:ind w:left="420" w:firstLine="0" w:firstLineChars="0"/>
        <w:rPr>
          <w:rFonts w:hint="eastAsia" w:ascii="宋体" w:hAnsi="宋体"/>
        </w:rPr>
      </w:pPr>
    </w:p>
    <w:p>
      <w:pPr>
        <w:ind w:left="420" w:firstLine="0" w:firstLineChars="0"/>
        <w:rPr>
          <w:rFonts w:hint="eastAsia" w:ascii="宋体" w:hAnsi="宋体"/>
        </w:rPr>
      </w:pPr>
    </w:p>
    <w:p>
      <w:pPr>
        <w:ind w:left="420" w:firstLine="0" w:firstLineChars="0"/>
        <w:rPr>
          <w:rFonts w:hint="eastAsia" w:ascii="宋体" w:hAnsi="宋体"/>
        </w:rPr>
      </w:pPr>
    </w:p>
    <w:p>
      <w:pPr>
        <w:snapToGrid w:val="0"/>
        <w:spacing w:before="156" w:beforeLines="50" w:after="50" w:line="200" w:lineRule="exact"/>
        <w:ind w:firstLine="4620" w:firstLineChars="2200"/>
        <w:rPr>
          <w:rFonts w:hint="eastAsia" w:ascii="宋体" w:hAnsi="宋体"/>
          <w:szCs w:val="21"/>
          <w:u w:val="single"/>
        </w:rPr>
      </w:pPr>
      <w:r>
        <w:rPr>
          <w:rFonts w:hint="eastAsia" w:ascii="宋体" w:hAnsi="宋体"/>
          <w:szCs w:val="21"/>
        </w:rPr>
        <w:t xml:space="preserve">       投标人（盖章）：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156" w:beforeLines="50" w:after="50" w:line="200" w:lineRule="exact"/>
        <w:ind w:firstLine="5355" w:firstLineChars="2550"/>
        <w:rPr>
          <w:rFonts w:hint="eastAsia"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before="156" w:beforeLines="50" w:after="50" w:line="200" w:lineRule="exact"/>
        <w:ind w:firstLine="5355" w:firstLineChars="255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bookmarkEnd w:id="259"/>
    <w:p>
      <w:pPr>
        <w:spacing w:line="360" w:lineRule="exact"/>
        <w:ind w:firstLine="0" w:firstLineChars="0"/>
      </w:pPr>
      <w:r>
        <w:br w:type="page"/>
      </w:r>
    </w:p>
    <w:p>
      <w:pPr>
        <w:snapToGrid w:val="0"/>
        <w:spacing w:before="156" w:beforeLines="50" w:after="50" w:line="360" w:lineRule="exact"/>
        <w:ind w:firstLine="0" w:firstLineChars="0"/>
        <w:jc w:val="center"/>
        <w:rPr>
          <w:rFonts w:ascii="仿宋_GB2312" w:eastAsia="仿宋_GB2312"/>
          <w:b/>
          <w:sz w:val="28"/>
          <w:szCs w:val="28"/>
        </w:rPr>
      </w:pPr>
      <w:bookmarkStart w:id="260" w:name="_Hlk92702799"/>
      <w:r>
        <w:rPr>
          <w:rFonts w:hint="eastAsia" w:ascii="仿宋_GB2312" w:hAnsi="宋体" w:eastAsia="仿宋_GB2312"/>
          <w:b/>
          <w:sz w:val="32"/>
          <w:szCs w:val="32"/>
        </w:rPr>
        <w:t>商务响应</w:t>
      </w:r>
      <w:r>
        <w:rPr>
          <w:rFonts w:hint="eastAsia" w:ascii="仿宋_GB2312" w:eastAsia="仿宋_GB2312"/>
          <w:b/>
          <w:sz w:val="32"/>
          <w:szCs w:val="32"/>
        </w:rPr>
        <w:t>表</w:t>
      </w:r>
      <w:bookmarkStart w:id="261" w:name="_Hlk111728555"/>
      <w:r>
        <w:rPr>
          <w:rFonts w:hint="eastAsia" w:ascii="仿宋_GB2312" w:eastAsia="仿宋_GB2312"/>
          <w:bCs/>
          <w:sz w:val="24"/>
        </w:rPr>
        <w:t>（格式）</w:t>
      </w:r>
      <w:bookmarkEnd w:id="261"/>
    </w:p>
    <w:p>
      <w:pPr>
        <w:ind w:firstLine="0" w:firstLineChars="0"/>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3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是否响应</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rPr>
            </w:pPr>
            <w:r>
              <w:rPr>
                <w:rFonts w:hint="eastAsia" w:ascii="宋体" w:hAnsi="宋体"/>
                <w:b/>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质保期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运维技术服务要求</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交货时间及地点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r>
              <w:rPr>
                <w:rFonts w:hint="eastAsia" w:ascii="宋体" w:hAnsi="宋体"/>
                <w:szCs w:val="21"/>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rPr>
            </w:pPr>
          </w:p>
        </w:tc>
      </w:tr>
    </w:tbl>
    <w:p>
      <w:pPr>
        <w:tabs>
          <w:tab w:val="left" w:pos="3870"/>
          <w:tab w:val="left" w:pos="4085"/>
        </w:tabs>
        <w:snapToGrid w:val="0"/>
        <w:spacing w:line="360" w:lineRule="exact"/>
        <w:ind w:firstLine="0" w:firstLineChars="0"/>
        <w:rPr>
          <w:rFonts w:hint="eastAsia" w:ascii="宋体" w:hAnsi="宋体"/>
          <w:b/>
          <w:szCs w:val="21"/>
        </w:rPr>
      </w:pPr>
    </w:p>
    <w:p>
      <w:pPr>
        <w:tabs>
          <w:tab w:val="left" w:pos="3870"/>
          <w:tab w:val="left" w:pos="4085"/>
        </w:tabs>
        <w:snapToGrid w:val="0"/>
        <w:spacing w:line="360" w:lineRule="exact"/>
        <w:ind w:firstLine="0" w:firstLineChars="0"/>
        <w:rPr>
          <w:rFonts w:hint="eastAsia" w:ascii="宋体" w:hAnsi="宋体"/>
          <w:b/>
          <w:szCs w:val="21"/>
        </w:rPr>
      </w:pPr>
    </w:p>
    <w:p>
      <w:pPr>
        <w:snapToGrid w:val="0"/>
        <w:spacing w:before="50" w:after="50" w:line="350" w:lineRule="exact"/>
        <w:ind w:right="-817" w:rightChars="-389"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napToGrid w:val="0"/>
        <w:spacing w:before="50" w:after="50" w:line="350" w:lineRule="exact"/>
        <w:ind w:right="-817" w:rightChars="-389"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bookmarkEnd w:id="260"/>
    <w:p>
      <w:pPr>
        <w:snapToGrid w:val="0"/>
        <w:spacing w:line="360" w:lineRule="exact"/>
        <w:ind w:firstLine="0" w:firstLineChars="0"/>
        <w:rPr>
          <w:rFonts w:hint="eastAsia" w:ascii="宋体" w:hAnsi="宋体"/>
          <w:b/>
          <w:szCs w:val="21"/>
        </w:rPr>
      </w:pPr>
    </w:p>
    <w:p>
      <w:pPr>
        <w:snapToGrid w:val="0"/>
        <w:spacing w:line="700" w:lineRule="exact"/>
        <w:ind w:firstLine="0" w:firstLineChars="0"/>
        <w:jc w:val="center"/>
        <w:rPr>
          <w:rFonts w:hint="eastAsia" w:ascii="宋体" w:hAnsi="宋体"/>
          <w:b/>
          <w:sz w:val="32"/>
          <w:szCs w:val="32"/>
        </w:rPr>
      </w:pPr>
      <w:r>
        <w:rPr>
          <w:rFonts w:hint="eastAsia" w:ascii="仿宋_GB2312" w:hAnsi="宋体" w:eastAsia="仿宋_GB2312"/>
          <w:b/>
          <w:sz w:val="32"/>
          <w:szCs w:val="32"/>
        </w:rPr>
        <w:t>技术响应表</w:t>
      </w:r>
      <w:bookmarkStart w:id="262" w:name="_Hlk111728645"/>
      <w:r>
        <w:rPr>
          <w:rFonts w:hint="eastAsia" w:ascii="仿宋_GB2312" w:eastAsia="仿宋_GB2312"/>
          <w:bCs/>
          <w:sz w:val="24"/>
        </w:rPr>
        <w:t>（格式）</w:t>
      </w:r>
      <w:bookmarkEnd w:id="262"/>
    </w:p>
    <w:p>
      <w:pPr>
        <w:snapToGrid w:val="0"/>
        <w:spacing w:line="160" w:lineRule="exact"/>
        <w:ind w:firstLine="0" w:firstLineChars="0"/>
        <w:jc w:val="center"/>
        <w:rPr>
          <w:rFonts w:hint="eastAsia" w:ascii="宋体" w:hAnsi="宋体"/>
          <w:b/>
          <w:szCs w:val="21"/>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3"/>
        <w:gridCol w:w="1735"/>
        <w:gridCol w:w="1815"/>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1283" w:type="dxa"/>
            <w:vMerge w:val="restart"/>
            <w:tcBorders>
              <w:top w:val="single" w:color="auto" w:sz="4" w:space="0"/>
              <w:left w:val="single" w:color="auto" w:sz="4" w:space="0"/>
              <w:right w:val="single" w:color="auto" w:sz="4" w:space="0"/>
            </w:tcBorders>
            <w:vAlign w:val="center"/>
          </w:tcPr>
          <w:p>
            <w:pPr>
              <w:ind w:firstLine="0" w:firstLineChars="0"/>
              <w:jc w:val="center"/>
            </w:pPr>
            <w:r>
              <w:rPr>
                <w:rFonts w:hint="eastAsia"/>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招标文件要求</w:t>
            </w:r>
          </w:p>
        </w:tc>
        <w:tc>
          <w:tcPr>
            <w:tcW w:w="3600" w:type="dxa"/>
            <w:vMerge w:val="restart"/>
            <w:tcBorders>
              <w:top w:val="single" w:color="auto" w:sz="4" w:space="0"/>
              <w:left w:val="single" w:color="auto" w:sz="4" w:space="0"/>
              <w:right w:val="single" w:color="auto" w:sz="4" w:space="0"/>
            </w:tcBorders>
            <w:vAlign w:val="center"/>
          </w:tcPr>
          <w:p>
            <w:pPr>
              <w:ind w:firstLine="23" w:firstLineChars="11"/>
              <w:jc w:val="center"/>
            </w:pPr>
            <w:r>
              <w:rPr>
                <w:rFonts w:hint="eastAsia"/>
              </w:rPr>
              <w:t>投标文件响应</w:t>
            </w:r>
          </w:p>
        </w:tc>
        <w:tc>
          <w:tcPr>
            <w:tcW w:w="1570"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1283" w:type="dxa"/>
            <w:vMerge w:val="continue"/>
            <w:tcBorders>
              <w:left w:val="single" w:color="auto" w:sz="4" w:space="0"/>
              <w:bottom w:val="single" w:color="auto" w:sz="4" w:space="0"/>
              <w:right w:val="single" w:color="auto" w:sz="4" w:space="0"/>
            </w:tcBorders>
            <w:vAlign w:val="center"/>
          </w:tcPr>
          <w:p>
            <w:pPr>
              <w:pStyle w:val="28"/>
              <w:snapToGrid w:val="0"/>
              <w:spacing w:line="360" w:lineRule="exact"/>
              <w:ind w:firstLine="0" w:firstLineChars="0"/>
              <w:jc w:val="center"/>
              <w:outlineLvl w:val="0"/>
              <w:rPr>
                <w:rFonts w:hint="eastAsia" w:hAnsi="宋体"/>
              </w:rPr>
            </w:pPr>
          </w:p>
        </w:tc>
        <w:tc>
          <w:tcPr>
            <w:tcW w:w="17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标的名称</w:t>
            </w:r>
          </w:p>
        </w:tc>
        <w:tc>
          <w:tcPr>
            <w:tcW w:w="181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招标要求</w:t>
            </w:r>
          </w:p>
        </w:tc>
        <w:tc>
          <w:tcPr>
            <w:tcW w:w="3600" w:type="dxa"/>
            <w:vMerge w:val="continue"/>
            <w:tcBorders>
              <w:left w:val="single" w:color="auto" w:sz="4" w:space="0"/>
              <w:bottom w:val="single" w:color="auto" w:sz="4" w:space="0"/>
              <w:right w:val="single" w:color="auto" w:sz="4" w:space="0"/>
            </w:tcBorders>
            <w:vAlign w:val="center"/>
          </w:tcPr>
          <w:p>
            <w:pPr>
              <w:ind w:firstLine="0" w:firstLineChars="0"/>
              <w:jc w:val="cente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1</w:t>
            </w:r>
          </w:p>
        </w:tc>
        <w:tc>
          <w:tcPr>
            <w:tcW w:w="1735" w:type="dxa"/>
            <w:tcBorders>
              <w:top w:val="single" w:color="auto" w:sz="4" w:space="0"/>
              <w:left w:val="single" w:color="auto" w:sz="4" w:space="0"/>
              <w:bottom w:val="single" w:color="auto" w:sz="4" w:space="0"/>
              <w:right w:val="single" w:color="auto" w:sz="4" w:space="0"/>
            </w:tcBorders>
            <w:vAlign w:val="center"/>
          </w:tcPr>
          <w:p>
            <w:pPr>
              <w:ind w:right="-15" w:rightChars="-7" w:firstLine="0" w:firstLineChars="0"/>
              <w:jc w:val="center"/>
            </w:pPr>
          </w:p>
        </w:tc>
        <w:tc>
          <w:tcPr>
            <w:tcW w:w="1815" w:type="dxa"/>
            <w:tcBorders>
              <w:top w:val="single" w:color="auto" w:sz="4" w:space="0"/>
              <w:left w:val="single" w:color="auto" w:sz="4" w:space="0"/>
              <w:bottom w:val="single" w:color="auto" w:sz="4" w:space="0"/>
              <w:right w:val="single" w:color="auto" w:sz="4" w:space="0"/>
            </w:tcBorders>
            <w:vAlign w:val="center"/>
          </w:tcPr>
          <w:p>
            <w:pPr>
              <w:ind w:left="-2" w:leftChars="-1" w:firstLine="0" w:firstLineChars="0"/>
              <w:jc w:val="center"/>
            </w:pPr>
          </w:p>
        </w:tc>
        <w:tc>
          <w:tcPr>
            <w:tcW w:w="3600" w:type="dxa"/>
            <w:tcBorders>
              <w:top w:val="single" w:color="auto" w:sz="4" w:space="0"/>
              <w:left w:val="single" w:color="auto" w:sz="4" w:space="0"/>
              <w:bottom w:val="single" w:color="auto" w:sz="4" w:space="0"/>
              <w:right w:val="single" w:color="auto" w:sz="4" w:space="0"/>
            </w:tcBorders>
            <w:vAlign w:val="center"/>
          </w:tcPr>
          <w:p>
            <w:pPr>
              <w:ind w:left="-2" w:leftChars="-1" w:firstLine="0" w:firstLineChars="0"/>
              <w:jc w:val="cente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2</w:t>
            </w:r>
          </w:p>
        </w:tc>
        <w:tc>
          <w:tcPr>
            <w:tcW w:w="173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right="-15" w:rightChars="-7" w:firstLine="0" w:firstLineChars="0"/>
              <w:jc w:val="center"/>
              <w:outlineLvl w:val="0"/>
              <w:rPr>
                <w:rFonts w:hint="eastAsia" w:ascii="仿宋_GB2312" w:hAnsi="宋体" w:eastAsia="仿宋_GB2312"/>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3</w:t>
            </w:r>
          </w:p>
        </w:tc>
        <w:tc>
          <w:tcPr>
            <w:tcW w:w="173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right="-15" w:rightChars="-7" w:firstLine="0" w:firstLineChars="0"/>
              <w:jc w:val="center"/>
              <w:outlineLvl w:val="0"/>
              <w:rPr>
                <w:rFonts w:hint="eastAsia" w:ascii="仿宋_GB2312" w:hAnsi="宋体" w:eastAsia="仿宋_GB2312"/>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w:t>
            </w:r>
          </w:p>
        </w:tc>
        <w:tc>
          <w:tcPr>
            <w:tcW w:w="173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right="-15" w:rightChars="-7" w:firstLine="0" w:firstLineChars="0"/>
              <w:jc w:val="center"/>
              <w:outlineLvl w:val="0"/>
              <w:rPr>
                <w:rFonts w:hint="eastAsia" w:ascii="仿宋_GB2312" w:hAnsi="宋体" w:eastAsia="仿宋_GB2312"/>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napToGrid w:val="0"/>
              <w:spacing w:line="320" w:lineRule="exact"/>
              <w:ind w:firstLine="0" w:firstLineChars="0"/>
              <w:jc w:val="center"/>
              <w:outlineLvl w:val="0"/>
              <w:rPr>
                <w:rFonts w:hint="eastAsia" w:ascii="仿宋_GB2312" w:hAnsi="宋体" w:eastAsia="仿宋_GB2312"/>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rPr>
            </w:pPr>
          </w:p>
        </w:tc>
      </w:tr>
    </w:tbl>
    <w:p>
      <w:pPr>
        <w:pStyle w:val="19"/>
        <w:spacing w:line="380" w:lineRule="exact"/>
        <w:ind w:firstLine="0" w:firstLineChars="0"/>
        <w:rPr>
          <w:sz w:val="21"/>
          <w:szCs w:val="21"/>
        </w:rPr>
      </w:pPr>
      <w:r>
        <w:rPr>
          <w:rFonts w:hint="eastAsia"/>
          <w:sz w:val="21"/>
          <w:szCs w:val="21"/>
        </w:rPr>
        <w:t>注：</w:t>
      </w:r>
      <w:r>
        <w:rPr>
          <w:rFonts w:hint="eastAsia"/>
          <w:b w:val="0"/>
          <w:bCs w:val="0"/>
          <w:sz w:val="21"/>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pPr>
        <w:pStyle w:val="19"/>
        <w:spacing w:line="360" w:lineRule="exact"/>
        <w:ind w:firstLine="0" w:firstLineChars="0"/>
        <w:rPr>
          <w:sz w:val="21"/>
          <w:szCs w:val="21"/>
        </w:rPr>
      </w:pPr>
    </w:p>
    <w:p>
      <w:pPr>
        <w:pStyle w:val="19"/>
        <w:spacing w:line="360" w:lineRule="exact"/>
        <w:ind w:firstLine="0" w:firstLineChars="0"/>
        <w:rPr>
          <w:rFonts w:hint="eastAsia" w:ascii="宋体" w:hAnsi="宋体"/>
          <w:b w:val="0"/>
          <w:sz w:val="21"/>
          <w:szCs w:val="21"/>
        </w:rPr>
      </w:pPr>
    </w:p>
    <w:p>
      <w:pPr>
        <w:snapToGrid w:val="0"/>
        <w:spacing w:before="50" w:after="50" w:line="350" w:lineRule="exact"/>
        <w:ind w:right="-817" w:rightChars="-389"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pacing w:line="380" w:lineRule="atLeast"/>
        <w:ind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ind w:firstLine="420"/>
        <w:jc w:val="center"/>
        <w:rPr>
          <w:rFonts w:hint="eastAsia" w:ascii="宋体" w:hAnsi="宋体"/>
          <w:szCs w:val="21"/>
        </w:rPr>
      </w:pPr>
      <w:r>
        <w:rPr>
          <w:rFonts w:ascii="宋体" w:hAnsi="宋体"/>
          <w:szCs w:val="21"/>
        </w:rPr>
        <w:br w:type="page"/>
      </w:r>
    </w:p>
    <w:p>
      <w:pPr>
        <w:autoSpaceDE w:val="0"/>
        <w:autoSpaceDN w:val="0"/>
        <w:adjustRightInd w:val="0"/>
        <w:ind w:firstLine="562"/>
        <w:jc w:val="center"/>
        <w:rPr>
          <w:rFonts w:hint="eastAsia" w:ascii="宋体" w:hAnsi="宋体"/>
          <w:b/>
          <w:sz w:val="28"/>
          <w:szCs w:val="28"/>
        </w:rPr>
      </w:pPr>
      <w:r>
        <w:rPr>
          <w:rFonts w:hint="eastAsia" w:ascii="宋体" w:hAnsi="宋体"/>
          <w:b/>
          <w:sz w:val="28"/>
          <w:szCs w:val="28"/>
        </w:rPr>
        <w:t>服务人员配置表</w:t>
      </w:r>
      <w:r>
        <w:rPr>
          <w:rFonts w:hint="eastAsia" w:ascii="仿宋" w:hAnsi="仿宋" w:eastAsia="仿宋"/>
          <w:sz w:val="24"/>
        </w:rPr>
        <w:t>(格式</w:t>
      </w:r>
      <w:r>
        <w:rPr>
          <w:rFonts w:ascii="仿宋" w:hAnsi="仿宋" w:eastAsia="仿宋"/>
          <w:sz w:val="24"/>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42"/>
        <w:gridCol w:w="2835"/>
        <w:gridCol w:w="1417"/>
        <w:gridCol w:w="141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51"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序号</w:t>
            </w:r>
          </w:p>
        </w:tc>
        <w:tc>
          <w:tcPr>
            <w:tcW w:w="1642"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姓名</w:t>
            </w:r>
          </w:p>
        </w:tc>
        <w:tc>
          <w:tcPr>
            <w:tcW w:w="2835" w:type="dxa"/>
            <w:vAlign w:val="center"/>
          </w:tcPr>
          <w:p>
            <w:pPr>
              <w:autoSpaceDE w:val="0"/>
              <w:autoSpaceDN w:val="0"/>
              <w:adjustRightInd w:val="0"/>
              <w:ind w:firstLine="0" w:firstLineChars="0"/>
              <w:jc w:val="center"/>
              <w:rPr>
                <w:rFonts w:hint="eastAsia" w:ascii="宋体" w:hAnsi="宋体"/>
              </w:rPr>
            </w:pPr>
            <w:r>
              <w:rPr>
                <w:rFonts w:hint="eastAsia" w:ascii="宋体" w:hAnsi="宋体"/>
              </w:rPr>
              <w:t>身份证号码</w:t>
            </w:r>
          </w:p>
        </w:tc>
        <w:tc>
          <w:tcPr>
            <w:tcW w:w="1417"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岗位</w:t>
            </w:r>
          </w:p>
        </w:tc>
        <w:tc>
          <w:tcPr>
            <w:tcW w:w="1418"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专业</w:t>
            </w:r>
          </w:p>
        </w:tc>
        <w:tc>
          <w:tcPr>
            <w:tcW w:w="1641" w:type="dxa"/>
            <w:vAlign w:val="center"/>
          </w:tcPr>
          <w:p>
            <w:pPr>
              <w:autoSpaceDE w:val="0"/>
              <w:autoSpaceDN w:val="0"/>
              <w:adjustRightInd w:val="0"/>
              <w:ind w:firstLine="0" w:firstLineChars="0"/>
              <w:jc w:val="center"/>
              <w:rPr>
                <w:rFonts w:hint="eastAsia" w:ascii="宋体" w:hAnsi="宋体"/>
                <w:lang w:val="zh-CN"/>
              </w:rPr>
            </w:pPr>
            <w:r>
              <w:rPr>
                <w:rFonts w:hint="eastAsia" w:ascii="宋体" w:hAnsi="宋体"/>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1</w:t>
            </w:r>
          </w:p>
        </w:tc>
        <w:tc>
          <w:tcPr>
            <w:tcW w:w="1642" w:type="dxa"/>
            <w:vAlign w:val="center"/>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2</w:t>
            </w:r>
          </w:p>
        </w:tc>
        <w:tc>
          <w:tcPr>
            <w:tcW w:w="1642" w:type="dxa"/>
            <w:vAlign w:val="center"/>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3</w:t>
            </w:r>
          </w:p>
        </w:tc>
        <w:tc>
          <w:tcPr>
            <w:tcW w:w="1642" w:type="dxa"/>
            <w:vAlign w:val="center"/>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lang w:val="zh-CN"/>
              </w:rPr>
            </w:pPr>
            <w:r>
              <w:rPr>
                <w:rFonts w:hint="eastAsia" w:ascii="宋体" w:hAnsi="宋体"/>
                <w:lang w:val="zh-CN"/>
              </w:rPr>
              <w:t>…</w:t>
            </w:r>
          </w:p>
        </w:tc>
        <w:tc>
          <w:tcPr>
            <w:tcW w:w="1642" w:type="dxa"/>
          </w:tcPr>
          <w:p>
            <w:pPr>
              <w:autoSpaceDE w:val="0"/>
              <w:autoSpaceDN w:val="0"/>
              <w:adjustRightInd w:val="0"/>
              <w:ind w:firstLine="420"/>
              <w:rPr>
                <w:rFonts w:hint="eastAsia" w:ascii="宋体" w:hAnsi="宋体"/>
                <w:lang w:val="zh-CN"/>
              </w:rPr>
            </w:pPr>
          </w:p>
        </w:tc>
        <w:tc>
          <w:tcPr>
            <w:tcW w:w="2835" w:type="dxa"/>
          </w:tcPr>
          <w:p>
            <w:pPr>
              <w:autoSpaceDE w:val="0"/>
              <w:autoSpaceDN w:val="0"/>
              <w:adjustRightInd w:val="0"/>
              <w:ind w:firstLine="420"/>
              <w:rPr>
                <w:rFonts w:hint="eastAsia" w:ascii="宋体" w:hAnsi="宋体"/>
                <w:lang w:val="zh-CN"/>
              </w:rPr>
            </w:pPr>
          </w:p>
        </w:tc>
        <w:tc>
          <w:tcPr>
            <w:tcW w:w="1417" w:type="dxa"/>
          </w:tcPr>
          <w:p>
            <w:pPr>
              <w:autoSpaceDE w:val="0"/>
              <w:autoSpaceDN w:val="0"/>
              <w:adjustRightInd w:val="0"/>
              <w:ind w:firstLine="420"/>
              <w:rPr>
                <w:rFonts w:hint="eastAsia" w:ascii="宋体" w:hAnsi="宋体"/>
                <w:lang w:val="zh-CN"/>
              </w:rPr>
            </w:pPr>
          </w:p>
        </w:tc>
        <w:tc>
          <w:tcPr>
            <w:tcW w:w="1418" w:type="dxa"/>
          </w:tcPr>
          <w:p>
            <w:pPr>
              <w:autoSpaceDE w:val="0"/>
              <w:autoSpaceDN w:val="0"/>
              <w:adjustRightInd w:val="0"/>
              <w:ind w:firstLine="420"/>
              <w:rPr>
                <w:rFonts w:hint="eastAsia" w:ascii="宋体" w:hAnsi="宋体"/>
                <w:lang w:val="zh-CN"/>
              </w:rPr>
            </w:pPr>
          </w:p>
        </w:tc>
        <w:tc>
          <w:tcPr>
            <w:tcW w:w="1641" w:type="dxa"/>
          </w:tcPr>
          <w:p>
            <w:pPr>
              <w:autoSpaceDE w:val="0"/>
              <w:autoSpaceDN w:val="0"/>
              <w:adjustRightInd w:val="0"/>
              <w:ind w:firstLine="420"/>
              <w:rPr>
                <w:rFonts w:hint="eastAsia" w:ascii="宋体" w:hAnsi="宋体"/>
                <w:lang w:val="zh-CN"/>
              </w:rPr>
            </w:pPr>
          </w:p>
        </w:tc>
      </w:tr>
    </w:tbl>
    <w:p>
      <w:pPr>
        <w:snapToGrid w:val="0"/>
        <w:spacing w:before="50" w:after="50"/>
        <w:ind w:right="-817" w:rightChars="-389" w:firstLine="0" w:firstLineChars="0"/>
        <w:rPr>
          <w:rFonts w:hint="eastAsia" w:ascii="宋体" w:hAnsi="宋体"/>
          <w:bCs/>
        </w:rPr>
      </w:pPr>
      <w:r>
        <w:rPr>
          <w:rFonts w:hint="eastAsia" w:ascii="宋体" w:hAnsi="宋体"/>
          <w:bCs/>
          <w:lang w:val="zh-CN"/>
        </w:rPr>
        <w:t>注:应</w:t>
      </w:r>
      <w:r>
        <w:rPr>
          <w:rFonts w:hint="eastAsia" w:ascii="宋体" w:hAnsi="宋体"/>
          <w:bCs/>
        </w:rPr>
        <w:t>提供所配置人员姓名、身份证、岗位、学历证书、培训证书、相关工作经验证明材料(合同)。</w:t>
      </w:r>
    </w:p>
    <w:p>
      <w:pPr>
        <w:ind w:firstLine="420"/>
      </w:pPr>
    </w:p>
    <w:p>
      <w:pPr>
        <w:ind w:firstLine="420"/>
      </w:pPr>
    </w:p>
    <w:p>
      <w:pPr>
        <w:ind w:left="6019" w:leftChars="2866" w:right="592" w:rightChars="282" w:firstLine="75" w:firstLineChars="36"/>
        <w:jc w:val="left"/>
        <w:rPr>
          <w:rFonts w:hint="eastAsia" w:ascii="宋体" w:hAnsi="宋体"/>
          <w:bCs/>
        </w:rPr>
      </w:pPr>
      <w:r>
        <w:rPr>
          <w:rFonts w:hint="eastAsia" w:ascii="宋体" w:hAnsi="宋体"/>
          <w:bCs/>
        </w:rPr>
        <w:t>投标人（盖章）：</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p>
    <w:p>
      <w:pPr>
        <w:snapToGrid w:val="0"/>
        <w:spacing w:before="50" w:after="50" w:line="350" w:lineRule="exact"/>
        <w:ind w:right="-817" w:rightChars="-389" w:firstLine="6090" w:firstLineChars="2900"/>
        <w:jc w:val="left"/>
        <w:rPr>
          <w:rFonts w:hint="eastAsia" w:ascii="宋体" w:hAnsi="宋体"/>
          <w:bCs/>
        </w:rPr>
      </w:pPr>
      <w:r>
        <w:rPr>
          <w:rFonts w:hint="eastAsia" w:ascii="宋体" w:hAnsi="宋体"/>
          <w:bCs/>
        </w:rPr>
        <w:t>日期：</w:t>
      </w:r>
      <w:r>
        <w:rPr>
          <w:rFonts w:hint="eastAsia" w:ascii="宋体" w:hAnsi="宋体"/>
          <w:bCs/>
          <w:szCs w:val="21"/>
          <w:u w:val="single"/>
        </w:rPr>
        <w:t xml:space="preserve">       </w:t>
      </w:r>
      <w:r>
        <w:rPr>
          <w:rFonts w:hint="eastAsia" w:ascii="宋体" w:hAnsi="宋体"/>
          <w:bCs/>
        </w:rPr>
        <w:t>年</w:t>
      </w:r>
      <w:r>
        <w:rPr>
          <w:rFonts w:hint="eastAsia" w:ascii="宋体" w:hAnsi="宋体"/>
          <w:bCs/>
          <w:szCs w:val="21"/>
          <w:u w:val="single"/>
        </w:rPr>
        <w:t xml:space="preserve">   </w:t>
      </w:r>
      <w:r>
        <w:rPr>
          <w:rFonts w:hint="eastAsia" w:ascii="宋体" w:hAnsi="宋体"/>
          <w:bCs/>
        </w:rPr>
        <w:t>月</w:t>
      </w:r>
      <w:r>
        <w:rPr>
          <w:rFonts w:hint="eastAsia" w:ascii="宋体" w:hAnsi="宋体"/>
          <w:bCs/>
          <w:szCs w:val="21"/>
          <w:u w:val="single"/>
        </w:rPr>
        <w:t xml:space="preserve">   </w:t>
      </w:r>
      <w:r>
        <w:rPr>
          <w:rFonts w:hint="eastAsia" w:ascii="宋体" w:hAnsi="宋体"/>
          <w:bCs/>
        </w:rPr>
        <w:t>日</w:t>
      </w:r>
    </w:p>
    <w:p>
      <w:pPr>
        <w:spacing w:line="440" w:lineRule="exact"/>
        <w:ind w:left="-177" w:leftChars="-200" w:hanging="243" w:hangingChars="116"/>
        <w:jc w:val="center"/>
        <w:rPr>
          <w:rFonts w:hint="eastAsia" w:ascii="仿宋_GB2312" w:hAnsi="宋体" w:eastAsia="仿宋_GB2312"/>
          <w:b/>
          <w:sz w:val="32"/>
          <w:szCs w:val="32"/>
        </w:rPr>
      </w:pPr>
      <w:r>
        <w:rPr>
          <w:rFonts w:hint="eastAsia" w:ascii="宋体" w:hAnsi="宋体"/>
          <w:bCs/>
        </w:rPr>
        <w:br w:type="page"/>
      </w:r>
      <w:r>
        <w:rPr>
          <w:rFonts w:hint="eastAsia" w:ascii="仿宋_GB2312" w:hAnsi="宋体" w:eastAsia="仿宋_GB2312"/>
          <w:b/>
          <w:sz w:val="32"/>
          <w:szCs w:val="32"/>
        </w:rPr>
        <w:t>中小企业声明函</w:t>
      </w:r>
      <w:r>
        <w:rPr>
          <w:rFonts w:hint="eastAsia" w:ascii="仿宋_GB2312" w:eastAsia="仿宋_GB2312"/>
          <w:bCs/>
          <w:sz w:val="24"/>
        </w:rPr>
        <w:t>（格式）</w:t>
      </w:r>
    </w:p>
    <w:p>
      <w:pPr>
        <w:spacing w:line="440" w:lineRule="exact"/>
        <w:ind w:left="2" w:hanging="2" w:firstLineChars="0"/>
        <w:jc w:val="left"/>
        <w:rPr>
          <w:rFonts w:hint="eastAsia" w:ascii="仿宋_GB2312" w:hAnsi="宋体" w:eastAsia="仿宋_GB2312"/>
          <w:b/>
          <w:szCs w:val="21"/>
        </w:rPr>
      </w:pPr>
    </w:p>
    <w:p>
      <w:pPr>
        <w:spacing w:line="600" w:lineRule="exact"/>
        <w:ind w:firstLine="294" w:firstLineChars="140"/>
        <w:jc w:val="left"/>
        <w:rPr>
          <w:rFonts w:hint="eastAsia" w:ascii="宋体" w:hAnsi="宋体"/>
          <w:bCs/>
          <w:szCs w:val="21"/>
        </w:rPr>
      </w:pPr>
      <w:bookmarkStart w:id="263" w:name="_Hlk94193902"/>
      <w:r>
        <w:rPr>
          <w:rFonts w:hint="eastAsia" w:ascii="宋体" w:hAnsi="宋体"/>
          <w:bCs/>
          <w:szCs w:val="21"/>
        </w:rPr>
        <w:t>本公司郑重声明，根据</w:t>
      </w:r>
      <w:bookmarkStart w:id="264"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58"/>
          <w:rFonts w:hint="eastAsia" w:ascii="宋体" w:hAnsi="宋体"/>
          <w:bCs/>
          <w:color w:val="auto"/>
          <w:szCs w:val="21"/>
          <w:u w:val="none"/>
        </w:rPr>
        <w:t>《政府采购促进中小企业发展管理办法》</w:t>
      </w:r>
      <w:bookmarkStart w:id="265" w:name="_Hlk60836554"/>
      <w:r>
        <w:rPr>
          <w:rStyle w:val="58"/>
          <w:rFonts w:hint="eastAsia" w:ascii="宋体" w:hAnsi="宋体"/>
          <w:bCs/>
          <w:color w:val="auto"/>
          <w:szCs w:val="21"/>
          <w:u w:val="none"/>
        </w:rPr>
        <w:t>（财库﹝2020﹞46号）</w:t>
      </w:r>
      <w:bookmarkEnd w:id="264"/>
      <w:bookmarkEnd w:id="265"/>
      <w:r>
        <w:rPr>
          <w:rFonts w:ascii="宋体" w:hAnsi="宋体"/>
          <w:bCs/>
          <w:szCs w:val="21"/>
        </w:rPr>
        <w:fldChar w:fldCharType="end"/>
      </w:r>
      <w:r>
        <w:rPr>
          <w:rFonts w:hint="eastAsia" w:ascii="宋体" w:hAnsi="宋体"/>
          <w:bCs/>
          <w:szCs w:val="21"/>
        </w:rPr>
        <w:t>的规定，本公司参加</w:t>
      </w:r>
      <w:bookmarkStart w:id="266"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266"/>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hint="eastAsia" w:ascii="宋体" w:hAnsi="宋体"/>
          <w:bCs/>
          <w:szCs w:val="21"/>
        </w:rPr>
      </w:pPr>
      <w:r>
        <w:rPr>
          <w:rFonts w:hint="eastAsia" w:ascii="宋体" w:hAnsi="宋体"/>
          <w:bCs/>
          <w:szCs w:val="21"/>
        </w:rPr>
        <w:t>1.</w:t>
      </w:r>
      <w:bookmarkStart w:id="267" w:name="_Hlk60836996"/>
      <w:r>
        <w:rPr>
          <w:rFonts w:hint="eastAsia" w:ascii="宋体" w:hAnsi="宋体"/>
          <w:bCs/>
          <w:szCs w:val="21"/>
        </w:rPr>
        <w:t>（</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），从业人员人，营业收入为万元，资产总额为万元，属于（</w:t>
      </w:r>
      <w:r>
        <w:rPr>
          <w:rFonts w:hint="eastAsia" w:ascii="宋体" w:hAnsi="宋体"/>
          <w:bCs/>
          <w:szCs w:val="21"/>
          <w:u w:val="single"/>
        </w:rPr>
        <w:t>中型企业、小型企业、微型企业</w:t>
      </w:r>
      <w:r>
        <w:rPr>
          <w:rFonts w:hint="eastAsia" w:ascii="宋体" w:hAnsi="宋体"/>
          <w:bCs/>
          <w:szCs w:val="21"/>
        </w:rPr>
        <w:t>）；</w:t>
      </w:r>
      <w:bookmarkEnd w:id="267"/>
    </w:p>
    <w:p>
      <w:pPr>
        <w:spacing w:line="600" w:lineRule="exact"/>
        <w:ind w:firstLine="294" w:firstLineChars="140"/>
        <w:jc w:val="left"/>
        <w:rPr>
          <w:rFonts w:hint="eastAsia"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），从业人员人，营业收入为万元，资产总额为万元，属于（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hint="eastAsia" w:ascii="宋体" w:hAnsi="宋体"/>
          <w:bCs/>
          <w:szCs w:val="21"/>
        </w:rPr>
      </w:pPr>
      <w:r>
        <w:rPr>
          <w:rFonts w:hint="eastAsia" w:ascii="宋体" w:hAnsi="宋体"/>
          <w:bCs/>
          <w:szCs w:val="21"/>
        </w:rPr>
        <w:t>……</w:t>
      </w:r>
    </w:p>
    <w:p>
      <w:pPr>
        <w:spacing w:line="600" w:lineRule="exact"/>
        <w:ind w:firstLine="294" w:firstLineChars="140"/>
        <w:jc w:val="left"/>
        <w:rPr>
          <w:rFonts w:hint="eastAsia"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szCs w:val="21"/>
        </w:rPr>
      </w:pPr>
      <w:r>
        <w:rPr>
          <w:rFonts w:hint="eastAsia" w:ascii="宋体" w:hAnsi="宋体"/>
          <w:bCs/>
          <w:szCs w:val="21"/>
        </w:rPr>
        <w:t>本企业对上述声明内容的真实性负责。如有虚假，将依法承担相应责任。</w:t>
      </w:r>
    </w:p>
    <w:p>
      <w:pPr>
        <w:ind w:firstLine="0" w:firstLineChars="0"/>
        <w:rPr>
          <w:szCs w:val="21"/>
        </w:rPr>
      </w:pPr>
    </w:p>
    <w:p>
      <w:pPr>
        <w:ind w:firstLine="0" w:firstLineChars="0"/>
        <w:rPr>
          <w:szCs w:val="21"/>
        </w:rPr>
      </w:pPr>
    </w:p>
    <w:p>
      <w:pPr>
        <w:ind w:firstLine="0" w:firstLineChars="0"/>
        <w:rPr>
          <w:szCs w:val="21"/>
        </w:rPr>
      </w:pPr>
    </w:p>
    <w:p>
      <w:pPr>
        <w:spacing w:line="440" w:lineRule="exact"/>
        <w:ind w:firstLine="5250" w:firstLineChars="2500"/>
        <w:jc w:val="left"/>
        <w:rPr>
          <w:rFonts w:hint="eastAsia"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hint="eastAsia"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bookmarkEnd w:id="263"/>
    <w:p>
      <w:pPr>
        <w:ind w:firstLine="0" w:firstLineChars="0"/>
        <w:rPr>
          <w:szCs w:val="21"/>
        </w:rPr>
      </w:pPr>
    </w:p>
    <w:p>
      <w:pPr>
        <w:ind w:firstLine="0" w:firstLineChars="0"/>
        <w:rPr>
          <w:szCs w:val="21"/>
        </w:rPr>
      </w:pPr>
    </w:p>
    <w:p>
      <w:pPr>
        <w:ind w:firstLine="0" w:firstLineChars="0"/>
        <w:rPr>
          <w:szCs w:val="21"/>
        </w:rPr>
      </w:pPr>
    </w:p>
    <w:p>
      <w:pPr>
        <w:ind w:firstLine="0" w:firstLineChars="0"/>
        <w:rPr>
          <w:szCs w:val="21"/>
        </w:rPr>
      </w:pPr>
    </w:p>
    <w:p>
      <w:pPr>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firstLine="0" w:firstLineChars="0"/>
        <w:rPr>
          <w:szCs w:val="21"/>
        </w:rPr>
      </w:pPr>
    </w:p>
    <w:p>
      <w:pPr>
        <w:spacing w:line="320" w:lineRule="exact"/>
        <w:ind w:left="420" w:firstLine="0" w:firstLineChars="0"/>
        <w:rPr>
          <w:rFonts w:hint="eastAsia" w:ascii="宋体" w:hAnsi="宋体"/>
          <w:sz w:val="18"/>
          <w:szCs w:val="18"/>
        </w:rPr>
      </w:pPr>
      <w:bookmarkStart w:id="268" w:name="_Hlk82091879"/>
      <w:r>
        <w:rPr>
          <w:rFonts w:ascii="宋体" w:hAnsi="宋体"/>
          <w:sz w:val="18"/>
          <w:szCs w:val="18"/>
        </w:rPr>
        <w:fldChar w:fldCharType="begin"/>
      </w:r>
      <w:r>
        <w:rPr>
          <w:rFonts w:ascii="宋体" w:hAnsi="宋体"/>
          <w:sz w:val="18"/>
          <w:szCs w:val="18"/>
        </w:rPr>
        <w:instrText xml:space="preserve">EQ \* jc2 \* hps9 \o\ad(\s\up 8(——),从)</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8(——),人)</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8(——),员)</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8(——),收)</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8(——),资)</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8(——),产)</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8(——),总)</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8(——),额)</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8(——),填)</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8(——),报)</w:instrText>
      </w:r>
      <w:r>
        <w:rPr>
          <w:rFonts w:ascii="宋体" w:hAnsi="宋体"/>
          <w:sz w:val="18"/>
          <w:szCs w:val="18"/>
        </w:rPr>
        <w:fldChar w:fldCharType="end"/>
      </w:r>
      <w:bookmarkEnd w:id="268"/>
      <w:r>
        <w:rPr>
          <w:rFonts w:hint="eastAsia" w:ascii="宋体" w:hAnsi="宋体"/>
          <w:sz w:val="18"/>
          <w:szCs w:val="18"/>
        </w:rPr>
        <w:t>上一年度数据，无上一年度数据的新成立企业可不填报。</w:t>
      </w:r>
    </w:p>
    <w:tbl>
      <w:tblPr>
        <w:tblStyle w:val="49"/>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240" w:lineRule="auto"/>
              <w:ind w:firstLine="0" w:firstLineChars="0"/>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Z＜2000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bl>
    <w:p>
      <w:pPr>
        <w:widowControl/>
        <w:shd w:val="clear" w:color="auto" w:fill="FFFFFF"/>
        <w:spacing w:line="360" w:lineRule="atLeast"/>
        <w:ind w:firstLine="0" w:firstLineChars="0"/>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firstLineChars="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firstLineChars="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firstLineChars="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ind w:firstLine="0" w:firstLineChars="0"/>
      </w:pPr>
      <w:r>
        <w:br w:type="page"/>
      </w:r>
    </w:p>
    <w:p>
      <w:pPr>
        <w:spacing w:line="440" w:lineRule="exact"/>
        <w:ind w:firstLine="0" w:firstLineChars="0"/>
        <w:jc w:val="center"/>
        <w:rPr>
          <w:rFonts w:hint="eastAsia" w:ascii="仿宋_GB2312" w:hAnsi="宋体" w:eastAsia="仿宋_GB2312" w:cs="Courier New"/>
          <w:b/>
          <w:kern w:val="0"/>
          <w:sz w:val="32"/>
          <w:szCs w:val="32"/>
        </w:rPr>
      </w:pPr>
      <w:r>
        <w:rPr>
          <w:rFonts w:hint="eastAsia" w:ascii="仿宋_GB2312" w:hAnsi="宋体" w:eastAsia="仿宋_GB2312" w:cs="Courier New"/>
          <w:b/>
          <w:kern w:val="0"/>
          <w:sz w:val="32"/>
          <w:szCs w:val="32"/>
        </w:rPr>
        <w:t>残疾人福利性单位声明函</w:t>
      </w:r>
      <w:r>
        <w:rPr>
          <w:rFonts w:hint="eastAsia" w:ascii="仿宋_GB2312" w:eastAsia="仿宋_GB2312"/>
          <w:bCs/>
          <w:sz w:val="24"/>
        </w:rPr>
        <w:t>（格式）</w:t>
      </w:r>
    </w:p>
    <w:p>
      <w:pPr>
        <w:ind w:firstLine="0" w:firstLineChars="0"/>
      </w:pPr>
    </w:p>
    <w:p>
      <w:pPr>
        <w:spacing w:line="660" w:lineRule="exact"/>
        <w:ind w:firstLine="420"/>
        <w:rPr>
          <w:rFonts w:hint="eastAsia" w:ascii="宋体" w:hAnsi="宋体" w:cs="Courier New"/>
          <w:kern w:val="0"/>
          <w:szCs w:val="21"/>
        </w:rPr>
      </w:pPr>
      <w:bookmarkStart w:id="269" w:name="_Hlk94193952"/>
      <w:r>
        <w:rPr>
          <w:rFonts w:hint="eastAsia" w:ascii="宋体" w:hAnsi="宋体" w:cs="Courier New"/>
          <w:kern w:val="0"/>
          <w:szCs w:val="21"/>
        </w:rPr>
        <w:t>本单位郑重声明，根据</w:t>
      </w:r>
      <w:bookmarkStart w:id="270"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270"/>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rPr>
          <w:rFonts w:hint="eastAsia" w:ascii="宋体" w:hAnsi="宋体" w:cs="Courier New"/>
          <w:kern w:val="0"/>
          <w:szCs w:val="21"/>
        </w:rPr>
      </w:pPr>
      <w:r>
        <w:rPr>
          <w:rFonts w:hint="eastAsia" w:ascii="宋体" w:hAnsi="宋体" w:cs="Courier New"/>
          <w:kern w:val="0"/>
          <w:szCs w:val="21"/>
        </w:rPr>
        <w:t>本单位对上述声明的真实性负责。如有虚假，将依法承担相应责任。</w:t>
      </w:r>
    </w:p>
    <w:p>
      <w:pPr>
        <w:ind w:firstLine="0" w:firstLineChars="0"/>
        <w:rPr>
          <w:szCs w:val="21"/>
        </w:rPr>
      </w:pPr>
    </w:p>
    <w:p>
      <w:pPr>
        <w:ind w:firstLine="0" w:firstLineChars="0"/>
        <w:rPr>
          <w:szCs w:val="21"/>
        </w:rPr>
      </w:pPr>
    </w:p>
    <w:p>
      <w:pPr>
        <w:ind w:firstLine="0" w:firstLineChars="0"/>
        <w:rPr>
          <w:szCs w:val="21"/>
        </w:rPr>
      </w:pPr>
    </w:p>
    <w:p>
      <w:pPr>
        <w:spacing w:line="440" w:lineRule="exact"/>
        <w:ind w:firstLine="5250" w:firstLineChars="2500"/>
        <w:rPr>
          <w:rFonts w:hint="eastAsia"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hint="eastAsia"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269"/>
    <w:p>
      <w:pPr>
        <w:spacing w:line="440" w:lineRule="exact"/>
        <w:ind w:firstLine="4000" w:firstLineChars="1905"/>
        <w:rPr>
          <w:rFonts w:hint="eastAsia" w:ascii="宋体" w:hAnsi="宋体"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360" w:lineRule="exact"/>
        <w:ind w:firstLine="0" w:firstLineChars="0"/>
        <w:jc w:val="left"/>
        <w:rPr>
          <w:rFonts w:ascii="宋体" w:hAnsi="Courier New" w:cs="Courier New"/>
          <w:szCs w:val="21"/>
          <w:u w:val="single"/>
        </w:rPr>
      </w:pPr>
    </w:p>
    <w:p>
      <w:pPr>
        <w:spacing w:line="260" w:lineRule="exact"/>
        <w:ind w:firstLine="0" w:firstLineChars="0"/>
        <w:jc w:val="left"/>
        <w:rPr>
          <w:rFonts w:ascii="宋体" w:hAnsi="Courier New" w:cs="Courier New"/>
          <w:sz w:val="18"/>
          <w:szCs w:val="18"/>
          <w:u w:val="single"/>
        </w:rPr>
      </w:pPr>
      <w:r>
        <w:rPr>
          <w:rFonts w:hint="eastAsia" w:ascii="宋体" w:hAnsi="Courier New" w:cs="Courier New"/>
          <w:sz w:val="18"/>
          <w:szCs w:val="18"/>
          <w:u w:val="single"/>
        </w:rPr>
        <w:t xml:space="preserve"> </w:t>
      </w:r>
      <w:r>
        <w:rPr>
          <w:rFonts w:ascii="宋体" w:hAnsi="Courier New" w:cs="Courier New"/>
          <w:sz w:val="18"/>
          <w:szCs w:val="18"/>
          <w:u w:val="single"/>
        </w:rPr>
        <w:t xml:space="preserve">                       </w:t>
      </w:r>
    </w:p>
    <w:p>
      <w:pPr>
        <w:spacing w:line="260" w:lineRule="exact"/>
        <w:ind w:firstLine="0" w:firstLineChars="0"/>
        <w:jc w:val="left"/>
        <w:rPr>
          <w:rFonts w:ascii="宋体" w:hAnsi="Courier New" w:cs="Courier New"/>
          <w:sz w:val="18"/>
          <w:szCs w:val="18"/>
          <w:u w:val="single"/>
        </w:rPr>
      </w:pPr>
      <w:r>
        <w:fldChar w:fldCharType="begin"/>
      </w:r>
      <w:r>
        <w:instrText xml:space="preserve"> HYPERLINK "http://www.ccgp.gov.cn/zcfg/mof/201709/t20170904_8787205.htm" </w:instrText>
      </w:r>
      <w:r>
        <w:fldChar w:fldCharType="separate"/>
      </w:r>
      <w:r>
        <w:rPr>
          <w:rFonts w:hint="eastAsia" w:ascii="宋体" w:hAnsi="Courier New" w:cs="Courier New"/>
          <w:sz w:val="18"/>
          <w:szCs w:val="18"/>
          <w:u w:val="single"/>
        </w:rPr>
        <w:t>《财政部 民政部 中国残疾人联</w:t>
      </w:r>
      <w:bookmarkStart w:id="271" w:name="_Hlt94193982"/>
      <w:bookmarkStart w:id="272" w:name="_Hlt94193983"/>
      <w:r>
        <w:rPr>
          <w:rFonts w:hint="eastAsia" w:ascii="宋体" w:hAnsi="Courier New" w:cs="Courier New"/>
          <w:sz w:val="18"/>
          <w:szCs w:val="18"/>
          <w:u w:val="single"/>
        </w:rPr>
        <w:t>合</w:t>
      </w:r>
      <w:bookmarkEnd w:id="271"/>
      <w:bookmarkEnd w:id="272"/>
      <w:r>
        <w:rPr>
          <w:rFonts w:hint="eastAsia" w:ascii="宋体" w:hAnsi="Courier New" w:cs="Courier New"/>
          <w:sz w:val="18"/>
          <w:szCs w:val="18"/>
          <w:u w:val="single"/>
        </w:rPr>
        <w:t>会关于促进残疾人就业政府采购政策的通知》（财库〔2017〕141号）</w:t>
      </w:r>
      <w:r>
        <w:rPr>
          <w:rFonts w:hint="eastAsia" w:ascii="宋体" w:hAnsi="Courier New" w:cs="Courier New"/>
          <w:sz w:val="18"/>
          <w:szCs w:val="18"/>
          <w:u w:val="single"/>
        </w:rPr>
        <w:fldChar w:fldCharType="end"/>
      </w:r>
    </w:p>
    <w:p>
      <w:pPr>
        <w:snapToGrid w:val="0"/>
        <w:spacing w:before="50" w:after="50" w:line="360" w:lineRule="exact"/>
        <w:ind w:right="-817" w:rightChars="-389" w:firstLine="0" w:firstLineChars="0"/>
        <w:rPr>
          <w:rFonts w:hint="eastAsia" w:ascii="宋体" w:hAnsi="宋体"/>
          <w:b/>
          <w:bCs/>
          <w:sz w:val="32"/>
          <w:szCs w:val="32"/>
        </w:rPr>
      </w:pPr>
      <w:r>
        <w:rPr>
          <w:rFonts w:ascii="宋体" w:hAnsi="宋体"/>
          <w:szCs w:val="21"/>
        </w:rPr>
        <w:br w:type="page"/>
      </w:r>
      <w:r>
        <w:rPr>
          <w:rFonts w:hint="eastAsia" w:ascii="宋体" w:hAnsi="宋体"/>
          <w:b/>
          <w:bCs/>
          <w:sz w:val="32"/>
          <w:szCs w:val="32"/>
        </w:rPr>
        <w:t>三、报价文件</w:t>
      </w:r>
    </w:p>
    <w:p>
      <w:pPr>
        <w:ind w:firstLine="0" w:firstLineChars="0"/>
      </w:pPr>
    </w:p>
    <w:p>
      <w:pPr>
        <w:snapToGrid w:val="0"/>
        <w:spacing w:before="50" w:after="50" w:line="360" w:lineRule="exact"/>
        <w:ind w:firstLine="0" w:firstLineChars="0"/>
        <w:jc w:val="center"/>
        <w:rPr>
          <w:rFonts w:hint="eastAsia" w:ascii="仿宋_GB2312" w:hAnsi="宋体" w:eastAsia="仿宋_GB2312"/>
          <w:b/>
          <w:sz w:val="28"/>
          <w:szCs w:val="28"/>
        </w:rPr>
      </w:pPr>
      <w:r>
        <w:rPr>
          <w:rFonts w:hint="eastAsia" w:ascii="仿宋_GB2312" w:hAnsi="宋体" w:eastAsia="仿宋_GB2312"/>
          <w:b/>
          <w:sz w:val="32"/>
          <w:szCs w:val="32"/>
        </w:rPr>
        <w:t>开标一览表</w:t>
      </w:r>
      <w:bookmarkStart w:id="273" w:name="_Hlk111729075"/>
      <w:r>
        <w:rPr>
          <w:rFonts w:hint="eastAsia" w:ascii="仿宋_GB2312" w:eastAsia="仿宋_GB2312"/>
          <w:bCs/>
          <w:sz w:val="24"/>
        </w:rPr>
        <w:t>（格式）</w:t>
      </w:r>
      <w:bookmarkEnd w:id="273"/>
    </w:p>
    <w:p>
      <w:pPr>
        <w:snapToGrid w:val="0"/>
        <w:spacing w:before="50" w:after="50"/>
        <w:ind w:firstLine="420"/>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p>
    <w:p>
      <w:pPr>
        <w:snapToGrid w:val="0"/>
        <w:spacing w:before="50" w:after="50"/>
        <w:ind w:firstLine="0"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项目编号：</w:t>
      </w:r>
      <w:r>
        <w:rPr>
          <w:rFonts w:hint="eastAsia" w:ascii="宋体" w:hAnsi="宋体"/>
          <w:szCs w:val="21"/>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0" w:firstLineChars="0"/>
              <w:jc w:val="center"/>
              <w:rPr>
                <w:rFonts w:hint="eastAsia" w:ascii="宋体" w:hAnsi="宋体"/>
                <w:szCs w:val="21"/>
              </w:rPr>
            </w:pPr>
            <w:r>
              <w:rPr>
                <w:rFonts w:hint="eastAsia" w:ascii="宋体" w:hAnsi="宋体"/>
                <w:szCs w:val="21"/>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bCs/>
                <w:szCs w:val="21"/>
                <w:u w:val="single"/>
              </w:rPr>
            </w:pPr>
            <w:r>
              <w:rPr>
                <w:rFonts w:hint="eastAsia" w:ascii="宋体" w:hAnsi="宋体" w:cs="Courier New"/>
                <w:spacing w:val="-6"/>
                <w:szCs w:val="21"/>
              </w:rPr>
              <w:t>人民币大写：</w:t>
            </w:r>
            <w:r>
              <w:rPr>
                <w:rFonts w:hint="eastAsia" w:ascii="宋体" w:hAnsi="宋体" w:cs="Courier New"/>
                <w:spacing w:val="-6"/>
                <w:szCs w:val="21"/>
                <w:u w:val="single"/>
              </w:rPr>
              <w:t xml:space="preserve">                  </w:t>
            </w:r>
            <w:r>
              <w:rPr>
                <w:rFonts w:ascii="宋体" w:hAnsi="宋体" w:cs="Courier New"/>
                <w:spacing w:val="-6"/>
                <w:szCs w:val="21"/>
                <w:u w:val="single"/>
              </w:rPr>
              <w:t xml:space="preserve">                             </w:t>
            </w:r>
            <w:r>
              <w:rPr>
                <w:rFonts w:hint="eastAsia" w:ascii="宋体" w:hAnsi="宋体" w:cs="Courier New"/>
                <w:spacing w:val="-6"/>
                <w:szCs w:val="21"/>
                <w:u w:val="single"/>
              </w:rPr>
              <w:t xml:space="preserve">    </w:t>
            </w:r>
            <w:r>
              <w:rPr>
                <w:rFonts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tbl>
    <w:p>
      <w:pPr>
        <w:snapToGrid w:val="0"/>
        <w:spacing w:before="50" w:after="50"/>
        <w:ind w:left="105" w:leftChars="50" w:firstLine="315" w:firstLineChars="150"/>
        <w:jc w:val="left"/>
        <w:rPr>
          <w:rFonts w:hint="eastAsia" w:ascii="宋体" w:hAnsi="宋体"/>
          <w:szCs w:val="21"/>
        </w:rPr>
      </w:pPr>
      <w:r>
        <w:rPr>
          <w:rFonts w:hint="eastAsia" w:ascii="宋体" w:hAnsi="宋体"/>
          <w:szCs w:val="21"/>
        </w:rPr>
        <w:t>1.所有价格均用人民币表示，单位为元，精确到个数位。</w:t>
      </w:r>
    </w:p>
    <w:p>
      <w:pPr>
        <w:snapToGrid w:val="0"/>
        <w:spacing w:before="50" w:after="50"/>
        <w:ind w:left="105" w:leftChars="50" w:firstLine="315" w:firstLineChars="150"/>
        <w:jc w:val="left"/>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报价一经涂改，应在涂改处加盖公章或者由法定代表人或授权委托人签名或盖章，否则视为无效投标文件。</w:t>
      </w:r>
    </w:p>
    <w:p>
      <w:pPr>
        <w:snapToGrid w:val="0"/>
        <w:spacing w:before="50" w:after="50"/>
        <w:ind w:firstLine="420"/>
        <w:rPr>
          <w:rFonts w:hint="eastAsia" w:ascii="宋体" w:hAnsi="宋体"/>
          <w:szCs w:val="21"/>
        </w:rPr>
      </w:pPr>
      <w:bookmarkStart w:id="274" w:name="_Hlk90908484"/>
      <w:r>
        <w:rPr>
          <w:rFonts w:ascii="宋体" w:hAnsi="宋体"/>
          <w:szCs w:val="21"/>
        </w:rPr>
        <w:t>3</w:t>
      </w:r>
      <w:r>
        <w:rPr>
          <w:rFonts w:hint="eastAsia" w:ascii="宋体" w:hAnsi="宋体"/>
          <w:szCs w:val="21"/>
        </w:rPr>
        <w:t>.</w:t>
      </w:r>
      <w:r>
        <w:rPr>
          <w:rFonts w:hint="eastAsia" w:ascii="宋体" w:hAnsi="宋体"/>
          <w:bCs/>
          <w:szCs w:val="21"/>
        </w:rPr>
        <w:t>投标报价应包括设备及零配件、备品备件、材料、消耗品的采购和运输（装卸、吊装），项目安装、调试、检测、工具、调试及验收、现场卫生清理、水电费、土建改造、售后服务、培训、税金、利润、项目所需的物资、外设、线缆、管材、埋管及完成全部设备安装和服务应有的环保、文明施工、安全施工、风险费、责任等费用总和。</w:t>
      </w:r>
    </w:p>
    <w:bookmarkEnd w:id="274"/>
    <w:p>
      <w:pPr>
        <w:snapToGrid w:val="0"/>
        <w:spacing w:before="50" w:after="50" w:line="350" w:lineRule="exact"/>
        <w:ind w:right="-817" w:rightChars="-389" w:firstLine="0" w:firstLineChars="0"/>
        <w:rPr>
          <w:rFonts w:hint="eastAsia" w:ascii="宋体" w:hAnsi="宋体"/>
          <w:szCs w:val="21"/>
        </w:rPr>
      </w:pPr>
    </w:p>
    <w:p>
      <w:pPr>
        <w:snapToGrid w:val="0"/>
        <w:spacing w:before="50" w:after="50" w:line="350" w:lineRule="exact"/>
        <w:ind w:right="-817" w:rightChars="-389" w:firstLine="0" w:firstLineChars="0"/>
        <w:rPr>
          <w:rFonts w:hint="eastAsia" w:ascii="宋体" w:hAnsi="宋体"/>
          <w:szCs w:val="21"/>
        </w:rPr>
      </w:pPr>
    </w:p>
    <w:p>
      <w:pPr>
        <w:snapToGrid w:val="0"/>
        <w:spacing w:before="50" w:after="50" w:line="350" w:lineRule="exact"/>
        <w:ind w:right="-817" w:rightChars="-389" w:firstLine="4189" w:firstLineChars="1995"/>
        <w:rPr>
          <w:rFonts w:hint="eastAsia" w:ascii="宋体" w:hAnsi="宋体"/>
          <w:szCs w:val="21"/>
        </w:rPr>
      </w:pPr>
      <w:r>
        <w:rPr>
          <w:rFonts w:hint="eastAsia" w:ascii="宋体" w:hAnsi="宋体"/>
          <w:szCs w:val="21"/>
        </w:rPr>
        <w:t>法定代表人或授权代表（签名）：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50" w:after="50" w:line="350" w:lineRule="exact"/>
        <w:ind w:right="-817" w:rightChars="-389" w:firstLine="3465" w:firstLineChars="16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napToGrid w:val="0"/>
        <w:spacing w:before="50" w:after="50" w:line="350" w:lineRule="exact"/>
        <w:ind w:right="-817" w:rightChars="-389" w:firstLine="3255" w:firstLineChars="15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firstLine="0" w:firstLineChars="0"/>
        <w:rPr>
          <w:rFonts w:hint="eastAsia" w:ascii="宋体" w:hAnsi="宋体"/>
          <w:szCs w:val="21"/>
        </w:rPr>
      </w:pPr>
      <w:r>
        <w:rPr>
          <w:rFonts w:ascii="宋体" w:hAnsi="宋体"/>
          <w:szCs w:val="21"/>
        </w:rPr>
        <w:br w:type="page"/>
      </w:r>
    </w:p>
    <w:p>
      <w:pPr>
        <w:ind w:firstLine="0" w:firstLineChars="0"/>
        <w:jc w:val="center"/>
        <w:rPr>
          <w:rFonts w:ascii="仿宋_GB2312" w:eastAsia="仿宋_GB2312"/>
          <w:b/>
          <w:bCs/>
          <w:sz w:val="28"/>
          <w:szCs w:val="28"/>
        </w:rPr>
      </w:pPr>
      <w:r>
        <w:rPr>
          <w:rFonts w:hint="eastAsia" w:ascii="仿宋_GB2312" w:eastAsia="仿宋_GB2312"/>
          <w:b/>
          <w:bCs/>
          <w:sz w:val="32"/>
          <w:szCs w:val="32"/>
        </w:rPr>
        <w:t>报价明细表</w:t>
      </w:r>
      <w:r>
        <w:rPr>
          <w:rFonts w:hint="eastAsia" w:ascii="仿宋_GB2312" w:eastAsia="仿宋_GB2312"/>
          <w:bCs/>
          <w:sz w:val="24"/>
        </w:rPr>
        <w:t>（格式）</w:t>
      </w:r>
    </w:p>
    <w:p>
      <w:pPr>
        <w:ind w:firstLine="199" w:firstLineChars="95"/>
        <w:jc w:val="left"/>
        <w:rPr>
          <w:rFonts w:hint="eastAsia" w:ascii="宋体" w:hAnsi="宋体"/>
          <w:szCs w:val="21"/>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ind w:firstLine="210" w:firstLineChars="100"/>
        <w:jc w:val="left"/>
        <w:rPr>
          <w:rFonts w:hint="eastAsia"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ind w:firstLine="0" w:firstLineChars="0"/>
              <w:jc w:val="center"/>
              <w:rPr>
                <w:rFonts w:hint="eastAsia" w:ascii="宋体" w:hAnsi="宋体" w:cs="Courier New"/>
                <w:szCs w:val="21"/>
              </w:rPr>
            </w:pPr>
            <w:bookmarkStart w:id="275"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货物名称</w:t>
            </w:r>
          </w:p>
        </w:tc>
        <w:tc>
          <w:tcPr>
            <w:tcW w:w="699"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品牌</w:t>
            </w:r>
          </w:p>
        </w:tc>
        <w:tc>
          <w:tcPr>
            <w:tcW w:w="710"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型号</w:t>
            </w:r>
          </w:p>
        </w:tc>
        <w:tc>
          <w:tcPr>
            <w:tcW w:w="709"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产地</w:t>
            </w:r>
          </w:p>
        </w:tc>
        <w:tc>
          <w:tcPr>
            <w:tcW w:w="170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pPr>
              <w:spacing w:line="300" w:lineRule="exact"/>
              <w:ind w:firstLine="0" w:firstLineChars="0"/>
              <w:jc w:val="center"/>
              <w:rPr>
                <w:rFonts w:hint="eastAsia" w:ascii="宋体" w:hAnsi="宋体" w:cs="Courier New"/>
                <w:szCs w:val="21"/>
              </w:rPr>
            </w:pPr>
            <w:r>
              <w:rPr>
                <w:rFonts w:hint="eastAsia" w:ascii="宋体" w:hAnsi="宋体" w:cs="Courier New"/>
                <w:szCs w:val="21"/>
              </w:rPr>
              <w:t>单项合价</w:t>
            </w:r>
          </w:p>
          <w:p>
            <w:pPr>
              <w:spacing w:line="300" w:lineRule="exact"/>
              <w:ind w:firstLine="0" w:firstLineChars="0"/>
              <w:jc w:val="center"/>
              <w:rPr>
                <w:rFonts w:hint="eastAsia"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firstLine="0" w:firstLineChars="0"/>
              <w:jc w:val="center"/>
              <w:rPr>
                <w:rFonts w:hint="eastAsia" w:ascii="宋体" w:hAnsi="宋体"/>
                <w:sz w:val="24"/>
              </w:rPr>
            </w:pPr>
            <w:r>
              <w:rPr>
                <w:rFonts w:hint="eastAsia" w:ascii="宋体" w:hAnsi="宋体"/>
                <w:sz w:val="24"/>
              </w:rPr>
              <w:t>1</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rPr>
            </w:pPr>
            <w:r>
              <w:rPr>
                <w:rFonts w:hint="eastAsia" w:ascii="宋体" w:hAnsi="宋体"/>
                <w:sz w:val="24"/>
              </w:rPr>
              <w:t>2</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rPr>
            </w:pPr>
            <w:r>
              <w:rPr>
                <w:rFonts w:hint="eastAsia" w:ascii="宋体" w:hAnsi="宋体"/>
                <w:sz w:val="24"/>
              </w:rPr>
              <w:t>3</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rPr>
            </w:pPr>
            <w:r>
              <w:rPr>
                <w:rFonts w:ascii="宋体" w:hAnsi="宋体"/>
                <w:sz w:val="24"/>
              </w:rPr>
              <w:t>…</w:t>
            </w:r>
          </w:p>
        </w:tc>
        <w:tc>
          <w:tcPr>
            <w:tcW w:w="1145" w:type="dxa"/>
            <w:vAlign w:val="center"/>
          </w:tcPr>
          <w:p>
            <w:pPr>
              <w:spacing w:line="440" w:lineRule="exact"/>
              <w:ind w:firstLine="0" w:firstLineChars="0"/>
              <w:jc w:val="center"/>
              <w:rPr>
                <w:rFonts w:hint="eastAsia" w:ascii="宋体" w:hAnsi="宋体"/>
              </w:rPr>
            </w:pPr>
          </w:p>
        </w:tc>
        <w:tc>
          <w:tcPr>
            <w:tcW w:w="699" w:type="dxa"/>
            <w:vAlign w:val="center"/>
          </w:tcPr>
          <w:p>
            <w:pPr>
              <w:spacing w:line="440" w:lineRule="exact"/>
              <w:ind w:firstLine="0" w:firstLineChars="0"/>
              <w:jc w:val="center"/>
              <w:rPr>
                <w:rFonts w:hint="eastAsia" w:ascii="宋体" w:hAnsi="宋体"/>
              </w:rPr>
            </w:pPr>
          </w:p>
        </w:tc>
        <w:tc>
          <w:tcPr>
            <w:tcW w:w="710" w:type="dxa"/>
            <w:vAlign w:val="center"/>
          </w:tcPr>
          <w:p>
            <w:pPr>
              <w:spacing w:line="440" w:lineRule="exact"/>
              <w:ind w:firstLine="0" w:firstLineChars="0"/>
              <w:jc w:val="center"/>
              <w:rPr>
                <w:rFonts w:hint="eastAsia" w:ascii="宋体" w:hAnsi="宋体"/>
              </w:rPr>
            </w:pPr>
          </w:p>
        </w:tc>
        <w:tc>
          <w:tcPr>
            <w:tcW w:w="709"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1702" w:type="dxa"/>
            <w:vAlign w:val="center"/>
          </w:tcPr>
          <w:p>
            <w:pPr>
              <w:spacing w:line="440" w:lineRule="exact"/>
              <w:ind w:firstLine="0" w:firstLineChars="0"/>
              <w:jc w:val="center"/>
              <w:rPr>
                <w:rFonts w:hint="eastAsia" w:ascii="宋体" w:hAnsi="宋体"/>
              </w:rPr>
            </w:pPr>
          </w:p>
        </w:tc>
        <w:tc>
          <w:tcPr>
            <w:tcW w:w="852" w:type="dxa"/>
            <w:vAlign w:val="center"/>
          </w:tcPr>
          <w:p>
            <w:pPr>
              <w:spacing w:line="440" w:lineRule="exact"/>
              <w:ind w:firstLine="0" w:firstLineChars="0"/>
              <w:jc w:val="center"/>
              <w:rPr>
                <w:rFonts w:hint="eastAsia" w:ascii="宋体" w:hAnsi="宋体"/>
              </w:rPr>
            </w:pPr>
          </w:p>
        </w:tc>
        <w:tc>
          <w:tcPr>
            <w:tcW w:w="1348" w:type="dxa"/>
            <w:vAlign w:val="center"/>
          </w:tcPr>
          <w:p>
            <w:pPr>
              <w:spacing w:line="440" w:lineRule="exact"/>
              <w:ind w:firstLine="0" w:firstLineChar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pPr>
              <w:spacing w:line="440" w:lineRule="exact"/>
              <w:ind w:firstLine="27" w:firstLineChars="14"/>
              <w:rPr>
                <w:rFonts w:hint="eastAsia"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275"/>
    </w:tbl>
    <w:p>
      <w:pPr>
        <w:spacing w:line="440" w:lineRule="exact"/>
        <w:ind w:firstLine="420"/>
        <w:rPr>
          <w:rFonts w:hint="eastAsia" w:ascii="宋体" w:hAnsi="宋体"/>
          <w:szCs w:val="21"/>
        </w:rPr>
      </w:pPr>
      <w:r>
        <w:rPr>
          <w:rFonts w:hint="eastAsia" w:ascii="宋体" w:hAnsi="宋体"/>
          <w:szCs w:val="21"/>
        </w:rPr>
        <w:t>注：1.所有价格均用人民币表示，单位为元，精确到个数位。</w:t>
      </w:r>
    </w:p>
    <w:p>
      <w:pPr>
        <w:spacing w:line="440" w:lineRule="exact"/>
        <w:ind w:firstLine="0" w:firstLineChars="0"/>
        <w:rPr>
          <w:rFonts w:ascii="宋体" w:hAnsi="Courier New" w:cs="Courier New"/>
          <w:szCs w:val="21"/>
        </w:rPr>
      </w:pPr>
      <w:r>
        <w:rPr>
          <w:rFonts w:hint="eastAsia" w:ascii="宋体" w:hAnsi="宋体"/>
          <w:szCs w:val="21"/>
        </w:rPr>
        <w:t xml:space="preserve">    </w:t>
      </w:r>
      <w:r>
        <w:rPr>
          <w:rFonts w:hint="eastAsia" w:ascii="宋体" w:hAnsi="宋体"/>
          <w:bCs/>
          <w:szCs w:val="21"/>
        </w:rPr>
        <w:t>2.投标报价应包含货物、货物标准附件、备品备件、专用工具、设备安装辅材、施工辅材、包装、运输、装卸、保险等各种费用以及安装、调试、验收、税金、售后服务、技术培训费、更新升级、软件费及其他所有成本费用；如出现参数不满足或由于供应商原因造成品质不满足合同要求，采购人有权要求更换设备，不增加任何费用。</w:t>
      </w:r>
    </w:p>
    <w:p>
      <w:pPr>
        <w:spacing w:before="50" w:after="50" w:line="360" w:lineRule="exact"/>
        <w:ind w:firstLine="420" w:firstLineChars="0"/>
        <w:rPr>
          <w:rFonts w:hint="eastAsia" w:ascii="宋体" w:hAnsi="宋体" w:cs="Courier New"/>
          <w:szCs w:val="21"/>
        </w:rPr>
      </w:pPr>
      <w:r>
        <w:rPr>
          <w:rFonts w:hint="eastAsia" w:ascii="宋体" w:hAnsi="Courier New" w:cs="Courier New"/>
          <w:szCs w:val="21"/>
        </w:rPr>
        <w:t>3</w:t>
      </w:r>
      <w:r>
        <w:rPr>
          <w:rFonts w:ascii="宋体" w:hAnsi="Courier New" w:cs="Courier New"/>
          <w:szCs w:val="21"/>
        </w:rPr>
        <w:t>.</w:t>
      </w:r>
      <w:r>
        <w:rPr>
          <w:rFonts w:hint="eastAsia" w:ascii="宋体" w:hAnsi="宋体" w:cs="Courier New"/>
          <w:szCs w:val="21"/>
        </w:rPr>
        <w:t>报价为全包价，以人民币为结算单位。在合同实施时，采购人将不予支付中标人没有列入的项目费用，并认为此项目的费用已包括在总报价中。采购人不再支付合同以外的其他费用。</w:t>
      </w:r>
    </w:p>
    <w:p>
      <w:pPr>
        <w:spacing w:line="240" w:lineRule="auto"/>
        <w:ind w:firstLine="0" w:firstLineChars="0"/>
      </w:pPr>
    </w:p>
    <w:p>
      <w:pPr>
        <w:ind w:firstLine="0" w:firstLineChars="0"/>
      </w:pPr>
    </w:p>
    <w:p>
      <w:pPr>
        <w:ind w:firstLine="0" w:firstLineChars="0"/>
      </w:pPr>
    </w:p>
    <w:p>
      <w:pPr>
        <w:snapToGrid w:val="0"/>
        <w:spacing w:before="50" w:after="50" w:line="350" w:lineRule="exact"/>
        <w:ind w:right="-817" w:rightChars="-389" w:firstLine="4189" w:firstLineChars="1995"/>
        <w:rPr>
          <w:rFonts w:hint="eastAsia" w:ascii="宋体" w:hAnsi="宋体"/>
          <w:szCs w:val="21"/>
        </w:rPr>
      </w:pPr>
      <w:r>
        <w:rPr>
          <w:rFonts w:hint="eastAsia" w:ascii="宋体" w:hAnsi="宋体"/>
          <w:szCs w:val="21"/>
        </w:rPr>
        <w:t>法定代表人或授权代表（签名）：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napToGrid w:val="0"/>
        <w:spacing w:before="50" w:after="50" w:line="350" w:lineRule="exact"/>
        <w:ind w:right="-817" w:rightChars="-389" w:firstLine="3465" w:firstLineChars="16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pPr>
        <w:snapToGrid w:val="0"/>
        <w:spacing w:before="50" w:after="50" w:line="350" w:lineRule="exact"/>
        <w:ind w:right="-817" w:rightChars="-389" w:firstLine="3465" w:firstLineChars="1650"/>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firstLine="0" w:firstLineChars="0"/>
        <w:jc w:val="center"/>
        <w:rPr>
          <w:rFonts w:hint="eastAsia" w:ascii="宋体" w:hAnsi="宋体"/>
          <w:szCs w:val="21"/>
        </w:rPr>
      </w:pPr>
    </w:p>
    <w:sectPr>
      <w:headerReference r:id="rId11" w:type="default"/>
      <w:footerReference r:id="rId12" w:type="default"/>
      <w:pgSz w:w="11906" w:h="16838"/>
      <w:pgMar w:top="1246" w:right="991" w:bottom="1091" w:left="993"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Bosch Office Sans">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r>
      <w:fldChar w:fldCharType="begin"/>
    </w:r>
    <w:r>
      <w:instrText xml:space="preserve">PAGE   \* MERGEFORMAT</w:instrText>
    </w:r>
    <w:r>
      <w:fldChar w:fldCharType="separate"/>
    </w:r>
    <w:r>
      <w:rPr>
        <w:lang w:val="zh-CN"/>
      </w:rPr>
      <w:t>60</w:t>
    </w:r>
    <w:r>
      <w:fldChar w:fldCharType="end"/>
    </w:r>
  </w:p>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18" w:leftChars="-342" w:right="-874" w:rightChars="-416" w:firstLine="716" w:firstLineChars="398"/>
      <w:rPr>
        <w:sz w:val="18"/>
        <w:szCs w:val="18"/>
        <w:u w:val="single"/>
      </w:rPr>
    </w:pPr>
    <w:r>
      <w:rPr>
        <w:rFonts w:hint="eastAsia"/>
        <w:sz w:val="18"/>
        <w:szCs w:val="18"/>
        <w:u w:val="single"/>
      </w:rPr>
      <w:t xml:space="preserve">钦州市政府采购中心           </w:t>
    </w:r>
    <w:r>
      <w:rPr>
        <w:rFonts w:hint="eastAsia"/>
        <w:sz w:val="18"/>
        <w:szCs w:val="18"/>
        <w:u w:val="single"/>
        <w:lang w:eastAsia="zh-CN"/>
      </w:rPr>
      <w:t>浦北县第一职业技术学校音乐展厅及校园智慧办公系统建设</w:t>
    </w:r>
    <w:r>
      <w:rPr>
        <w:rFonts w:hint="eastAsia"/>
        <w:sz w:val="18"/>
        <w:szCs w:val="18"/>
        <w:u w:val="single"/>
      </w:rPr>
      <w:t>(</w:t>
    </w:r>
    <w:r>
      <w:rPr>
        <w:rFonts w:hint="eastAsia"/>
        <w:sz w:val="18"/>
        <w:szCs w:val="18"/>
        <w:u w:val="single"/>
        <w:lang w:eastAsia="zh-CN"/>
      </w:rPr>
      <w:t>QZZC2025-G1-220225-QZSZ</w:t>
    </w:r>
    <w:r>
      <w:rPr>
        <w:rFonts w:hint="eastAsia"/>
        <w:sz w:val="18"/>
        <w:szCs w:val="18"/>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18" w:leftChars="-342" w:right="-874" w:rightChars="-416" w:firstLine="716" w:firstLineChars="398"/>
      <w:rPr>
        <w:sz w:val="18"/>
        <w:szCs w:val="18"/>
        <w:u w:val="single"/>
      </w:rPr>
    </w:pPr>
    <w:r>
      <w:rPr>
        <w:rFonts w:hint="eastAsia"/>
        <w:sz w:val="18"/>
        <w:szCs w:val="18"/>
        <w:u w:val="single"/>
      </w:rPr>
      <w:t xml:space="preserve">钦州市政府采购中心               </w:t>
    </w:r>
    <w:r>
      <w:rPr>
        <w:rFonts w:hint="eastAsia"/>
        <w:sz w:val="18"/>
        <w:szCs w:val="18"/>
        <w:u w:val="single"/>
        <w:lang w:eastAsia="zh-CN"/>
      </w:rPr>
      <w:t>浦北县第一职业技术学校音乐展厅及校园智慧办公系统建设</w:t>
    </w:r>
    <w:r>
      <w:rPr>
        <w:rFonts w:hint="eastAsia"/>
        <w:sz w:val="18"/>
        <w:szCs w:val="18"/>
        <w:u w:val="single"/>
      </w:rPr>
      <w:t>(</w:t>
    </w:r>
    <w:r>
      <w:rPr>
        <w:rFonts w:hint="eastAsia"/>
        <w:sz w:val="18"/>
        <w:szCs w:val="18"/>
        <w:u w:val="single"/>
        <w:lang w:eastAsia="zh-CN"/>
      </w:rPr>
      <w:t>QZZC2025-G1-220225-QZSZ</w:t>
    </w:r>
    <w:r>
      <w:rPr>
        <w:rFonts w:hint="eastAsia"/>
        <w:sz w:val="18"/>
        <w:szCs w:val="18"/>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C60A9"/>
    <w:multiLevelType w:val="singleLevel"/>
    <w:tmpl w:val="841C60A9"/>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8D03F6A"/>
    <w:multiLevelType w:val="singleLevel"/>
    <w:tmpl w:val="E8D03F6A"/>
    <w:lvl w:ilvl="0" w:tentative="0">
      <w:start w:val="1"/>
      <w:numFmt w:val="decimal"/>
      <w:lvlText w:val="%1."/>
      <w:lvlJc w:val="left"/>
      <w:pPr>
        <w:tabs>
          <w:tab w:val="left" w:pos="312"/>
        </w:tabs>
      </w:pPr>
    </w:lvl>
  </w:abstractNum>
  <w:abstractNum w:abstractNumId="6">
    <w:nsid w:val="005F26EC"/>
    <w:multiLevelType w:val="singleLevel"/>
    <w:tmpl w:val="005F26EC"/>
    <w:lvl w:ilvl="0" w:tentative="0">
      <w:start w:val="4"/>
      <w:numFmt w:val="decimal"/>
      <w:suff w:val="nothing"/>
      <w:lvlText w:val="%1．"/>
      <w:lvlJc w:val="left"/>
    </w:lvl>
  </w:abstractNum>
  <w:abstractNum w:abstractNumId="7">
    <w:nsid w:val="3AC00D1C"/>
    <w:multiLevelType w:val="multilevel"/>
    <w:tmpl w:val="3AC00D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AD3042"/>
    <w:multiLevelType w:val="multilevel"/>
    <w:tmpl w:val="72AD30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0"/>
  </w:num>
  <w:num w:numId="3">
    <w:abstractNumId w:val="6"/>
  </w:num>
  <w:num w:numId="4">
    <w:abstractNumId w:val="7"/>
  </w:num>
  <w:num w:numId="5">
    <w:abstractNumId w:val="5"/>
  </w:num>
  <w:num w:numId="6">
    <w:abstractNumId w:val="9"/>
  </w:num>
  <w:num w:numId="7">
    <w:abstractNumId w:val="3"/>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ZmE0Zjc2ZDA5NmE1NTQ4Yzk4Zjk0N2Y4YTlhMjQifQ=="/>
    <w:docVar w:name="KSO_WPS_MARK_KEY" w:val="8b2e790f-301c-416b-a0c7-a7ea7cce6ec1"/>
  </w:docVars>
  <w:rsids>
    <w:rsidRoot w:val="00E57B92"/>
    <w:rsid w:val="00001C41"/>
    <w:rsid w:val="00004B07"/>
    <w:rsid w:val="00012693"/>
    <w:rsid w:val="00013AAD"/>
    <w:rsid w:val="0001477A"/>
    <w:rsid w:val="000160E7"/>
    <w:rsid w:val="00016146"/>
    <w:rsid w:val="000165AA"/>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37506"/>
    <w:rsid w:val="00041F84"/>
    <w:rsid w:val="000426A5"/>
    <w:rsid w:val="00042B43"/>
    <w:rsid w:val="00043733"/>
    <w:rsid w:val="00044C2E"/>
    <w:rsid w:val="00044EA4"/>
    <w:rsid w:val="0004516D"/>
    <w:rsid w:val="00046EBA"/>
    <w:rsid w:val="000475DF"/>
    <w:rsid w:val="0005111A"/>
    <w:rsid w:val="0005232E"/>
    <w:rsid w:val="00052E87"/>
    <w:rsid w:val="0005478E"/>
    <w:rsid w:val="00054B3B"/>
    <w:rsid w:val="00054E52"/>
    <w:rsid w:val="000614D1"/>
    <w:rsid w:val="0006165C"/>
    <w:rsid w:val="00065472"/>
    <w:rsid w:val="00065951"/>
    <w:rsid w:val="00065FC9"/>
    <w:rsid w:val="000661F6"/>
    <w:rsid w:val="00066921"/>
    <w:rsid w:val="00066D8C"/>
    <w:rsid w:val="00067C4F"/>
    <w:rsid w:val="00071CFF"/>
    <w:rsid w:val="00073C68"/>
    <w:rsid w:val="00077520"/>
    <w:rsid w:val="00077995"/>
    <w:rsid w:val="0008019D"/>
    <w:rsid w:val="00080A21"/>
    <w:rsid w:val="000810CF"/>
    <w:rsid w:val="000813F7"/>
    <w:rsid w:val="00082608"/>
    <w:rsid w:val="000842AE"/>
    <w:rsid w:val="00086746"/>
    <w:rsid w:val="0009000E"/>
    <w:rsid w:val="00093F5D"/>
    <w:rsid w:val="000946C4"/>
    <w:rsid w:val="000975E8"/>
    <w:rsid w:val="00097FD6"/>
    <w:rsid w:val="000A2692"/>
    <w:rsid w:val="000A4349"/>
    <w:rsid w:val="000A780C"/>
    <w:rsid w:val="000B0DB5"/>
    <w:rsid w:val="000B1576"/>
    <w:rsid w:val="000B24A1"/>
    <w:rsid w:val="000B3B3E"/>
    <w:rsid w:val="000B3E41"/>
    <w:rsid w:val="000B49E6"/>
    <w:rsid w:val="000B53E8"/>
    <w:rsid w:val="000B54BA"/>
    <w:rsid w:val="000B5D4A"/>
    <w:rsid w:val="000B6457"/>
    <w:rsid w:val="000C1488"/>
    <w:rsid w:val="000C1553"/>
    <w:rsid w:val="000C233C"/>
    <w:rsid w:val="000C23CE"/>
    <w:rsid w:val="000C4366"/>
    <w:rsid w:val="000C5F92"/>
    <w:rsid w:val="000C65E8"/>
    <w:rsid w:val="000C6B4F"/>
    <w:rsid w:val="000D221E"/>
    <w:rsid w:val="000D228B"/>
    <w:rsid w:val="000D2BAD"/>
    <w:rsid w:val="000D3657"/>
    <w:rsid w:val="000D4AA8"/>
    <w:rsid w:val="000D5462"/>
    <w:rsid w:val="000D6065"/>
    <w:rsid w:val="000D65C5"/>
    <w:rsid w:val="000D7688"/>
    <w:rsid w:val="000E02B7"/>
    <w:rsid w:val="000E18B0"/>
    <w:rsid w:val="000E1DD3"/>
    <w:rsid w:val="000E4001"/>
    <w:rsid w:val="000E4EB6"/>
    <w:rsid w:val="000E7125"/>
    <w:rsid w:val="000F0060"/>
    <w:rsid w:val="000F2E5A"/>
    <w:rsid w:val="000F42FE"/>
    <w:rsid w:val="000F43CE"/>
    <w:rsid w:val="000F4584"/>
    <w:rsid w:val="000F4EB0"/>
    <w:rsid w:val="000F535C"/>
    <w:rsid w:val="000F54FC"/>
    <w:rsid w:val="000F6025"/>
    <w:rsid w:val="000F7212"/>
    <w:rsid w:val="000F74B2"/>
    <w:rsid w:val="00100C84"/>
    <w:rsid w:val="001043ED"/>
    <w:rsid w:val="00105711"/>
    <w:rsid w:val="00105AFE"/>
    <w:rsid w:val="0010791A"/>
    <w:rsid w:val="0011027F"/>
    <w:rsid w:val="00111624"/>
    <w:rsid w:val="0011292D"/>
    <w:rsid w:val="00113015"/>
    <w:rsid w:val="001136E4"/>
    <w:rsid w:val="00113A1D"/>
    <w:rsid w:val="00117AB3"/>
    <w:rsid w:val="00122CAF"/>
    <w:rsid w:val="00122E7D"/>
    <w:rsid w:val="00125838"/>
    <w:rsid w:val="00125CA9"/>
    <w:rsid w:val="00127B34"/>
    <w:rsid w:val="0013049E"/>
    <w:rsid w:val="001318FF"/>
    <w:rsid w:val="00131E98"/>
    <w:rsid w:val="00131EF8"/>
    <w:rsid w:val="001355F0"/>
    <w:rsid w:val="0013690F"/>
    <w:rsid w:val="00136CBE"/>
    <w:rsid w:val="00136D58"/>
    <w:rsid w:val="00140FD1"/>
    <w:rsid w:val="001413A7"/>
    <w:rsid w:val="00141669"/>
    <w:rsid w:val="001416F1"/>
    <w:rsid w:val="001433CB"/>
    <w:rsid w:val="00143F77"/>
    <w:rsid w:val="0014402F"/>
    <w:rsid w:val="00144FFC"/>
    <w:rsid w:val="00145365"/>
    <w:rsid w:val="001532BD"/>
    <w:rsid w:val="00154346"/>
    <w:rsid w:val="00154475"/>
    <w:rsid w:val="00156D9F"/>
    <w:rsid w:val="00156E77"/>
    <w:rsid w:val="00157098"/>
    <w:rsid w:val="00161EFD"/>
    <w:rsid w:val="00162625"/>
    <w:rsid w:val="00162CA7"/>
    <w:rsid w:val="00162DFA"/>
    <w:rsid w:val="001639E0"/>
    <w:rsid w:val="00164CF9"/>
    <w:rsid w:val="00166EEA"/>
    <w:rsid w:val="00167AB2"/>
    <w:rsid w:val="00170C99"/>
    <w:rsid w:val="00171EC6"/>
    <w:rsid w:val="00174BFF"/>
    <w:rsid w:val="001763E9"/>
    <w:rsid w:val="00177FDC"/>
    <w:rsid w:val="00180165"/>
    <w:rsid w:val="001801BC"/>
    <w:rsid w:val="001806CC"/>
    <w:rsid w:val="00181B01"/>
    <w:rsid w:val="00181B29"/>
    <w:rsid w:val="00182521"/>
    <w:rsid w:val="001831F8"/>
    <w:rsid w:val="00183AB6"/>
    <w:rsid w:val="001855F8"/>
    <w:rsid w:val="0018615E"/>
    <w:rsid w:val="001865CA"/>
    <w:rsid w:val="0018684F"/>
    <w:rsid w:val="001875F6"/>
    <w:rsid w:val="00190BDB"/>
    <w:rsid w:val="001927E7"/>
    <w:rsid w:val="001942DE"/>
    <w:rsid w:val="001947B6"/>
    <w:rsid w:val="0019480C"/>
    <w:rsid w:val="00194926"/>
    <w:rsid w:val="00195EA6"/>
    <w:rsid w:val="00197E07"/>
    <w:rsid w:val="001A68F7"/>
    <w:rsid w:val="001A77AB"/>
    <w:rsid w:val="001B15C8"/>
    <w:rsid w:val="001B1D7D"/>
    <w:rsid w:val="001B1F40"/>
    <w:rsid w:val="001B239E"/>
    <w:rsid w:val="001B293E"/>
    <w:rsid w:val="001B2A26"/>
    <w:rsid w:val="001B5B3B"/>
    <w:rsid w:val="001B7336"/>
    <w:rsid w:val="001B7830"/>
    <w:rsid w:val="001C037C"/>
    <w:rsid w:val="001C058B"/>
    <w:rsid w:val="001C0B9E"/>
    <w:rsid w:val="001C0E1B"/>
    <w:rsid w:val="001C19AE"/>
    <w:rsid w:val="001C2596"/>
    <w:rsid w:val="001C2900"/>
    <w:rsid w:val="001C2C83"/>
    <w:rsid w:val="001C3253"/>
    <w:rsid w:val="001C5C13"/>
    <w:rsid w:val="001C727E"/>
    <w:rsid w:val="001C7768"/>
    <w:rsid w:val="001D193D"/>
    <w:rsid w:val="001D19FF"/>
    <w:rsid w:val="001D1C2D"/>
    <w:rsid w:val="001D286E"/>
    <w:rsid w:val="001D2F07"/>
    <w:rsid w:val="001D3D0C"/>
    <w:rsid w:val="001D49EB"/>
    <w:rsid w:val="001D6825"/>
    <w:rsid w:val="001D7B0A"/>
    <w:rsid w:val="001E07E0"/>
    <w:rsid w:val="001E3E50"/>
    <w:rsid w:val="001E5882"/>
    <w:rsid w:val="001E60C2"/>
    <w:rsid w:val="001E7032"/>
    <w:rsid w:val="001F16CC"/>
    <w:rsid w:val="001F2483"/>
    <w:rsid w:val="001F3357"/>
    <w:rsid w:val="001F34E7"/>
    <w:rsid w:val="001F4F71"/>
    <w:rsid w:val="00200095"/>
    <w:rsid w:val="0020130C"/>
    <w:rsid w:val="002021E6"/>
    <w:rsid w:val="002025EF"/>
    <w:rsid w:val="002042E9"/>
    <w:rsid w:val="00204E5A"/>
    <w:rsid w:val="00206347"/>
    <w:rsid w:val="00210A09"/>
    <w:rsid w:val="00210C7B"/>
    <w:rsid w:val="002112FE"/>
    <w:rsid w:val="00211971"/>
    <w:rsid w:val="002119B2"/>
    <w:rsid w:val="0021337B"/>
    <w:rsid w:val="002136FF"/>
    <w:rsid w:val="00213FA3"/>
    <w:rsid w:val="00214437"/>
    <w:rsid w:val="002152E4"/>
    <w:rsid w:val="002155ED"/>
    <w:rsid w:val="00215EAA"/>
    <w:rsid w:val="0021665F"/>
    <w:rsid w:val="0021669A"/>
    <w:rsid w:val="00216960"/>
    <w:rsid w:val="002171B6"/>
    <w:rsid w:val="00217C83"/>
    <w:rsid w:val="00220AD9"/>
    <w:rsid w:val="00221F2F"/>
    <w:rsid w:val="0022355C"/>
    <w:rsid w:val="002249F3"/>
    <w:rsid w:val="0023157B"/>
    <w:rsid w:val="00231C4F"/>
    <w:rsid w:val="0023238C"/>
    <w:rsid w:val="002325A6"/>
    <w:rsid w:val="00232CE7"/>
    <w:rsid w:val="002352BE"/>
    <w:rsid w:val="00237FEE"/>
    <w:rsid w:val="002401F4"/>
    <w:rsid w:val="00240477"/>
    <w:rsid w:val="00240550"/>
    <w:rsid w:val="002405E2"/>
    <w:rsid w:val="00242B02"/>
    <w:rsid w:val="00246631"/>
    <w:rsid w:val="00251186"/>
    <w:rsid w:val="002524F2"/>
    <w:rsid w:val="0025319A"/>
    <w:rsid w:val="002539B4"/>
    <w:rsid w:val="002547A8"/>
    <w:rsid w:val="0025495B"/>
    <w:rsid w:val="00255DED"/>
    <w:rsid w:val="00255FF4"/>
    <w:rsid w:val="00257075"/>
    <w:rsid w:val="00260578"/>
    <w:rsid w:val="002606DA"/>
    <w:rsid w:val="00262137"/>
    <w:rsid w:val="00264176"/>
    <w:rsid w:val="00264911"/>
    <w:rsid w:val="00264A01"/>
    <w:rsid w:val="0026542D"/>
    <w:rsid w:val="00265DD3"/>
    <w:rsid w:val="0026796C"/>
    <w:rsid w:val="0027019C"/>
    <w:rsid w:val="00270826"/>
    <w:rsid w:val="002708D4"/>
    <w:rsid w:val="00272BDE"/>
    <w:rsid w:val="00273E33"/>
    <w:rsid w:val="00274901"/>
    <w:rsid w:val="0027578A"/>
    <w:rsid w:val="0027634E"/>
    <w:rsid w:val="0027643A"/>
    <w:rsid w:val="0028080A"/>
    <w:rsid w:val="002823A4"/>
    <w:rsid w:val="00282616"/>
    <w:rsid w:val="00282C9A"/>
    <w:rsid w:val="00284740"/>
    <w:rsid w:val="0029018D"/>
    <w:rsid w:val="00290D74"/>
    <w:rsid w:val="002948D3"/>
    <w:rsid w:val="002973C1"/>
    <w:rsid w:val="002A0CF3"/>
    <w:rsid w:val="002A1634"/>
    <w:rsid w:val="002A16F5"/>
    <w:rsid w:val="002A195A"/>
    <w:rsid w:val="002A3270"/>
    <w:rsid w:val="002A3CE6"/>
    <w:rsid w:val="002A5B6F"/>
    <w:rsid w:val="002A61B8"/>
    <w:rsid w:val="002A61ED"/>
    <w:rsid w:val="002A7AA6"/>
    <w:rsid w:val="002B3DF8"/>
    <w:rsid w:val="002B51EF"/>
    <w:rsid w:val="002B6F80"/>
    <w:rsid w:val="002B77EC"/>
    <w:rsid w:val="002B7ACD"/>
    <w:rsid w:val="002C0109"/>
    <w:rsid w:val="002C2854"/>
    <w:rsid w:val="002C3E10"/>
    <w:rsid w:val="002C559D"/>
    <w:rsid w:val="002C6888"/>
    <w:rsid w:val="002C7E62"/>
    <w:rsid w:val="002D1F26"/>
    <w:rsid w:val="002D215C"/>
    <w:rsid w:val="002D268A"/>
    <w:rsid w:val="002D26A0"/>
    <w:rsid w:val="002D38D1"/>
    <w:rsid w:val="002D4D41"/>
    <w:rsid w:val="002D6672"/>
    <w:rsid w:val="002D6C92"/>
    <w:rsid w:val="002D72AE"/>
    <w:rsid w:val="002E07B6"/>
    <w:rsid w:val="002E2DFB"/>
    <w:rsid w:val="002E65F0"/>
    <w:rsid w:val="002E6C59"/>
    <w:rsid w:val="002E76FF"/>
    <w:rsid w:val="002F1BA1"/>
    <w:rsid w:val="002F3BB1"/>
    <w:rsid w:val="002F65DB"/>
    <w:rsid w:val="002F7908"/>
    <w:rsid w:val="002F7E05"/>
    <w:rsid w:val="00300D4D"/>
    <w:rsid w:val="00301154"/>
    <w:rsid w:val="003016C8"/>
    <w:rsid w:val="00301F59"/>
    <w:rsid w:val="00302C49"/>
    <w:rsid w:val="00302CF9"/>
    <w:rsid w:val="00305BD2"/>
    <w:rsid w:val="00311D66"/>
    <w:rsid w:val="003142C3"/>
    <w:rsid w:val="00315175"/>
    <w:rsid w:val="00316C8B"/>
    <w:rsid w:val="00320028"/>
    <w:rsid w:val="003208FF"/>
    <w:rsid w:val="00321568"/>
    <w:rsid w:val="00321C9B"/>
    <w:rsid w:val="0032226C"/>
    <w:rsid w:val="003227D2"/>
    <w:rsid w:val="00323045"/>
    <w:rsid w:val="00323A89"/>
    <w:rsid w:val="00324D05"/>
    <w:rsid w:val="003259F5"/>
    <w:rsid w:val="00326145"/>
    <w:rsid w:val="003263A4"/>
    <w:rsid w:val="003264EC"/>
    <w:rsid w:val="003271F9"/>
    <w:rsid w:val="003272A0"/>
    <w:rsid w:val="0033094F"/>
    <w:rsid w:val="0033148B"/>
    <w:rsid w:val="003350EA"/>
    <w:rsid w:val="003364E3"/>
    <w:rsid w:val="00336DF8"/>
    <w:rsid w:val="00337770"/>
    <w:rsid w:val="00337BC9"/>
    <w:rsid w:val="00337E6F"/>
    <w:rsid w:val="003420EA"/>
    <w:rsid w:val="0034230C"/>
    <w:rsid w:val="003434D4"/>
    <w:rsid w:val="00343FD7"/>
    <w:rsid w:val="003445FF"/>
    <w:rsid w:val="003462C0"/>
    <w:rsid w:val="00346554"/>
    <w:rsid w:val="00347E76"/>
    <w:rsid w:val="0035124E"/>
    <w:rsid w:val="00351623"/>
    <w:rsid w:val="003518BE"/>
    <w:rsid w:val="00352A04"/>
    <w:rsid w:val="00352CF9"/>
    <w:rsid w:val="00354280"/>
    <w:rsid w:val="00356E75"/>
    <w:rsid w:val="00357509"/>
    <w:rsid w:val="0035794E"/>
    <w:rsid w:val="0036014D"/>
    <w:rsid w:val="00360E24"/>
    <w:rsid w:val="003615A5"/>
    <w:rsid w:val="00364015"/>
    <w:rsid w:val="00365FC6"/>
    <w:rsid w:val="00366B17"/>
    <w:rsid w:val="00366F3D"/>
    <w:rsid w:val="00367BA5"/>
    <w:rsid w:val="00370902"/>
    <w:rsid w:val="00371869"/>
    <w:rsid w:val="00371D43"/>
    <w:rsid w:val="00374871"/>
    <w:rsid w:val="00374D58"/>
    <w:rsid w:val="00375AEC"/>
    <w:rsid w:val="0038073D"/>
    <w:rsid w:val="00380EA9"/>
    <w:rsid w:val="00380FFA"/>
    <w:rsid w:val="003817AE"/>
    <w:rsid w:val="00386986"/>
    <w:rsid w:val="003874A3"/>
    <w:rsid w:val="00390BAF"/>
    <w:rsid w:val="00390DD8"/>
    <w:rsid w:val="00391680"/>
    <w:rsid w:val="00392F1E"/>
    <w:rsid w:val="0039501E"/>
    <w:rsid w:val="00397210"/>
    <w:rsid w:val="003975CE"/>
    <w:rsid w:val="003A0101"/>
    <w:rsid w:val="003A0915"/>
    <w:rsid w:val="003A42F7"/>
    <w:rsid w:val="003A4DAF"/>
    <w:rsid w:val="003A7B6F"/>
    <w:rsid w:val="003B0201"/>
    <w:rsid w:val="003B1502"/>
    <w:rsid w:val="003B1B76"/>
    <w:rsid w:val="003B2309"/>
    <w:rsid w:val="003B2C21"/>
    <w:rsid w:val="003B2C3A"/>
    <w:rsid w:val="003B33A7"/>
    <w:rsid w:val="003B3E3C"/>
    <w:rsid w:val="003B55D9"/>
    <w:rsid w:val="003B5822"/>
    <w:rsid w:val="003B5B92"/>
    <w:rsid w:val="003B6A99"/>
    <w:rsid w:val="003B7B24"/>
    <w:rsid w:val="003B7C00"/>
    <w:rsid w:val="003C1641"/>
    <w:rsid w:val="003C3157"/>
    <w:rsid w:val="003C430C"/>
    <w:rsid w:val="003C53A2"/>
    <w:rsid w:val="003C7446"/>
    <w:rsid w:val="003C7567"/>
    <w:rsid w:val="003D07F3"/>
    <w:rsid w:val="003D12A1"/>
    <w:rsid w:val="003D46B5"/>
    <w:rsid w:val="003D4CCB"/>
    <w:rsid w:val="003E0B5C"/>
    <w:rsid w:val="003E15B3"/>
    <w:rsid w:val="003E33B0"/>
    <w:rsid w:val="003E5074"/>
    <w:rsid w:val="003E53A6"/>
    <w:rsid w:val="003E5FCE"/>
    <w:rsid w:val="003E6402"/>
    <w:rsid w:val="003F09E7"/>
    <w:rsid w:val="003F0D7B"/>
    <w:rsid w:val="003F25E6"/>
    <w:rsid w:val="003F3B4E"/>
    <w:rsid w:val="003F4CE4"/>
    <w:rsid w:val="003F59AB"/>
    <w:rsid w:val="003F61EB"/>
    <w:rsid w:val="003F72EF"/>
    <w:rsid w:val="00400EE1"/>
    <w:rsid w:val="00404342"/>
    <w:rsid w:val="004048FF"/>
    <w:rsid w:val="00404E61"/>
    <w:rsid w:val="00404ED4"/>
    <w:rsid w:val="00405FCF"/>
    <w:rsid w:val="0040671E"/>
    <w:rsid w:val="004074DB"/>
    <w:rsid w:val="00411508"/>
    <w:rsid w:val="00413287"/>
    <w:rsid w:val="004145CB"/>
    <w:rsid w:val="00415C8B"/>
    <w:rsid w:val="00415D4D"/>
    <w:rsid w:val="00420384"/>
    <w:rsid w:val="00421836"/>
    <w:rsid w:val="0042242C"/>
    <w:rsid w:val="00422BDF"/>
    <w:rsid w:val="00423B38"/>
    <w:rsid w:val="00430651"/>
    <w:rsid w:val="00430768"/>
    <w:rsid w:val="00431DAB"/>
    <w:rsid w:val="004336F4"/>
    <w:rsid w:val="00434DE9"/>
    <w:rsid w:val="004358FB"/>
    <w:rsid w:val="00435FD1"/>
    <w:rsid w:val="00436B2B"/>
    <w:rsid w:val="004377E3"/>
    <w:rsid w:val="00437B17"/>
    <w:rsid w:val="0044440E"/>
    <w:rsid w:val="00444822"/>
    <w:rsid w:val="004450F6"/>
    <w:rsid w:val="0044527C"/>
    <w:rsid w:val="00446752"/>
    <w:rsid w:val="0045055B"/>
    <w:rsid w:val="004522E1"/>
    <w:rsid w:val="004523EC"/>
    <w:rsid w:val="00452CDB"/>
    <w:rsid w:val="00453BE2"/>
    <w:rsid w:val="004558BF"/>
    <w:rsid w:val="00455A03"/>
    <w:rsid w:val="004563C5"/>
    <w:rsid w:val="00457E93"/>
    <w:rsid w:val="00460493"/>
    <w:rsid w:val="00460591"/>
    <w:rsid w:val="0046180E"/>
    <w:rsid w:val="00462766"/>
    <w:rsid w:val="0046358C"/>
    <w:rsid w:val="00464A7D"/>
    <w:rsid w:val="00464AFC"/>
    <w:rsid w:val="00464F0D"/>
    <w:rsid w:val="004657CE"/>
    <w:rsid w:val="00466DA0"/>
    <w:rsid w:val="00467600"/>
    <w:rsid w:val="00467F86"/>
    <w:rsid w:val="00472321"/>
    <w:rsid w:val="00476EC0"/>
    <w:rsid w:val="004774C7"/>
    <w:rsid w:val="00480613"/>
    <w:rsid w:val="004806FD"/>
    <w:rsid w:val="00482331"/>
    <w:rsid w:val="00483AAD"/>
    <w:rsid w:val="00483B40"/>
    <w:rsid w:val="0048658D"/>
    <w:rsid w:val="00486726"/>
    <w:rsid w:val="00486880"/>
    <w:rsid w:val="004878D5"/>
    <w:rsid w:val="00487F18"/>
    <w:rsid w:val="00492C3B"/>
    <w:rsid w:val="004936ED"/>
    <w:rsid w:val="00496AF2"/>
    <w:rsid w:val="00496F67"/>
    <w:rsid w:val="00497FDB"/>
    <w:rsid w:val="004A0AE4"/>
    <w:rsid w:val="004A1466"/>
    <w:rsid w:val="004A36ED"/>
    <w:rsid w:val="004A3702"/>
    <w:rsid w:val="004A3BF2"/>
    <w:rsid w:val="004A44FE"/>
    <w:rsid w:val="004A4978"/>
    <w:rsid w:val="004A4C96"/>
    <w:rsid w:val="004A64E8"/>
    <w:rsid w:val="004A6F8C"/>
    <w:rsid w:val="004B0336"/>
    <w:rsid w:val="004B0B67"/>
    <w:rsid w:val="004B41CE"/>
    <w:rsid w:val="004B44A1"/>
    <w:rsid w:val="004B5442"/>
    <w:rsid w:val="004B56BE"/>
    <w:rsid w:val="004C05C5"/>
    <w:rsid w:val="004C3728"/>
    <w:rsid w:val="004C510E"/>
    <w:rsid w:val="004C591D"/>
    <w:rsid w:val="004C6BB2"/>
    <w:rsid w:val="004C70EF"/>
    <w:rsid w:val="004C71BC"/>
    <w:rsid w:val="004D039E"/>
    <w:rsid w:val="004D196C"/>
    <w:rsid w:val="004D2118"/>
    <w:rsid w:val="004D566B"/>
    <w:rsid w:val="004D66D9"/>
    <w:rsid w:val="004D725D"/>
    <w:rsid w:val="004D7335"/>
    <w:rsid w:val="004E0450"/>
    <w:rsid w:val="004E1985"/>
    <w:rsid w:val="004E405A"/>
    <w:rsid w:val="004E6A33"/>
    <w:rsid w:val="004E7F2D"/>
    <w:rsid w:val="004F0070"/>
    <w:rsid w:val="004F120E"/>
    <w:rsid w:val="004F1429"/>
    <w:rsid w:val="004F3B61"/>
    <w:rsid w:val="005007A3"/>
    <w:rsid w:val="005017B3"/>
    <w:rsid w:val="00501D4A"/>
    <w:rsid w:val="00502971"/>
    <w:rsid w:val="005037BD"/>
    <w:rsid w:val="005057DF"/>
    <w:rsid w:val="00507933"/>
    <w:rsid w:val="005101CB"/>
    <w:rsid w:val="00512AD1"/>
    <w:rsid w:val="005145E9"/>
    <w:rsid w:val="00516501"/>
    <w:rsid w:val="005168DD"/>
    <w:rsid w:val="005169E9"/>
    <w:rsid w:val="0051701D"/>
    <w:rsid w:val="0051748A"/>
    <w:rsid w:val="00517FD7"/>
    <w:rsid w:val="005202D0"/>
    <w:rsid w:val="005209E1"/>
    <w:rsid w:val="00520B3C"/>
    <w:rsid w:val="00521ADD"/>
    <w:rsid w:val="00522100"/>
    <w:rsid w:val="00522A3E"/>
    <w:rsid w:val="0052323E"/>
    <w:rsid w:val="00523A0A"/>
    <w:rsid w:val="00525699"/>
    <w:rsid w:val="00527064"/>
    <w:rsid w:val="005302A8"/>
    <w:rsid w:val="00531571"/>
    <w:rsid w:val="00531921"/>
    <w:rsid w:val="005326D3"/>
    <w:rsid w:val="00533779"/>
    <w:rsid w:val="005343BF"/>
    <w:rsid w:val="005355DD"/>
    <w:rsid w:val="00536DE6"/>
    <w:rsid w:val="0053748D"/>
    <w:rsid w:val="00537B64"/>
    <w:rsid w:val="005407B3"/>
    <w:rsid w:val="005407FE"/>
    <w:rsid w:val="005413FF"/>
    <w:rsid w:val="00541BFB"/>
    <w:rsid w:val="00541FF1"/>
    <w:rsid w:val="0054409A"/>
    <w:rsid w:val="0054480B"/>
    <w:rsid w:val="00545B99"/>
    <w:rsid w:val="00545E3C"/>
    <w:rsid w:val="00547CDF"/>
    <w:rsid w:val="00552BE3"/>
    <w:rsid w:val="00552C66"/>
    <w:rsid w:val="00555E7B"/>
    <w:rsid w:val="00556371"/>
    <w:rsid w:val="005565F1"/>
    <w:rsid w:val="00561141"/>
    <w:rsid w:val="005613D9"/>
    <w:rsid w:val="00561E54"/>
    <w:rsid w:val="00565E1C"/>
    <w:rsid w:val="00567EFD"/>
    <w:rsid w:val="00570009"/>
    <w:rsid w:val="00572C54"/>
    <w:rsid w:val="00572C7A"/>
    <w:rsid w:val="00573BB0"/>
    <w:rsid w:val="00573CC5"/>
    <w:rsid w:val="005748C0"/>
    <w:rsid w:val="0057770B"/>
    <w:rsid w:val="005819C3"/>
    <w:rsid w:val="00582AAF"/>
    <w:rsid w:val="00582F0D"/>
    <w:rsid w:val="0058617C"/>
    <w:rsid w:val="005863B2"/>
    <w:rsid w:val="00587565"/>
    <w:rsid w:val="005909EB"/>
    <w:rsid w:val="00590D61"/>
    <w:rsid w:val="00590EAC"/>
    <w:rsid w:val="00591BBD"/>
    <w:rsid w:val="005946EA"/>
    <w:rsid w:val="00595552"/>
    <w:rsid w:val="00597F72"/>
    <w:rsid w:val="005A0551"/>
    <w:rsid w:val="005A0688"/>
    <w:rsid w:val="005A0706"/>
    <w:rsid w:val="005A160A"/>
    <w:rsid w:val="005A1FB4"/>
    <w:rsid w:val="005A61AC"/>
    <w:rsid w:val="005A77E4"/>
    <w:rsid w:val="005B1AC6"/>
    <w:rsid w:val="005B2AD5"/>
    <w:rsid w:val="005B3017"/>
    <w:rsid w:val="005B43A2"/>
    <w:rsid w:val="005B5DC5"/>
    <w:rsid w:val="005B66F8"/>
    <w:rsid w:val="005B677A"/>
    <w:rsid w:val="005B75D3"/>
    <w:rsid w:val="005B7DF3"/>
    <w:rsid w:val="005C4508"/>
    <w:rsid w:val="005C4747"/>
    <w:rsid w:val="005C67AC"/>
    <w:rsid w:val="005C7239"/>
    <w:rsid w:val="005C7C63"/>
    <w:rsid w:val="005D09C6"/>
    <w:rsid w:val="005D1524"/>
    <w:rsid w:val="005D25A8"/>
    <w:rsid w:val="005D2C58"/>
    <w:rsid w:val="005D3751"/>
    <w:rsid w:val="005D4A1F"/>
    <w:rsid w:val="005D5F30"/>
    <w:rsid w:val="005D774B"/>
    <w:rsid w:val="005E07F7"/>
    <w:rsid w:val="005E17EC"/>
    <w:rsid w:val="005E190B"/>
    <w:rsid w:val="005E2C0C"/>
    <w:rsid w:val="005E3471"/>
    <w:rsid w:val="005E44CF"/>
    <w:rsid w:val="005E463C"/>
    <w:rsid w:val="005E50C6"/>
    <w:rsid w:val="005E57D1"/>
    <w:rsid w:val="005E64A1"/>
    <w:rsid w:val="005E7F98"/>
    <w:rsid w:val="005F0ECE"/>
    <w:rsid w:val="005F11A0"/>
    <w:rsid w:val="005F3B20"/>
    <w:rsid w:val="005F3EC4"/>
    <w:rsid w:val="005F4947"/>
    <w:rsid w:val="005F4A95"/>
    <w:rsid w:val="005F5646"/>
    <w:rsid w:val="005F60D5"/>
    <w:rsid w:val="005F61DE"/>
    <w:rsid w:val="005F66AC"/>
    <w:rsid w:val="005F74CE"/>
    <w:rsid w:val="005F7ADB"/>
    <w:rsid w:val="006004BF"/>
    <w:rsid w:val="006031EF"/>
    <w:rsid w:val="00603A06"/>
    <w:rsid w:val="00603B00"/>
    <w:rsid w:val="00603D99"/>
    <w:rsid w:val="0060551B"/>
    <w:rsid w:val="006064C0"/>
    <w:rsid w:val="00607546"/>
    <w:rsid w:val="00611D08"/>
    <w:rsid w:val="00612688"/>
    <w:rsid w:val="0061788C"/>
    <w:rsid w:val="00622DFF"/>
    <w:rsid w:val="00623F6D"/>
    <w:rsid w:val="00625863"/>
    <w:rsid w:val="00626A0C"/>
    <w:rsid w:val="00626AA2"/>
    <w:rsid w:val="00626AEB"/>
    <w:rsid w:val="00626C94"/>
    <w:rsid w:val="00626E79"/>
    <w:rsid w:val="00627F08"/>
    <w:rsid w:val="00630A5F"/>
    <w:rsid w:val="00630EE4"/>
    <w:rsid w:val="00632E23"/>
    <w:rsid w:val="006330C7"/>
    <w:rsid w:val="00635294"/>
    <w:rsid w:val="00635A2F"/>
    <w:rsid w:val="00636588"/>
    <w:rsid w:val="006375D8"/>
    <w:rsid w:val="00637BE9"/>
    <w:rsid w:val="00641FB9"/>
    <w:rsid w:val="00642F1C"/>
    <w:rsid w:val="006431A2"/>
    <w:rsid w:val="0064379D"/>
    <w:rsid w:val="00643CA5"/>
    <w:rsid w:val="00645EA6"/>
    <w:rsid w:val="0064604F"/>
    <w:rsid w:val="00646835"/>
    <w:rsid w:val="006473F6"/>
    <w:rsid w:val="00647EE1"/>
    <w:rsid w:val="00650F2E"/>
    <w:rsid w:val="00651715"/>
    <w:rsid w:val="00651FC3"/>
    <w:rsid w:val="006520D9"/>
    <w:rsid w:val="0065278A"/>
    <w:rsid w:val="00652C06"/>
    <w:rsid w:val="00653146"/>
    <w:rsid w:val="00653FA4"/>
    <w:rsid w:val="006557B4"/>
    <w:rsid w:val="00655ACB"/>
    <w:rsid w:val="00655B60"/>
    <w:rsid w:val="00655CF0"/>
    <w:rsid w:val="00656332"/>
    <w:rsid w:val="006566E4"/>
    <w:rsid w:val="006579CF"/>
    <w:rsid w:val="00660912"/>
    <w:rsid w:val="00660987"/>
    <w:rsid w:val="00660BC2"/>
    <w:rsid w:val="006661DE"/>
    <w:rsid w:val="00667F99"/>
    <w:rsid w:val="006703AD"/>
    <w:rsid w:val="0067106A"/>
    <w:rsid w:val="00671DCD"/>
    <w:rsid w:val="00672FCC"/>
    <w:rsid w:val="006730D4"/>
    <w:rsid w:val="00673409"/>
    <w:rsid w:val="00673515"/>
    <w:rsid w:val="00673CA7"/>
    <w:rsid w:val="0067408D"/>
    <w:rsid w:val="00674C93"/>
    <w:rsid w:val="00674F91"/>
    <w:rsid w:val="00675524"/>
    <w:rsid w:val="0067602F"/>
    <w:rsid w:val="006779BC"/>
    <w:rsid w:val="00677FCF"/>
    <w:rsid w:val="006801DB"/>
    <w:rsid w:val="00680DDD"/>
    <w:rsid w:val="006828DA"/>
    <w:rsid w:val="00682B6F"/>
    <w:rsid w:val="00682C48"/>
    <w:rsid w:val="00682C5D"/>
    <w:rsid w:val="006844E4"/>
    <w:rsid w:val="00687586"/>
    <w:rsid w:val="00690CEE"/>
    <w:rsid w:val="00691BAC"/>
    <w:rsid w:val="00692BA2"/>
    <w:rsid w:val="0069312F"/>
    <w:rsid w:val="006931F4"/>
    <w:rsid w:val="00693E26"/>
    <w:rsid w:val="0069404C"/>
    <w:rsid w:val="00694F8D"/>
    <w:rsid w:val="0069570B"/>
    <w:rsid w:val="006961F6"/>
    <w:rsid w:val="00696481"/>
    <w:rsid w:val="00697574"/>
    <w:rsid w:val="006A0434"/>
    <w:rsid w:val="006A06A2"/>
    <w:rsid w:val="006A1AC9"/>
    <w:rsid w:val="006A254A"/>
    <w:rsid w:val="006A2F8C"/>
    <w:rsid w:val="006A5800"/>
    <w:rsid w:val="006A647B"/>
    <w:rsid w:val="006A65D3"/>
    <w:rsid w:val="006A6712"/>
    <w:rsid w:val="006A6B0C"/>
    <w:rsid w:val="006A6F30"/>
    <w:rsid w:val="006A7306"/>
    <w:rsid w:val="006B0A53"/>
    <w:rsid w:val="006B2267"/>
    <w:rsid w:val="006B2D28"/>
    <w:rsid w:val="006B4983"/>
    <w:rsid w:val="006B4E61"/>
    <w:rsid w:val="006B5F01"/>
    <w:rsid w:val="006B6C13"/>
    <w:rsid w:val="006C0BA6"/>
    <w:rsid w:val="006C2716"/>
    <w:rsid w:val="006C27DA"/>
    <w:rsid w:val="006C29E7"/>
    <w:rsid w:val="006C3571"/>
    <w:rsid w:val="006C3717"/>
    <w:rsid w:val="006C47F3"/>
    <w:rsid w:val="006C543C"/>
    <w:rsid w:val="006C639F"/>
    <w:rsid w:val="006C657A"/>
    <w:rsid w:val="006C698B"/>
    <w:rsid w:val="006C6B72"/>
    <w:rsid w:val="006C7396"/>
    <w:rsid w:val="006C764F"/>
    <w:rsid w:val="006C7C3A"/>
    <w:rsid w:val="006C7D5D"/>
    <w:rsid w:val="006D0214"/>
    <w:rsid w:val="006D1064"/>
    <w:rsid w:val="006D13E1"/>
    <w:rsid w:val="006D1FBB"/>
    <w:rsid w:val="006D31DF"/>
    <w:rsid w:val="006D3701"/>
    <w:rsid w:val="006D3E96"/>
    <w:rsid w:val="006D4649"/>
    <w:rsid w:val="006D53BB"/>
    <w:rsid w:val="006D693E"/>
    <w:rsid w:val="006D6B04"/>
    <w:rsid w:val="006D7954"/>
    <w:rsid w:val="006E20D2"/>
    <w:rsid w:val="006E35CF"/>
    <w:rsid w:val="006E36AD"/>
    <w:rsid w:val="006E4CD4"/>
    <w:rsid w:val="006E6F05"/>
    <w:rsid w:val="006F3207"/>
    <w:rsid w:val="006F430E"/>
    <w:rsid w:val="006F46F5"/>
    <w:rsid w:val="006F65D4"/>
    <w:rsid w:val="006F7D7D"/>
    <w:rsid w:val="00700210"/>
    <w:rsid w:val="00700DBE"/>
    <w:rsid w:val="007014CD"/>
    <w:rsid w:val="00702635"/>
    <w:rsid w:val="00704A7B"/>
    <w:rsid w:val="007063B5"/>
    <w:rsid w:val="00707291"/>
    <w:rsid w:val="00707937"/>
    <w:rsid w:val="0071089E"/>
    <w:rsid w:val="00712E08"/>
    <w:rsid w:val="00713F52"/>
    <w:rsid w:val="00714351"/>
    <w:rsid w:val="0071521B"/>
    <w:rsid w:val="00716C52"/>
    <w:rsid w:val="0071756D"/>
    <w:rsid w:val="0072022A"/>
    <w:rsid w:val="00720854"/>
    <w:rsid w:val="00720B40"/>
    <w:rsid w:val="00721AC6"/>
    <w:rsid w:val="00721AF6"/>
    <w:rsid w:val="007222CD"/>
    <w:rsid w:val="007222F7"/>
    <w:rsid w:val="00722A24"/>
    <w:rsid w:val="0072313A"/>
    <w:rsid w:val="007240F9"/>
    <w:rsid w:val="00724910"/>
    <w:rsid w:val="00725E5D"/>
    <w:rsid w:val="0072618E"/>
    <w:rsid w:val="00731886"/>
    <w:rsid w:val="0073216C"/>
    <w:rsid w:val="007321AA"/>
    <w:rsid w:val="0073225D"/>
    <w:rsid w:val="00732FAE"/>
    <w:rsid w:val="0073311C"/>
    <w:rsid w:val="00734938"/>
    <w:rsid w:val="0073683B"/>
    <w:rsid w:val="0073737E"/>
    <w:rsid w:val="00737C15"/>
    <w:rsid w:val="0074089D"/>
    <w:rsid w:val="007414DF"/>
    <w:rsid w:val="00741F29"/>
    <w:rsid w:val="007424BC"/>
    <w:rsid w:val="00743E24"/>
    <w:rsid w:val="00745655"/>
    <w:rsid w:val="0074601E"/>
    <w:rsid w:val="007465AF"/>
    <w:rsid w:val="00746C61"/>
    <w:rsid w:val="00747202"/>
    <w:rsid w:val="0074781F"/>
    <w:rsid w:val="00750D09"/>
    <w:rsid w:val="00750DB6"/>
    <w:rsid w:val="00752F4E"/>
    <w:rsid w:val="00754188"/>
    <w:rsid w:val="00754C0C"/>
    <w:rsid w:val="00754D38"/>
    <w:rsid w:val="00757316"/>
    <w:rsid w:val="0075777B"/>
    <w:rsid w:val="00757B7E"/>
    <w:rsid w:val="00760CA4"/>
    <w:rsid w:val="00762657"/>
    <w:rsid w:val="0076375F"/>
    <w:rsid w:val="00764A5E"/>
    <w:rsid w:val="00764EF0"/>
    <w:rsid w:val="00765913"/>
    <w:rsid w:val="00765920"/>
    <w:rsid w:val="00767947"/>
    <w:rsid w:val="007708CF"/>
    <w:rsid w:val="00771BC7"/>
    <w:rsid w:val="00771F3D"/>
    <w:rsid w:val="00772742"/>
    <w:rsid w:val="00773221"/>
    <w:rsid w:val="0077332B"/>
    <w:rsid w:val="00773351"/>
    <w:rsid w:val="0077796C"/>
    <w:rsid w:val="0078215B"/>
    <w:rsid w:val="00782746"/>
    <w:rsid w:val="00784591"/>
    <w:rsid w:val="00784ECD"/>
    <w:rsid w:val="00785888"/>
    <w:rsid w:val="00786B33"/>
    <w:rsid w:val="0079353F"/>
    <w:rsid w:val="007943A2"/>
    <w:rsid w:val="007969A0"/>
    <w:rsid w:val="00796F59"/>
    <w:rsid w:val="007A143D"/>
    <w:rsid w:val="007A16D9"/>
    <w:rsid w:val="007A1FDE"/>
    <w:rsid w:val="007A2957"/>
    <w:rsid w:val="007A34E4"/>
    <w:rsid w:val="007A361B"/>
    <w:rsid w:val="007A4396"/>
    <w:rsid w:val="007A44DB"/>
    <w:rsid w:val="007A4733"/>
    <w:rsid w:val="007B1317"/>
    <w:rsid w:val="007B14FC"/>
    <w:rsid w:val="007B2BC3"/>
    <w:rsid w:val="007B3330"/>
    <w:rsid w:val="007B3F30"/>
    <w:rsid w:val="007B4ECA"/>
    <w:rsid w:val="007B5BD5"/>
    <w:rsid w:val="007C03A4"/>
    <w:rsid w:val="007C1AB6"/>
    <w:rsid w:val="007C1BB3"/>
    <w:rsid w:val="007C1E22"/>
    <w:rsid w:val="007C2F8A"/>
    <w:rsid w:val="007C43AD"/>
    <w:rsid w:val="007C4B33"/>
    <w:rsid w:val="007C512C"/>
    <w:rsid w:val="007C55F5"/>
    <w:rsid w:val="007C631A"/>
    <w:rsid w:val="007C6D0A"/>
    <w:rsid w:val="007C7094"/>
    <w:rsid w:val="007D2A30"/>
    <w:rsid w:val="007D3312"/>
    <w:rsid w:val="007D3A1F"/>
    <w:rsid w:val="007D4550"/>
    <w:rsid w:val="007D4F38"/>
    <w:rsid w:val="007D545E"/>
    <w:rsid w:val="007D64BA"/>
    <w:rsid w:val="007D6930"/>
    <w:rsid w:val="007D7EBF"/>
    <w:rsid w:val="007E18C2"/>
    <w:rsid w:val="007E3005"/>
    <w:rsid w:val="007E3C4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41C6"/>
    <w:rsid w:val="00805A64"/>
    <w:rsid w:val="00805CE0"/>
    <w:rsid w:val="008062CF"/>
    <w:rsid w:val="008066A5"/>
    <w:rsid w:val="00806ED2"/>
    <w:rsid w:val="00807974"/>
    <w:rsid w:val="00807B59"/>
    <w:rsid w:val="00810279"/>
    <w:rsid w:val="00814337"/>
    <w:rsid w:val="00814E31"/>
    <w:rsid w:val="00814F49"/>
    <w:rsid w:val="00815EA8"/>
    <w:rsid w:val="00815FE6"/>
    <w:rsid w:val="00816A8C"/>
    <w:rsid w:val="0082245F"/>
    <w:rsid w:val="0082328F"/>
    <w:rsid w:val="008247D1"/>
    <w:rsid w:val="0082567A"/>
    <w:rsid w:val="00825CAB"/>
    <w:rsid w:val="0082759C"/>
    <w:rsid w:val="00827E8E"/>
    <w:rsid w:val="00827ED5"/>
    <w:rsid w:val="00830E11"/>
    <w:rsid w:val="00835645"/>
    <w:rsid w:val="00836BCE"/>
    <w:rsid w:val="008422A0"/>
    <w:rsid w:val="00843811"/>
    <w:rsid w:val="00843B43"/>
    <w:rsid w:val="0084652A"/>
    <w:rsid w:val="00847F07"/>
    <w:rsid w:val="00847F50"/>
    <w:rsid w:val="00847FFB"/>
    <w:rsid w:val="00850D3B"/>
    <w:rsid w:val="00851408"/>
    <w:rsid w:val="00851C18"/>
    <w:rsid w:val="00853D93"/>
    <w:rsid w:val="00853DFB"/>
    <w:rsid w:val="00854080"/>
    <w:rsid w:val="00854412"/>
    <w:rsid w:val="00854F2F"/>
    <w:rsid w:val="00855B0E"/>
    <w:rsid w:val="008561D0"/>
    <w:rsid w:val="00856D47"/>
    <w:rsid w:val="00861D12"/>
    <w:rsid w:val="00861E84"/>
    <w:rsid w:val="008624B8"/>
    <w:rsid w:val="008624BA"/>
    <w:rsid w:val="00862A60"/>
    <w:rsid w:val="00862EB5"/>
    <w:rsid w:val="0086387B"/>
    <w:rsid w:val="0086392B"/>
    <w:rsid w:val="00865A15"/>
    <w:rsid w:val="008665F5"/>
    <w:rsid w:val="00866633"/>
    <w:rsid w:val="00866CF3"/>
    <w:rsid w:val="008670DC"/>
    <w:rsid w:val="00871478"/>
    <w:rsid w:val="008718AF"/>
    <w:rsid w:val="00873D3B"/>
    <w:rsid w:val="00874327"/>
    <w:rsid w:val="0087499C"/>
    <w:rsid w:val="0087521C"/>
    <w:rsid w:val="008766CE"/>
    <w:rsid w:val="0088114B"/>
    <w:rsid w:val="00882290"/>
    <w:rsid w:val="00883735"/>
    <w:rsid w:val="0088406E"/>
    <w:rsid w:val="008858C2"/>
    <w:rsid w:val="008864CA"/>
    <w:rsid w:val="00891CB7"/>
    <w:rsid w:val="00894132"/>
    <w:rsid w:val="0089459F"/>
    <w:rsid w:val="00894EFA"/>
    <w:rsid w:val="008950E5"/>
    <w:rsid w:val="008951AC"/>
    <w:rsid w:val="00896322"/>
    <w:rsid w:val="0089748A"/>
    <w:rsid w:val="008A02E9"/>
    <w:rsid w:val="008A0EA2"/>
    <w:rsid w:val="008A28BC"/>
    <w:rsid w:val="008A3012"/>
    <w:rsid w:val="008A4413"/>
    <w:rsid w:val="008A5E7B"/>
    <w:rsid w:val="008A6BD4"/>
    <w:rsid w:val="008A6E9B"/>
    <w:rsid w:val="008B0016"/>
    <w:rsid w:val="008B0177"/>
    <w:rsid w:val="008B0F41"/>
    <w:rsid w:val="008B11CE"/>
    <w:rsid w:val="008B1D98"/>
    <w:rsid w:val="008B4BFA"/>
    <w:rsid w:val="008B5011"/>
    <w:rsid w:val="008B59DC"/>
    <w:rsid w:val="008B6F97"/>
    <w:rsid w:val="008C0D11"/>
    <w:rsid w:val="008C1A0A"/>
    <w:rsid w:val="008C2973"/>
    <w:rsid w:val="008C43F7"/>
    <w:rsid w:val="008C4F44"/>
    <w:rsid w:val="008C6774"/>
    <w:rsid w:val="008C6952"/>
    <w:rsid w:val="008C7364"/>
    <w:rsid w:val="008C7467"/>
    <w:rsid w:val="008D0D19"/>
    <w:rsid w:val="008D13F3"/>
    <w:rsid w:val="008D2FB5"/>
    <w:rsid w:val="008D36DB"/>
    <w:rsid w:val="008D5EA9"/>
    <w:rsid w:val="008D6AC6"/>
    <w:rsid w:val="008D7C94"/>
    <w:rsid w:val="008E2AB5"/>
    <w:rsid w:val="008E4BC0"/>
    <w:rsid w:val="008E6E9E"/>
    <w:rsid w:val="008E6F2A"/>
    <w:rsid w:val="008E7248"/>
    <w:rsid w:val="008E7569"/>
    <w:rsid w:val="008F087B"/>
    <w:rsid w:val="008F11D1"/>
    <w:rsid w:val="008F1D95"/>
    <w:rsid w:val="008F23DF"/>
    <w:rsid w:val="008F39A2"/>
    <w:rsid w:val="008F4AD9"/>
    <w:rsid w:val="008F53A8"/>
    <w:rsid w:val="008F612D"/>
    <w:rsid w:val="008F61A7"/>
    <w:rsid w:val="008F70D7"/>
    <w:rsid w:val="009002C4"/>
    <w:rsid w:val="00900989"/>
    <w:rsid w:val="0090187C"/>
    <w:rsid w:val="00904C20"/>
    <w:rsid w:val="00905291"/>
    <w:rsid w:val="00905DA4"/>
    <w:rsid w:val="00907A63"/>
    <w:rsid w:val="00911D9B"/>
    <w:rsid w:val="00912109"/>
    <w:rsid w:val="00912E26"/>
    <w:rsid w:val="00914890"/>
    <w:rsid w:val="00914A87"/>
    <w:rsid w:val="009166B8"/>
    <w:rsid w:val="00917739"/>
    <w:rsid w:val="00917E47"/>
    <w:rsid w:val="00920E06"/>
    <w:rsid w:val="00922715"/>
    <w:rsid w:val="009232BA"/>
    <w:rsid w:val="00923514"/>
    <w:rsid w:val="009243BE"/>
    <w:rsid w:val="00924A9C"/>
    <w:rsid w:val="009257BC"/>
    <w:rsid w:val="00925F4C"/>
    <w:rsid w:val="009262A5"/>
    <w:rsid w:val="0092748E"/>
    <w:rsid w:val="00927520"/>
    <w:rsid w:val="00927AC4"/>
    <w:rsid w:val="00930A0B"/>
    <w:rsid w:val="00931110"/>
    <w:rsid w:val="009339C5"/>
    <w:rsid w:val="009345F6"/>
    <w:rsid w:val="00934748"/>
    <w:rsid w:val="00934D66"/>
    <w:rsid w:val="00935C54"/>
    <w:rsid w:val="00942117"/>
    <w:rsid w:val="009452F9"/>
    <w:rsid w:val="009462B5"/>
    <w:rsid w:val="00947E82"/>
    <w:rsid w:val="00951216"/>
    <w:rsid w:val="0095205F"/>
    <w:rsid w:val="009540AF"/>
    <w:rsid w:val="00954F7A"/>
    <w:rsid w:val="00957543"/>
    <w:rsid w:val="00957C7C"/>
    <w:rsid w:val="00960ECB"/>
    <w:rsid w:val="009612C7"/>
    <w:rsid w:val="00961DDA"/>
    <w:rsid w:val="00962016"/>
    <w:rsid w:val="00962A54"/>
    <w:rsid w:val="00962BBC"/>
    <w:rsid w:val="00962CC0"/>
    <w:rsid w:val="00965808"/>
    <w:rsid w:val="00966127"/>
    <w:rsid w:val="009674C7"/>
    <w:rsid w:val="009701FC"/>
    <w:rsid w:val="009711DF"/>
    <w:rsid w:val="0097266A"/>
    <w:rsid w:val="00973494"/>
    <w:rsid w:val="00974D4E"/>
    <w:rsid w:val="00974ED6"/>
    <w:rsid w:val="00975593"/>
    <w:rsid w:val="00975A57"/>
    <w:rsid w:val="009777D6"/>
    <w:rsid w:val="009803C4"/>
    <w:rsid w:val="009805E9"/>
    <w:rsid w:val="0098068D"/>
    <w:rsid w:val="00981F6C"/>
    <w:rsid w:val="009831D0"/>
    <w:rsid w:val="00983991"/>
    <w:rsid w:val="009857AC"/>
    <w:rsid w:val="00992305"/>
    <w:rsid w:val="00992A7B"/>
    <w:rsid w:val="009942BA"/>
    <w:rsid w:val="00994DC8"/>
    <w:rsid w:val="009959B9"/>
    <w:rsid w:val="00995B6F"/>
    <w:rsid w:val="00995E53"/>
    <w:rsid w:val="009963C6"/>
    <w:rsid w:val="00996EB2"/>
    <w:rsid w:val="00996F0E"/>
    <w:rsid w:val="00996F74"/>
    <w:rsid w:val="009A05ED"/>
    <w:rsid w:val="009A1DEB"/>
    <w:rsid w:val="009A3035"/>
    <w:rsid w:val="009A4464"/>
    <w:rsid w:val="009A5655"/>
    <w:rsid w:val="009A6525"/>
    <w:rsid w:val="009A6841"/>
    <w:rsid w:val="009A71CB"/>
    <w:rsid w:val="009A78C5"/>
    <w:rsid w:val="009A7F71"/>
    <w:rsid w:val="009B16B4"/>
    <w:rsid w:val="009B2D8F"/>
    <w:rsid w:val="009B3174"/>
    <w:rsid w:val="009B3B9B"/>
    <w:rsid w:val="009B3C97"/>
    <w:rsid w:val="009B4821"/>
    <w:rsid w:val="009B484C"/>
    <w:rsid w:val="009B53AE"/>
    <w:rsid w:val="009B625E"/>
    <w:rsid w:val="009C0B50"/>
    <w:rsid w:val="009C1586"/>
    <w:rsid w:val="009C1619"/>
    <w:rsid w:val="009C3932"/>
    <w:rsid w:val="009C50D7"/>
    <w:rsid w:val="009C7041"/>
    <w:rsid w:val="009D044E"/>
    <w:rsid w:val="009D09E2"/>
    <w:rsid w:val="009D4ED3"/>
    <w:rsid w:val="009D54A4"/>
    <w:rsid w:val="009D57C5"/>
    <w:rsid w:val="009D6223"/>
    <w:rsid w:val="009D66CC"/>
    <w:rsid w:val="009E20B0"/>
    <w:rsid w:val="009E4094"/>
    <w:rsid w:val="009E42C3"/>
    <w:rsid w:val="009E4309"/>
    <w:rsid w:val="009E641F"/>
    <w:rsid w:val="009E689D"/>
    <w:rsid w:val="009E7638"/>
    <w:rsid w:val="009E7FF9"/>
    <w:rsid w:val="009F077E"/>
    <w:rsid w:val="009F2A8D"/>
    <w:rsid w:val="009F315D"/>
    <w:rsid w:val="009F3E31"/>
    <w:rsid w:val="009F4FB4"/>
    <w:rsid w:val="009F5BD0"/>
    <w:rsid w:val="009F5E7F"/>
    <w:rsid w:val="009F6992"/>
    <w:rsid w:val="009F726C"/>
    <w:rsid w:val="009F795B"/>
    <w:rsid w:val="009F7BD1"/>
    <w:rsid w:val="009F7EF5"/>
    <w:rsid w:val="00A00402"/>
    <w:rsid w:val="00A00C3E"/>
    <w:rsid w:val="00A01364"/>
    <w:rsid w:val="00A0163A"/>
    <w:rsid w:val="00A017F0"/>
    <w:rsid w:val="00A0184F"/>
    <w:rsid w:val="00A0201D"/>
    <w:rsid w:val="00A0404A"/>
    <w:rsid w:val="00A04967"/>
    <w:rsid w:val="00A06FF3"/>
    <w:rsid w:val="00A07FDD"/>
    <w:rsid w:val="00A10E17"/>
    <w:rsid w:val="00A11EA3"/>
    <w:rsid w:val="00A12672"/>
    <w:rsid w:val="00A12BF5"/>
    <w:rsid w:val="00A15629"/>
    <w:rsid w:val="00A15E0A"/>
    <w:rsid w:val="00A17464"/>
    <w:rsid w:val="00A201D0"/>
    <w:rsid w:val="00A2417B"/>
    <w:rsid w:val="00A26588"/>
    <w:rsid w:val="00A266A1"/>
    <w:rsid w:val="00A27489"/>
    <w:rsid w:val="00A2782E"/>
    <w:rsid w:val="00A3217E"/>
    <w:rsid w:val="00A330C6"/>
    <w:rsid w:val="00A3325B"/>
    <w:rsid w:val="00A3561A"/>
    <w:rsid w:val="00A41619"/>
    <w:rsid w:val="00A433C1"/>
    <w:rsid w:val="00A4366F"/>
    <w:rsid w:val="00A476D4"/>
    <w:rsid w:val="00A47F83"/>
    <w:rsid w:val="00A51977"/>
    <w:rsid w:val="00A524CB"/>
    <w:rsid w:val="00A524D1"/>
    <w:rsid w:val="00A52FB2"/>
    <w:rsid w:val="00A55012"/>
    <w:rsid w:val="00A551DA"/>
    <w:rsid w:val="00A55C51"/>
    <w:rsid w:val="00A56C84"/>
    <w:rsid w:val="00A56DC9"/>
    <w:rsid w:val="00A57F26"/>
    <w:rsid w:val="00A60FFF"/>
    <w:rsid w:val="00A62B1A"/>
    <w:rsid w:val="00A62F18"/>
    <w:rsid w:val="00A65EAA"/>
    <w:rsid w:val="00A669AF"/>
    <w:rsid w:val="00A70553"/>
    <w:rsid w:val="00A7158B"/>
    <w:rsid w:val="00A719A8"/>
    <w:rsid w:val="00A7275E"/>
    <w:rsid w:val="00A72F53"/>
    <w:rsid w:val="00A73FDE"/>
    <w:rsid w:val="00A74402"/>
    <w:rsid w:val="00A74622"/>
    <w:rsid w:val="00A75E7A"/>
    <w:rsid w:val="00A7722A"/>
    <w:rsid w:val="00A81D58"/>
    <w:rsid w:val="00A82B38"/>
    <w:rsid w:val="00A82D58"/>
    <w:rsid w:val="00A8324A"/>
    <w:rsid w:val="00A845C8"/>
    <w:rsid w:val="00A849FF"/>
    <w:rsid w:val="00A84F2F"/>
    <w:rsid w:val="00A90AAF"/>
    <w:rsid w:val="00A9195E"/>
    <w:rsid w:val="00A9201B"/>
    <w:rsid w:val="00A9280F"/>
    <w:rsid w:val="00A938C6"/>
    <w:rsid w:val="00A94026"/>
    <w:rsid w:val="00A94636"/>
    <w:rsid w:val="00A9777F"/>
    <w:rsid w:val="00AA0ED7"/>
    <w:rsid w:val="00AA17D2"/>
    <w:rsid w:val="00AA2ECC"/>
    <w:rsid w:val="00AA3320"/>
    <w:rsid w:val="00AA535B"/>
    <w:rsid w:val="00AA5AB7"/>
    <w:rsid w:val="00AA5F79"/>
    <w:rsid w:val="00AB161A"/>
    <w:rsid w:val="00AB3D6C"/>
    <w:rsid w:val="00AB6337"/>
    <w:rsid w:val="00AB6961"/>
    <w:rsid w:val="00AC105D"/>
    <w:rsid w:val="00AC1D65"/>
    <w:rsid w:val="00AC4269"/>
    <w:rsid w:val="00AC51DA"/>
    <w:rsid w:val="00AC5EEF"/>
    <w:rsid w:val="00AD1AC1"/>
    <w:rsid w:val="00AD1C79"/>
    <w:rsid w:val="00AD3599"/>
    <w:rsid w:val="00AD38CE"/>
    <w:rsid w:val="00AD398C"/>
    <w:rsid w:val="00AD4086"/>
    <w:rsid w:val="00AD47D5"/>
    <w:rsid w:val="00AD4BDB"/>
    <w:rsid w:val="00AD6B94"/>
    <w:rsid w:val="00AE01A4"/>
    <w:rsid w:val="00AE0D59"/>
    <w:rsid w:val="00AE2EDB"/>
    <w:rsid w:val="00AE394B"/>
    <w:rsid w:val="00AE3F0B"/>
    <w:rsid w:val="00AE4524"/>
    <w:rsid w:val="00AE4A35"/>
    <w:rsid w:val="00AF2285"/>
    <w:rsid w:val="00AF3D43"/>
    <w:rsid w:val="00AF4804"/>
    <w:rsid w:val="00AF4D25"/>
    <w:rsid w:val="00AF4D93"/>
    <w:rsid w:val="00B00896"/>
    <w:rsid w:val="00B01C38"/>
    <w:rsid w:val="00B033DC"/>
    <w:rsid w:val="00B03424"/>
    <w:rsid w:val="00B04A77"/>
    <w:rsid w:val="00B06BEE"/>
    <w:rsid w:val="00B06E17"/>
    <w:rsid w:val="00B119B0"/>
    <w:rsid w:val="00B12EFE"/>
    <w:rsid w:val="00B134A2"/>
    <w:rsid w:val="00B13EA2"/>
    <w:rsid w:val="00B17153"/>
    <w:rsid w:val="00B17AF6"/>
    <w:rsid w:val="00B200C1"/>
    <w:rsid w:val="00B204E2"/>
    <w:rsid w:val="00B2112F"/>
    <w:rsid w:val="00B22D1D"/>
    <w:rsid w:val="00B23118"/>
    <w:rsid w:val="00B23503"/>
    <w:rsid w:val="00B23F95"/>
    <w:rsid w:val="00B25221"/>
    <w:rsid w:val="00B255CB"/>
    <w:rsid w:val="00B27E55"/>
    <w:rsid w:val="00B30330"/>
    <w:rsid w:val="00B30948"/>
    <w:rsid w:val="00B30CF4"/>
    <w:rsid w:val="00B31E78"/>
    <w:rsid w:val="00B33A12"/>
    <w:rsid w:val="00B34EF4"/>
    <w:rsid w:val="00B35973"/>
    <w:rsid w:val="00B36684"/>
    <w:rsid w:val="00B37A87"/>
    <w:rsid w:val="00B37AE7"/>
    <w:rsid w:val="00B40C99"/>
    <w:rsid w:val="00B41479"/>
    <w:rsid w:val="00B4353D"/>
    <w:rsid w:val="00B43E3E"/>
    <w:rsid w:val="00B45B06"/>
    <w:rsid w:val="00B45D2B"/>
    <w:rsid w:val="00B462C0"/>
    <w:rsid w:val="00B4722D"/>
    <w:rsid w:val="00B5253E"/>
    <w:rsid w:val="00B52A25"/>
    <w:rsid w:val="00B53A92"/>
    <w:rsid w:val="00B54BE2"/>
    <w:rsid w:val="00B54DE7"/>
    <w:rsid w:val="00B569D2"/>
    <w:rsid w:val="00B61FB3"/>
    <w:rsid w:val="00B625FA"/>
    <w:rsid w:val="00B64E97"/>
    <w:rsid w:val="00B65F23"/>
    <w:rsid w:val="00B66628"/>
    <w:rsid w:val="00B6690D"/>
    <w:rsid w:val="00B66955"/>
    <w:rsid w:val="00B67705"/>
    <w:rsid w:val="00B7320D"/>
    <w:rsid w:val="00B7531C"/>
    <w:rsid w:val="00B76138"/>
    <w:rsid w:val="00B77481"/>
    <w:rsid w:val="00B77854"/>
    <w:rsid w:val="00B8103A"/>
    <w:rsid w:val="00B82215"/>
    <w:rsid w:val="00B82D20"/>
    <w:rsid w:val="00B83B4C"/>
    <w:rsid w:val="00B8427B"/>
    <w:rsid w:val="00B8583F"/>
    <w:rsid w:val="00B86221"/>
    <w:rsid w:val="00B87557"/>
    <w:rsid w:val="00B8772A"/>
    <w:rsid w:val="00B9157F"/>
    <w:rsid w:val="00B92B00"/>
    <w:rsid w:val="00B93F07"/>
    <w:rsid w:val="00B9520B"/>
    <w:rsid w:val="00B9676E"/>
    <w:rsid w:val="00B96AD1"/>
    <w:rsid w:val="00BA3C79"/>
    <w:rsid w:val="00BA4F13"/>
    <w:rsid w:val="00BA62A1"/>
    <w:rsid w:val="00BA7A29"/>
    <w:rsid w:val="00BA7A3F"/>
    <w:rsid w:val="00BB3DFA"/>
    <w:rsid w:val="00BB58D6"/>
    <w:rsid w:val="00BB664C"/>
    <w:rsid w:val="00BC085F"/>
    <w:rsid w:val="00BC0939"/>
    <w:rsid w:val="00BC120B"/>
    <w:rsid w:val="00BC15D2"/>
    <w:rsid w:val="00BC3169"/>
    <w:rsid w:val="00BC45B5"/>
    <w:rsid w:val="00BC45E3"/>
    <w:rsid w:val="00BC5E8D"/>
    <w:rsid w:val="00BC640A"/>
    <w:rsid w:val="00BC774E"/>
    <w:rsid w:val="00BD090D"/>
    <w:rsid w:val="00BD0B18"/>
    <w:rsid w:val="00BD0BCA"/>
    <w:rsid w:val="00BD11D1"/>
    <w:rsid w:val="00BD2133"/>
    <w:rsid w:val="00BD2FA5"/>
    <w:rsid w:val="00BD495A"/>
    <w:rsid w:val="00BD4C96"/>
    <w:rsid w:val="00BD4DB6"/>
    <w:rsid w:val="00BD603A"/>
    <w:rsid w:val="00BD6C5D"/>
    <w:rsid w:val="00BE0710"/>
    <w:rsid w:val="00BE0DBF"/>
    <w:rsid w:val="00BE2CB8"/>
    <w:rsid w:val="00BE2F1C"/>
    <w:rsid w:val="00BE30AA"/>
    <w:rsid w:val="00BE319A"/>
    <w:rsid w:val="00BE3736"/>
    <w:rsid w:val="00BE41E9"/>
    <w:rsid w:val="00BE4DC5"/>
    <w:rsid w:val="00BE5405"/>
    <w:rsid w:val="00BE6224"/>
    <w:rsid w:val="00BE696A"/>
    <w:rsid w:val="00BE6C2E"/>
    <w:rsid w:val="00BF0E2C"/>
    <w:rsid w:val="00BF24F0"/>
    <w:rsid w:val="00BF2702"/>
    <w:rsid w:val="00BF27C1"/>
    <w:rsid w:val="00BF37B1"/>
    <w:rsid w:val="00BF3D9B"/>
    <w:rsid w:val="00BF4F18"/>
    <w:rsid w:val="00BF5BC3"/>
    <w:rsid w:val="00BF7068"/>
    <w:rsid w:val="00C0396C"/>
    <w:rsid w:val="00C0537F"/>
    <w:rsid w:val="00C05500"/>
    <w:rsid w:val="00C06B2D"/>
    <w:rsid w:val="00C06F69"/>
    <w:rsid w:val="00C07E21"/>
    <w:rsid w:val="00C07F51"/>
    <w:rsid w:val="00C10269"/>
    <w:rsid w:val="00C10924"/>
    <w:rsid w:val="00C109DC"/>
    <w:rsid w:val="00C10B06"/>
    <w:rsid w:val="00C10BCE"/>
    <w:rsid w:val="00C11473"/>
    <w:rsid w:val="00C11D47"/>
    <w:rsid w:val="00C12E87"/>
    <w:rsid w:val="00C14C2F"/>
    <w:rsid w:val="00C14DDE"/>
    <w:rsid w:val="00C158DB"/>
    <w:rsid w:val="00C15D2C"/>
    <w:rsid w:val="00C16476"/>
    <w:rsid w:val="00C17749"/>
    <w:rsid w:val="00C202BB"/>
    <w:rsid w:val="00C2267F"/>
    <w:rsid w:val="00C2513E"/>
    <w:rsid w:val="00C2544E"/>
    <w:rsid w:val="00C26A07"/>
    <w:rsid w:val="00C27184"/>
    <w:rsid w:val="00C272F2"/>
    <w:rsid w:val="00C2763B"/>
    <w:rsid w:val="00C27FA4"/>
    <w:rsid w:val="00C304FD"/>
    <w:rsid w:val="00C31944"/>
    <w:rsid w:val="00C34778"/>
    <w:rsid w:val="00C35396"/>
    <w:rsid w:val="00C356D5"/>
    <w:rsid w:val="00C366EA"/>
    <w:rsid w:val="00C40B23"/>
    <w:rsid w:val="00C40C27"/>
    <w:rsid w:val="00C434E4"/>
    <w:rsid w:val="00C4459F"/>
    <w:rsid w:val="00C44743"/>
    <w:rsid w:val="00C44BC3"/>
    <w:rsid w:val="00C46DB8"/>
    <w:rsid w:val="00C46F57"/>
    <w:rsid w:val="00C51029"/>
    <w:rsid w:val="00C560D9"/>
    <w:rsid w:val="00C57125"/>
    <w:rsid w:val="00C57680"/>
    <w:rsid w:val="00C5771F"/>
    <w:rsid w:val="00C57933"/>
    <w:rsid w:val="00C57AC8"/>
    <w:rsid w:val="00C60D6E"/>
    <w:rsid w:val="00C62309"/>
    <w:rsid w:val="00C65689"/>
    <w:rsid w:val="00C677C7"/>
    <w:rsid w:val="00C7028C"/>
    <w:rsid w:val="00C70B61"/>
    <w:rsid w:val="00C71252"/>
    <w:rsid w:val="00C728A2"/>
    <w:rsid w:val="00C729A4"/>
    <w:rsid w:val="00C741EE"/>
    <w:rsid w:val="00C74AAE"/>
    <w:rsid w:val="00C74ECC"/>
    <w:rsid w:val="00C7527C"/>
    <w:rsid w:val="00C755F7"/>
    <w:rsid w:val="00C756FF"/>
    <w:rsid w:val="00C7670B"/>
    <w:rsid w:val="00C76CE3"/>
    <w:rsid w:val="00C76CE4"/>
    <w:rsid w:val="00C77812"/>
    <w:rsid w:val="00C80B84"/>
    <w:rsid w:val="00C80E8B"/>
    <w:rsid w:val="00C820D4"/>
    <w:rsid w:val="00C8274A"/>
    <w:rsid w:val="00C83A45"/>
    <w:rsid w:val="00C876A2"/>
    <w:rsid w:val="00C87EEE"/>
    <w:rsid w:val="00C91507"/>
    <w:rsid w:val="00C918CD"/>
    <w:rsid w:val="00C927EC"/>
    <w:rsid w:val="00C93523"/>
    <w:rsid w:val="00C96A25"/>
    <w:rsid w:val="00C96BD7"/>
    <w:rsid w:val="00C97B70"/>
    <w:rsid w:val="00CA0024"/>
    <w:rsid w:val="00CA0226"/>
    <w:rsid w:val="00CA057A"/>
    <w:rsid w:val="00CA1062"/>
    <w:rsid w:val="00CA23DA"/>
    <w:rsid w:val="00CA2616"/>
    <w:rsid w:val="00CA3C20"/>
    <w:rsid w:val="00CA5E18"/>
    <w:rsid w:val="00CA6123"/>
    <w:rsid w:val="00CA62D1"/>
    <w:rsid w:val="00CA6944"/>
    <w:rsid w:val="00CA7653"/>
    <w:rsid w:val="00CA796E"/>
    <w:rsid w:val="00CA7C69"/>
    <w:rsid w:val="00CB005D"/>
    <w:rsid w:val="00CB1079"/>
    <w:rsid w:val="00CB2710"/>
    <w:rsid w:val="00CB2803"/>
    <w:rsid w:val="00CB3049"/>
    <w:rsid w:val="00CB417D"/>
    <w:rsid w:val="00CB489A"/>
    <w:rsid w:val="00CB5476"/>
    <w:rsid w:val="00CB6033"/>
    <w:rsid w:val="00CB60D9"/>
    <w:rsid w:val="00CB6ED6"/>
    <w:rsid w:val="00CC0138"/>
    <w:rsid w:val="00CC043C"/>
    <w:rsid w:val="00CC054D"/>
    <w:rsid w:val="00CC215D"/>
    <w:rsid w:val="00CC2656"/>
    <w:rsid w:val="00CC4A4A"/>
    <w:rsid w:val="00CC5A0B"/>
    <w:rsid w:val="00CC71DF"/>
    <w:rsid w:val="00CC7E11"/>
    <w:rsid w:val="00CD0CAA"/>
    <w:rsid w:val="00CD3176"/>
    <w:rsid w:val="00CD3763"/>
    <w:rsid w:val="00CD4BD9"/>
    <w:rsid w:val="00CD65C8"/>
    <w:rsid w:val="00CD7930"/>
    <w:rsid w:val="00CE0E42"/>
    <w:rsid w:val="00CE2174"/>
    <w:rsid w:val="00CE2445"/>
    <w:rsid w:val="00CE34BC"/>
    <w:rsid w:val="00CE6465"/>
    <w:rsid w:val="00CF04FC"/>
    <w:rsid w:val="00CF330B"/>
    <w:rsid w:val="00CF4EBA"/>
    <w:rsid w:val="00CF54DD"/>
    <w:rsid w:val="00CF6EA1"/>
    <w:rsid w:val="00CF780B"/>
    <w:rsid w:val="00D002E8"/>
    <w:rsid w:val="00D019BA"/>
    <w:rsid w:val="00D01B04"/>
    <w:rsid w:val="00D01C69"/>
    <w:rsid w:val="00D02DD9"/>
    <w:rsid w:val="00D044AC"/>
    <w:rsid w:val="00D057B1"/>
    <w:rsid w:val="00D065E5"/>
    <w:rsid w:val="00D066C6"/>
    <w:rsid w:val="00D078AF"/>
    <w:rsid w:val="00D11A4F"/>
    <w:rsid w:val="00D11D21"/>
    <w:rsid w:val="00D121AD"/>
    <w:rsid w:val="00D12B43"/>
    <w:rsid w:val="00D14267"/>
    <w:rsid w:val="00D14337"/>
    <w:rsid w:val="00D14565"/>
    <w:rsid w:val="00D15932"/>
    <w:rsid w:val="00D17012"/>
    <w:rsid w:val="00D17692"/>
    <w:rsid w:val="00D176A3"/>
    <w:rsid w:val="00D23192"/>
    <w:rsid w:val="00D24975"/>
    <w:rsid w:val="00D2593C"/>
    <w:rsid w:val="00D259E4"/>
    <w:rsid w:val="00D25A9D"/>
    <w:rsid w:val="00D26375"/>
    <w:rsid w:val="00D26DAD"/>
    <w:rsid w:val="00D271B2"/>
    <w:rsid w:val="00D2747F"/>
    <w:rsid w:val="00D27D8A"/>
    <w:rsid w:val="00D30482"/>
    <w:rsid w:val="00D35080"/>
    <w:rsid w:val="00D35C0C"/>
    <w:rsid w:val="00D3695F"/>
    <w:rsid w:val="00D40B11"/>
    <w:rsid w:val="00D41FF0"/>
    <w:rsid w:val="00D436E9"/>
    <w:rsid w:val="00D45178"/>
    <w:rsid w:val="00D47415"/>
    <w:rsid w:val="00D47525"/>
    <w:rsid w:val="00D47CA0"/>
    <w:rsid w:val="00D502F0"/>
    <w:rsid w:val="00D51256"/>
    <w:rsid w:val="00D535D3"/>
    <w:rsid w:val="00D53FCA"/>
    <w:rsid w:val="00D54850"/>
    <w:rsid w:val="00D565A6"/>
    <w:rsid w:val="00D56AB1"/>
    <w:rsid w:val="00D57034"/>
    <w:rsid w:val="00D60647"/>
    <w:rsid w:val="00D67DA6"/>
    <w:rsid w:val="00D67FA9"/>
    <w:rsid w:val="00D708F7"/>
    <w:rsid w:val="00D71115"/>
    <w:rsid w:val="00D725B5"/>
    <w:rsid w:val="00D7420A"/>
    <w:rsid w:val="00D753C9"/>
    <w:rsid w:val="00D756FA"/>
    <w:rsid w:val="00D76135"/>
    <w:rsid w:val="00D76155"/>
    <w:rsid w:val="00D764EB"/>
    <w:rsid w:val="00D801BB"/>
    <w:rsid w:val="00D80213"/>
    <w:rsid w:val="00D8095B"/>
    <w:rsid w:val="00D80AEF"/>
    <w:rsid w:val="00D81FA0"/>
    <w:rsid w:val="00D839EC"/>
    <w:rsid w:val="00D84CEF"/>
    <w:rsid w:val="00D857B7"/>
    <w:rsid w:val="00D85F63"/>
    <w:rsid w:val="00D8617E"/>
    <w:rsid w:val="00D87D63"/>
    <w:rsid w:val="00D87F3B"/>
    <w:rsid w:val="00D903EA"/>
    <w:rsid w:val="00D9063E"/>
    <w:rsid w:val="00D9165D"/>
    <w:rsid w:val="00D91BF8"/>
    <w:rsid w:val="00D92578"/>
    <w:rsid w:val="00D92D63"/>
    <w:rsid w:val="00D9474F"/>
    <w:rsid w:val="00D94911"/>
    <w:rsid w:val="00D964FA"/>
    <w:rsid w:val="00D96AF7"/>
    <w:rsid w:val="00D96C79"/>
    <w:rsid w:val="00D97D67"/>
    <w:rsid w:val="00DA09B1"/>
    <w:rsid w:val="00DA0F27"/>
    <w:rsid w:val="00DA17B3"/>
    <w:rsid w:val="00DA3AE1"/>
    <w:rsid w:val="00DA3E68"/>
    <w:rsid w:val="00DA4422"/>
    <w:rsid w:val="00DA505E"/>
    <w:rsid w:val="00DA6B6D"/>
    <w:rsid w:val="00DA77EF"/>
    <w:rsid w:val="00DB0033"/>
    <w:rsid w:val="00DB00D2"/>
    <w:rsid w:val="00DB026B"/>
    <w:rsid w:val="00DB0AC9"/>
    <w:rsid w:val="00DB1895"/>
    <w:rsid w:val="00DB3CC4"/>
    <w:rsid w:val="00DB467F"/>
    <w:rsid w:val="00DB4B14"/>
    <w:rsid w:val="00DB73B2"/>
    <w:rsid w:val="00DC4B82"/>
    <w:rsid w:val="00DC4CE6"/>
    <w:rsid w:val="00DC5813"/>
    <w:rsid w:val="00DC59F0"/>
    <w:rsid w:val="00DC690E"/>
    <w:rsid w:val="00DC7EEB"/>
    <w:rsid w:val="00DD0011"/>
    <w:rsid w:val="00DD279B"/>
    <w:rsid w:val="00DD4211"/>
    <w:rsid w:val="00DD45C9"/>
    <w:rsid w:val="00DD55B8"/>
    <w:rsid w:val="00DE1892"/>
    <w:rsid w:val="00DE397E"/>
    <w:rsid w:val="00DE3D3C"/>
    <w:rsid w:val="00DE54A5"/>
    <w:rsid w:val="00DF0C9E"/>
    <w:rsid w:val="00DF2E17"/>
    <w:rsid w:val="00DF2FD4"/>
    <w:rsid w:val="00DF4F99"/>
    <w:rsid w:val="00DF5BE0"/>
    <w:rsid w:val="00DF5EB6"/>
    <w:rsid w:val="00DF72F9"/>
    <w:rsid w:val="00E0004F"/>
    <w:rsid w:val="00E04FB1"/>
    <w:rsid w:val="00E059FD"/>
    <w:rsid w:val="00E05B97"/>
    <w:rsid w:val="00E0673D"/>
    <w:rsid w:val="00E13799"/>
    <w:rsid w:val="00E14A63"/>
    <w:rsid w:val="00E14CCD"/>
    <w:rsid w:val="00E15A28"/>
    <w:rsid w:val="00E20322"/>
    <w:rsid w:val="00E221D3"/>
    <w:rsid w:val="00E238B3"/>
    <w:rsid w:val="00E26801"/>
    <w:rsid w:val="00E26819"/>
    <w:rsid w:val="00E27148"/>
    <w:rsid w:val="00E274DF"/>
    <w:rsid w:val="00E30C09"/>
    <w:rsid w:val="00E31831"/>
    <w:rsid w:val="00E40656"/>
    <w:rsid w:val="00E41748"/>
    <w:rsid w:val="00E41AAB"/>
    <w:rsid w:val="00E4248B"/>
    <w:rsid w:val="00E42928"/>
    <w:rsid w:val="00E43194"/>
    <w:rsid w:val="00E45928"/>
    <w:rsid w:val="00E45991"/>
    <w:rsid w:val="00E46395"/>
    <w:rsid w:val="00E4737F"/>
    <w:rsid w:val="00E511BF"/>
    <w:rsid w:val="00E523F7"/>
    <w:rsid w:val="00E52C9D"/>
    <w:rsid w:val="00E53F78"/>
    <w:rsid w:val="00E554FD"/>
    <w:rsid w:val="00E55BFC"/>
    <w:rsid w:val="00E56097"/>
    <w:rsid w:val="00E56A23"/>
    <w:rsid w:val="00E57179"/>
    <w:rsid w:val="00E57B92"/>
    <w:rsid w:val="00E60584"/>
    <w:rsid w:val="00E60C6B"/>
    <w:rsid w:val="00E60F01"/>
    <w:rsid w:val="00E63474"/>
    <w:rsid w:val="00E63701"/>
    <w:rsid w:val="00E6431F"/>
    <w:rsid w:val="00E64D56"/>
    <w:rsid w:val="00E65607"/>
    <w:rsid w:val="00E65866"/>
    <w:rsid w:val="00E65A0A"/>
    <w:rsid w:val="00E67840"/>
    <w:rsid w:val="00E753EC"/>
    <w:rsid w:val="00E762F0"/>
    <w:rsid w:val="00E800EF"/>
    <w:rsid w:val="00E803F1"/>
    <w:rsid w:val="00E80B03"/>
    <w:rsid w:val="00E815CD"/>
    <w:rsid w:val="00E816F7"/>
    <w:rsid w:val="00E81955"/>
    <w:rsid w:val="00E83353"/>
    <w:rsid w:val="00E85961"/>
    <w:rsid w:val="00E86BEA"/>
    <w:rsid w:val="00E86CE1"/>
    <w:rsid w:val="00E86E6F"/>
    <w:rsid w:val="00E87504"/>
    <w:rsid w:val="00E9118E"/>
    <w:rsid w:val="00E91602"/>
    <w:rsid w:val="00E93D6F"/>
    <w:rsid w:val="00E955B5"/>
    <w:rsid w:val="00E96E10"/>
    <w:rsid w:val="00E972C8"/>
    <w:rsid w:val="00E976E3"/>
    <w:rsid w:val="00EA0B69"/>
    <w:rsid w:val="00EA0CAB"/>
    <w:rsid w:val="00EA115B"/>
    <w:rsid w:val="00EA1955"/>
    <w:rsid w:val="00EA1C58"/>
    <w:rsid w:val="00EA1DC3"/>
    <w:rsid w:val="00EA2495"/>
    <w:rsid w:val="00EA2E57"/>
    <w:rsid w:val="00EA32A1"/>
    <w:rsid w:val="00EA42B8"/>
    <w:rsid w:val="00EA5EA0"/>
    <w:rsid w:val="00EA799B"/>
    <w:rsid w:val="00EB41E7"/>
    <w:rsid w:val="00EB7A75"/>
    <w:rsid w:val="00EC0990"/>
    <w:rsid w:val="00EC0F11"/>
    <w:rsid w:val="00EC1584"/>
    <w:rsid w:val="00EC414F"/>
    <w:rsid w:val="00EC49F7"/>
    <w:rsid w:val="00EC5224"/>
    <w:rsid w:val="00EC5429"/>
    <w:rsid w:val="00EC56D0"/>
    <w:rsid w:val="00EC604B"/>
    <w:rsid w:val="00EC6BB1"/>
    <w:rsid w:val="00ED19C7"/>
    <w:rsid w:val="00ED395A"/>
    <w:rsid w:val="00ED46D8"/>
    <w:rsid w:val="00ED4C78"/>
    <w:rsid w:val="00ED64BA"/>
    <w:rsid w:val="00ED7674"/>
    <w:rsid w:val="00ED7BC9"/>
    <w:rsid w:val="00EE02B8"/>
    <w:rsid w:val="00EE04B1"/>
    <w:rsid w:val="00EE162E"/>
    <w:rsid w:val="00EE38D6"/>
    <w:rsid w:val="00EE6D08"/>
    <w:rsid w:val="00EE728B"/>
    <w:rsid w:val="00EE7CE9"/>
    <w:rsid w:val="00EF0D05"/>
    <w:rsid w:val="00EF11F7"/>
    <w:rsid w:val="00EF1883"/>
    <w:rsid w:val="00EF55AB"/>
    <w:rsid w:val="00EF5763"/>
    <w:rsid w:val="00EF579C"/>
    <w:rsid w:val="00EF5CB0"/>
    <w:rsid w:val="00EF7118"/>
    <w:rsid w:val="00F011F6"/>
    <w:rsid w:val="00F01239"/>
    <w:rsid w:val="00F02BDD"/>
    <w:rsid w:val="00F0514C"/>
    <w:rsid w:val="00F054A5"/>
    <w:rsid w:val="00F0618A"/>
    <w:rsid w:val="00F073B4"/>
    <w:rsid w:val="00F120D2"/>
    <w:rsid w:val="00F15289"/>
    <w:rsid w:val="00F1575F"/>
    <w:rsid w:val="00F15A84"/>
    <w:rsid w:val="00F166B1"/>
    <w:rsid w:val="00F22125"/>
    <w:rsid w:val="00F2298C"/>
    <w:rsid w:val="00F23295"/>
    <w:rsid w:val="00F24AB0"/>
    <w:rsid w:val="00F2608C"/>
    <w:rsid w:val="00F267B0"/>
    <w:rsid w:val="00F277CF"/>
    <w:rsid w:val="00F30FAF"/>
    <w:rsid w:val="00F31F61"/>
    <w:rsid w:val="00F337BD"/>
    <w:rsid w:val="00F337E5"/>
    <w:rsid w:val="00F339A0"/>
    <w:rsid w:val="00F362D5"/>
    <w:rsid w:val="00F36FF9"/>
    <w:rsid w:val="00F372D8"/>
    <w:rsid w:val="00F37849"/>
    <w:rsid w:val="00F4038F"/>
    <w:rsid w:val="00F40904"/>
    <w:rsid w:val="00F4191A"/>
    <w:rsid w:val="00F42CE3"/>
    <w:rsid w:val="00F435E4"/>
    <w:rsid w:val="00F44B11"/>
    <w:rsid w:val="00F47242"/>
    <w:rsid w:val="00F503B6"/>
    <w:rsid w:val="00F51713"/>
    <w:rsid w:val="00F52A18"/>
    <w:rsid w:val="00F55B30"/>
    <w:rsid w:val="00F6143D"/>
    <w:rsid w:val="00F62929"/>
    <w:rsid w:val="00F63B93"/>
    <w:rsid w:val="00F63D94"/>
    <w:rsid w:val="00F64A30"/>
    <w:rsid w:val="00F65AA4"/>
    <w:rsid w:val="00F65B41"/>
    <w:rsid w:val="00F65F00"/>
    <w:rsid w:val="00F66FD9"/>
    <w:rsid w:val="00F716EE"/>
    <w:rsid w:val="00F71CC1"/>
    <w:rsid w:val="00F7227F"/>
    <w:rsid w:val="00F7289F"/>
    <w:rsid w:val="00F7328D"/>
    <w:rsid w:val="00F7387B"/>
    <w:rsid w:val="00F74614"/>
    <w:rsid w:val="00F756A6"/>
    <w:rsid w:val="00F7713A"/>
    <w:rsid w:val="00F77A6F"/>
    <w:rsid w:val="00F80259"/>
    <w:rsid w:val="00F81310"/>
    <w:rsid w:val="00F81BAA"/>
    <w:rsid w:val="00F831E3"/>
    <w:rsid w:val="00F83A72"/>
    <w:rsid w:val="00F8600B"/>
    <w:rsid w:val="00F874AD"/>
    <w:rsid w:val="00F902E9"/>
    <w:rsid w:val="00F9185A"/>
    <w:rsid w:val="00F92076"/>
    <w:rsid w:val="00F927D1"/>
    <w:rsid w:val="00F93EFC"/>
    <w:rsid w:val="00F9433A"/>
    <w:rsid w:val="00F9562D"/>
    <w:rsid w:val="00F95C55"/>
    <w:rsid w:val="00F9647A"/>
    <w:rsid w:val="00F96B37"/>
    <w:rsid w:val="00F96E11"/>
    <w:rsid w:val="00F979D8"/>
    <w:rsid w:val="00FA031A"/>
    <w:rsid w:val="00FA131F"/>
    <w:rsid w:val="00FA1C28"/>
    <w:rsid w:val="00FA1E90"/>
    <w:rsid w:val="00FA244D"/>
    <w:rsid w:val="00FA3010"/>
    <w:rsid w:val="00FA4C5F"/>
    <w:rsid w:val="00FA5993"/>
    <w:rsid w:val="00FA62FB"/>
    <w:rsid w:val="00FA79A2"/>
    <w:rsid w:val="00FB0BBB"/>
    <w:rsid w:val="00FB17AC"/>
    <w:rsid w:val="00FB46FA"/>
    <w:rsid w:val="00FB4F60"/>
    <w:rsid w:val="00FC078D"/>
    <w:rsid w:val="00FC1A5D"/>
    <w:rsid w:val="00FC290C"/>
    <w:rsid w:val="00FC354D"/>
    <w:rsid w:val="00FD00A2"/>
    <w:rsid w:val="00FD08DE"/>
    <w:rsid w:val="00FD0F6E"/>
    <w:rsid w:val="00FD6A7C"/>
    <w:rsid w:val="00FE07A0"/>
    <w:rsid w:val="00FE2EC0"/>
    <w:rsid w:val="00FE4EA7"/>
    <w:rsid w:val="00FE4EAB"/>
    <w:rsid w:val="00FE5308"/>
    <w:rsid w:val="00FE54A3"/>
    <w:rsid w:val="00FE6997"/>
    <w:rsid w:val="00FE77EB"/>
    <w:rsid w:val="00FE78C7"/>
    <w:rsid w:val="00FF03FE"/>
    <w:rsid w:val="00FF0F6E"/>
    <w:rsid w:val="00FF18D7"/>
    <w:rsid w:val="00FF2970"/>
    <w:rsid w:val="00FF3363"/>
    <w:rsid w:val="00FF3612"/>
    <w:rsid w:val="00FF43F5"/>
    <w:rsid w:val="00FF4849"/>
    <w:rsid w:val="00FF5C7C"/>
    <w:rsid w:val="01B47A59"/>
    <w:rsid w:val="02265C8C"/>
    <w:rsid w:val="02983FF6"/>
    <w:rsid w:val="02CD709D"/>
    <w:rsid w:val="02FB0F26"/>
    <w:rsid w:val="032B024C"/>
    <w:rsid w:val="03514173"/>
    <w:rsid w:val="0382074F"/>
    <w:rsid w:val="03E77005"/>
    <w:rsid w:val="04072ABE"/>
    <w:rsid w:val="04366433"/>
    <w:rsid w:val="04651CD8"/>
    <w:rsid w:val="0495080F"/>
    <w:rsid w:val="05753204"/>
    <w:rsid w:val="062822BB"/>
    <w:rsid w:val="066132CB"/>
    <w:rsid w:val="06804990"/>
    <w:rsid w:val="068D4C9B"/>
    <w:rsid w:val="06D14EBD"/>
    <w:rsid w:val="06DE1A50"/>
    <w:rsid w:val="06EB148C"/>
    <w:rsid w:val="074C0438"/>
    <w:rsid w:val="07D721EC"/>
    <w:rsid w:val="08037696"/>
    <w:rsid w:val="08514397"/>
    <w:rsid w:val="08706007"/>
    <w:rsid w:val="08A700C4"/>
    <w:rsid w:val="09C26B7D"/>
    <w:rsid w:val="0A1B162C"/>
    <w:rsid w:val="0B181CBF"/>
    <w:rsid w:val="0BC04AFE"/>
    <w:rsid w:val="0C085D6A"/>
    <w:rsid w:val="0D3B159B"/>
    <w:rsid w:val="0D7C0A74"/>
    <w:rsid w:val="0DDC125D"/>
    <w:rsid w:val="0E0C760A"/>
    <w:rsid w:val="0E501052"/>
    <w:rsid w:val="0E664FCA"/>
    <w:rsid w:val="0E98447E"/>
    <w:rsid w:val="0EC465C7"/>
    <w:rsid w:val="0F0F7BEE"/>
    <w:rsid w:val="0F421DA8"/>
    <w:rsid w:val="0F867640"/>
    <w:rsid w:val="100A4633"/>
    <w:rsid w:val="10823C88"/>
    <w:rsid w:val="10901957"/>
    <w:rsid w:val="10C673DF"/>
    <w:rsid w:val="111B77B5"/>
    <w:rsid w:val="1160532F"/>
    <w:rsid w:val="11824A0F"/>
    <w:rsid w:val="11B85287"/>
    <w:rsid w:val="11E5087F"/>
    <w:rsid w:val="126357B9"/>
    <w:rsid w:val="128E5D2A"/>
    <w:rsid w:val="12F26951"/>
    <w:rsid w:val="13454D7F"/>
    <w:rsid w:val="136D69B1"/>
    <w:rsid w:val="13CF6B47"/>
    <w:rsid w:val="14D57867"/>
    <w:rsid w:val="15113CD5"/>
    <w:rsid w:val="155958CC"/>
    <w:rsid w:val="15881997"/>
    <w:rsid w:val="15BB6F96"/>
    <w:rsid w:val="16092E0B"/>
    <w:rsid w:val="162A7BE4"/>
    <w:rsid w:val="163F682C"/>
    <w:rsid w:val="16B540EF"/>
    <w:rsid w:val="16CE269B"/>
    <w:rsid w:val="16FF7D6A"/>
    <w:rsid w:val="170F61FF"/>
    <w:rsid w:val="173D1838"/>
    <w:rsid w:val="17982720"/>
    <w:rsid w:val="17B04B2A"/>
    <w:rsid w:val="18012B82"/>
    <w:rsid w:val="183211E2"/>
    <w:rsid w:val="186B79C3"/>
    <w:rsid w:val="18A94AE4"/>
    <w:rsid w:val="18F1504B"/>
    <w:rsid w:val="18F953B8"/>
    <w:rsid w:val="194D300E"/>
    <w:rsid w:val="195471D4"/>
    <w:rsid w:val="199F6656"/>
    <w:rsid w:val="1A141D7E"/>
    <w:rsid w:val="1C297D63"/>
    <w:rsid w:val="1C424C5B"/>
    <w:rsid w:val="1CA36708"/>
    <w:rsid w:val="1CDC1BD7"/>
    <w:rsid w:val="1CDE1E5B"/>
    <w:rsid w:val="1CE0213A"/>
    <w:rsid w:val="1D6D0498"/>
    <w:rsid w:val="1D905BC0"/>
    <w:rsid w:val="1DD94CC0"/>
    <w:rsid w:val="1E4C7A54"/>
    <w:rsid w:val="1EEB6F6A"/>
    <w:rsid w:val="1F4A2061"/>
    <w:rsid w:val="1FB950A5"/>
    <w:rsid w:val="2022014C"/>
    <w:rsid w:val="20917F4B"/>
    <w:rsid w:val="20CD1AB0"/>
    <w:rsid w:val="21756F70"/>
    <w:rsid w:val="21AC2E60"/>
    <w:rsid w:val="220A5A3C"/>
    <w:rsid w:val="23A72FFC"/>
    <w:rsid w:val="23BC796B"/>
    <w:rsid w:val="242A2671"/>
    <w:rsid w:val="24430123"/>
    <w:rsid w:val="24786259"/>
    <w:rsid w:val="24B65F0C"/>
    <w:rsid w:val="25BE00B0"/>
    <w:rsid w:val="25F26162"/>
    <w:rsid w:val="26EC030B"/>
    <w:rsid w:val="26F45411"/>
    <w:rsid w:val="280C23D5"/>
    <w:rsid w:val="285E11F2"/>
    <w:rsid w:val="28C52BC1"/>
    <w:rsid w:val="28E05C4D"/>
    <w:rsid w:val="28EF5E90"/>
    <w:rsid w:val="29491460"/>
    <w:rsid w:val="29A464CC"/>
    <w:rsid w:val="29B76476"/>
    <w:rsid w:val="29D55086"/>
    <w:rsid w:val="2A187669"/>
    <w:rsid w:val="2A571AEE"/>
    <w:rsid w:val="2A67601F"/>
    <w:rsid w:val="2A8558EB"/>
    <w:rsid w:val="2AAD6003"/>
    <w:rsid w:val="2AD33152"/>
    <w:rsid w:val="2AEF3F25"/>
    <w:rsid w:val="2AF615EE"/>
    <w:rsid w:val="2B54022C"/>
    <w:rsid w:val="2B717030"/>
    <w:rsid w:val="2B794864"/>
    <w:rsid w:val="2B801021"/>
    <w:rsid w:val="2C387B4E"/>
    <w:rsid w:val="2C401128"/>
    <w:rsid w:val="2C4103C1"/>
    <w:rsid w:val="2CFC1882"/>
    <w:rsid w:val="2D3B78F6"/>
    <w:rsid w:val="2D537491"/>
    <w:rsid w:val="2D8B7C57"/>
    <w:rsid w:val="2DD737DB"/>
    <w:rsid w:val="2E366D75"/>
    <w:rsid w:val="2E78329E"/>
    <w:rsid w:val="2EF677F0"/>
    <w:rsid w:val="2F2B571F"/>
    <w:rsid w:val="2F2E59E1"/>
    <w:rsid w:val="2F3A3CD2"/>
    <w:rsid w:val="2F5127C0"/>
    <w:rsid w:val="2F5159CA"/>
    <w:rsid w:val="2F9344A7"/>
    <w:rsid w:val="2FC83CAA"/>
    <w:rsid w:val="30447436"/>
    <w:rsid w:val="30AE6631"/>
    <w:rsid w:val="317B6EF1"/>
    <w:rsid w:val="31857392"/>
    <w:rsid w:val="31A27F7B"/>
    <w:rsid w:val="32296F5A"/>
    <w:rsid w:val="33AC652E"/>
    <w:rsid w:val="33AF53B6"/>
    <w:rsid w:val="341C45E4"/>
    <w:rsid w:val="341C6292"/>
    <w:rsid w:val="343402B4"/>
    <w:rsid w:val="3488722A"/>
    <w:rsid w:val="348E641A"/>
    <w:rsid w:val="34CE4C2F"/>
    <w:rsid w:val="34D60E50"/>
    <w:rsid w:val="34F04177"/>
    <w:rsid w:val="351849C1"/>
    <w:rsid w:val="3538720B"/>
    <w:rsid w:val="35FA20BB"/>
    <w:rsid w:val="3613030A"/>
    <w:rsid w:val="36B16F62"/>
    <w:rsid w:val="37353608"/>
    <w:rsid w:val="37A306C9"/>
    <w:rsid w:val="37E77A75"/>
    <w:rsid w:val="37E81728"/>
    <w:rsid w:val="388C773F"/>
    <w:rsid w:val="38F903D7"/>
    <w:rsid w:val="391E5EC7"/>
    <w:rsid w:val="395850A3"/>
    <w:rsid w:val="39717997"/>
    <w:rsid w:val="39E356BD"/>
    <w:rsid w:val="39EE16A9"/>
    <w:rsid w:val="3A0F6DD0"/>
    <w:rsid w:val="3A2E2E0F"/>
    <w:rsid w:val="3A506878"/>
    <w:rsid w:val="3B2B2C3C"/>
    <w:rsid w:val="3B5D312D"/>
    <w:rsid w:val="3B7E557D"/>
    <w:rsid w:val="3B8D0C06"/>
    <w:rsid w:val="3B9528C7"/>
    <w:rsid w:val="3C29300F"/>
    <w:rsid w:val="3C8C3B8A"/>
    <w:rsid w:val="3CAB449F"/>
    <w:rsid w:val="3CC316B6"/>
    <w:rsid w:val="3CFF4547"/>
    <w:rsid w:val="3D1B32A0"/>
    <w:rsid w:val="3D7310E3"/>
    <w:rsid w:val="3DE126FC"/>
    <w:rsid w:val="3DFA4C63"/>
    <w:rsid w:val="3E67106F"/>
    <w:rsid w:val="3E7B3341"/>
    <w:rsid w:val="3E9A3227"/>
    <w:rsid w:val="3EBC0E01"/>
    <w:rsid w:val="3F814F04"/>
    <w:rsid w:val="3F981B71"/>
    <w:rsid w:val="3F9C1BDA"/>
    <w:rsid w:val="3FA45D01"/>
    <w:rsid w:val="3FE07E89"/>
    <w:rsid w:val="3FFB4D22"/>
    <w:rsid w:val="401527FC"/>
    <w:rsid w:val="40181D19"/>
    <w:rsid w:val="40287DCE"/>
    <w:rsid w:val="40341C90"/>
    <w:rsid w:val="403A20FD"/>
    <w:rsid w:val="411E335F"/>
    <w:rsid w:val="41913B31"/>
    <w:rsid w:val="41A05B22"/>
    <w:rsid w:val="41C45387"/>
    <w:rsid w:val="421D447F"/>
    <w:rsid w:val="42775F1B"/>
    <w:rsid w:val="429F29D5"/>
    <w:rsid w:val="42C6780A"/>
    <w:rsid w:val="42E52B99"/>
    <w:rsid w:val="42EB54C2"/>
    <w:rsid w:val="4315253F"/>
    <w:rsid w:val="43DA6840"/>
    <w:rsid w:val="43DE654F"/>
    <w:rsid w:val="44613C8E"/>
    <w:rsid w:val="448D10B7"/>
    <w:rsid w:val="44BC2649"/>
    <w:rsid w:val="44D04DF5"/>
    <w:rsid w:val="44F1532A"/>
    <w:rsid w:val="45043047"/>
    <w:rsid w:val="450434B5"/>
    <w:rsid w:val="45823F45"/>
    <w:rsid w:val="458531CB"/>
    <w:rsid w:val="46407246"/>
    <w:rsid w:val="46475E61"/>
    <w:rsid w:val="471131FC"/>
    <w:rsid w:val="47170A0F"/>
    <w:rsid w:val="47597308"/>
    <w:rsid w:val="47681029"/>
    <w:rsid w:val="47A04ACD"/>
    <w:rsid w:val="47B94FAB"/>
    <w:rsid w:val="47D95850"/>
    <w:rsid w:val="493B6489"/>
    <w:rsid w:val="4961472A"/>
    <w:rsid w:val="49C66B17"/>
    <w:rsid w:val="4A104D37"/>
    <w:rsid w:val="4AB97C54"/>
    <w:rsid w:val="4AC15A82"/>
    <w:rsid w:val="4B894470"/>
    <w:rsid w:val="4B92297F"/>
    <w:rsid w:val="4BFE32A4"/>
    <w:rsid w:val="4C134BE6"/>
    <w:rsid w:val="4C4A06F4"/>
    <w:rsid w:val="4C7D093A"/>
    <w:rsid w:val="4D144003"/>
    <w:rsid w:val="4D1F53DB"/>
    <w:rsid w:val="4D597BFC"/>
    <w:rsid w:val="4D82136F"/>
    <w:rsid w:val="4DD5361B"/>
    <w:rsid w:val="4DDF79D2"/>
    <w:rsid w:val="4E1A20FE"/>
    <w:rsid w:val="4EC20ABF"/>
    <w:rsid w:val="4EDD2163"/>
    <w:rsid w:val="4F455F5A"/>
    <w:rsid w:val="4F6A3DC8"/>
    <w:rsid w:val="4F9D15E4"/>
    <w:rsid w:val="4FB33A55"/>
    <w:rsid w:val="502602D4"/>
    <w:rsid w:val="506A05A8"/>
    <w:rsid w:val="50C3317B"/>
    <w:rsid w:val="51687DFC"/>
    <w:rsid w:val="516C7C6C"/>
    <w:rsid w:val="524F77C2"/>
    <w:rsid w:val="525210BA"/>
    <w:rsid w:val="5331733B"/>
    <w:rsid w:val="53974AC8"/>
    <w:rsid w:val="53A35A5E"/>
    <w:rsid w:val="53CE0048"/>
    <w:rsid w:val="54B957B5"/>
    <w:rsid w:val="55467BB6"/>
    <w:rsid w:val="55CF6FBA"/>
    <w:rsid w:val="571C57F3"/>
    <w:rsid w:val="573B211D"/>
    <w:rsid w:val="5765468B"/>
    <w:rsid w:val="58240E03"/>
    <w:rsid w:val="585873AA"/>
    <w:rsid w:val="58F86605"/>
    <w:rsid w:val="59073951"/>
    <w:rsid w:val="59501632"/>
    <w:rsid w:val="597F1763"/>
    <w:rsid w:val="5A5958D9"/>
    <w:rsid w:val="5A785436"/>
    <w:rsid w:val="5ACB7804"/>
    <w:rsid w:val="5B333611"/>
    <w:rsid w:val="5B3475AF"/>
    <w:rsid w:val="5B653C1B"/>
    <w:rsid w:val="5BE16F07"/>
    <w:rsid w:val="5C127A6F"/>
    <w:rsid w:val="5C7A36E7"/>
    <w:rsid w:val="5CD85E7A"/>
    <w:rsid w:val="5CF705D0"/>
    <w:rsid w:val="5D544678"/>
    <w:rsid w:val="5D7A7717"/>
    <w:rsid w:val="5F48187B"/>
    <w:rsid w:val="5F99F6E4"/>
    <w:rsid w:val="5FAF18FA"/>
    <w:rsid w:val="604C4796"/>
    <w:rsid w:val="60C06C3D"/>
    <w:rsid w:val="60C17C25"/>
    <w:rsid w:val="60EA20B9"/>
    <w:rsid w:val="615C23C3"/>
    <w:rsid w:val="61766272"/>
    <w:rsid w:val="618D7A19"/>
    <w:rsid w:val="61DE2C30"/>
    <w:rsid w:val="628C4EBC"/>
    <w:rsid w:val="62CF5B11"/>
    <w:rsid w:val="62D13F91"/>
    <w:rsid w:val="62D2730F"/>
    <w:rsid w:val="63253197"/>
    <w:rsid w:val="6335216A"/>
    <w:rsid w:val="63CE2D93"/>
    <w:rsid w:val="63FF3C7C"/>
    <w:rsid w:val="640B3388"/>
    <w:rsid w:val="646053A7"/>
    <w:rsid w:val="647A6023"/>
    <w:rsid w:val="64A64951"/>
    <w:rsid w:val="64AD03D2"/>
    <w:rsid w:val="64B41760"/>
    <w:rsid w:val="654523B9"/>
    <w:rsid w:val="655A671B"/>
    <w:rsid w:val="65C34CC5"/>
    <w:rsid w:val="66205447"/>
    <w:rsid w:val="663B30B9"/>
    <w:rsid w:val="669D6FF3"/>
    <w:rsid w:val="675A65EF"/>
    <w:rsid w:val="67BF6A43"/>
    <w:rsid w:val="685A0E40"/>
    <w:rsid w:val="691774F7"/>
    <w:rsid w:val="69C47E81"/>
    <w:rsid w:val="69E63CF1"/>
    <w:rsid w:val="69E66F7F"/>
    <w:rsid w:val="6AA47B81"/>
    <w:rsid w:val="6AA77936"/>
    <w:rsid w:val="6AC24CDA"/>
    <w:rsid w:val="6B1E538B"/>
    <w:rsid w:val="6B6F018F"/>
    <w:rsid w:val="6B7859B5"/>
    <w:rsid w:val="6B881251"/>
    <w:rsid w:val="6BF126E9"/>
    <w:rsid w:val="6C4725B8"/>
    <w:rsid w:val="6CAD23B4"/>
    <w:rsid w:val="6CF959A5"/>
    <w:rsid w:val="6D9E6B0A"/>
    <w:rsid w:val="6E397C4F"/>
    <w:rsid w:val="6E6D3339"/>
    <w:rsid w:val="6E7B6D97"/>
    <w:rsid w:val="6EA6036C"/>
    <w:rsid w:val="6FCF744E"/>
    <w:rsid w:val="6FE86762"/>
    <w:rsid w:val="7015380A"/>
    <w:rsid w:val="70166B54"/>
    <w:rsid w:val="7031122B"/>
    <w:rsid w:val="70726596"/>
    <w:rsid w:val="70BE32C7"/>
    <w:rsid w:val="70DB4FE7"/>
    <w:rsid w:val="70F33611"/>
    <w:rsid w:val="71541C41"/>
    <w:rsid w:val="71564400"/>
    <w:rsid w:val="71973F9C"/>
    <w:rsid w:val="7199730E"/>
    <w:rsid w:val="7206286A"/>
    <w:rsid w:val="72FD495C"/>
    <w:rsid w:val="73011EF3"/>
    <w:rsid w:val="73027B3B"/>
    <w:rsid w:val="730E55D1"/>
    <w:rsid w:val="73330ED6"/>
    <w:rsid w:val="734E4912"/>
    <w:rsid w:val="738460E5"/>
    <w:rsid w:val="73892EDE"/>
    <w:rsid w:val="73C53042"/>
    <w:rsid w:val="73E01C2A"/>
    <w:rsid w:val="7426410F"/>
    <w:rsid w:val="743F175E"/>
    <w:rsid w:val="74723891"/>
    <w:rsid w:val="74912761"/>
    <w:rsid w:val="749409BF"/>
    <w:rsid w:val="74B51B1D"/>
    <w:rsid w:val="74BF6C55"/>
    <w:rsid w:val="75B93A72"/>
    <w:rsid w:val="75BE5B78"/>
    <w:rsid w:val="76363F76"/>
    <w:rsid w:val="76702C63"/>
    <w:rsid w:val="769F5144"/>
    <w:rsid w:val="76D65566"/>
    <w:rsid w:val="77020109"/>
    <w:rsid w:val="771A5453"/>
    <w:rsid w:val="77640DC4"/>
    <w:rsid w:val="77704DA8"/>
    <w:rsid w:val="77CB0B19"/>
    <w:rsid w:val="78052479"/>
    <w:rsid w:val="783A40EE"/>
    <w:rsid w:val="7856443F"/>
    <w:rsid w:val="787B63C5"/>
    <w:rsid w:val="78BC7A3E"/>
    <w:rsid w:val="78BF1A53"/>
    <w:rsid w:val="78D36201"/>
    <w:rsid w:val="78F63C9E"/>
    <w:rsid w:val="796230E1"/>
    <w:rsid w:val="79BF2E4B"/>
    <w:rsid w:val="79D80F60"/>
    <w:rsid w:val="79FA156C"/>
    <w:rsid w:val="7A737492"/>
    <w:rsid w:val="7A8A3C4A"/>
    <w:rsid w:val="7AE57B48"/>
    <w:rsid w:val="7AEC445C"/>
    <w:rsid w:val="7B510BD9"/>
    <w:rsid w:val="7B8B4B71"/>
    <w:rsid w:val="7B9559F0"/>
    <w:rsid w:val="7BD171F7"/>
    <w:rsid w:val="7C297558"/>
    <w:rsid w:val="7C310CB0"/>
    <w:rsid w:val="7C716ED4"/>
    <w:rsid w:val="7CCA4A1A"/>
    <w:rsid w:val="7CF86342"/>
    <w:rsid w:val="7CFE329D"/>
    <w:rsid w:val="7D3014EE"/>
    <w:rsid w:val="7DC437A0"/>
    <w:rsid w:val="7E0429B9"/>
    <w:rsid w:val="7EC77340"/>
    <w:rsid w:val="7EDA493C"/>
    <w:rsid w:val="7EFB0EB5"/>
    <w:rsid w:val="7F106850"/>
    <w:rsid w:val="7F196938"/>
    <w:rsid w:val="7F1E7AAB"/>
    <w:rsid w:val="7F5D4A77"/>
    <w:rsid w:val="7F71139D"/>
    <w:rsid w:val="7F71407E"/>
    <w:rsid w:val="7F7B6CAB"/>
    <w:rsid w:val="7F9F2AA4"/>
    <w:rsid w:val="7FBB635F"/>
    <w:rsid w:val="7FD50B06"/>
    <w:rsid w:val="AEBC8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6">
    <w:name w:val="heading 4"/>
    <w:basedOn w:val="1"/>
    <w:next w:val="1"/>
    <w:link w:val="66"/>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7"/>
    <w:qFormat/>
    <w:uiPriority w:val="0"/>
    <w:pPr>
      <w:keepNext/>
      <w:keepLines/>
      <w:spacing w:before="280" w:after="290" w:line="376" w:lineRule="auto"/>
      <w:outlineLvl w:val="4"/>
    </w:pPr>
    <w:rPr>
      <w:b/>
      <w:sz w:val="28"/>
    </w:rPr>
  </w:style>
  <w:style w:type="paragraph" w:styleId="9">
    <w:name w:val="heading 6"/>
    <w:basedOn w:val="1"/>
    <w:next w:val="8"/>
    <w:link w:val="69"/>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0"/>
    <w:qFormat/>
    <w:uiPriority w:val="99"/>
    <w:pPr>
      <w:keepNext/>
      <w:keepLines/>
      <w:spacing w:before="240" w:after="64" w:line="320" w:lineRule="auto"/>
      <w:outlineLvl w:val="6"/>
    </w:pPr>
    <w:rPr>
      <w:b/>
      <w:sz w:val="24"/>
    </w:rPr>
  </w:style>
  <w:style w:type="paragraph" w:styleId="11">
    <w:name w:val="heading 8"/>
    <w:basedOn w:val="1"/>
    <w:next w:val="8"/>
    <w:link w:val="71"/>
    <w:qFormat/>
    <w:uiPriority w:val="99"/>
    <w:pPr>
      <w:keepNext/>
      <w:keepLines/>
      <w:spacing w:before="240" w:after="64" w:line="320" w:lineRule="auto"/>
      <w:outlineLvl w:val="7"/>
    </w:pPr>
    <w:rPr>
      <w:rFonts w:ascii="Arial" w:hAnsi="Arial" w:eastAsia="黑体"/>
      <w:sz w:val="24"/>
    </w:rPr>
  </w:style>
  <w:style w:type="paragraph" w:styleId="12">
    <w:name w:val="heading 9"/>
    <w:basedOn w:val="1"/>
    <w:next w:val="8"/>
    <w:link w:val="72"/>
    <w:qFormat/>
    <w:uiPriority w:val="99"/>
    <w:pPr>
      <w:keepNext/>
      <w:keepLines/>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83"/>
    <w:qFormat/>
    <w:uiPriority w:val="0"/>
    <w:pPr>
      <w:tabs>
        <w:tab w:val="center" w:pos="4153"/>
        <w:tab w:val="right" w:pos="8306"/>
      </w:tabs>
      <w:snapToGrid w:val="0"/>
      <w:jc w:val="left"/>
    </w:pPr>
    <w:rPr>
      <w:sz w:val="18"/>
      <w:szCs w:val="18"/>
    </w:rPr>
  </w:style>
  <w:style w:type="paragraph" w:styleId="8">
    <w:name w:val="Normal Indent"/>
    <w:basedOn w:val="1"/>
    <w:link w:val="68"/>
    <w:qFormat/>
    <w:uiPriority w:val="99"/>
    <w:pPr>
      <w:ind w:firstLine="420"/>
    </w:pPr>
    <w:rPr>
      <w:szCs w:val="20"/>
    </w:rPr>
  </w:style>
  <w:style w:type="paragraph" w:styleId="13">
    <w:name w:val="toc 7"/>
    <w:basedOn w:val="1"/>
    <w:next w:val="1"/>
    <w:qFormat/>
    <w:uiPriority w:val="99"/>
    <w:pPr>
      <w:spacing w:line="360" w:lineRule="auto"/>
      <w:ind w:left="1440"/>
      <w:jc w:val="left"/>
    </w:pPr>
    <w:rPr>
      <w:rFonts w:ascii="Calibri" w:hAnsi="Calibri"/>
      <w:sz w:val="20"/>
      <w:szCs w:val="20"/>
    </w:rPr>
  </w:style>
  <w:style w:type="paragraph" w:styleId="14">
    <w:name w:val="table of authorities"/>
    <w:basedOn w:val="1"/>
    <w:next w:val="1"/>
    <w:link w:val="73"/>
    <w:semiHidden/>
    <w:qFormat/>
    <w:uiPriority w:val="0"/>
    <w:pPr>
      <w:ind w:left="420" w:leftChars="200"/>
    </w:pPr>
  </w:style>
  <w:style w:type="paragraph" w:styleId="15">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99"/>
    <w:pPr>
      <w:spacing w:before="152" w:after="160"/>
    </w:pPr>
    <w:rPr>
      <w:rFonts w:ascii="Arial" w:hAnsi="Arial" w:eastAsia="黑体" w:cs="Arial"/>
      <w:sz w:val="20"/>
      <w:szCs w:val="20"/>
    </w:rPr>
  </w:style>
  <w:style w:type="paragraph" w:styleId="17">
    <w:name w:val="Document Map"/>
    <w:basedOn w:val="1"/>
    <w:link w:val="74"/>
    <w:semiHidden/>
    <w:qFormat/>
    <w:uiPriority w:val="99"/>
    <w:pPr>
      <w:shd w:val="clear" w:color="auto" w:fill="000080"/>
    </w:pPr>
  </w:style>
  <w:style w:type="paragraph" w:styleId="18">
    <w:name w:val="annotation text"/>
    <w:basedOn w:val="1"/>
    <w:link w:val="75"/>
    <w:qFormat/>
    <w:uiPriority w:val="99"/>
    <w:pPr>
      <w:jc w:val="left"/>
    </w:pPr>
  </w:style>
  <w:style w:type="paragraph" w:styleId="19">
    <w:name w:val="Body Text 3"/>
    <w:basedOn w:val="1"/>
    <w:link w:val="76"/>
    <w:qFormat/>
    <w:uiPriority w:val="0"/>
    <w:pPr>
      <w:spacing w:line="500" w:lineRule="exact"/>
    </w:pPr>
    <w:rPr>
      <w:b/>
      <w:bCs/>
      <w:sz w:val="24"/>
    </w:rPr>
  </w:style>
  <w:style w:type="paragraph" w:styleId="20">
    <w:name w:val="Body Text"/>
    <w:basedOn w:val="1"/>
    <w:next w:val="21"/>
    <w:link w:val="62"/>
    <w:qFormat/>
    <w:uiPriority w:val="99"/>
    <w:pPr>
      <w:spacing w:line="380" w:lineRule="exact"/>
    </w:pPr>
    <w:rPr>
      <w:sz w:val="24"/>
    </w:rPr>
  </w:style>
  <w:style w:type="paragraph" w:customStyle="1" w:styleId="21">
    <w:name w:val="Default"/>
    <w:next w:val="22"/>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 w:type="paragraph" w:styleId="22">
    <w:name w:val="Date"/>
    <w:basedOn w:val="1"/>
    <w:next w:val="1"/>
    <w:link w:val="79"/>
    <w:qFormat/>
    <w:uiPriority w:val="99"/>
    <w:pPr>
      <w:ind w:left="100" w:leftChars="2500"/>
    </w:pPr>
    <w:rPr>
      <w:rFonts w:ascii="宋体" w:hAnsi="Courier New" w:cs="Courier New"/>
      <w:szCs w:val="21"/>
    </w:rPr>
  </w:style>
  <w:style w:type="paragraph" w:styleId="23">
    <w:name w:val="Body Text Indent"/>
    <w:basedOn w:val="1"/>
    <w:link w:val="77"/>
    <w:qFormat/>
    <w:uiPriority w:val="99"/>
    <w:pPr>
      <w:ind w:firstLine="830" w:firstLineChars="352"/>
    </w:pPr>
    <w:rPr>
      <w:rFonts w:ascii="仿宋_GB2312" w:eastAsia="仿宋_GB2312"/>
      <w:sz w:val="32"/>
      <w:szCs w:val="20"/>
    </w:rPr>
  </w:style>
  <w:style w:type="paragraph" w:styleId="24">
    <w:name w:val="List Number 3"/>
    <w:basedOn w:val="1"/>
    <w:qFormat/>
    <w:uiPriority w:val="99"/>
    <w:pPr>
      <w:tabs>
        <w:tab w:val="left" w:pos="360"/>
      </w:tabs>
      <w:ind w:left="360" w:hanging="360"/>
    </w:pPr>
  </w:style>
  <w:style w:type="paragraph" w:styleId="25">
    <w:name w:val="List 2"/>
    <w:basedOn w:val="1"/>
    <w:qFormat/>
    <w:uiPriority w:val="99"/>
    <w:pPr>
      <w:ind w:left="100" w:leftChars="200" w:hanging="200" w:hangingChars="200"/>
    </w:pPr>
    <w:rPr>
      <w:sz w:val="28"/>
    </w:rPr>
  </w:style>
  <w:style w:type="paragraph" w:styleId="26">
    <w:name w:val="toc 5"/>
    <w:basedOn w:val="1"/>
    <w:next w:val="1"/>
    <w:qFormat/>
    <w:uiPriority w:val="99"/>
    <w:pPr>
      <w:spacing w:line="360" w:lineRule="auto"/>
      <w:ind w:left="960"/>
      <w:jc w:val="left"/>
    </w:pPr>
    <w:rPr>
      <w:rFonts w:ascii="Calibri" w:hAnsi="Calibri"/>
      <w:sz w:val="20"/>
      <w:szCs w:val="20"/>
    </w:rPr>
  </w:style>
  <w:style w:type="paragraph" w:styleId="27">
    <w:name w:val="toc 3"/>
    <w:basedOn w:val="1"/>
    <w:next w:val="1"/>
    <w:qFormat/>
    <w:uiPriority w:val="99"/>
    <w:pPr>
      <w:ind w:left="840" w:leftChars="400"/>
    </w:pPr>
  </w:style>
  <w:style w:type="paragraph" w:styleId="28">
    <w:name w:val="Plain Text"/>
    <w:basedOn w:val="1"/>
    <w:link w:val="78"/>
    <w:qFormat/>
    <w:uiPriority w:val="0"/>
    <w:rPr>
      <w:rFonts w:ascii="宋体" w:hAnsi="Courier New" w:cs="Courier New"/>
      <w:szCs w:val="21"/>
    </w:rPr>
  </w:style>
  <w:style w:type="paragraph" w:styleId="29">
    <w:name w:val="toc 8"/>
    <w:basedOn w:val="1"/>
    <w:next w:val="1"/>
    <w:qFormat/>
    <w:uiPriority w:val="99"/>
    <w:pPr>
      <w:spacing w:line="360" w:lineRule="auto"/>
      <w:ind w:left="1680"/>
      <w:jc w:val="left"/>
    </w:pPr>
    <w:rPr>
      <w:rFonts w:ascii="Calibri" w:hAnsi="Calibri"/>
      <w:sz w:val="20"/>
      <w:szCs w:val="20"/>
    </w:rPr>
  </w:style>
  <w:style w:type="paragraph" w:styleId="30">
    <w:name w:val="Body Text Indent 2"/>
    <w:basedOn w:val="1"/>
    <w:link w:val="80"/>
    <w:qFormat/>
    <w:uiPriority w:val="99"/>
    <w:pPr>
      <w:ind w:firstLine="630"/>
    </w:pPr>
    <w:rPr>
      <w:sz w:val="32"/>
      <w:szCs w:val="20"/>
    </w:rPr>
  </w:style>
  <w:style w:type="paragraph" w:styleId="31">
    <w:name w:val="endnote text"/>
    <w:basedOn w:val="1"/>
    <w:link w:val="81"/>
    <w:qFormat/>
    <w:uiPriority w:val="99"/>
    <w:pPr>
      <w:snapToGrid w:val="0"/>
      <w:spacing w:line="480" w:lineRule="exact"/>
      <w:jc w:val="left"/>
    </w:pPr>
    <w:rPr>
      <w:rFonts w:ascii="微软雅黑" w:hAnsi="微软雅黑" w:eastAsia="微软雅黑"/>
      <w:kern w:val="0"/>
      <w:sz w:val="20"/>
      <w:szCs w:val="20"/>
    </w:rPr>
  </w:style>
  <w:style w:type="paragraph" w:styleId="32">
    <w:name w:val="Balloon Text"/>
    <w:basedOn w:val="1"/>
    <w:link w:val="82"/>
    <w:qFormat/>
    <w:uiPriority w:val="99"/>
    <w:rPr>
      <w:sz w:val="18"/>
      <w:szCs w:val="18"/>
    </w:rPr>
  </w:style>
  <w:style w:type="paragraph" w:styleId="33">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link w:val="85"/>
    <w:qFormat/>
    <w:uiPriority w:val="39"/>
  </w:style>
  <w:style w:type="paragraph" w:styleId="35">
    <w:name w:val="toc 4"/>
    <w:basedOn w:val="1"/>
    <w:next w:val="1"/>
    <w:qFormat/>
    <w:uiPriority w:val="99"/>
    <w:pPr>
      <w:spacing w:line="360" w:lineRule="auto"/>
      <w:ind w:left="720"/>
      <w:jc w:val="left"/>
    </w:pPr>
    <w:rPr>
      <w:rFonts w:ascii="Calibri" w:hAnsi="Calibri"/>
      <w:sz w:val="20"/>
      <w:szCs w:val="20"/>
    </w:rPr>
  </w:style>
  <w:style w:type="paragraph" w:styleId="36">
    <w:name w:val="Subtitle"/>
    <w:basedOn w:val="1"/>
    <w:next w:val="1"/>
    <w:link w:val="86"/>
    <w:qFormat/>
    <w:uiPriority w:val="99"/>
    <w:pPr>
      <w:widowControl/>
      <w:spacing w:after="200" w:line="276" w:lineRule="auto"/>
      <w:jc w:val="left"/>
    </w:pPr>
    <w:rPr>
      <w:rFonts w:ascii="Cambria" w:hAnsi="Cambria"/>
      <w:i/>
      <w:iCs/>
      <w:color w:val="4F81BD"/>
      <w:spacing w:val="15"/>
      <w:kern w:val="0"/>
      <w:sz w:val="20"/>
      <w:szCs w:val="20"/>
    </w:rPr>
  </w:style>
  <w:style w:type="paragraph" w:styleId="37">
    <w:name w:val="List"/>
    <w:basedOn w:val="1"/>
    <w:qFormat/>
    <w:uiPriority w:val="99"/>
    <w:pPr>
      <w:ind w:left="200" w:hanging="200" w:hangingChars="200"/>
    </w:pPr>
    <w:rPr>
      <w:sz w:val="28"/>
    </w:rPr>
  </w:style>
  <w:style w:type="paragraph" w:styleId="38">
    <w:name w:val="footnote text"/>
    <w:basedOn w:val="1"/>
    <w:link w:val="87"/>
    <w:qFormat/>
    <w:uiPriority w:val="99"/>
    <w:pPr>
      <w:snapToGrid w:val="0"/>
      <w:spacing w:afterLines="50" w:line="360" w:lineRule="auto"/>
      <w:jc w:val="left"/>
    </w:pPr>
    <w:rPr>
      <w:rFonts w:ascii="Arial" w:hAnsi="Arial" w:cs="Arial"/>
      <w:kern w:val="0"/>
      <w:sz w:val="18"/>
      <w:szCs w:val="18"/>
    </w:rPr>
  </w:style>
  <w:style w:type="paragraph" w:styleId="39">
    <w:name w:val="toc 6"/>
    <w:basedOn w:val="1"/>
    <w:next w:val="1"/>
    <w:qFormat/>
    <w:uiPriority w:val="99"/>
    <w:pPr>
      <w:spacing w:line="360" w:lineRule="auto"/>
      <w:ind w:left="1200"/>
      <w:jc w:val="left"/>
    </w:pPr>
    <w:rPr>
      <w:rFonts w:ascii="Calibri" w:hAnsi="Calibri"/>
      <w:sz w:val="20"/>
      <w:szCs w:val="20"/>
    </w:rPr>
  </w:style>
  <w:style w:type="paragraph" w:styleId="40">
    <w:name w:val="Body Text Indent 3"/>
    <w:basedOn w:val="1"/>
    <w:link w:val="88"/>
    <w:qFormat/>
    <w:uiPriority w:val="99"/>
    <w:pPr>
      <w:spacing w:after="120"/>
      <w:ind w:left="420" w:leftChars="200"/>
    </w:pPr>
    <w:rPr>
      <w:sz w:val="16"/>
      <w:szCs w:val="16"/>
    </w:rPr>
  </w:style>
  <w:style w:type="paragraph" w:styleId="41">
    <w:name w:val="toc 9"/>
    <w:basedOn w:val="1"/>
    <w:next w:val="1"/>
    <w:semiHidden/>
    <w:qFormat/>
    <w:uiPriority w:val="99"/>
    <w:pPr>
      <w:tabs>
        <w:tab w:val="right" w:leader="dot" w:pos="9185"/>
      </w:tabs>
      <w:spacing w:line="420" w:lineRule="exact"/>
      <w:ind w:firstLine="422"/>
      <w:jc w:val="left"/>
      <w:outlineLvl w:val="0"/>
    </w:pPr>
    <w:rPr>
      <w:b/>
    </w:rPr>
  </w:style>
  <w:style w:type="paragraph" w:styleId="42">
    <w:name w:val="Body Text 2"/>
    <w:basedOn w:val="1"/>
    <w:link w:val="89"/>
    <w:qFormat/>
    <w:uiPriority w:val="99"/>
    <w:pPr>
      <w:spacing w:after="120" w:line="480" w:lineRule="auto"/>
    </w:pPr>
  </w:style>
  <w:style w:type="paragraph" w:styleId="43">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99"/>
  </w:style>
  <w:style w:type="paragraph" w:styleId="46">
    <w:name w:val="Title"/>
    <w:basedOn w:val="1"/>
    <w:next w:val="1"/>
    <w:link w:val="91"/>
    <w:qFormat/>
    <w:uiPriority w:val="99"/>
    <w:pPr>
      <w:spacing w:line="300" w:lineRule="auto"/>
      <w:ind w:left="100" w:leftChars="100" w:right="100" w:rightChars="100"/>
      <w:jc w:val="left"/>
      <w:outlineLvl w:val="0"/>
    </w:pPr>
    <w:rPr>
      <w:rFonts w:ascii="Cambria" w:hAnsi="Cambria" w:eastAsia="方正小标宋_GBK"/>
      <w:b/>
      <w:bCs/>
      <w:kern w:val="0"/>
      <w:sz w:val="44"/>
      <w:szCs w:val="32"/>
    </w:rPr>
  </w:style>
  <w:style w:type="paragraph" w:styleId="47">
    <w:name w:val="annotation subject"/>
    <w:basedOn w:val="18"/>
    <w:next w:val="18"/>
    <w:link w:val="92"/>
    <w:qFormat/>
    <w:uiPriority w:val="99"/>
    <w:rPr>
      <w:b/>
      <w:bCs/>
    </w:rPr>
  </w:style>
  <w:style w:type="paragraph" w:styleId="48">
    <w:name w:val="Body Text First Indent 2"/>
    <w:basedOn w:val="23"/>
    <w:link w:val="93"/>
    <w:qFormat/>
    <w:uiPriority w:val="99"/>
    <w:pPr>
      <w:spacing w:after="120"/>
      <w:ind w:left="420" w:leftChars="200" w:firstLine="420" w:firstLineChars="200"/>
    </w:pPr>
    <w:rPr>
      <w:rFonts w:ascii="Times New Roman" w:eastAsia="宋体"/>
      <w:sz w:val="21"/>
      <w:szCs w:val="24"/>
    </w:r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Table Theme"/>
    <w:basedOn w:val="49"/>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endnote reference"/>
    <w:qFormat/>
    <w:uiPriority w:val="0"/>
    <w:rPr>
      <w:vertAlign w:val="superscript"/>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0"/>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paragraph" w:customStyle="1" w:styleId="61">
    <w:name w:val="DAS正文"/>
    <w:basedOn w:val="1"/>
    <w:qFormat/>
    <w:uiPriority w:val="0"/>
    <w:pPr>
      <w:ind w:right="181" w:firstLine="480"/>
    </w:pPr>
    <w:rPr>
      <w:rFonts w:ascii="Verdana" w:hAnsi="Verdana"/>
    </w:rPr>
  </w:style>
  <w:style w:type="character" w:customStyle="1" w:styleId="62">
    <w:name w:val="正文文本 字符"/>
    <w:link w:val="20"/>
    <w:qFormat/>
    <w:uiPriority w:val="99"/>
    <w:rPr>
      <w:kern w:val="2"/>
      <w:sz w:val="24"/>
      <w:szCs w:val="24"/>
    </w:rPr>
  </w:style>
  <w:style w:type="character" w:customStyle="1" w:styleId="63">
    <w:name w:val="标题 1 字符"/>
    <w:link w:val="3"/>
    <w:qFormat/>
    <w:uiPriority w:val="0"/>
    <w:rPr>
      <w:rFonts w:eastAsia="仿宋_GB2312"/>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5"/>
    <w:qFormat/>
    <w:uiPriority w:val="0"/>
    <w:rPr>
      <w:rFonts w:ascii="宋体" w:hAnsi="Courier New" w:eastAsia="宋体"/>
      <w:b/>
      <w:bCs/>
      <w:kern w:val="2"/>
      <w:sz w:val="32"/>
      <w:szCs w:val="32"/>
      <w:lang w:val="en-US" w:eastAsia="zh-CN" w:bidi="ar-SA"/>
    </w:rPr>
  </w:style>
  <w:style w:type="character" w:customStyle="1" w:styleId="66">
    <w:name w:val="标题 4 字符"/>
    <w:link w:val="6"/>
    <w:qFormat/>
    <w:locked/>
    <w:uiPriority w:val="9"/>
    <w:rPr>
      <w:rFonts w:ascii="Arial" w:hAnsi="Arial" w:eastAsia="黑体"/>
      <w:b/>
      <w:bCs/>
      <w:kern w:val="2"/>
      <w:sz w:val="28"/>
      <w:szCs w:val="28"/>
      <w:lang w:val="en-US" w:eastAsia="zh-CN" w:bidi="ar-SA"/>
    </w:rPr>
  </w:style>
  <w:style w:type="character" w:customStyle="1" w:styleId="67">
    <w:name w:val="标题 5 字符"/>
    <w:link w:val="7"/>
    <w:qFormat/>
    <w:locked/>
    <w:uiPriority w:val="0"/>
    <w:rPr>
      <w:rFonts w:eastAsia="宋体"/>
      <w:b/>
      <w:kern w:val="2"/>
      <w:sz w:val="28"/>
      <w:szCs w:val="24"/>
      <w:lang w:bidi="ar-SA"/>
    </w:rPr>
  </w:style>
  <w:style w:type="character" w:customStyle="1" w:styleId="68">
    <w:name w:val="正文缩进 字符"/>
    <w:link w:val="8"/>
    <w:qFormat/>
    <w:locked/>
    <w:uiPriority w:val="99"/>
    <w:rPr>
      <w:rFonts w:eastAsia="宋体"/>
      <w:kern w:val="2"/>
      <w:sz w:val="21"/>
      <w:lang w:val="en-US" w:eastAsia="zh-CN" w:bidi="ar-SA"/>
    </w:rPr>
  </w:style>
  <w:style w:type="character" w:customStyle="1" w:styleId="69">
    <w:name w:val="标题 6 字符"/>
    <w:link w:val="9"/>
    <w:qFormat/>
    <w:locked/>
    <w:uiPriority w:val="0"/>
    <w:rPr>
      <w:rFonts w:ascii="Arial" w:hAnsi="Arial" w:eastAsia="黑体"/>
      <w:b/>
      <w:kern w:val="2"/>
      <w:sz w:val="24"/>
      <w:szCs w:val="24"/>
      <w:lang w:bidi="ar-SA"/>
    </w:rPr>
  </w:style>
  <w:style w:type="character" w:customStyle="1" w:styleId="70">
    <w:name w:val="标题 7 字符"/>
    <w:link w:val="10"/>
    <w:qFormat/>
    <w:locked/>
    <w:uiPriority w:val="99"/>
    <w:rPr>
      <w:rFonts w:eastAsia="宋体"/>
      <w:b/>
      <w:kern w:val="2"/>
      <w:sz w:val="24"/>
      <w:szCs w:val="24"/>
      <w:lang w:bidi="ar-SA"/>
    </w:rPr>
  </w:style>
  <w:style w:type="character" w:customStyle="1" w:styleId="71">
    <w:name w:val="标题 8 字符"/>
    <w:link w:val="11"/>
    <w:qFormat/>
    <w:locked/>
    <w:uiPriority w:val="99"/>
    <w:rPr>
      <w:rFonts w:ascii="Arial" w:hAnsi="Arial" w:eastAsia="黑体"/>
      <w:kern w:val="2"/>
      <w:sz w:val="24"/>
      <w:szCs w:val="24"/>
      <w:lang w:bidi="ar-SA"/>
    </w:rPr>
  </w:style>
  <w:style w:type="character" w:customStyle="1" w:styleId="72">
    <w:name w:val="标题 9 字符"/>
    <w:link w:val="12"/>
    <w:qFormat/>
    <w:locked/>
    <w:uiPriority w:val="99"/>
    <w:rPr>
      <w:rFonts w:ascii="Arial" w:hAnsi="Arial" w:eastAsia="黑体"/>
      <w:kern w:val="2"/>
      <w:sz w:val="21"/>
      <w:szCs w:val="24"/>
      <w:lang w:bidi="ar-SA"/>
    </w:rPr>
  </w:style>
  <w:style w:type="character" w:customStyle="1" w:styleId="73">
    <w:name w:val="引文目录 字符"/>
    <w:link w:val="14"/>
    <w:qFormat/>
    <w:uiPriority w:val="0"/>
    <w:rPr>
      <w:rFonts w:eastAsia="宋体"/>
      <w:kern w:val="2"/>
      <w:sz w:val="21"/>
      <w:szCs w:val="24"/>
      <w:lang w:val="en-US" w:eastAsia="zh-CN" w:bidi="ar-SA"/>
    </w:rPr>
  </w:style>
  <w:style w:type="character" w:customStyle="1" w:styleId="74">
    <w:name w:val="文档结构图 字符"/>
    <w:link w:val="17"/>
    <w:qFormat/>
    <w:locked/>
    <w:uiPriority w:val="99"/>
    <w:rPr>
      <w:rFonts w:eastAsia="宋体"/>
      <w:kern w:val="2"/>
      <w:sz w:val="21"/>
      <w:szCs w:val="24"/>
      <w:lang w:val="en-US" w:eastAsia="zh-CN" w:bidi="ar-SA"/>
    </w:rPr>
  </w:style>
  <w:style w:type="character" w:customStyle="1" w:styleId="75">
    <w:name w:val="批注文字 字符"/>
    <w:link w:val="18"/>
    <w:qFormat/>
    <w:locked/>
    <w:uiPriority w:val="99"/>
    <w:rPr>
      <w:rFonts w:eastAsia="宋体"/>
      <w:kern w:val="2"/>
      <w:sz w:val="21"/>
      <w:szCs w:val="24"/>
      <w:lang w:val="en-US" w:eastAsia="zh-CN" w:bidi="ar-SA"/>
    </w:rPr>
  </w:style>
  <w:style w:type="character" w:customStyle="1" w:styleId="76">
    <w:name w:val="正文文本 3 字符"/>
    <w:link w:val="19"/>
    <w:qFormat/>
    <w:uiPriority w:val="0"/>
    <w:rPr>
      <w:b/>
      <w:bCs/>
      <w:kern w:val="2"/>
      <w:sz w:val="24"/>
      <w:szCs w:val="24"/>
    </w:rPr>
  </w:style>
  <w:style w:type="character" w:customStyle="1" w:styleId="77">
    <w:name w:val="正文文本缩进 字符"/>
    <w:link w:val="23"/>
    <w:qFormat/>
    <w:uiPriority w:val="99"/>
    <w:rPr>
      <w:rFonts w:ascii="仿宋_GB2312" w:eastAsia="仿宋_GB2312"/>
      <w:kern w:val="2"/>
      <w:sz w:val="32"/>
      <w:lang w:val="en-US" w:eastAsia="zh-CN" w:bidi="ar-SA"/>
    </w:rPr>
  </w:style>
  <w:style w:type="character" w:customStyle="1" w:styleId="78">
    <w:name w:val="纯文本 字符1"/>
    <w:link w:val="28"/>
    <w:qFormat/>
    <w:uiPriority w:val="99"/>
    <w:rPr>
      <w:rFonts w:ascii="宋体" w:hAnsi="Courier New" w:eastAsia="宋体" w:cs="Courier New"/>
      <w:kern w:val="2"/>
      <w:sz w:val="21"/>
      <w:szCs w:val="21"/>
      <w:lang w:val="en-US" w:eastAsia="zh-CN" w:bidi="ar-SA"/>
    </w:rPr>
  </w:style>
  <w:style w:type="character" w:customStyle="1" w:styleId="79">
    <w:name w:val="日期 字符"/>
    <w:link w:val="22"/>
    <w:qFormat/>
    <w:locked/>
    <w:uiPriority w:val="99"/>
    <w:rPr>
      <w:rFonts w:ascii="宋体" w:hAnsi="Courier New" w:eastAsia="宋体" w:cs="Courier New"/>
      <w:kern w:val="2"/>
      <w:sz w:val="21"/>
      <w:szCs w:val="21"/>
      <w:lang w:val="en-US" w:eastAsia="zh-CN" w:bidi="ar-SA"/>
    </w:rPr>
  </w:style>
  <w:style w:type="character" w:customStyle="1" w:styleId="80">
    <w:name w:val="正文文本缩进 2 字符"/>
    <w:link w:val="30"/>
    <w:qFormat/>
    <w:uiPriority w:val="99"/>
    <w:rPr>
      <w:kern w:val="2"/>
      <w:sz w:val="32"/>
    </w:rPr>
  </w:style>
  <w:style w:type="character" w:customStyle="1" w:styleId="81">
    <w:name w:val="尾注文本 字符"/>
    <w:link w:val="31"/>
    <w:semiHidden/>
    <w:qFormat/>
    <w:locked/>
    <w:uiPriority w:val="99"/>
    <w:rPr>
      <w:rFonts w:ascii="微软雅黑" w:hAnsi="微软雅黑" w:eastAsia="微软雅黑"/>
      <w:lang w:bidi="ar-SA"/>
    </w:rPr>
  </w:style>
  <w:style w:type="character" w:customStyle="1" w:styleId="82">
    <w:name w:val="批注框文本 字符"/>
    <w:link w:val="32"/>
    <w:qFormat/>
    <w:locked/>
    <w:uiPriority w:val="99"/>
    <w:rPr>
      <w:rFonts w:eastAsia="宋体"/>
      <w:kern w:val="2"/>
      <w:sz w:val="18"/>
      <w:szCs w:val="18"/>
      <w:lang w:val="en-US" w:eastAsia="zh-CN" w:bidi="ar-SA"/>
    </w:rPr>
  </w:style>
  <w:style w:type="character" w:customStyle="1" w:styleId="83">
    <w:name w:val="页脚 字符"/>
    <w:link w:val="2"/>
    <w:qFormat/>
    <w:uiPriority w:val="99"/>
    <w:rPr>
      <w:rFonts w:eastAsia="宋体"/>
      <w:kern w:val="2"/>
      <w:sz w:val="18"/>
      <w:szCs w:val="18"/>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TOC 1 字符"/>
    <w:link w:val="34"/>
    <w:qFormat/>
    <w:uiPriority w:val="39"/>
    <w:rPr>
      <w:kern w:val="2"/>
      <w:sz w:val="21"/>
      <w:szCs w:val="24"/>
    </w:rPr>
  </w:style>
  <w:style w:type="character" w:customStyle="1" w:styleId="86">
    <w:name w:val="副标题 字符"/>
    <w:link w:val="36"/>
    <w:qFormat/>
    <w:locked/>
    <w:uiPriority w:val="99"/>
    <w:rPr>
      <w:rFonts w:ascii="Cambria" w:hAnsi="Cambria" w:eastAsia="宋体"/>
      <w:i/>
      <w:iCs/>
      <w:color w:val="4F81BD"/>
      <w:spacing w:val="15"/>
      <w:lang w:bidi="ar-SA"/>
    </w:rPr>
  </w:style>
  <w:style w:type="character" w:customStyle="1" w:styleId="87">
    <w:name w:val="脚注文本 字符"/>
    <w:link w:val="38"/>
    <w:qFormat/>
    <w:locked/>
    <w:uiPriority w:val="99"/>
    <w:rPr>
      <w:rFonts w:ascii="Arial" w:hAnsi="Arial" w:eastAsia="宋体" w:cs="Arial"/>
      <w:sz w:val="18"/>
      <w:szCs w:val="18"/>
      <w:lang w:bidi="ar-SA"/>
    </w:rPr>
  </w:style>
  <w:style w:type="character" w:customStyle="1" w:styleId="88">
    <w:name w:val="正文文本缩进 3 字符"/>
    <w:link w:val="40"/>
    <w:qFormat/>
    <w:uiPriority w:val="99"/>
    <w:rPr>
      <w:rFonts w:eastAsia="宋体"/>
      <w:kern w:val="2"/>
      <w:sz w:val="16"/>
      <w:szCs w:val="16"/>
      <w:lang w:val="en-US" w:eastAsia="zh-CN" w:bidi="ar-SA"/>
    </w:rPr>
  </w:style>
  <w:style w:type="character" w:customStyle="1" w:styleId="89">
    <w:name w:val="正文文本 2 字符"/>
    <w:link w:val="42"/>
    <w:qFormat/>
    <w:uiPriority w:val="99"/>
    <w:rPr>
      <w:kern w:val="2"/>
      <w:sz w:val="21"/>
      <w:szCs w:val="24"/>
    </w:rPr>
  </w:style>
  <w:style w:type="character" w:customStyle="1" w:styleId="90">
    <w:name w:val="HTML 预设格式 字符"/>
    <w:link w:val="43"/>
    <w:qFormat/>
    <w:locked/>
    <w:uiPriority w:val="0"/>
    <w:rPr>
      <w:rFonts w:ascii="Arial" w:hAnsi="Arial" w:cs="Arial"/>
      <w:lang w:bidi="ar-SA"/>
    </w:rPr>
  </w:style>
  <w:style w:type="character" w:customStyle="1" w:styleId="91">
    <w:name w:val="标题 字符"/>
    <w:link w:val="46"/>
    <w:qFormat/>
    <w:locked/>
    <w:uiPriority w:val="99"/>
    <w:rPr>
      <w:rFonts w:ascii="Cambria" w:hAnsi="Cambria" w:eastAsia="方正小标宋_GBK"/>
      <w:b/>
      <w:bCs/>
      <w:sz w:val="44"/>
      <w:szCs w:val="32"/>
    </w:rPr>
  </w:style>
  <w:style w:type="character" w:customStyle="1" w:styleId="92">
    <w:name w:val="批注主题 字符"/>
    <w:link w:val="47"/>
    <w:qFormat/>
    <w:locked/>
    <w:uiPriority w:val="99"/>
    <w:rPr>
      <w:rFonts w:eastAsia="宋体"/>
      <w:b/>
      <w:bCs/>
      <w:kern w:val="2"/>
      <w:sz w:val="21"/>
      <w:szCs w:val="24"/>
      <w:lang w:val="en-US" w:eastAsia="zh-CN" w:bidi="ar-SA"/>
    </w:rPr>
  </w:style>
  <w:style w:type="character" w:customStyle="1" w:styleId="93">
    <w:name w:val="正文文本首行缩进 2 字符"/>
    <w:link w:val="48"/>
    <w:qFormat/>
    <w:uiPriority w:val="99"/>
    <w:rPr>
      <w:rFonts w:ascii="仿宋_GB2312" w:eastAsia="仿宋_GB2312"/>
      <w:kern w:val="2"/>
      <w:sz w:val="21"/>
      <w:szCs w:val="24"/>
      <w:lang w:val="en-US" w:eastAsia="zh-CN" w:bidi="ar-SA"/>
    </w:rPr>
  </w:style>
  <w:style w:type="character" w:customStyle="1" w:styleId="94">
    <w:name w:val="OK Char1"/>
    <w:link w:val="95"/>
    <w:qFormat/>
    <w:locked/>
    <w:uiPriority w:val="0"/>
    <w:rPr>
      <w:rFonts w:ascii="宋体" w:hAnsi="宋体" w:eastAsia="宋体"/>
      <w:bCs/>
      <w:lang w:bidi="ar-SA"/>
    </w:rPr>
  </w:style>
  <w:style w:type="paragraph" w:customStyle="1" w:styleId="95">
    <w:name w:val="OK"/>
    <w:basedOn w:val="1"/>
    <w:link w:val="94"/>
    <w:qFormat/>
    <w:uiPriority w:val="0"/>
    <w:pPr>
      <w:jc w:val="left"/>
    </w:pPr>
    <w:rPr>
      <w:rFonts w:ascii="宋体" w:hAnsi="宋体"/>
      <w:bCs/>
      <w:kern w:val="0"/>
      <w:sz w:val="20"/>
      <w:szCs w:val="20"/>
    </w:rPr>
  </w:style>
  <w:style w:type="character" w:customStyle="1" w:styleId="96">
    <w:name w:val="Char Char21"/>
    <w:qFormat/>
    <w:locked/>
    <w:uiPriority w:val="0"/>
    <w:rPr>
      <w:rFonts w:ascii="Arial" w:hAnsi="Arial" w:eastAsia="微软雅黑"/>
      <w:b/>
      <w:sz w:val="28"/>
      <w:szCs w:val="28"/>
      <w:lang w:bidi="ar-SA"/>
    </w:rPr>
  </w:style>
  <w:style w:type="character" w:customStyle="1" w:styleId="97">
    <w:name w:val="1ji Char"/>
    <w:link w:val="98"/>
    <w:qFormat/>
    <w:uiPriority w:val="0"/>
    <w:rPr>
      <w:rFonts w:ascii="宋体" w:hAnsi="宋体" w:eastAsia="仿宋_GB2312"/>
      <w:b/>
      <w:bCs/>
      <w:kern w:val="44"/>
      <w:sz w:val="36"/>
      <w:szCs w:val="44"/>
      <w:lang w:val="en-US" w:eastAsia="zh-CN" w:bidi="ar-SA"/>
    </w:rPr>
  </w:style>
  <w:style w:type="paragraph" w:customStyle="1" w:styleId="98">
    <w:name w:val="1ji"/>
    <w:basedOn w:val="3"/>
    <w:link w:val="97"/>
    <w:qFormat/>
    <w:uiPriority w:val="0"/>
    <w:pPr>
      <w:keepLines w:val="0"/>
      <w:widowControl/>
      <w:spacing w:before="0" w:after="0" w:line="240" w:lineRule="auto"/>
    </w:pPr>
    <w:rPr>
      <w:rFonts w:ascii="宋体" w:hAnsi="宋体"/>
      <w:sz w:val="36"/>
    </w:rPr>
  </w:style>
  <w:style w:type="character" w:customStyle="1" w:styleId="99">
    <w:name w:val="Heading 3 Char"/>
    <w:qFormat/>
    <w:locked/>
    <w:uiPriority w:val="0"/>
    <w:rPr>
      <w:rFonts w:ascii="Cambria" w:hAnsi="Cambria" w:eastAsia="宋体"/>
      <w:b/>
      <w:bCs/>
      <w:kern w:val="2"/>
      <w:sz w:val="24"/>
      <w:szCs w:val="32"/>
      <w:lang w:val="en-US" w:eastAsia="zh-CN" w:bidi="ar-SA"/>
    </w:rPr>
  </w:style>
  <w:style w:type="character" w:customStyle="1" w:styleId="100">
    <w:name w:val="明显强调1"/>
    <w:qFormat/>
    <w:uiPriority w:val="0"/>
    <w:rPr>
      <w:b/>
      <w:bCs/>
      <w:i/>
      <w:iCs/>
      <w:color w:val="4F81BD"/>
    </w:rPr>
  </w:style>
  <w:style w:type="character" w:customStyle="1" w:styleId="101">
    <w:name w:val="ca-72"/>
    <w:qFormat/>
    <w:uiPriority w:val="0"/>
  </w:style>
  <w:style w:type="character" w:customStyle="1" w:styleId="102">
    <w:name w:val="明显引用字符"/>
    <w:link w:val="103"/>
    <w:qFormat/>
    <w:locked/>
    <w:uiPriority w:val="0"/>
    <w:rPr>
      <w:rFonts w:ascii="Arial" w:hAnsi="Arial" w:cs="Arial"/>
      <w:b/>
      <w:bCs/>
      <w:i/>
      <w:iCs/>
      <w:color w:val="4F81BD"/>
      <w:lang w:bidi="ar-SA"/>
    </w:rPr>
  </w:style>
  <w:style w:type="paragraph" w:customStyle="1" w:styleId="103">
    <w:name w:val="明显引用1"/>
    <w:basedOn w:val="1"/>
    <w:next w:val="1"/>
    <w:link w:val="102"/>
    <w:qFormat/>
    <w:uiPriority w:val="0"/>
    <w:pPr>
      <w:pBdr>
        <w:bottom w:val="single" w:color="4F81BD" w:sz="4" w:space="4"/>
      </w:pBdr>
      <w:spacing w:before="200" w:line="360" w:lineRule="auto"/>
      <w:ind w:left="936" w:right="936"/>
      <w:jc w:val="left"/>
    </w:pPr>
    <w:rPr>
      <w:rFonts w:ascii="Arial" w:hAnsi="Arial" w:cs="Arial"/>
      <w:b/>
      <w:bCs/>
      <w:i/>
      <w:iCs/>
      <w:color w:val="4F81BD"/>
      <w:kern w:val="0"/>
      <w:sz w:val="20"/>
      <w:szCs w:val="20"/>
    </w:rPr>
  </w:style>
  <w:style w:type="character" w:customStyle="1" w:styleId="104">
    <w:name w:val="font201"/>
    <w:qFormat/>
    <w:uiPriority w:val="0"/>
    <w:rPr>
      <w:rFonts w:hint="default" w:ascii="Times New Roman" w:hAnsi="Times New Roman" w:cs="Times New Roman"/>
      <w:color w:val="000000"/>
      <w:sz w:val="21"/>
      <w:szCs w:val="21"/>
      <w:u w:val="none"/>
    </w:rPr>
  </w:style>
  <w:style w:type="character" w:customStyle="1" w:styleId="105">
    <w:name w:val="style31"/>
    <w:qFormat/>
    <w:uiPriority w:val="0"/>
    <w:rPr>
      <w:b/>
      <w:bCs/>
      <w:color w:val="FFFFFF"/>
    </w:rPr>
  </w:style>
  <w:style w:type="character" w:customStyle="1" w:styleId="106">
    <w:name w:val="GTA正文-2 Char Char"/>
    <w:qFormat/>
    <w:locked/>
    <w:uiPriority w:val="0"/>
    <w:rPr>
      <w:rFonts w:hint="default" w:ascii="Arial" w:hAnsi="Arial" w:eastAsia="微软雅黑" w:cs="Arial"/>
      <w:sz w:val="24"/>
    </w:rPr>
  </w:style>
  <w:style w:type="character" w:customStyle="1" w:styleId="107">
    <w:name w:val="GTA标题5 Char"/>
    <w:link w:val="108"/>
    <w:qFormat/>
    <w:locked/>
    <w:uiPriority w:val="0"/>
    <w:rPr>
      <w:rFonts w:ascii="Arial" w:hAnsi="Arial" w:eastAsia="楷体_GB2312"/>
      <w:b/>
      <w:bCs/>
      <w:sz w:val="21"/>
      <w:szCs w:val="21"/>
      <w:lang w:bidi="ar-SA"/>
    </w:rPr>
  </w:style>
  <w:style w:type="paragraph" w:customStyle="1" w:styleId="108">
    <w:name w:val="GTA标题5"/>
    <w:basedOn w:val="7"/>
    <w:link w:val="107"/>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109">
    <w:name w:val="Heading 1 Char"/>
    <w:qFormat/>
    <w:locked/>
    <w:uiPriority w:val="0"/>
    <w:rPr>
      <w:rFonts w:ascii="Arial" w:hAnsi="Arial" w:eastAsia="宋体"/>
      <w:b/>
      <w:bCs/>
      <w:kern w:val="44"/>
      <w:sz w:val="28"/>
      <w:szCs w:val="44"/>
      <w:lang w:val="zh-CN" w:eastAsia="zh-CN" w:bidi="ar-SA"/>
    </w:rPr>
  </w:style>
  <w:style w:type="character" w:customStyle="1" w:styleId="110">
    <w:name w:val="Char Char8"/>
    <w:qFormat/>
    <w:locked/>
    <w:uiPriority w:val="0"/>
    <w:rPr>
      <w:rFonts w:ascii="宋体" w:hAnsi="宋体" w:eastAsia="宋体"/>
      <w:kern w:val="2"/>
      <w:sz w:val="21"/>
      <w:szCs w:val="24"/>
      <w:lang w:val="en-US" w:eastAsia="zh-CN" w:bidi="ar-SA"/>
    </w:rPr>
  </w:style>
  <w:style w:type="character" w:customStyle="1" w:styleId="111">
    <w:name w:val="font31"/>
    <w:qFormat/>
    <w:uiPriority w:val="0"/>
    <w:rPr>
      <w:rFonts w:ascii="宋体" w:hAnsi="宋体" w:eastAsia="宋体" w:cs="宋体"/>
      <w:color w:val="000000"/>
      <w:sz w:val="20"/>
      <w:szCs w:val="20"/>
      <w:u w:val="none"/>
    </w:rPr>
  </w:style>
  <w:style w:type="character" w:customStyle="1" w:styleId="112">
    <w:name w:val="con"/>
    <w:qFormat/>
    <w:uiPriority w:val="0"/>
  </w:style>
  <w:style w:type="character" w:customStyle="1" w:styleId="113">
    <w:name w:val="apple-style-span"/>
    <w:qFormat/>
    <w:uiPriority w:val="0"/>
  </w:style>
  <w:style w:type="character" w:customStyle="1" w:styleId="114">
    <w:name w:val="15"/>
    <w:qFormat/>
    <w:uiPriority w:val="0"/>
    <w:rPr>
      <w:rFonts w:hint="default" w:ascii="Calibri" w:hAnsi="Calibri" w:cs="Calibri"/>
      <w:color w:val="000000"/>
      <w:sz w:val="21"/>
      <w:szCs w:val="21"/>
    </w:rPr>
  </w:style>
  <w:style w:type="character" w:customStyle="1" w:styleId="115">
    <w:name w:val="font11"/>
    <w:basedOn w:val="52"/>
    <w:qFormat/>
    <w:uiPriority w:val="0"/>
    <w:rPr>
      <w:rFonts w:ascii="宋体" w:hAnsi="宋体" w:eastAsia="宋体" w:cs="宋体"/>
      <w:color w:val="000000"/>
      <w:sz w:val="20"/>
      <w:szCs w:val="20"/>
      <w:u w:val="none"/>
    </w:rPr>
  </w:style>
  <w:style w:type="character" w:customStyle="1" w:styleId="116">
    <w:name w:val="NormalCharacter"/>
    <w:qFormat/>
    <w:uiPriority w:val="0"/>
  </w:style>
  <w:style w:type="character" w:customStyle="1" w:styleId="117">
    <w:name w:val="无间隔字符"/>
    <w:link w:val="118"/>
    <w:qFormat/>
    <w:locked/>
    <w:uiPriority w:val="99"/>
    <w:rPr>
      <w:rFonts w:ascii="Cambria" w:hAnsi="Cambria"/>
      <w:kern w:val="2"/>
      <w:sz w:val="21"/>
      <w:szCs w:val="22"/>
      <w:lang w:val="en-US" w:eastAsia="zh-CN" w:bidi="ar-SA"/>
    </w:rPr>
  </w:style>
  <w:style w:type="paragraph" w:customStyle="1" w:styleId="118">
    <w:name w:val="无间隔1"/>
    <w:link w:val="117"/>
    <w:qFormat/>
    <w:uiPriority w:val="99"/>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19">
    <w:name w:val="图注1 Char"/>
    <w:link w:val="120"/>
    <w:qFormat/>
    <w:locked/>
    <w:uiPriority w:val="0"/>
    <w:rPr>
      <w:rFonts w:ascii="Cambria" w:hAnsi="Cambria" w:eastAsia="宋体"/>
      <w:sz w:val="21"/>
      <w:szCs w:val="22"/>
      <w:lang w:bidi="ar-SA"/>
    </w:rPr>
  </w:style>
  <w:style w:type="paragraph" w:customStyle="1" w:styleId="120">
    <w:name w:val="图注1"/>
    <w:basedOn w:val="1"/>
    <w:link w:val="119"/>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1">
    <w:name w:val="GTA标题1 Char"/>
    <w:link w:val="122"/>
    <w:qFormat/>
    <w:locked/>
    <w:uiPriority w:val="0"/>
    <w:rPr>
      <w:rFonts w:ascii="Arial" w:hAnsi="Arial" w:eastAsia="黑体"/>
      <w:bCs/>
      <w:kern w:val="44"/>
      <w:sz w:val="44"/>
      <w:szCs w:val="44"/>
      <w:lang w:bidi="ar-SA"/>
    </w:rPr>
  </w:style>
  <w:style w:type="paragraph" w:customStyle="1" w:styleId="122">
    <w:name w:val="GTA标题1"/>
    <w:basedOn w:val="3"/>
    <w:link w:val="12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23">
    <w:name w:val="headline-content"/>
    <w:qFormat/>
    <w:uiPriority w:val="0"/>
  </w:style>
  <w:style w:type="character" w:customStyle="1" w:styleId="124">
    <w:name w:val="font21"/>
    <w:basedOn w:val="52"/>
    <w:qFormat/>
    <w:uiPriority w:val="0"/>
    <w:rPr>
      <w:rFonts w:ascii="宋体" w:hAnsi="宋体" w:eastAsia="宋体" w:cs="宋体"/>
      <w:color w:val="000000"/>
      <w:sz w:val="20"/>
      <w:szCs w:val="20"/>
      <w:u w:val="none"/>
    </w:rPr>
  </w:style>
  <w:style w:type="character" w:customStyle="1" w:styleId="125">
    <w:name w:val="特点1"/>
    <w:qFormat/>
    <w:uiPriority w:val="0"/>
  </w:style>
  <w:style w:type="character" w:customStyle="1" w:styleId="126">
    <w:name w:val="目录标题 字符"/>
    <w:link w:val="127"/>
    <w:qFormat/>
    <w:uiPriority w:val="0"/>
    <w:rPr>
      <w:rFonts w:eastAsia="方正小标宋_GBK"/>
      <w:b/>
      <w:kern w:val="2"/>
      <w:sz w:val="24"/>
      <w:szCs w:val="24"/>
    </w:rPr>
  </w:style>
  <w:style w:type="paragraph" w:customStyle="1" w:styleId="127">
    <w:name w:val="目录标题"/>
    <w:link w:val="126"/>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128">
    <w:name w:val="GTA正文-1 Char Char"/>
    <w:qFormat/>
    <w:locked/>
    <w:uiPriority w:val="0"/>
    <w:rPr>
      <w:rFonts w:hint="default" w:ascii="Arial" w:hAnsi="Arial" w:eastAsia="微软雅黑" w:cs="Arial"/>
      <w:sz w:val="24"/>
    </w:rPr>
  </w:style>
  <w:style w:type="character" w:customStyle="1" w:styleId="129">
    <w:name w:val="List Paragraph Char"/>
    <w:link w:val="130"/>
    <w:qFormat/>
    <w:locked/>
    <w:uiPriority w:val="0"/>
    <w:rPr>
      <w:rFonts w:ascii="Calibri" w:hAnsi="Calibri" w:eastAsia="宋体"/>
      <w:kern w:val="2"/>
      <w:sz w:val="21"/>
      <w:szCs w:val="22"/>
      <w:lang w:val="en-US" w:eastAsia="zh-CN" w:bidi="ar-SA"/>
    </w:rPr>
  </w:style>
  <w:style w:type="paragraph" w:customStyle="1" w:styleId="130">
    <w:name w:val="列出段落1"/>
    <w:basedOn w:val="1"/>
    <w:link w:val="129"/>
    <w:qFormat/>
    <w:uiPriority w:val="0"/>
    <w:pPr>
      <w:ind w:firstLine="420"/>
    </w:pPr>
    <w:rPr>
      <w:rFonts w:ascii="Calibri" w:hAnsi="Calibri"/>
      <w:szCs w:val="22"/>
    </w:rPr>
  </w:style>
  <w:style w:type="character" w:customStyle="1" w:styleId="131">
    <w:name w:val="03 Char"/>
    <w:link w:val="132"/>
    <w:qFormat/>
    <w:locked/>
    <w:uiPriority w:val="0"/>
    <w:rPr>
      <w:rFonts w:ascii="仿宋_GB2312" w:eastAsia="仿宋_GB2312"/>
      <w:b/>
      <w:sz w:val="28"/>
      <w:lang w:bidi="ar-SA"/>
    </w:rPr>
  </w:style>
  <w:style w:type="paragraph" w:customStyle="1" w:styleId="132">
    <w:name w:val="03"/>
    <w:basedOn w:val="1"/>
    <w:link w:val="131"/>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33">
    <w:name w:val="列表段落 字符"/>
    <w:link w:val="134"/>
    <w:qFormat/>
    <w:uiPriority w:val="0"/>
    <w:rPr>
      <w:rFonts w:eastAsia="宋体"/>
      <w:kern w:val="2"/>
      <w:sz w:val="21"/>
      <w:szCs w:val="24"/>
      <w:lang w:val="en-US" w:eastAsia="zh-CN" w:bidi="ar-SA"/>
    </w:rPr>
  </w:style>
  <w:style w:type="paragraph" w:styleId="134">
    <w:name w:val="List Paragraph"/>
    <w:basedOn w:val="1"/>
    <w:link w:val="133"/>
    <w:qFormat/>
    <w:uiPriority w:val="0"/>
    <w:pPr>
      <w:ind w:firstLine="420"/>
    </w:pPr>
  </w:style>
  <w:style w:type="character" w:customStyle="1" w:styleId="135">
    <w:name w:val="页脚 字符1"/>
    <w:semiHidden/>
    <w:qFormat/>
    <w:uiPriority w:val="99"/>
    <w:rPr>
      <w:rFonts w:ascii="Calibri" w:hAnsi="Calibri" w:eastAsia="宋体" w:cs="Times New Roman"/>
      <w:sz w:val="18"/>
      <w:szCs w:val="18"/>
    </w:rPr>
  </w:style>
  <w:style w:type="character" w:customStyle="1" w:styleId="136">
    <w:name w:val="普通文字 Char Char1"/>
    <w:qFormat/>
    <w:locked/>
    <w:uiPriority w:val="0"/>
    <w:rPr>
      <w:rFonts w:ascii="宋体" w:hAnsi="Courier New" w:eastAsia="宋体" w:cs="Courier New"/>
      <w:kern w:val="2"/>
      <w:sz w:val="21"/>
      <w:szCs w:val="21"/>
      <w:lang w:val="en-US" w:eastAsia="zh-CN" w:bidi="ar-SA"/>
    </w:rPr>
  </w:style>
  <w:style w:type="character" w:customStyle="1" w:styleId="137">
    <w:name w:val="浅色网格 - 强调文字颜色 3 Char"/>
    <w:link w:val="138"/>
    <w:qFormat/>
    <w:uiPriority w:val="0"/>
    <w:rPr>
      <w:rFonts w:ascii="Calibri" w:hAnsi="Calibri" w:eastAsia="宋体"/>
      <w:kern w:val="2"/>
      <w:sz w:val="21"/>
      <w:szCs w:val="22"/>
      <w:lang w:bidi="ar-SA"/>
    </w:rPr>
  </w:style>
  <w:style w:type="paragraph" w:customStyle="1" w:styleId="138">
    <w:name w:val="浅色网格 - 强调文字颜色 31"/>
    <w:basedOn w:val="1"/>
    <w:link w:val="137"/>
    <w:qFormat/>
    <w:uiPriority w:val="0"/>
    <w:pPr>
      <w:ind w:firstLine="420"/>
    </w:pPr>
    <w:rPr>
      <w:rFonts w:ascii="Calibri" w:hAnsi="Calibri"/>
      <w:szCs w:val="22"/>
    </w:rPr>
  </w:style>
  <w:style w:type="character" w:customStyle="1" w:styleId="139">
    <w:name w:val="批注文字 Char1"/>
    <w:qFormat/>
    <w:uiPriority w:val="0"/>
    <w:rPr>
      <w:kern w:val="2"/>
      <w:sz w:val="21"/>
      <w:szCs w:val="24"/>
    </w:rPr>
  </w:style>
  <w:style w:type="character" w:customStyle="1" w:styleId="140">
    <w:name w:val="Char Char2"/>
    <w:qFormat/>
    <w:locked/>
    <w:uiPriority w:val="0"/>
    <w:rPr>
      <w:rFonts w:ascii="Calibri" w:hAnsi="Calibri" w:eastAsia="宋体" w:cs="黑体"/>
      <w:kern w:val="2"/>
      <w:sz w:val="24"/>
      <w:szCs w:val="24"/>
      <w:lang w:val="en-US" w:eastAsia="zh-CN" w:bidi="ar-SA"/>
    </w:rPr>
  </w:style>
  <w:style w:type="character" w:customStyle="1" w:styleId="141">
    <w:name w:val="Char Char22"/>
    <w:qFormat/>
    <w:locked/>
    <w:uiPriority w:val="0"/>
    <w:rPr>
      <w:rFonts w:eastAsia="微软雅黑"/>
      <w:b/>
      <w:bCs/>
      <w:kern w:val="44"/>
      <w:sz w:val="36"/>
      <w:szCs w:val="36"/>
      <w:lang w:bidi="ar-SA"/>
    </w:rPr>
  </w:style>
  <w:style w:type="character" w:customStyle="1" w:styleId="142">
    <w:name w:val="Char Char19"/>
    <w:qFormat/>
    <w:locked/>
    <w:uiPriority w:val="0"/>
    <w:rPr>
      <w:rFonts w:ascii="Arial" w:hAnsi="Arial" w:eastAsia="微软雅黑"/>
      <w:b/>
      <w:bCs/>
      <w:color w:val="0070C0"/>
      <w:szCs w:val="28"/>
      <w:lang w:bidi="ar-SA"/>
    </w:rPr>
  </w:style>
  <w:style w:type="character" w:customStyle="1" w:styleId="143">
    <w:name w:val="Char Char6"/>
    <w:qFormat/>
    <w:locked/>
    <w:uiPriority w:val="0"/>
    <w:rPr>
      <w:sz w:val="18"/>
      <w:szCs w:val="18"/>
      <w:lang w:bidi="ar-SA"/>
    </w:rPr>
  </w:style>
  <w:style w:type="character" w:customStyle="1" w:styleId="144">
    <w:name w:val="Footer Char"/>
    <w:qFormat/>
    <w:locked/>
    <w:uiPriority w:val="0"/>
    <w:rPr>
      <w:rFonts w:ascii="Cambria" w:hAnsi="Cambria" w:eastAsia="宋体"/>
      <w:kern w:val="2"/>
      <w:sz w:val="18"/>
      <w:szCs w:val="18"/>
      <w:lang w:val="en-US" w:eastAsia="zh-CN" w:bidi="ar-SA"/>
    </w:rPr>
  </w:style>
  <w:style w:type="character" w:customStyle="1" w:styleId="145">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46">
    <w:name w:val="书籍标题1"/>
    <w:qFormat/>
    <w:uiPriority w:val="0"/>
    <w:rPr>
      <w:b/>
      <w:bCs/>
      <w:smallCaps/>
      <w:spacing w:val="5"/>
    </w:rPr>
  </w:style>
  <w:style w:type="character" w:customStyle="1" w:styleId="147">
    <w:name w:val="Char Char4"/>
    <w:qFormat/>
    <w:uiPriority w:val="0"/>
    <w:rPr>
      <w:rFonts w:eastAsia="宋体"/>
      <w:kern w:val="2"/>
      <w:sz w:val="21"/>
      <w:szCs w:val="24"/>
      <w:lang w:val="en-US" w:eastAsia="zh-CN" w:bidi="ar-SA"/>
    </w:rPr>
  </w:style>
  <w:style w:type="character" w:customStyle="1" w:styleId="148">
    <w:name w:val="纯文本 Char"/>
    <w:qFormat/>
    <w:uiPriority w:val="0"/>
    <w:rPr>
      <w:rFonts w:ascii="宋体" w:hAnsi="Courier New"/>
    </w:rPr>
  </w:style>
  <w:style w:type="character" w:customStyle="1" w:styleId="149">
    <w:name w:val="GTA标题2 Char"/>
    <w:qFormat/>
    <w:uiPriority w:val="0"/>
    <w:rPr>
      <w:rFonts w:hint="default" w:ascii="Arial" w:hAnsi="Arial" w:eastAsia="黑体" w:cs="Arial"/>
      <w:bCs/>
      <w:kern w:val="2"/>
      <w:sz w:val="30"/>
      <w:szCs w:val="30"/>
    </w:rPr>
  </w:style>
  <w:style w:type="character" w:customStyle="1" w:styleId="150">
    <w:name w:val="列出段落 Char"/>
    <w:qFormat/>
    <w:locked/>
    <w:uiPriority w:val="0"/>
    <w:rPr>
      <w:kern w:val="2"/>
      <w:sz w:val="21"/>
      <w:szCs w:val="22"/>
    </w:rPr>
  </w:style>
  <w:style w:type="character" w:customStyle="1" w:styleId="151">
    <w:name w:val="font151"/>
    <w:qFormat/>
    <w:uiPriority w:val="0"/>
    <w:rPr>
      <w:rFonts w:hint="eastAsia" w:ascii="宋体" w:hAnsi="宋体" w:eastAsia="宋体" w:cs="宋体"/>
      <w:color w:val="000000"/>
      <w:sz w:val="21"/>
      <w:szCs w:val="21"/>
      <w:u w:val="none"/>
    </w:rPr>
  </w:style>
  <w:style w:type="character" w:customStyle="1" w:styleId="152">
    <w:name w:val="ca-102"/>
    <w:qFormat/>
    <w:uiPriority w:val="0"/>
  </w:style>
  <w:style w:type="character" w:customStyle="1" w:styleId="153">
    <w:name w:val="font41"/>
    <w:qFormat/>
    <w:uiPriority w:val="0"/>
    <w:rPr>
      <w:rFonts w:ascii="Bosch Office Sans" w:hAnsi="Bosch Office Sans" w:cs="Bosch Office Sans"/>
      <w:color w:val="000000"/>
      <w:sz w:val="20"/>
      <w:szCs w:val="20"/>
      <w:u w:val="none"/>
    </w:rPr>
  </w:style>
  <w:style w:type="character" w:customStyle="1" w:styleId="154">
    <w:name w:val="char"/>
    <w:qFormat/>
    <w:uiPriority w:val="0"/>
  </w:style>
  <w:style w:type="character" w:customStyle="1" w:styleId="155">
    <w:name w:val="Char Char5"/>
    <w:qFormat/>
    <w:locked/>
    <w:uiPriority w:val="0"/>
    <w:rPr>
      <w:rFonts w:ascii="宋体" w:hAnsi="宋体" w:eastAsia="宋体"/>
      <w:sz w:val="18"/>
      <w:szCs w:val="18"/>
      <w:lang w:bidi="ar-SA"/>
    </w:rPr>
  </w:style>
  <w:style w:type="character" w:customStyle="1" w:styleId="156">
    <w:name w:val="apple-converted-space"/>
    <w:qFormat/>
    <w:uiPriority w:val="0"/>
  </w:style>
  <w:style w:type="character" w:customStyle="1" w:styleId="157">
    <w:name w:val="_Style 154"/>
    <w:unhideWhenUsed/>
    <w:qFormat/>
    <w:uiPriority w:val="99"/>
    <w:rPr>
      <w:color w:val="605E5C"/>
      <w:shd w:val="clear" w:color="auto" w:fill="E1DFDD"/>
    </w:rPr>
  </w:style>
  <w:style w:type="character" w:customStyle="1" w:styleId="158">
    <w:name w:val="Heading 2 Char"/>
    <w:qFormat/>
    <w:locked/>
    <w:uiPriority w:val="0"/>
    <w:rPr>
      <w:rFonts w:ascii="Calibri" w:hAnsi="Calibri" w:eastAsia="宋体"/>
      <w:b/>
      <w:bCs/>
      <w:kern w:val="2"/>
      <w:sz w:val="24"/>
      <w:szCs w:val="32"/>
      <w:lang w:val="en-US" w:eastAsia="zh-CN" w:bidi="ar-SA"/>
    </w:rPr>
  </w:style>
  <w:style w:type="character" w:customStyle="1" w:styleId="159">
    <w:name w:val="st1"/>
    <w:qFormat/>
    <w:uiPriority w:val="0"/>
  </w:style>
  <w:style w:type="character" w:customStyle="1" w:styleId="160">
    <w:name w:val="Char Char3"/>
    <w:qFormat/>
    <w:locked/>
    <w:uiPriority w:val="0"/>
    <w:rPr>
      <w:sz w:val="18"/>
      <w:szCs w:val="18"/>
      <w:lang w:bidi="ar-SA"/>
    </w:rPr>
  </w:style>
  <w:style w:type="character" w:customStyle="1" w:styleId="161">
    <w:name w:val="纯文本 Char3"/>
    <w:qFormat/>
    <w:uiPriority w:val="0"/>
    <w:rPr>
      <w:rFonts w:ascii="宋体" w:hAnsi="Courier New" w:eastAsia="宋体" w:cs="Courier New"/>
      <w:kern w:val="2"/>
      <w:sz w:val="21"/>
      <w:szCs w:val="21"/>
      <w:lang w:val="en-US" w:eastAsia="zh-CN" w:bidi="ar-SA"/>
    </w:rPr>
  </w:style>
  <w:style w:type="character" w:customStyle="1" w:styleId="162">
    <w:name w:val="列出段落字符"/>
    <w:qFormat/>
    <w:locked/>
    <w:uiPriority w:val="0"/>
    <w:rPr>
      <w:rFonts w:ascii="Calibri" w:hAnsi="Calibri" w:eastAsia="宋体" w:cs="黑体"/>
      <w:kern w:val="2"/>
      <w:sz w:val="24"/>
      <w:szCs w:val="24"/>
      <w:lang w:val="en-US" w:eastAsia="zh-CN" w:bidi="ar-SA"/>
    </w:rPr>
  </w:style>
  <w:style w:type="character" w:customStyle="1" w:styleId="163">
    <w:name w:val="GTA标题2 Char Char"/>
    <w:link w:val="164"/>
    <w:qFormat/>
    <w:locked/>
    <w:uiPriority w:val="0"/>
    <w:rPr>
      <w:rFonts w:ascii="Arial" w:hAnsi="Arial" w:eastAsia="黑体"/>
      <w:b/>
      <w:bCs/>
      <w:color w:val="000000"/>
      <w:sz w:val="30"/>
      <w:szCs w:val="30"/>
      <w:lang w:bidi="ar-SA"/>
    </w:rPr>
  </w:style>
  <w:style w:type="paragraph" w:customStyle="1" w:styleId="164">
    <w:name w:val="GTA标题2"/>
    <w:basedOn w:val="4"/>
    <w:link w:val="163"/>
    <w:qFormat/>
    <w:uiPriority w:val="0"/>
    <w:pPr>
      <w:tabs>
        <w:tab w:val="left" w:pos="840"/>
      </w:tabs>
      <w:adjustRightInd w:val="0"/>
      <w:snapToGrid w:val="0"/>
      <w:spacing w:beforeLines="175" w:afterLines="150" w:line="420" w:lineRule="auto"/>
      <w:ind w:left="840"/>
    </w:pPr>
    <w:rPr>
      <w:color w:val="000000"/>
      <w:kern w:val="0"/>
      <w:sz w:val="30"/>
      <w:szCs w:val="30"/>
    </w:rPr>
  </w:style>
  <w:style w:type="character" w:customStyle="1" w:styleId="165">
    <w:name w:val="GTA标题4 Char Char"/>
    <w:link w:val="166"/>
    <w:qFormat/>
    <w:locked/>
    <w:uiPriority w:val="0"/>
    <w:rPr>
      <w:rFonts w:ascii="Arial" w:hAnsi="Arial" w:eastAsia="仿宋_GB2312"/>
      <w:b/>
      <w:bCs/>
      <w:color w:val="0070C0"/>
      <w:lang w:bidi="ar-SA"/>
    </w:rPr>
  </w:style>
  <w:style w:type="paragraph" w:customStyle="1" w:styleId="166">
    <w:name w:val="GTA标题4"/>
    <w:basedOn w:val="6"/>
    <w:link w:val="165"/>
    <w:qFormat/>
    <w:uiPriority w:val="0"/>
    <w:pPr>
      <w:tabs>
        <w:tab w:val="left" w:pos="1680"/>
      </w:tabs>
      <w:adjustRightInd w:val="0"/>
      <w:snapToGrid w:val="0"/>
      <w:spacing w:beforeLines="100" w:afterLines="75" w:line="360" w:lineRule="auto"/>
      <w:ind w:left="1680"/>
    </w:pPr>
    <w:rPr>
      <w:rFonts w:eastAsia="仿宋_GB2312"/>
      <w:color w:val="0070C0"/>
      <w:kern w:val="0"/>
      <w:sz w:val="20"/>
      <w:szCs w:val="20"/>
    </w:rPr>
  </w:style>
  <w:style w:type="character" w:customStyle="1" w:styleId="167">
    <w:name w:val="font01"/>
    <w:qFormat/>
    <w:uiPriority w:val="0"/>
    <w:rPr>
      <w:rFonts w:hint="eastAsia" w:ascii="宋体" w:hAnsi="宋体" w:eastAsia="宋体" w:cs="宋体"/>
      <w:color w:val="000000"/>
      <w:sz w:val="28"/>
      <w:szCs w:val="28"/>
      <w:u w:val="none"/>
    </w:rPr>
  </w:style>
  <w:style w:type="character" w:customStyle="1" w:styleId="168">
    <w:name w:val="GTA标题3 Char"/>
    <w:qFormat/>
    <w:uiPriority w:val="0"/>
    <w:rPr>
      <w:rFonts w:hint="default" w:ascii="Arial" w:hAnsi="Arial" w:eastAsia="黑体" w:cs="Arial"/>
      <w:bCs/>
      <w:kern w:val="2"/>
      <w:sz w:val="24"/>
      <w:szCs w:val="24"/>
    </w:rPr>
  </w:style>
  <w:style w:type="character" w:customStyle="1" w:styleId="169">
    <w:name w:val="普通文字 Char Char3"/>
    <w:qFormat/>
    <w:locked/>
    <w:uiPriority w:val="0"/>
    <w:rPr>
      <w:rFonts w:ascii="宋体" w:hAnsi="Courier New" w:eastAsia="宋体" w:cs="Courier New"/>
      <w:kern w:val="2"/>
      <w:sz w:val="21"/>
      <w:szCs w:val="21"/>
      <w:lang w:val="en-US" w:eastAsia="zh-CN" w:bidi="ar-SA"/>
    </w:rPr>
  </w:style>
  <w:style w:type="character" w:customStyle="1" w:styleId="170">
    <w:name w:val="font51"/>
    <w:qFormat/>
    <w:uiPriority w:val="0"/>
    <w:rPr>
      <w:rFonts w:ascii="Bosch Office Sans" w:hAnsi="Bosch Office Sans" w:cs="Bosch Office Sans"/>
      <w:color w:val="000000"/>
      <w:sz w:val="20"/>
      <w:szCs w:val="20"/>
      <w:u w:val="none"/>
    </w:rPr>
  </w:style>
  <w:style w:type="character" w:customStyle="1" w:styleId="171">
    <w:name w:val="GTA正文-1 Char"/>
    <w:link w:val="172"/>
    <w:qFormat/>
    <w:locked/>
    <w:uiPriority w:val="0"/>
    <w:rPr>
      <w:rFonts w:ascii="Arial" w:hAnsi="Arial" w:eastAsia="宋体" w:cs="Arial"/>
      <w:sz w:val="21"/>
      <w:lang w:bidi="ar-SA"/>
    </w:rPr>
  </w:style>
  <w:style w:type="paragraph" w:customStyle="1" w:styleId="172">
    <w:name w:val="GTA正文-1"/>
    <w:basedOn w:val="1"/>
    <w:link w:val="171"/>
    <w:qFormat/>
    <w:uiPriority w:val="0"/>
    <w:pPr>
      <w:spacing w:beforeLines="50" w:afterLines="50" w:line="480" w:lineRule="exact"/>
    </w:pPr>
    <w:rPr>
      <w:rFonts w:ascii="Arial" w:hAnsi="Arial" w:cs="Arial"/>
      <w:kern w:val="0"/>
      <w:szCs w:val="20"/>
    </w:rPr>
  </w:style>
  <w:style w:type="character" w:customStyle="1" w:styleId="173">
    <w:name w:val="font71"/>
    <w:qFormat/>
    <w:uiPriority w:val="0"/>
    <w:rPr>
      <w:rFonts w:hint="default" w:ascii="Times New Roman" w:hAnsi="Times New Roman" w:cs="Times New Roman"/>
      <w:color w:val="000000"/>
      <w:sz w:val="56"/>
      <w:szCs w:val="56"/>
      <w:u w:val="none"/>
    </w:rPr>
  </w:style>
  <w:style w:type="character" w:customStyle="1" w:styleId="174">
    <w:name w:val="Char Char1"/>
    <w:qFormat/>
    <w:uiPriority w:val="0"/>
    <w:rPr>
      <w:rFonts w:eastAsia="宋体"/>
      <w:kern w:val="2"/>
      <w:sz w:val="18"/>
      <w:szCs w:val="18"/>
      <w:lang w:val="en-US" w:eastAsia="zh-CN" w:bidi="ar-SA"/>
    </w:rPr>
  </w:style>
  <w:style w:type="character" w:customStyle="1" w:styleId="175">
    <w:name w:val="ca-92"/>
    <w:qFormat/>
    <w:uiPriority w:val="0"/>
  </w:style>
  <w:style w:type="character" w:customStyle="1" w:styleId="176">
    <w:name w:val="10"/>
    <w:qFormat/>
    <w:uiPriority w:val="0"/>
    <w:rPr>
      <w:rFonts w:hint="default" w:ascii="Times New Roman" w:hAnsi="Times New Roman" w:cs="Times New Roman"/>
    </w:rPr>
  </w:style>
  <w:style w:type="character" w:customStyle="1" w:styleId="177">
    <w:name w:val="font191"/>
    <w:qFormat/>
    <w:uiPriority w:val="0"/>
    <w:rPr>
      <w:rFonts w:hint="eastAsia" w:ascii="宋体" w:hAnsi="宋体" w:eastAsia="宋体" w:cs="宋体"/>
      <w:b/>
      <w:bCs/>
      <w:color w:val="4F6228"/>
      <w:sz w:val="22"/>
      <w:szCs w:val="22"/>
      <w:u w:val="none"/>
    </w:rPr>
  </w:style>
  <w:style w:type="character" w:customStyle="1" w:styleId="178">
    <w:name w:val="ca-1"/>
    <w:qFormat/>
    <w:uiPriority w:val="0"/>
  </w:style>
  <w:style w:type="character" w:customStyle="1" w:styleId="179">
    <w:name w:val="明显引用字符1"/>
    <w:qFormat/>
    <w:uiPriority w:val="0"/>
    <w:rPr>
      <w:rFonts w:hint="default" w:ascii="Times New Roman" w:hAnsi="Times New Roman" w:eastAsia="微软雅黑" w:cs="Times New Roman"/>
      <w:i/>
      <w:iCs/>
      <w:color w:val="5B9BD5"/>
    </w:rPr>
  </w:style>
  <w:style w:type="character" w:customStyle="1" w:styleId="180">
    <w:name w:val="纯文本 字符"/>
    <w:qFormat/>
    <w:uiPriority w:val="0"/>
    <w:rPr>
      <w:rFonts w:ascii="宋体" w:hAnsi="Courier New" w:eastAsia="宋体" w:cs="Courier New"/>
      <w:kern w:val="2"/>
      <w:sz w:val="21"/>
      <w:szCs w:val="21"/>
      <w:lang w:val="en-US" w:eastAsia="zh-CN" w:bidi="ar-SA"/>
    </w:rPr>
  </w:style>
  <w:style w:type="character" w:customStyle="1" w:styleId="181">
    <w:name w:val="GTA标题4 Char"/>
    <w:qFormat/>
    <w:uiPriority w:val="0"/>
    <w:rPr>
      <w:rFonts w:hint="default" w:ascii="Arial" w:hAnsi="Arial" w:eastAsia="仿宋_GB2312" w:cs="Arial"/>
      <w:b/>
      <w:bCs/>
      <w:kern w:val="2"/>
      <w:sz w:val="24"/>
      <w:szCs w:val="24"/>
    </w:rPr>
  </w:style>
  <w:style w:type="character" w:customStyle="1" w:styleId="182">
    <w:name w:val="Char Char13"/>
    <w:qFormat/>
    <w:locked/>
    <w:uiPriority w:val="0"/>
    <w:rPr>
      <w:rFonts w:ascii="微软雅黑" w:hAnsi="微软雅黑" w:eastAsia="微软雅黑"/>
      <w:b/>
      <w:bCs/>
      <w:lang w:bidi="ar-SA"/>
    </w:rPr>
  </w:style>
  <w:style w:type="character" w:customStyle="1" w:styleId="183">
    <w:name w:val="ca-2"/>
    <w:qFormat/>
    <w:uiPriority w:val="0"/>
  </w:style>
  <w:style w:type="character" w:customStyle="1" w:styleId="184">
    <w:name w:val="Char Char20"/>
    <w:qFormat/>
    <w:locked/>
    <w:uiPriority w:val="0"/>
    <w:rPr>
      <w:rFonts w:eastAsia="微软雅黑"/>
      <w:b/>
      <w:bCs/>
      <w:szCs w:val="32"/>
      <w:lang w:bidi="ar-SA"/>
    </w:rPr>
  </w:style>
  <w:style w:type="character" w:customStyle="1" w:styleId="185">
    <w:name w:val="txet31"/>
    <w:qFormat/>
    <w:uiPriority w:val="0"/>
    <w:rPr>
      <w:rFonts w:cs="Times New Roman"/>
      <w:color w:val="333333"/>
      <w:sz w:val="18"/>
      <w:szCs w:val="18"/>
      <w:u w:val="none"/>
    </w:rPr>
  </w:style>
  <w:style w:type="character" w:customStyle="1" w:styleId="186">
    <w:name w:val="纯文本 Char2"/>
    <w:qFormat/>
    <w:uiPriority w:val="0"/>
    <w:rPr>
      <w:rFonts w:ascii="宋体" w:hAnsi="Courier New" w:eastAsia="宋体" w:cs="Courier New"/>
      <w:kern w:val="2"/>
      <w:sz w:val="21"/>
      <w:szCs w:val="21"/>
      <w:lang w:val="en-US" w:eastAsia="zh-CN" w:bidi="ar-SA"/>
    </w:rPr>
  </w:style>
  <w:style w:type="character" w:customStyle="1" w:styleId="187">
    <w:name w:val="Header Char"/>
    <w:qFormat/>
    <w:locked/>
    <w:uiPriority w:val="0"/>
    <w:rPr>
      <w:rFonts w:ascii="Cambria" w:hAnsi="Cambria" w:eastAsia="宋体"/>
      <w:kern w:val="2"/>
      <w:sz w:val="18"/>
      <w:szCs w:val="18"/>
      <w:lang w:val="en-US" w:eastAsia="zh-CN" w:bidi="ar-SA"/>
    </w:rPr>
  </w:style>
  <w:style w:type="character" w:customStyle="1" w:styleId="188">
    <w:name w:val="font61"/>
    <w:qFormat/>
    <w:uiPriority w:val="0"/>
    <w:rPr>
      <w:rFonts w:hint="eastAsia" w:ascii="宋体" w:hAnsi="宋体" w:eastAsia="宋体" w:cs="宋体"/>
      <w:color w:val="000000"/>
      <w:sz w:val="56"/>
      <w:szCs w:val="56"/>
      <w:u w:val="none"/>
    </w:rPr>
  </w:style>
  <w:style w:type="character" w:customStyle="1" w:styleId="189">
    <w:name w:val="highlight1"/>
    <w:qFormat/>
    <w:uiPriority w:val="0"/>
    <w:rPr>
      <w:color w:val="DB4F33"/>
    </w:rPr>
  </w:style>
  <w:style w:type="character" w:customStyle="1" w:styleId="190">
    <w:name w:val="GTA标题3 Char Char"/>
    <w:link w:val="191"/>
    <w:qFormat/>
    <w:locked/>
    <w:uiPriority w:val="0"/>
    <w:rPr>
      <w:rFonts w:ascii="Arial" w:hAnsi="Arial" w:eastAsia="黑体"/>
      <w:b/>
      <w:bCs/>
      <w:color w:val="000000"/>
      <w:lang w:val="zh-CN" w:bidi="ar-SA"/>
    </w:rPr>
  </w:style>
  <w:style w:type="paragraph" w:customStyle="1" w:styleId="191">
    <w:name w:val="GTA标题3"/>
    <w:basedOn w:val="5"/>
    <w:link w:val="190"/>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92">
    <w:name w:val="GTA正文-2 Char"/>
    <w:link w:val="193"/>
    <w:qFormat/>
    <w:locked/>
    <w:uiPriority w:val="0"/>
    <w:rPr>
      <w:rFonts w:ascii="Arial" w:hAnsi="Arial" w:eastAsia="华文细黑" w:cs="Arial"/>
      <w:lang w:bidi="ar-SA"/>
    </w:rPr>
  </w:style>
  <w:style w:type="paragraph" w:customStyle="1" w:styleId="193">
    <w:name w:val="GTA正文-2"/>
    <w:basedOn w:val="172"/>
    <w:link w:val="192"/>
    <w:qFormat/>
    <w:uiPriority w:val="0"/>
    <w:pPr>
      <w:snapToGrid w:val="0"/>
      <w:spacing w:line="360" w:lineRule="auto"/>
      <w:ind w:firstLine="480"/>
    </w:pPr>
    <w:rPr>
      <w:rFonts w:eastAsia="华文细黑"/>
      <w:sz w:val="20"/>
    </w:rPr>
  </w:style>
  <w:style w:type="paragraph" w:customStyle="1" w:styleId="194">
    <w:name w:val="样式 标题 3 + 四号"/>
    <w:basedOn w:val="5"/>
    <w:qFormat/>
    <w:uiPriority w:val="99"/>
    <w:pPr>
      <w:jc w:val="center"/>
    </w:pPr>
    <w:rPr>
      <w:rFonts w:ascii="Times New Roman" w:hAnsi="Times New Roman"/>
      <w:kern w:val="0"/>
      <w:sz w:val="28"/>
    </w:rPr>
  </w:style>
  <w:style w:type="paragraph" w:customStyle="1" w:styleId="195">
    <w:name w:val="custom_unionstyle"/>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19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7">
    <w:name w:val="xl86"/>
    <w:basedOn w:val="1"/>
    <w:qFormat/>
    <w:uiPriority w:val="99"/>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98">
    <w:name w:val="xl96"/>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99">
    <w:name w:val="List Paragraph11"/>
    <w:basedOn w:val="1"/>
    <w:qFormat/>
    <w:uiPriority w:val="99"/>
    <w:pPr>
      <w:ind w:firstLine="420"/>
    </w:pPr>
    <w:rPr>
      <w:rFonts w:ascii="Calibri" w:hAnsi="Calibri"/>
      <w:szCs w:val="22"/>
    </w:rPr>
  </w:style>
  <w:style w:type="paragraph" w:customStyle="1" w:styleId="20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02">
    <w:name w:val="Char 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03">
    <w:name w:val="179"/>
    <w:basedOn w:val="1"/>
    <w:qFormat/>
    <w:uiPriority w:val="99"/>
    <w:pPr>
      <w:spacing w:line="240" w:lineRule="auto"/>
      <w:ind w:firstLine="420"/>
    </w:pPr>
    <w:rPr>
      <w:rFonts w:ascii="等线" w:hAnsi="等线" w:eastAsia="等线"/>
      <w:szCs w:val="22"/>
    </w:rPr>
  </w:style>
  <w:style w:type="paragraph" w:customStyle="1" w:styleId="204">
    <w:name w:val="二级条标题"/>
    <w:basedOn w:val="1"/>
    <w:next w:val="1"/>
    <w:qFormat/>
    <w:uiPriority w:val="99"/>
    <w:pPr>
      <w:widowControl/>
      <w:spacing w:line="240" w:lineRule="auto"/>
      <w:ind w:firstLine="0" w:firstLineChars="0"/>
      <w:jc w:val="left"/>
    </w:pPr>
    <w:rPr>
      <w:rFonts w:ascii="Calibri" w:hAnsi="Calibri" w:eastAsia="黑体"/>
      <w:szCs w:val="20"/>
    </w:rPr>
  </w:style>
  <w:style w:type="paragraph" w:customStyle="1" w:styleId="205">
    <w:name w:val="Char Char Char Char Char Char Char Char Char Char"/>
    <w:basedOn w:val="1"/>
    <w:qFormat/>
    <w:uiPriority w:val="99"/>
    <w:pPr>
      <w:tabs>
        <w:tab w:val="left" w:pos="360"/>
      </w:tabs>
      <w:ind w:left="360" w:hanging="360" w:hangingChars="200"/>
    </w:pPr>
    <w:rPr>
      <w:szCs w:val="20"/>
    </w:rPr>
  </w:style>
  <w:style w:type="paragraph" w:customStyle="1" w:styleId="206">
    <w:name w:val="普通(网站)1"/>
    <w:basedOn w:val="1"/>
    <w:qFormat/>
    <w:uiPriority w:val="99"/>
    <w:pPr>
      <w:widowControl/>
      <w:snapToGrid w:val="0"/>
      <w:spacing w:before="100" w:beforeAutospacing="1" w:after="100" w:afterAutospacing="1" w:line="300" w:lineRule="auto"/>
      <w:jc w:val="left"/>
    </w:pPr>
    <w:rPr>
      <w:rFonts w:ascii="宋体" w:hAnsi="宋体" w:eastAsia="微软雅黑"/>
      <w:sz w:val="24"/>
      <w:szCs w:val="22"/>
    </w:rPr>
  </w:style>
  <w:style w:type="paragraph" w:customStyle="1" w:styleId="207">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8">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9">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0">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1">
    <w:name w:val="投标文件1"/>
    <w:basedOn w:val="3"/>
    <w:qFormat/>
    <w:uiPriority w:val="99"/>
    <w:pPr>
      <w:jc w:val="both"/>
    </w:pPr>
    <w:rPr>
      <w:rFonts w:eastAsia="方正小标宋简体"/>
      <w:b w:val="0"/>
      <w:sz w:val="32"/>
      <w:szCs w:val="21"/>
    </w:rPr>
  </w:style>
  <w:style w:type="paragraph" w:customStyle="1" w:styleId="212">
    <w:name w:val="xl89"/>
    <w:basedOn w:val="1"/>
    <w:qFormat/>
    <w:uiPriority w:val="99"/>
    <w:pPr>
      <w:widowControl/>
      <w:spacing w:before="100" w:beforeAutospacing="1" w:after="100" w:afterAutospacing="1"/>
      <w:jc w:val="left"/>
      <w:textAlignment w:val="bottom"/>
    </w:pPr>
    <w:rPr>
      <w:rFonts w:ascii="宋体" w:hAnsi="宋体" w:cs="宋体"/>
      <w:kern w:val="0"/>
      <w:szCs w:val="21"/>
    </w:rPr>
  </w:style>
  <w:style w:type="paragraph" w:customStyle="1" w:styleId="213">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14">
    <w:name w:val="正文首行缩进1"/>
    <w:basedOn w:val="1"/>
    <w:qFormat/>
    <w:uiPriority w:val="99"/>
    <w:pPr>
      <w:spacing w:after="120" w:line="240" w:lineRule="auto"/>
      <w:ind w:firstLine="420" w:firstLineChars="100"/>
    </w:pPr>
    <w:rPr>
      <w:rFonts w:ascii="Calibri" w:hAnsi="Calibri"/>
    </w:rPr>
  </w:style>
  <w:style w:type="paragraph" w:customStyle="1" w:styleId="215">
    <w:name w:val="xl64"/>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216">
    <w:name w:val="xl73"/>
    <w:basedOn w:val="1"/>
    <w:qFormat/>
    <w:uiPriority w:val="99"/>
    <w:pPr>
      <w:widowControl/>
      <w:spacing w:before="100" w:beforeAutospacing="1" w:after="100" w:afterAutospacing="1"/>
      <w:jc w:val="center"/>
    </w:pPr>
    <w:rPr>
      <w:rFonts w:ascii="宋体" w:hAnsi="宋体" w:cs="宋体"/>
      <w:kern w:val="0"/>
      <w:szCs w:val="21"/>
    </w:rPr>
  </w:style>
  <w:style w:type="paragraph" w:customStyle="1" w:styleId="217">
    <w:name w:val="msolistparagraph"/>
    <w:basedOn w:val="1"/>
    <w:qFormat/>
    <w:uiPriority w:val="99"/>
    <w:pPr>
      <w:spacing w:line="240" w:lineRule="auto"/>
      <w:ind w:firstLine="420"/>
    </w:pPr>
  </w:style>
  <w:style w:type="paragraph" w:customStyle="1" w:styleId="218">
    <w:name w:val="标书0927"/>
    <w:basedOn w:val="3"/>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19">
    <w:name w:val="样式 标题 2 + 宋体"/>
    <w:basedOn w:val="4"/>
    <w:qFormat/>
    <w:uiPriority w:val="99"/>
    <w:pPr>
      <w:jc w:val="center"/>
    </w:pPr>
    <w:rPr>
      <w:rFonts w:ascii="宋体" w:hAnsi="宋体" w:eastAsia="宋体"/>
      <w:kern w:val="0"/>
    </w:rPr>
  </w:style>
  <w:style w:type="paragraph" w:customStyle="1" w:styleId="220">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21">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2">
    <w:name w:val="pa-5"/>
    <w:basedOn w:val="1"/>
    <w:qFormat/>
    <w:uiPriority w:val="99"/>
    <w:pPr>
      <w:widowControl/>
      <w:spacing w:before="150" w:after="150"/>
      <w:jc w:val="left"/>
    </w:pPr>
    <w:rPr>
      <w:rFonts w:ascii="宋体" w:hAnsi="宋体" w:cs="宋体"/>
      <w:kern w:val="0"/>
      <w:sz w:val="24"/>
    </w:rPr>
  </w:style>
  <w:style w:type="paragraph" w:customStyle="1" w:styleId="223">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4">
    <w:name w:val="xl75"/>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5">
    <w:name w:val="_Style 223"/>
    <w:unhideWhenUsed/>
    <w:qFormat/>
    <w:uiPriority w:val="99"/>
    <w:rPr>
      <w:rFonts w:ascii="Times New Roman" w:hAnsi="Times New Roman" w:eastAsia="宋体" w:cs="Times New Roman"/>
      <w:kern w:val="2"/>
      <w:sz w:val="21"/>
      <w:szCs w:val="24"/>
      <w:lang w:val="en-US" w:eastAsia="zh-CN" w:bidi="ar-SA"/>
    </w:rPr>
  </w:style>
  <w:style w:type="paragraph" w:customStyle="1" w:styleId="226">
    <w:name w:val="xl85"/>
    <w:basedOn w:val="1"/>
    <w:qFormat/>
    <w:uiPriority w:val="99"/>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27">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2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29">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msonormalcxspmiddle"/>
    <w:basedOn w:val="1"/>
    <w:qFormat/>
    <w:uiPriority w:val="99"/>
    <w:pPr>
      <w:widowControl/>
      <w:spacing w:line="315" w:lineRule="atLeast"/>
      <w:jc w:val="left"/>
    </w:pPr>
    <w:rPr>
      <w:rFonts w:ascii="inherit" w:hAnsi="inherit" w:eastAsia="微软雅黑" w:cs="宋体"/>
      <w:color w:val="323232"/>
      <w:kern w:val="0"/>
      <w:sz w:val="18"/>
      <w:szCs w:val="18"/>
    </w:rPr>
  </w:style>
  <w:style w:type="paragraph" w:customStyle="1" w:styleId="231">
    <w:name w:val="正文段"/>
    <w:basedOn w:val="1"/>
    <w:qFormat/>
    <w:uiPriority w:val="99"/>
    <w:pPr>
      <w:widowControl/>
      <w:snapToGrid w:val="0"/>
      <w:spacing w:afterLines="50"/>
    </w:pPr>
    <w:rPr>
      <w:kern w:val="0"/>
      <w:sz w:val="24"/>
      <w:szCs w:val="20"/>
    </w:rPr>
  </w:style>
  <w:style w:type="paragraph" w:customStyle="1" w:styleId="232">
    <w:name w:val="xl11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TOC 标题2"/>
    <w:next w:val="1"/>
    <w:qFormat/>
    <w:uiPriority w:val="99"/>
    <w:pPr>
      <w:wordWrap w:val="0"/>
    </w:pPr>
    <w:rPr>
      <w:rFonts w:ascii="Times New Roman" w:hAnsi="Times New Roman" w:eastAsia="宋体" w:cs="Times New Roman"/>
      <w:sz w:val="32"/>
      <w:lang w:val="en-US" w:eastAsia="zh-CN" w:bidi="ar-SA"/>
    </w:rPr>
  </w:style>
  <w:style w:type="paragraph" w:customStyle="1" w:styleId="234">
    <w:name w:val="5 Char Char Char Char Char Char Char Char Char Char"/>
    <w:basedOn w:val="1"/>
    <w:qFormat/>
    <w:uiPriority w:val="99"/>
  </w:style>
  <w:style w:type="paragraph" w:customStyle="1" w:styleId="235">
    <w:name w:val="p0"/>
    <w:basedOn w:val="1"/>
    <w:qFormat/>
    <w:uiPriority w:val="99"/>
    <w:pPr>
      <w:widowControl/>
      <w:jc w:val="left"/>
    </w:pPr>
    <w:rPr>
      <w:kern w:val="0"/>
      <w:sz w:val="20"/>
      <w:szCs w:val="20"/>
    </w:rPr>
  </w:style>
  <w:style w:type="paragraph" w:customStyle="1" w:styleId="23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3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38">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9">
    <w:name w:val="Char4"/>
    <w:basedOn w:val="1"/>
    <w:qFormat/>
    <w:uiPriority w:val="99"/>
    <w:rPr>
      <w:rFonts w:ascii="Tahoma" w:hAnsi="Tahoma"/>
      <w:sz w:val="24"/>
      <w:szCs w:val="20"/>
    </w:rPr>
  </w:style>
  <w:style w:type="paragraph" w:customStyle="1" w:styleId="240">
    <w:name w:val="Char Char Char1 Char"/>
    <w:basedOn w:val="1"/>
    <w:qFormat/>
    <w:uiPriority w:val="99"/>
    <w:rPr>
      <w:rFonts w:ascii="Calibri" w:hAnsi="Calibri"/>
      <w:szCs w:val="22"/>
    </w:rPr>
  </w:style>
  <w:style w:type="paragraph" w:customStyle="1" w:styleId="241">
    <w:name w:val="pic-info"/>
    <w:basedOn w:val="1"/>
    <w:qFormat/>
    <w:uiPriority w:val="99"/>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42">
    <w:name w:val="xl137"/>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3">
    <w:name w:val="xl145"/>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4">
    <w:name w:val="正文 New New New New"/>
    <w:qFormat/>
    <w:uiPriority w:val="99"/>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4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6">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7">
    <w:name w:val="Char Char Char Char Char Char Char"/>
    <w:basedOn w:val="1"/>
    <w:qFormat/>
    <w:uiPriority w:val="99"/>
  </w:style>
  <w:style w:type="paragraph" w:customStyle="1" w:styleId="24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默认段落字体 Para Char Char Char Char Char Char Char Char Char Char Char Char Char Char Char Char Char Char Char"/>
    <w:basedOn w:val="1"/>
    <w:qFormat/>
    <w:uiPriority w:val="99"/>
    <w:rPr>
      <w:rFonts w:ascii="Calibri" w:hAnsi="Calibri"/>
      <w:szCs w:val="22"/>
    </w:rPr>
  </w:style>
  <w:style w:type="paragraph" w:customStyle="1" w:styleId="250">
    <w:name w:val="样式 标题 1 + 小二"/>
    <w:basedOn w:val="3"/>
    <w:qFormat/>
    <w:uiPriority w:val="99"/>
  </w:style>
  <w:style w:type="paragraph" w:customStyle="1" w:styleId="251">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53">
    <w:name w:val="xl91"/>
    <w:basedOn w:val="1"/>
    <w:qFormat/>
    <w:uiPriority w:val="99"/>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5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xl66"/>
    <w:basedOn w:val="1"/>
    <w:qFormat/>
    <w:uiPriority w:val="99"/>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57">
    <w:name w:val="xl92"/>
    <w:basedOn w:val="1"/>
    <w:qFormat/>
    <w:uiPriority w:val="99"/>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25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59">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260">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1">
    <w:name w:val="xl11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2">
    <w:name w:val="gta-1"/>
    <w:basedOn w:val="1"/>
    <w:qFormat/>
    <w:uiPriority w:val="99"/>
    <w:pPr>
      <w:widowControl/>
      <w:spacing w:before="100" w:beforeAutospacing="1" w:after="100" w:afterAutospacing="1" w:line="360" w:lineRule="auto"/>
      <w:jc w:val="left"/>
    </w:pPr>
    <w:rPr>
      <w:rFonts w:ascii="宋体" w:hAnsi="宋体" w:cs="宋体"/>
      <w:kern w:val="0"/>
      <w:sz w:val="24"/>
    </w:rPr>
  </w:style>
  <w:style w:type="paragraph" w:customStyle="1" w:styleId="263">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4">
    <w:name w:val="msonormal"/>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26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7">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68">
    <w:name w:val="font10"/>
    <w:basedOn w:val="1"/>
    <w:qFormat/>
    <w:uiPriority w:val="99"/>
    <w:pPr>
      <w:widowControl/>
      <w:spacing w:before="100" w:beforeAutospacing="1" w:after="100" w:afterAutospacing="1"/>
      <w:jc w:val="left"/>
    </w:pPr>
    <w:rPr>
      <w:kern w:val="0"/>
      <w:sz w:val="20"/>
      <w:szCs w:val="20"/>
    </w:rPr>
  </w:style>
  <w:style w:type="paragraph" w:customStyle="1" w:styleId="269">
    <w:name w:val="xl90"/>
    <w:basedOn w:val="1"/>
    <w:qFormat/>
    <w:uiPriority w:val="99"/>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70">
    <w:name w:val="TOC 标题1"/>
    <w:basedOn w:val="3"/>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xl11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3">
    <w:name w:val="表格文字"/>
    <w:basedOn w:val="1"/>
    <w:qFormat/>
    <w:uiPriority w:val="99"/>
    <w:pPr>
      <w:spacing w:before="25" w:after="25"/>
      <w:jc w:val="left"/>
    </w:pPr>
    <w:rPr>
      <w:bCs/>
      <w:spacing w:val="10"/>
      <w:kern w:val="0"/>
      <w:sz w:val="24"/>
      <w:szCs w:val="20"/>
    </w:rPr>
  </w:style>
  <w:style w:type="paragraph" w:customStyle="1" w:styleId="274">
    <w:name w:val="xl65"/>
    <w:basedOn w:val="1"/>
    <w:qFormat/>
    <w:uiPriority w:val="99"/>
    <w:pPr>
      <w:widowControl/>
      <w:spacing w:before="100" w:beforeAutospacing="1" w:after="100" w:afterAutospacing="1"/>
      <w:jc w:val="center"/>
    </w:pPr>
    <w:rPr>
      <w:rFonts w:ascii="宋体" w:hAnsi="宋体" w:cs="宋体"/>
      <w:color w:val="000000"/>
      <w:kern w:val="0"/>
      <w:szCs w:val="21"/>
    </w:rPr>
  </w:style>
  <w:style w:type="paragraph" w:customStyle="1" w:styleId="275">
    <w:name w:val="xl88"/>
    <w:basedOn w:val="1"/>
    <w:qFormat/>
    <w:uiPriority w:val="99"/>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76">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77">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8">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79">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81">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2">
    <w:name w:val="xl74"/>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83">
    <w:name w:val="xl104"/>
    <w:basedOn w:val="1"/>
    <w:qFormat/>
    <w:uiPriority w:val="99"/>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84">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p15"/>
    <w:basedOn w:val="1"/>
    <w:qFormat/>
    <w:uiPriority w:val="99"/>
    <w:pPr>
      <w:widowControl/>
    </w:pPr>
    <w:rPr>
      <w:rFonts w:ascii="宋体" w:hAnsi="宋体" w:cs="宋体"/>
      <w:kern w:val="0"/>
      <w:szCs w:val="21"/>
    </w:rPr>
  </w:style>
  <w:style w:type="paragraph" w:customStyle="1" w:styleId="28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87">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8">
    <w:name w:val="正文-公1"/>
    <w:basedOn w:val="1"/>
    <w:qFormat/>
    <w:uiPriority w:val="99"/>
    <w:pPr>
      <w:spacing w:line="240" w:lineRule="auto"/>
      <w:jc w:val="left"/>
    </w:pPr>
    <w:rPr>
      <w:rFonts w:ascii="Calibri" w:hAnsi="Calibri" w:eastAsia="仿宋_GB2312"/>
    </w:rPr>
  </w:style>
  <w:style w:type="paragraph" w:customStyle="1" w:styleId="289">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0">
    <w:name w:val="Char Char1 Char Char Char Char"/>
    <w:basedOn w:val="17"/>
    <w:qFormat/>
    <w:uiPriority w:val="99"/>
    <w:rPr>
      <w:rFonts w:ascii="Tahoma" w:hAnsi="Tahoma"/>
      <w:sz w:val="24"/>
    </w:rPr>
  </w:style>
  <w:style w:type="paragraph" w:customStyle="1" w:styleId="291">
    <w:name w:val="_Style 8"/>
    <w:basedOn w:val="17"/>
    <w:qFormat/>
    <w:uiPriority w:val="99"/>
    <w:pPr>
      <w:widowControl/>
      <w:spacing w:line="240" w:lineRule="auto"/>
      <w:ind w:firstLine="454" w:firstLineChars="0"/>
      <w:jc w:val="left"/>
    </w:pPr>
  </w:style>
  <w:style w:type="paragraph" w:customStyle="1" w:styleId="292">
    <w:name w:val="xl122"/>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94">
    <w:name w:val="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95">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29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9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98">
    <w:name w:val="xl95"/>
    <w:basedOn w:val="1"/>
    <w:qFormat/>
    <w:uiPriority w:val="99"/>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99">
    <w:name w:val="文档正文"/>
    <w:basedOn w:val="1"/>
    <w:qFormat/>
    <w:uiPriority w:val="99"/>
    <w:pPr>
      <w:autoSpaceDE w:val="0"/>
      <w:autoSpaceDN w:val="0"/>
      <w:adjustRightInd w:val="0"/>
      <w:spacing w:line="240" w:lineRule="atLeast"/>
      <w:ind w:firstLine="567"/>
    </w:pPr>
    <w:rPr>
      <w:rFonts w:ascii="Arial Narrow" w:hAnsi="Arial Narrow" w:cs="Arial"/>
      <w:sz w:val="24"/>
      <w:lang w:val="zh-CN"/>
    </w:rPr>
  </w:style>
  <w:style w:type="paragraph" w:customStyle="1" w:styleId="300">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2">
    <w:name w:val="p18"/>
    <w:basedOn w:val="1"/>
    <w:qFormat/>
    <w:uiPriority w:val="99"/>
    <w:pPr>
      <w:widowControl/>
      <w:spacing w:line="240" w:lineRule="auto"/>
      <w:ind w:firstLine="0" w:firstLineChars="0"/>
    </w:pPr>
    <w:rPr>
      <w:rFonts w:ascii="宋体" w:hAnsi="宋体" w:cs="宋体"/>
      <w:kern w:val="0"/>
      <w:szCs w:val="21"/>
    </w:rPr>
  </w:style>
  <w:style w:type="paragraph" w:customStyle="1" w:styleId="303">
    <w:name w:val="xl13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04">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5">
    <w:name w:val="xl63"/>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306">
    <w:name w:val="_Style 2"/>
    <w:basedOn w:val="1"/>
    <w:qFormat/>
    <w:uiPriority w:val="99"/>
    <w:pPr>
      <w:ind w:firstLine="420"/>
    </w:pPr>
  </w:style>
  <w:style w:type="paragraph" w:customStyle="1" w:styleId="307">
    <w:name w:val="xl97"/>
    <w:basedOn w:val="1"/>
    <w:qFormat/>
    <w:uiPriority w:val="99"/>
    <w:pPr>
      <w:widowControl/>
      <w:spacing w:before="100" w:beforeAutospacing="1" w:after="100" w:afterAutospacing="1"/>
      <w:jc w:val="left"/>
      <w:textAlignment w:val="bottom"/>
    </w:pPr>
    <w:rPr>
      <w:kern w:val="0"/>
      <w:sz w:val="20"/>
      <w:szCs w:val="20"/>
    </w:rPr>
  </w:style>
  <w:style w:type="paragraph" w:customStyle="1" w:styleId="308">
    <w:name w:val="默认段落字体 Para Char Char Char Char Char Char Char Char Char1 Char Char Char Char"/>
    <w:basedOn w:val="1"/>
    <w:qFormat/>
    <w:uiPriority w:val="99"/>
    <w:rPr>
      <w:rFonts w:ascii="Tahoma" w:hAnsi="Tahoma"/>
      <w:sz w:val="24"/>
      <w:szCs w:val="20"/>
    </w:rPr>
  </w:style>
  <w:style w:type="paragraph" w:customStyle="1" w:styleId="309">
    <w:name w:val="Char"/>
    <w:basedOn w:val="17"/>
    <w:qFormat/>
    <w:uiPriority w:val="99"/>
    <w:pPr>
      <w:widowControl/>
      <w:ind w:firstLine="454"/>
      <w:jc w:val="left"/>
    </w:pPr>
    <w:rPr>
      <w:rFonts w:ascii="Tahoma" w:hAnsi="Tahoma" w:cs="宋体"/>
      <w:kern w:val="0"/>
      <w:sz w:val="24"/>
      <w:szCs w:val="20"/>
    </w:rPr>
  </w:style>
  <w:style w:type="paragraph" w:customStyle="1" w:styleId="310">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11">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312">
    <w:name w:val="font9"/>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13">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1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15">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317">
    <w:name w:val="样式2"/>
    <w:basedOn w:val="6"/>
    <w:qFormat/>
    <w:uiPriority w:val="99"/>
    <w:rPr>
      <w:rFonts w:ascii="仿宋_GB2312" w:hAnsi="宋体" w:eastAsia="仿宋_GB2312" w:cs="宋体"/>
      <w:kern w:val="0"/>
      <w:sz w:val="24"/>
    </w:rPr>
  </w:style>
  <w:style w:type="paragraph" w:customStyle="1" w:styleId="318">
    <w:name w:val="Heading2"/>
    <w:next w:val="1"/>
    <w:qFormat/>
    <w:uiPriority w:val="99"/>
    <w:pPr>
      <w:keepNext/>
      <w:keepLines/>
      <w:widowControl w:val="0"/>
      <w:spacing w:before="60" w:after="60" w:line="413" w:lineRule="auto"/>
      <w:jc w:val="both"/>
      <w:textAlignment w:val="baseline"/>
    </w:pPr>
    <w:rPr>
      <w:rFonts w:ascii="Arial" w:hAnsi="Arial" w:eastAsia="黑体" w:cs="Times New Roman"/>
      <w:b/>
      <w:bCs/>
      <w:kern w:val="2"/>
      <w:sz w:val="21"/>
      <w:szCs w:val="32"/>
      <w:lang w:val="en-US" w:eastAsia="zh-CN" w:bidi="ar-SA"/>
    </w:rPr>
  </w:style>
  <w:style w:type="paragraph" w:customStyle="1" w:styleId="319">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0">
    <w:name w:val="浅色网格 - 强调文字颜色 32"/>
    <w:basedOn w:val="1"/>
    <w:qFormat/>
    <w:uiPriority w:val="99"/>
    <w:pPr>
      <w:ind w:firstLine="420"/>
    </w:pPr>
    <w:rPr>
      <w:rFonts w:ascii="Calibri" w:hAnsi="Calibri"/>
      <w:szCs w:val="22"/>
    </w:rPr>
  </w:style>
  <w:style w:type="paragraph" w:customStyle="1" w:styleId="321">
    <w:name w:val="xl87"/>
    <w:basedOn w:val="1"/>
    <w:qFormat/>
    <w:uiPriority w:val="99"/>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322">
    <w:name w:val="列表段落1"/>
    <w:basedOn w:val="1"/>
    <w:qFormat/>
    <w:uiPriority w:val="34"/>
    <w:pPr>
      <w:spacing w:line="240" w:lineRule="auto"/>
    </w:pPr>
    <w:rPr>
      <w:rFonts w:ascii="Calibri" w:hAnsi="Calibri"/>
    </w:rPr>
  </w:style>
  <w:style w:type="paragraph" w:customStyle="1" w:styleId="323">
    <w:name w:val="font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24">
    <w:name w:val="unnamed1"/>
    <w:basedOn w:val="1"/>
    <w:qFormat/>
    <w:uiPriority w:val="99"/>
    <w:pPr>
      <w:widowControl/>
      <w:spacing w:before="100" w:beforeAutospacing="1" w:after="100" w:afterAutospacing="1" w:line="288" w:lineRule="auto"/>
      <w:jc w:val="left"/>
    </w:pPr>
    <w:rPr>
      <w:rFonts w:ascii="宋体" w:hAnsi="宋体"/>
      <w:kern w:val="0"/>
      <w:szCs w:val="21"/>
    </w:rPr>
  </w:style>
  <w:style w:type="paragraph" w:customStyle="1" w:styleId="325">
    <w:name w:val="Other|1"/>
    <w:basedOn w:val="1"/>
    <w:qFormat/>
    <w:uiPriority w:val="99"/>
    <w:pPr>
      <w:spacing w:line="240" w:lineRule="auto"/>
      <w:ind w:firstLine="0" w:firstLineChars="0"/>
    </w:pPr>
    <w:rPr>
      <w:rFonts w:ascii="宋体" w:hAnsi="宋体" w:cs="宋体"/>
      <w:lang w:val="zh-TW" w:eastAsia="zh-TW" w:bidi="zh-TW"/>
    </w:rPr>
  </w:style>
  <w:style w:type="paragraph" w:customStyle="1" w:styleId="326">
    <w:name w:val="xl93"/>
    <w:basedOn w:val="1"/>
    <w:qFormat/>
    <w:uiPriority w:val="99"/>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327">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8">
    <w:name w:val="font8"/>
    <w:basedOn w:val="1"/>
    <w:qFormat/>
    <w:uiPriority w:val="99"/>
    <w:pPr>
      <w:widowControl/>
      <w:spacing w:before="100" w:beforeAutospacing="1" w:after="100" w:afterAutospacing="1"/>
      <w:jc w:val="left"/>
    </w:pPr>
    <w:rPr>
      <w:color w:val="000000"/>
      <w:kern w:val="0"/>
      <w:sz w:val="22"/>
      <w:szCs w:val="22"/>
    </w:rPr>
  </w:style>
  <w:style w:type="paragraph" w:customStyle="1" w:styleId="32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0">
    <w:name w:val="1"/>
    <w:basedOn w:val="1"/>
    <w:next w:val="28"/>
    <w:qFormat/>
    <w:uiPriority w:val="99"/>
    <w:rPr>
      <w:rFonts w:ascii="宋体" w:hAnsi="Courier New"/>
      <w:szCs w:val="20"/>
    </w:rPr>
  </w:style>
  <w:style w:type="paragraph" w:customStyle="1" w:styleId="331">
    <w:name w:val="投标文件"/>
    <w:basedOn w:val="45"/>
    <w:qFormat/>
    <w:uiPriority w:val="99"/>
  </w:style>
  <w:style w:type="paragraph" w:customStyle="1" w:styleId="332">
    <w:name w:val="xl11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3">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35">
    <w:name w:val="xl12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6">
    <w:name w:val="List Paragraph1"/>
    <w:basedOn w:val="1"/>
    <w:qFormat/>
    <w:uiPriority w:val="99"/>
    <w:pPr>
      <w:ind w:firstLine="420"/>
    </w:pPr>
  </w:style>
  <w:style w:type="table" w:customStyle="1" w:styleId="337">
    <w:name w:val="网格型2"/>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3"/>
    <w:basedOn w:val="49"/>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1"/>
    <w:basedOn w:val="4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41">
    <w:name w:val="默认 A"/>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126</Pages>
  <Words>13891</Words>
  <Characters>79180</Characters>
  <Lines>659</Lines>
  <Paragraphs>185</Paragraphs>
  <TotalTime>154</TotalTime>
  <ScaleCrop>false</ScaleCrop>
  <LinksUpToDate>false</LinksUpToDate>
  <CharactersWithSpaces>92886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2025-08-26T07:20:00Z</dcterms:created>
  <dc:creator>Administrator</dc:creator>
  <cp:lastModifiedBy>Lenovo</cp:lastModifiedBy>
  <cp:lastPrinted>2025-10-30T03:27:00Z</cp:lastPrinted>
  <dcterms:modified xsi:type="dcterms:W3CDTF">2025-10-31T02:08:52Z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0129A61EF3D641109B0DB1790C08772A</vt:lpwstr>
  </property>
  <property fmtid="{D5CDD505-2E9C-101B-9397-08002B2CF9AE}" pid="4" name="KSOTemplateDocerSaveRecord">
    <vt:lpwstr>eyJoZGlkIjoiMzJjNWE1NjNmNDE2OTRjZjJlOWMyMWJkODk5NmYzOTUifQ==</vt:lpwstr>
  </property>
</Properties>
</file>