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pacing w:before="156" w:beforeLines="50" w:line="780" w:lineRule="exact"/>
        <w:jc w:val="center"/>
        <w:rPr>
          <w:rFonts w:ascii="方正小标宋_GBK" w:hAnsi="黑体" w:eastAsia="方正小标宋_GBK"/>
          <w:b/>
          <w:sz w:val="84"/>
          <w:szCs w:val="84"/>
        </w:rPr>
      </w:pPr>
      <w:r>
        <w:rPr>
          <w:rFonts w:hint="eastAsia" w:ascii="方正小标宋_GBK" w:hAnsi="黑体" w:eastAsia="方正小标宋_GBK"/>
          <w:b/>
          <w:sz w:val="84"/>
          <w:szCs w:val="84"/>
        </w:rPr>
        <w:t>竞争性谈判采购文件</w:t>
      </w:r>
    </w:p>
    <w:p/>
    <w:p/>
    <w:p/>
    <w:p/>
    <w:p/>
    <w:p/>
    <w:p/>
    <w:p/>
    <w:p/>
    <w:p/>
    <w:p/>
    <w:p/>
    <w:p>
      <w:pPr>
        <w:spacing w:line="500" w:lineRule="exact"/>
        <w:ind w:left="3515" w:leftChars="912" w:hanging="1600" w:hangingChars="5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项目名称:</w:t>
      </w:r>
      <w:r>
        <w:rPr>
          <w:rFonts w:hint="eastAsia" w:ascii="方正小标宋_GBK" w:hAnsi="微软雅黑" w:eastAsia="方正小标宋_GBK"/>
          <w:sz w:val="32"/>
          <w:szCs w:val="32"/>
          <w:lang w:eastAsia="zh-CN"/>
        </w:rPr>
        <w:t>钦州港经济技术开发区东港区第二幼儿园户内外玩教具设备</w:t>
      </w:r>
    </w:p>
    <w:p>
      <w:pPr>
        <w:spacing w:line="500" w:lineRule="exact"/>
        <w:ind w:firstLine="1920" w:firstLineChars="6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项目编号:</w:t>
      </w:r>
      <w:bookmarkStart w:id="157" w:name="_GoBack"/>
      <w:bookmarkEnd w:id="157"/>
      <w:r>
        <w:rPr>
          <w:rFonts w:hint="eastAsia" w:ascii="方正小标宋_GBK" w:hAnsi="微软雅黑" w:eastAsia="方正小标宋_GBK"/>
          <w:sz w:val="32"/>
          <w:szCs w:val="32"/>
          <w:lang w:eastAsia="zh-CN"/>
        </w:rPr>
        <w:t>QZZC2025-J1-980014-QZSZ</w:t>
      </w:r>
    </w:p>
    <w:p/>
    <w:p/>
    <w:p/>
    <w:p/>
    <w:p/>
    <w:p/>
    <w:p/>
    <w:p/>
    <w:p/>
    <w:p/>
    <w:p/>
    <w:p/>
    <w:p/>
    <w:p/>
    <w:p/>
    <w:p/>
    <w:p/>
    <w:p/>
    <w:p/>
    <w:p>
      <w:pPr>
        <w:spacing w:line="360" w:lineRule="exact"/>
        <w:jc w:val="center"/>
        <w:rPr>
          <w:rFonts w:ascii="方正小标宋_GBK" w:hAnsi="微软雅黑" w:eastAsia="方正小标宋_GBK"/>
          <w:sz w:val="32"/>
          <w:szCs w:val="32"/>
        </w:rPr>
      </w:pPr>
      <w:r>
        <w:rPr>
          <w:rFonts w:hint="eastAsia" w:ascii="方正小标宋_GBK" w:hAnsi="微软雅黑" w:eastAsia="方正小标宋_GBK"/>
          <w:sz w:val="32"/>
          <w:szCs w:val="32"/>
        </w:rPr>
        <w:t>钦州市政府采购中心</w:t>
      </w:r>
    </w:p>
    <w:p>
      <w:pPr>
        <w:tabs>
          <w:tab w:val="left" w:pos="360"/>
        </w:tabs>
        <w:spacing w:line="440" w:lineRule="exact"/>
        <w:jc w:val="center"/>
        <w:rPr>
          <w:rFonts w:hint="eastAsia" w:ascii="仿宋_GB2312" w:hAnsi="宋体" w:eastAsia="方正小标宋_GBK"/>
          <w:sz w:val="32"/>
          <w:szCs w:val="32"/>
          <w:lang w:eastAsia="zh-CN"/>
        </w:rPr>
      </w:pPr>
      <w:r>
        <w:rPr>
          <w:rFonts w:hint="eastAsia" w:ascii="方正小标宋_GBK" w:hAnsi="微软雅黑" w:eastAsia="方正小标宋_GBK"/>
          <w:sz w:val="32"/>
          <w:szCs w:val="32"/>
        </w:rPr>
        <w:t>2025年</w:t>
      </w:r>
      <w:r>
        <w:rPr>
          <w:rFonts w:hint="eastAsia" w:ascii="方正小标宋_GBK" w:hAnsi="微软雅黑" w:eastAsia="方正小标宋_GBK"/>
          <w:sz w:val="32"/>
          <w:szCs w:val="32"/>
          <w:lang w:eastAsia="zh-CN"/>
        </w:rPr>
        <w:t>10月</w:t>
      </w:r>
    </w:p>
    <w:p/>
    <w:p/>
    <w:p>
      <w:pPr>
        <w:spacing w:line="640" w:lineRule="exact"/>
        <w:jc w:val="center"/>
        <w:rPr>
          <w:rFonts w:ascii="方正小标宋_GBK" w:hAnsi="宋体" w:eastAsia="方正小标宋_GBK"/>
          <w:b/>
          <w:sz w:val="32"/>
          <w:szCs w:val="32"/>
        </w:rPr>
      </w:pPr>
      <w:r>
        <w:rPr>
          <w:rFonts w:hint="eastAsia" w:ascii="方正小标宋_GBK" w:hAnsi="宋体" w:eastAsia="方正小标宋_GBK"/>
          <w:b/>
          <w:sz w:val="44"/>
          <w:szCs w:val="44"/>
        </w:rPr>
        <w:t>目   录</w:t>
      </w:r>
    </w:p>
    <w:p/>
    <w:p>
      <w:pPr>
        <w:pStyle w:val="27"/>
        <w:tabs>
          <w:tab w:val="right" w:leader="dot" w:pos="9514"/>
        </w:tabs>
        <w:spacing w:line="1000" w:lineRule="exact"/>
        <w:rPr>
          <w:rFonts w:asciiTheme="minorHAnsi" w:hAnsiTheme="minorHAnsi" w:eastAsiaTheme="minorEastAsia" w:cstheme="minorBidi"/>
          <w:sz w:val="28"/>
          <w:szCs w:val="28"/>
        </w:rPr>
      </w:pPr>
      <w:bookmarkStart w:id="0" w:name="_Toc354479497"/>
      <w:r>
        <w:rPr>
          <w:rFonts w:hint="eastAsia" w:ascii="方正小标宋_GBK" w:hAnsi="仿宋" w:eastAsia="方正小标宋_GBK"/>
          <w:b/>
          <w:sz w:val="28"/>
          <w:szCs w:val="28"/>
        </w:rPr>
        <w:fldChar w:fldCharType="begin"/>
      </w:r>
      <w:r>
        <w:rPr>
          <w:rFonts w:hint="eastAsia" w:ascii="方正小标宋_GBK" w:hAnsi="仿宋" w:eastAsia="方正小标宋_GBK"/>
          <w:b/>
          <w:sz w:val="28"/>
          <w:szCs w:val="28"/>
        </w:rPr>
        <w:instrText xml:space="preserve"> TOC \o "1-1" \h \z \u </w:instrText>
      </w:r>
      <w:r>
        <w:rPr>
          <w:rFonts w:hint="eastAsia" w:ascii="方正小标宋_GBK" w:hAnsi="仿宋" w:eastAsia="方正小标宋_GBK"/>
          <w:b/>
          <w:sz w:val="28"/>
          <w:szCs w:val="28"/>
        </w:rPr>
        <w:fldChar w:fldCharType="separate"/>
      </w:r>
      <w:r>
        <w:fldChar w:fldCharType="begin"/>
      </w:r>
      <w:r>
        <w:instrText xml:space="preserve"> HYPERLINK \l "_Toc92355023" </w:instrText>
      </w:r>
      <w:r>
        <w:fldChar w:fldCharType="separate"/>
      </w:r>
      <w:r>
        <w:rPr>
          <w:rStyle w:val="41"/>
          <w:rFonts w:ascii="方正小标宋_GBK" w:hAnsi="宋体" w:eastAsia="方正小标宋_GBK"/>
          <w:color w:val="auto"/>
          <w:sz w:val="28"/>
          <w:szCs w:val="28"/>
        </w:rPr>
        <w:t>第一章  竞争性谈判公告</w:t>
      </w:r>
      <w:r>
        <w:rPr>
          <w:sz w:val="28"/>
          <w:szCs w:val="28"/>
        </w:rPr>
        <w:tab/>
      </w:r>
      <w:r>
        <w:rPr>
          <w:sz w:val="28"/>
          <w:szCs w:val="28"/>
        </w:rPr>
        <w:fldChar w:fldCharType="begin"/>
      </w:r>
      <w:r>
        <w:rPr>
          <w:sz w:val="28"/>
          <w:szCs w:val="28"/>
        </w:rPr>
        <w:instrText xml:space="preserve"> PAGEREF _Toc92355023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"_Toc92355024" </w:instrText>
      </w:r>
      <w:r>
        <w:fldChar w:fldCharType="separate"/>
      </w:r>
      <w:r>
        <w:rPr>
          <w:rStyle w:val="41"/>
          <w:rFonts w:ascii="方正小标宋_GBK" w:hAnsi="宋体" w:eastAsia="方正小标宋_GBK"/>
          <w:color w:val="auto"/>
          <w:sz w:val="28"/>
          <w:szCs w:val="28"/>
        </w:rPr>
        <w:t>第二章  项目需求</w:t>
      </w:r>
      <w:r>
        <w:rPr>
          <w:sz w:val="28"/>
          <w:szCs w:val="28"/>
        </w:rPr>
        <w:tab/>
      </w:r>
      <w:r>
        <w:rPr>
          <w:sz w:val="28"/>
          <w:szCs w:val="28"/>
        </w:rPr>
        <w:fldChar w:fldCharType="begin"/>
      </w:r>
      <w:r>
        <w:rPr>
          <w:sz w:val="28"/>
          <w:szCs w:val="28"/>
        </w:rPr>
        <w:instrText xml:space="preserve"> PAGEREF _Toc92355024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"_Toc92355025" </w:instrText>
      </w:r>
      <w:r>
        <w:fldChar w:fldCharType="separate"/>
      </w:r>
      <w:r>
        <w:rPr>
          <w:rStyle w:val="41"/>
          <w:rFonts w:ascii="方正小标宋简体" w:eastAsia="方正小标宋简体"/>
          <w:color w:val="auto"/>
          <w:sz w:val="28"/>
          <w:szCs w:val="28"/>
        </w:rPr>
        <w:t>第三章  供应商须知</w:t>
      </w:r>
      <w:r>
        <w:rPr>
          <w:sz w:val="28"/>
          <w:szCs w:val="28"/>
        </w:rPr>
        <w:tab/>
      </w:r>
      <w:r>
        <w:rPr>
          <w:sz w:val="28"/>
          <w:szCs w:val="28"/>
        </w:rPr>
        <w:fldChar w:fldCharType="begin"/>
      </w:r>
      <w:r>
        <w:rPr>
          <w:sz w:val="28"/>
          <w:szCs w:val="28"/>
        </w:rPr>
        <w:instrText xml:space="preserve"> PAGEREF _Toc92355025 \h </w:instrText>
      </w:r>
      <w:r>
        <w:rPr>
          <w:sz w:val="28"/>
          <w:szCs w:val="28"/>
        </w:rPr>
        <w:fldChar w:fldCharType="separate"/>
      </w:r>
      <w:r>
        <w:rPr>
          <w:sz w:val="28"/>
          <w:szCs w:val="28"/>
        </w:rPr>
        <w:t>43</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"_Toc92355026" </w:instrText>
      </w:r>
      <w:r>
        <w:fldChar w:fldCharType="separate"/>
      </w:r>
      <w:r>
        <w:rPr>
          <w:rStyle w:val="41"/>
          <w:rFonts w:ascii="方正小标宋_GBK" w:hAnsi="宋体" w:eastAsia="方正小标宋_GBK"/>
          <w:color w:val="auto"/>
          <w:sz w:val="28"/>
          <w:szCs w:val="28"/>
        </w:rPr>
        <w:t>第四章  评定标准及推荐原则</w:t>
      </w:r>
      <w:r>
        <w:rPr>
          <w:sz w:val="28"/>
          <w:szCs w:val="28"/>
        </w:rPr>
        <w:tab/>
      </w:r>
      <w:r>
        <w:rPr>
          <w:sz w:val="28"/>
          <w:szCs w:val="28"/>
        </w:rPr>
        <w:fldChar w:fldCharType="begin"/>
      </w:r>
      <w:r>
        <w:rPr>
          <w:sz w:val="28"/>
          <w:szCs w:val="28"/>
        </w:rPr>
        <w:instrText xml:space="preserve"> PAGEREF _Toc92355026 \h </w:instrText>
      </w:r>
      <w:r>
        <w:rPr>
          <w:sz w:val="28"/>
          <w:szCs w:val="28"/>
        </w:rPr>
        <w:fldChar w:fldCharType="separate"/>
      </w:r>
      <w:r>
        <w:rPr>
          <w:sz w:val="28"/>
          <w:szCs w:val="28"/>
        </w:rPr>
        <w:t>55</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"_Toc92355027" </w:instrText>
      </w:r>
      <w:r>
        <w:fldChar w:fldCharType="separate"/>
      </w:r>
      <w:r>
        <w:rPr>
          <w:rStyle w:val="41"/>
          <w:rFonts w:ascii="方正小标宋_GBK" w:eastAsia="方正小标宋_GBK"/>
          <w:color w:val="auto"/>
          <w:sz w:val="28"/>
          <w:szCs w:val="28"/>
        </w:rPr>
        <w:t>第五章  合同文本</w:t>
      </w:r>
      <w:r>
        <w:rPr>
          <w:sz w:val="28"/>
          <w:szCs w:val="28"/>
        </w:rPr>
        <w:tab/>
      </w:r>
      <w:r>
        <w:rPr>
          <w:sz w:val="28"/>
          <w:szCs w:val="28"/>
        </w:rPr>
        <w:fldChar w:fldCharType="begin"/>
      </w:r>
      <w:r>
        <w:rPr>
          <w:sz w:val="28"/>
          <w:szCs w:val="28"/>
        </w:rPr>
        <w:instrText xml:space="preserve"> PAGEREF _Toc92355027 \h </w:instrText>
      </w:r>
      <w:r>
        <w:rPr>
          <w:sz w:val="28"/>
          <w:szCs w:val="28"/>
        </w:rPr>
        <w:fldChar w:fldCharType="separate"/>
      </w:r>
      <w:r>
        <w:rPr>
          <w:sz w:val="28"/>
          <w:szCs w:val="28"/>
        </w:rPr>
        <w:t>57</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"_Toc92355028" </w:instrText>
      </w:r>
      <w:r>
        <w:fldChar w:fldCharType="separate"/>
      </w:r>
      <w:r>
        <w:rPr>
          <w:rStyle w:val="41"/>
          <w:rFonts w:ascii="方正小标宋_GBK" w:hAnsi="方正小标宋_GBK" w:eastAsia="方正小标宋_GBK"/>
          <w:color w:val="auto"/>
          <w:sz w:val="28"/>
          <w:szCs w:val="28"/>
        </w:rPr>
        <w:t>第六章  响应文件格式</w:t>
      </w:r>
      <w:r>
        <w:rPr>
          <w:sz w:val="28"/>
          <w:szCs w:val="28"/>
        </w:rPr>
        <w:tab/>
      </w:r>
      <w:r>
        <w:rPr>
          <w:sz w:val="28"/>
          <w:szCs w:val="28"/>
        </w:rPr>
        <w:fldChar w:fldCharType="begin"/>
      </w:r>
      <w:r>
        <w:rPr>
          <w:sz w:val="28"/>
          <w:szCs w:val="28"/>
        </w:rPr>
        <w:instrText xml:space="preserve"> PAGEREF _Toc92355028 \h </w:instrText>
      </w:r>
      <w:r>
        <w:rPr>
          <w:sz w:val="28"/>
          <w:szCs w:val="28"/>
        </w:rPr>
        <w:fldChar w:fldCharType="separate"/>
      </w:r>
      <w:r>
        <w:rPr>
          <w:sz w:val="28"/>
          <w:szCs w:val="28"/>
        </w:rPr>
        <w:t>73</w:t>
      </w:r>
      <w:r>
        <w:rPr>
          <w:sz w:val="28"/>
          <w:szCs w:val="28"/>
        </w:rPr>
        <w:fldChar w:fldCharType="end"/>
      </w:r>
      <w:r>
        <w:rPr>
          <w:sz w:val="28"/>
          <w:szCs w:val="28"/>
        </w:rPr>
        <w:fldChar w:fldCharType="end"/>
      </w:r>
    </w:p>
    <w:p>
      <w:pPr>
        <w:sectPr>
          <w:footerReference r:id="rId4" w:type="first"/>
          <w:footerReference r:id="rId3" w:type="default"/>
          <w:pgSz w:w="11906" w:h="16838"/>
          <w:pgMar w:top="936" w:right="1191" w:bottom="936" w:left="1191" w:header="851" w:footer="992" w:gutter="0"/>
          <w:pgNumType w:start="1"/>
          <w:cols w:space="720" w:num="1"/>
          <w:docGrid w:type="lines" w:linePitch="312" w:charSpace="0"/>
        </w:sectPr>
      </w:pPr>
      <w:r>
        <w:rPr>
          <w:rFonts w:hint="eastAsia"/>
        </w:rPr>
        <w:fldChar w:fldCharType="end"/>
      </w:r>
    </w:p>
    <w:p/>
    <w:p>
      <w:pPr>
        <w:widowControl/>
        <w:jc w:val="left"/>
      </w:pPr>
    </w:p>
    <w:p/>
    <w:p/>
    <w:p/>
    <w:p/>
    <w:p/>
    <w:p/>
    <w:p/>
    <w:p/>
    <w:p/>
    <w:p/>
    <w:p/>
    <w:p/>
    <w:p>
      <w:pPr>
        <w:pStyle w:val="3"/>
        <w:spacing w:line="400" w:lineRule="exact"/>
        <w:rPr>
          <w:rFonts w:ascii="方正小标宋_GBK" w:hAnsi="宋体" w:eastAsia="方正小标宋_GBK"/>
        </w:rPr>
      </w:pPr>
      <w:bookmarkStart w:id="1" w:name="_Toc92355023"/>
      <w:r>
        <w:rPr>
          <w:rFonts w:hint="eastAsia" w:ascii="方正小标宋_GBK" w:hAnsi="宋体" w:eastAsia="方正小标宋_GBK"/>
        </w:rPr>
        <w:t>第一章  竞争性谈判公告</w:t>
      </w:r>
      <w:bookmarkEnd w:id="0"/>
      <w:bookmarkEnd w:id="1"/>
    </w:p>
    <w:p>
      <w:pPr>
        <w:spacing w:line="600" w:lineRule="exact"/>
        <w:jc w:val="center"/>
        <w:rPr>
          <w:rFonts w:ascii="黑体" w:hAnsi="宋体" w:eastAsia="黑体"/>
          <w:b/>
          <w:sz w:val="32"/>
          <w:szCs w:val="32"/>
        </w:rPr>
      </w:pPr>
      <w:r>
        <w:rPr>
          <w:rFonts w:ascii="黑体" w:hAnsi="宋体" w:eastAsia="黑体"/>
          <w:b/>
          <w:sz w:val="32"/>
          <w:szCs w:val="32"/>
        </w:rPr>
        <w:br w:type="page"/>
      </w:r>
    </w:p>
    <w:p>
      <w:pPr>
        <w:spacing w:line="600" w:lineRule="exact"/>
        <w:jc w:val="center"/>
        <w:rPr>
          <w:rFonts w:ascii="方正小标宋_GBK" w:hAnsi="宋体" w:eastAsia="方正小标宋_GBK"/>
          <w:b/>
          <w:sz w:val="34"/>
          <w:szCs w:val="34"/>
        </w:rPr>
      </w:pPr>
      <w:r>
        <w:rPr>
          <w:rFonts w:hint="eastAsia" w:ascii="方正小标宋_GBK" w:hAnsi="宋体" w:eastAsia="方正小标宋_GBK"/>
          <w:b/>
          <w:sz w:val="34"/>
          <w:szCs w:val="34"/>
        </w:rPr>
        <w:t>钦州市政府采购中心关于</w:t>
      </w:r>
      <w:r>
        <w:rPr>
          <w:rFonts w:hint="eastAsia" w:ascii="方正小标宋_GBK" w:hAnsi="宋体" w:eastAsia="方正小标宋_GBK"/>
          <w:b/>
          <w:sz w:val="34"/>
          <w:szCs w:val="34"/>
          <w:lang w:eastAsia="zh-CN"/>
        </w:rPr>
        <w:t>钦州港经济技术开发区东港区第二幼儿园户内外玩教具设备</w:t>
      </w:r>
      <w:r>
        <w:rPr>
          <w:rFonts w:ascii="方正小标宋_GBK" w:hAnsi="宋体" w:eastAsia="方正小标宋_GBK"/>
          <w:b/>
          <w:sz w:val="34"/>
          <w:szCs w:val="34"/>
        </w:rPr>
        <w:t>(</w:t>
      </w:r>
      <w:r>
        <w:rPr>
          <w:rFonts w:hint="eastAsia" w:ascii="方正小标宋_GBK" w:hAnsi="宋体" w:eastAsia="方正小标宋_GBK"/>
          <w:b/>
          <w:sz w:val="34"/>
          <w:szCs w:val="34"/>
          <w:lang w:eastAsia="zh-CN"/>
        </w:rPr>
        <w:t>QZZC2025-J1-980014-QZSZ</w:t>
      </w:r>
      <w:r>
        <w:rPr>
          <w:rFonts w:ascii="方正小标宋_GBK" w:hAnsi="宋体" w:eastAsia="方正小标宋_GBK"/>
          <w:b/>
          <w:sz w:val="34"/>
          <w:szCs w:val="34"/>
        </w:rPr>
        <w:t>)</w:t>
      </w:r>
      <w:r>
        <w:rPr>
          <w:rFonts w:hint="eastAsia" w:ascii="方正小标宋_GBK" w:hAnsi="宋体" w:eastAsia="方正小标宋_GBK"/>
          <w:b/>
          <w:sz w:val="34"/>
          <w:szCs w:val="34"/>
        </w:rPr>
        <w:t>的竞争性谈判公告</w:t>
      </w:r>
    </w:p>
    <w:p>
      <w:pPr>
        <w:pBdr>
          <w:top w:val="single" w:color="auto" w:sz="4" w:space="0"/>
          <w:left w:val="single" w:color="auto" w:sz="4" w:space="4"/>
          <w:bottom w:val="single" w:color="auto" w:sz="4" w:space="1"/>
          <w:right w:val="single" w:color="auto" w:sz="4" w:space="4"/>
        </w:pBdr>
        <w:spacing w:line="400" w:lineRule="exact"/>
        <w:rPr>
          <w:rFonts w:ascii="方正小标宋简体" w:hAnsi="宋体" w:eastAsia="方正小标宋简体"/>
          <w:b/>
          <w:sz w:val="32"/>
          <w:szCs w:val="32"/>
        </w:rPr>
      </w:pPr>
      <w:bookmarkStart w:id="2" w:name="_Toc38370138"/>
      <w:r>
        <w:rPr>
          <w:rFonts w:hint="eastAsia" w:ascii="宋体" w:hAnsi="宋体"/>
          <w:szCs w:val="21"/>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ascii="宋体" w:hAnsi="宋体"/>
          <w:szCs w:val="21"/>
        </w:rPr>
      </w:pPr>
      <w:r>
        <w:rPr>
          <w:rFonts w:hint="eastAsia" w:ascii="宋体" w:hAnsi="宋体"/>
          <w:szCs w:val="21"/>
          <w:lang w:eastAsia="zh-CN"/>
        </w:rPr>
        <w:t>钦州港经济技术开发区东港区第二幼儿园户内外玩教具设备</w:t>
      </w:r>
      <w:r>
        <w:rPr>
          <w:rFonts w:hint="eastAsia" w:ascii="宋体" w:hAnsi="宋体"/>
          <w:szCs w:val="21"/>
        </w:rPr>
        <w:t>的潜在供应商应在广西政府采购云平台（https://www.gcy.zfcg.gxzf.gov.cn/）获取采购文件，并于2025</w:t>
      </w:r>
      <w:r>
        <w:rPr>
          <w:rFonts w:hint="eastAsia" w:ascii="宋体" w:hAnsi="宋体"/>
          <w:bCs/>
          <w:szCs w:val="21"/>
        </w:rPr>
        <w:t>年</w:t>
      </w:r>
      <w:r>
        <w:rPr>
          <w:rFonts w:hint="eastAsia" w:ascii="宋体" w:hAnsi="宋体"/>
          <w:bCs/>
          <w:szCs w:val="21"/>
          <w:lang w:eastAsia="zh-CN"/>
        </w:rPr>
        <w:t>10月20日10:00</w:t>
      </w:r>
      <w:r>
        <w:rPr>
          <w:rFonts w:hint="eastAsia" w:ascii="宋体" w:hAnsi="宋体"/>
          <w:bCs/>
          <w:szCs w:val="21"/>
        </w:rPr>
        <w:t>（北京时间）前提交响应</w:t>
      </w:r>
      <w:r>
        <w:rPr>
          <w:rFonts w:ascii="宋体" w:hAnsi="宋体"/>
          <w:bCs/>
          <w:szCs w:val="21"/>
        </w:rPr>
        <w:t>文件</w:t>
      </w:r>
      <w:r>
        <w:rPr>
          <w:rFonts w:hint="eastAsia" w:ascii="宋体" w:hAnsi="宋体"/>
          <w:szCs w:val="21"/>
        </w:rPr>
        <w:t>。</w:t>
      </w:r>
    </w:p>
    <w:bookmarkEnd w:id="2"/>
    <w:p>
      <w:pPr>
        <w:spacing w:line="400" w:lineRule="exact"/>
        <w:rPr>
          <w:b/>
        </w:rPr>
      </w:pPr>
      <w:bookmarkStart w:id="3" w:name="_Toc28359079"/>
      <w:bookmarkStart w:id="4" w:name="_Toc35393621"/>
      <w:bookmarkStart w:id="5" w:name="_Toc28359002"/>
      <w:bookmarkStart w:id="6" w:name="_Toc35393790"/>
      <w:bookmarkStart w:id="7" w:name="_Hlk24379207"/>
      <w:bookmarkStart w:id="8" w:name="_Toc38370146"/>
      <w:r>
        <w:rPr>
          <w:rFonts w:hint="eastAsia"/>
          <w:b/>
        </w:rPr>
        <w:t>一、项目基本情况</w:t>
      </w:r>
      <w:bookmarkEnd w:id="3"/>
      <w:bookmarkEnd w:id="4"/>
      <w:bookmarkEnd w:id="5"/>
      <w:bookmarkEnd w:id="6"/>
    </w:p>
    <w:p>
      <w:pPr>
        <w:spacing w:line="400" w:lineRule="exact"/>
        <w:ind w:firstLine="420"/>
        <w:rPr>
          <w:rFonts w:hint="eastAsia" w:eastAsia="宋体"/>
          <w:lang w:eastAsia="zh-CN"/>
        </w:rPr>
      </w:pPr>
      <w:r>
        <w:rPr>
          <w:rFonts w:hint="eastAsia"/>
        </w:rPr>
        <w:t>项目编号：</w:t>
      </w:r>
      <w:r>
        <w:rPr>
          <w:rFonts w:hint="eastAsia"/>
          <w:lang w:eastAsia="zh-CN"/>
        </w:rPr>
        <w:t>QZZC2025-J1-980014-QZSZ</w:t>
      </w:r>
    </w:p>
    <w:p>
      <w:pPr>
        <w:spacing w:line="400" w:lineRule="exact"/>
        <w:ind w:firstLine="420"/>
        <w:rPr>
          <w:rFonts w:hint="eastAsia" w:eastAsia="宋体"/>
          <w:lang w:eastAsia="zh-CN"/>
        </w:rPr>
      </w:pPr>
      <w:r>
        <w:rPr>
          <w:rFonts w:hint="eastAsia"/>
        </w:rPr>
        <w:t>项目名称：</w:t>
      </w:r>
      <w:bookmarkStart w:id="9" w:name="OLE_LINK3"/>
      <w:r>
        <w:rPr>
          <w:rFonts w:hint="eastAsia"/>
          <w:lang w:eastAsia="zh-CN"/>
        </w:rPr>
        <w:t>钦州港经济技术开发区东港区第二幼儿园户内外玩教具设备</w:t>
      </w:r>
    </w:p>
    <w:bookmarkEnd w:id="7"/>
    <w:bookmarkEnd w:id="9"/>
    <w:p>
      <w:pPr>
        <w:spacing w:line="400" w:lineRule="exact"/>
        <w:ind w:firstLine="420"/>
        <w:rPr>
          <w:rFonts w:hint="eastAsia" w:eastAsia="宋体"/>
          <w:lang w:eastAsia="zh-CN"/>
        </w:rPr>
      </w:pPr>
      <w:r>
        <w:rPr>
          <w:rFonts w:hint="eastAsia"/>
        </w:rPr>
        <w:t>预算总金额(元</w:t>
      </w:r>
      <w:r>
        <w:t>)</w:t>
      </w:r>
      <w:r>
        <w:rPr>
          <w:rFonts w:hint="eastAsia"/>
        </w:rPr>
        <w:t>：</w:t>
      </w:r>
      <w:r>
        <w:rPr>
          <w:rFonts w:hint="eastAsia"/>
          <w:lang w:eastAsia="zh-CN"/>
        </w:rPr>
        <w:t>829,437.00</w:t>
      </w:r>
    </w:p>
    <w:p>
      <w:pPr>
        <w:spacing w:line="400" w:lineRule="exact"/>
        <w:ind w:firstLine="420"/>
      </w:pPr>
      <w:r>
        <w:rPr>
          <w:rFonts w:hint="eastAsia"/>
        </w:rPr>
        <w:t>采购需求：</w:t>
      </w:r>
    </w:p>
    <w:p>
      <w:pPr>
        <w:spacing w:line="400" w:lineRule="exact"/>
        <w:ind w:firstLine="420"/>
      </w:pPr>
    </w:p>
    <w:p>
      <w:pPr>
        <w:spacing w:line="400" w:lineRule="exact"/>
        <w:ind w:firstLine="420"/>
        <w:rPr>
          <w:rFonts w:hint="eastAsia" w:eastAsia="宋体"/>
          <w:lang w:eastAsia="zh-CN"/>
        </w:rPr>
      </w:pPr>
      <w:r>
        <w:rPr>
          <w:rFonts w:hint="eastAsia"/>
        </w:rPr>
        <w:t>标项名称：</w:t>
      </w:r>
      <w:r>
        <w:t xml:space="preserve"> </w:t>
      </w:r>
      <w:r>
        <w:rPr>
          <w:rFonts w:hint="eastAsia"/>
          <w:lang w:eastAsia="zh-CN"/>
        </w:rPr>
        <w:t>钦州港经济技术开发区东港区第二幼儿园户内外玩教具设备</w:t>
      </w:r>
    </w:p>
    <w:p>
      <w:pPr>
        <w:spacing w:line="400" w:lineRule="exact"/>
        <w:ind w:firstLine="420"/>
      </w:pPr>
      <w:r>
        <w:rPr>
          <w:rFonts w:hint="eastAsia"/>
        </w:rPr>
        <w:t>数量：1</w:t>
      </w:r>
    </w:p>
    <w:p>
      <w:pPr>
        <w:spacing w:line="400" w:lineRule="exact"/>
        <w:ind w:firstLine="420"/>
        <w:rPr>
          <w:rFonts w:hint="eastAsia" w:eastAsia="宋体"/>
          <w:lang w:eastAsia="zh-CN"/>
        </w:rPr>
      </w:pPr>
      <w:r>
        <w:rPr>
          <w:rFonts w:hint="eastAsia"/>
        </w:rPr>
        <w:t>预算金额(元</w:t>
      </w:r>
      <w:r>
        <w:t>)</w:t>
      </w:r>
      <w:r>
        <w:rPr>
          <w:rFonts w:hint="eastAsia"/>
        </w:rPr>
        <w:t>：</w:t>
      </w:r>
      <w:r>
        <w:rPr>
          <w:rFonts w:hint="eastAsia"/>
          <w:lang w:eastAsia="zh-CN"/>
        </w:rPr>
        <w:t>829,437.00</w:t>
      </w:r>
    </w:p>
    <w:p>
      <w:pPr>
        <w:spacing w:line="400" w:lineRule="exact"/>
        <w:ind w:firstLine="420"/>
      </w:pPr>
      <w:r>
        <w:rPr>
          <w:rFonts w:hint="eastAsia"/>
        </w:rPr>
        <w:t>简要规格描述或项目基本概况介绍、用途：</w:t>
      </w:r>
      <w:r>
        <w:rPr>
          <w:rFonts w:hint="eastAsia"/>
          <w:lang w:eastAsia="zh-CN"/>
        </w:rPr>
        <w:t>钦州港经济技术开发区东港区第二幼儿园户内外玩教具设备</w:t>
      </w:r>
      <w:r>
        <w:rPr>
          <w:rFonts w:hint="eastAsia"/>
        </w:rPr>
        <w:t>一批，具体详见采购文件。</w:t>
      </w:r>
    </w:p>
    <w:p>
      <w:pPr>
        <w:spacing w:line="400" w:lineRule="exact"/>
        <w:ind w:firstLine="420"/>
      </w:pPr>
      <w:r>
        <w:rPr>
          <w:rFonts w:hint="eastAsia"/>
        </w:rPr>
        <w:t>最高限价(如有</w:t>
      </w:r>
      <w:r>
        <w:t>)</w:t>
      </w:r>
      <w:r>
        <w:rPr>
          <w:rFonts w:hint="eastAsia"/>
        </w:rPr>
        <w:t>：</w:t>
      </w:r>
    </w:p>
    <w:p>
      <w:pPr>
        <w:spacing w:line="400" w:lineRule="exact"/>
        <w:ind w:firstLine="420"/>
      </w:pPr>
      <w:r>
        <w:rPr>
          <w:rFonts w:hint="eastAsia"/>
        </w:rPr>
        <w:t>合同履行期限：自合同签订之日起</w:t>
      </w:r>
      <w:r>
        <w:rPr>
          <w:rFonts w:hint="eastAsia"/>
          <w:lang w:val="en-US" w:eastAsia="zh-CN"/>
        </w:rPr>
        <w:t>10个</w:t>
      </w:r>
      <w:r>
        <w:rPr>
          <w:rFonts w:hint="eastAsia"/>
        </w:rPr>
        <w:t>日历天内交货（安装）完成并通过验收。</w:t>
      </w:r>
    </w:p>
    <w:p>
      <w:pPr>
        <w:spacing w:line="400" w:lineRule="exact"/>
        <w:ind w:firstLine="420"/>
      </w:pPr>
      <w:r>
        <w:rPr>
          <w:rFonts w:hint="eastAsia"/>
        </w:rPr>
        <w:t>本标项(否</w:t>
      </w:r>
      <w:r>
        <w:t>)</w:t>
      </w:r>
      <w:r>
        <w:rPr>
          <w:rFonts w:hint="eastAsia"/>
        </w:rPr>
        <w:t>接受联合体投标。</w:t>
      </w:r>
    </w:p>
    <w:p>
      <w:pPr>
        <w:spacing w:line="400" w:lineRule="exact"/>
        <w:ind w:firstLine="420"/>
      </w:pPr>
      <w:r>
        <w:rPr>
          <w:rFonts w:hint="eastAsia"/>
        </w:rPr>
        <w:t>备注：</w:t>
      </w:r>
    </w:p>
    <w:p>
      <w:pPr>
        <w:spacing w:line="400" w:lineRule="exact"/>
        <w:ind w:firstLine="420"/>
      </w:pPr>
    </w:p>
    <w:p>
      <w:pPr>
        <w:spacing w:line="400" w:lineRule="exact"/>
        <w:rPr>
          <w:b/>
        </w:rPr>
      </w:pPr>
      <w:bookmarkStart w:id="10" w:name="_Toc28359003"/>
      <w:bookmarkStart w:id="11" w:name="_Toc35393622"/>
      <w:bookmarkStart w:id="12" w:name="_Toc35393791"/>
      <w:bookmarkStart w:id="13" w:name="_Toc28359080"/>
      <w:r>
        <w:rPr>
          <w:rFonts w:hint="eastAsia"/>
          <w:b/>
        </w:rPr>
        <w:t>二、申请人的资格要求：</w:t>
      </w:r>
      <w:bookmarkEnd w:id="10"/>
      <w:bookmarkEnd w:id="11"/>
      <w:bookmarkEnd w:id="12"/>
      <w:bookmarkEnd w:id="13"/>
      <w:bookmarkStart w:id="14" w:name="_Toc28359004"/>
      <w:bookmarkStart w:id="15" w:name="_Toc28359081"/>
      <w:bookmarkStart w:id="16" w:name="_Toc35393792"/>
      <w:bookmarkStart w:id="17" w:name="_Toc35393623"/>
    </w:p>
    <w:p>
      <w:pPr>
        <w:spacing w:line="400" w:lineRule="exact"/>
        <w:ind w:firstLine="420"/>
        <w:rPr>
          <w:b/>
        </w:rPr>
      </w:pPr>
      <w:r>
        <w:rPr>
          <w:rFonts w:hint="eastAsia"/>
        </w:rPr>
        <w:t>1.满足《中华人民共和国政府采购法》第二十二条规定</w:t>
      </w:r>
    </w:p>
    <w:p>
      <w:pPr>
        <w:spacing w:line="400" w:lineRule="exact"/>
        <w:ind w:firstLine="420"/>
      </w:pPr>
      <w:r>
        <w:rPr>
          <w:rFonts w:hint="eastAsia"/>
        </w:rPr>
        <w:t>2.落实政府采购政策需满足的资格要求：货物全部由符合政策要求的</w:t>
      </w:r>
      <w:r>
        <w:rPr>
          <w:rFonts w:hint="eastAsia"/>
          <w:lang w:val="en-US" w:eastAsia="zh-CN"/>
        </w:rPr>
        <w:t>小微</w:t>
      </w:r>
      <w:r>
        <w:rPr>
          <w:rFonts w:hint="eastAsia"/>
        </w:rPr>
        <w:t>企业制造</w:t>
      </w:r>
    </w:p>
    <w:p>
      <w:pPr>
        <w:spacing w:line="400" w:lineRule="exact"/>
        <w:ind w:firstLine="435"/>
      </w:pPr>
      <w:r>
        <w:rPr>
          <w:rFonts w:hint="eastAsia"/>
        </w:rPr>
        <w:t>3.本项目的特定资格要求：无</w:t>
      </w:r>
    </w:p>
    <w:p>
      <w:pPr>
        <w:spacing w:line="400" w:lineRule="exact"/>
        <w:rPr>
          <w:b/>
        </w:rPr>
      </w:pPr>
      <w:r>
        <w:rPr>
          <w:rFonts w:hint="eastAsia"/>
          <w:b/>
        </w:rPr>
        <w:t>三、获取采购文件</w:t>
      </w:r>
      <w:bookmarkEnd w:id="14"/>
      <w:bookmarkEnd w:id="15"/>
      <w:bookmarkEnd w:id="16"/>
      <w:bookmarkEnd w:id="17"/>
    </w:p>
    <w:p>
      <w:pPr>
        <w:spacing w:line="400" w:lineRule="exact"/>
        <w:ind w:firstLine="420"/>
        <w:jc w:val="left"/>
      </w:pPr>
      <w:bookmarkStart w:id="18" w:name="_Toc38370141"/>
      <w:r>
        <w:rPr>
          <w:rFonts w:hint="eastAsia"/>
        </w:rPr>
        <w:t>时间：2025年</w:t>
      </w:r>
      <w:r>
        <w:rPr>
          <w:rFonts w:hint="eastAsia"/>
          <w:lang w:eastAsia="zh-CN"/>
        </w:rPr>
        <w:t>10月</w:t>
      </w:r>
      <w:r>
        <w:rPr>
          <w:rFonts w:hint="eastAsia"/>
          <w:lang w:val="en-US" w:eastAsia="zh-CN"/>
        </w:rPr>
        <w:t>9</w:t>
      </w:r>
      <w:r>
        <w:rPr>
          <w:rFonts w:hint="eastAsia"/>
        </w:rPr>
        <w:t>日至2025年</w:t>
      </w:r>
      <w:r>
        <w:rPr>
          <w:rFonts w:hint="eastAsia"/>
          <w:lang w:eastAsia="zh-CN"/>
        </w:rPr>
        <w:t>10月</w:t>
      </w:r>
      <w:r>
        <w:rPr>
          <w:rFonts w:hint="eastAsia"/>
          <w:lang w:val="en-US" w:eastAsia="zh-CN"/>
        </w:rPr>
        <w:t>13</w:t>
      </w:r>
      <w:r>
        <w:rPr>
          <w:rFonts w:hint="eastAsia"/>
        </w:rPr>
        <w:t>日 ，每天上午00:00至12:00，下午12:00至23:59（北京时间，法定节假日除外）</w:t>
      </w:r>
    </w:p>
    <w:p>
      <w:pPr>
        <w:spacing w:line="400" w:lineRule="exact"/>
        <w:ind w:firstLine="420"/>
      </w:pPr>
      <w:r>
        <w:rPr>
          <w:rFonts w:hint="eastAsia"/>
        </w:rPr>
        <w:t>地点(网址</w:t>
      </w:r>
      <w:r>
        <w:t>)</w:t>
      </w:r>
      <w:r>
        <w:rPr>
          <w:rFonts w:hint="eastAsia"/>
        </w:rPr>
        <w:t>：</w:t>
      </w:r>
      <w:bookmarkStart w:id="19" w:name="OLE_LINK9"/>
      <w:bookmarkStart w:id="20" w:name="OLE_LINK4"/>
      <w:r>
        <w:rPr>
          <w:rFonts w:hint="eastAsia" w:ascii="宋体" w:hAnsi="宋体"/>
          <w:szCs w:val="21"/>
        </w:rPr>
        <w:t>广西政府采购云平台（https://www.gcy.zfcg.gxzf.gov.cn/）</w:t>
      </w:r>
      <w:bookmarkEnd w:id="19"/>
    </w:p>
    <w:bookmarkEnd w:id="20"/>
    <w:p>
      <w:pPr>
        <w:spacing w:line="400" w:lineRule="exact"/>
        <w:ind w:firstLine="420"/>
      </w:pPr>
      <w:r>
        <w:rPr>
          <w:rFonts w:hint="eastAsia"/>
        </w:rPr>
        <w:t>方式：</w:t>
      </w:r>
      <w:bookmarkStart w:id="21" w:name="OLE_LINK5"/>
      <w:r>
        <w:rPr>
          <w:rFonts w:hint="eastAsia"/>
        </w:rPr>
        <w:t>供应商登录广西政府采购云平台(以下称“政采云平台”)在线获取采购文件（进入“项目采购”应用选择项目，获取采购文件）</w:t>
      </w:r>
      <w:bookmarkEnd w:id="21"/>
    </w:p>
    <w:p>
      <w:pPr>
        <w:spacing w:line="400" w:lineRule="exact"/>
        <w:ind w:firstLine="420"/>
      </w:pPr>
      <w:r>
        <w:rPr>
          <w:rFonts w:hint="eastAsia"/>
        </w:rPr>
        <w:t>售价(元</w:t>
      </w:r>
      <w:r>
        <w:t>)</w:t>
      </w:r>
      <w:r>
        <w:rPr>
          <w:rFonts w:hint="eastAsia"/>
        </w:rPr>
        <w:t xml:space="preserve">：0 </w:t>
      </w:r>
    </w:p>
    <w:p>
      <w:pPr>
        <w:spacing w:line="400" w:lineRule="exact"/>
        <w:rPr>
          <w:b/>
        </w:rPr>
      </w:pPr>
      <w:r>
        <w:rPr>
          <w:rFonts w:hint="eastAsia"/>
          <w:b/>
          <w:bCs/>
        </w:rPr>
        <w:t>四、</w:t>
      </w:r>
      <w:bookmarkEnd w:id="18"/>
      <w:bookmarkStart w:id="22" w:name="_Toc28359005"/>
      <w:bookmarkStart w:id="23" w:name="_Toc28359082"/>
      <w:bookmarkStart w:id="24" w:name="_Toc35393624"/>
      <w:bookmarkStart w:id="25" w:name="_Toc35393793"/>
      <w:r>
        <w:rPr>
          <w:rFonts w:hint="eastAsia"/>
          <w:b/>
        </w:rPr>
        <w:t>响应文件</w:t>
      </w:r>
      <w:bookmarkEnd w:id="22"/>
      <w:bookmarkEnd w:id="23"/>
      <w:r>
        <w:rPr>
          <w:rFonts w:hint="eastAsia"/>
          <w:b/>
        </w:rPr>
        <w:t>提交</w:t>
      </w:r>
      <w:bookmarkEnd w:id="24"/>
      <w:bookmarkEnd w:id="25"/>
    </w:p>
    <w:p>
      <w:pPr>
        <w:spacing w:line="400" w:lineRule="exact"/>
        <w:ind w:firstLine="420"/>
      </w:pPr>
      <w:r>
        <w:rPr>
          <w:rFonts w:hint="eastAsia"/>
        </w:rPr>
        <w:t>截止时间：2025年</w:t>
      </w:r>
      <w:r>
        <w:rPr>
          <w:rFonts w:hint="eastAsia"/>
          <w:lang w:eastAsia="zh-CN"/>
        </w:rPr>
        <w:t>10月20日10:00</w:t>
      </w:r>
      <w:r>
        <w:rPr>
          <w:rFonts w:hint="eastAsia"/>
        </w:rPr>
        <w:t>（北京时间）</w:t>
      </w:r>
    </w:p>
    <w:p>
      <w:pPr>
        <w:spacing w:line="400" w:lineRule="exact"/>
        <w:ind w:firstLine="420"/>
        <w:rPr>
          <w:rFonts w:ascii="宋体" w:hAnsi="宋体" w:cs="Courier New"/>
          <w:szCs w:val="21"/>
        </w:rPr>
      </w:pPr>
      <w:r>
        <w:rPr>
          <w:rFonts w:hint="eastAsia"/>
        </w:rPr>
        <w:t>地点(网址）：</w:t>
      </w:r>
      <w:bookmarkStart w:id="26" w:name="OLE_LINK10"/>
      <w:bookmarkStart w:id="27" w:name="OLE_LINK6"/>
      <w:r>
        <w:rPr>
          <w:rFonts w:hint="eastAsia" w:ascii="宋体" w:hAnsi="宋体" w:cs="Courier New"/>
          <w:szCs w:val="21"/>
        </w:rPr>
        <w:t>广西政府采购云平台（https://www.gcy.zfcg.gxzf.gov.cn/）</w:t>
      </w:r>
      <w:bookmarkEnd w:id="26"/>
    </w:p>
    <w:bookmarkEnd w:id="27"/>
    <w:p>
      <w:pPr>
        <w:spacing w:line="400" w:lineRule="exact"/>
        <w:rPr>
          <w:rFonts w:ascii="宋体" w:hAnsi="宋体" w:cs="Courier New"/>
          <w:b/>
          <w:bCs/>
          <w:szCs w:val="21"/>
        </w:rPr>
      </w:pPr>
      <w:r>
        <w:rPr>
          <w:rFonts w:hint="eastAsia" w:ascii="宋体" w:hAnsi="宋体" w:cs="Courier New"/>
          <w:b/>
          <w:bCs/>
          <w:szCs w:val="21"/>
        </w:rPr>
        <w:t>五、响应文件开启</w:t>
      </w:r>
    </w:p>
    <w:p>
      <w:pPr>
        <w:spacing w:line="400" w:lineRule="exact"/>
        <w:ind w:firstLine="420" w:firstLineChars="200"/>
        <w:rPr>
          <w:rFonts w:ascii="宋体" w:hAnsi="宋体" w:cs="Courier New"/>
          <w:szCs w:val="21"/>
        </w:rPr>
      </w:pPr>
      <w:r>
        <w:rPr>
          <w:rFonts w:hint="eastAsia" w:ascii="宋体" w:hAnsi="宋体" w:cs="Courier New"/>
          <w:szCs w:val="21"/>
        </w:rPr>
        <w:t>开启时间：</w:t>
      </w:r>
      <w:r>
        <w:rPr>
          <w:rFonts w:hint="eastAsia"/>
        </w:rPr>
        <w:t>2025年</w:t>
      </w:r>
      <w:r>
        <w:rPr>
          <w:rFonts w:hint="eastAsia"/>
          <w:lang w:eastAsia="zh-CN"/>
        </w:rPr>
        <w:t>10月20日10:00</w:t>
      </w:r>
      <w:r>
        <w:rPr>
          <w:rFonts w:hint="eastAsia"/>
        </w:rPr>
        <w:t>（北京时间）</w:t>
      </w:r>
    </w:p>
    <w:p>
      <w:pPr>
        <w:spacing w:line="400" w:lineRule="exact"/>
        <w:ind w:firstLine="420"/>
        <w:rPr>
          <w:rFonts w:ascii="宋体" w:hAnsi="宋体" w:cs="Courier New"/>
          <w:szCs w:val="21"/>
        </w:rPr>
      </w:pPr>
      <w:r>
        <w:rPr>
          <w:rFonts w:hint="eastAsia" w:ascii="宋体" w:hAnsi="宋体" w:cs="Courier New"/>
          <w:szCs w:val="21"/>
        </w:rPr>
        <w:t>地点：</w:t>
      </w:r>
      <w:bookmarkStart w:id="28" w:name="_Toc35393794"/>
      <w:bookmarkStart w:id="29" w:name="_Toc35393625"/>
      <w:bookmarkStart w:id="30" w:name="_Toc28359084"/>
      <w:bookmarkStart w:id="31" w:name="_Toc28359007"/>
      <w:r>
        <w:rPr>
          <w:rFonts w:hint="eastAsia"/>
        </w:rPr>
        <w:t>广西钦州市金海湾东大街8号市政务服务中心三楼开标室</w:t>
      </w:r>
    </w:p>
    <w:p>
      <w:pPr>
        <w:spacing w:line="400" w:lineRule="exact"/>
        <w:rPr>
          <w:b/>
        </w:rPr>
      </w:pPr>
      <w:r>
        <w:rPr>
          <w:rFonts w:hint="eastAsia"/>
          <w:b/>
        </w:rPr>
        <w:t>六、公告期限</w:t>
      </w:r>
      <w:bookmarkEnd w:id="28"/>
      <w:bookmarkEnd w:id="29"/>
      <w:bookmarkEnd w:id="30"/>
      <w:bookmarkEnd w:id="31"/>
    </w:p>
    <w:p>
      <w:pPr>
        <w:spacing w:line="400" w:lineRule="exact"/>
        <w:ind w:firstLine="420"/>
      </w:pPr>
      <w:r>
        <w:rPr>
          <w:rFonts w:hint="eastAsia"/>
        </w:rPr>
        <w:t>自本公告发布之日起</w:t>
      </w:r>
      <w:r>
        <w:t>3</w:t>
      </w:r>
      <w:r>
        <w:rPr>
          <w:rFonts w:hint="eastAsia"/>
        </w:rPr>
        <w:t>个工作日。</w:t>
      </w:r>
    </w:p>
    <w:p>
      <w:pPr>
        <w:spacing w:line="400" w:lineRule="exact"/>
        <w:rPr>
          <w:b/>
        </w:rPr>
      </w:pPr>
      <w:bookmarkStart w:id="32" w:name="_Toc28359008"/>
      <w:bookmarkStart w:id="33" w:name="_Toc35393796"/>
      <w:bookmarkStart w:id="34" w:name="_Toc35393627"/>
      <w:bookmarkStart w:id="35" w:name="_Toc28359085"/>
      <w:r>
        <w:rPr>
          <w:rFonts w:hint="eastAsia"/>
          <w:b/>
        </w:rPr>
        <w:t>七、其他补充事宜</w:t>
      </w:r>
    </w:p>
    <w:p>
      <w:pPr>
        <w:spacing w:line="400" w:lineRule="exact"/>
        <w:ind w:firstLine="420"/>
      </w:pPr>
      <w:bookmarkStart w:id="36" w:name="OLE_LINK11"/>
      <w:r>
        <w:rPr>
          <w:rFonts w:hint="eastAsia"/>
        </w:rPr>
        <w:t>1</w:t>
      </w:r>
      <w:r>
        <w:t>.</w:t>
      </w:r>
      <w:r>
        <w:rPr>
          <w:rFonts w:hint="eastAsia"/>
          <w:bCs/>
        </w:rPr>
        <w:t>本项目需落实的政府采购政策</w:t>
      </w:r>
      <w:r>
        <w:rPr>
          <w:rFonts w:hint="eastAsia"/>
          <w:b/>
        </w:rPr>
        <w:t>：</w:t>
      </w:r>
    </w:p>
    <w:p>
      <w:pPr>
        <w:spacing w:line="400" w:lineRule="exact"/>
        <w:ind w:firstLine="420"/>
      </w:pPr>
      <w:r>
        <w:rPr>
          <w:rFonts w:hint="eastAsia"/>
        </w:rPr>
        <w:t>(1)财政部 工业和信息化部关于印发《政府采购促进中小企业发展管理办法》的通知(财库﹝2020﹞46号)</w:t>
      </w:r>
    </w:p>
    <w:p>
      <w:pPr>
        <w:spacing w:line="400" w:lineRule="exact"/>
        <w:ind w:firstLine="420"/>
      </w:pPr>
      <w:r>
        <w:rPr>
          <w:rFonts w:hint="eastAsia"/>
        </w:rPr>
        <w:t>(2)财政部 司法部关于政府采购支持监狱企业发展有关问题的通知 (财库﹝2014﹞68号)</w:t>
      </w:r>
    </w:p>
    <w:p>
      <w:pPr>
        <w:spacing w:line="400" w:lineRule="exact"/>
        <w:ind w:firstLine="420"/>
      </w:pPr>
      <w:r>
        <w:rPr>
          <w:rFonts w:hint="eastAsia"/>
        </w:rPr>
        <w:t>(3)财政部 民政部 中国残疾人联合会关于促进残疾人就业政府采购政策的通知 (财库﹝2017﹞141号)</w:t>
      </w:r>
    </w:p>
    <w:p>
      <w:pPr>
        <w:spacing w:line="400" w:lineRule="exact"/>
        <w:ind w:firstLine="420" w:firstLineChars="200"/>
      </w:pPr>
      <w:r>
        <w:t>(4)</w:t>
      </w:r>
      <w:r>
        <w:rPr>
          <w:rFonts w:hint="eastAsia"/>
        </w:rPr>
        <w:t>财政部</w:t>
      </w:r>
      <w:r>
        <w:t xml:space="preserve"> </w:t>
      </w:r>
      <w:r>
        <w:rPr>
          <w:rFonts w:hint="eastAsia"/>
        </w:rPr>
        <w:t>发展改革委</w:t>
      </w:r>
      <w:r>
        <w:t xml:space="preserve"> </w:t>
      </w:r>
      <w:r>
        <w:rPr>
          <w:rFonts w:hint="eastAsia"/>
        </w:rPr>
        <w:t>生态环境部</w:t>
      </w:r>
      <w:r>
        <w:t xml:space="preserve"> </w:t>
      </w:r>
      <w:r>
        <w:rPr>
          <w:rFonts w:hint="eastAsia"/>
        </w:rPr>
        <w:t>市场监管总局关于调整优化节能产品、环境标志产品政府采购执行机制的通知（财库〔</w:t>
      </w:r>
      <w:r>
        <w:t>2019</w:t>
      </w:r>
      <w:r>
        <w:rPr>
          <w:rFonts w:hint="eastAsia"/>
        </w:rPr>
        <w:t>〕</w:t>
      </w:r>
      <w:r>
        <w:t>9</w:t>
      </w:r>
      <w:r>
        <w:rPr>
          <w:rFonts w:hint="eastAsia"/>
        </w:rPr>
        <w:t>号）</w:t>
      </w:r>
    </w:p>
    <w:p>
      <w:pPr>
        <w:spacing w:line="400" w:lineRule="exact"/>
        <w:ind w:firstLine="420" w:firstLineChars="200"/>
        <w:rPr>
          <w:rFonts w:hint="eastAsia"/>
        </w:rPr>
      </w:pPr>
      <w:r>
        <w:rPr>
          <w:rFonts w:hint="eastAsia"/>
        </w:rPr>
        <w:t>(5) 财政部 发展改革委 关于印发节能产品政府采购品目清单的通知（财库〔2019〕19号）</w:t>
      </w:r>
    </w:p>
    <w:p>
      <w:pPr>
        <w:pStyle w:val="17"/>
        <w:rPr>
          <w:rFonts w:hint="default" w:eastAsia="宋体"/>
          <w:lang w:val="en-US" w:eastAsia="zh-CN"/>
        </w:rPr>
      </w:pPr>
      <w:r>
        <w:rPr>
          <w:rFonts w:hint="eastAsia"/>
          <w:lang w:val="en-US" w:eastAsia="zh-CN"/>
        </w:rPr>
        <w:t xml:space="preserve">  </w:t>
      </w:r>
      <w:r>
        <w:rPr>
          <w:rFonts w:hint="eastAsia" w:ascii="Times New Roman" w:hAnsi="Times New Roman" w:eastAsia="宋体" w:cs="Times New Roman"/>
          <w:kern w:val="2"/>
          <w:sz w:val="21"/>
          <w:szCs w:val="24"/>
          <w:lang w:val="en-US" w:eastAsia="zh-CN" w:bidi="ar-SA"/>
        </w:rPr>
        <w:t>（6）国家市场监督管理总局</w:t>
      </w:r>
      <w:r>
        <w:rPr>
          <w:rFonts w:hint="eastAsia" w:cs="Times New Roman"/>
          <w:kern w:val="2"/>
          <w:sz w:val="21"/>
          <w:szCs w:val="24"/>
          <w:lang w:val="en-US" w:eastAsia="zh-CN" w:bidi="ar-SA"/>
        </w:rPr>
        <w:t xml:space="preserve"> </w:t>
      </w:r>
      <w:r>
        <w:rPr>
          <w:rFonts w:hint="eastAsia" w:ascii="Times New Roman" w:hAnsi="Times New Roman" w:eastAsia="宋体" w:cs="Times New Roman"/>
          <w:kern w:val="2"/>
          <w:sz w:val="21"/>
          <w:szCs w:val="24"/>
          <w:lang w:val="en-US" w:eastAsia="zh-CN" w:bidi="ar-SA"/>
        </w:rPr>
        <w:t>《强制性产品认证管理规定》</w:t>
      </w:r>
    </w:p>
    <w:p>
      <w:pPr>
        <w:spacing w:line="400" w:lineRule="exact"/>
        <w:ind w:firstLine="420"/>
      </w:pPr>
      <w:r>
        <w:rPr>
          <w:rFonts w:hint="eastAsia"/>
        </w:rPr>
        <w:t>2</w:t>
      </w:r>
      <w:r>
        <w:t>.</w:t>
      </w:r>
      <w:bookmarkStart w:id="37" w:name="_Hlk91598380"/>
      <w:r>
        <w:rPr>
          <w:rFonts w:hint="eastAsia"/>
        </w:rPr>
        <w:t>全流程电子化</w:t>
      </w:r>
      <w:bookmarkEnd w:id="37"/>
      <w:r>
        <w:rPr>
          <w:rFonts w:hint="eastAsia"/>
        </w:rPr>
        <w:t>要求：</w:t>
      </w:r>
    </w:p>
    <w:p>
      <w:pPr>
        <w:spacing w:line="400" w:lineRule="exact"/>
        <w:ind w:firstLine="420"/>
      </w:pPr>
      <w:bookmarkStart w:id="38" w:name="_Hlk147760486"/>
      <w:r>
        <w:rPr>
          <w:rFonts w:hint="eastAsia"/>
        </w:rPr>
        <w:t>本项目为全流程电子化项目，供应商应做好参与全流程电子化交易的充分准备，熟悉掌握电子化采购项目操作指南(操作指南：</w:t>
      </w:r>
      <w:r>
        <w:fldChar w:fldCharType="begin"/>
      </w:r>
      <w:r>
        <w:instrText xml:space="preserve"> HYPERLINK "https://helpcenter.zcygov.cn/document/" \l "/document/dashboard?siteCode=beijing&amp;channel=dt" </w:instrText>
      </w:r>
      <w:r>
        <w:fldChar w:fldCharType="separate"/>
      </w:r>
      <w:r>
        <w:rPr>
          <w:rStyle w:val="41"/>
          <w:rFonts w:hint="eastAsia"/>
          <w:color w:val="auto"/>
        </w:rPr>
        <w:t>政采云电子卖场首页右上角—服务中心—帮助文档—项目采购</w:t>
      </w:r>
      <w:r>
        <w:rPr>
          <w:rStyle w:val="41"/>
          <w:rFonts w:hint="eastAsia"/>
          <w:color w:val="auto"/>
        </w:rPr>
        <w:fldChar w:fldCharType="end"/>
      </w:r>
      <w:r>
        <w:rPr>
          <w:rFonts w:hint="eastAsia"/>
        </w:rPr>
        <w:t>)，及时完成CA申领和绑定(操作指南：</w:t>
      </w:r>
      <w:r>
        <w:fldChar w:fldCharType="begin"/>
      </w:r>
      <w:r>
        <w:instrText xml:space="preserve"> HYPERLINK "https://helpcenter.zcygov.cn/document/" \l "/document/detail?siteCode=beijing&amp;manualId=795&amp;topicId=4081" </w:instrText>
      </w:r>
      <w:r>
        <w:fldChar w:fldCharType="separate"/>
      </w:r>
      <w:r>
        <w:rPr>
          <w:rStyle w:val="41"/>
          <w:rFonts w:hint="eastAsia"/>
          <w:color w:val="auto"/>
        </w:rPr>
        <w:t>政采云电子卖场首页右上角—帮助文档—入驻与配置—CA管理</w:t>
      </w:r>
      <w:r>
        <w:rPr>
          <w:rStyle w:val="41"/>
          <w:rFonts w:hint="eastAsia"/>
          <w:color w:val="auto"/>
        </w:rPr>
        <w:fldChar w:fldCharType="end"/>
      </w:r>
      <w:r>
        <w:rPr>
          <w:rFonts w:hint="eastAsia"/>
        </w:rPr>
        <w:t>；CA证书申领路径：</w:t>
      </w:r>
      <w:r>
        <w:fldChar w:fldCharType="begin"/>
      </w:r>
      <w:r>
        <w:instrText xml:space="preserve"> HYPERLINK "https://helpcenter.zcygov.cn/document/" \l "/document/detail?siteCode=beijing&amp;manualId=795&amp;topicId=4083" </w:instrText>
      </w:r>
      <w:r>
        <w:fldChar w:fldCharType="separate"/>
      </w:r>
      <w:r>
        <w:rPr>
          <w:rStyle w:val="41"/>
          <w:rFonts w:hint="eastAsia"/>
          <w:color w:val="auto"/>
        </w:rPr>
        <w:t>政采云平台—我的工作台右上角—CA管理—CA证书申领</w:t>
      </w:r>
      <w:r>
        <w:rPr>
          <w:rStyle w:val="41"/>
          <w:rFonts w:hint="eastAsia"/>
          <w:color w:val="auto"/>
        </w:rPr>
        <w:fldChar w:fldCharType="end"/>
      </w:r>
      <w:r>
        <w:rPr>
          <w:rFonts w:hint="eastAsia"/>
        </w:rPr>
        <w:t>)。因未注册入库、未办理CA数字证书、CA证书故障、操作不当等原因造成谈判失败等后果由供应商承担。</w:t>
      </w:r>
    </w:p>
    <w:bookmarkEnd w:id="38"/>
    <w:p>
      <w:pPr>
        <w:spacing w:line="400" w:lineRule="exact"/>
        <w:ind w:firstLine="420"/>
      </w:pPr>
      <w:r>
        <w:t>(1)</w:t>
      </w:r>
      <w:r>
        <w:rPr>
          <w:rFonts w:hint="eastAsia"/>
        </w:rPr>
        <w:t>依法获取采购文件：供应商须在获取采购文件时间内登录</w:t>
      </w:r>
      <w:r>
        <w:fldChar w:fldCharType="begin"/>
      </w:r>
      <w:r>
        <w:instrText xml:space="preserve"> HYPERLINK "https://www.zcygov.cn/" </w:instrText>
      </w:r>
      <w:r>
        <w:fldChar w:fldCharType="separate"/>
      </w:r>
      <w:r>
        <w:rPr>
          <w:rStyle w:val="41"/>
          <w:rFonts w:hint="eastAsia"/>
          <w:color w:val="auto"/>
        </w:rPr>
        <w:t>政府采购云平台</w:t>
      </w:r>
      <w:r>
        <w:rPr>
          <w:rStyle w:val="41"/>
          <w:rFonts w:hint="eastAsia"/>
          <w:color w:val="auto"/>
        </w:rPr>
        <w:fldChar w:fldCharType="end"/>
      </w:r>
      <w:r>
        <w:rPr>
          <w:rFonts w:hint="eastAsia"/>
        </w:rPr>
        <w:t>申请下载采购文件才视作依法获取采购文件。</w:t>
      </w:r>
    </w:p>
    <w:p>
      <w:pPr>
        <w:spacing w:line="400" w:lineRule="exact"/>
        <w:ind w:firstLine="420"/>
        <w:rPr>
          <w:b/>
        </w:rPr>
      </w:pPr>
      <w:r>
        <w:rPr>
          <w:rFonts w:hint="eastAsia"/>
        </w:rPr>
        <w:t>(</w:t>
      </w:r>
      <w:r>
        <w:t>2)</w:t>
      </w:r>
      <w:r>
        <w:rPr>
          <w:rFonts w:hint="eastAsia"/>
        </w:rPr>
        <w:t>供应商应通过广西政府采购云平台客户端制作响应文件，供应商自行前往下载安装（</w:t>
      </w:r>
      <w:r>
        <w:fldChar w:fldCharType="begin"/>
      </w:r>
      <w:r>
        <w:instrText xml:space="preserve"> HYPERLINK "https://sitecdn.zcycdn.com/zcy-client/bidding-client-new/official/guangxi/GuangXiSetup.exe" </w:instrText>
      </w:r>
      <w:r>
        <w:fldChar w:fldCharType="separate"/>
      </w:r>
      <w:r>
        <w:rPr>
          <w:rFonts w:hint="eastAsia"/>
        </w:rPr>
        <w:t>客户端下载</w:t>
      </w:r>
      <w:r>
        <w:rPr>
          <w:rFonts w:hint="eastAsia"/>
        </w:rPr>
        <w:fldChar w:fldCharType="end"/>
      </w:r>
      <w:r>
        <w:rPr>
          <w:rFonts w:hint="eastAsia"/>
        </w:rPr>
        <w:t>）。</w:t>
      </w:r>
    </w:p>
    <w:p>
      <w:pPr>
        <w:spacing w:line="400" w:lineRule="exact"/>
        <w:ind w:firstLine="420"/>
      </w:pPr>
      <w:r>
        <w:rPr>
          <w:rFonts w:hint="eastAsia"/>
        </w:rPr>
        <w:t>(</w:t>
      </w:r>
      <w:r>
        <w:t>3)</w:t>
      </w:r>
      <w:r>
        <w:rPr>
          <w:rFonts w:hint="eastAsia"/>
        </w:rPr>
        <w:t>供应商须按照采购文件和政府采购云平台的要求进行编制、上传、加密、提交、解密响应文件，响应文件提交截止时间后，政府采购云平台自动提取全部响应文件，各供应商须在提交截止时间后30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pPr>
        <w:spacing w:line="400" w:lineRule="exact"/>
        <w:ind w:firstLine="420"/>
        <w:rPr>
          <w:b/>
        </w:rPr>
      </w:pPr>
      <w:r>
        <w:rPr>
          <w:rFonts w:hint="eastAsia"/>
        </w:rPr>
        <w:t>(</w:t>
      </w:r>
      <w:r>
        <w:t>4)</w:t>
      </w:r>
      <w:r>
        <w:rPr>
          <w:rFonts w:hint="eastAsia"/>
        </w:rPr>
        <w:t>供应商法定代表人或委托代理人须按时登录</w:t>
      </w:r>
      <w:bookmarkStart w:id="39" w:name="_Hlk90367388"/>
      <w:r>
        <w:rPr>
          <w:rFonts w:hint="eastAsia" w:ascii="宋体" w:hAnsi="宋体" w:cs="Courier New"/>
          <w:szCs w:val="21"/>
        </w:rPr>
        <w:t>政采云远程开标大厅</w:t>
      </w:r>
      <w:bookmarkEnd w:id="39"/>
      <w:r>
        <w:rPr>
          <w:rFonts w:hint="eastAsia"/>
        </w:rPr>
        <w:t>，保持全程在线并关注评审谈判进度，评审期间谈判小组提出澄清等要求时，供应商须在规定时间内进行应答，否则按采购文件或政采云平台的相关规定执行。</w:t>
      </w:r>
    </w:p>
    <w:p>
      <w:pPr>
        <w:spacing w:line="400" w:lineRule="exact"/>
        <w:ind w:firstLine="420"/>
        <w:rPr>
          <w:rFonts w:hAnsi="宋体"/>
        </w:rPr>
      </w:pPr>
      <w:r>
        <w:rPr>
          <w:rFonts w:hint="eastAsia"/>
        </w:rPr>
        <w:t>(</w:t>
      </w:r>
      <w:r>
        <w:t>5)</w:t>
      </w:r>
      <w:r>
        <w:rPr>
          <w:rFonts w:hint="eastAsia"/>
        </w:rPr>
        <w:t>供应商参与谈判过程中涉及政府采购云平台的问题，请咨询政采云</w:t>
      </w:r>
      <w:r>
        <w:rPr>
          <w:rFonts w:hint="eastAsia" w:hAnsi="宋体"/>
        </w:rPr>
        <w:t>技术支持热线：</w:t>
      </w:r>
      <w:r>
        <w:rPr>
          <w:rFonts w:hAnsi="宋体"/>
        </w:rPr>
        <w:t>95763</w:t>
      </w:r>
      <w:r>
        <w:rPr>
          <w:rFonts w:hint="eastAsia" w:hAnsi="宋体"/>
        </w:rPr>
        <w:t>。</w:t>
      </w:r>
    </w:p>
    <w:p>
      <w:pPr>
        <w:spacing w:line="400" w:lineRule="exact"/>
        <w:ind w:firstLine="420"/>
        <w:jc w:val="left"/>
        <w:rPr>
          <w:rFonts w:hAnsi="宋体"/>
        </w:rPr>
      </w:pPr>
      <w:r>
        <w:rPr>
          <w:rFonts w:hint="eastAsia" w:hAnsi="宋体"/>
        </w:rPr>
        <w:t>3</w:t>
      </w:r>
      <w:r>
        <w:rPr>
          <w:rFonts w:hAnsi="宋体"/>
        </w:rPr>
        <w:t>.</w:t>
      </w:r>
      <w:r>
        <w:rPr>
          <w:rFonts w:hint="eastAsia" w:hAnsi="宋体"/>
        </w:rPr>
        <w:t>查询媒体：中国政府采购网、</w:t>
      </w:r>
      <w:r>
        <w:fldChar w:fldCharType="begin"/>
      </w:r>
      <w:r>
        <w:instrText xml:space="preserve"> HYPERLINK "http://zfcg.gxzf.gov.cn/" </w:instrText>
      </w:r>
      <w:r>
        <w:fldChar w:fldCharType="separate"/>
      </w:r>
      <w:r>
        <w:rPr>
          <w:rStyle w:val="41"/>
          <w:rFonts w:hint="eastAsia" w:hAnsi="宋体"/>
          <w:color w:val="auto"/>
          <w:u w:val="none"/>
        </w:rPr>
        <w:t>广西政府采购网</w:t>
      </w:r>
      <w:r>
        <w:rPr>
          <w:rStyle w:val="41"/>
          <w:rFonts w:hint="eastAsia" w:hAnsi="宋体"/>
          <w:color w:val="auto"/>
          <w:u w:val="none"/>
        </w:rPr>
        <w:fldChar w:fldCharType="end"/>
      </w:r>
      <w:r>
        <w:rPr>
          <w:rFonts w:hint="eastAsia" w:hAnsi="宋体"/>
        </w:rPr>
        <w:t>。</w:t>
      </w:r>
    </w:p>
    <w:p>
      <w:pPr>
        <w:spacing w:line="400" w:lineRule="exact"/>
        <w:ind w:firstLine="420"/>
        <w:jc w:val="left"/>
        <w:rPr>
          <w:rFonts w:hAnsi="宋体"/>
        </w:rPr>
      </w:pPr>
      <w:bookmarkStart w:id="40" w:name="_Hlk107409555"/>
      <w:r>
        <w:rPr>
          <w:rFonts w:hint="eastAsia" w:hAnsi="宋体"/>
        </w:rPr>
        <w:t>4</w:t>
      </w:r>
      <w:r>
        <w:rPr>
          <w:rFonts w:hAnsi="宋体"/>
        </w:rPr>
        <w:t>.</w:t>
      </w:r>
      <w:r>
        <w:rPr>
          <w:rFonts w:hint="eastAsia" w:hAnsi="宋体"/>
        </w:rPr>
        <w:t>钦州市政府采购中心联系方式：</w:t>
      </w:r>
    </w:p>
    <w:p>
      <w:pPr>
        <w:spacing w:line="400" w:lineRule="exact"/>
        <w:ind w:firstLine="420"/>
        <w:jc w:val="left"/>
        <w:rPr>
          <w:rFonts w:hAnsi="宋体"/>
        </w:rPr>
      </w:pPr>
      <w:r>
        <w:rPr>
          <w:rFonts w:hAnsi="宋体"/>
        </w:rPr>
        <w:t>(1)</w:t>
      </w:r>
      <w:r>
        <w:rPr>
          <w:rFonts w:hint="eastAsia" w:hAnsi="宋体"/>
        </w:rPr>
        <w:t>采购部(采购文件</w:t>
      </w:r>
      <w:r>
        <w:rPr>
          <w:rFonts w:hAnsi="宋体"/>
        </w:rPr>
        <w:t>)</w:t>
      </w:r>
    </w:p>
    <w:p>
      <w:pPr>
        <w:spacing w:line="400" w:lineRule="exact"/>
        <w:ind w:firstLine="420"/>
        <w:jc w:val="left"/>
        <w:rPr>
          <w:rFonts w:hAnsi="宋体"/>
        </w:rPr>
      </w:pPr>
      <w:r>
        <w:rPr>
          <w:rFonts w:hint="eastAsia" w:hAnsi="宋体"/>
        </w:rPr>
        <w:t>联系人：黄忠秀</w:t>
      </w:r>
      <w:r>
        <w:rPr>
          <w:rFonts w:hAnsi="宋体"/>
        </w:rPr>
        <w:t xml:space="preserve">  </w:t>
      </w:r>
      <w:r>
        <w:rPr>
          <w:rFonts w:hint="eastAsia" w:hAnsi="宋体"/>
        </w:rPr>
        <w:t xml:space="preserve"> 联系方式：0777-2886022</w:t>
      </w:r>
    </w:p>
    <w:p>
      <w:pPr>
        <w:spacing w:line="400" w:lineRule="exact"/>
        <w:ind w:firstLine="420"/>
        <w:jc w:val="left"/>
        <w:rPr>
          <w:rFonts w:hAnsi="宋体"/>
        </w:rPr>
      </w:pPr>
      <w:r>
        <w:rPr>
          <w:rFonts w:hint="eastAsia" w:hAnsi="宋体"/>
        </w:rPr>
        <w:t>(</w:t>
      </w:r>
      <w:r>
        <w:rPr>
          <w:rFonts w:hAnsi="宋体"/>
        </w:rPr>
        <w:t>2)</w:t>
      </w:r>
      <w:r>
        <w:rPr>
          <w:rFonts w:hint="eastAsia" w:hAnsi="宋体"/>
        </w:rPr>
        <w:t>综合二部(评审、谈判、成交及合同管理)</w:t>
      </w:r>
    </w:p>
    <w:p>
      <w:pPr>
        <w:spacing w:line="400" w:lineRule="exact"/>
        <w:ind w:firstLine="420"/>
        <w:jc w:val="left"/>
        <w:rPr>
          <w:rFonts w:hAnsi="宋体"/>
        </w:rPr>
      </w:pPr>
      <w:r>
        <w:rPr>
          <w:rFonts w:hint="eastAsia" w:hAnsi="宋体"/>
        </w:rPr>
        <w:t>联系人：</w:t>
      </w:r>
      <w:bookmarkStart w:id="41" w:name="OLE_LINK1"/>
      <w:r>
        <w:rPr>
          <w:rFonts w:hint="eastAsia" w:hAnsi="宋体"/>
        </w:rPr>
        <w:t>陈侃</w:t>
      </w:r>
      <w:r>
        <w:rPr>
          <w:rFonts w:hint="eastAsia" w:hAnsi="宋体"/>
          <w:lang w:eastAsia="zh-CN"/>
        </w:rPr>
        <w:t>、</w:t>
      </w:r>
      <w:r>
        <w:rPr>
          <w:rFonts w:hint="eastAsia" w:hAnsi="宋体"/>
        </w:rPr>
        <w:t>陈启梅</w:t>
      </w:r>
      <w:bookmarkEnd w:id="41"/>
      <w:r>
        <w:rPr>
          <w:rFonts w:hAnsi="宋体"/>
        </w:rPr>
        <w:t xml:space="preserve"> </w:t>
      </w:r>
      <w:r>
        <w:rPr>
          <w:rFonts w:hint="eastAsia" w:hAnsi="宋体"/>
        </w:rPr>
        <w:t>联系方式：0777-2886006</w:t>
      </w:r>
      <w:bookmarkEnd w:id="40"/>
    </w:p>
    <w:bookmarkEnd w:id="36"/>
    <w:p>
      <w:pPr>
        <w:spacing w:line="400" w:lineRule="exact"/>
        <w:rPr>
          <w:b/>
        </w:rPr>
      </w:pPr>
      <w:r>
        <w:rPr>
          <w:rFonts w:hint="eastAsia"/>
          <w:b/>
        </w:rPr>
        <w:t>八、对本次采购项目提出询问，请按</w:t>
      </w:r>
      <w:r>
        <w:rPr>
          <w:b/>
        </w:rPr>
        <w:t>以下方式</w:t>
      </w:r>
      <w:r>
        <w:rPr>
          <w:rFonts w:hint="eastAsia"/>
          <w:b/>
        </w:rPr>
        <w:t>联系</w:t>
      </w:r>
      <w:bookmarkEnd w:id="32"/>
      <w:bookmarkEnd w:id="33"/>
      <w:bookmarkEnd w:id="34"/>
      <w:bookmarkEnd w:id="35"/>
    </w:p>
    <w:p>
      <w:pPr>
        <w:spacing w:line="400" w:lineRule="exact"/>
        <w:ind w:firstLine="420" w:firstLineChars="200"/>
      </w:pPr>
      <w:r>
        <w:rPr>
          <w:rFonts w:hint="eastAsia"/>
        </w:rPr>
        <w:t>1.采购人信息</w:t>
      </w:r>
      <w:bookmarkEnd w:id="8"/>
    </w:p>
    <w:p>
      <w:pPr>
        <w:spacing w:line="400" w:lineRule="exact"/>
        <w:ind w:firstLine="420" w:firstLineChars="200"/>
        <w:rPr>
          <w:rFonts w:hint="eastAsia" w:eastAsia="宋体"/>
          <w:lang w:eastAsia="zh-CN"/>
        </w:rPr>
      </w:pPr>
      <w:bookmarkStart w:id="42" w:name="_Toc38370147"/>
      <w:r>
        <w:rPr>
          <w:rFonts w:hint="eastAsia"/>
        </w:rPr>
        <w:t>名称：</w:t>
      </w:r>
      <w:r>
        <w:rPr>
          <w:rFonts w:hint="eastAsia"/>
          <w:lang w:eastAsia="zh-CN"/>
        </w:rPr>
        <w:t>钦州港经济技术开发区东港区第二幼儿园</w:t>
      </w:r>
    </w:p>
    <w:p>
      <w:pPr>
        <w:spacing w:line="400" w:lineRule="exact"/>
        <w:ind w:firstLine="420" w:firstLineChars="200"/>
        <w:rPr>
          <w:rFonts w:hint="eastAsia" w:eastAsia="宋体"/>
          <w:lang w:eastAsia="zh-CN"/>
        </w:rPr>
      </w:pPr>
      <w:r>
        <w:rPr>
          <w:rFonts w:hint="eastAsia"/>
        </w:rPr>
        <w:t>地址：</w:t>
      </w:r>
      <w:r>
        <w:rPr>
          <w:rFonts w:hint="eastAsia"/>
          <w:lang w:eastAsia="zh-CN"/>
        </w:rPr>
        <w:t>钦州港第一大街南面、丹寮大街东面、第二大街北面</w:t>
      </w:r>
    </w:p>
    <w:p>
      <w:pPr>
        <w:pStyle w:val="17"/>
        <w:rPr>
          <w:rFonts w:hint="default" w:ascii="Times New Roman" w:hAnsi="Times New Roman" w:eastAsia="宋体" w:cs="Times New Roman"/>
          <w:kern w:val="2"/>
          <w:sz w:val="21"/>
          <w:szCs w:val="24"/>
          <w:lang w:val="en-US" w:eastAsia="zh-CN" w:bidi="ar-SA"/>
        </w:rPr>
      </w:pPr>
      <w:r>
        <w:rPr>
          <w:rFonts w:hint="eastAsia"/>
          <w:lang w:val="en-US" w:eastAsia="zh-CN"/>
        </w:rPr>
        <w:t xml:space="preserve">  </w:t>
      </w:r>
      <w:r>
        <w:rPr>
          <w:rFonts w:hint="eastAsia" w:ascii="Times New Roman" w:hAnsi="Times New Roman" w:eastAsia="宋体" w:cs="Times New Roman"/>
          <w:kern w:val="2"/>
          <w:sz w:val="21"/>
          <w:szCs w:val="24"/>
          <w:lang w:val="en-US" w:eastAsia="zh-CN" w:bidi="ar-SA"/>
        </w:rPr>
        <w:t xml:space="preserve">  采购单位联系人：</w:t>
      </w:r>
      <w:r>
        <w:rPr>
          <w:rFonts w:hint="eastAsia" w:cs="Times New Roman"/>
          <w:kern w:val="2"/>
          <w:sz w:val="21"/>
          <w:szCs w:val="24"/>
          <w:lang w:val="en-US" w:eastAsia="zh-CN" w:bidi="ar-SA"/>
        </w:rPr>
        <w:t>吴老师</w:t>
      </w:r>
    </w:p>
    <w:p>
      <w:pPr>
        <w:spacing w:line="400" w:lineRule="exact"/>
        <w:ind w:firstLine="420" w:firstLineChars="200"/>
      </w:pPr>
      <w:r>
        <w:rPr>
          <w:rFonts w:hint="eastAsia"/>
        </w:rPr>
        <w:t>联系方式：0777-5980271</w:t>
      </w:r>
    </w:p>
    <w:bookmarkEnd w:id="42"/>
    <w:p>
      <w:pPr>
        <w:spacing w:line="400" w:lineRule="exact"/>
        <w:ind w:firstLine="420" w:firstLineChars="200"/>
      </w:pPr>
      <w:r>
        <w:rPr>
          <w:rFonts w:hint="eastAsia"/>
        </w:rPr>
        <w:t>2.采购代理机构信息</w:t>
      </w:r>
    </w:p>
    <w:p>
      <w:pPr>
        <w:spacing w:line="400" w:lineRule="exact"/>
        <w:ind w:firstLine="420" w:firstLineChars="200"/>
      </w:pPr>
      <w:r>
        <w:rPr>
          <w:rFonts w:hint="eastAsia"/>
        </w:rPr>
        <w:t>名称：钦州市政府采购中心</w:t>
      </w:r>
    </w:p>
    <w:p>
      <w:pPr>
        <w:spacing w:line="400" w:lineRule="exact"/>
        <w:ind w:firstLine="420" w:firstLineChars="200"/>
      </w:pPr>
      <w:r>
        <w:rPr>
          <w:rFonts w:hint="eastAsia"/>
        </w:rPr>
        <w:t>地址：钦州市金海湾东大街8号</w:t>
      </w:r>
    </w:p>
    <w:p>
      <w:pPr>
        <w:spacing w:line="400" w:lineRule="exact"/>
        <w:ind w:firstLine="420" w:firstLineChars="200"/>
        <w:rPr>
          <w:rFonts w:hint="eastAsia" w:eastAsia="宋体"/>
          <w:lang w:eastAsia="zh-CN"/>
        </w:rPr>
      </w:pPr>
      <w:r>
        <w:rPr>
          <w:rFonts w:hint="eastAsia"/>
        </w:rPr>
        <w:t>项目联系人：</w:t>
      </w:r>
      <w:bookmarkStart w:id="43" w:name="_Toc28359087"/>
      <w:bookmarkStart w:id="44" w:name="_Toc28359010"/>
      <w:r>
        <w:rPr>
          <w:rFonts w:hint="eastAsia"/>
        </w:rPr>
        <w:t>黄忠秀</w:t>
      </w:r>
      <w:r>
        <w:rPr>
          <w:rFonts w:hint="eastAsia"/>
          <w:lang w:eastAsia="zh-CN"/>
        </w:rPr>
        <w:t>、陈侃、陈启梅</w:t>
      </w:r>
    </w:p>
    <w:p>
      <w:pPr>
        <w:spacing w:line="400" w:lineRule="exact"/>
        <w:ind w:firstLine="420" w:firstLineChars="200"/>
        <w:rPr>
          <w:rFonts w:hint="default" w:eastAsia="宋体"/>
          <w:lang w:val="en-US" w:eastAsia="zh-CN"/>
        </w:rPr>
      </w:pPr>
      <w:r>
        <w:rPr>
          <w:rFonts w:hint="eastAsia"/>
        </w:rPr>
        <w:t>项目联系方式：0777-2886022</w:t>
      </w:r>
      <w:r>
        <w:rPr>
          <w:rFonts w:hint="eastAsia"/>
          <w:lang w:eastAsia="zh-CN"/>
        </w:rPr>
        <w:t>、</w:t>
      </w:r>
      <w:r>
        <w:rPr>
          <w:rFonts w:hint="eastAsia"/>
          <w:lang w:val="en-US" w:eastAsia="zh-CN"/>
        </w:rPr>
        <w:t>2886006</w:t>
      </w:r>
    </w:p>
    <w:p>
      <w:pPr>
        <w:widowControl/>
        <w:jc w:val="left"/>
      </w:pPr>
      <w:r>
        <w:br w:type="page"/>
      </w:r>
    </w:p>
    <w:p>
      <w:pPr>
        <w:spacing w:line="400" w:lineRule="exact"/>
        <w:ind w:firstLine="420" w:firstLineChars="200"/>
      </w:pPr>
    </w:p>
    <w:p/>
    <w:bookmarkEnd w:id="43"/>
    <w:bookmarkEnd w:id="44"/>
    <w:p/>
    <w:p/>
    <w:p/>
    <w:p/>
    <w:p/>
    <w:p/>
    <w:p/>
    <w:p/>
    <w:p/>
    <w:p/>
    <w:p/>
    <w:p/>
    <w:p>
      <w:pPr>
        <w:pStyle w:val="3"/>
        <w:spacing w:line="400" w:lineRule="exact"/>
        <w:rPr>
          <w:rFonts w:ascii="方正小标宋_GBK" w:hAnsi="宋体" w:eastAsia="方正小标宋_GBK"/>
        </w:rPr>
      </w:pPr>
      <w:bookmarkStart w:id="45" w:name="_Toc92355024"/>
      <w:r>
        <w:rPr>
          <w:rFonts w:hint="eastAsia" w:ascii="方正小标宋_GBK" w:hAnsi="宋体" w:eastAsia="方正小标宋_GBK"/>
        </w:rPr>
        <w:t>第二章  项目需求</w:t>
      </w:r>
      <w:bookmarkEnd w:id="45"/>
    </w:p>
    <w:p>
      <w:pPr>
        <w:spacing w:line="440" w:lineRule="exact"/>
        <w:jc w:val="center"/>
        <w:rPr>
          <w:rFonts w:ascii="宋体" w:hAnsi="宋体"/>
          <w:b/>
          <w:sz w:val="36"/>
          <w:szCs w:val="36"/>
        </w:rPr>
      </w:pPr>
      <w:r>
        <w:rPr>
          <w:rFonts w:ascii="宋体" w:hAnsi="宋体"/>
          <w:b/>
          <w:szCs w:val="21"/>
        </w:rPr>
        <w:br w:type="page"/>
      </w:r>
      <w:r>
        <w:rPr>
          <w:rFonts w:hint="eastAsia" w:ascii="宋体" w:hAnsi="宋体"/>
          <w:b/>
          <w:sz w:val="36"/>
          <w:szCs w:val="36"/>
        </w:rPr>
        <w:t>项目需求</w:t>
      </w:r>
    </w:p>
    <w:p>
      <w:pPr>
        <w:spacing w:line="396" w:lineRule="exact"/>
        <w:rPr>
          <w:rFonts w:ascii="宋体" w:hAnsi="宋体"/>
          <w:b/>
          <w:szCs w:val="21"/>
        </w:rPr>
      </w:pPr>
    </w:p>
    <w:p>
      <w:pPr>
        <w:spacing w:line="430" w:lineRule="exact"/>
        <w:rPr>
          <w:rFonts w:ascii="宋体" w:hAnsi="宋体"/>
          <w:szCs w:val="21"/>
          <w:u w:val="single"/>
        </w:rPr>
      </w:pPr>
      <w:bookmarkStart w:id="46" w:name="_Hlk89960406"/>
      <w:r>
        <w:rPr>
          <w:rFonts w:hint="eastAsia" w:ascii="宋体" w:hAnsi="宋体"/>
          <w:szCs w:val="21"/>
        </w:rPr>
        <w:t>一、采购预算：￥</w:t>
      </w:r>
      <w:r>
        <w:rPr>
          <w:rFonts w:hint="eastAsia" w:ascii="宋体" w:hAnsi="宋体"/>
          <w:szCs w:val="21"/>
          <w:lang w:eastAsia="zh-CN"/>
        </w:rPr>
        <w:t>829,437.00</w:t>
      </w:r>
      <w:r>
        <w:rPr>
          <w:rFonts w:hint="eastAsia" w:ascii="宋体" w:hAnsi="宋体"/>
          <w:szCs w:val="21"/>
        </w:rPr>
        <w:t>元</w:t>
      </w:r>
    </w:p>
    <w:p>
      <w:pPr>
        <w:spacing w:line="430" w:lineRule="exact"/>
        <w:rPr>
          <w:rFonts w:ascii="宋体" w:hAnsi="宋体"/>
          <w:szCs w:val="21"/>
        </w:rPr>
      </w:pPr>
      <w:r>
        <w:rPr>
          <w:rFonts w:hint="eastAsia" w:ascii="宋体" w:hAnsi="宋体"/>
          <w:szCs w:val="21"/>
        </w:rPr>
        <w:t>二、项目需求：</w:t>
      </w:r>
    </w:p>
    <w:p>
      <w:pPr>
        <w:spacing w:line="430" w:lineRule="exact"/>
        <w:rPr>
          <w:rFonts w:ascii="宋体" w:hAnsi="宋体"/>
          <w:szCs w:val="21"/>
        </w:rPr>
      </w:pPr>
      <w:bookmarkStart w:id="47" w:name="_Toc358477280"/>
      <w:bookmarkStart w:id="48" w:name="_Toc354479498"/>
      <w:r>
        <w:rPr>
          <w:rFonts w:hint="eastAsia" w:ascii="宋体" w:hAnsi="宋体"/>
          <w:szCs w:val="21"/>
        </w:rPr>
        <w:t>说明：</w:t>
      </w:r>
    </w:p>
    <w:p>
      <w:pPr>
        <w:spacing w:line="430" w:lineRule="exact"/>
        <w:ind w:firstLine="420" w:firstLineChars="200"/>
        <w:rPr>
          <w:rFonts w:ascii="宋体" w:hAnsi="宋体"/>
          <w:szCs w:val="21"/>
        </w:rPr>
      </w:pPr>
      <w:r>
        <w:rPr>
          <w:rFonts w:hint="eastAsia" w:ascii="宋体" w:hAnsi="宋体"/>
          <w:szCs w:val="21"/>
        </w:rPr>
        <w:t>1.本表中的品牌型号、技术参数及其性能（规格）仅起参考作用，供应商可选用其他品牌型号替代，</w:t>
      </w:r>
      <w:r>
        <w:rPr>
          <w:rFonts w:hint="eastAsia" w:ascii="宋体" w:hAnsi="宋体"/>
        </w:rPr>
        <w:t>但替代的产品整体上要相当于或优于参考品牌型号或其技术参数性能（规格）要求。</w:t>
      </w:r>
    </w:p>
    <w:p>
      <w:pPr>
        <w:spacing w:line="430" w:lineRule="exact"/>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供应商必须自行为其产品侵犯其他供应商或专利人的专利成果承担相应法律责任；同时，具有产品专利的供应商应在其响应文件中提供与其自有产品专利相关的有效证明材料，否则，不能就其产品的专利在本项目谈判过程中被侵权问题提出异议。</w:t>
      </w:r>
    </w:p>
    <w:p>
      <w:pPr>
        <w:spacing w:line="430" w:lineRule="exact"/>
        <w:ind w:firstLine="420" w:firstLineChars="200"/>
        <w:rPr>
          <w:rFonts w:ascii="宋体" w:hAnsi="宋体"/>
          <w:szCs w:val="21"/>
        </w:rPr>
      </w:pPr>
      <w:r>
        <w:rPr>
          <w:rFonts w:hint="eastAsia" w:ascii="宋体" w:hAnsi="宋体"/>
          <w:szCs w:val="21"/>
        </w:rPr>
        <w:t>3.本项目不接受供应商提供通过中国海关报关验放进入中国境内且产自关境外的产品。</w:t>
      </w:r>
    </w:p>
    <w:p>
      <w:pPr>
        <w:spacing w:line="430" w:lineRule="exact"/>
        <w:ind w:firstLine="420" w:firstLineChars="200"/>
        <w:rPr>
          <w:rFonts w:ascii="宋体" w:hAnsi="宋体"/>
          <w:szCs w:val="21"/>
        </w:rPr>
      </w:pPr>
      <w:r>
        <w:rPr>
          <w:rFonts w:ascii="宋体" w:hAnsi="宋体"/>
          <w:szCs w:val="21"/>
        </w:rPr>
        <w:t>4.</w:t>
      </w:r>
      <w:r>
        <w:rPr>
          <w:rFonts w:hint="eastAsia" w:ascii="宋体" w:hAnsi="宋体"/>
          <w:szCs w:val="21"/>
        </w:rPr>
        <w:t>谈判文件中可能实质性变动的内容：</w:t>
      </w:r>
      <w:r>
        <w:rPr>
          <w:rFonts w:hint="eastAsia" w:ascii="宋体" w:hAnsi="宋体" w:cs="宋体"/>
          <w:kern w:val="0"/>
          <w:szCs w:val="21"/>
          <w:u w:val="single"/>
        </w:rPr>
        <w:t>采购需求的技术、服务要求以及合同草案条款</w:t>
      </w:r>
      <w:r>
        <w:rPr>
          <w:rFonts w:hint="eastAsia" w:ascii="宋体" w:hAnsi="宋体" w:cs="宋体"/>
          <w:b/>
          <w:kern w:val="0"/>
          <w:szCs w:val="21"/>
        </w:rPr>
        <w:t>。</w:t>
      </w:r>
    </w:p>
    <w:p>
      <w:pPr>
        <w:spacing w:line="430" w:lineRule="exact"/>
        <w:ind w:firstLine="420" w:firstLineChars="200"/>
        <w:rPr>
          <w:rFonts w:ascii="宋体" w:hAnsi="宋体"/>
          <w:szCs w:val="21"/>
        </w:rPr>
      </w:pPr>
      <w:r>
        <w:rPr>
          <w:rFonts w:ascii="宋体" w:hAnsi="宋体"/>
          <w:szCs w:val="21"/>
        </w:rPr>
        <w:t>5.</w:t>
      </w:r>
      <w:r>
        <w:rPr>
          <w:rFonts w:hint="eastAsia" w:ascii="宋体" w:hAnsi="宋体"/>
          <w:szCs w:val="21"/>
        </w:rPr>
        <w:t>标注</w:t>
      </w:r>
      <w:bookmarkStart w:id="49" w:name="OLE_LINK2"/>
      <w:r>
        <w:rPr>
          <w:rFonts w:hint="eastAsia" w:ascii="宋体" w:hAnsi="宋体"/>
          <w:szCs w:val="21"/>
        </w:rPr>
        <w:t>★</w:t>
      </w:r>
      <w:bookmarkEnd w:id="49"/>
      <w:r>
        <w:rPr>
          <w:rFonts w:hint="eastAsia" w:ascii="宋体" w:hAnsi="宋体"/>
          <w:szCs w:val="21"/>
        </w:rPr>
        <w:t>号的技术参数为实质性响应条款，要求必须满足或优于，否则视为无效响应文件。</w:t>
      </w:r>
    </w:p>
    <w:p>
      <w:pPr>
        <w:spacing w:line="430" w:lineRule="exact"/>
        <w:ind w:firstLine="420" w:firstLineChars="200"/>
        <w:rPr>
          <w:rFonts w:ascii="宋体" w:hAnsi="宋体"/>
          <w:szCs w:val="21"/>
        </w:rPr>
      </w:pPr>
      <w:r>
        <w:rPr>
          <w:rFonts w:ascii="宋体" w:hAnsi="宋体"/>
          <w:szCs w:val="21"/>
        </w:rPr>
        <w:t>6.</w:t>
      </w:r>
      <w:r>
        <w:rPr>
          <w:rFonts w:hint="eastAsia" w:ascii="宋体" w:hAnsi="宋体"/>
          <w:szCs w:val="21"/>
        </w:rPr>
        <w:t>本项目对应的中小企业划分标准所属行业为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工</w:t>
      </w:r>
      <w:r>
        <w:rPr>
          <w:rFonts w:hint="eastAsia" w:ascii="宋体" w:hAnsi="宋体"/>
          <w:szCs w:val="21"/>
          <w:u w:val="single"/>
        </w:rPr>
        <w:t>业</w:t>
      </w:r>
      <w:r>
        <w:rPr>
          <w:rFonts w:ascii="宋体" w:hAnsi="宋体"/>
          <w:szCs w:val="21"/>
          <w:u w:val="single"/>
        </w:rPr>
        <w:t xml:space="preserve"> </w:t>
      </w:r>
      <w:r>
        <w:rPr>
          <w:rFonts w:hint="eastAsia" w:ascii="宋体" w:hAnsi="宋体"/>
          <w:szCs w:val="21"/>
        </w:rPr>
        <w:t>。</w:t>
      </w:r>
    </w:p>
    <w:bookmarkEnd w:id="46"/>
    <w:p>
      <w:pPr>
        <w:spacing w:line="430" w:lineRule="exact"/>
        <w:jc w:val="left"/>
        <w:rPr>
          <w:rFonts w:ascii="宋体" w:hAnsi="宋体"/>
          <w:szCs w:val="21"/>
        </w:rPr>
      </w:pPr>
      <w:r>
        <w:rPr>
          <w:rFonts w:ascii="宋体" w:hAnsi="宋体"/>
          <w:szCs w:val="21"/>
        </w:rPr>
        <w:br w:type="page"/>
      </w:r>
    </w:p>
    <w:tbl>
      <w:tblPr>
        <w:tblStyle w:val="34"/>
        <w:tblW w:w="9963" w:type="dxa"/>
        <w:tblInd w:w="-5" w:type="dxa"/>
        <w:tblLayout w:type="fixed"/>
        <w:tblCellMar>
          <w:top w:w="0" w:type="dxa"/>
          <w:left w:w="108" w:type="dxa"/>
          <w:bottom w:w="0" w:type="dxa"/>
          <w:right w:w="108" w:type="dxa"/>
        </w:tblCellMar>
      </w:tblPr>
      <w:tblGrid>
        <w:gridCol w:w="567"/>
        <w:gridCol w:w="1420"/>
        <w:gridCol w:w="5"/>
        <w:gridCol w:w="765"/>
        <w:gridCol w:w="750"/>
        <w:gridCol w:w="6456"/>
      </w:tblGrid>
      <w:tr>
        <w:tblPrEx>
          <w:tblCellMar>
            <w:top w:w="0" w:type="dxa"/>
            <w:left w:w="108" w:type="dxa"/>
            <w:bottom w:w="0" w:type="dxa"/>
            <w:right w:w="108" w:type="dxa"/>
          </w:tblCellMar>
        </w:tblPrEx>
        <w:trPr>
          <w:trHeight w:val="617" w:hRule="atLeast"/>
        </w:trPr>
        <w:tc>
          <w:tcPr>
            <w:tcW w:w="5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60" w:lineRule="auto"/>
              <w:ind w:left="-107" w:leftChars="-51" w:right="-109" w:rightChars="-52" w:firstLine="2" w:firstLineChars="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7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64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60" w:lineRule="auto"/>
              <w:jc w:val="center"/>
              <w:rPr>
                <w:rFonts w:hint="eastAsia" w:ascii="宋体" w:hAnsi="宋体" w:eastAsia="宋体" w:cs="宋体"/>
                <w:b/>
                <w:bCs/>
                <w:color w:val="auto"/>
                <w:sz w:val="21"/>
                <w:szCs w:val="21"/>
                <w:highlight w:val="none"/>
              </w:rPr>
            </w:pPr>
            <w:bookmarkStart w:id="50" w:name="OLE_LINK8"/>
            <w:r>
              <w:rPr>
                <w:rFonts w:hint="eastAsia" w:ascii="宋体" w:hAnsi="宋体" w:eastAsia="宋体" w:cs="宋体"/>
                <w:b/>
                <w:bCs/>
                <w:color w:val="auto"/>
                <w:sz w:val="21"/>
                <w:szCs w:val="21"/>
                <w:highlight w:val="none"/>
              </w:rPr>
              <w:t>技术参数及其性能（规格）</w:t>
            </w:r>
            <w:bookmarkEnd w:id="50"/>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2"/>
                <w:sz w:val="21"/>
                <w:szCs w:val="21"/>
                <w:highlight w:val="none"/>
                <w:lang w:val="en-US" w:eastAsia="zh-CN" w:bidi="ar-SA"/>
              </w:rPr>
              <w:t xml:space="preserve">体能训练组合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bCs/>
                <w:color w:val="auto"/>
                <w:kern w:val="0"/>
                <w:sz w:val="21"/>
                <w:szCs w:val="21"/>
                <w:highlight w:val="none"/>
              </w:rPr>
            </w:pPr>
            <w:r>
              <w:rPr>
                <w:rFonts w:hint="eastAsia" w:ascii="宋体" w:hAnsi="宋体" w:eastAsia="宋体" w:cs="宋体"/>
                <w:b w:val="0"/>
                <w:bCs w:val="0"/>
                <w:color w:val="auto"/>
                <w:kern w:val="2"/>
                <w:sz w:val="21"/>
                <w:szCs w:val="21"/>
                <w:highlight w:val="none"/>
                <w:lang w:val="en-US" w:eastAsia="zh-CN" w:bidi="ar-SA"/>
              </w:rPr>
              <w:t xml:space="preserve">1 </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2"/>
                <w:sz w:val="21"/>
                <w:szCs w:val="21"/>
                <w:highlight w:val="none"/>
                <w:lang w:val="en-US" w:eastAsia="zh-CN" w:bidi="ar-SA"/>
              </w:rPr>
              <w:t xml:space="preserve">套 </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SA"/>
              </w:rPr>
              <w:t xml:space="preserve"> 材质</w:t>
            </w:r>
            <w:r>
              <w:rPr>
                <w:rFonts w:hint="eastAsia" w:ascii="宋体" w:hAnsi="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en-US" w:eastAsia="zh-CN" w:bidi="ar-SA"/>
              </w:rPr>
              <w:t>PP</w:t>
            </w:r>
            <w:r>
              <w:rPr>
                <w:rFonts w:hint="eastAsia" w:ascii="宋体" w:hAnsi="宋体" w:cs="宋体"/>
                <w:b w:val="0"/>
                <w:bCs/>
                <w:color w:val="auto"/>
                <w:kern w:val="2"/>
                <w:sz w:val="21"/>
                <w:szCs w:val="21"/>
                <w:highlight w:val="none"/>
                <w:lang w:val="en-US" w:eastAsia="zh-CN" w:bidi="ar-SA"/>
              </w:rPr>
              <w:t>环保材料；</w:t>
            </w:r>
            <w:r>
              <w:rPr>
                <w:rFonts w:hint="eastAsia" w:ascii="宋体" w:hAnsi="宋体" w:eastAsia="宋体" w:cs="宋体"/>
                <w:b w:val="0"/>
                <w:bCs/>
                <w:color w:val="auto"/>
                <w:kern w:val="2"/>
                <w:sz w:val="21"/>
                <w:szCs w:val="21"/>
                <w:highlight w:val="none"/>
                <w:lang w:val="en-US" w:eastAsia="zh-CN" w:bidi="ar-SA"/>
              </w:rPr>
              <w:t>配置</w:t>
            </w:r>
            <w:r>
              <w:rPr>
                <w:rFonts w:hint="eastAsia" w:ascii="宋体" w:hAnsi="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en-US" w:eastAsia="zh-CN" w:bidi="ar-SA"/>
              </w:rPr>
              <w:t>大方箱</w:t>
            </w:r>
            <w:r>
              <w:rPr>
                <w:rFonts w:hint="eastAsia" w:ascii="宋体" w:hAnsi="宋体" w:cs="宋体"/>
                <w:b w:val="0"/>
                <w:bCs/>
                <w:color w:val="auto"/>
                <w:kern w:val="2"/>
                <w:sz w:val="21"/>
                <w:szCs w:val="21"/>
                <w:highlight w:val="none"/>
                <w:lang w:val="en-US" w:eastAsia="zh-CN" w:bidi="ar-SA"/>
              </w:rPr>
              <w:t>680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680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680mm,</w:t>
            </w:r>
            <w:r>
              <w:rPr>
                <w:rFonts w:hint="eastAsia" w:ascii="宋体" w:hAnsi="宋体" w:eastAsia="宋体" w:cs="宋体"/>
                <w:b w:val="0"/>
                <w:bCs/>
                <w:color w:val="auto"/>
                <w:kern w:val="2"/>
                <w:sz w:val="21"/>
                <w:szCs w:val="21"/>
                <w:highlight w:val="none"/>
                <w:lang w:val="en-US" w:eastAsia="zh-CN" w:bidi="ar-SA"/>
              </w:rPr>
              <w:t>大梯</w:t>
            </w:r>
            <w:r>
              <w:rPr>
                <w:rFonts w:hint="eastAsia" w:ascii="宋体" w:hAnsi="宋体" w:cs="宋体"/>
                <w:b w:val="0"/>
                <w:bCs/>
                <w:color w:val="auto"/>
                <w:kern w:val="2"/>
                <w:sz w:val="21"/>
                <w:szCs w:val="21"/>
                <w:highlight w:val="none"/>
                <w:lang w:val="en-US" w:eastAsia="zh-CN" w:bidi="ar-SA"/>
              </w:rPr>
              <w:t>台1150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680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680mm</w:t>
            </w:r>
            <w:r>
              <w:rPr>
                <w:rFonts w:hint="eastAsia" w:ascii="宋体" w:hAnsi="宋体" w:eastAsia="宋体" w:cs="宋体"/>
                <w:b w:val="0"/>
                <w:bCs/>
                <w:color w:val="auto"/>
                <w:kern w:val="2"/>
                <w:sz w:val="21"/>
                <w:szCs w:val="21"/>
                <w:highlight w:val="none"/>
                <w:lang w:val="en-US" w:eastAsia="zh-CN" w:bidi="ar-SA"/>
              </w:rPr>
              <w:t>，小梯台</w:t>
            </w:r>
            <w:r>
              <w:rPr>
                <w:rFonts w:hint="eastAsia" w:ascii="宋体" w:hAnsi="宋体" w:cs="宋体"/>
                <w:b w:val="0"/>
                <w:bCs/>
                <w:color w:val="auto"/>
                <w:kern w:val="2"/>
                <w:sz w:val="21"/>
                <w:szCs w:val="21"/>
                <w:highlight w:val="none"/>
                <w:lang w:val="en-US" w:eastAsia="zh-CN" w:bidi="ar-SA"/>
              </w:rPr>
              <w:t>680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640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440mm</w:t>
            </w:r>
            <w:r>
              <w:rPr>
                <w:rFonts w:hint="eastAsia" w:ascii="宋体" w:hAnsi="宋体" w:eastAsia="宋体" w:cs="宋体"/>
                <w:b w:val="0"/>
                <w:bCs/>
                <w:color w:val="auto"/>
                <w:kern w:val="2"/>
                <w:sz w:val="21"/>
                <w:szCs w:val="21"/>
                <w:highlight w:val="none"/>
                <w:lang w:val="en-US" w:eastAsia="zh-CN" w:bidi="ar-SA"/>
              </w:rPr>
              <w:t>，多功能走爬长梯</w:t>
            </w:r>
            <w:r>
              <w:rPr>
                <w:rFonts w:hint="eastAsia" w:ascii="宋体" w:hAnsi="宋体" w:cs="宋体"/>
                <w:b w:val="0"/>
                <w:bCs/>
                <w:color w:val="auto"/>
                <w:kern w:val="2"/>
                <w:sz w:val="21"/>
                <w:szCs w:val="21"/>
                <w:highlight w:val="none"/>
                <w:lang w:val="en-US" w:eastAsia="zh-CN" w:bidi="ar-SA"/>
              </w:rPr>
              <w:t>1700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320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70mm</w:t>
            </w:r>
            <w:r>
              <w:rPr>
                <w:rFonts w:hint="eastAsia" w:ascii="宋体" w:hAnsi="宋体" w:eastAsia="宋体" w:cs="宋体"/>
                <w:b w:val="0"/>
                <w:bCs/>
                <w:color w:val="auto"/>
                <w:kern w:val="2"/>
                <w:sz w:val="21"/>
                <w:szCs w:val="21"/>
                <w:highlight w:val="none"/>
                <w:lang w:val="en-US" w:eastAsia="zh-CN" w:bidi="ar-SA"/>
              </w:rPr>
              <w:t>，绳网爬梯</w:t>
            </w:r>
            <w:r>
              <w:rPr>
                <w:rFonts w:hint="eastAsia" w:ascii="宋体" w:hAnsi="宋体" w:cs="宋体"/>
                <w:b w:val="0"/>
                <w:bCs/>
                <w:color w:val="auto"/>
                <w:kern w:val="2"/>
                <w:sz w:val="21"/>
                <w:szCs w:val="21"/>
                <w:highlight w:val="none"/>
                <w:lang w:val="en-US" w:eastAsia="zh-CN" w:bidi="ar-SA"/>
              </w:rPr>
              <w:t>1230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320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90mm</w:t>
            </w:r>
            <w:r>
              <w:rPr>
                <w:rFonts w:hint="eastAsia" w:ascii="宋体" w:hAnsi="宋体" w:eastAsia="宋体" w:cs="宋体"/>
                <w:b w:val="0"/>
                <w:bCs/>
                <w:color w:val="auto"/>
                <w:kern w:val="2"/>
                <w:sz w:val="21"/>
                <w:szCs w:val="21"/>
                <w:highlight w:val="none"/>
                <w:lang w:val="en-US" w:eastAsia="zh-CN" w:bidi="ar-SA"/>
              </w:rPr>
              <w:t>，探究桶</w:t>
            </w:r>
            <w:r>
              <w:rPr>
                <w:rFonts w:hint="eastAsia" w:ascii="宋体" w:hAnsi="宋体" w:cs="宋体"/>
                <w:b w:val="0"/>
                <w:bCs/>
                <w:color w:val="auto"/>
                <w:kern w:val="2"/>
                <w:sz w:val="21"/>
                <w:szCs w:val="21"/>
                <w:highlight w:val="none"/>
                <w:lang w:val="en-US" w:eastAsia="zh-CN" w:bidi="ar-SA"/>
              </w:rPr>
              <w:t>850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720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720mm</w:t>
            </w:r>
            <w:r>
              <w:rPr>
                <w:rFonts w:hint="eastAsia" w:ascii="宋体" w:hAnsi="宋体" w:eastAsia="宋体" w:cs="宋体"/>
                <w:b w:val="0"/>
                <w:bCs/>
                <w:color w:val="auto"/>
                <w:kern w:val="2"/>
                <w:sz w:val="21"/>
                <w:szCs w:val="21"/>
                <w:highlight w:val="none"/>
                <w:lang w:val="en-US" w:eastAsia="zh-CN" w:bidi="ar-SA"/>
              </w:rPr>
              <w:t>，负重拉轮</w:t>
            </w:r>
            <w:r>
              <w:rPr>
                <w:rFonts w:hint="eastAsia" w:ascii="宋体" w:hAnsi="宋体" w:cs="宋体"/>
                <w:b w:val="0"/>
                <w:bCs/>
                <w:color w:val="auto"/>
                <w:kern w:val="2"/>
                <w:sz w:val="21"/>
                <w:szCs w:val="21"/>
                <w:highlight w:val="none"/>
                <w:lang w:val="en-US" w:eastAsia="zh-CN" w:bidi="ar-SA"/>
              </w:rPr>
              <w:t>640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640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21mm</w:t>
            </w:r>
            <w:r>
              <w:rPr>
                <w:rFonts w:hint="eastAsia" w:ascii="宋体" w:hAnsi="宋体" w:eastAsia="宋体" w:cs="宋体"/>
                <w:b w:val="0"/>
                <w:bCs/>
                <w:color w:val="auto"/>
                <w:kern w:val="2"/>
                <w:sz w:val="21"/>
                <w:szCs w:val="21"/>
                <w:highlight w:val="none"/>
                <w:lang w:val="en-US" w:eastAsia="zh-CN" w:bidi="ar-SA"/>
              </w:rPr>
              <w:t>，转轮</w:t>
            </w:r>
            <w:r>
              <w:rPr>
                <w:rFonts w:hint="eastAsia" w:ascii="宋体" w:hAnsi="宋体" w:cs="宋体"/>
                <w:b w:val="0"/>
                <w:bCs/>
                <w:color w:val="auto"/>
                <w:kern w:val="2"/>
                <w:sz w:val="21"/>
                <w:szCs w:val="21"/>
                <w:highlight w:val="none"/>
                <w:lang w:val="en-US" w:eastAsia="zh-CN" w:bidi="ar-SA"/>
              </w:rPr>
              <w:t>640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640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27mm</w:t>
            </w:r>
            <w:r>
              <w:rPr>
                <w:rFonts w:hint="eastAsia" w:ascii="宋体" w:hAnsi="宋体" w:eastAsia="宋体" w:cs="宋体"/>
                <w:b w:val="0"/>
                <w:bCs/>
                <w:color w:val="auto"/>
                <w:kern w:val="2"/>
                <w:sz w:val="21"/>
                <w:szCs w:val="21"/>
                <w:highlight w:val="none"/>
                <w:lang w:val="en-US" w:eastAsia="zh-CN" w:bidi="ar-SA"/>
              </w:rPr>
              <w:t>，垫子</w:t>
            </w:r>
            <w:r>
              <w:rPr>
                <w:rFonts w:hint="eastAsia" w:ascii="宋体" w:hAnsi="宋体" w:cs="宋体"/>
                <w:b w:val="0"/>
                <w:bCs/>
                <w:color w:val="auto"/>
                <w:kern w:val="2"/>
                <w:sz w:val="21"/>
                <w:szCs w:val="21"/>
                <w:highlight w:val="none"/>
                <w:lang w:val="en-US" w:eastAsia="zh-CN" w:bidi="ar-SA"/>
              </w:rPr>
              <w:t>1200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600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10mm</w:t>
            </w:r>
            <w:r>
              <w:rPr>
                <w:rFonts w:hint="eastAsia" w:ascii="宋体" w:hAnsi="宋体" w:eastAsia="宋体" w:cs="宋体"/>
                <w:b w:val="0"/>
                <w:bCs/>
                <w:color w:val="auto"/>
                <w:kern w:val="2"/>
                <w:sz w:val="21"/>
                <w:szCs w:val="21"/>
                <w:highlight w:val="none"/>
                <w:lang w:val="en-US" w:eastAsia="zh-CN" w:bidi="ar-SA"/>
              </w:rPr>
              <w:t>，拖车</w:t>
            </w:r>
            <w:r>
              <w:rPr>
                <w:rFonts w:hint="eastAsia" w:ascii="宋体" w:hAnsi="宋体" w:cs="宋体"/>
                <w:b w:val="0"/>
                <w:bCs/>
                <w:color w:val="auto"/>
                <w:kern w:val="2"/>
                <w:sz w:val="21"/>
                <w:szCs w:val="21"/>
                <w:highlight w:val="none"/>
                <w:lang w:val="en-US" w:eastAsia="zh-CN" w:bidi="ar-SA"/>
              </w:rPr>
              <w:t>800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600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120mm</w:t>
            </w:r>
            <w:r>
              <w:rPr>
                <w:rFonts w:hint="eastAsia" w:ascii="宋体" w:hAnsi="宋体" w:eastAsia="宋体" w:cs="宋体"/>
                <w:b w:val="0"/>
                <w:bCs/>
                <w:color w:val="auto"/>
                <w:kern w:val="2"/>
                <w:sz w:val="21"/>
                <w:szCs w:val="21"/>
                <w:highlight w:val="none"/>
                <w:lang w:val="en-US" w:eastAsia="zh-CN" w:bidi="ar-SA"/>
              </w:rPr>
              <w:t>，安全固定绳</w:t>
            </w:r>
            <w:r>
              <w:rPr>
                <w:rFonts w:hint="eastAsia" w:ascii="宋体" w:hAnsi="宋体" w:cs="宋体"/>
                <w:b w:val="0"/>
                <w:bCs/>
                <w:color w:val="auto"/>
                <w:kern w:val="2"/>
                <w:sz w:val="21"/>
                <w:szCs w:val="21"/>
                <w:highlight w:val="none"/>
                <w:lang w:val="en-US" w:eastAsia="zh-CN" w:bidi="ar-SA"/>
              </w:rPr>
              <w:t>500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500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150mm</w:t>
            </w:r>
            <w:r>
              <w:rPr>
                <w:rFonts w:hint="eastAsia" w:ascii="宋体" w:hAnsi="宋体" w:eastAsia="宋体" w:cs="宋体"/>
                <w:b w:val="0"/>
                <w:bCs/>
                <w:color w:val="auto"/>
                <w:kern w:val="2"/>
                <w:sz w:val="21"/>
                <w:szCs w:val="21"/>
                <w:highlight w:val="none"/>
                <w:lang w:val="en-US" w:eastAsia="zh-CN" w:bidi="ar-SA"/>
              </w:rPr>
              <w:t>，体能训练转圈</w:t>
            </w:r>
            <w:r>
              <w:rPr>
                <w:rFonts w:hint="eastAsia" w:ascii="宋体" w:hAnsi="宋体" w:cs="宋体"/>
                <w:b w:val="0"/>
                <w:bCs/>
                <w:color w:val="auto"/>
                <w:kern w:val="2"/>
                <w:sz w:val="21"/>
                <w:szCs w:val="21"/>
                <w:highlight w:val="none"/>
                <w:lang w:val="en-US" w:eastAsia="zh-CN" w:bidi="ar-SA"/>
              </w:rPr>
              <w:t>600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600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7.5mm</w:t>
            </w:r>
            <w:r>
              <w:rPr>
                <w:rFonts w:hint="eastAsia" w:ascii="宋体" w:hAnsi="宋体" w:eastAsia="宋体" w:cs="宋体"/>
                <w:b w:val="0"/>
                <w:bCs/>
                <w:color w:val="auto"/>
                <w:kern w:val="2"/>
                <w:sz w:val="21"/>
                <w:szCs w:val="21"/>
                <w:highlight w:val="none"/>
                <w:lang w:val="en-US" w:eastAsia="zh-CN" w:bidi="ar-SA"/>
              </w:rPr>
              <w:t>，体能训练套圈</w:t>
            </w:r>
            <w:r>
              <w:rPr>
                <w:rFonts w:hint="eastAsia" w:ascii="宋体" w:hAnsi="宋体" w:cs="宋体"/>
                <w:b w:val="0"/>
                <w:bCs/>
                <w:color w:val="auto"/>
                <w:kern w:val="2"/>
                <w:sz w:val="21"/>
                <w:szCs w:val="21"/>
                <w:highlight w:val="none"/>
                <w:lang w:val="en-US" w:eastAsia="zh-CN" w:bidi="ar-SA"/>
              </w:rPr>
              <w:t>180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180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7.5mm</w:t>
            </w:r>
            <w:r>
              <w:rPr>
                <w:rFonts w:hint="eastAsia" w:ascii="宋体" w:hAnsi="宋体" w:eastAsia="宋体" w:cs="宋体"/>
                <w:b w:val="0"/>
                <w:bCs/>
                <w:color w:val="auto"/>
                <w:kern w:val="2"/>
                <w:sz w:val="21"/>
                <w:szCs w:val="21"/>
                <w:highlight w:val="none"/>
                <w:lang w:val="en-US" w:eastAsia="zh-CN" w:bidi="ar-SA"/>
              </w:rPr>
              <w:t>，手推滚轮</w:t>
            </w:r>
            <w:r>
              <w:rPr>
                <w:rFonts w:hint="eastAsia" w:ascii="宋体" w:hAnsi="宋体" w:cs="宋体"/>
                <w:b w:val="0"/>
                <w:bCs/>
                <w:color w:val="auto"/>
                <w:kern w:val="2"/>
                <w:sz w:val="21"/>
                <w:szCs w:val="21"/>
                <w:highlight w:val="none"/>
                <w:lang w:val="en-US" w:eastAsia="zh-CN" w:bidi="ar-SA"/>
              </w:rPr>
              <w:t>型970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5100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370mm</w:t>
            </w:r>
            <w:r>
              <w:rPr>
                <w:rFonts w:hint="eastAsia" w:ascii="宋体" w:hAnsi="宋体" w:eastAsia="宋体" w:cs="宋体"/>
                <w:b w:val="0"/>
                <w:bCs/>
                <w:color w:val="auto"/>
                <w:kern w:val="2"/>
                <w:sz w:val="21"/>
                <w:szCs w:val="21"/>
                <w:highlight w:val="none"/>
                <w:lang w:val="en-US" w:eastAsia="zh-CN" w:bidi="ar-SA"/>
              </w:rPr>
              <w:t>，迷彩钻筒</w:t>
            </w:r>
            <w:r>
              <w:rPr>
                <w:rFonts w:hint="eastAsia" w:ascii="宋体" w:hAnsi="宋体" w:cs="宋体"/>
                <w:b w:val="0"/>
                <w:bCs/>
                <w:color w:val="auto"/>
                <w:kern w:val="2"/>
                <w:sz w:val="21"/>
                <w:szCs w:val="21"/>
                <w:highlight w:val="none"/>
                <w:lang w:val="en-US" w:eastAsia="zh-CN" w:bidi="ar-SA"/>
              </w:rPr>
              <w:t>180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600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600mm</w:t>
            </w:r>
            <w:r>
              <w:rPr>
                <w:rFonts w:hint="eastAsia" w:ascii="宋体" w:hAnsi="宋体" w:eastAsia="宋体" w:cs="宋体"/>
                <w:b w:val="0"/>
                <w:bCs/>
                <w:color w:val="auto"/>
                <w:kern w:val="2"/>
                <w:sz w:val="21"/>
                <w:szCs w:val="21"/>
                <w:highlight w:val="none"/>
                <w:lang w:val="en-US" w:eastAsia="zh-CN" w:bidi="ar-SA"/>
              </w:rPr>
              <w:t>，多功能体能探索架</w:t>
            </w:r>
            <w:r>
              <w:rPr>
                <w:rFonts w:hint="eastAsia" w:ascii="宋体" w:hAnsi="宋体" w:cs="宋体"/>
                <w:b w:val="0"/>
                <w:bCs/>
                <w:color w:val="auto"/>
                <w:kern w:val="2"/>
                <w:sz w:val="21"/>
                <w:szCs w:val="21"/>
                <w:highlight w:val="none"/>
                <w:lang w:val="en-US" w:eastAsia="zh-CN" w:bidi="ar-SA"/>
              </w:rPr>
              <w:t>1724</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1325</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1840mm</w:t>
            </w:r>
            <w:r>
              <w:rPr>
                <w:rFonts w:hint="eastAsia" w:ascii="宋体" w:hAnsi="宋体" w:eastAsia="宋体" w:cs="宋体"/>
                <w:b w:val="0"/>
                <w:bCs/>
                <w:color w:val="auto"/>
                <w:kern w:val="2"/>
                <w:sz w:val="21"/>
                <w:szCs w:val="21"/>
                <w:highlight w:val="none"/>
                <w:lang w:val="en-US" w:eastAsia="zh-CN" w:bidi="ar-SA"/>
              </w:rPr>
              <w:t>，协调云梯</w:t>
            </w:r>
            <w:r>
              <w:rPr>
                <w:rFonts w:hint="eastAsia" w:ascii="宋体" w:hAnsi="宋体" w:cs="宋体"/>
                <w:b w:val="0"/>
                <w:bCs/>
                <w:color w:val="auto"/>
                <w:kern w:val="2"/>
                <w:sz w:val="21"/>
                <w:szCs w:val="21"/>
                <w:highlight w:val="none"/>
                <w:lang w:val="en-US" w:eastAsia="zh-CN" w:bidi="ar-SA"/>
              </w:rPr>
              <w:t>等17300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580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1840mm，规格：组合60件/套</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SA"/>
              </w:rPr>
              <w:t xml:space="preserve">体能跑酷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bidi="ar"/>
              </w:rPr>
              <w:t>三角墩，梯形墩，跳马墩1-4级，跳箱1-4级，平衡木灰色，橙色(上200，下300,800</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bidi="ar"/>
              </w:rPr>
              <w:t>300mm两立面一斜面  带粘扣)，方垫（800X600X50mm四面粘扣），大号翻转杯高600mm，跑酷挡板（800X800X1200mm）,跑酷曲墙（800X800X15X800mm），升降单杠（930X1510X1510mm）,蹦床（1000X720X220mm），攀岩面级单杠（1800X1200X2000mm）</w:t>
            </w:r>
            <w:r>
              <w:rPr>
                <w:rFonts w:hint="eastAsia" w:ascii="宋体" w:hAnsi="宋体" w:cs="宋体"/>
                <w:color w:val="auto"/>
                <w:kern w:val="0"/>
                <w:sz w:val="21"/>
                <w:szCs w:val="21"/>
                <w:highlight w:val="none"/>
                <w:lang w:val="en-US" w:eastAsia="zh-CN" w:bidi="ar"/>
              </w:rPr>
              <w:t>，规格：</w:t>
            </w:r>
            <w:r>
              <w:rPr>
                <w:rFonts w:hint="eastAsia"/>
                <w:color w:val="auto"/>
                <w:highlight w:val="none"/>
                <w:lang w:val="en-US" w:eastAsia="zh-CN"/>
              </w:rPr>
              <w:t>43件/套，</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2"/>
                <w:sz w:val="21"/>
                <w:szCs w:val="21"/>
                <w:highlight w:val="none"/>
                <w:lang w:val="en-US" w:eastAsia="zh-CN" w:bidi="ar-SA"/>
              </w:rPr>
              <w:t xml:space="preserve">体能训练组合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材质；六股钢丝绳</w:t>
            </w:r>
            <w:r>
              <w:rPr>
                <w:rFonts w:hint="eastAsia" w:ascii="宋体" w:hAnsi="宋体" w:cs="宋体"/>
                <w:color w:val="auto"/>
                <w:sz w:val="21"/>
                <w:szCs w:val="21"/>
                <w:highlight w:val="none"/>
                <w:lang w:val="en-US" w:eastAsia="zh-CN"/>
              </w:rPr>
              <w:t>30</w:t>
            </w:r>
            <w:r>
              <w:rPr>
                <w:rFonts w:hint="eastAsia" w:ascii="宋体" w:hAnsi="宋体" w:cs="宋体"/>
                <w:b w:val="0"/>
                <w:bCs/>
                <w:color w:val="auto"/>
                <w:kern w:val="2"/>
                <w:sz w:val="21"/>
                <w:szCs w:val="21"/>
                <w:highlight w:val="none"/>
                <w:lang w:val="en-US" w:eastAsia="zh-CN" w:bidi="ar-SA"/>
              </w:rPr>
              <w:t>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14mm</w:t>
            </w:r>
            <w:r>
              <w:rPr>
                <w:rFonts w:hint="eastAsia" w:ascii="宋体" w:hAnsi="宋体" w:eastAsia="宋体" w:cs="宋体"/>
                <w:color w:val="auto"/>
                <w:sz w:val="21"/>
                <w:szCs w:val="21"/>
                <w:highlight w:val="none"/>
                <w:lang w:val="en-US"/>
              </w:rPr>
              <w:t>，吊球</w:t>
            </w:r>
            <w:r>
              <w:rPr>
                <w:rFonts w:hint="eastAsia" w:ascii="宋体" w:hAnsi="宋体" w:cs="宋体"/>
                <w:color w:val="auto"/>
                <w:sz w:val="21"/>
                <w:szCs w:val="21"/>
                <w:highlight w:val="none"/>
                <w:lang w:val="en-US" w:eastAsia="zh-CN"/>
              </w:rPr>
              <w:t>直径300mm</w:t>
            </w:r>
            <w:r>
              <w:rPr>
                <w:rFonts w:hint="eastAsia" w:ascii="宋体" w:hAnsi="宋体" w:eastAsia="宋体" w:cs="宋体"/>
                <w:color w:val="auto"/>
                <w:sz w:val="21"/>
                <w:szCs w:val="21"/>
                <w:highlight w:val="none"/>
                <w:lang w:val="en-US"/>
              </w:rPr>
              <w:t>，攀爬绳</w:t>
            </w:r>
            <w:r>
              <w:rPr>
                <w:rFonts w:hint="eastAsia" w:ascii="宋体" w:hAnsi="宋体" w:cs="宋体"/>
                <w:color w:val="auto"/>
                <w:sz w:val="21"/>
                <w:szCs w:val="21"/>
                <w:highlight w:val="none"/>
                <w:lang w:val="en-US" w:eastAsia="zh-CN"/>
              </w:rPr>
              <w:t>30</w:t>
            </w:r>
            <w:r>
              <w:rPr>
                <w:rFonts w:hint="eastAsia" w:ascii="宋体" w:hAnsi="宋体" w:cs="宋体"/>
                <w:b w:val="0"/>
                <w:bCs/>
                <w:color w:val="auto"/>
                <w:kern w:val="2"/>
                <w:sz w:val="21"/>
                <w:szCs w:val="21"/>
                <w:highlight w:val="none"/>
                <w:lang w:val="en-US" w:eastAsia="zh-CN" w:bidi="ar-SA"/>
              </w:rPr>
              <w:t>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14mm</w:t>
            </w:r>
            <w:r>
              <w:rPr>
                <w:rFonts w:hint="eastAsia" w:ascii="宋体" w:hAnsi="宋体" w:eastAsia="宋体" w:cs="宋体"/>
                <w:color w:val="auto"/>
                <w:sz w:val="21"/>
                <w:szCs w:val="21"/>
                <w:highlight w:val="none"/>
                <w:lang w:val="en-US"/>
              </w:rPr>
              <w:t>，爬梯</w:t>
            </w:r>
            <w:r>
              <w:rPr>
                <w:rFonts w:hint="eastAsia" w:ascii="宋体" w:hAnsi="宋体" w:cs="宋体"/>
                <w:color w:val="auto"/>
                <w:sz w:val="21"/>
                <w:szCs w:val="21"/>
                <w:highlight w:val="none"/>
                <w:lang w:val="en-US" w:eastAsia="zh-CN"/>
              </w:rPr>
              <w:t>300</w:t>
            </w:r>
            <w:r>
              <w:rPr>
                <w:rFonts w:hint="eastAsia" w:ascii="宋体" w:hAnsi="宋体" w:cs="宋体"/>
                <w:b w:val="0"/>
                <w:bCs/>
                <w:color w:val="auto"/>
                <w:kern w:val="2"/>
                <w:sz w:val="21"/>
                <w:szCs w:val="21"/>
                <w:highlight w:val="none"/>
                <w:lang w:val="en-US" w:eastAsia="zh-CN" w:bidi="ar-SA"/>
              </w:rPr>
              <w:t>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300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25mm</w:t>
            </w:r>
            <w:r>
              <w:rPr>
                <w:rFonts w:hint="eastAsia" w:ascii="宋体" w:hAnsi="宋体" w:eastAsia="宋体" w:cs="宋体"/>
                <w:color w:val="auto"/>
                <w:sz w:val="21"/>
                <w:szCs w:val="21"/>
                <w:highlight w:val="none"/>
                <w:lang w:val="en-US"/>
              </w:rPr>
              <w:t>，蜘蛛网攀爬</w:t>
            </w:r>
            <w:r>
              <w:rPr>
                <w:rFonts w:hint="eastAsia" w:ascii="宋体" w:hAnsi="宋体" w:cs="宋体"/>
                <w:color w:val="auto"/>
                <w:sz w:val="21"/>
                <w:szCs w:val="21"/>
                <w:highlight w:val="none"/>
                <w:lang w:val="en-US" w:eastAsia="zh-CN"/>
              </w:rPr>
              <w:t>300</w:t>
            </w:r>
            <w:r>
              <w:rPr>
                <w:rFonts w:hint="eastAsia" w:ascii="宋体" w:hAnsi="宋体" w:cs="宋体"/>
                <w:b w:val="0"/>
                <w:bCs/>
                <w:color w:val="auto"/>
                <w:kern w:val="2"/>
                <w:sz w:val="21"/>
                <w:szCs w:val="21"/>
                <w:highlight w:val="none"/>
                <w:lang w:val="en-US" w:eastAsia="zh-CN" w:bidi="ar-SA"/>
              </w:rPr>
              <w:t>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3000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16mm</w:t>
            </w:r>
            <w:r>
              <w:rPr>
                <w:rFonts w:hint="eastAsia" w:ascii="宋体" w:hAnsi="宋体" w:eastAsia="宋体" w:cs="宋体"/>
                <w:color w:val="auto"/>
                <w:sz w:val="21"/>
                <w:szCs w:val="21"/>
                <w:highlight w:val="none"/>
                <w:lang w:val="en-US"/>
              </w:rPr>
              <w:t>等，含所有配件及</w:t>
            </w:r>
            <w:r>
              <w:rPr>
                <w:rFonts w:hint="eastAsia" w:ascii="宋体" w:hAnsi="宋体" w:cs="宋体"/>
                <w:color w:val="auto"/>
                <w:sz w:val="21"/>
                <w:szCs w:val="21"/>
                <w:highlight w:val="none"/>
                <w:lang w:val="en-US" w:eastAsia="zh-CN"/>
              </w:rPr>
              <w:t>施工。</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体能滑索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rPr>
              <w:t>规格；长1500cm*宽280cm 高240cm ，树屋尺寸（410*280*240cm）。铁件部分；支柱直径11.4*壁厚0.2cm镀锌钢管（</w:t>
            </w:r>
            <w:r>
              <w:rPr>
                <w:rFonts w:hint="eastAsia" w:ascii="宋体" w:hAnsi="宋体" w:cs="宋体"/>
                <w:color w:val="auto"/>
                <w:kern w:val="0"/>
                <w:sz w:val="21"/>
                <w:szCs w:val="21"/>
                <w:highlight w:val="none"/>
                <w:lang w:val="en-US" w:eastAsia="zh-CN"/>
              </w:rPr>
              <w:t>需</w:t>
            </w:r>
            <w:r>
              <w:rPr>
                <w:rFonts w:hint="eastAsia" w:ascii="宋体" w:hAnsi="宋体" w:eastAsia="宋体" w:cs="宋体"/>
                <w:color w:val="auto"/>
                <w:kern w:val="0"/>
                <w:sz w:val="21"/>
                <w:szCs w:val="21"/>
                <w:highlight w:val="none"/>
                <w:lang w:val="en-US"/>
              </w:rPr>
              <w:t>现场定制）</w:t>
            </w:r>
          </w:p>
        </w:tc>
      </w:tr>
      <w:tr>
        <w:tblPrEx>
          <w:tblCellMar>
            <w:top w:w="0" w:type="dxa"/>
            <w:left w:w="108" w:type="dxa"/>
            <w:bottom w:w="0" w:type="dxa"/>
            <w:right w:w="108" w:type="dxa"/>
          </w:tblCellMar>
        </w:tblPrEx>
        <w:trPr>
          <w:trHeight w:val="71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卡孔建筑积木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val="0"/>
              <w:snapToGrid w:val="0"/>
              <w:spacing w:line="360" w:lineRule="auto"/>
              <w:ind w:firstLine="105" w:firstLineChars="5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松</w:t>
            </w:r>
            <w:r>
              <w:rPr>
                <w:rFonts w:hint="eastAsia" w:ascii="宋体" w:hAnsi="宋体" w:eastAsia="宋体" w:cs="宋体"/>
                <w:b w:val="0"/>
                <w:bCs w:val="0"/>
                <w:strike w:val="0"/>
                <w:dstrike w:val="0"/>
                <w:color w:val="auto"/>
                <w:sz w:val="21"/>
                <w:szCs w:val="21"/>
                <w:highlight w:val="none"/>
                <w:lang w:val="en-US" w:eastAsia="zh-CN"/>
              </w:rPr>
              <w:t>木</w:t>
            </w:r>
            <w:r>
              <w:rPr>
                <w:rFonts w:hint="eastAsia" w:ascii="宋体" w:hAnsi="宋体" w:eastAsia="宋体" w:cs="宋体"/>
                <w:b w:val="0"/>
                <w:bCs w:val="0"/>
                <w:color w:val="auto"/>
                <w:sz w:val="21"/>
                <w:szCs w:val="21"/>
                <w:highlight w:val="none"/>
                <w:lang w:val="en-US" w:eastAsia="zh-CN"/>
              </w:rPr>
              <w:t>，隼棒</w:t>
            </w:r>
            <w:r>
              <w:rPr>
                <w:rFonts w:hint="eastAsia" w:ascii="宋体" w:hAnsi="宋体" w:cs="宋体"/>
                <w:b w:val="0"/>
                <w:bCs w:val="0"/>
                <w:color w:val="auto"/>
                <w:sz w:val="21"/>
                <w:szCs w:val="21"/>
                <w:highlight w:val="none"/>
                <w:lang w:val="en-US" w:eastAsia="zh-CN"/>
              </w:rPr>
              <w:t>1986件</w:t>
            </w:r>
            <w:r>
              <w:rPr>
                <w:rFonts w:hint="eastAsia" w:ascii="宋体" w:hAnsi="宋体" w:eastAsia="宋体" w:cs="宋体"/>
                <w:b w:val="0"/>
                <w:bCs w:val="0"/>
                <w:color w:val="auto"/>
                <w:sz w:val="21"/>
                <w:szCs w:val="21"/>
                <w:highlight w:val="none"/>
                <w:lang w:val="en-US" w:eastAsia="zh-CN"/>
              </w:rPr>
              <w:t>，锤子</w:t>
            </w:r>
            <w:r>
              <w:rPr>
                <w:rFonts w:hint="eastAsia" w:ascii="宋体" w:hAnsi="宋体" w:cs="宋体"/>
                <w:b w:val="0"/>
                <w:bCs w:val="0"/>
                <w:color w:val="auto"/>
                <w:sz w:val="21"/>
                <w:szCs w:val="21"/>
                <w:highlight w:val="none"/>
                <w:lang w:val="en-US" w:eastAsia="zh-CN"/>
              </w:rPr>
              <w:t>10个碳化木，</w:t>
            </w:r>
            <w:r>
              <w:rPr>
                <w:rFonts w:hint="eastAsia" w:ascii="宋体" w:hAnsi="宋体" w:eastAsia="宋体" w:cs="宋体"/>
                <w:b w:val="0"/>
                <w:bCs w:val="0"/>
                <w:color w:val="auto"/>
                <w:sz w:val="21"/>
                <w:szCs w:val="21"/>
                <w:highlight w:val="none"/>
                <w:lang w:val="en-US" w:eastAsia="zh-CN"/>
              </w:rPr>
              <w:t>积木块</w:t>
            </w:r>
            <w:r>
              <w:rPr>
                <w:rFonts w:hint="eastAsia" w:ascii="宋体" w:hAnsi="宋体" w:cs="宋体"/>
                <w:b w:val="0"/>
                <w:bCs w:val="0"/>
                <w:color w:val="auto"/>
                <w:sz w:val="21"/>
                <w:szCs w:val="21"/>
                <w:highlight w:val="none"/>
                <w:lang w:val="en-US" w:eastAsia="zh-CN"/>
              </w:rPr>
              <w:t>15</w:t>
            </w:r>
            <w:r>
              <w:rPr>
                <w:rFonts w:hint="eastAsia" w:ascii="宋体" w:hAnsi="宋体" w:cs="宋体"/>
                <w:b w:val="0"/>
                <w:bCs/>
                <w:color w:val="auto"/>
                <w:kern w:val="2"/>
                <w:sz w:val="21"/>
                <w:szCs w:val="21"/>
                <w:highlight w:val="none"/>
                <w:lang w:val="en-US" w:eastAsia="zh-CN" w:bidi="ar-SA"/>
              </w:rPr>
              <w:t>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74</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50mm</w:t>
            </w:r>
            <w:r>
              <w:rPr>
                <w:rFonts w:hint="eastAsia" w:ascii="宋体" w:hAnsi="宋体" w:eastAsia="宋体" w:cs="宋体"/>
                <w:b w:val="0"/>
                <w:bCs w:val="0"/>
                <w:color w:val="auto"/>
                <w:sz w:val="21"/>
                <w:szCs w:val="21"/>
                <w:highlight w:val="none"/>
                <w:lang w:val="en-US" w:eastAsia="zh-CN"/>
              </w:rPr>
              <w:t>，瓦片</w:t>
            </w:r>
            <w:r>
              <w:rPr>
                <w:rFonts w:hint="eastAsia" w:ascii="宋体" w:hAnsi="宋体" w:cs="宋体"/>
                <w:b w:val="0"/>
                <w:bCs w:val="0"/>
                <w:color w:val="auto"/>
                <w:sz w:val="21"/>
                <w:szCs w:val="21"/>
                <w:highlight w:val="none"/>
                <w:lang w:val="en-US" w:eastAsia="zh-CN"/>
              </w:rPr>
              <w:t>850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75</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50mm，屋顶6</w:t>
            </w:r>
            <w:r>
              <w:rPr>
                <w:rFonts w:hint="eastAsia" w:ascii="宋体" w:hAnsi="宋体" w:cs="宋体"/>
                <w:color w:val="auto"/>
                <w:sz w:val="21"/>
                <w:szCs w:val="21"/>
                <w:highlight w:val="none"/>
                <w:lang w:val="en-US" w:eastAsia="zh-CN"/>
              </w:rPr>
              <w:t>0</w:t>
            </w:r>
            <w:r>
              <w:rPr>
                <w:rFonts w:hint="eastAsia" w:ascii="宋体" w:hAnsi="宋体" w:cs="宋体"/>
                <w:b w:val="0"/>
                <w:bCs/>
                <w:color w:val="auto"/>
                <w:kern w:val="2"/>
                <w:sz w:val="21"/>
                <w:szCs w:val="21"/>
                <w:highlight w:val="none"/>
                <w:lang w:val="en-US" w:eastAsia="zh-CN" w:bidi="ar-SA"/>
              </w:rPr>
              <w:t>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75</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50mm，顶梁15</w:t>
            </w:r>
            <w:r>
              <w:rPr>
                <w:rFonts w:hint="eastAsia" w:ascii="宋体" w:hAnsi="宋体" w:cs="宋体"/>
                <w:color w:val="auto"/>
                <w:sz w:val="21"/>
                <w:szCs w:val="21"/>
                <w:highlight w:val="none"/>
                <w:lang w:val="en-US" w:eastAsia="zh-CN"/>
              </w:rPr>
              <w:t>0</w:t>
            </w:r>
            <w:r>
              <w:rPr>
                <w:rFonts w:hint="eastAsia" w:ascii="宋体" w:hAnsi="宋体" w:cs="宋体"/>
                <w:b w:val="0"/>
                <w:bCs/>
                <w:color w:val="auto"/>
                <w:kern w:val="2"/>
                <w:sz w:val="21"/>
                <w:szCs w:val="21"/>
                <w:highlight w:val="none"/>
                <w:lang w:val="en-US" w:eastAsia="zh-CN" w:bidi="ar-SA"/>
              </w:rPr>
              <w:t>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100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40mm，围墙三角150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75</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50mm窗户条6</w:t>
            </w:r>
            <w:r>
              <w:rPr>
                <w:rFonts w:hint="eastAsia" w:ascii="宋体" w:hAnsi="宋体" w:cs="宋体"/>
                <w:color w:val="auto"/>
                <w:sz w:val="21"/>
                <w:szCs w:val="21"/>
                <w:highlight w:val="none"/>
                <w:lang w:val="en-US" w:eastAsia="zh-CN"/>
              </w:rPr>
              <w:t>0</w:t>
            </w:r>
            <w:r>
              <w:rPr>
                <w:rFonts w:hint="eastAsia" w:ascii="宋体" w:hAnsi="宋体" w:cs="宋体"/>
                <w:b w:val="0"/>
                <w:bCs/>
                <w:color w:val="auto"/>
                <w:kern w:val="2"/>
                <w:sz w:val="21"/>
                <w:szCs w:val="21"/>
                <w:highlight w:val="none"/>
                <w:lang w:val="en-US" w:eastAsia="zh-CN" w:bidi="ar-SA"/>
              </w:rPr>
              <w:t>0</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75</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50mm，</w:t>
            </w:r>
            <w:r>
              <w:rPr>
                <w:rFonts w:hint="eastAsia" w:ascii="宋体" w:hAnsi="宋体" w:eastAsia="宋体" w:cs="宋体"/>
                <w:b w:val="0"/>
                <w:bCs w:val="0"/>
                <w:color w:val="auto"/>
                <w:sz w:val="21"/>
                <w:szCs w:val="21"/>
                <w:highlight w:val="none"/>
                <w:lang w:val="en-US" w:eastAsia="zh-CN"/>
              </w:rPr>
              <w:t>等形状，搭建各种形状及房子。3215件/套</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 货品运输车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辆</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材质；1.车体骨架采用优质镀锌钢管作为承重骨架，采用圆角焊接工艺，整车外表高温烤漆处理，有效防止生锈。</w:t>
            </w:r>
          </w:p>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2.底板采用优质冷轧钢板，保证强度。</w:t>
            </w:r>
          </w:p>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3.根据路面情况选择合适脚轮，使用更加便捷。双侧面可向下打开，可向上提起摘下，2个转向轮带刹车，2个定向轮，加厚车体。</w:t>
            </w:r>
          </w:p>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规格：120×100×105cm</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立体几何拼插玩具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 xml:space="preserve">ABS环保材料 </w:t>
            </w:r>
            <w:r>
              <w:rPr>
                <w:rFonts w:hint="eastAsia" w:ascii="宋体" w:hAnsi="宋体" w:eastAsia="宋体" w:cs="宋体"/>
                <w:b w:val="0"/>
                <w:bCs w:val="0"/>
                <w:color w:val="auto"/>
                <w:sz w:val="21"/>
                <w:szCs w:val="21"/>
                <w:highlight w:val="none"/>
                <w:lang w:val="en-US" w:eastAsia="zh-CN"/>
              </w:rPr>
              <w:t>亲子互动，创意拼搭，锻炼小朋友们的思维和动手能力。规</w:t>
            </w:r>
            <w:r>
              <w:rPr>
                <w:rFonts w:hint="eastAsia" w:ascii="宋体" w:hAnsi="宋体" w:cs="宋体"/>
                <w:b w:val="0"/>
                <w:bCs w:val="0"/>
                <w:color w:val="auto"/>
                <w:sz w:val="21"/>
                <w:szCs w:val="21"/>
                <w:highlight w:val="none"/>
                <w:lang w:val="en-US" w:eastAsia="zh-CN"/>
              </w:rPr>
              <w:t xml:space="preserve">格: </w:t>
            </w:r>
            <w:r>
              <w:rPr>
                <w:rFonts w:hint="eastAsia" w:ascii="宋体" w:hAnsi="宋体" w:eastAsia="宋体" w:cs="宋体"/>
                <w:b w:val="0"/>
                <w:bCs w:val="0"/>
                <w:color w:val="auto"/>
                <w:sz w:val="21"/>
                <w:szCs w:val="21"/>
                <w:highlight w:val="none"/>
                <w:lang w:val="en-US" w:eastAsia="zh-CN"/>
              </w:rPr>
              <w:t>240件/套</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淘气仙人掌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规格:</w:t>
            </w:r>
            <w:r>
              <w:rPr>
                <w:rFonts w:hint="eastAsia" w:ascii="宋体" w:hAnsi="宋体" w:eastAsia="宋体" w:cs="宋体"/>
                <w:b w:val="0"/>
                <w:bCs w:val="0"/>
                <w:color w:val="auto"/>
                <w:sz w:val="21"/>
                <w:szCs w:val="21"/>
                <w:highlight w:val="none"/>
                <w:lang w:val="en-US" w:eastAsia="zh-CN"/>
              </w:rPr>
              <w:t>31*31*41cm；配置：绿色仙人掌主干1个，绿色基座1个，表情圆盘6片（桔色3片，黄色3片）</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串苹果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名称：串苹果；彩盒尺寸：32.3x23.8x5cm组件明细：1.红色苹果x102.绿色苹果x103.大虫x204.小虫x205.穿线虫x26.绳子x27.叶子x20(共84件)商品尺寸：苹果：长4cmx宽4cmx高4cm小虫：直径0.7cmx长4.6cm大虫：直径0.7cmx长7cm穿线虫：直径0.5cmx长5.3cm叶子：长3cmx宽2cm绳子：长100cm</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 构建工程积木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1、材质：ABS环保塑料、100%安全无毒，颜色艳丽，耐光照不褪色，抗压耐磨，光滑不伤手。                                                                                                                    2、规格：篮子尺寸295×213×38(mm)，插件板272×197×5(mm),配有各种图形板，紧固件，螺丝刀等配件。 </w:t>
            </w:r>
          </w:p>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3、件数：5盒/箱。</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雅乐玩具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1、材质：PE环保塑料，100%安全无毒，颜色艳丽，耐光照不褪色，抗压耐磨，光滑不伤手。</w:t>
            </w:r>
          </w:p>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2、规格：产品由3种形状6种规格配件构成，共有红、橙、紫、兰、黄、绿6种颜色。外形尺寸分别为：⑴.95×17×12(mm)、⑵.76×17×12(mm)、⑶.56×17×12(mm)、⑷. 36×17×12(mm)、⑸.56×56×12(mm)、⑹. 95×56×12(mm)。</w:t>
            </w:r>
          </w:p>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3、件数：560件/箱。  </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万能工匠区角游戏套装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材质：ABS</w:t>
            </w:r>
            <w:r>
              <w:rPr>
                <w:rFonts w:hint="eastAsia" w:ascii="宋体" w:hAnsi="宋体" w:cs="宋体"/>
                <w:b w:val="0"/>
                <w:bCs w:val="0"/>
                <w:color w:val="auto"/>
                <w:sz w:val="21"/>
                <w:szCs w:val="21"/>
                <w:highlight w:val="none"/>
                <w:lang w:val="en-US" w:eastAsia="zh-CN"/>
              </w:rPr>
              <w:t>环保材料</w:t>
            </w:r>
            <w:r>
              <w:rPr>
                <w:rFonts w:hint="eastAsia" w:ascii="宋体" w:hAnsi="宋体" w:eastAsia="宋体" w:cs="宋体"/>
                <w:b w:val="0"/>
                <w:bCs w:val="0"/>
                <w:color w:val="auto"/>
                <w:sz w:val="21"/>
                <w:szCs w:val="21"/>
                <w:highlight w:val="none"/>
                <w:lang w:val="en-US" w:eastAsia="zh-CN"/>
              </w:rPr>
              <w:t>，蓝色智能轴，</w:t>
            </w:r>
            <w:r>
              <w:rPr>
                <w:rFonts w:hint="eastAsia" w:ascii="宋体" w:hAnsi="宋体" w:cs="宋体"/>
                <w:b w:val="0"/>
                <w:bCs w:val="0"/>
                <w:color w:val="auto"/>
                <w:sz w:val="21"/>
                <w:szCs w:val="21"/>
                <w:highlight w:val="none"/>
                <w:lang w:val="en-US" w:eastAsia="zh-CN"/>
              </w:rPr>
              <w:t>直径50</w:t>
            </w:r>
            <w:r>
              <w:rPr>
                <w:rFonts w:hint="default" w:ascii="Arial" w:hAnsi="Arial" w:cs="Arial"/>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18mm</w:t>
            </w:r>
            <w:r>
              <w:rPr>
                <w:rFonts w:hint="eastAsia" w:ascii="宋体" w:hAnsi="宋体" w:eastAsia="宋体" w:cs="宋体"/>
                <w:b w:val="0"/>
                <w:bCs w:val="0"/>
                <w:color w:val="auto"/>
                <w:sz w:val="21"/>
                <w:szCs w:val="21"/>
                <w:highlight w:val="none"/>
                <w:lang w:val="en-US" w:eastAsia="zh-CN"/>
              </w:rPr>
              <w:t>，黄色智能点。红色端盖，蓝色带圆单插头，蓝色带孔单插头，蓝色双通，黄色小猴头，黄色77拉管，蓝色120拉管（直径9.5*120</w:t>
            </w:r>
            <w:r>
              <w:rPr>
                <w:rFonts w:hint="eastAsia" w:ascii="宋体" w:hAnsi="宋体" w:cs="宋体"/>
                <w:b w:val="0"/>
                <w:bCs w:val="0"/>
                <w:color w:val="auto"/>
                <w:sz w:val="21"/>
                <w:szCs w:val="21"/>
                <w:highlight w:val="none"/>
                <w:lang w:val="en-US" w:eastAsia="zh-CN"/>
              </w:rPr>
              <w:t>mm</w:t>
            </w:r>
            <w:r>
              <w:rPr>
                <w:rFonts w:hint="eastAsia" w:ascii="宋体" w:hAnsi="宋体" w:eastAsia="宋体" w:cs="宋体"/>
                <w:b w:val="0"/>
                <w:bCs w:val="0"/>
                <w:color w:val="auto"/>
                <w:sz w:val="21"/>
                <w:szCs w:val="21"/>
                <w:highlight w:val="none"/>
                <w:lang w:val="en-US" w:eastAsia="zh-CN"/>
              </w:rPr>
              <w:t>），黄色26接头（直径9.5*26</w:t>
            </w:r>
            <w:r>
              <w:rPr>
                <w:rFonts w:hint="eastAsia" w:ascii="宋体" w:hAnsi="宋体" w:cs="宋体"/>
                <w:b w:val="0"/>
                <w:bCs w:val="0"/>
                <w:color w:val="auto"/>
                <w:sz w:val="21"/>
                <w:szCs w:val="21"/>
                <w:highlight w:val="none"/>
                <w:lang w:val="en-US" w:eastAsia="zh-CN"/>
              </w:rPr>
              <w:t>mm</w:t>
            </w:r>
            <w:r>
              <w:rPr>
                <w:rFonts w:hint="eastAsia" w:ascii="宋体" w:hAnsi="宋体" w:eastAsia="宋体" w:cs="宋体"/>
                <w:b w:val="0"/>
                <w:bCs w:val="0"/>
                <w:color w:val="auto"/>
                <w:sz w:val="21"/>
                <w:szCs w:val="21"/>
                <w:highlight w:val="none"/>
                <w:lang w:val="en-US" w:eastAsia="zh-CN"/>
              </w:rPr>
              <w:t>），绿色小树叶（65*34*5</w:t>
            </w:r>
            <w:r>
              <w:rPr>
                <w:rFonts w:hint="eastAsia" w:ascii="宋体" w:hAnsi="宋体" w:cs="宋体"/>
                <w:b w:val="0"/>
                <w:bCs w:val="0"/>
                <w:color w:val="auto"/>
                <w:sz w:val="21"/>
                <w:szCs w:val="21"/>
                <w:highlight w:val="none"/>
                <w:lang w:val="en-US" w:eastAsia="zh-CN"/>
              </w:rPr>
              <w:t>mm</w:t>
            </w:r>
            <w:r>
              <w:rPr>
                <w:rFonts w:hint="eastAsia" w:ascii="宋体" w:hAnsi="宋体" w:eastAsia="宋体" w:cs="宋体"/>
                <w:b w:val="0"/>
                <w:bCs w:val="0"/>
                <w:color w:val="auto"/>
                <w:sz w:val="21"/>
                <w:szCs w:val="21"/>
                <w:highlight w:val="none"/>
                <w:lang w:val="en-US" w:eastAsia="zh-CN"/>
              </w:rPr>
              <w:t>），红色单孔正方形（100*100*10</w:t>
            </w:r>
            <w:r>
              <w:rPr>
                <w:rFonts w:hint="eastAsia" w:ascii="宋体" w:hAnsi="宋体" w:cs="宋体"/>
                <w:b w:val="0"/>
                <w:bCs w:val="0"/>
                <w:color w:val="auto"/>
                <w:sz w:val="21"/>
                <w:szCs w:val="21"/>
                <w:highlight w:val="none"/>
                <w:lang w:val="en-US" w:eastAsia="zh-CN"/>
              </w:rPr>
              <w:t>mm</w:t>
            </w:r>
            <w:r>
              <w:rPr>
                <w:rFonts w:hint="eastAsia" w:ascii="宋体" w:hAnsi="宋体" w:eastAsia="宋体" w:cs="宋体"/>
                <w:b w:val="0"/>
                <w:bCs w:val="0"/>
                <w:color w:val="auto"/>
                <w:sz w:val="21"/>
                <w:szCs w:val="21"/>
                <w:highlight w:val="none"/>
                <w:lang w:val="en-US" w:eastAsia="zh-CN"/>
              </w:rPr>
              <w:t>），黄色六孔矩形（145*100*10</w:t>
            </w:r>
            <w:r>
              <w:rPr>
                <w:rFonts w:hint="eastAsia" w:ascii="宋体" w:hAnsi="宋体" w:cs="宋体"/>
                <w:b w:val="0"/>
                <w:bCs w:val="0"/>
                <w:color w:val="auto"/>
                <w:sz w:val="21"/>
                <w:szCs w:val="21"/>
                <w:highlight w:val="none"/>
                <w:lang w:val="en-US" w:eastAsia="zh-CN"/>
              </w:rPr>
              <w:t>mm</w:t>
            </w:r>
            <w:r>
              <w:rPr>
                <w:rFonts w:hint="eastAsia" w:ascii="宋体" w:hAnsi="宋体" w:eastAsia="宋体" w:cs="宋体"/>
                <w:b w:val="0"/>
                <w:bCs w:val="0"/>
                <w:color w:val="auto"/>
                <w:sz w:val="21"/>
                <w:szCs w:val="21"/>
                <w:highlight w:val="none"/>
                <w:lang w:val="en-US" w:eastAsia="zh-CN"/>
              </w:rPr>
              <w:t xml:space="preserve">），规格：1500件/套  </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 立体四子棋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right="-109" w:rightChars="-52"/>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ABS,型号；QDL-2239，规格</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22×18.5×16cm,  10个/套</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高档成品电动遮阳棚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618</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平方</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面料：340克高分子聚乙烯面料拖布杆：宽15*高25*厚度0.8mm铝合金</w:t>
            </w:r>
          </w:p>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牵引杆：宽60高35厚度1.5mmm铝合金导向钢丝绳：5mm直径-304不锈钢</w:t>
            </w:r>
          </w:p>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牵引钢丝绳：2.5mm直径-304不锈钢吊轮：宽14*长48*高33mm304不锈钢</w:t>
            </w:r>
            <w:r>
              <w:rPr>
                <w:rFonts w:hint="eastAsia" w:ascii="宋体" w:hAnsi="宋体" w:cs="宋体"/>
                <w:b w:val="0"/>
                <w:bCs w:val="0"/>
                <w:color w:val="auto"/>
                <w:sz w:val="21"/>
                <w:szCs w:val="21"/>
                <w:highlight w:val="none"/>
                <w:lang w:val="en-US" w:eastAsia="zh-CN"/>
              </w:rPr>
              <w:t>。</w:t>
            </w:r>
          </w:p>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罩壳：宽130高166厚度2.4mm铝合金2米卷管：直径85mm铝合金卷线器：直径140mm铝合金钢丝绳拉紧器：M14-304不锈钢</w:t>
            </w:r>
          </w:p>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钢丝绳夹头：M6-304不锈钢滑轮组：5mm钢板粉末喷涂带换轮</w:t>
            </w:r>
          </w:p>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多</w:t>
            </w:r>
            <w:r>
              <w:rPr>
                <w:rFonts w:hint="eastAsia" w:ascii="宋体" w:hAnsi="宋体" w:eastAsia="宋体" w:cs="宋体"/>
                <w:b w:val="0"/>
                <w:bCs w:val="0"/>
                <w:color w:val="auto"/>
                <w:sz w:val="21"/>
                <w:szCs w:val="21"/>
                <w:highlight w:val="none"/>
                <w:lang w:val="en-US" w:eastAsia="zh-CN"/>
              </w:rPr>
              <w:t>频道液晶遥控</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 xml:space="preserve">立柱方管：100方管*3mm  600mm双坨（带斜撑）4.5米*11根立柱立柱横梁：100方管*3mm  600mm双坨（不带斜撑）40米立柱横梁：100方管*3mm </w:t>
            </w:r>
          </w:p>
          <w:p>
            <w:pPr>
              <w:keepNext w:val="0"/>
              <w:keepLines w:val="0"/>
              <w:widowControl/>
              <w:suppressLineNumbers w:val="0"/>
              <w:spacing w:line="360" w:lineRule="auto"/>
              <w:jc w:val="left"/>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墙面预埋板：200*8mm</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需现场定制）</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多功能百变墙面游戏（1）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桦木夹板，桦木，榉木，环保水性漆，有奇想齿轮</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疯狂跑道，疯狂跑道趣味模块，手掌游戏，多米诺，缤纷魔方快乐小投手，记忆翻版，垃圾分类游戏，管道游戏等功能。</w:t>
            </w:r>
          </w:p>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题卡收纳盒（材质</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榉木，规格</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24×8.5×11cm）,赠送活动方案及操作说明。总规格；400×157cm.不同大小，不同颜色的齿轮。</w:t>
            </w:r>
            <w:bookmarkStart w:id="51" w:name="OLE_LINK12"/>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需现场定制）</w:t>
            </w:r>
            <w:bookmarkEnd w:id="51"/>
            <w:r>
              <w:rPr>
                <w:rFonts w:hint="eastAsia" w:ascii="宋体" w:hAnsi="宋体" w:cs="宋体"/>
                <w:b w:val="0"/>
                <w:bCs w:val="0"/>
                <w:color w:val="auto"/>
                <w:sz w:val="21"/>
                <w:szCs w:val="21"/>
                <w:highlight w:val="none"/>
                <w:lang w:val="en-US" w:eastAsia="zh-CN"/>
              </w:rPr>
              <w:t>。</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多功能百变墙面游戏（2）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105" w:firstLineChars="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桦木夹板，桦木，榉木，环保水性漆。有音乐之旅、万能迷宫、数字迷宫四子棋</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卡塔米诺游戏</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几何形状认知配对游戏</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沙包游戏</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空中花园</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触摸游戏等功能。</w:t>
            </w:r>
          </w:p>
          <w:p>
            <w:pPr>
              <w:keepNext w:val="0"/>
              <w:keepLines w:val="0"/>
              <w:pageBreakBefore w:val="0"/>
              <w:widowControl w:val="0"/>
              <w:kinsoku/>
              <w:wordWrap/>
              <w:overflowPunct/>
              <w:topLinePunct w:val="0"/>
              <w:autoSpaceDE/>
              <w:autoSpaceDN/>
              <w:bidi w:val="0"/>
              <w:adjustRightInd w:val="0"/>
              <w:snapToGrid w:val="0"/>
              <w:spacing w:line="360" w:lineRule="auto"/>
              <w:ind w:firstLine="105" w:firstLineChars="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题卡收纳盒（材质</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榉木，规格；24×8.5×11cm）,赠送活动方案及操作说明。总规格；380×157cm.。材质：桦木、亚克力；每块尺寸7.5*7.5*2.6cm；配置：数字1-9模块各1块，共9块。（</w:t>
            </w:r>
            <w:r>
              <w:rPr>
                <w:rFonts w:hint="eastAsia" w:ascii="宋体" w:hAnsi="宋体" w:cs="宋体"/>
                <w:b w:val="0"/>
                <w:bCs w:val="0"/>
                <w:color w:val="auto"/>
                <w:sz w:val="21"/>
                <w:szCs w:val="21"/>
                <w:highlight w:val="none"/>
                <w:lang w:val="en-US" w:eastAsia="zh-CN"/>
              </w:rPr>
              <w:t>需现场定制）</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木工坊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详见木工坊清单</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非遗工坊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详见非遗工坊清单</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多功能音乐墙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镀锌钢管1.0mm.1.2mm. 2.0mm 合金铝3mm焊接采用氩弧焊及气体保护焊，整加工成型后经专业技术人员进行热镀锌及抛砂处理，表面再喷涂户外环保聚酯粉末，高温固化，表面光滑，抗紫外光能力强，色彩鲜艳，不易脱落，耐腐蚀；喷涂设备采用静电粉末喷涂装置，粉末回收采用小旋风和滤芯，高效率，无污染，可常年用于海边不生锈。结实牢固，无毒无味，安全环保。规格；730×100cm.</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需现场定制）</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移动体操垫车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辆</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材质；车架为PE材质，8个万向轮，规格；208×108×120cm,</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体操垫（A）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牛津布，高泡海绵，规格；200×100×10cm.</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体操垫（B）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牛津布，高泡海绵，规格；120×60×10cm.</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滑道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材质；采用专用塑料粒子，无毒无味，抗紫外线，防脱色，规格：310*150cm。连廊高度3.1米</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需现场定制）</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网架攀爬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规格：310*120cm。连廊高度3.1米，主体材质；立柱为11.4cm,壁厚为0.02cmm镀锌钢管，经过高温烤漆，安全牢固不生锈。（</w:t>
            </w:r>
            <w:r>
              <w:rPr>
                <w:rFonts w:hint="eastAsia" w:ascii="宋体" w:hAnsi="宋体" w:cs="宋体"/>
                <w:b w:val="0"/>
                <w:bCs w:val="0"/>
                <w:color w:val="auto"/>
                <w:sz w:val="21"/>
                <w:szCs w:val="21"/>
                <w:highlight w:val="none"/>
                <w:lang w:val="en-US" w:eastAsia="zh-CN"/>
              </w:rPr>
              <w:t>需现场定制）</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多功能梯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规格：550*400*430cm。主材质</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为塑木，主支柱为烤漆镀锌钢管，有辅材PE板，耐力板，厚度1.5cm，立柱之间有秋千及攀爬等功能，产品无臭无毒，五金零件为不锈钢半圆头，T型平头螺丝，连接件及底盘为铝合金材料，外表圆型，造型美观，无菱角，安全牢固，装饰PC板；采用纯聚甲基丙烯酸甲脂材料制成，透光率百分之八十以上，抗冲击力强。（</w:t>
            </w:r>
            <w:r>
              <w:rPr>
                <w:rFonts w:hint="eastAsia" w:ascii="宋体" w:hAnsi="宋体" w:cs="宋体"/>
                <w:b w:val="0"/>
                <w:bCs w:val="0"/>
                <w:color w:val="auto"/>
                <w:sz w:val="21"/>
                <w:szCs w:val="21"/>
                <w:highlight w:val="none"/>
                <w:lang w:val="en-US" w:eastAsia="zh-CN"/>
              </w:rPr>
              <w:t>需现场定制）</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桌子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①规格：120*60*55cm,桌面采用18mm厚度橡木板，桌面加边厚度达到30mm以上，桌腿采用50*50mm木料；</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②材质：优质橡木材质,橡木为自然色，工艺无瑕疵，均经过刨光、砂光、倒角、圆角处理，成品无毛刺、无裂纹，接缝自然，无明显缺口和缝隙；</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③油漆：环保油漆，喷漆均匀，表面漆膜平整光亮、无皱皮、发粘和漏漆现象，榫接部分采用环保白乳胶做加固处理，环保标准：甲醛释放≤1.5mg/L；</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④五金：优质五金配件；</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椅子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80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把</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框架采用50*25mm木料，椅面下四个横撑采用40*18mm,腿拉撑采用25*18mm木料，靠背采用1.8cm板雕刻造型；</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②材质：优质橡木材质,橡木为自然色，工艺无瑕疵，均经过刨光、砂光、倒角、圆角处理，成品无毛刺、无裂纹，接缝自然，无明显缺口和缝隙；</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③油漆：环保油漆，喷漆均匀，表面漆膜平整光亮、无皱皮、发粘和漏漆现象，榫接部分采用环保白乳胶做加固处理，环保标准：甲醛释放≤1.5mg/L；</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④五金：优质五金配件；</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二层柜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①尺寸100*30*60cm ；</w:t>
            </w:r>
          </w:p>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②优质18mm橡木材质,橡木为自然色，工艺无瑕疵，均经过刨光、砂光、倒角、圆角处理，成品无毛刺、无裂纹，接缝自然，无明显缺口和缝隙；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 转角柜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8</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①尺寸60*30*60cm ；</w:t>
            </w:r>
          </w:p>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②优质18mm橡木材质,橡木为自然色，工艺无瑕疵，均经过刨光、砂光、倒角、圆角处理，成品无毛刺、无裂纹，接缝自然，无明显缺口和缝隙；</w:t>
            </w:r>
          </w:p>
        </w:tc>
      </w:tr>
      <w:tr>
        <w:tblPrEx>
          <w:tblCellMar>
            <w:top w:w="0" w:type="dxa"/>
            <w:left w:w="108" w:type="dxa"/>
            <w:bottom w:w="0" w:type="dxa"/>
            <w:right w:w="108" w:type="dxa"/>
          </w:tblCellMar>
        </w:tblPrEx>
        <w:trPr>
          <w:trHeight w:val="212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 五格柜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①尺寸100*30*60cm ；</w:t>
            </w:r>
          </w:p>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②优质18mm橡木材质,橡木为自然色，工艺无瑕疵，均经过刨光、砂光、倒角、圆角处理，成品无毛刺、无裂纹，接缝自然，无明显缺口和缝隙；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strike w:val="0"/>
                <w:dstrike w:val="0"/>
                <w:color w:val="auto"/>
                <w:kern w:val="2"/>
                <w:sz w:val="21"/>
                <w:szCs w:val="21"/>
                <w:highlight w:val="none"/>
                <w:lang w:val="en-US" w:eastAsia="zh-CN" w:bidi="ar-SA"/>
              </w:rPr>
              <w:t xml:space="preserve"> 蒙氏</w:t>
            </w:r>
            <w:r>
              <w:rPr>
                <w:rFonts w:hint="eastAsia" w:ascii="宋体" w:hAnsi="宋体" w:eastAsia="宋体" w:cs="宋体"/>
                <w:color w:val="auto"/>
                <w:kern w:val="2"/>
                <w:sz w:val="21"/>
                <w:szCs w:val="21"/>
                <w:highlight w:val="none"/>
                <w:lang w:val="en-US" w:eastAsia="zh-CN" w:bidi="ar-SA"/>
              </w:rPr>
              <w:t>专业正版套装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教具构成：四组木制圆柱体</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105mm，</w:t>
            </w:r>
            <w:r>
              <w:rPr>
                <w:rFonts w:hint="eastAsia" w:ascii="宋体" w:hAnsi="宋体" w:eastAsia="宋体" w:cs="宋体"/>
                <w:b w:val="0"/>
                <w:bCs w:val="0"/>
                <w:color w:val="auto"/>
                <w:sz w:val="21"/>
                <w:szCs w:val="21"/>
                <w:highlight w:val="none"/>
                <w:lang w:val="en-US" w:eastAsia="zh-CN"/>
              </w:rPr>
              <w:t>每组各有10个带握钮圆柱体，其大小要与相对应的插座大小相配。木质底座，圆柱及圆穴均有透明保护漆。包装方式：</w:t>
            </w:r>
            <w:r>
              <w:rPr>
                <w:rFonts w:hint="eastAsia" w:ascii="宋体" w:hAnsi="宋体" w:cs="宋体"/>
                <w:b w:val="0"/>
                <w:bCs w:val="0"/>
                <w:color w:val="auto"/>
                <w:sz w:val="21"/>
                <w:szCs w:val="21"/>
                <w:highlight w:val="none"/>
                <w:lang w:val="en-US" w:eastAsia="zh-CN"/>
              </w:rPr>
              <w:t>盒子</w:t>
            </w:r>
            <w:r>
              <w:rPr>
                <w:rFonts w:hint="eastAsia" w:ascii="宋体" w:hAnsi="宋体" w:eastAsia="宋体" w:cs="宋体"/>
                <w:b w:val="0"/>
                <w:bCs w:val="0"/>
                <w:color w:val="auto"/>
                <w:sz w:val="21"/>
                <w:szCs w:val="21"/>
                <w:highlight w:val="none"/>
                <w:lang w:val="en-US" w:eastAsia="zh-CN"/>
              </w:rPr>
              <w:t>。材质：榉木。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spacing w:line="360" w:lineRule="auto"/>
              <w:jc w:val="center"/>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户外玩具柜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材质；蜂窝铝板，防雨防晒，经久耐用，规格；140x70x158cm</w:t>
            </w:r>
          </w:p>
        </w:tc>
      </w:tr>
      <w:tr>
        <w:tblPrEx>
          <w:tblCellMar>
            <w:top w:w="0" w:type="dxa"/>
            <w:left w:w="108" w:type="dxa"/>
            <w:bottom w:w="0" w:type="dxa"/>
            <w:right w:w="108" w:type="dxa"/>
          </w:tblCellMar>
        </w:tblPrEx>
        <w:trPr>
          <w:trHeight w:val="722" w:hRule="atLeast"/>
        </w:trPr>
        <w:tc>
          <w:tcPr>
            <w:tcW w:w="99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1" w:firstLineChars="10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附件1：木工坊清单</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序号</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名称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数量</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技术参数及其性能（规格）</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幼儿木工</w:t>
            </w:r>
          </w:p>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车床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1.材质：不锈钢+塑料+铝</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2.尺寸：底座306mm*186mm；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高142mm；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加工材料直径44mm；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加工材料长度134mm；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机床中心高24mm，中心距134mm。   </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3.说明：马达转速20000r/min；输入电压、电流、功率是12VDC/2A/24W；变压器具有过电流，过压，过热保护。</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4.用途：软木、硬木均可加工,可随心所欲创作造型。可以使用夹头夹持工件，牢固不易脱落；用于木工综合手工创作使用的工具。</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幼儿</w:t>
            </w:r>
          </w:p>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电动锯床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1.材质：合金材质+环保塑材</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2.尺寸：工作台面积≥89mm*89mm；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底座306mm*186mm；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高240mm。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3.说明：马达转速：20000r/min；输入电压、电流、功率是12VDC/2A/24W；变压器具有过电流，过压，过热保护；经过特殊设计,安全不伤手,锯齿碰到皮肤,也只会引起轻微的振动,不会割伤。</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4.用途：可以直线,曲线任意切割；用于木工综合手工创作使用的工具。</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幼儿</w:t>
            </w:r>
          </w:p>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木工磨床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1.材质：合金材质+环保塑材</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2.尺寸：工作台面积≥120mm*99mm；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底座306mm*186mm,高122mm。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3.说明：马达转速20000r/min；输入电压、电流、功率是12VDC/2A/24W；变压器具有过电流，过压，过热保护。</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4.用途：可以用来抛光、打磨,也可以手持进行各种角度研磨；可根据不同的工件及加工表面要求选择进行打磨；用于木工综合手工创作使用的工具</w:t>
            </w:r>
            <w:r>
              <w:rPr>
                <w:rFonts w:hint="eastAsia" w:ascii="宋体" w:hAnsi="宋体" w:cs="宋体"/>
                <w:b w:val="0"/>
                <w:bCs w:val="0"/>
                <w:color w:val="auto"/>
                <w:sz w:val="21"/>
                <w:szCs w:val="21"/>
                <w:highlight w:val="none"/>
                <w:lang w:val="en-US" w:eastAsia="zh-CN"/>
              </w:rPr>
              <w:t>。</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幼儿</w:t>
            </w:r>
          </w:p>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电动钻床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1.材质：合金材质+环保塑材</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2.尺寸：工作台面积≥120mm*99mm；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底座306mm*186mm；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高280mm；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滑块行程30mm和50mm；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夹头1-6mm。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3.说明：马达转速20000r/min；输入电压、电流、功率是12VDC/2A/24W;变压器具有过电流，过压，过热保护；操作灵活、简便,角度可在一定范围内调整,高效钻出需要的孔。</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4.用途：可加工的材料非常广泛,可加工木板、三合板；用于木工综合手工创作使用的工具。</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儿童线锯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把</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1.材质：胶柄、钢</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2.尺寸：≥258mm*109mm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3.说明：锯身可以调动，手拧螺丝加力方便，锯条不易脱落，能适合不同长度的锯条。</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4.用途：用于儿童进行操作材料的曲线切割，如木工造型、定型拉花、木雕修饰等使用。</w:t>
            </w:r>
            <w:r>
              <w:rPr>
                <w:rFonts w:hint="eastAsia" w:ascii="宋体" w:hAnsi="宋体" w:cs="宋体"/>
                <w:b w:val="0"/>
                <w:bCs w:val="0"/>
                <w:color w:val="auto"/>
                <w:sz w:val="21"/>
                <w:szCs w:val="21"/>
                <w:highlight w:val="none"/>
                <w:lang w:val="en-US" w:eastAsia="zh-CN"/>
              </w:rPr>
              <w:t>4把</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迷你U型锯条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8</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1.材质：钢材质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2.尺寸：长129mm*直径1mm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3.说明：U型锯更换锯条时，锯条一定要绷紧，锯条在没有绷紧状态下易断开；锯齿锋利耐磨，做工精细，属易耗品。</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4.用途：适用于儿童专用U型锯的锯条更换。</w:t>
            </w:r>
            <w:r>
              <w:rPr>
                <w:rFonts w:hint="eastAsia" w:ascii="宋体" w:hAnsi="宋体" w:cs="宋体"/>
                <w:b w:val="0"/>
                <w:bCs w:val="0"/>
                <w:color w:val="auto"/>
                <w:sz w:val="21"/>
                <w:szCs w:val="21"/>
                <w:highlight w:val="none"/>
                <w:lang w:val="en-US" w:eastAsia="zh-CN"/>
              </w:rPr>
              <w:t>8根</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榔头槌子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1.材质：钢材质+橡塑手柄</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2.尺寸：≥149mm*104mm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3.说明：头部精抛光，防腐防锈，外表光滑，实用美观；坚固耐用TPR防滑手柄，手握舒适，防滑耐磨。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4.用途：可用于敲击、钉钉、撬开或拔材料等使用。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尖嘴钳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把</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1.材质：胶柄+钢质钳头</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2.尺寸：≥130mm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3.说明：钳柄联结处含有弹簧装置，可自动分开钳柄，整体外形美观，结实耐用。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4.用途：用于较深、较短和较精细物品的夹取，方便实用。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儿童手锯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把</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1.材质：铝合金+烤漆</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2.尺寸：≥宽73mm*长258mm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3.说明：整体结构由加固螺丝、锯架、锯条、防滑手柄等组成；锯条两端有孔洞方便挂扣穿入，更换起来方便快捷；把手位置为注塑手柄，方便抓握。可锯木材/pvc管等适用范围。</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4.用途：用于木材的切割，适合儿童做手工作品使用。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迷你锯条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8</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1.材质：钢材质</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2.尺寸：长150mm*宽6mm</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3.说明：锯齿清晰均匀，硬度高、韧性好、锯割能力强、切割流畅，属易耗品。</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4.用途：适用于儿童专用手锯的锯条更换。</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改锥-大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1.材质：钢材质+注塑手柄</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2.尺寸：≥160mm*6mm</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3.说明：刀头为十字形，握柄带楞，方便抓握和用力；颜色随机。</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4.用途：可用于十字形钉帽钉子拧紧或放松</w:t>
            </w:r>
            <w:r>
              <w:rPr>
                <w:rFonts w:hint="eastAsia" w:ascii="宋体" w:hAnsi="宋体" w:cs="宋体"/>
                <w:b w:val="0"/>
                <w:bCs w:val="0"/>
                <w:color w:val="auto"/>
                <w:sz w:val="21"/>
                <w:szCs w:val="21"/>
                <w:highlight w:val="none"/>
                <w:lang w:val="en-US" w:eastAsia="zh-CN"/>
              </w:rPr>
              <w:t>。</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改锥-小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1.材质：钢材质</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2.尺寸：≥130mm*2mm</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3.说明：刀头为十字形，握柄带楞，方便抓握和用力；颜色随机。</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4.用途：用于拧转或放松小螺丝钉的常用工具</w:t>
            </w:r>
            <w:r>
              <w:rPr>
                <w:rFonts w:hint="eastAsia" w:ascii="宋体" w:hAnsi="宋体" w:cs="宋体"/>
                <w:b w:val="0"/>
                <w:bCs w:val="0"/>
                <w:color w:val="auto"/>
                <w:sz w:val="21"/>
                <w:szCs w:val="21"/>
                <w:highlight w:val="none"/>
                <w:lang w:val="en-US" w:eastAsia="zh-CN"/>
              </w:rPr>
              <w:t>。</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磨砂布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8</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1.材质：砂布</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2.尺寸：宽100mm</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3.说明：颗粒度均匀饱满、磨削锋利，旋转360°不影响抛光使用，手感舒适。</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4.用途：用于木工活动中对木艺作品的打磨或对工具的抛光等使用</w:t>
            </w:r>
            <w:r>
              <w:rPr>
                <w:rFonts w:hint="eastAsia" w:ascii="宋体" w:hAnsi="宋体" w:cs="宋体"/>
                <w:b w:val="0"/>
                <w:bCs w:val="0"/>
                <w:color w:val="auto"/>
                <w:sz w:val="21"/>
                <w:szCs w:val="21"/>
                <w:highlight w:val="none"/>
                <w:lang w:val="en-US" w:eastAsia="zh-CN"/>
              </w:rPr>
              <w:t>。</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包胶美工刀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把</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1.材质：塑料+钢内芯+钢刀片</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2.尺寸：≥长150mm*30mm</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3.说明：整体结构由锁定装置、3枚刀片、防护手柄、末端设有更换刀片按键；手握感舒适，轻松切割。</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4.用途：用于木工教室内材料的切割、划线、削薄和标记等操作。</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儿童剪刀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把</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1.材质：ABS+不锈钢</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2.尺寸：≥131mm*58mm</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3.说明：头部圆滑，安全不伤手，可回弹分开；颜色随机。</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4.用途：用于纸类或薄布类的切割，可加工美化木工作品的装饰物。</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锉-圆形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把</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1.材质：手柄橡塑、锉身钢材质</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2.尺寸：≥255mm*148mm*直径5mm</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3.说明：粗齿纹,锉齿纹理清晰，切齿均匀一致，坚硬耐磨损。</w:t>
            </w:r>
          </w:p>
          <w:p>
            <w:pPr>
              <w:keepNext w:val="0"/>
              <w:keepLines w:val="0"/>
              <w:pageBreakBefore w:val="0"/>
              <w:widowControl/>
              <w:suppressLineNumbers w:val="0"/>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4.用途：用于木制品修整、曲面打磨和DIY手工艺品的制作。</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锉-扁形</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把</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1.材质：手柄橡塑、锉身钢材质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2.尺寸：≥255mm*148mm*宽14mm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3.说明：粗齿纹,锉齿纹理清晰，切齿均匀一致，坚硬耐磨损。</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4.用途：用于木制品修整、平面打磨和DIY手工艺品的制作。</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迷你刨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1.材质：木质+钢材质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2.尺寸：≥120mm*39mm*29mm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3.说明：原生木材/坚固耐用，刨刀斜度45°使用过程不堵塞。</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4.用途：用于木材的边角找平或打磨；可作为儿童简单的木料报削使用。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木工刨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1.材质：木质+钢材质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2.尺寸：≥179mm*59mm*39mm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3.说明：刨体纹理清晰，表面光滑，握感舒适，使用顺畅；刨刀采用优质钢材加工而成，易出花。</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4.用途：用于木料粗刨、半精刨、精细刨、净料、净光、起线等方面的木料工艺制作；适合儿童使用</w:t>
            </w:r>
            <w:r>
              <w:rPr>
                <w:rFonts w:hint="eastAsia" w:ascii="宋体" w:hAnsi="宋体" w:cs="宋体"/>
                <w:b w:val="0"/>
                <w:bCs w:val="0"/>
                <w:color w:val="auto"/>
                <w:sz w:val="21"/>
                <w:szCs w:val="21"/>
                <w:highlight w:val="none"/>
                <w:lang w:val="en-US" w:eastAsia="zh-CN"/>
              </w:rPr>
              <w:t>。</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木工台钳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1.材质：铸铁</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2.尺寸：≥钳口宽79mm*底座夹持厚度54mm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3.说明：含钳体、夹紧手柄、工作台、旋转底座等，钳口可以拆卸，夹持工件牢固，结实耐用。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4.用途：用于夹持固定待加工的材料，使材料旋转到合适的工作位置。</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热熔胶枪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把</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1.材质：铝质枪嘴</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2.尺寸：≥125mm*109mm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3.说明：胶枪需带线插电使用，枪功率20W，适用胶棒7mm（±0.3），优质PTC热敏元件，恒温加热，使用前预热3分钟左右，不易漏胶，内置保险丝，配合绝缘隔热机壳，使用更安全，颜色随机。</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4.用途：搭配热熔胶棒使用，用于粘贴木料和DIY手工艺品的连接制作。</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热熔胶棒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1.材质：树脂、粘度调节剂</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2.尺寸：长150mm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3.说明：透明条形胶棒，粘合牢固，纯度高，耐老化，属于耗材。</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4.用途：搭配热熔胶枪使用，作为粘合材料使用。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插排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1.材质：壳体阻燃料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 169mm*69mm;线长3米。</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3.说明：包含3个分控开关、内部导线、外壳等组成；插座表面每个间距有五个小孔设计。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4.用途：用于连接电源及设备通电使用</w:t>
            </w:r>
            <w:r>
              <w:rPr>
                <w:rFonts w:hint="eastAsia" w:ascii="宋体" w:hAnsi="宋体" w:cs="宋体"/>
                <w:b w:val="0"/>
                <w:bCs w:val="0"/>
                <w:color w:val="auto"/>
                <w:sz w:val="21"/>
                <w:szCs w:val="21"/>
                <w:highlight w:val="none"/>
                <w:lang w:val="en-US" w:eastAsia="zh-CN"/>
              </w:rPr>
              <w:t>。</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木刷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把</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1.材质：木质手柄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 长170mm*40mm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3.说明：扁形，毛质柔软，整齐密集，手柄握感舒适。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4.用途：用于木工活动中清理缝隙里的屑状物。</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清洁套装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1.材质：PP材质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2.尺寸：≥348mm*228mm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3.说明：包含扫把、簸箕，可折叠收纳，不占空间.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4.用途：用于木工坊桌面、边角或设备进行木屑清理，小巧方便实用</w:t>
            </w:r>
            <w:r>
              <w:rPr>
                <w:rFonts w:hint="eastAsia" w:ascii="宋体" w:hAnsi="宋体" w:cs="宋体"/>
                <w:b w:val="0"/>
                <w:bCs w:val="0"/>
                <w:color w:val="auto"/>
                <w:sz w:val="21"/>
                <w:szCs w:val="21"/>
                <w:highlight w:val="none"/>
                <w:lang w:val="en-US" w:eastAsia="zh-CN"/>
              </w:rPr>
              <w:t>。</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鲁班墨斗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1.材质：竹木材质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2.尺寸：≥长200mm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3.说明：整体结构由线轮槽、摇把、海绵、墨仓、墨线、手柄等组成，吸墨均匀，韧性好，打线准确，简单实用。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4.用途：可用于木材的打线找平或基础测距使用；培养儿童了解中国传统墨斗的重要作用。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木工铅笔</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8</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1.材质：外壳木质+粗碳芯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2.尺寸：≥长175mm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3.说明：笔皮红色，笔芯黑色，木质轻盈，削声清脆削笔省力，划线均匀清晰，专业木工铅笔。</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4.用途：用于儿童木工活动操作材料标记或画线使用。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水粉颜料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瓶</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1.材质：颜料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2.容量：≥100ml</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3.尺寸：直径54mm*高54mm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4.说明：选用优质颜料精炼胶汁制成，覆盖力好，颜料上色快，色彩鲜艳；颜色随机。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5.用途：配合水粉笔使用，用于DIY手工木艺作品绘画创作，可增加作品的呈现效果。</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颜料盒子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1.材质：橡胶+塑料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2.尺寸：≥160mm*70mm*30mm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3.说明：长方形，橡胶软盖，密封性强，防止发生干裂，防摔抗震，盒边缘带拼接功能。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4.用途：用于盛装水粉颜料或进行调色使用。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水粉笔</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1.材质：木笔杆+尼龙笔毛</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2.尺寸：笔毛长度11-22mm，宽度7-23mm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3.说明：优质尼龙笔毛，吸水性好，笔触顺畅，木质笔杆使用寿命长；颜色随机。</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4.用途：配合水粉颜料使用，用于DIY手工木艺作品绘画创作。</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5.数量：6支/套</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木套尺（小）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2.尺寸：测量范围0-50cm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3.说明：包含等腰三角尺、勾股三角尺、180度半圆量角器；尺面刻度清晰，便于测量，卡通造型。</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4.用途：可用作距离的测量和模具找直等用途。</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木套尺（大）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把</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2.尺寸：测量范围0-50cm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3.说明：包含等腰直角三角尺、勾股三角尺、180度半圆量角器；尺面刻度清晰，便于测量。</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4.用途：用于木工活动较大的操作材料测量使用。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木工夹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1.材质：45#钢</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2.尺寸：≥210mm*110mm*18mm；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开口118mm*喉深38mm。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3.说明：夹头可拆卸做反向夹/扩展夹使用，夹持部位采用软性橡胶不伤害被夹持物。</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4.用途：适用于木工拼板、常用椅子、凳子、小柜子的安装制作及修复，用来夹紧工件、模块等固定作用的工具。</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框锯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把</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1.材质：木、钢</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2.尺寸：≥499mm*269mm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3.说明：选用优质木料，厚实耐用，握感舒适，操控稳定，锯切精准；锯绞采用尼龙绳制造，拉力大，耐磨，锯柄松紧平衡可调节。</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4.用途：用于环创展示，培养儿童了解传统框锯的工作原理及重要作用。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花凿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1.材质：手柄木质、凿头钢材质</w:t>
            </w:r>
          </w:p>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2.尺寸：≥全长188mm-198mm之间</w:t>
            </w:r>
          </w:p>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3.说明：不同规格（含斜头、平头、半圆凸头、半圆凹头、90度直角、尖头、半圆、弯头...</w:t>
            </w:r>
            <w:r>
              <w:rPr>
                <w:rFonts w:hint="eastAsia" w:ascii="宋体" w:hAnsi="宋体" w:eastAsia="宋体" w:cs="宋体"/>
                <w:b w:val="0"/>
                <w:bCs w:val="0"/>
                <w:strike/>
                <w:dstrike w:val="0"/>
                <w:color w:val="auto"/>
                <w:sz w:val="21"/>
                <w:szCs w:val="21"/>
                <w:highlight w:val="none"/>
                <w:lang w:val="en-US" w:eastAsia="zh-CN"/>
              </w:rPr>
              <w:t>等</w:t>
            </w:r>
            <w:r>
              <w:rPr>
                <w:rFonts w:hint="eastAsia" w:ascii="宋体" w:hAnsi="宋体" w:eastAsia="宋体" w:cs="宋体"/>
                <w:b w:val="0"/>
                <w:bCs w:val="0"/>
                <w:color w:val="auto"/>
                <w:sz w:val="21"/>
                <w:szCs w:val="21"/>
                <w:highlight w:val="none"/>
                <w:lang w:val="en-US" w:eastAsia="zh-CN"/>
              </w:rPr>
              <w:t>各种形状)，做工精美，适合各类木工操作。</w:t>
            </w:r>
          </w:p>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4.用途：用于木制品修整和各类DIY手工艺品的制作。</w:t>
            </w:r>
          </w:p>
          <w:p>
            <w:pPr>
              <w:keepNext w:val="0"/>
              <w:keepLines w:val="0"/>
              <w:widowControl/>
              <w:suppressLineNumbers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5.数量：12支/1套</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拉线钻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1.材质：木+钢</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2.尺寸：≥全长398mm*直径31mm*杆长380mm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3.说明：整体由轴承、手柄、拉杆、夹头等组成，传统木工活动中较实用的工具。</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4.用途：用于木质操作材料进行钻孔使用。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钢尺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把</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1.材质：不锈钢材质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2.尺寸：测量范围0-3m；尺条面宽15mm;外形宽20mm。 </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3.说明：卷尺伸缩自如，不易折断，高韧性光面尺带清晰易读。</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4.用途：用于木工活动操作材料的精准测量。</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材料收纳筐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6</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1.材质：铁丝框架+丙纶丝绳</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2.尺寸：≥372mm*252mm*128mm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3.说明：手工编织样式，具有防潮、透气、耐磨、不易变形、可水洗等特点。</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4.用途：用于盛放操作材料或收纳杂物。</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桌面物料盒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2.尺寸：≥299mm*21mm*49mm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3.说明：表面木纹清晰美观。</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4.用途：方便储放小型工具或材料。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环创机床图</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幅</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1.材质：木质边框</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2.尺寸：382mm*534mm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3.说明：外框采用优质木材，原木色，外形美观大方，简约时尚；图片展示木工操作工具图。</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4.途：用于环创展示，让儿童直观观察木工工具机床的样子，了解机床在木工工具中的作用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环创锯子图</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幅</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1.材质：木质边框</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2.尺寸：382mm*534mm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3.说明：外框采用优质木材，原木色，外形美观大方，简约时尚；图片展示木工操作工具图。</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4.用途：用于环创展示，让儿童直观观察木工工具锯子的样子，了解锯子在木工工具中的作用。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衣帽架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2.尺寸：长740*高100mm*宽160mm;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3.说明：精致设计手感舒适，不伤衣物。</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4.用途：用于悬挂围裙和小件物品等，置于教室缓冲区，养成幼儿良好常规。</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标题墙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2.尺寸：单字≥230*230mm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3.说明：含“创意木工坊”立体字，表面纹理清晰，突出立体字。</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4.用途：用于木工教室的环创呈现。</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多功能挂板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1.材质：优质松木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2.尺寸：1100mm*598mm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3.说明：做工精细，不易变形，坚固耐用，稳定性高；可配合木削在板上做置物板。</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4.用途：可作为工具或作品的摆放使用。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挂板-短木塞</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60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1.材质：木质材料</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2.尺寸：70mm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3.说明：木材纹理清晰，表面光滑，承重性能好，硬度强，具有观赏性和实用性，属于配件。</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4.用途：可插入挂板做挂钩，悬挂木工工具，也可作为木质材料制作木工作品。</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挂板-长木塞</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1.材质：木质材料</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2.尺寸：150mm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3.说明：木材纹理清晰，表面光滑，承重性能好，硬度强，具有观赏性和实用性，属于配件。</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4.用途：可插入挂板做挂钩，悬挂木工工具，也可作为木质材料制作木工作品。</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挂板-置物小板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6</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1.材质：木质材料</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2.尺寸：228mm*134mm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3.说明：木材纹理清晰，表面光滑，承重性能好，硬度强，具有观赏性和实用性，属于配件。</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4.用途：可插入挂板做挂钩，悬挂木工工具，也可作为木质材料制作木工作品。</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工具板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2.尺寸：≥400mm*100mm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3.说明：随机</w:t>
            </w:r>
            <w:r>
              <w:rPr>
                <w:rFonts w:hint="eastAsia" w:ascii="宋体" w:hAnsi="宋体" w:cs="宋体"/>
                <w:b w:val="0"/>
                <w:bCs w:val="0"/>
                <w:color w:val="auto"/>
                <w:sz w:val="21"/>
                <w:szCs w:val="21"/>
                <w:highlight w:val="none"/>
                <w:lang w:val="en-US" w:eastAsia="zh-CN"/>
              </w:rPr>
              <w:t>功能</w:t>
            </w:r>
            <w:r>
              <w:rPr>
                <w:rFonts w:hint="eastAsia" w:ascii="宋体" w:hAnsi="宋体" w:eastAsia="宋体" w:cs="宋体"/>
                <w:b w:val="0"/>
                <w:bCs w:val="0"/>
                <w:color w:val="auto"/>
                <w:sz w:val="21"/>
                <w:szCs w:val="21"/>
                <w:highlight w:val="none"/>
                <w:lang w:val="en-US" w:eastAsia="zh-CN"/>
              </w:rPr>
              <w:t>，可固定于墙壁上。</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4.用途：用于悬挂木工操作工具。</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木工流程图</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2.尺寸：单边长190mm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3.说明：外框采用优质木材，六边形带木板，框内附有传统木工流程图，完整流程图共7幅。</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4.用途：用于环创展示，帮助儿童认知木工的操作方式和步骤。</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5.数量：7幅/套</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50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传统木工文化墙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2.尺寸：木框450mm*330mm；画300mm*430mm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3.说明：外框采用优质木材斜角契合及胶粘而成，结实稳固，原木色，外形美观大方，简约时尚。每幅图分别展示传统木工知识、鲁班画像简介、木工坊注意事项、木材用途及近代木工作品等。</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4.用途：用于环创展示，帮助儿童了解古代木工制造在人们生活中的重要性。</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5.数量：1幅/套</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51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一帆风顺</w:t>
            </w:r>
            <w:r>
              <w:rPr>
                <w:rFonts w:hint="eastAsia" w:ascii="宋体" w:hAnsi="宋体" w:cs="宋体"/>
                <w:color w:val="auto"/>
                <w:sz w:val="21"/>
                <w:szCs w:val="21"/>
                <w:highlight w:val="none"/>
                <w:lang w:val="en-US" w:eastAsia="zh-CN"/>
              </w:rPr>
              <w:t>模型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2.尺寸：长268mm*高208mm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3.说明：手工制作帆船模型，旋转侧边螺旋桨可发出清脆的音乐。</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4.用途：用于环创展示木工创作作品。</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52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推土机模型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2.尺寸：长295mm*高120mm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3.说明：手工制作工程车模型，两侧分别各有2个车轮。</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4.用途：用于环创展示，帮助儿童了解木工制造在古代人类生活中所发挥的重要作用。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53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机械传动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整体尺寸：长62cm，宽27cm，高25.5cm；牛蹄尺寸：长11cm，宽7cm，橡木材质，由100余块零件组装而成，木质机械传动。</w:t>
            </w:r>
          </w:p>
          <w:p>
            <w:pPr>
              <w:keepNext w:val="0"/>
              <w:keepLines w:val="0"/>
              <w:widowControl/>
              <w:suppressLineNumbers w:val="0"/>
              <w:spacing w:line="360" w:lineRule="auto"/>
              <w:ind w:firstLine="210" w:firstLineChars="100"/>
              <w:jc w:val="left"/>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符合</w:t>
            </w:r>
            <w:r>
              <w:rPr>
                <w:rFonts w:hint="eastAsia" w:ascii="宋体" w:hAnsi="宋体" w:eastAsia="宋体" w:cs="宋体"/>
                <w:b w:val="0"/>
                <w:bCs w:val="0"/>
                <w:color w:val="auto"/>
                <w:sz w:val="21"/>
                <w:szCs w:val="21"/>
                <w:highlight w:val="none"/>
                <w:lang w:val="en-US" w:eastAsia="zh-CN"/>
              </w:rPr>
              <w:t>《GB 6675.1-2014 国家标准 玩具安全第1部分 玩具安全基本规范》《GB 6675.2-2014国家标准 玩具安全第2部分 机械与物理性能》《GB 6675.3-2014 国家标准 玩具安全第3部分：易燃性能》《GB 6675.4-2014 国家标准 玩具安全第4部分 特定元素的迁移》《GB 5296.5-2006 消费品使用说明第5部分：玩具》</w:t>
            </w:r>
            <w:r>
              <w:rPr>
                <w:rFonts w:hint="eastAsia" w:ascii="宋体" w:hAnsi="宋体" w:cs="宋体"/>
                <w:b w:val="0"/>
                <w:bCs w:val="0"/>
                <w:color w:val="auto"/>
                <w:sz w:val="21"/>
                <w:szCs w:val="21"/>
                <w:highlight w:val="none"/>
                <w:lang w:val="en-US" w:eastAsia="zh-CN"/>
              </w:rPr>
              <w:t>相关要求</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54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材料柜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1.材质：橡木与环保水性漆</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2.尺寸：1200mm*299mm*798mm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3.说明：四层结构，三层隔板固定；结实耐用，置物方便。</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4.用途：用于木工坊教室内摆放工具、小作品或者材料。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55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工具柜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1.材质：橡木与环保水性漆</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2.尺寸：1200mm*299mm*798mm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3.说明：中间由加厚挡板拼插组装，七格结构固定，结实耐用，置物方便。</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4.用途：可作为木工坊教室内材料收纳筐或工具收纳筐的置物场所使用。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56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木工操作台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1.材质：优质天然橡木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2.尺寸：≥1200mm*599mm*529mm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3.说明：拼插组装式操作桌；木纹清晰，台面坚硬耐敲击，下设置物板，可放置操作材料、工具等物品。</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4.用途：方便儿童木工作品设计、材料制作等手工操作。</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57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长条板凳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6</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1.材质：优质天然橡木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2.尺寸：≥1200mm*299mm*299mm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3.说明：凳面宽度能有效保证儿童的舒适度及安全度。</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4.用途：用于教室内儿童的坐凳。</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58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木工</w:t>
            </w:r>
          </w:p>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工作台-大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1.材质：优质天然橡木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2.尺寸：1100mm*450mm*569mm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3.说明：工作台木纹清晰，台面坚硬耐敲击，桌面附带2个台钳，符合物理学框架，牢固结实。</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4.用途：用于DIY作品设计、材料制作等手工操作</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59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木块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箱</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1.材质：松木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2.尺寸：混装随机</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3.说明：原木材质，韧性好，易操作，尺寸不一；包含各种造型的木块。</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4.用途：用于儿童综合手工创作；培养儿童的想象力和创造力。</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60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圆木球</w:t>
            </w:r>
          </w:p>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1.材质：榉木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2.尺寸：直径15mm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3.说明：外形圆滑，边角打磨，触感细腻，结实耐用。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4.用途：用于儿童DIY手工创作使用的材料。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61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圆木球</w:t>
            </w:r>
          </w:p>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1.材质：榉木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2.尺寸：直径25mm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3.说明：外形圆滑，边角打磨，触感细腻，结实耐用。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4.用途：用于儿童DIY手工创作使用的材料。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62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方木条-小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1.材质：原木木条</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2.尺寸：10mm*10mm*299mm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3.说明：方形，纹理清晰、表面光滑、色彩丰富；软硬适当、纯天然木质材料，可切割。</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4.用途：用于儿童综合手工创作使用的操作材料。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63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方木条-大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1.材质：原木木条</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2.尺寸：15mm*15mm*299mm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3.说明：方形，纹理清晰、表面光滑、色彩丰富；软硬适当、纯天然木质材料，可切割。</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4.用途：用于儿童综合手工创作使用的操作材料。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64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圆木柱-小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1.材质：原木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2.尺寸：长70mm*直径25mm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3.说明：优质原木打造，切面光滑，圆柱外形，纹理清晰美观。</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4.用途：用于儿童综合手工创作使用的操作材料。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65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圆木柱-大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1.材质：原木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2.尺寸：长150mm*直径30mm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3.说明：优质原木打造，切面光滑，圆柱外形，纹理清晰美观。</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4.用途：用于儿童综合手工创作使用的操作材料。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66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圆木条-中</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1.材质：桦木圆棒</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2.尺寸：9mm*299mm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3.说明：纹理清晰、表面光滑、色彩丰富；软硬适当、纯天然木质材料，可切割。</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4.用途：用于儿童综合手工创作使用的操作材料。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67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圆木条-大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1.材质：桦木圆棒</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2.尺寸：19mm*299mm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3.说明：纹理清晰、表面光滑、色彩丰富；软硬适当、纯天然木质材料，可切割。</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4.用途：用于儿童综合手工创作使用的操作材料。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68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小木粒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50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1.材质：原木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2.尺寸：直径15-20mm之间,高20-25mm之间</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3.说明：经过风干，开料，打磨等工序加工而成。</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4.用途：用于儿童DIY手工创作使用的操作材料。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69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圆木片-小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片</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1.材质：原木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2.尺寸：直径为30-40mm；厚5-10mm。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3.说明：带树皮的圆形木片，薄厚适中，辨识度高；经过风干，开料，打磨等工序加工而成。</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4.用途：用于木工教室内手工创作木艺作品的材料。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70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圆木片-中</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片</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1.材质：原木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2.尺寸：直径为50-60mm；厚5-10mm。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3.说明：带树皮的圆形木片，薄厚适中，辨识度高；经过风干，开料，打磨等工序加工而成。</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4.用途：用于木工教室内手工创作木艺作品的材料。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71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圆木片-大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片</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1.材质：原木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2.尺寸：直径为90-100mm；厚5-10mm。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3.说明：带树皮的圆形木片，薄厚适中，辨识度高；经过风干，开料，打磨等工序加工而成。</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4.用途：用于木工教室内手工创作木艺作品的材料。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72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椭圆木片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50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片</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1.材质：原木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2.尺寸：长20-50mm之间,宽1-2mm之间</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3.说明：经过风干，开料，打磨等工序加工而成。</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4.用途：用于儿童DIY手工创作使用的操作材料。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73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长木板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1.材质：松木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2.尺寸：200mm*60mm*8mm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3.说明：纹理清晰、色彩丰富；软硬适当、纯天然木质材料。</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4.用途：用于儿童DIY手工创作使用的操作材料。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74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宽木板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1.材质：松木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2.尺寸：150mm*100mm*8mm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3.说明：纹理清晰、色彩丰富；软硬适当、纯天然木质材料。</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4.用途：用于儿童DIY手工创作使用的操作材料。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75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印花板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ind w:firstLine="210" w:firstLineChars="100"/>
              <w:jc w:val="both"/>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1.材质：原木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2.尺寸：150mm*150mm*3mm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3.说明：图案形状细致，可按照图案进行切割，印花随机。</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4.用途：用于儿童综合手工创作使用的操作材料。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76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木夹板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16</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1.材质：椴木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2.尺寸：145mm*145mm*2mm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3.说明：空白无痕木板韧性强，厚度适中易加工，不易断裂，不易变形，可随意弯曲，纹理清晰美观，在夹板上设计图案，方便切割做造型。</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4.用途：用于儿童综合手工创作使用的操作材料。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77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方形木板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8</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1.材质：天然松木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2.尺寸：200mm*200mm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3.说明：原木材质，韧性好，质软易操作。</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4.用途：用于木工教室内作为工具练习操作的材料和手工创作木艺作品的材料。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78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刨木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1.材质：松木材质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2.尺寸：长350mm*宽80mm*厚250mm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3.说明：方形原木材质，韧性好，有一定的厚度和宽度，易操作。</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4.用途：用于木工教室内作为刨刀练习操作的材料和手工创作木艺作品的材料。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79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原木棍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50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1.材质：原木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2.尺寸：长100mm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3.说明：带皮原生态木棍，木质天然，精挑细选，纹理优美；每根长度略有差异，造型略有差异。</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4.用途：用于木工教室内手工创作木艺作品的材料。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both"/>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80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麻绳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卷</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1.材质：麻</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2.尺寸：长500mm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3.说明：精选黄麻，抗压力和抗扭力好，不易磨损，韧性强，结实耐用。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4.用途：用于儿童DIY手工创作使用的材料。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81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木夹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1.材质：竹质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2.尺寸：长72mm*宽10mm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3.说明：原色竹片，夹物紧不易脱落，夹扣光滑，弹力好。</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4.用途：可用于单个或多个木材的暂时固定，如木材的粘贴、木材的比对、木材的定位等等。</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82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天然刨花</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1.材质：优质木材</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2.尺寸：混合随机</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3.说明：刨木料时刨下来的薄片，多呈卷状，纯天然木质刨花。</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4.用途：用于儿童DIY手工创作使用的操作材料。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83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木丝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1.材质：木质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2.重量：混合随机</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3.说明：优质细木丝，呈线条状，自然色，手工制作。</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4.用途：用于儿童DIY手工创作使用的操作材料。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84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雪糕棒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1.材质：松木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2.尺寸：150*18*1.6mm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3.说明：雪糕棒切割打磨成品。</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4.用途：用于儿童搭建组装各种作品。</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5.数量：50根/包</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85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洋钉</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瓶</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1.材质：钢材质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2.尺寸：混合随机</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3.说明：含三种不同规格；坚固耐久，不易变形，耐腐蚀。</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4.用途：用作木工活动中木艺作品的制作。</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86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螺丝钉</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瓶</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1.材质：钢材质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2.尺寸：混合随机</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3.说明：含四种不同规格；坚固耐久，不易变形，耐腐蚀。</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4.用途：用于固定连接创作作品使用。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87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白乳胶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6</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瓶</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1.材质：胶水</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2.容量：30ml</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3.说明：小巧方便，环保无毒，粘接牢固，胶干后不会发黄变软。</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4.用途：用于木工创作中对操作材料之间的连接粘合。</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88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坠饰绳套装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1.材质：优质涤纶</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2.尺寸：混合随机</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3.说明：保含手把绳和流苏；配饰，现代简约。</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4.用途：作为装饰点缀儿童创作出来的小作品。</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89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立体眼睛</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1.材质：优质塑料/树脂</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2.尺寸：直径10mm-15mm之间</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3.说明：透明外壳，眼珠可活动。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4.用途：作为木工活动中木艺作品的装饰使用。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90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孔明锁套装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1.材质：原木木材</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2.尺寸：六柱锁长7.5cm;好汉锁长6.5cm。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木材坚固耐用，咬定牢固，不易变形；镶嵌造型，没有贯穿的固定材料，但却能每块木头都能锁在一起。包含两种：1、六柱锁，由六根不同榫卯结构的长方体木柱拼插而成。2、好汉锁，由三根不同榫卯结构的长方体木柱拼插而成。</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4.用途：用作研究木艺技巧使用，可以开发大脑，增强认知，锻炼手和眼协调能力。</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91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防护手套</w:t>
            </w:r>
          </w:p>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-儿童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8</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双</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1.材质：HPPE、尼龙、氨纶</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2.尺寸：长145mm*宽110mm，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3.说明：由于弹性较好，每个尺寸都有1-2cm的伸缩范围，耐磨防切割，透气性好。</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4.用途：在木工活动中保护手掌部位免受意外伤害。</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5.数量：2个/双</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92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防护口罩</w:t>
            </w:r>
          </w:p>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-儿童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50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1.材质：无纺布</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 124mm*88mm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3.说明：口罩表面均匀密布气孔，三层卡通外形，轻薄透气；适用于3-7岁儿童。</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4.用途：在木工活动中保护儿童口腔免入木屑或粉尘沾染。  </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93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护目眼镜</w:t>
            </w:r>
          </w:p>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-儿童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8</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副</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1.材质：聚碳酸酯</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2.尺寸：宽145mm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3.说明：镜架前后可调节，镜片经特殊工艺处理不起雾；适用于3-7岁儿童。</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4.用途：在木工活动中保护儿童眼睛免受木屑或粉尘沾染。</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94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护目眼镜</w:t>
            </w:r>
          </w:p>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-教师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副</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1.材质：聚碳酸酯</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2.尺寸：宽159mm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3.说明：聚碳酸酯镜片有效防护冲击危害，高透光，防飞溅物；适用于成人。</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4.用途：在木工活动中保护教师眼睛免受木屑或粉尘沾染。</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95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防护围裙-儿童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8</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1.材质：优质桃皮绒面料</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 449mm*519mm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3.说明：衣服颈带可调节，口袋设计能存储多种物品，方便双手拿取。</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4.用途：用于儿童在木工活动时起到防护作用。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96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防护袖套-儿童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8</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双</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1.材质：优质桃皮绒面料</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 149mm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3.说明：防灰尘面料，防污垢；高弹袖口不勒手，佩戴舒适。</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4.用途：用于儿童在木工活动时起到防护作用。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5.数量：2个/双</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97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防护围裙-教师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1.材质：优质桃皮绒面料</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 699mm*599mm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3.说明：衣服颈带可调节，口袋设计能存储多种物品，方便双手拿取。</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4.用途：用于教师在木工活动时起到防护作用。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98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防护袖套</w:t>
            </w:r>
          </w:p>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-教师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双</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1.材质：优质桃皮绒面料</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2.尺寸：≥ 268mm</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3.说明：防灰尘面料，防污垢；高弹袖口不勒手，佩戴舒适。</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4.用途：用于教师在木工活动时起到防护作用。</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5.数量：2个/双</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99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接球游戏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规格：高70cm,长55cm,宽20cm，附带底座，方向盘直径15cm,配木球5个，操作原理：球体顺着轨道落下，转动转盘使木盒移动并接住木球，锻炼幼儿手眼协调能力。</w:t>
            </w:r>
          </w:p>
          <w:p>
            <w:pPr>
              <w:keepNext w:val="0"/>
              <w:keepLines w:val="0"/>
              <w:widowControl/>
              <w:suppressLineNumbers w:val="0"/>
              <w:spacing w:line="360" w:lineRule="auto"/>
              <w:ind w:firstLine="210" w:firstLineChars="100"/>
              <w:jc w:val="left"/>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符合</w:t>
            </w:r>
            <w:r>
              <w:rPr>
                <w:rFonts w:hint="eastAsia" w:ascii="宋体" w:hAnsi="宋体" w:eastAsia="宋体" w:cs="宋体"/>
                <w:b w:val="0"/>
                <w:bCs w:val="0"/>
                <w:color w:val="auto"/>
                <w:sz w:val="21"/>
                <w:szCs w:val="21"/>
                <w:highlight w:val="none"/>
                <w:lang w:val="en-US" w:eastAsia="zh-CN"/>
              </w:rPr>
              <w:t>《GB 6675.1-2014 国家标准 玩具安全第1部分 玩具安全基本规范》《GB 6675.2-2014国家标准 玩具安全第2部分 机械与物理性能》《GB 6675.3-2014 国家标准 玩具安全第3部分：易燃性能》《GB 6675.4-2014 国家标准 玩具安全第4部分 特定元素的迁移》《GB 5296.5-2006 消费品使用说明第5部分：玩具》</w:t>
            </w:r>
            <w:r>
              <w:rPr>
                <w:rFonts w:hint="eastAsia" w:ascii="宋体" w:hAnsi="宋体" w:cs="宋体"/>
                <w:b w:val="0"/>
                <w:bCs w:val="0"/>
                <w:color w:val="auto"/>
                <w:sz w:val="21"/>
                <w:szCs w:val="21"/>
                <w:highlight w:val="none"/>
                <w:lang w:val="en-US" w:eastAsia="zh-CN"/>
              </w:rPr>
              <w:t>相关要求</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说明书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1.材质：纸质，封面彩印。</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2.说明：课程资料</w:t>
            </w:r>
            <w:r>
              <w:rPr>
                <w:rFonts w:hint="eastAsia" w:ascii="宋体" w:hAnsi="宋体" w:cs="宋体"/>
                <w:b w:val="0"/>
                <w:bCs w:val="0"/>
                <w:color w:val="auto"/>
                <w:sz w:val="21"/>
                <w:szCs w:val="21"/>
                <w:highlight w:val="none"/>
                <w:lang w:val="en-US" w:eastAsia="zh-CN"/>
              </w:rPr>
              <w:t>说明书</w:t>
            </w:r>
            <w:r>
              <w:rPr>
                <w:rFonts w:hint="eastAsia" w:ascii="宋体" w:hAnsi="宋体" w:eastAsia="宋体" w:cs="宋体"/>
                <w:b w:val="0"/>
                <w:bCs w:val="0"/>
                <w:color w:val="auto"/>
                <w:sz w:val="21"/>
                <w:szCs w:val="21"/>
                <w:highlight w:val="none"/>
                <w:lang w:val="en-US" w:eastAsia="zh-CN"/>
              </w:rPr>
              <w:t>为纸质书籍，共分为小、中、大三本，内容含木工活动策划方案，供教师在开展木工教学及活动时参考借鉴。</w:t>
            </w:r>
          </w:p>
          <w:p>
            <w:pPr>
              <w:keepNext w:val="0"/>
              <w:keepLines w:val="0"/>
              <w:widowControl/>
              <w:suppressLineNumbers w:val="0"/>
              <w:spacing w:line="360" w:lineRule="auto"/>
              <w:ind w:firstLine="210" w:firstLineChars="1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3.数量：3本/1套</w:t>
            </w:r>
          </w:p>
        </w:tc>
      </w:tr>
      <w:tr>
        <w:tblPrEx>
          <w:tblCellMar>
            <w:top w:w="0" w:type="dxa"/>
            <w:left w:w="108" w:type="dxa"/>
            <w:bottom w:w="0" w:type="dxa"/>
            <w:right w:w="108" w:type="dxa"/>
          </w:tblCellMar>
        </w:tblPrEx>
        <w:trPr>
          <w:trHeight w:val="90" w:hRule="atLeast"/>
        </w:trPr>
        <w:tc>
          <w:tcPr>
            <w:tcW w:w="99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附件2：非遗工坊清单</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序号</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名称</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单位</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技术参数及其性能（规格）</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大圆形编织机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1.规格：外径直径550mm，内径500mm，底座厚度20mm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2.材质：桦木多层板</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3.加工：圆形，边框有多个编织木钉，可设计丰富多样的作品</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传统编织机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1.规格：550*730*620mm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2.材质：木制</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3.加工：配套木梭、棉线</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圆形立式织机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1.规格：底座外直径300mm，内直径250mm，木条高度175mm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2.材质：榉木材质</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3.加工：包含底座和木条两部分，木条可拆卸，底座（23孔）、片状立柱23根（底端带孔）</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立式织机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1.规格：底座250*650*25mm，立柱高180mm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2.材质：榉木材质</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3.加工：含底座（11孔）、编织柱11根（底端带孔）</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手绳编织机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1.规格：220*45*90mm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2.材质：松木</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3.加工：底部螺母可调节作品长度，织机两侧有卡扣，用来衔接编织时使用的卡扣材料。</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4.数量：1个</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小圆形编织机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规格：外径13cm  </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2.材质：桦木多层板</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3.加工：圆形，底部圆孔，编织机侧面镶嵌始木钉，上面镶嵌12颗编织立柱</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编织材料-粗编织线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卷</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1.规格：直径30mm，长度3000mm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2.材质：腈纶线</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编织材料-细编织线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卷</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1.规格：直径8mm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2.材质：腈纶线</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编织材料-毛线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卷</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1.规格：直径2mm，重量50g </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2.材质：纯棉纤维</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编织材料-中国结线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包</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1.规格：直径2.5mm，重量50g </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2.材质：锦纶</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编织材料-弹力布线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包</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1.规格：直径20mm，重量100g </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2.材质：弹力棉布</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编织材料-棉线绳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卷</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1.规格：直径3-4mm，长度100m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2.材质：棉线</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3.数量：1卷</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编织材料-弹力绳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包</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1.规格：直径3mm，周长21cm，12色</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2.材质：棉质弹力绳</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3.数量：1包</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编织材料-塑料卡扣</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包</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1.规格：10*29mm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2.材质：塑料</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3.数量：1包（150对）</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编织材料-绳结头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包</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1.规格：56*300mm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2.材质：锦纶</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3.数量：1包（180个）</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编织材料-木棍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包</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1.规格：直径15mm，长200mm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2.材质：杨木</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3.数量：1包（90根）</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辅助工具-剪刀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把</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1.规格：约135mm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2.材质：金属+塑料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金属钩针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1.规格：6mm*1mm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2.材质：塑料+金属</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软尺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1.规格：10mm*50mm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2.材质：塑料</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3.加工：最大测量范围150cm</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儿童操作桌</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张</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1.规格：1200*600*520mm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2.材质：桦木多层板</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3.加工：木纹桌面</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方形绣桌</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1.规格：500 *400 *190mm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2.材质：榉木</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3.加工：桌腿、边框边缘处圆角处理，桌腿可拆卸，组装后使用。</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4.数量：1个</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小号方形绣绷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1.规格：360*230*20mm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2.材质：榉木</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3.加工：底部四周凹槽设计圆角处理，与方形绣桌或者刺绣桌搭配使用。底面开槽，用绣绷压条固定绣布。</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4.数量：1个</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立式绣架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1.规格：立柱高度350-400mm，绣绷直径300mm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2.材质：榉木+竹制绣绷</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3.加工：底座+立柱+绣绷</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绣绷压条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1.规格：直径5mm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2.材质：硅胶</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3.加工：固定绣布用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25</w:t>
            </w:r>
          </w:p>
        </w:tc>
        <w:tc>
          <w:tcPr>
            <w:tcW w:w="14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刺绣材料-网眼布料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1.规格：300*400mm（大网眼）</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2.材质：镂空网纱布料</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3.数量：1块</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26</w:t>
            </w:r>
          </w:p>
        </w:tc>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1.规格：300*400mm（小网眼）</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2.材质：镂空网纱布料</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3.数量：1块</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塑料针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包</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1.规格：3mm*7mm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strike/>
                <w:dstrike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2.材质：塑料</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4.数量：每包10根</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辅助工具-剪刀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把</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1.规格：约135mm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2.材质：金属+塑料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圆形活字捡字台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台</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1.规格：110*110*60cm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2.材质：桦木多层板，圆形台面上有分区</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3.加工：收纳自制活字，进行捡字、排版体验</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造字模具-制坯模具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1.规格：190*80*20mm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2.材质：榉木</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3.加工：图案部分凹版设计，边缘圆角处理</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印刷模具-制坯模具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1.规格：190*80*20mm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2.材质：榉木</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3.加工：图案部分凹版设计，边缘圆角处理</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4.数量：1个</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印刷作品展示框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1.规格：450*23mm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2.材质：竹制外框，内里麻布</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3.加工：圆形，带金属调节钮，展示区域印刷作品使用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木活字套装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1.规格：托盘尺寸300*230*30mm,木隔条尺寸160*25*5mm，木块尺寸20*20*20mm，木活字尺寸20*20*25mm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2.材质：松木+榉木</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3.加工：边缘部分均经过打磨圆角处理</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4.数量：木块和木活字共72块/套，木隔条8根/套，托盘1个/套</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磁力生肖印章-印泥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盒</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1.规格：直径180mm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2.材质：塑料+印油</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3.颜色：红色</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印刷工具套装-</w:t>
            </w:r>
          </w:p>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软木垫板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张</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1.规格：290*215*10mm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2.材质：软木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印刷工具套装-</w:t>
            </w:r>
          </w:p>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制坯工具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1.规格：长约150-160mm不等</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2.材质：杨木</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3.加工：多种工具刀形</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4.数量：10个</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印刷工具套装-</w:t>
            </w:r>
          </w:p>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大滚轮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1.规格：180*110*35mm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2.材质：金属+橡胶+木制</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3.加工：无</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印刷工具套装-</w:t>
            </w:r>
          </w:p>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塑料垫板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1.规格：280*190mm</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2.材质：塑料</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3.加工：无</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4.数量：3片/套</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印刷工具套装-</w:t>
            </w:r>
          </w:p>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鬃刷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1.规格：110*45*30mm</w:t>
            </w:r>
          </w:p>
          <w:p>
            <w:pPr>
              <w:pStyle w:val="2"/>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2.材质：鬃刷</w:t>
            </w:r>
          </w:p>
          <w:p>
            <w:pPr>
              <w:pStyle w:val="2"/>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3.加工：两端麻绳手工捆绑加工而成</w:t>
            </w:r>
          </w:p>
          <w:p>
            <w:pPr>
              <w:pStyle w:val="2"/>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4.数量：1个</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印刷工具套装-油墨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管</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1.规格：100ml</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2.材质：油墨</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3.颜色：黑色、红色</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4.数量：1管/色</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印刷工具套装-刻刀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把</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1.规格：180*15mm</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2.材质：榉木+金属</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3.加工：圆刀</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滚刷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1.规格：160*65mm，直径60mm</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2.材质：EVA+塑料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印刷模片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1.规格：280*190mm</w:t>
            </w:r>
          </w:p>
          <w:p>
            <w:pPr>
              <w:spacing w:line="360" w:lineRule="auto"/>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2.材质：塑料</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4.数量：6片/套</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调色盘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1.规格：105*120*40mm</w:t>
            </w:r>
          </w:p>
          <w:p>
            <w:pPr>
              <w:spacing w:line="360" w:lineRule="auto"/>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2.材质：塑料</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4.数量：2个/套</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毛刷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1.规格：145*29mm</w:t>
            </w:r>
          </w:p>
          <w:p>
            <w:pPr>
              <w:spacing w:line="360" w:lineRule="auto"/>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2.材质：杨木</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4.数量：5只/套</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印刷模具-镂空模版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1.规格：120*130mm；</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2.材质：塑料</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3.加工：图案部分镂空设计</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4.数量：2片/套</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印刷模具-小号喷壶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1.规格：直径38mm，高度100mm；</w:t>
            </w:r>
          </w:p>
          <w:p>
            <w:pPr>
              <w:spacing w:line="360" w:lineRule="auto"/>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2.材质：塑料</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4.数量：3个/套</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印刷颜料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瓶</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1.规格：500ml/瓶</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2.材质：彩色丙烯颜料</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3.颜色：红色、黄色、蓝色</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辅助工具-围裙排挂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1.规格：6勾</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2.材质：榉木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防护工具-防切割手套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1.规格：130*110mm</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2.材质：尼龙</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3.加工：防切割</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防护工具-围裙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材质：防水材质</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规格：适合身高100-120cm使用</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用途：用于幼儿创作使用，有效防护颜料溅染衣物。</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防护工具-护目镜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1.规格：175*40mm</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2.材质：环保塑料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color w:val="auto"/>
                <w:highlight w:val="none"/>
                <w:lang w:val="en-US" w:eastAsia="zh-CN"/>
              </w:rPr>
              <w:t>胶版雕刻材料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1.规格100*150mm；</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2.材质：胶版</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3.加工:材料上印有雕刻图案</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陶泥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袋</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1.规格：500g/袋</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2.材质：陶泥</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3.加工：无，制作泥活字字坯使用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材料-白宣</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1.规格：255*365mm</w:t>
            </w:r>
          </w:p>
          <w:p>
            <w:pPr>
              <w:spacing w:line="360" w:lineRule="auto"/>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2.材质：宣纸</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4.数量：1套（10袋）</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材料-黄宣</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1.规格：190*285mm</w:t>
            </w:r>
          </w:p>
          <w:p>
            <w:pPr>
              <w:spacing w:line="360" w:lineRule="auto"/>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2.材质：黄宣</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4.数量：1套（90张）</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材料-手帕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1.规格：280*280mm</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2.材质：棉布</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材料-扇骨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1.规格：210*360mm</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2.材质：塑料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材料-印刷布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1.规格：150*150mm</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2.材质：棉布</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四层作品展柜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1.规格：600*550*1300mm</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2.材质：桦木多层板</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3.加工：四层三角造型设计，圆角处理，含区标字样</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4.数量：1个</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造纸台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1.规格：1200*600*600mm</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2.材质：桦木多层板</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3.加工：边角圆角处理，内部1大1小方形镂空嵌入式设计，用于存放水槽</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4.数量：1个</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纸浆槽-大号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1.规格：705*530*195mm；</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2.材质：环保塑料</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3.加工：方形，边角圆角处</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纸浆槽-小号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1.规格：380*300*120mm</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2.材质：环保塑料</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3.加工：方形，边角圆角处理</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制浆工具套装-木槌</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1.规格：270*90*45mm</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2.材质：松木</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3.加工：边缘及手柄圆角处理</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造纸框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1.规格：190*250*14mm</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2.材质：椴木</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3.加工：带网状底板，镂空网眼，可放置纸浆使用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纸浆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袋</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1.规格：100g</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2.材质：构树皮加工</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3.加工：构树皮加工而成，作为造纸材料使用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木勺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1.规格：240*80mm</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2.材质：松木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材料-干花</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袋</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1.规格：10g</w:t>
            </w:r>
          </w:p>
          <w:p>
            <w:pPr>
              <w:spacing w:line="360" w:lineRule="auto"/>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2.材质：鲜花自然风干</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4.数量：1袋</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皮影剧场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1.规格：1000*390*1180mm</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2.材质：木制+布</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3.加工：幕布框+支架+双横撑（可存放皮影）</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4.数量：1个</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壁挂皮影框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组</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1.规格：木框规格1100*550mm</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2.材质：桦木多层板+布</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3.加工：表演布镶嵌到木框底部</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静态皮影-西游记系列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款</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1.规格：300mm左右</w:t>
            </w:r>
          </w:p>
          <w:p>
            <w:pPr>
              <w:spacing w:line="360" w:lineRule="auto"/>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2.材质：生牛皮</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4.数量：1个/款</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静态皮影-三国系列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款</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1.规格：300mm左右</w:t>
            </w:r>
          </w:p>
          <w:p>
            <w:pPr>
              <w:spacing w:line="360" w:lineRule="auto"/>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2.材质：生牛皮</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4.数量：1个/款（刘备、关羽、张飞、诸葛亮）</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堂鼓套装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组</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1.规格：10寸鼓，直径33cm</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2.材质：杨木鼓身牛皮鼓面，金属架子</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3.配套：堂鼓+棒+鼓架</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铜锣套装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组</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1.规格：直径150mm</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2.材质：金属</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小镲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组</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1.规格：直径90mm</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2.材质：金属</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便携皮影灯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1.规格：65mm*210mm</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2.材质：PVC</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3.加工：可充电，电池容量900mAh</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蓝牙音箱</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1.规格：135*80*200mm</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2.材质：ABS塑胶</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3.电池：可充电锂电池</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光影卡片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1.规格：单张8-10cm，厚度约3毫米</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2.材质：木制</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3.加工：多种卡通图案</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4.数量：20张/套</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木质皮影</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1.规格：200mm左右</w:t>
            </w:r>
          </w:p>
          <w:p>
            <w:pPr>
              <w:spacing w:line="360" w:lineRule="auto"/>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2.材质：木制</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.数量：1个/款（孙悟空、唐僧、猪八戒、沙和尚）</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彩色皮影-狐假虎威系列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款</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1.规格：高度400mm左右</w:t>
            </w:r>
          </w:p>
          <w:p>
            <w:pPr>
              <w:spacing w:line="360" w:lineRule="auto"/>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2.材质：生牛皮</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.数量：1个/款（狐狸、老虎）</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彩色皮影-狐狸和乌鸦系列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款</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1.规格：高度400mm左右</w:t>
            </w:r>
          </w:p>
          <w:p>
            <w:pPr>
              <w:spacing w:line="360" w:lineRule="auto"/>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2.材质：生牛皮</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.数量：1个/款（狐狸、乌鸦）</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彩色皮影-龟兔赛跑系列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款</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1.规格：高度400mm左右</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2.材质：生牛皮</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.数量：1个/款（乌龟、兔子）</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彩色皮影-西游记系列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款</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1.规格：高度400mm左右</w:t>
            </w:r>
          </w:p>
          <w:p>
            <w:pPr>
              <w:spacing w:line="360" w:lineRule="auto"/>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2.材质：生牛皮</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.数量：1个/款（唐僧、孙悟空、猪八戒、沙僧、牛魔王、铁扇公主、红孩儿、白骨精、少女、老头、老太太）</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彩色皮影-熊出没系列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款</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1.规格：高约400mm左右</w:t>
            </w:r>
          </w:p>
          <w:p>
            <w:pPr>
              <w:spacing w:line="360" w:lineRule="auto"/>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2.材质：生牛皮</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.数量：1个/款（光头强、熊大、熊二）</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皮影支架-彩色皮影支架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1.规格：300*41*85mm，共12孔</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2.材质：塑料</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3.加工：拱形设计</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皮影支架-木皮影支架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1.规格：430*190*290mm</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2.材质：木塑</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3.加工：4孔拼插设计</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制作皮影工具-打孔器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1.规格：75*26*158mm，打孔直径3mm</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2.材质：金属+塑料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制作皮影工具-水彩笔</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盒</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1.规格：12色</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2.材质：塑料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制作皮影工具-皮影专用笔</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1.规格：3*158mm</w:t>
            </w:r>
          </w:p>
          <w:p>
            <w:pPr>
              <w:spacing w:line="360" w:lineRule="auto"/>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2.材质：金属+木质</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4.数量：2支/套</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制作皮影工具-调色盘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1.规格：直径135mm</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2.材质：塑料</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制作皮影工具-颜料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瓶</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1.规格：彩色</w:t>
            </w:r>
          </w:p>
          <w:p>
            <w:pPr>
              <w:spacing w:line="360" w:lineRule="auto"/>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2.材质：丙烯颜料</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.数量：1瓶</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儿童凳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1.规格：面宽260mm,高280mm</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2.材质：松木+布艺</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3.加工：单人方形四腿凳</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标题字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组</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1.材质：木+亚克力</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2.内容：LOGO+非遗创客空间6个大字+8个小字（跨越时空、创新传承）</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造纸流程图-晒纸</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1.规格：550*550mm</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2.材质：pvc+喷绘</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造纸流程图-打浆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1.规格：550*550mm</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2.材质：pvc+喷绘</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造纸流程图-舂捣</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1.规格：550*550mm</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2.材质：pvc+喷绘</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造纸流程图-蒸煮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1.规格：550*550mm</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2.材质：pvc+喷绘</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造纸流程图-抄纸</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1.规格：550*550mm</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2.材质：pvc+喷绘</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造纸流程图-浸水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1.规格：550*550mm</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2.材质：pvc+喷绘</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造纸流程图-洗涤</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1.规格：550*550mm</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2.材质：pvc+喷绘</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造纸流程图-切麻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个</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1.规格：550*550mm</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2.材质：pvc+喷绘</w:t>
            </w:r>
          </w:p>
        </w:tc>
      </w:tr>
      <w:tr>
        <w:tblPrEx>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扎染套装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套</w:t>
            </w:r>
          </w:p>
        </w:tc>
        <w:tc>
          <w:tcPr>
            <w:tcW w:w="6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材质：布、粉末、塑料、纸等</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尺寸：33cm*30*9cm</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内含8个节庆活动，含扎染、手工等活动。包含扎染布料、颜料、防护工具等。</w:t>
            </w:r>
          </w:p>
          <w:p>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GB 6675.1-2014《玩具安全 第1部分：基本规范》GB 6675.2-2014《玩具安全 第2部分：机械与物理性能》GB 6675.3-2014《玩具安全 第3部分：易燃性能》GB 6675.4-2014《玩具安全 第4部分：特定元素的迁移》。</w:t>
            </w:r>
          </w:p>
        </w:tc>
      </w:tr>
      <w:tr>
        <w:tblPrEx>
          <w:tblCellMar>
            <w:top w:w="0" w:type="dxa"/>
            <w:left w:w="108" w:type="dxa"/>
            <w:bottom w:w="0" w:type="dxa"/>
            <w:right w:w="108" w:type="dxa"/>
          </w:tblCellMar>
        </w:tblPrEx>
        <w:trPr>
          <w:trHeight w:val="90" w:hRule="atLeast"/>
        </w:trPr>
        <w:tc>
          <w:tcPr>
            <w:tcW w:w="9963" w:type="dxa"/>
            <w:gridSpan w:val="6"/>
            <w:tcBorders>
              <w:top w:val="single" w:color="000000" w:sz="4" w:space="0"/>
              <w:left w:val="single" w:color="000000" w:sz="4" w:space="0"/>
              <w:bottom w:val="single" w:color="000000" w:sz="4" w:space="0"/>
              <w:right w:val="single" w:color="000000" w:sz="4" w:space="0"/>
            </w:tcBorders>
            <w:shd w:val="clear" w:color="auto" w:fill="auto"/>
          </w:tcPr>
          <w:p>
            <w:pPr>
              <w:tabs>
                <w:tab w:val="left" w:pos="180"/>
                <w:tab w:val="left" w:pos="1620"/>
              </w:tabs>
              <w:spacing w:line="440" w:lineRule="exact"/>
              <w:rPr>
                <w:rFonts w:hint="default" w:ascii="宋体" w:hAnsi="宋体" w:eastAsia="宋体" w:cs="宋体"/>
                <w:color w:val="auto"/>
                <w:szCs w:val="21"/>
                <w:highlight w:val="none"/>
                <w:lang w:val="en-US" w:eastAsia="zh-CN"/>
              </w:rPr>
            </w:pPr>
            <w:r>
              <w:rPr>
                <w:rFonts w:hint="eastAsia" w:ascii="宋体" w:hAnsi="宋体"/>
                <w:b/>
                <w:bCs/>
                <w:color w:val="auto"/>
                <w:szCs w:val="21"/>
                <w:highlight w:val="none"/>
              </w:rPr>
              <w:t>商务条款</w:t>
            </w:r>
          </w:p>
        </w:tc>
      </w:tr>
      <w:tr>
        <w:tblPrEx>
          <w:tblCellMar>
            <w:top w:w="0" w:type="dxa"/>
            <w:left w:w="108" w:type="dxa"/>
            <w:bottom w:w="0" w:type="dxa"/>
            <w:right w:w="108" w:type="dxa"/>
          </w:tblCellMar>
        </w:tblPrEx>
        <w:trPr>
          <w:trHeight w:val="90" w:hRule="atLeast"/>
        </w:trPr>
        <w:tc>
          <w:tcPr>
            <w:tcW w:w="9963" w:type="dxa"/>
            <w:gridSpan w:val="6"/>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left"/>
              <w:rPr>
                <w:rFonts w:hint="eastAsia"/>
                <w:color w:val="auto"/>
                <w:highlight w:val="none"/>
              </w:rPr>
            </w:pPr>
            <w:r>
              <w:rPr>
                <w:rFonts w:hint="eastAsia"/>
                <w:color w:val="auto"/>
                <w:highlight w:val="none"/>
              </w:rPr>
              <w:t>、谈判要求：</w:t>
            </w:r>
          </w:p>
          <w:p>
            <w:pPr>
              <w:tabs>
                <w:tab w:val="left" w:pos="180"/>
                <w:tab w:val="left" w:pos="1620"/>
              </w:tabs>
              <w:spacing w:line="360" w:lineRule="auto"/>
              <w:ind w:firstLine="210" w:firstLineChars="100"/>
              <w:rPr>
                <w:rFonts w:hint="eastAsia"/>
                <w:color w:val="auto"/>
                <w:highlight w:val="none"/>
                <w:lang w:eastAsia="zh-CN"/>
              </w:rPr>
            </w:pPr>
            <w:r>
              <w:rPr>
                <w:rFonts w:hint="eastAsia"/>
                <w:color w:val="auto"/>
                <w:highlight w:val="none"/>
              </w:rPr>
              <w:t>1.供应商提供的产品必须是全新、完整、未使用过的、符合国家有关质量安全标准的合格产品</w:t>
            </w:r>
            <w:r>
              <w:rPr>
                <w:rFonts w:hint="eastAsia"/>
                <w:color w:val="auto"/>
                <w:highlight w:val="none"/>
                <w:lang w:eastAsia="zh-CN"/>
              </w:rPr>
              <w:t>，</w:t>
            </w:r>
            <w:r>
              <w:rPr>
                <w:rFonts w:hint="eastAsia"/>
                <w:color w:val="auto"/>
                <w:highlight w:val="none"/>
              </w:rPr>
              <w:t>有质量问题应提供更换或退货</w:t>
            </w:r>
            <w:r>
              <w:rPr>
                <w:rFonts w:hint="eastAsia"/>
                <w:color w:val="auto"/>
                <w:highlight w:val="none"/>
                <w:lang w:eastAsia="zh-CN"/>
              </w:rPr>
              <w:t>。且在正常安装、使用和保养条件下，其使用寿命期内各项指标均达到质量要求。所有货物都提供使用说明书和详细装箱清单及质量合格证。</w:t>
            </w:r>
          </w:p>
          <w:p>
            <w:pPr>
              <w:tabs>
                <w:tab w:val="left" w:pos="180"/>
                <w:tab w:val="left" w:pos="1620"/>
              </w:tabs>
              <w:spacing w:line="360" w:lineRule="auto"/>
              <w:ind w:firstLine="210" w:firstLineChars="100"/>
              <w:rPr>
                <w:rFonts w:hint="eastAsia"/>
                <w:color w:val="auto"/>
                <w:highlight w:val="none"/>
              </w:rPr>
            </w:pPr>
            <w:r>
              <w:rPr>
                <w:rFonts w:hint="eastAsia"/>
                <w:color w:val="auto"/>
                <w:highlight w:val="none"/>
                <w:lang w:val="en-US" w:eastAsia="zh-CN"/>
              </w:rPr>
              <w:t>2</w:t>
            </w:r>
            <w:r>
              <w:rPr>
                <w:rFonts w:hint="eastAsia"/>
                <w:color w:val="auto"/>
                <w:highlight w:val="none"/>
              </w:rPr>
              <w:t>供应商综合考虑在报价中，对于本文件中未列明，而供应商认为必须的费用也需列入总报价。</w:t>
            </w:r>
          </w:p>
          <w:p>
            <w:pPr>
              <w:tabs>
                <w:tab w:val="left" w:pos="180"/>
                <w:tab w:val="left" w:pos="1620"/>
              </w:tabs>
              <w:spacing w:line="360" w:lineRule="auto"/>
              <w:ind w:firstLine="210" w:firstLineChars="100"/>
              <w:rPr>
                <w:rFonts w:hint="eastAsia"/>
                <w:color w:val="auto"/>
                <w:highlight w:val="none"/>
                <w:lang w:eastAsia="zh-CN"/>
              </w:rPr>
            </w:pPr>
            <w:r>
              <w:rPr>
                <w:rFonts w:hint="eastAsia"/>
                <w:color w:val="auto"/>
                <w:highlight w:val="none"/>
              </w:rPr>
              <w:t>3.在合同实施时，采购方无须支付成交价格以外的任何费用。</w:t>
            </w:r>
            <w:r>
              <w:rPr>
                <w:rFonts w:hint="eastAsia"/>
                <w:color w:val="auto"/>
                <w:highlight w:val="none"/>
                <w:lang w:eastAsia="zh-CN"/>
              </w:rPr>
              <w:tab/>
            </w:r>
          </w:p>
          <w:p>
            <w:pPr>
              <w:spacing w:line="360" w:lineRule="auto"/>
              <w:jc w:val="left"/>
              <w:rPr>
                <w:rFonts w:hint="eastAsia"/>
                <w:color w:val="auto"/>
                <w:highlight w:val="none"/>
              </w:rPr>
            </w:pPr>
            <w:r>
              <w:rPr>
                <w:rFonts w:hint="eastAsia"/>
                <w:color w:val="auto"/>
                <w:highlight w:val="none"/>
              </w:rPr>
              <w:t>二、验收</w:t>
            </w:r>
            <w:r>
              <w:rPr>
                <w:rFonts w:hint="eastAsia"/>
                <w:color w:val="auto"/>
                <w:highlight w:val="none"/>
                <w:lang w:val="en-US" w:eastAsia="zh-CN"/>
              </w:rPr>
              <w:t>标准</w:t>
            </w:r>
            <w:r>
              <w:rPr>
                <w:rFonts w:hint="eastAsia"/>
                <w:color w:val="auto"/>
                <w:highlight w:val="none"/>
              </w:rPr>
              <w:t>：</w:t>
            </w:r>
          </w:p>
          <w:p>
            <w:pPr>
              <w:keepNext w:val="0"/>
              <w:keepLines w:val="0"/>
              <w:pageBreakBefore w:val="0"/>
              <w:widowControl/>
              <w:kinsoku/>
              <w:wordWrap/>
              <w:overflowPunct/>
              <w:topLinePunct w:val="0"/>
              <w:autoSpaceDN/>
              <w:bidi w:val="0"/>
              <w:spacing w:line="360" w:lineRule="auto"/>
              <w:ind w:firstLine="210" w:firstLineChars="100"/>
              <w:jc w:val="left"/>
              <w:rPr>
                <w:rFonts w:hint="eastAsia"/>
                <w:color w:val="auto"/>
                <w:highlight w:val="none"/>
                <w:lang w:val="en-US" w:eastAsia="zh-CN"/>
              </w:rPr>
            </w:pPr>
            <w:r>
              <w:rPr>
                <w:rFonts w:hint="eastAsia"/>
                <w:color w:val="auto"/>
                <w:highlight w:val="none"/>
                <w:lang w:val="en-US" w:eastAsia="zh-CN"/>
              </w:rPr>
              <w:t>1.成交供应商所提供的货物规格、技术标准等质量必须与采购需求及响应文件中承诺的参数一致。采购人现场根据国家标准、招标文件要求及响应文件承诺进行核验，如验收不合格，成交供应商应在5个工作日内进行更换、未按要求进行更换或再次验收不合格的，采购人有权解除合同，由此造成的损失由中标方自行承担。</w:t>
            </w:r>
          </w:p>
          <w:p>
            <w:pPr>
              <w:keepNext w:val="0"/>
              <w:keepLines w:val="0"/>
              <w:pageBreakBefore w:val="0"/>
              <w:widowControl/>
              <w:kinsoku/>
              <w:wordWrap/>
              <w:overflowPunct/>
              <w:topLinePunct w:val="0"/>
              <w:autoSpaceDN/>
              <w:bidi w:val="0"/>
              <w:spacing w:line="360" w:lineRule="auto"/>
              <w:ind w:firstLine="210" w:firstLineChars="100"/>
              <w:jc w:val="left"/>
              <w:rPr>
                <w:rFonts w:hint="eastAsia"/>
                <w:color w:val="auto"/>
                <w:highlight w:val="none"/>
                <w:lang w:val="en-US" w:eastAsia="zh-CN"/>
              </w:rPr>
            </w:pPr>
            <w:r>
              <w:rPr>
                <w:rFonts w:hint="eastAsia"/>
                <w:color w:val="auto"/>
                <w:highlight w:val="none"/>
                <w:lang w:val="en-US" w:eastAsia="zh-CN"/>
              </w:rPr>
              <w:t>2.成交供应商承诺所提供的产品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可能发生的一切法律责任、费用和后果；若采购人因此而遭致损失的，成交供应商须赔偿该损失。</w:t>
            </w:r>
          </w:p>
          <w:p>
            <w:pPr>
              <w:keepNext w:val="0"/>
              <w:keepLines w:val="0"/>
              <w:pageBreakBefore w:val="0"/>
              <w:widowControl/>
              <w:kinsoku/>
              <w:wordWrap/>
              <w:overflowPunct/>
              <w:topLinePunct w:val="0"/>
              <w:autoSpaceDN/>
              <w:bidi w:val="0"/>
              <w:spacing w:line="360" w:lineRule="auto"/>
              <w:ind w:firstLine="210" w:firstLineChars="100"/>
              <w:jc w:val="left"/>
              <w:rPr>
                <w:rFonts w:hint="eastAsia"/>
                <w:color w:val="auto"/>
                <w:highlight w:val="none"/>
                <w:lang w:val="en-US" w:eastAsia="zh-CN"/>
              </w:rPr>
            </w:pPr>
            <w:r>
              <w:rPr>
                <w:rFonts w:hint="eastAsia"/>
                <w:color w:val="auto"/>
                <w:highlight w:val="none"/>
                <w:lang w:val="en-US" w:eastAsia="zh-CN"/>
              </w:rPr>
              <w:t>3.安装后达到验收标准且应符合中国有关的国家、地方、行业标准；项目验收合格后，签署验收合格书。</w:t>
            </w:r>
          </w:p>
          <w:p>
            <w:pPr>
              <w:keepNext w:val="0"/>
              <w:keepLines w:val="0"/>
              <w:pageBreakBefore w:val="0"/>
              <w:widowControl/>
              <w:kinsoku/>
              <w:wordWrap/>
              <w:overflowPunct/>
              <w:topLinePunct w:val="0"/>
              <w:autoSpaceDN/>
              <w:bidi w:val="0"/>
              <w:spacing w:line="360" w:lineRule="auto"/>
              <w:ind w:firstLine="210" w:firstLineChars="100"/>
              <w:jc w:val="left"/>
              <w:rPr>
                <w:rFonts w:hint="eastAsia"/>
                <w:color w:val="auto"/>
                <w:highlight w:val="none"/>
                <w:lang w:val="en-US" w:eastAsia="zh-CN"/>
              </w:rPr>
            </w:pPr>
            <w:r>
              <w:rPr>
                <w:rFonts w:hint="eastAsia"/>
                <w:color w:val="auto"/>
                <w:highlight w:val="none"/>
                <w:lang w:val="en-US" w:eastAsia="zh-CN"/>
              </w:rPr>
              <w:t>4.在项目完成且收到供应商验收申请后5个工作日内组织开展履约验收。</w:t>
            </w:r>
          </w:p>
          <w:p>
            <w:pPr>
              <w:spacing w:line="360" w:lineRule="auto"/>
              <w:jc w:val="left"/>
              <w:rPr>
                <w:rFonts w:hint="eastAsia"/>
                <w:color w:val="auto"/>
                <w:highlight w:val="none"/>
              </w:rPr>
            </w:pPr>
            <w:r>
              <w:rPr>
                <w:rFonts w:hint="eastAsia"/>
                <w:color w:val="auto"/>
                <w:highlight w:val="none"/>
              </w:rPr>
              <w:t xml:space="preserve">三、售后服务： </w:t>
            </w:r>
          </w:p>
          <w:p>
            <w:pPr>
              <w:keepNext w:val="0"/>
              <w:keepLines w:val="0"/>
              <w:pageBreakBefore w:val="0"/>
              <w:widowControl/>
              <w:kinsoku/>
              <w:wordWrap/>
              <w:overflowPunct/>
              <w:topLinePunct w:val="0"/>
              <w:autoSpaceDE w:val="0"/>
              <w:autoSpaceDN/>
              <w:bidi w:val="0"/>
              <w:spacing w:before="40" w:after="40" w:line="360" w:lineRule="auto"/>
              <w:ind w:firstLine="210" w:firstLineChars="100"/>
              <w:jc w:val="left"/>
              <w:textAlignment w:val="center"/>
              <w:rPr>
                <w:rFonts w:hint="eastAsia"/>
                <w:color w:val="auto"/>
                <w:highlight w:val="none"/>
                <w:lang w:val="en-US" w:eastAsia="zh-CN"/>
              </w:rPr>
            </w:pPr>
            <w:r>
              <w:rPr>
                <w:rFonts w:hint="eastAsia"/>
                <w:color w:val="auto"/>
                <w:highlight w:val="none"/>
                <w:lang w:val="en-US" w:eastAsia="zh-CN"/>
              </w:rPr>
              <w:t>1.按国家有关产品“三包”规定执行“三包”，免费保修期最短不得少于3年（免费保修期自货物安装调试并在验收合格之日起计算），免费保修期内：免费上门维修、更换配件；免费送货上门、安装、调试，免费培训维护人员。</w:t>
            </w:r>
          </w:p>
          <w:p>
            <w:pPr>
              <w:keepNext w:val="0"/>
              <w:keepLines w:val="0"/>
              <w:pageBreakBefore w:val="0"/>
              <w:widowControl/>
              <w:kinsoku/>
              <w:wordWrap/>
              <w:overflowPunct/>
              <w:topLinePunct w:val="0"/>
              <w:autoSpaceDE w:val="0"/>
              <w:autoSpaceDN/>
              <w:bidi w:val="0"/>
              <w:spacing w:before="40" w:after="40" w:line="360" w:lineRule="auto"/>
              <w:ind w:firstLine="210" w:firstLineChars="100"/>
              <w:jc w:val="left"/>
              <w:textAlignment w:val="center"/>
              <w:rPr>
                <w:rFonts w:hint="eastAsia"/>
                <w:color w:val="auto"/>
                <w:highlight w:val="none"/>
                <w:lang w:val="en-US" w:eastAsia="zh-CN"/>
              </w:rPr>
            </w:pPr>
            <w:r>
              <w:rPr>
                <w:rFonts w:hint="eastAsia"/>
                <w:color w:val="auto"/>
                <w:highlight w:val="none"/>
                <w:lang w:val="en-US" w:eastAsia="zh-CN"/>
              </w:rPr>
              <w:t>2.成交供应商和制造商应当为采购人提供 7×24 小时技术援助电话，解答采购人在使用中遇到的问题，及时为采购人提出解决问题的建议。</w:t>
            </w:r>
          </w:p>
          <w:p>
            <w:pPr>
              <w:keepNext w:val="0"/>
              <w:keepLines w:val="0"/>
              <w:pageBreakBefore w:val="0"/>
              <w:widowControl/>
              <w:kinsoku/>
              <w:wordWrap/>
              <w:overflowPunct/>
              <w:topLinePunct w:val="0"/>
              <w:autoSpaceDE w:val="0"/>
              <w:autoSpaceDN/>
              <w:bidi w:val="0"/>
              <w:spacing w:before="40" w:after="40" w:line="360" w:lineRule="auto"/>
              <w:ind w:firstLine="210" w:firstLineChars="100"/>
              <w:jc w:val="left"/>
              <w:textAlignment w:val="center"/>
              <w:rPr>
                <w:rFonts w:hint="eastAsia"/>
                <w:color w:val="auto"/>
                <w:highlight w:val="none"/>
                <w:lang w:val="en-US" w:eastAsia="zh-CN"/>
              </w:rPr>
            </w:pPr>
            <w:r>
              <w:rPr>
                <w:rFonts w:hint="eastAsia"/>
                <w:color w:val="auto"/>
                <w:highlight w:val="none"/>
                <w:lang w:val="en-US" w:eastAsia="zh-CN"/>
              </w:rPr>
              <w:t>3.现场响应采购人遇到使用或技术问题，电话咨询不能解决的，成交供应商或制造商应派技术人员在2小时内到达现场进行处理，到达现场后 4小时内排除故障，恢复正常使用，如24小时内无法修复的，质保期内中标供应商应无条件更换新设备或提供代用设备，或采取使设备可正常运转的措施。</w:t>
            </w:r>
          </w:p>
          <w:p>
            <w:pPr>
              <w:keepNext w:val="0"/>
              <w:keepLines w:val="0"/>
              <w:pageBreakBefore w:val="0"/>
              <w:widowControl/>
              <w:kinsoku/>
              <w:wordWrap/>
              <w:overflowPunct/>
              <w:topLinePunct w:val="0"/>
              <w:autoSpaceDE w:val="0"/>
              <w:autoSpaceDN/>
              <w:bidi w:val="0"/>
              <w:spacing w:before="40" w:after="40" w:line="360" w:lineRule="auto"/>
              <w:ind w:firstLine="210" w:firstLineChars="100"/>
              <w:jc w:val="left"/>
              <w:textAlignment w:val="center"/>
              <w:rPr>
                <w:rFonts w:hint="eastAsia"/>
                <w:color w:val="auto"/>
                <w:highlight w:val="none"/>
                <w:lang w:val="en-US" w:eastAsia="zh-CN"/>
              </w:rPr>
            </w:pPr>
            <w:r>
              <w:rPr>
                <w:rFonts w:hint="eastAsia"/>
                <w:color w:val="auto"/>
                <w:highlight w:val="none"/>
                <w:lang w:val="en-US" w:eastAsia="zh-CN"/>
              </w:rPr>
              <w:t>4.质量保证期过后，成交供应商和制造商应同样提供 7×24 小时免费电话咨询服务，并应承诺提供产品上门维护。</w:t>
            </w:r>
          </w:p>
          <w:p>
            <w:pPr>
              <w:spacing w:line="360" w:lineRule="auto"/>
              <w:ind w:firstLine="210" w:firstLineChars="100"/>
              <w:jc w:val="left"/>
              <w:rPr>
                <w:rFonts w:hint="eastAsia"/>
                <w:color w:val="auto"/>
                <w:highlight w:val="none"/>
                <w:lang w:val="en-US" w:eastAsia="zh-CN"/>
              </w:rPr>
            </w:pPr>
            <w:r>
              <w:rPr>
                <w:rFonts w:hint="eastAsia"/>
                <w:color w:val="auto"/>
                <w:highlight w:val="none"/>
                <w:lang w:val="en-US" w:eastAsia="zh-CN"/>
              </w:rPr>
              <w:t>5.质量保证期过后，采购人需要继续由原成交供应商和制造商提供售后服务的，该成交供应商和制造商应以优惠价格提供售后服务</w:t>
            </w:r>
          </w:p>
          <w:p>
            <w:pPr>
              <w:spacing w:line="360" w:lineRule="auto"/>
              <w:jc w:val="left"/>
              <w:rPr>
                <w:rFonts w:hint="eastAsia"/>
                <w:color w:val="auto"/>
                <w:highlight w:val="none"/>
              </w:rPr>
            </w:pPr>
            <w:r>
              <w:rPr>
                <w:rFonts w:hint="eastAsia"/>
                <w:color w:val="auto"/>
                <w:highlight w:val="none"/>
              </w:rPr>
              <w:t>四、时间及地点要求：</w:t>
            </w:r>
          </w:p>
          <w:p>
            <w:pPr>
              <w:spacing w:line="360" w:lineRule="auto"/>
              <w:jc w:val="left"/>
              <w:rPr>
                <w:rFonts w:hint="eastAsia"/>
                <w:color w:val="auto"/>
                <w:highlight w:val="none"/>
              </w:rPr>
            </w:pPr>
            <w:r>
              <w:rPr>
                <w:rFonts w:hint="eastAsia"/>
                <w:color w:val="auto"/>
                <w:highlight w:val="none"/>
              </w:rPr>
              <w:t xml:space="preserve">  1.合同签订期：自成交通知书发出之日起</w:t>
            </w:r>
            <w:r>
              <w:rPr>
                <w:rFonts w:hint="eastAsia"/>
                <w:color w:val="auto"/>
                <w:highlight w:val="none"/>
                <w:lang w:val="en-US" w:eastAsia="zh-CN"/>
              </w:rPr>
              <w:t>7</w:t>
            </w:r>
            <w:r>
              <w:rPr>
                <w:rFonts w:hint="eastAsia"/>
                <w:color w:val="auto"/>
                <w:highlight w:val="none"/>
              </w:rPr>
              <w:t>日内。</w:t>
            </w:r>
          </w:p>
          <w:p>
            <w:pPr>
              <w:spacing w:line="360" w:lineRule="auto"/>
              <w:jc w:val="left"/>
              <w:rPr>
                <w:rFonts w:hint="eastAsia"/>
                <w:color w:val="auto"/>
                <w:highlight w:val="none"/>
              </w:rPr>
            </w:pPr>
            <w:r>
              <w:rPr>
                <w:rFonts w:hint="eastAsia"/>
                <w:color w:val="auto"/>
                <w:highlight w:val="none"/>
              </w:rPr>
              <w:t xml:space="preserve">  2.交货期：</w:t>
            </w:r>
            <w:r>
              <w:rPr>
                <w:rFonts w:hint="eastAsia"/>
                <w:color w:val="auto"/>
                <w:highlight w:val="none"/>
                <w:lang w:eastAsia="zh-CN"/>
              </w:rPr>
              <w:t>自合同签订之日起</w:t>
            </w:r>
            <w:r>
              <w:rPr>
                <w:rFonts w:hint="eastAsia"/>
                <w:color w:val="auto"/>
                <w:highlight w:val="none"/>
                <w:lang w:val="en-US" w:eastAsia="zh-CN"/>
              </w:rPr>
              <w:t>10个</w:t>
            </w:r>
            <w:r>
              <w:rPr>
                <w:rFonts w:hint="eastAsia"/>
                <w:color w:val="auto"/>
                <w:highlight w:val="none"/>
                <w:lang w:eastAsia="zh-CN"/>
              </w:rPr>
              <w:t>日历天内交货（</w:t>
            </w:r>
            <w:r>
              <w:rPr>
                <w:rFonts w:hint="eastAsia"/>
                <w:color w:val="auto"/>
                <w:highlight w:val="none"/>
                <w:lang w:val="en-US" w:eastAsia="zh-CN"/>
              </w:rPr>
              <w:t>安装）</w:t>
            </w:r>
            <w:r>
              <w:rPr>
                <w:rFonts w:hint="eastAsia"/>
                <w:color w:val="auto"/>
                <w:highlight w:val="none"/>
                <w:lang w:eastAsia="zh-CN"/>
              </w:rPr>
              <w:t>完成并通过验收。</w:t>
            </w:r>
          </w:p>
          <w:p>
            <w:pPr>
              <w:spacing w:line="360" w:lineRule="auto"/>
              <w:jc w:val="left"/>
              <w:rPr>
                <w:rFonts w:hint="eastAsia"/>
                <w:color w:val="auto"/>
                <w:highlight w:val="none"/>
              </w:rPr>
            </w:pPr>
            <w:r>
              <w:rPr>
                <w:rFonts w:hint="eastAsia"/>
                <w:color w:val="auto"/>
                <w:highlight w:val="none"/>
              </w:rPr>
              <w:t xml:space="preserve">  3.交货地点：</w:t>
            </w:r>
            <w:r>
              <w:rPr>
                <w:rFonts w:hint="eastAsia"/>
                <w:color w:val="auto"/>
                <w:highlight w:val="none"/>
                <w:lang w:val="en-US" w:eastAsia="zh-CN"/>
              </w:rPr>
              <w:t>广西钦州市</w:t>
            </w:r>
            <w:r>
              <w:rPr>
                <w:rFonts w:hint="eastAsia"/>
                <w:color w:val="auto"/>
                <w:highlight w:val="none"/>
                <w:lang w:eastAsia="zh-CN"/>
              </w:rPr>
              <w:t>钦州港经济技术开发区东港区第二幼儿园</w:t>
            </w:r>
            <w:r>
              <w:rPr>
                <w:rFonts w:hint="eastAsia"/>
                <w:color w:val="auto"/>
                <w:highlight w:val="none"/>
              </w:rPr>
              <w:t>采购人指定地点。</w:t>
            </w:r>
          </w:p>
          <w:p>
            <w:pPr>
              <w:keepNext w:val="0"/>
              <w:keepLines w:val="0"/>
              <w:pageBreakBefore w:val="0"/>
              <w:widowControl/>
              <w:kinsoku/>
              <w:wordWrap/>
              <w:overflowPunct/>
              <w:topLinePunct w:val="0"/>
              <w:autoSpaceDN/>
              <w:bidi w:val="0"/>
              <w:spacing w:line="360" w:lineRule="auto"/>
              <w:ind w:firstLine="210" w:firstLineChars="100"/>
              <w:jc w:val="left"/>
              <w:rPr>
                <w:rFonts w:hint="default"/>
                <w:color w:val="auto"/>
                <w:highlight w:val="none"/>
                <w:lang w:val="en-US" w:eastAsia="zh-CN"/>
              </w:rPr>
            </w:pPr>
            <w:r>
              <w:rPr>
                <w:rFonts w:hint="eastAsia"/>
                <w:color w:val="auto"/>
                <w:highlight w:val="none"/>
              </w:rPr>
              <w:t>4.付款方式</w:t>
            </w:r>
            <w:r>
              <w:rPr>
                <w:rFonts w:hint="eastAsia"/>
                <w:color w:val="auto"/>
                <w:highlight w:val="none"/>
                <w:lang w:eastAsia="zh-CN"/>
              </w:rPr>
              <w:t>：</w:t>
            </w:r>
            <w:r>
              <w:rPr>
                <w:rFonts w:hint="eastAsia"/>
                <w:color w:val="auto"/>
                <w:highlight w:val="none"/>
                <w:lang w:val="en-US" w:eastAsia="zh-CN"/>
              </w:rPr>
              <w:t>货物交付验收合格之日起60日内支付款项</w:t>
            </w:r>
          </w:p>
          <w:p>
            <w:pPr>
              <w:spacing w:line="360" w:lineRule="auto"/>
              <w:jc w:val="left"/>
              <w:rPr>
                <w:rFonts w:hint="eastAsia"/>
                <w:color w:val="auto"/>
                <w:highlight w:val="none"/>
                <w:lang w:val="en-US" w:eastAsia="zh-CN"/>
              </w:rPr>
            </w:pPr>
            <w:r>
              <w:rPr>
                <w:rFonts w:hint="eastAsia"/>
                <w:color w:val="auto"/>
                <w:highlight w:val="none"/>
                <w:lang w:val="en-US" w:eastAsia="zh-CN"/>
              </w:rPr>
              <w:t>五、其他要求：</w:t>
            </w:r>
          </w:p>
          <w:p>
            <w:pPr>
              <w:spacing w:line="360" w:lineRule="auto"/>
              <w:ind w:firstLine="210" w:firstLineChars="100"/>
              <w:jc w:val="left"/>
              <w:rPr>
                <w:rFonts w:hint="eastAsia"/>
                <w:color w:val="auto"/>
                <w:highlight w:val="none"/>
                <w:lang w:val="en-US" w:eastAsia="zh-CN"/>
              </w:rPr>
            </w:pPr>
            <w:r>
              <w:rPr>
                <w:rFonts w:hint="eastAsia" w:ascii="宋体" w:hAnsi="宋体"/>
                <w:szCs w:val="21"/>
              </w:rPr>
              <w:t>★</w:t>
            </w:r>
            <w:r>
              <w:rPr>
                <w:rFonts w:hint="eastAsia"/>
                <w:color w:val="auto"/>
                <w:highlight w:val="none"/>
                <w:lang w:val="en-US" w:eastAsia="zh-CN"/>
              </w:rPr>
              <w:t>1.</w:t>
            </w:r>
            <w:r>
              <w:rPr>
                <w:rFonts w:hint="eastAsia"/>
                <w:b/>
                <w:bCs/>
                <w:color w:val="auto"/>
                <w:highlight w:val="none"/>
                <w:lang w:val="en-US" w:eastAsia="zh-CN"/>
              </w:rPr>
              <w:t>响应文件中必须提供</w:t>
            </w:r>
            <w:bookmarkStart w:id="52" w:name="OLE_LINK13"/>
            <w:r>
              <w:rPr>
                <w:rFonts w:hint="eastAsia"/>
                <w:b/>
                <w:bCs/>
                <w:color w:val="auto"/>
                <w:highlight w:val="none"/>
                <w:lang w:val="en-US" w:eastAsia="zh-CN"/>
              </w:rPr>
              <w:t>现场定制类货物（项目需求序号4、14、15、16、19、23、24、25项）玩具现场布置设计效果图PDF文件</w:t>
            </w:r>
            <w:bookmarkEnd w:id="52"/>
            <w:r>
              <w:rPr>
                <w:rFonts w:hint="eastAsia"/>
                <w:b/>
                <w:bCs/>
                <w:color w:val="auto"/>
                <w:highlight w:val="none"/>
                <w:lang w:val="en-US" w:eastAsia="zh-CN"/>
              </w:rPr>
              <w:t>。</w:t>
            </w:r>
          </w:p>
          <w:p>
            <w:pPr>
              <w:spacing w:line="360" w:lineRule="auto"/>
              <w:ind w:firstLine="210" w:firstLineChars="100"/>
              <w:jc w:val="left"/>
              <w:rPr>
                <w:rFonts w:hint="eastAsia"/>
                <w:color w:val="auto"/>
                <w:highlight w:val="none"/>
                <w:lang w:val="en-US" w:eastAsia="zh-CN"/>
              </w:rPr>
            </w:pPr>
            <w:r>
              <w:rPr>
                <w:rFonts w:hint="eastAsia"/>
                <w:color w:val="auto"/>
                <w:highlight w:val="none"/>
                <w:lang w:val="en-US" w:eastAsia="zh-CN"/>
              </w:rPr>
              <w:t>2.投标人在政府采购活动中提供任何虚假材料，以及提供的产品技术参数不如实说明，报监管部门查处。</w:t>
            </w:r>
          </w:p>
          <w:p>
            <w:pPr>
              <w:spacing w:line="400" w:lineRule="exact"/>
              <w:jc w:val="left"/>
              <w:rPr>
                <w:rFonts w:hint="eastAsia" w:ascii="宋体" w:hAnsi="宋体" w:eastAsia="宋体" w:cs="宋体"/>
                <w:b w:val="0"/>
                <w:bCs w:val="0"/>
                <w:color w:val="auto"/>
                <w:kern w:val="0"/>
                <w:sz w:val="21"/>
                <w:szCs w:val="21"/>
                <w:highlight w:val="none"/>
                <w:lang w:val="en-US" w:eastAsia="zh-CN" w:bidi="ar"/>
              </w:rPr>
            </w:pPr>
            <w:r>
              <w:rPr>
                <w:rFonts w:hint="eastAsia"/>
                <w:color w:val="auto"/>
                <w:highlight w:val="none"/>
                <w:lang w:val="en-US" w:eastAsia="zh-CN"/>
              </w:rPr>
              <w:t>六、</w:t>
            </w:r>
            <w:r>
              <w:rPr>
                <w:rFonts w:hint="eastAsia" w:ascii="宋体" w:hAnsi="宋体" w:eastAsia="宋体" w:cs="宋体"/>
                <w:b w:val="0"/>
                <w:bCs w:val="0"/>
                <w:color w:val="auto"/>
                <w:kern w:val="0"/>
                <w:sz w:val="21"/>
                <w:szCs w:val="21"/>
                <w:highlight w:val="none"/>
                <w:lang w:val="en-US" w:eastAsia="zh-CN" w:bidi="ar"/>
              </w:rPr>
              <w:t>现场踏勘</w:t>
            </w:r>
          </w:p>
          <w:p>
            <w:pPr>
              <w:spacing w:line="360" w:lineRule="auto"/>
              <w:ind w:firstLine="440" w:firstLineChars="200"/>
              <w:jc w:val="left"/>
              <w:rPr>
                <w:rFonts w:hint="eastAsia"/>
                <w:color w:val="auto"/>
                <w:highlight w:val="none"/>
                <w:lang w:val="en-US" w:eastAsia="zh-CN"/>
              </w:rPr>
            </w:pPr>
            <w:r>
              <w:rPr>
                <w:rFonts w:hint="eastAsia" w:ascii="宋体" w:hAnsi="宋体" w:eastAsia="宋体" w:cs="宋体"/>
                <w:color w:val="auto"/>
                <w:spacing w:val="0"/>
                <w:kern w:val="2"/>
                <w:sz w:val="22"/>
                <w:szCs w:val="24"/>
                <w:highlight w:val="none"/>
                <w:lang w:val="en-US" w:eastAsia="zh-CN" w:bidi="ar-SA"/>
              </w:rPr>
              <w:t>为保证报价符合采购需求，投标人应在采购人、钦州市政府采购中心组织下进行实地勘查了解现场实际情况。供应商的现场踏勘实行</w:t>
            </w:r>
            <w:r>
              <w:rPr>
                <w:rFonts w:hint="eastAsia" w:ascii="宋体" w:hAnsi="宋体" w:eastAsia="宋体" w:cs="宋体"/>
                <w:b/>
                <w:bCs/>
                <w:color w:val="auto"/>
                <w:spacing w:val="0"/>
                <w:kern w:val="2"/>
                <w:sz w:val="22"/>
                <w:szCs w:val="24"/>
                <w:highlight w:val="none"/>
                <w:lang w:val="en-US" w:eastAsia="zh-CN" w:bidi="ar-SA"/>
              </w:rPr>
              <w:t>自愿</w:t>
            </w:r>
            <w:r>
              <w:rPr>
                <w:rFonts w:hint="eastAsia" w:ascii="宋体" w:hAnsi="宋体" w:eastAsia="宋体" w:cs="宋体"/>
                <w:color w:val="auto"/>
                <w:spacing w:val="0"/>
                <w:kern w:val="2"/>
                <w:sz w:val="22"/>
                <w:szCs w:val="24"/>
                <w:highlight w:val="none"/>
                <w:lang w:val="en-US" w:eastAsia="zh-CN" w:bidi="ar-SA"/>
              </w:rPr>
              <w:t>原则，费用自理。现场勘查须携带的资料：供应商代表持获取采购文件回执函、单位介绍信原件或授权委托书、个人身份证原件。</w:t>
            </w:r>
          </w:p>
          <w:p>
            <w:pPr>
              <w:spacing w:line="360" w:lineRule="auto"/>
              <w:ind w:firstLine="210" w:firstLineChars="100"/>
              <w:jc w:val="left"/>
              <w:rPr>
                <w:rFonts w:hint="eastAsia"/>
                <w:color w:val="auto"/>
                <w:highlight w:val="none"/>
                <w:lang w:val="en-US" w:eastAsia="zh-CN"/>
              </w:rPr>
            </w:pPr>
            <w:r>
              <w:rPr>
                <w:rFonts w:hint="eastAsia"/>
                <w:color w:val="auto"/>
                <w:highlight w:val="none"/>
                <w:lang w:val="en-US" w:eastAsia="zh-CN"/>
              </w:rPr>
              <w:t>踏勘时间：2025年10月15日上午10:30分（逾期不候）</w:t>
            </w:r>
          </w:p>
          <w:p>
            <w:pPr>
              <w:spacing w:line="360" w:lineRule="auto"/>
              <w:ind w:firstLine="210" w:firstLineChars="100"/>
              <w:jc w:val="left"/>
              <w:rPr>
                <w:rFonts w:hint="eastAsia"/>
                <w:color w:val="auto"/>
                <w:highlight w:val="none"/>
                <w:lang w:val="en-US" w:eastAsia="zh-CN"/>
              </w:rPr>
            </w:pPr>
            <w:r>
              <w:rPr>
                <w:rFonts w:hint="eastAsia"/>
                <w:color w:val="auto"/>
                <w:highlight w:val="none"/>
                <w:lang w:val="en-US" w:eastAsia="zh-CN"/>
              </w:rPr>
              <w:t>集合地点：</w:t>
            </w:r>
            <w:r>
              <w:rPr>
                <w:rFonts w:hint="eastAsia"/>
                <w:color w:val="auto"/>
                <w:highlight w:val="none"/>
                <w:lang w:eastAsia="zh-CN"/>
              </w:rPr>
              <w:t>钦州港第一大街南面、丹寮大街东面、第二大街北面</w:t>
            </w:r>
          </w:p>
          <w:p>
            <w:pPr>
              <w:spacing w:line="360" w:lineRule="auto"/>
              <w:ind w:firstLine="210" w:firstLineChars="100"/>
              <w:jc w:val="left"/>
              <w:rPr>
                <w:rFonts w:hint="eastAsia"/>
                <w:color w:val="auto"/>
                <w:highlight w:val="none"/>
                <w:lang w:val="en-US"/>
              </w:rPr>
            </w:pPr>
            <w:r>
              <w:rPr>
                <w:rFonts w:hint="eastAsia"/>
                <w:color w:val="auto"/>
                <w:highlight w:val="none"/>
                <w:lang w:val="en-US" w:eastAsia="zh-CN"/>
              </w:rPr>
              <w:t>现场踏勘联系人及电话：吴老师，13367770181</w:t>
            </w:r>
          </w:p>
        </w:tc>
      </w:tr>
    </w:tbl>
    <w:p>
      <w:pPr>
        <w:spacing w:line="430" w:lineRule="exact"/>
        <w:jc w:val="left"/>
        <w:rPr>
          <w:rFonts w:ascii="宋体" w:hAnsi="宋体"/>
          <w:szCs w:val="21"/>
        </w:rPr>
      </w:pPr>
    </w:p>
    <w:p>
      <w:pPr>
        <w:widowControl/>
        <w:jc w:val="left"/>
        <w:rPr>
          <w:rFonts w:ascii="宋体" w:hAnsi="宋体"/>
          <w:szCs w:val="21"/>
        </w:rPr>
      </w:pPr>
      <w:r>
        <w:rPr>
          <w:rFonts w:ascii="宋体" w:hAnsi="宋体"/>
          <w:szCs w:val="21"/>
        </w:rPr>
        <w:br w:type="page"/>
      </w:r>
    </w:p>
    <w:p>
      <w:pPr>
        <w:spacing w:line="430" w:lineRule="exact"/>
        <w:jc w:val="left"/>
        <w:rPr>
          <w:rFonts w:ascii="宋体" w:hAnsi="宋体"/>
          <w:szCs w:val="21"/>
        </w:rPr>
      </w:pPr>
    </w:p>
    <w:p>
      <w:pPr>
        <w:widowControl/>
        <w:jc w:val="left"/>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
      <w:pPr>
        <w:pStyle w:val="3"/>
        <w:spacing w:line="400" w:lineRule="exact"/>
        <w:rPr>
          <w:rFonts w:ascii="方正小标宋简体" w:eastAsia="方正小标宋简体"/>
        </w:rPr>
      </w:pPr>
      <w:bookmarkStart w:id="53" w:name="_Toc92355025"/>
      <w:r>
        <w:rPr>
          <w:rFonts w:hint="eastAsia" w:ascii="方正小标宋简体" w:eastAsia="方正小标宋简体"/>
        </w:rPr>
        <w:t>第三章  供应商须知</w:t>
      </w:r>
      <w:bookmarkEnd w:id="47"/>
      <w:bookmarkEnd w:id="48"/>
      <w:bookmarkEnd w:id="53"/>
    </w:p>
    <w:p>
      <w:pPr>
        <w:jc w:val="center"/>
        <w:rPr>
          <w:rFonts w:ascii="仿宋_GB2312" w:hAnsi="宋体" w:eastAsia="仿宋_GB2312"/>
          <w:b/>
          <w:sz w:val="32"/>
          <w:szCs w:val="32"/>
        </w:rPr>
      </w:pPr>
      <w:bookmarkStart w:id="54" w:name="_Toc354479499"/>
      <w:bookmarkStart w:id="55" w:name="_Toc350325671"/>
      <w:bookmarkStart w:id="56" w:name="_Toc358477281"/>
      <w:bookmarkStart w:id="57" w:name="_Toc357157408"/>
      <w:r>
        <w:rPr>
          <w:rFonts w:ascii="仿宋_GB2312" w:hAnsi="宋体" w:eastAsia="仿宋_GB2312"/>
          <w:b/>
          <w:sz w:val="32"/>
          <w:szCs w:val="32"/>
        </w:rPr>
        <w:br w:type="page"/>
      </w:r>
    </w:p>
    <w:p/>
    <w:p>
      <w:pPr>
        <w:jc w:val="center"/>
        <w:rPr>
          <w:rFonts w:ascii="黑体" w:hAnsi="黑体" w:eastAsia="黑体"/>
          <w:b/>
          <w:sz w:val="32"/>
          <w:szCs w:val="32"/>
        </w:rPr>
      </w:pPr>
      <w:r>
        <w:rPr>
          <w:rFonts w:hint="eastAsia" w:ascii="黑体" w:hAnsi="黑体" w:eastAsia="黑体"/>
          <w:b/>
          <w:sz w:val="32"/>
          <w:szCs w:val="32"/>
        </w:rPr>
        <w:t>一、供应商须知前附表</w:t>
      </w:r>
    </w:p>
    <w:tbl>
      <w:tblPr>
        <w:tblStyle w:val="34"/>
        <w:tblW w:w="0" w:type="auto"/>
        <w:jc w:val="center"/>
        <w:tblLayout w:type="fixed"/>
        <w:tblCellMar>
          <w:top w:w="0" w:type="dxa"/>
          <w:left w:w="108" w:type="dxa"/>
          <w:bottom w:w="0" w:type="dxa"/>
          <w:right w:w="108" w:type="dxa"/>
        </w:tblCellMar>
      </w:tblPr>
      <w:tblGrid>
        <w:gridCol w:w="704"/>
        <w:gridCol w:w="8647"/>
      </w:tblGrid>
      <w:tr>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cs="宋体"/>
                <w:kern w:val="0"/>
                <w:szCs w:val="21"/>
              </w:rPr>
            </w:pPr>
            <w:r>
              <w:rPr>
                <w:rFonts w:hint="eastAsia" w:ascii="宋体" w:hAnsi="宋体" w:cs="宋体"/>
                <w:kern w:val="0"/>
                <w:szCs w:val="21"/>
              </w:rPr>
              <w:t>序号</w:t>
            </w:r>
          </w:p>
        </w:tc>
        <w:tc>
          <w:tcPr>
            <w:tcW w:w="864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ascii="宋体" w:hAnsi="宋体" w:cs="宋体"/>
                <w:kern w:val="0"/>
                <w:szCs w:val="21"/>
              </w:rPr>
            </w:pPr>
            <w:r>
              <w:rPr>
                <w:rFonts w:hint="eastAsia" w:ascii="宋体" w:hAnsi="宋体" w:cs="宋体"/>
                <w:kern w:val="0"/>
                <w:szCs w:val="21"/>
              </w:rPr>
              <w:t>内    容</w:t>
            </w:r>
          </w:p>
        </w:tc>
      </w:tr>
      <w:tr>
        <w:tblPrEx>
          <w:tblCellMar>
            <w:top w:w="0" w:type="dxa"/>
            <w:left w:w="108" w:type="dxa"/>
            <w:bottom w:w="0" w:type="dxa"/>
            <w:right w:w="108" w:type="dxa"/>
          </w:tblCellMar>
        </w:tblPrEx>
        <w:trPr>
          <w:trHeight w:val="11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1</w:t>
            </w:r>
          </w:p>
        </w:tc>
        <w:tc>
          <w:tcPr>
            <w:tcW w:w="8647" w:type="dxa"/>
            <w:tcBorders>
              <w:top w:val="single" w:color="000000" w:sz="4" w:space="0"/>
              <w:left w:val="nil"/>
              <w:bottom w:val="single" w:color="000000" w:sz="4" w:space="0"/>
              <w:right w:val="single" w:color="000000" w:sz="4" w:space="0"/>
            </w:tcBorders>
            <w:vAlign w:val="center"/>
          </w:tcPr>
          <w:p>
            <w:pPr>
              <w:spacing w:line="440" w:lineRule="exact"/>
              <w:ind w:right="-334" w:rightChars="-159"/>
              <w:rPr>
                <w:rStyle w:val="41"/>
                <w:rFonts w:hint="eastAsia" w:eastAsia="宋体"/>
                <w:color w:val="auto"/>
                <w:szCs w:val="21"/>
                <w:u w:val="none"/>
                <w:lang w:eastAsia="zh-CN"/>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"_一、总_则" </w:instrText>
            </w:r>
            <w:r>
              <w:rPr>
                <w:rFonts w:ascii="宋体" w:hAnsi="宋体" w:cs="宋体"/>
                <w:kern w:val="0"/>
                <w:szCs w:val="21"/>
              </w:rPr>
              <w:fldChar w:fldCharType="separate"/>
            </w:r>
            <w:r>
              <w:rPr>
                <w:rStyle w:val="41"/>
                <w:rFonts w:hint="eastAsia" w:ascii="宋体" w:hAnsi="宋体" w:cs="宋体"/>
                <w:color w:val="auto"/>
                <w:kern w:val="0"/>
                <w:szCs w:val="21"/>
                <w:u w:val="none"/>
              </w:rPr>
              <w:t>项目名称：</w:t>
            </w:r>
            <w:r>
              <w:rPr>
                <w:rFonts w:hint="eastAsia"/>
                <w:lang w:eastAsia="zh-CN"/>
              </w:rPr>
              <w:t>钦州港经济技术开发区东港区第二幼儿园户内外玩教具设备</w:t>
            </w:r>
          </w:p>
          <w:p>
            <w:pPr>
              <w:widowControl/>
              <w:spacing w:line="440" w:lineRule="exact"/>
              <w:rPr>
                <w:rFonts w:hint="eastAsia" w:ascii="宋体" w:hAnsi="宋体" w:eastAsia="宋体"/>
                <w:szCs w:val="21"/>
                <w:lang w:eastAsia="zh-CN"/>
              </w:rPr>
            </w:pPr>
            <w:r>
              <w:rPr>
                <w:rStyle w:val="41"/>
                <w:rFonts w:hint="eastAsia" w:ascii="宋体" w:hAnsi="宋体"/>
                <w:color w:val="auto"/>
                <w:szCs w:val="21"/>
                <w:u w:val="none"/>
              </w:rPr>
              <w:t>项目编号：</w:t>
            </w:r>
            <w:r>
              <w:rPr>
                <w:rFonts w:ascii="宋体" w:hAnsi="宋体" w:cs="宋体"/>
                <w:kern w:val="0"/>
                <w:szCs w:val="21"/>
              </w:rPr>
              <w:fldChar w:fldCharType="end"/>
            </w:r>
            <w:r>
              <w:rPr>
                <w:rFonts w:hint="eastAsia" w:ascii="宋体" w:hAnsi="宋体" w:cs="宋体"/>
                <w:kern w:val="0"/>
                <w:szCs w:val="21"/>
                <w:lang w:eastAsia="zh-CN"/>
              </w:rPr>
              <w:t>QZZC2025-J1-980014-QZSZ</w:t>
            </w:r>
          </w:p>
        </w:tc>
      </w:tr>
      <w:tr>
        <w:tblPrEx>
          <w:tblCellMar>
            <w:top w:w="0" w:type="dxa"/>
            <w:left w:w="108" w:type="dxa"/>
            <w:bottom w:w="0" w:type="dxa"/>
            <w:right w:w="108" w:type="dxa"/>
          </w:tblCellMar>
        </w:tblPrEx>
        <w:trPr>
          <w:trHeight w:val="26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2</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1"/>
                <w:rFonts w:ascii="宋体" w:hAnsi="宋体"/>
                <w:color w:val="auto"/>
                <w:u w:val="none"/>
              </w:rPr>
            </w:pPr>
            <w:r>
              <w:rPr>
                <w:rFonts w:ascii="宋体" w:hAnsi="宋体"/>
              </w:rPr>
              <w:fldChar w:fldCharType="begin"/>
            </w:r>
            <w:r>
              <w:rPr>
                <w:rFonts w:ascii="宋体" w:hAnsi="宋体"/>
              </w:rPr>
              <w:instrText xml:space="preserve"> </w:instrText>
            </w:r>
            <w:r>
              <w:rPr>
                <w:rFonts w:hint="eastAsia" w:ascii="宋体" w:hAnsi="宋体"/>
              </w:rPr>
              <w:instrText xml:space="preserve">HYPERLINK </w:instrText>
            </w:r>
            <w:r>
              <w:rPr>
                <w:rFonts w:ascii="宋体" w:hAnsi="宋体"/>
              </w:rPr>
              <w:instrText xml:space="preserve"> \l "_一、总_则" </w:instrText>
            </w:r>
            <w:r>
              <w:rPr>
                <w:rFonts w:ascii="宋体" w:hAnsi="宋体"/>
              </w:rPr>
              <w:fldChar w:fldCharType="separate"/>
            </w:r>
            <w:r>
              <w:rPr>
                <w:rStyle w:val="41"/>
                <w:rFonts w:hint="eastAsia" w:ascii="宋体" w:hAnsi="宋体"/>
                <w:color w:val="auto"/>
                <w:u w:val="none"/>
              </w:rPr>
              <w:t>供应商资格：</w:t>
            </w:r>
          </w:p>
          <w:p>
            <w:pPr>
              <w:spacing w:line="440" w:lineRule="exact"/>
              <w:rPr>
                <w:rFonts w:ascii="宋体" w:hAnsi="宋体"/>
              </w:rPr>
            </w:pPr>
            <w:r>
              <w:rPr>
                <w:rFonts w:ascii="宋体" w:hAnsi="宋体"/>
              </w:rPr>
              <w:fldChar w:fldCharType="end"/>
            </w:r>
            <w:r>
              <w:rPr>
                <w:rFonts w:hint="eastAsia" w:ascii="宋体" w:hAnsi="宋体"/>
              </w:rPr>
              <w:t>1.满足《中华人民共和国政府采购法》第二十二条规定</w:t>
            </w:r>
          </w:p>
          <w:p>
            <w:pPr>
              <w:spacing w:line="440" w:lineRule="exact"/>
              <w:rPr>
                <w:rFonts w:ascii="宋体" w:hAnsi="宋体"/>
              </w:rPr>
            </w:pPr>
            <w:r>
              <w:rPr>
                <w:rFonts w:hint="eastAsia" w:ascii="宋体" w:hAnsi="宋体"/>
              </w:rPr>
              <w:t>2.落实政府采购政策需满足的资格要求：</w:t>
            </w:r>
            <w:r>
              <w:rPr>
                <w:rFonts w:hint="eastAsia"/>
              </w:rPr>
              <w:t>货物全部由符合政策要求的</w:t>
            </w:r>
            <w:r>
              <w:rPr>
                <w:rFonts w:hint="eastAsia"/>
                <w:lang w:val="en-US" w:eastAsia="zh-CN"/>
              </w:rPr>
              <w:t>小微</w:t>
            </w:r>
            <w:r>
              <w:rPr>
                <w:rFonts w:hint="eastAsia"/>
              </w:rPr>
              <w:t>企业制造</w:t>
            </w:r>
          </w:p>
          <w:p>
            <w:pPr>
              <w:spacing w:line="440" w:lineRule="exact"/>
              <w:rPr>
                <w:rFonts w:ascii="宋体" w:hAnsi="宋体"/>
              </w:rPr>
            </w:pPr>
            <w:r>
              <w:rPr>
                <w:rFonts w:hint="eastAsia" w:ascii="宋体" w:hAnsi="宋体"/>
              </w:rPr>
              <w:t>3.本项目的特定资格要求：无</w:t>
            </w:r>
          </w:p>
        </w:tc>
      </w:tr>
      <w:tr>
        <w:tblPrEx>
          <w:tblCellMar>
            <w:top w:w="0" w:type="dxa"/>
            <w:left w:w="108" w:type="dxa"/>
            <w:bottom w:w="0" w:type="dxa"/>
            <w:right w:w="108" w:type="dxa"/>
          </w:tblCellMar>
        </w:tblPrEx>
        <w:trPr>
          <w:trHeight w:val="11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ascii="宋体" w:hAnsi="宋体" w:cs="宋体"/>
                <w:kern w:val="0"/>
                <w:szCs w:val="21"/>
              </w:rPr>
              <w:t>3</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ascii="宋体" w:hAnsi="宋体"/>
              </w:rPr>
            </w:pPr>
            <w:r>
              <w:fldChar w:fldCharType="begin"/>
            </w:r>
            <w:r>
              <w:instrText xml:space="preserve"> HYPERLINK \l "_（五）报价" </w:instrText>
            </w:r>
            <w:r>
              <w:fldChar w:fldCharType="separate"/>
            </w:r>
            <w:r>
              <w:rPr>
                <w:rStyle w:val="41"/>
                <w:rFonts w:hint="eastAsia" w:ascii="宋体" w:hAnsi="宋体" w:cs="宋体"/>
                <w:color w:val="auto"/>
                <w:kern w:val="0"/>
                <w:szCs w:val="21"/>
                <w:u w:val="none"/>
              </w:rPr>
              <w:t>报价：供应商的报价必须按采购文件或政府采购云平台规定的格式填写，并在规定时间内提交最后报价。</w:t>
            </w:r>
            <w:r>
              <w:rPr>
                <w:rStyle w:val="41"/>
                <w:rFonts w:hint="eastAsia" w:ascii="宋体" w:hAnsi="宋体" w:cs="宋体"/>
                <w:color w:val="auto"/>
                <w:kern w:val="0"/>
                <w:szCs w:val="21"/>
                <w:u w:val="none"/>
              </w:rPr>
              <w:fldChar w:fldCharType="end"/>
            </w:r>
          </w:p>
        </w:tc>
      </w:tr>
      <w:tr>
        <w:tblPrEx>
          <w:tblCellMar>
            <w:top w:w="0" w:type="dxa"/>
            <w:left w:w="108" w:type="dxa"/>
            <w:bottom w:w="0" w:type="dxa"/>
            <w:right w:w="108" w:type="dxa"/>
          </w:tblCellMar>
        </w:tblPrEx>
        <w:trPr>
          <w:trHeight w:val="23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4</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1"/>
                <w:rFonts w:ascii="宋体" w:hAnsi="宋体"/>
                <w:color w:val="auto"/>
                <w:szCs w:val="21"/>
                <w:u w:val="none"/>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"_四、响应文件开启" </w:instrText>
            </w:r>
            <w:r>
              <w:rPr>
                <w:rFonts w:ascii="宋体" w:hAnsi="宋体" w:cs="宋体"/>
                <w:kern w:val="0"/>
                <w:szCs w:val="21"/>
              </w:rPr>
              <w:fldChar w:fldCharType="separate"/>
            </w:r>
            <w:r>
              <w:rPr>
                <w:rStyle w:val="41"/>
                <w:rFonts w:hint="eastAsia" w:ascii="宋体" w:hAnsi="宋体" w:cs="宋体"/>
                <w:color w:val="auto"/>
                <w:kern w:val="0"/>
                <w:szCs w:val="21"/>
                <w:u w:val="none"/>
              </w:rPr>
              <w:t>响应文件提交截止时间及开启时间：</w:t>
            </w:r>
            <w:r>
              <w:rPr>
                <w:rFonts w:hint="eastAsia"/>
              </w:rPr>
              <w:t>2025年</w:t>
            </w:r>
            <w:r>
              <w:rPr>
                <w:rFonts w:hint="eastAsia"/>
                <w:lang w:eastAsia="zh-CN"/>
              </w:rPr>
              <w:t>10月20日10:00</w:t>
            </w:r>
            <w:r>
              <w:rPr>
                <w:rFonts w:hint="eastAsia"/>
              </w:rPr>
              <w:t>（北京时间）</w:t>
            </w:r>
          </w:p>
          <w:p>
            <w:pPr>
              <w:widowControl/>
              <w:spacing w:line="440" w:lineRule="exact"/>
            </w:pPr>
            <w:r>
              <w:rPr>
                <w:rStyle w:val="41"/>
                <w:rFonts w:hint="eastAsia"/>
                <w:b/>
                <w:color w:val="auto"/>
                <w:szCs w:val="21"/>
                <w:u w:val="none"/>
              </w:rPr>
              <w:t>注意事项：</w:t>
            </w:r>
            <w:r>
              <w:rPr>
                <w:rStyle w:val="41"/>
                <w:rFonts w:hint="eastAsia"/>
                <w:bCs/>
                <w:color w:val="auto"/>
                <w:u w:val="none"/>
              </w:rPr>
              <w:t>供应商法定代表人或委托代理人须按时登录政采云远程开标大厅，保持全程在线并关注评审谈判进度，评审期间谈判小组提出澄清等要求时，供应商须在规定时间内进行在线应答，否则按采购文件或政采云平台的相关规定执行。</w:t>
            </w:r>
            <w:r>
              <w:rPr>
                <w:rFonts w:ascii="宋体" w:hAnsi="宋体" w:cs="宋体"/>
                <w:kern w:val="0"/>
                <w:szCs w:val="21"/>
              </w:rPr>
              <w:fldChar w:fldCharType="end"/>
            </w:r>
          </w:p>
        </w:tc>
      </w:tr>
      <w:tr>
        <w:tblPrEx>
          <w:tblCellMar>
            <w:top w:w="0" w:type="dxa"/>
            <w:left w:w="108" w:type="dxa"/>
            <w:bottom w:w="0" w:type="dxa"/>
            <w:right w:w="108" w:type="dxa"/>
          </w:tblCellMar>
        </w:tblPrEx>
        <w:trPr>
          <w:trHeight w:val="229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5</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1"/>
                <w:color w:val="auto"/>
                <w:u w:val="none"/>
              </w:rPr>
            </w:pPr>
            <w:r>
              <w:fldChar w:fldCharType="begin"/>
            </w:r>
            <w:r>
              <w:instrText xml:space="preserve"> </w:instrText>
            </w:r>
            <w:r>
              <w:rPr>
                <w:rFonts w:hint="eastAsia"/>
              </w:rPr>
              <w:instrText xml:space="preserve">HYPERLINK </w:instrText>
            </w:r>
            <w:r>
              <w:instrText xml:space="preserve"> \l "</w:instrText>
            </w:r>
            <w:r>
              <w:rPr>
                <w:rFonts w:hint="eastAsia"/>
              </w:rPr>
              <w:instrText xml:space="preserve">_五、评审与谈判</w:instrText>
            </w:r>
            <w:r>
              <w:instrText xml:space="preserve">" </w:instrText>
            </w:r>
            <w:r>
              <w:fldChar w:fldCharType="separate"/>
            </w:r>
            <w:r>
              <w:rPr>
                <w:rStyle w:val="41"/>
                <w:color w:val="auto"/>
                <w:u w:val="none"/>
              </w:rPr>
              <w:t>评审及谈判：</w:t>
            </w:r>
          </w:p>
          <w:p>
            <w:pPr>
              <w:spacing w:line="440" w:lineRule="exact"/>
            </w:pPr>
            <w:r>
              <w:rPr>
                <w:rStyle w:val="41"/>
                <w:rFonts w:hint="eastAsia"/>
                <w:color w:val="auto"/>
                <w:u w:val="none"/>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w:t>
            </w:r>
            <w:r>
              <w:fldChar w:fldCharType="end"/>
            </w:r>
          </w:p>
        </w:tc>
      </w:tr>
      <w:tr>
        <w:tblPrEx>
          <w:tblCellMar>
            <w:top w:w="0" w:type="dxa"/>
            <w:left w:w="108" w:type="dxa"/>
            <w:bottom w:w="0" w:type="dxa"/>
            <w:right w:w="108" w:type="dxa"/>
          </w:tblCellMar>
        </w:tblPrEx>
        <w:trPr>
          <w:trHeight w:val="97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6</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ascii="宋体" w:hAnsi="宋体" w:cs="宋体"/>
                <w:kern w:val="0"/>
                <w:szCs w:val="21"/>
              </w:rPr>
            </w:pPr>
            <w:r>
              <w:fldChar w:fldCharType="begin"/>
            </w:r>
            <w:r>
              <w:instrText xml:space="preserve"> HYPERLINK \l "_第四章__评定标准及推荐原则" </w:instrText>
            </w:r>
            <w:r>
              <w:fldChar w:fldCharType="separate"/>
            </w:r>
            <w:r>
              <w:rPr>
                <w:rStyle w:val="41"/>
                <w:rFonts w:hint="eastAsia" w:ascii="宋体" w:hAnsi="宋体" w:cs="宋体"/>
                <w:color w:val="auto"/>
                <w:kern w:val="0"/>
                <w:szCs w:val="21"/>
                <w:u w:val="none"/>
              </w:rPr>
              <w:t>评定方法：</w:t>
            </w:r>
            <w:r>
              <w:rPr>
                <w:rStyle w:val="41"/>
                <w:rFonts w:hint="eastAsia"/>
                <w:color w:val="auto"/>
                <w:u w:val="none"/>
              </w:rPr>
              <w:t>详见第四章《评定标准及推荐原则》。</w:t>
            </w:r>
            <w:r>
              <w:rPr>
                <w:rStyle w:val="41"/>
                <w:rFonts w:hint="eastAsia"/>
                <w:color w:val="auto"/>
                <w:u w:val="none"/>
              </w:rPr>
              <w:fldChar w:fldCharType="end"/>
            </w:r>
          </w:p>
        </w:tc>
      </w:tr>
      <w:tr>
        <w:tblPrEx>
          <w:tblCellMar>
            <w:top w:w="0" w:type="dxa"/>
            <w:left w:w="108" w:type="dxa"/>
            <w:bottom w:w="0" w:type="dxa"/>
            <w:right w:w="108" w:type="dxa"/>
          </w:tblCellMar>
        </w:tblPrEx>
        <w:trPr>
          <w:trHeight w:val="139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7</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ascii="宋体" w:hAnsi="宋体" w:cs="宋体"/>
                <w:kern w:val="0"/>
                <w:szCs w:val="21"/>
              </w:rPr>
            </w:pPr>
            <w:r>
              <w:fldChar w:fldCharType="begin"/>
            </w:r>
            <w:r>
              <w:instrText xml:space="preserve"> HYPERLINK \l "_十、其他事项" </w:instrText>
            </w:r>
            <w:r>
              <w:fldChar w:fldCharType="separate"/>
            </w:r>
            <w:r>
              <w:rPr>
                <w:rStyle w:val="41"/>
                <w:rFonts w:hint="eastAsia" w:ascii="宋体" w:hAnsi="宋体" w:cs="宋体"/>
                <w:color w:val="auto"/>
                <w:kern w:val="0"/>
                <w:szCs w:val="21"/>
                <w:u w:val="none"/>
              </w:rPr>
              <w:t>代理服务费：</w:t>
            </w:r>
            <w:bookmarkStart w:id="58" w:name="OLE_LINK7"/>
            <w:r>
              <w:rPr>
                <w:rStyle w:val="41"/>
                <w:rFonts w:hint="eastAsia" w:ascii="宋体" w:hAnsi="宋体" w:cs="宋体"/>
                <w:color w:val="auto"/>
                <w:kern w:val="0"/>
                <w:szCs w:val="21"/>
                <w:u w:val="none"/>
              </w:rPr>
              <w:t>按钦州市物价局“钦市价费﹝2013﹞4号”文件，以差额定率累进法计算。成交供应商须按成交金额缴纳相应的代理服务费。</w:t>
            </w:r>
            <w:bookmarkEnd w:id="58"/>
            <w:r>
              <w:rPr>
                <w:rStyle w:val="41"/>
                <w:rFonts w:hint="eastAsia" w:ascii="宋体" w:hAnsi="宋体" w:cs="宋体"/>
                <w:color w:val="auto"/>
                <w:kern w:val="0"/>
                <w:szCs w:val="21"/>
                <w:u w:val="none"/>
              </w:rPr>
              <w:fldChar w:fldCharType="end"/>
            </w:r>
          </w:p>
        </w:tc>
      </w:tr>
    </w:tbl>
    <w:p>
      <w:pPr>
        <w:pStyle w:val="4"/>
        <w:jc w:val="center"/>
      </w:pPr>
      <w:bookmarkStart w:id="59" w:name="_Toc420505403"/>
      <w:r>
        <w:br w:type="page"/>
      </w:r>
    </w:p>
    <w:p>
      <w:pPr>
        <w:jc w:val="center"/>
        <w:rPr>
          <w:rFonts w:ascii="黑体" w:hAnsi="黑体" w:eastAsia="黑体"/>
          <w:b/>
          <w:bCs/>
          <w:sz w:val="32"/>
          <w:szCs w:val="32"/>
        </w:rPr>
      </w:pPr>
      <w:r>
        <w:rPr>
          <w:rFonts w:hint="eastAsia" w:ascii="黑体" w:hAnsi="黑体" w:eastAsia="黑体"/>
          <w:b/>
          <w:bCs/>
          <w:sz w:val="32"/>
          <w:szCs w:val="32"/>
        </w:rPr>
        <w:t>二、供应商须知</w:t>
      </w:r>
      <w:bookmarkEnd w:id="59"/>
    </w:p>
    <w:p>
      <w:pPr>
        <w:pStyle w:val="4"/>
        <w:spacing w:line="420" w:lineRule="exact"/>
      </w:pPr>
      <w:bookmarkStart w:id="60" w:name="_一、总_则"/>
      <w:bookmarkEnd w:id="60"/>
      <w:r>
        <w:rPr>
          <w:rFonts w:hint="eastAsia"/>
        </w:rPr>
        <w:t>一、总　则</w:t>
      </w:r>
    </w:p>
    <w:p>
      <w:pPr>
        <w:spacing w:line="420" w:lineRule="exact"/>
        <w:ind w:firstLine="210" w:firstLineChars="100"/>
        <w:rPr>
          <w:rFonts w:ascii="宋体" w:hAnsi="宋体"/>
          <w:szCs w:val="21"/>
        </w:rPr>
      </w:pPr>
      <w:r>
        <w:rPr>
          <w:rFonts w:hint="eastAsia" w:ascii="宋体" w:hAnsi="宋体"/>
          <w:szCs w:val="21"/>
        </w:rPr>
        <w:t>（一）适用范围</w:t>
      </w:r>
    </w:p>
    <w:p>
      <w:pPr>
        <w:spacing w:line="420" w:lineRule="exact"/>
        <w:ind w:right="-334" w:rightChars="-159" w:firstLine="420"/>
        <w:rPr>
          <w:rFonts w:hint="eastAsia" w:hAnsi="宋体" w:eastAsia="宋体"/>
          <w:lang w:eastAsia="zh-CN"/>
        </w:rPr>
      </w:pPr>
      <w:r>
        <w:rPr>
          <w:rFonts w:hAnsi="宋体"/>
        </w:rPr>
        <w:t>1.</w:t>
      </w:r>
      <w:r>
        <w:rPr>
          <w:rFonts w:hint="eastAsia" w:hAnsi="宋体"/>
        </w:rPr>
        <w:t>项目名称：</w:t>
      </w:r>
      <w:r>
        <w:rPr>
          <w:rFonts w:hint="eastAsia" w:hAnsi="宋体"/>
          <w:lang w:eastAsia="zh-CN"/>
        </w:rPr>
        <w:t>钦州港经济技术开发区东港区第二幼儿园户内外玩教具设备</w:t>
      </w:r>
    </w:p>
    <w:p>
      <w:pPr>
        <w:spacing w:line="420" w:lineRule="exact"/>
        <w:ind w:right="-334" w:rightChars="-159" w:firstLine="420"/>
        <w:rPr>
          <w:rFonts w:hint="eastAsia" w:hAnsi="宋体" w:eastAsia="宋体"/>
          <w:lang w:eastAsia="zh-CN"/>
        </w:rPr>
      </w:pPr>
      <w:r>
        <w:rPr>
          <w:rFonts w:hAnsi="宋体"/>
        </w:rPr>
        <w:t>2</w:t>
      </w:r>
      <w:r>
        <w:rPr>
          <w:rFonts w:hint="eastAsia" w:hAnsi="宋体"/>
        </w:rPr>
        <w:t>.项目编号：</w:t>
      </w:r>
      <w:r>
        <w:rPr>
          <w:rFonts w:hint="eastAsia" w:hAnsi="宋体"/>
          <w:lang w:eastAsia="zh-CN"/>
        </w:rPr>
        <w:t>QZZC2025-J1-980014-QZSZ</w:t>
      </w:r>
    </w:p>
    <w:p>
      <w:pPr>
        <w:spacing w:line="420" w:lineRule="exact"/>
        <w:ind w:right="-334" w:rightChars="-159" w:firstLine="420"/>
        <w:rPr>
          <w:szCs w:val="21"/>
        </w:rPr>
      </w:pPr>
      <w:r>
        <w:rPr>
          <w:rFonts w:hint="eastAsia" w:hAnsi="宋体"/>
        </w:rPr>
        <w:t>本文件仅适用于本文件中所叙述的货物、服务类政府采购项目。</w:t>
      </w:r>
    </w:p>
    <w:p>
      <w:pPr>
        <w:spacing w:line="420" w:lineRule="exact"/>
        <w:ind w:firstLine="210" w:firstLineChars="100"/>
        <w:rPr>
          <w:rFonts w:ascii="宋体" w:hAnsi="宋体"/>
          <w:szCs w:val="21"/>
        </w:rPr>
      </w:pPr>
      <w:r>
        <w:rPr>
          <w:rFonts w:hint="eastAsia" w:ascii="宋体" w:hAnsi="宋体"/>
          <w:szCs w:val="21"/>
        </w:rPr>
        <w:t>（二）定义</w:t>
      </w:r>
    </w:p>
    <w:p>
      <w:pPr>
        <w:spacing w:line="42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采购人</w:t>
      </w:r>
      <w:r>
        <w:rPr>
          <w:rFonts w:hint="eastAsia" w:ascii="宋体" w:hAnsi="宋体"/>
          <w:szCs w:val="21"/>
        </w:rPr>
        <w:t>”</w:t>
      </w:r>
      <w:r>
        <w:rPr>
          <w:rFonts w:ascii="宋体" w:hAnsi="宋体"/>
          <w:szCs w:val="21"/>
        </w:rPr>
        <w:t>是指依法进行政府采购的国家机关、事业单位、团体组织。</w:t>
      </w:r>
    </w:p>
    <w:p>
      <w:pPr>
        <w:spacing w:line="420" w:lineRule="exact"/>
        <w:ind w:firstLine="420" w:firstLineChars="200"/>
        <w:rPr>
          <w:rFonts w:ascii="宋体" w:hAnsi="宋体"/>
          <w:szCs w:val="21"/>
        </w:rPr>
      </w:pPr>
      <w:r>
        <w:rPr>
          <w:rFonts w:hint="eastAsia" w:ascii="宋体" w:hAnsi="宋体"/>
          <w:szCs w:val="21"/>
        </w:rPr>
        <w:t>2.“供应商”是指响应本文件要求，参加谈判的法人或其他组织。如果该供应商在本次采购项目中成交,即成为“成交供应商”。</w:t>
      </w:r>
    </w:p>
    <w:p>
      <w:pPr>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“采购代理机构”是指</w:t>
      </w:r>
      <w:r>
        <w:rPr>
          <w:rFonts w:hint="eastAsia" w:ascii="宋体" w:hAnsi="宋体"/>
        </w:rPr>
        <w:t>钦州市政府采购中心。</w:t>
      </w:r>
    </w:p>
    <w:p>
      <w:pPr>
        <w:spacing w:line="420" w:lineRule="exact"/>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“货物和服务”是指本次采购文件中所采购的各种形态和种类的产品以及其提供的服务。</w:t>
      </w:r>
    </w:p>
    <w:p>
      <w:pPr>
        <w:spacing w:line="420" w:lineRule="exact"/>
        <w:ind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“竞争性谈判采购文件”是指采用竞争性谈判方式进行政府采购的指导文件，简称“谈判文件”或“采购文件”。</w:t>
      </w:r>
    </w:p>
    <w:p>
      <w:pPr>
        <w:spacing w:line="420" w:lineRule="exact"/>
        <w:ind w:firstLine="420" w:firstLineChars="200"/>
        <w:rPr>
          <w:rFonts w:ascii="宋体" w:hAnsi="宋体"/>
          <w:szCs w:val="21"/>
        </w:rPr>
      </w:pPr>
      <w:r>
        <w:rPr>
          <w:rFonts w:ascii="宋体" w:hAnsi="宋体"/>
          <w:szCs w:val="21"/>
        </w:rPr>
        <w:t>6.</w:t>
      </w:r>
      <w:r>
        <w:rPr>
          <w:rFonts w:hint="eastAsia" w:ascii="宋体" w:hAnsi="宋体"/>
          <w:szCs w:val="21"/>
        </w:rPr>
        <w:t>“响应文件”是指供应商根据采购文件要求，编制包含技术、服务和报价等所有内容的响应文件。</w:t>
      </w:r>
    </w:p>
    <w:p>
      <w:pPr>
        <w:spacing w:line="420" w:lineRule="exact"/>
        <w:ind w:firstLine="420" w:firstLineChars="200"/>
        <w:rPr>
          <w:rFonts w:ascii="宋体" w:hAnsi="宋体"/>
          <w:szCs w:val="21"/>
        </w:rPr>
      </w:pPr>
      <w:r>
        <w:rPr>
          <w:rFonts w:ascii="宋体" w:hAnsi="宋体"/>
          <w:szCs w:val="21"/>
        </w:rPr>
        <w:t>7.</w:t>
      </w:r>
      <w:r>
        <w:rPr>
          <w:rFonts w:hint="eastAsia" w:ascii="宋体" w:hAnsi="宋体"/>
          <w:szCs w:val="21"/>
        </w:rPr>
        <w:t>“书面形式”</w:t>
      </w:r>
      <w:r>
        <w:rPr>
          <w:rFonts w:ascii="Helvetica" w:hAnsi="Helvetica"/>
          <w:szCs w:val="21"/>
          <w:shd w:val="clear" w:color="auto" w:fill="FFFFFF"/>
        </w:rPr>
        <w:t>是</w:t>
      </w:r>
      <w:r>
        <w:rPr>
          <w:rFonts w:hint="eastAsia" w:ascii="Helvetica" w:hAnsi="Helvetica"/>
          <w:szCs w:val="21"/>
          <w:shd w:val="clear" w:color="auto" w:fill="FFFFFF"/>
        </w:rPr>
        <w:t>指</w:t>
      </w:r>
      <w:r>
        <w:rPr>
          <w:rFonts w:ascii="Helvetica" w:hAnsi="Helvetica"/>
          <w:szCs w:val="21"/>
          <w:shd w:val="clear" w:color="auto" w:fill="FFFFFF"/>
        </w:rPr>
        <w:t>合同书、信件、电报、电传、传真等可以有形地表现所载内容的形式。</w:t>
      </w:r>
    </w:p>
    <w:p>
      <w:pPr>
        <w:spacing w:line="420" w:lineRule="exact"/>
        <w:ind w:firstLine="211" w:firstLineChars="100"/>
        <w:rPr>
          <w:rFonts w:ascii="宋体" w:hAnsi="宋体"/>
          <w:b/>
          <w:szCs w:val="21"/>
        </w:rPr>
      </w:pPr>
      <w:r>
        <w:rPr>
          <w:rFonts w:hint="eastAsia" w:ascii="宋体" w:hAnsi="宋体"/>
          <w:b/>
          <w:szCs w:val="21"/>
        </w:rPr>
        <w:t>（三）供应商资格</w:t>
      </w:r>
    </w:p>
    <w:p>
      <w:pPr>
        <w:spacing w:line="420" w:lineRule="exact"/>
        <w:ind w:firstLine="420" w:firstLineChars="200"/>
      </w:pPr>
      <w:r>
        <w:rPr>
          <w:rFonts w:hint="eastAsia"/>
        </w:rPr>
        <w:t>1.满足《中华人民共和国政府采购法》第二十二条规定</w:t>
      </w:r>
    </w:p>
    <w:p>
      <w:pPr>
        <w:spacing w:line="420" w:lineRule="exact"/>
        <w:ind w:firstLine="420" w:firstLineChars="200"/>
      </w:pPr>
      <w:r>
        <w:rPr>
          <w:rFonts w:hint="eastAsia"/>
        </w:rPr>
        <w:t>2.落实政府采购政策需满足的资格要求：货物全部由符合政策要求的小微企业制造</w:t>
      </w:r>
    </w:p>
    <w:p>
      <w:pPr>
        <w:spacing w:line="420" w:lineRule="exact"/>
        <w:ind w:firstLine="420" w:firstLineChars="200"/>
      </w:pPr>
      <w:r>
        <w:rPr>
          <w:rFonts w:hint="eastAsia"/>
        </w:rPr>
        <w:t>3.本项目的特定资格要求：无</w:t>
      </w:r>
    </w:p>
    <w:p>
      <w:pPr>
        <w:spacing w:line="420" w:lineRule="exact"/>
        <w:ind w:firstLine="422" w:firstLineChars="200"/>
        <w:rPr>
          <w:b/>
          <w:bCs/>
        </w:rPr>
      </w:pPr>
      <w:r>
        <w:rPr>
          <w:rFonts w:hint="eastAsia"/>
          <w:b/>
          <w:bCs/>
        </w:rPr>
        <w:t>（四）采购方式</w:t>
      </w:r>
    </w:p>
    <w:p>
      <w:pPr>
        <w:snapToGrid w:val="0"/>
        <w:spacing w:line="420" w:lineRule="exact"/>
        <w:ind w:firstLine="420" w:firstLineChars="200"/>
        <w:rPr>
          <w:rFonts w:ascii="宋体" w:hAnsi="宋体"/>
          <w:szCs w:val="21"/>
        </w:rPr>
      </w:pPr>
      <w:r>
        <w:rPr>
          <w:rFonts w:hint="eastAsia" w:ascii="宋体" w:hAnsi="宋体"/>
          <w:szCs w:val="21"/>
        </w:rPr>
        <w:t>竞争性谈判</w:t>
      </w:r>
    </w:p>
    <w:p>
      <w:pPr>
        <w:spacing w:line="420" w:lineRule="exact"/>
        <w:ind w:firstLine="211" w:firstLineChars="100"/>
        <w:rPr>
          <w:b/>
          <w:bCs/>
        </w:rPr>
      </w:pPr>
      <w:bookmarkStart w:id="61" w:name="_Toc254970530"/>
      <w:bookmarkStart w:id="62" w:name="_Toc353785281"/>
      <w:bookmarkStart w:id="63" w:name="_Toc254970671"/>
      <w:bookmarkStart w:id="64" w:name="_Toc352700410"/>
      <w:r>
        <w:rPr>
          <w:rFonts w:hint="eastAsia"/>
          <w:b/>
          <w:bCs/>
        </w:rPr>
        <w:t>（五）代理委托</w:t>
      </w:r>
      <w:bookmarkEnd w:id="61"/>
      <w:bookmarkEnd w:id="62"/>
      <w:bookmarkEnd w:id="63"/>
      <w:bookmarkEnd w:id="64"/>
    </w:p>
    <w:p>
      <w:pPr>
        <w:snapToGrid w:val="0"/>
        <w:spacing w:line="420" w:lineRule="exact"/>
        <w:ind w:firstLine="420" w:firstLineChars="200"/>
        <w:rPr>
          <w:rFonts w:ascii="宋体" w:hAnsi="宋体" w:cs="Courier New"/>
          <w:bCs/>
          <w:szCs w:val="21"/>
        </w:rPr>
      </w:pPr>
      <w:r>
        <w:rPr>
          <w:rFonts w:hint="eastAsia" w:ascii="宋体" w:hAnsi="宋体" w:cs="Courier New"/>
          <w:bCs/>
          <w:szCs w:val="21"/>
        </w:rPr>
        <w:t>委托谈判的供应商须提供授权委托书（格式见第六章）。</w:t>
      </w:r>
    </w:p>
    <w:p>
      <w:pPr>
        <w:spacing w:line="420" w:lineRule="exact"/>
        <w:ind w:firstLine="211" w:firstLineChars="100"/>
        <w:rPr>
          <w:b/>
          <w:bCs/>
        </w:rPr>
      </w:pPr>
      <w:bookmarkStart w:id="65" w:name="_Toc352700411"/>
      <w:bookmarkStart w:id="66" w:name="_Toc254970672"/>
      <w:bookmarkStart w:id="67" w:name="_Toc254970531"/>
      <w:bookmarkStart w:id="68" w:name="_Toc353785282"/>
      <w:r>
        <w:rPr>
          <w:rFonts w:hint="eastAsia"/>
          <w:b/>
          <w:bCs/>
        </w:rPr>
        <w:t>（六）谈判费用</w:t>
      </w:r>
      <w:bookmarkEnd w:id="65"/>
      <w:bookmarkEnd w:id="66"/>
      <w:bookmarkEnd w:id="67"/>
      <w:bookmarkEnd w:id="68"/>
    </w:p>
    <w:p>
      <w:pPr>
        <w:snapToGrid w:val="0"/>
        <w:spacing w:line="420" w:lineRule="exact"/>
        <w:ind w:firstLine="420" w:firstLineChars="200"/>
        <w:rPr>
          <w:rFonts w:ascii="宋体" w:hAnsi="宋体"/>
          <w:szCs w:val="21"/>
        </w:rPr>
      </w:pPr>
      <w:r>
        <w:rPr>
          <w:rFonts w:hint="eastAsia" w:ascii="宋体" w:hAnsi="宋体"/>
          <w:szCs w:val="21"/>
        </w:rPr>
        <w:t>供应商自行承担所有与谈判有关的全部费用。</w:t>
      </w:r>
    </w:p>
    <w:p>
      <w:pPr>
        <w:spacing w:line="420" w:lineRule="exact"/>
        <w:ind w:firstLine="211" w:firstLineChars="100"/>
        <w:rPr>
          <w:b/>
          <w:bCs/>
        </w:rPr>
      </w:pPr>
      <w:bookmarkStart w:id="69" w:name="_Toc353785283"/>
      <w:bookmarkStart w:id="70" w:name="_Toc352700413"/>
      <w:r>
        <w:rPr>
          <w:rFonts w:hint="eastAsia"/>
          <w:b/>
          <w:bCs/>
        </w:rPr>
        <w:t>（七）转包与分包</w:t>
      </w:r>
      <w:bookmarkEnd w:id="69"/>
      <w:bookmarkEnd w:id="70"/>
    </w:p>
    <w:p>
      <w:pPr>
        <w:snapToGrid w:val="0"/>
        <w:spacing w:line="420" w:lineRule="exact"/>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本项目不允许转包。</w:t>
      </w:r>
    </w:p>
    <w:p>
      <w:pPr>
        <w:snapToGrid w:val="0"/>
        <w:spacing w:line="420" w:lineRule="exact"/>
        <w:ind w:firstLine="420" w:firstLineChars="200"/>
        <w:rPr>
          <w:rFonts w:ascii="宋体" w:hAnsi="宋体" w:cs="宋体"/>
          <w:kern w:val="0"/>
          <w:szCs w:val="21"/>
        </w:rPr>
      </w:pPr>
      <w:r>
        <w:rPr>
          <w:rFonts w:ascii="宋体" w:hAnsi="宋体" w:cs="宋体"/>
          <w:kern w:val="0"/>
          <w:szCs w:val="21"/>
        </w:rPr>
        <w:t>2.</w:t>
      </w:r>
      <w:r>
        <w:rPr>
          <w:rFonts w:hint="eastAsia" w:ascii="宋体" w:hAnsi="宋体" w:cs="宋体"/>
          <w:kern w:val="0"/>
          <w:szCs w:val="21"/>
        </w:rPr>
        <w:t>采购人允许采用分包方式履行合同的，应当在采购文件中明确可以分包履行的具体内容、金额或者比例。</w:t>
      </w:r>
    </w:p>
    <w:p>
      <w:pPr>
        <w:snapToGrid w:val="0"/>
        <w:spacing w:line="420" w:lineRule="exact"/>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依据《政府采购促进中小企业发展管理办法》规定享受扶持政策获得政府采购合同的，小微企业不得将合同分包给大中型企业，中型企业不得将合同分包给大型企业。</w:t>
      </w:r>
    </w:p>
    <w:p>
      <w:pPr>
        <w:spacing w:line="420" w:lineRule="exact"/>
        <w:ind w:firstLine="211" w:firstLineChars="100"/>
        <w:rPr>
          <w:b/>
          <w:bCs/>
        </w:rPr>
      </w:pPr>
      <w:bookmarkStart w:id="71" w:name="_Toc254970673"/>
      <w:bookmarkStart w:id="72" w:name="_Toc254970532"/>
      <w:bookmarkStart w:id="73" w:name="_Toc352700414"/>
      <w:bookmarkStart w:id="74" w:name="_Toc353785284"/>
      <w:r>
        <w:rPr>
          <w:rFonts w:hint="eastAsia"/>
          <w:b/>
          <w:bCs/>
        </w:rPr>
        <w:t>（八）特别说明</w:t>
      </w:r>
      <w:bookmarkEnd w:id="71"/>
      <w:bookmarkEnd w:id="72"/>
      <w:bookmarkEnd w:id="73"/>
      <w:bookmarkEnd w:id="74"/>
    </w:p>
    <w:p>
      <w:pPr>
        <w:pStyle w:val="22"/>
        <w:snapToGrid w:val="0"/>
        <w:spacing w:line="420" w:lineRule="exact"/>
        <w:ind w:firstLine="420"/>
        <w:rPr>
          <w:rFonts w:hAnsi="宋体"/>
        </w:rPr>
      </w:pPr>
      <w:r>
        <w:rPr>
          <w:rFonts w:hAnsi="宋体"/>
        </w:rPr>
        <w:t>1.</w:t>
      </w:r>
      <w:r>
        <w:rPr>
          <w:rFonts w:hint="eastAsia" w:hAnsi="宋体"/>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pPr>
        <w:pStyle w:val="22"/>
        <w:snapToGrid w:val="0"/>
        <w:spacing w:line="420" w:lineRule="exact"/>
        <w:ind w:firstLine="420"/>
        <w:rPr>
          <w:rFonts w:hAnsi="宋体"/>
        </w:rPr>
      </w:pPr>
      <w:r>
        <w:rPr>
          <w:rFonts w:hAnsi="宋体"/>
        </w:rPr>
        <w:t>2.</w:t>
      </w:r>
      <w:r>
        <w:rPr>
          <w:rFonts w:hint="eastAsia" w:hAnsi="宋体"/>
        </w:rPr>
        <w:t>公开招标的货物、服务采购项目，招标过程中提交投标文件或者经评审实质性响应招标文件要求的供应商只有两家时，采购人、采购代理机构按照规定经本级财政部门批准后可以与该两家供应商进行竞争性谈判采购。符合本款情形的，供应商最低数量可以为两家。</w:t>
      </w:r>
    </w:p>
    <w:p>
      <w:pPr>
        <w:spacing w:line="420" w:lineRule="exact"/>
        <w:ind w:firstLine="211" w:firstLineChars="100"/>
        <w:rPr>
          <w:b/>
          <w:bCs/>
        </w:rPr>
      </w:pPr>
      <w:bookmarkStart w:id="75" w:name="_Toc353785285"/>
      <w:bookmarkStart w:id="76" w:name="_Toc352700415"/>
      <w:bookmarkStart w:id="77" w:name="_Toc254970533"/>
      <w:bookmarkStart w:id="78" w:name="_Toc254970674"/>
      <w:r>
        <w:rPr>
          <w:rFonts w:hint="eastAsia"/>
          <w:b/>
          <w:bCs/>
        </w:rPr>
        <w:t>（九）询问、质疑和投诉</w:t>
      </w:r>
      <w:bookmarkEnd w:id="75"/>
      <w:bookmarkEnd w:id="76"/>
      <w:bookmarkEnd w:id="77"/>
      <w:bookmarkEnd w:id="78"/>
    </w:p>
    <w:p>
      <w:pPr>
        <w:pStyle w:val="22"/>
        <w:snapToGrid w:val="0"/>
        <w:spacing w:line="420" w:lineRule="exact"/>
        <w:ind w:firstLine="420"/>
        <w:rPr>
          <w:rFonts w:hAnsi="宋体"/>
          <w:bCs/>
          <w:color w:val="auto"/>
          <w:highlight w:val="none"/>
        </w:rPr>
      </w:pPr>
      <w:r>
        <w:rPr>
          <w:rFonts w:hAnsi="宋体"/>
          <w:bCs/>
          <w:color w:val="auto"/>
          <w:highlight w:val="none"/>
        </w:rPr>
        <w:t>1.</w:t>
      </w:r>
      <w:r>
        <w:rPr>
          <w:rFonts w:hint="eastAsia" w:ascii="Arial" w:hAnsi="Arial" w:cs="Arial"/>
          <w:color w:val="auto"/>
          <w:kern w:val="0"/>
          <w:highlight w:val="none"/>
        </w:rPr>
        <w:t>供应商</w:t>
      </w:r>
      <w:r>
        <w:rPr>
          <w:rFonts w:ascii="Arial" w:hAnsi="Arial" w:cs="Arial"/>
          <w:color w:val="auto"/>
          <w:kern w:val="0"/>
          <w:highlight w:val="none"/>
        </w:rPr>
        <w:t>对政府采购活动事项有疑问的，可以向采购人</w:t>
      </w:r>
      <w:r>
        <w:rPr>
          <w:rFonts w:hint="eastAsia" w:ascii="Arial" w:hAnsi="Arial" w:cs="Arial"/>
          <w:color w:val="auto"/>
          <w:kern w:val="0"/>
          <w:highlight w:val="none"/>
        </w:rPr>
        <w:t>或本中心</w:t>
      </w:r>
      <w:r>
        <w:rPr>
          <w:rFonts w:ascii="Arial" w:hAnsi="Arial" w:cs="Arial"/>
          <w:color w:val="auto"/>
          <w:kern w:val="0"/>
          <w:highlight w:val="none"/>
        </w:rPr>
        <w:t>提出询问，采购人</w:t>
      </w:r>
      <w:r>
        <w:rPr>
          <w:rFonts w:hint="eastAsia" w:ascii="Arial" w:hAnsi="Arial" w:cs="Arial"/>
          <w:color w:val="auto"/>
          <w:kern w:val="0"/>
          <w:highlight w:val="none"/>
        </w:rPr>
        <w:t>或本中心当在3个工作日内对供应商依法提出的询问作出答复</w:t>
      </w:r>
      <w:r>
        <w:rPr>
          <w:rFonts w:ascii="Arial" w:hAnsi="Arial" w:cs="Arial"/>
          <w:color w:val="auto"/>
          <w:kern w:val="0"/>
          <w:highlight w:val="none"/>
        </w:rPr>
        <w:t>，但答复的内容不得涉及商业秘密。</w:t>
      </w:r>
    </w:p>
    <w:p>
      <w:pPr>
        <w:pStyle w:val="22"/>
        <w:snapToGrid w:val="0"/>
        <w:spacing w:line="420" w:lineRule="exact"/>
        <w:ind w:firstLine="420"/>
        <w:rPr>
          <w:rFonts w:hAnsi="宋体"/>
          <w:bCs/>
          <w:color w:val="auto"/>
          <w:highlight w:val="none"/>
        </w:rPr>
      </w:pPr>
      <w:r>
        <w:rPr>
          <w:rFonts w:hAnsi="宋体"/>
          <w:bCs/>
          <w:color w:val="auto"/>
          <w:highlight w:val="none"/>
        </w:rPr>
        <w:t>2.</w:t>
      </w:r>
      <w:r>
        <w:rPr>
          <w:rFonts w:hint="eastAsia" w:hAnsi="宋体"/>
          <w:bCs/>
          <w:color w:val="auto"/>
          <w:highlight w:val="none"/>
        </w:rPr>
        <w:t>供应商认为采购文件、采购过程或成交结果使自己的合法权益受到损害的，</w:t>
      </w:r>
      <w:r>
        <w:rPr>
          <w:rFonts w:hAnsi="宋体"/>
          <w:bCs/>
          <w:color w:val="auto"/>
          <w:highlight w:val="none"/>
        </w:rPr>
        <w:t>可以在知道或者应知其权益受到损害之日起7个工作日内</w:t>
      </w:r>
      <w:r>
        <w:rPr>
          <w:rFonts w:hint="eastAsia" w:hAnsi="宋体"/>
          <w:bCs/>
          <w:color w:val="auto"/>
          <w:highlight w:val="none"/>
        </w:rPr>
        <w:t>，</w:t>
      </w:r>
      <w:r>
        <w:rPr>
          <w:rFonts w:cs="Arial"/>
          <w:color w:val="auto"/>
          <w:highlight w:val="none"/>
        </w:rPr>
        <w:t>以书面形式</w:t>
      </w:r>
      <w:r>
        <w:rPr>
          <w:rFonts w:hint="eastAsia" w:cs="Arial"/>
          <w:color w:val="auto"/>
          <w:highlight w:val="none"/>
        </w:rPr>
        <w:t>（政采云平台）</w:t>
      </w:r>
      <w:r>
        <w:rPr>
          <w:rFonts w:cs="Arial"/>
          <w:color w:val="auto"/>
          <w:highlight w:val="none"/>
        </w:rPr>
        <w:t>向采购人、</w:t>
      </w:r>
      <w:r>
        <w:rPr>
          <w:rFonts w:hint="eastAsia" w:cs="Arial"/>
          <w:color w:val="auto"/>
          <w:highlight w:val="none"/>
        </w:rPr>
        <w:t>本中心</w:t>
      </w:r>
      <w:r>
        <w:rPr>
          <w:rFonts w:cs="Arial"/>
          <w:color w:val="auto"/>
          <w:highlight w:val="none"/>
        </w:rPr>
        <w:t>提出质疑。</w:t>
      </w:r>
      <w:r>
        <w:rPr>
          <w:rFonts w:hint="eastAsia" w:hAnsi="宋体"/>
          <w:bCs/>
          <w:color w:val="auto"/>
          <w:highlight w:val="none"/>
        </w:rPr>
        <w:t>供应商必须在法定质疑期内一次性提出针对同一采购程序环节的质疑。</w:t>
      </w:r>
      <w:r>
        <w:rPr>
          <w:rFonts w:hint="eastAsia" w:hAnsi="宋体" w:cs="宋体"/>
          <w:color w:val="auto"/>
          <w:highlight w:val="none"/>
        </w:rPr>
        <w:t>供应商应知其权益受到损害之日，是指：</w:t>
      </w:r>
    </w:p>
    <w:p>
      <w:pPr>
        <w:pStyle w:val="22"/>
        <w:adjustRightInd w:val="0"/>
        <w:snapToGrid w:val="0"/>
        <w:spacing w:line="420" w:lineRule="exact"/>
        <w:ind w:firstLine="308" w:firstLineChars="147"/>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对采购文件提出质疑的，为获取采购文件之日；</w:t>
      </w:r>
    </w:p>
    <w:p>
      <w:pPr>
        <w:pStyle w:val="22"/>
        <w:adjustRightInd w:val="0"/>
        <w:snapToGrid w:val="0"/>
        <w:spacing w:line="420" w:lineRule="exact"/>
        <w:ind w:firstLine="308" w:firstLineChars="147"/>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对采购过程提出质疑的，为各采购程序环节结束之日；</w:t>
      </w:r>
    </w:p>
    <w:p>
      <w:pPr>
        <w:widowControl/>
        <w:adjustRightInd w:val="0"/>
        <w:snapToGrid w:val="0"/>
        <w:spacing w:line="420" w:lineRule="exact"/>
        <w:ind w:firstLine="102" w:firstLineChars="49"/>
        <w:jc w:val="left"/>
        <w:rPr>
          <w:rFonts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对成交结果提出质疑的，为成交结果公告期限届满之日。</w:t>
      </w:r>
    </w:p>
    <w:p>
      <w:pPr>
        <w:widowControl/>
        <w:adjustRightInd w:val="0"/>
        <w:snapToGrid w:val="0"/>
        <w:spacing w:line="420" w:lineRule="exact"/>
        <w:ind w:firstLine="420"/>
        <w:jc w:val="left"/>
        <w:rPr>
          <w:rFonts w:ascii="宋体" w:hAnsi="宋体" w:cs="Courier New"/>
          <w:bCs/>
          <w:color w:val="auto"/>
          <w:szCs w:val="21"/>
          <w:highlight w:val="none"/>
        </w:rPr>
      </w:pPr>
      <w:r>
        <w:rPr>
          <w:rFonts w:ascii="宋体" w:hAnsi="宋体" w:cs="Courier New"/>
          <w:bCs/>
          <w:color w:val="auto"/>
          <w:szCs w:val="21"/>
          <w:highlight w:val="none"/>
        </w:rPr>
        <w:t>3.</w:t>
      </w:r>
      <w:r>
        <w:rPr>
          <w:rFonts w:hint="eastAsia" w:hAnsi="宋体"/>
          <w:color w:val="auto"/>
          <w:highlight w:val="none"/>
        </w:rPr>
        <w:t>供应商对采购人、本中心质疑答复不满意或者采购人、本中心未在规定时间内作出答复的，可以在答复期满后十五个工作日内向同级采购监管部门投诉。</w:t>
      </w:r>
    </w:p>
    <w:p>
      <w:pPr>
        <w:pStyle w:val="22"/>
        <w:snapToGrid w:val="0"/>
        <w:spacing w:line="420" w:lineRule="exact"/>
        <w:ind w:firstLine="420"/>
        <w:rPr>
          <w:rFonts w:hAnsi="宋体"/>
          <w:bCs/>
          <w:color w:val="auto"/>
          <w:highlight w:val="none"/>
        </w:rPr>
      </w:pPr>
      <w:r>
        <w:rPr>
          <w:rFonts w:hAnsi="宋体"/>
          <w:bCs/>
          <w:color w:val="auto"/>
          <w:highlight w:val="none"/>
        </w:rPr>
        <w:t>4.</w:t>
      </w:r>
      <w:r>
        <w:rPr>
          <w:rFonts w:hint="eastAsia" w:hAnsi="宋体"/>
          <w:bCs/>
          <w:color w:val="auto"/>
          <w:highlight w:val="none"/>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pPr>
        <w:spacing w:line="420" w:lineRule="exact"/>
        <w:ind w:firstLine="420"/>
        <w:rPr>
          <w:color w:val="auto"/>
          <w:highlight w:val="none"/>
        </w:rPr>
      </w:pPr>
      <w:r>
        <w:rPr>
          <w:rFonts w:hint="eastAsia"/>
          <w:color w:val="auto"/>
          <w:highlight w:val="none"/>
        </w:rPr>
        <w:t>质疑部门联系方式：钦州市政府采购中心    0777-288600</w:t>
      </w:r>
      <w:r>
        <w:rPr>
          <w:color w:val="auto"/>
          <w:highlight w:val="none"/>
        </w:rPr>
        <w:t>2</w:t>
      </w:r>
    </w:p>
    <w:p>
      <w:pPr>
        <w:spacing w:line="420" w:lineRule="exact"/>
        <w:ind w:left="3150" w:leftChars="200" w:hanging="2730" w:hangingChars="1300"/>
        <w:rPr>
          <w:color w:val="auto"/>
          <w:highlight w:val="none"/>
        </w:rPr>
      </w:pPr>
      <w:r>
        <w:rPr>
          <w:rFonts w:hint="eastAsia"/>
          <w:color w:val="auto"/>
          <w:highlight w:val="none"/>
        </w:rPr>
        <w:t>采购监管部门联系方式：中国（广西）自由贸易试验区钦州港片区管理委员会财政金融局      0777-5988166</w:t>
      </w:r>
    </w:p>
    <w:p>
      <w:pPr>
        <w:spacing w:line="400" w:lineRule="exact"/>
        <w:ind w:firstLine="211" w:firstLineChars="100"/>
        <w:rPr>
          <w:b/>
          <w:bCs/>
        </w:rPr>
      </w:pPr>
      <w:r>
        <w:rPr>
          <w:rFonts w:hint="eastAsia"/>
          <w:b/>
          <w:bCs/>
        </w:rPr>
        <w:t xml:space="preserve">（十）查询媒体 </w:t>
      </w:r>
      <w:r>
        <w:rPr>
          <w:rFonts w:hint="eastAsia" w:hAnsi="宋体"/>
        </w:rPr>
        <w:t>中国政府采购网、</w:t>
      </w:r>
      <w:r>
        <w:fldChar w:fldCharType="begin"/>
      </w:r>
      <w:r>
        <w:instrText xml:space="preserve"> HYPERLINK "http://zfcg.gxzf.gov.cn/" </w:instrText>
      </w:r>
      <w:r>
        <w:fldChar w:fldCharType="separate"/>
      </w:r>
      <w:r>
        <w:rPr>
          <w:rStyle w:val="41"/>
          <w:rFonts w:hint="eastAsia" w:hAnsi="宋体"/>
          <w:color w:val="auto"/>
          <w:u w:val="none"/>
        </w:rPr>
        <w:t>广西政府采购网</w:t>
      </w:r>
      <w:r>
        <w:rPr>
          <w:rStyle w:val="41"/>
          <w:rFonts w:hint="eastAsia" w:hAnsi="宋体"/>
          <w:color w:val="auto"/>
          <w:u w:val="none"/>
        </w:rPr>
        <w:fldChar w:fldCharType="end"/>
      </w:r>
      <w:r>
        <w:rPr>
          <w:rFonts w:hint="eastAsia" w:hAnsi="宋体"/>
        </w:rPr>
        <w:t>。</w:t>
      </w:r>
    </w:p>
    <w:p>
      <w:pPr>
        <w:pStyle w:val="4"/>
        <w:spacing w:line="420" w:lineRule="exact"/>
      </w:pPr>
      <w:bookmarkStart w:id="79" w:name="_Toc352700416"/>
      <w:bookmarkStart w:id="80" w:name="_Toc353785286"/>
      <w:r>
        <w:rPr>
          <w:rFonts w:hint="eastAsia"/>
        </w:rPr>
        <w:t>二、竞争性谈判采购文件</w:t>
      </w:r>
      <w:bookmarkEnd w:id="79"/>
      <w:bookmarkEnd w:id="80"/>
    </w:p>
    <w:p>
      <w:pPr>
        <w:spacing w:line="420" w:lineRule="exact"/>
        <w:ind w:firstLine="211" w:firstLineChars="100"/>
        <w:rPr>
          <w:b/>
          <w:bCs/>
        </w:rPr>
      </w:pPr>
      <w:bookmarkStart w:id="81" w:name="_Toc352700417"/>
      <w:bookmarkStart w:id="82" w:name="_Toc353785287"/>
      <w:r>
        <w:rPr>
          <w:rFonts w:hint="eastAsia"/>
          <w:b/>
          <w:bCs/>
        </w:rPr>
        <w:t>（一）竞争性谈判采购文件的组成</w:t>
      </w:r>
      <w:bookmarkEnd w:id="81"/>
      <w:bookmarkEnd w:id="82"/>
    </w:p>
    <w:p>
      <w:pPr>
        <w:pStyle w:val="22"/>
        <w:snapToGrid w:val="0"/>
        <w:spacing w:line="420" w:lineRule="exact"/>
        <w:ind w:firstLine="420" w:firstLineChars="200"/>
        <w:rPr>
          <w:rFonts w:hAnsi="宋体"/>
        </w:rPr>
      </w:pPr>
      <w:r>
        <w:rPr>
          <w:rFonts w:hint="eastAsia" w:hAnsi="宋体"/>
        </w:rPr>
        <w:t>第一章 竞争性谈判公告</w:t>
      </w:r>
    </w:p>
    <w:p>
      <w:pPr>
        <w:pStyle w:val="22"/>
        <w:snapToGrid w:val="0"/>
        <w:spacing w:line="420" w:lineRule="exact"/>
        <w:ind w:firstLine="420" w:firstLineChars="200"/>
        <w:rPr>
          <w:rFonts w:hAnsi="宋体"/>
        </w:rPr>
      </w:pPr>
      <w:r>
        <w:rPr>
          <w:rFonts w:hint="eastAsia" w:hAnsi="宋体"/>
        </w:rPr>
        <w:t>第二章 项目需求</w:t>
      </w:r>
    </w:p>
    <w:p>
      <w:pPr>
        <w:pStyle w:val="22"/>
        <w:snapToGrid w:val="0"/>
        <w:spacing w:line="420" w:lineRule="exact"/>
        <w:ind w:firstLine="420" w:firstLineChars="200"/>
        <w:rPr>
          <w:rFonts w:hAnsi="宋体"/>
        </w:rPr>
      </w:pPr>
      <w:r>
        <w:rPr>
          <w:rFonts w:hint="eastAsia" w:hAnsi="宋体"/>
        </w:rPr>
        <w:t>第三章 供应商须知</w:t>
      </w:r>
    </w:p>
    <w:p>
      <w:pPr>
        <w:pStyle w:val="22"/>
        <w:snapToGrid w:val="0"/>
        <w:spacing w:line="420" w:lineRule="exact"/>
        <w:ind w:firstLine="420" w:firstLineChars="200"/>
        <w:rPr>
          <w:rFonts w:hAnsi="宋体"/>
        </w:rPr>
      </w:pPr>
      <w:r>
        <w:rPr>
          <w:rFonts w:hint="eastAsia" w:hAnsi="宋体"/>
        </w:rPr>
        <w:t>第四章 评定标准及推荐原则</w:t>
      </w:r>
    </w:p>
    <w:p>
      <w:pPr>
        <w:pStyle w:val="22"/>
        <w:snapToGrid w:val="0"/>
        <w:spacing w:line="420" w:lineRule="exact"/>
        <w:ind w:firstLine="420" w:firstLineChars="200"/>
        <w:rPr>
          <w:rFonts w:hAnsi="宋体"/>
        </w:rPr>
      </w:pPr>
      <w:r>
        <w:rPr>
          <w:rFonts w:hint="eastAsia" w:hAnsi="宋体"/>
        </w:rPr>
        <w:t>第五章 合同文本</w:t>
      </w:r>
    </w:p>
    <w:p>
      <w:pPr>
        <w:pStyle w:val="22"/>
        <w:snapToGrid w:val="0"/>
        <w:spacing w:line="420" w:lineRule="exact"/>
        <w:ind w:firstLine="420" w:firstLineChars="200"/>
        <w:rPr>
          <w:rFonts w:hAnsi="宋体"/>
        </w:rPr>
      </w:pPr>
      <w:r>
        <w:rPr>
          <w:rFonts w:hint="eastAsia" w:hAnsi="宋体"/>
        </w:rPr>
        <w:t>第六章 响应文件格式</w:t>
      </w:r>
    </w:p>
    <w:p>
      <w:pPr>
        <w:spacing w:line="420" w:lineRule="exact"/>
        <w:ind w:firstLine="211" w:firstLineChars="100"/>
        <w:rPr>
          <w:b/>
          <w:bCs/>
        </w:rPr>
      </w:pPr>
      <w:bookmarkStart w:id="83" w:name="_Toc353785289"/>
      <w:bookmarkStart w:id="84" w:name="_Toc352700419"/>
      <w:r>
        <w:rPr>
          <w:rFonts w:hint="eastAsia"/>
          <w:b/>
          <w:bCs/>
        </w:rPr>
        <w:t>（二）竞争性谈判采购文件的澄清与修改</w:t>
      </w:r>
      <w:bookmarkEnd w:id="83"/>
      <w:bookmarkEnd w:id="84"/>
    </w:p>
    <w:p>
      <w:pPr>
        <w:pStyle w:val="22"/>
        <w:snapToGrid w:val="0"/>
        <w:spacing w:line="420" w:lineRule="exact"/>
        <w:ind w:firstLine="420"/>
        <w:jc w:val="left"/>
        <w:rPr>
          <w:rFonts w:hAnsi="宋体"/>
        </w:rPr>
      </w:pPr>
      <w:r>
        <w:rPr>
          <w:rFonts w:hint="eastAsia" w:hAnsi="宋体"/>
        </w:rPr>
        <w:t>1</w:t>
      </w:r>
      <w:r>
        <w:rPr>
          <w:rFonts w:hAnsi="宋体"/>
        </w:rPr>
        <w:t>.</w:t>
      </w:r>
      <w:r>
        <w:rPr>
          <w:rFonts w:hint="eastAsia" w:hAnsi="宋体"/>
        </w:rPr>
        <w:t>提交首次响应文件截止之日前，采购人、本中心或者谈判小组可以对已发出的谈判文件进行必要的澄清或者修改，澄清或者修改的内容作为谈判文件的组成部分。澄清或者修改应当在原公告发布媒体上发布澄清公告。澄清或者修改的内容可能影响响应文件编制的，采购人、本中心或者谈判小组应当在提交首次响应文件截止之日3个工作日前，以书面形式通知所有依法接收谈判文件的供应商，不足3个工作日的，应当顺延提交首次响应文件截止之日。</w:t>
      </w:r>
    </w:p>
    <w:p>
      <w:pPr>
        <w:pStyle w:val="22"/>
        <w:snapToGrid w:val="0"/>
        <w:spacing w:line="420" w:lineRule="exact"/>
        <w:ind w:firstLine="420"/>
        <w:jc w:val="left"/>
        <w:rPr>
          <w:rFonts w:hAnsi="宋体"/>
        </w:rPr>
      </w:pPr>
      <w:r>
        <w:rPr>
          <w:rFonts w:hint="eastAsia" w:hAnsi="宋体"/>
        </w:rPr>
        <w:t>2</w:t>
      </w:r>
      <w:r>
        <w:rPr>
          <w:rFonts w:hAnsi="宋体"/>
        </w:rPr>
        <w:t>.</w:t>
      </w:r>
      <w:r>
        <w:rPr>
          <w:rFonts w:hint="eastAsia" w:hAnsi="宋体"/>
        </w:rPr>
        <w:t>提供期限届满后，获取谈判文件的供应商不足3家的，本中心可以顺延提供期限，并予公告。</w:t>
      </w:r>
    </w:p>
    <w:p>
      <w:pPr>
        <w:pStyle w:val="4"/>
        <w:spacing w:line="420" w:lineRule="exact"/>
      </w:pPr>
      <w:r>
        <w:rPr>
          <w:rFonts w:hint="eastAsia"/>
        </w:rPr>
        <w:t>三、响应文件</w:t>
      </w:r>
    </w:p>
    <w:p>
      <w:pPr>
        <w:spacing w:line="420" w:lineRule="exact"/>
        <w:ind w:firstLine="211" w:firstLineChars="100"/>
        <w:rPr>
          <w:rFonts w:hAnsi="宋体"/>
          <w:b/>
          <w:bCs/>
        </w:rPr>
      </w:pPr>
      <w:r>
        <w:rPr>
          <w:rFonts w:hint="eastAsia" w:hAnsi="宋体"/>
          <w:b/>
          <w:bCs/>
        </w:rPr>
        <w:t>（一）供应商的风险</w:t>
      </w:r>
    </w:p>
    <w:p>
      <w:pPr>
        <w:spacing w:line="420" w:lineRule="exact"/>
        <w:ind w:firstLine="420"/>
        <w:rPr>
          <w:rFonts w:hAnsi="宋体"/>
        </w:rPr>
      </w:pPr>
      <w:r>
        <w:rPr>
          <w:rFonts w:hAnsi="宋体"/>
        </w:rPr>
        <w:t>1.</w:t>
      </w:r>
      <w:r>
        <w:rPr>
          <w:rFonts w:hint="eastAsia" w:hAnsi="宋体"/>
        </w:rPr>
        <w:t>供应商应当按照谈判文件的要求编制响应文件，并对其提交的响应文件的真实性、合法性承担法律责任。</w:t>
      </w:r>
    </w:p>
    <w:p>
      <w:pPr>
        <w:spacing w:line="420" w:lineRule="exact"/>
        <w:ind w:firstLine="420"/>
        <w:rPr>
          <w:rFonts w:hAnsi="宋体"/>
        </w:rPr>
      </w:pPr>
      <w:r>
        <w:rPr>
          <w:rFonts w:hAnsi="宋体"/>
        </w:rPr>
        <w:t>2.</w:t>
      </w:r>
      <w:r>
        <w:rPr>
          <w:rFonts w:hint="eastAsia" w:hAnsi="宋体"/>
        </w:rPr>
        <w:t>供应商在采购活动中提供任何虚假材料的，谈判小组将报财政部门查处。</w:t>
      </w:r>
    </w:p>
    <w:p>
      <w:pPr>
        <w:snapToGrid w:val="0"/>
        <w:spacing w:line="420" w:lineRule="exact"/>
        <w:ind w:firstLine="211" w:firstLineChars="100"/>
        <w:rPr>
          <w:rFonts w:ascii="宋体" w:hAnsi="宋体"/>
          <w:b/>
          <w:szCs w:val="21"/>
        </w:rPr>
      </w:pPr>
      <w:r>
        <w:rPr>
          <w:rFonts w:hint="eastAsia" w:hAnsi="宋体"/>
          <w:b/>
          <w:bCs/>
        </w:rPr>
        <w:t>（二）</w:t>
      </w:r>
      <w:r>
        <w:rPr>
          <w:rFonts w:hint="eastAsia" w:ascii="宋体" w:hAnsi="宋体"/>
          <w:b/>
          <w:szCs w:val="21"/>
        </w:rPr>
        <w:t>响应文件的组成</w:t>
      </w:r>
    </w:p>
    <w:p>
      <w:pPr>
        <w:snapToGrid w:val="0"/>
        <w:spacing w:line="420" w:lineRule="exact"/>
        <w:ind w:firstLine="422"/>
        <w:rPr>
          <w:rFonts w:ascii="宋体" w:hAnsi="宋体"/>
          <w:b/>
          <w:szCs w:val="21"/>
        </w:rPr>
      </w:pPr>
      <w:bookmarkStart w:id="85" w:name="_Hlk92285760"/>
      <w:r>
        <w:rPr>
          <w:rFonts w:ascii="宋体" w:hAnsi="宋体"/>
          <w:b/>
          <w:szCs w:val="21"/>
        </w:rPr>
        <w:t>1.</w:t>
      </w:r>
      <w:r>
        <w:rPr>
          <w:rFonts w:hint="eastAsia" w:ascii="宋体" w:hAnsi="宋体"/>
          <w:b/>
          <w:szCs w:val="21"/>
        </w:rPr>
        <w:t>资格文件：</w:t>
      </w:r>
    </w:p>
    <w:p>
      <w:pPr>
        <w:tabs>
          <w:tab w:val="left" w:pos="3870"/>
          <w:tab w:val="left" w:pos="4085"/>
        </w:tabs>
        <w:snapToGrid w:val="0"/>
        <w:spacing w:line="420" w:lineRule="exact"/>
        <w:ind w:firstLine="420"/>
        <w:rPr>
          <w:rFonts w:ascii="宋体" w:hAnsi="宋体"/>
          <w:szCs w:val="21"/>
        </w:rPr>
      </w:pPr>
      <w:r>
        <w:rPr>
          <w:rFonts w:hint="eastAsia" w:ascii="宋体" w:hAnsi="宋体" w:cs="宋体"/>
          <w:bCs/>
          <w:kern w:val="0"/>
          <w:szCs w:val="21"/>
        </w:rPr>
        <w:t>★</w:t>
      </w:r>
      <w:bookmarkStart w:id="86" w:name="_Hlk90369149"/>
      <w:r>
        <w:rPr>
          <w:rFonts w:hint="eastAsia" w:ascii="宋体" w:hAnsi="宋体"/>
          <w:szCs w:val="21"/>
        </w:rPr>
        <w:t>(</w:t>
      </w:r>
      <w:r>
        <w:rPr>
          <w:rFonts w:ascii="宋体" w:hAnsi="宋体"/>
          <w:szCs w:val="21"/>
        </w:rPr>
        <w:t>1)</w:t>
      </w:r>
      <w:r>
        <w:rPr>
          <w:rFonts w:hint="eastAsia" w:ascii="宋体" w:hAnsi="宋体"/>
          <w:szCs w:val="21"/>
        </w:rPr>
        <w:t>法人或者其他组织的营业执照等证明文件</w:t>
      </w:r>
    </w:p>
    <w:bookmarkEnd w:id="86"/>
    <w:p>
      <w:pPr>
        <w:tabs>
          <w:tab w:val="left" w:pos="3870"/>
          <w:tab w:val="left" w:pos="4085"/>
        </w:tabs>
        <w:snapToGrid w:val="0"/>
        <w:spacing w:line="420" w:lineRule="exact"/>
        <w:ind w:firstLine="420"/>
        <w:rPr>
          <w:rFonts w:ascii="宋体" w:hAnsi="宋体" w:cs="宋体"/>
          <w:szCs w:val="21"/>
        </w:rPr>
      </w:pPr>
      <w:r>
        <w:rPr>
          <w:rFonts w:hint="eastAsia" w:ascii="宋体" w:hAnsi="宋体" w:cs="宋体"/>
          <w:bCs/>
          <w:kern w:val="0"/>
          <w:szCs w:val="21"/>
        </w:rPr>
        <w:t>★(</w:t>
      </w:r>
      <w:r>
        <w:rPr>
          <w:rFonts w:ascii="宋体" w:hAnsi="宋体" w:cs="宋体"/>
          <w:bCs/>
          <w:kern w:val="0"/>
          <w:szCs w:val="21"/>
        </w:rPr>
        <w:t>2)</w:t>
      </w:r>
      <w:bookmarkStart w:id="87" w:name="_Hlk147761368"/>
      <w:r>
        <w:rPr>
          <w:rFonts w:hint="eastAsia" w:ascii="宋体" w:hAnsi="宋体"/>
          <w:szCs w:val="21"/>
        </w:rPr>
        <w:t>供应商具备参加政府采购活动条件的承诺书</w:t>
      </w:r>
      <w:r>
        <w:rPr>
          <w:rFonts w:hint="eastAsia" w:ascii="宋体" w:hAnsi="宋体" w:cs="宋体"/>
          <w:szCs w:val="21"/>
        </w:rPr>
        <w:t>(格式见第六章</w:t>
      </w:r>
      <w:r>
        <w:rPr>
          <w:rFonts w:ascii="宋体" w:hAnsi="宋体" w:cs="宋体"/>
          <w:szCs w:val="21"/>
        </w:rPr>
        <w:t>）</w:t>
      </w:r>
      <w:bookmarkEnd w:id="87"/>
    </w:p>
    <w:p>
      <w:pPr>
        <w:tabs>
          <w:tab w:val="left" w:pos="3870"/>
          <w:tab w:val="left" w:pos="4085"/>
        </w:tabs>
        <w:snapToGrid w:val="0"/>
        <w:spacing w:line="420" w:lineRule="exact"/>
        <w:ind w:firstLine="420"/>
        <w:rPr>
          <w:rFonts w:hint="eastAsia" w:hAnsi="宋体"/>
          <w:spacing w:val="-4"/>
        </w:rPr>
      </w:pPr>
      <w:r>
        <w:rPr>
          <w:rFonts w:hint="eastAsia" w:ascii="宋体" w:hAnsi="宋体" w:cs="宋体"/>
          <w:bCs/>
          <w:kern w:val="0"/>
          <w:szCs w:val="21"/>
        </w:rPr>
        <w:t>★(</w:t>
      </w:r>
      <w:r>
        <w:rPr>
          <w:rFonts w:ascii="宋体" w:hAnsi="宋体" w:cs="宋体"/>
          <w:bCs/>
          <w:kern w:val="0"/>
          <w:szCs w:val="21"/>
        </w:rPr>
        <w:t>3)</w:t>
      </w:r>
      <w:r>
        <w:rPr>
          <w:rFonts w:hint="eastAsia" w:hAnsi="宋体"/>
          <w:spacing w:val="-4"/>
        </w:rPr>
        <w:t>参加政府采购活动前3年内在经营活动中没有重大违法记录的书面声明(格式见第六章)</w:t>
      </w:r>
    </w:p>
    <w:p>
      <w:pPr>
        <w:tabs>
          <w:tab w:val="left" w:pos="3870"/>
          <w:tab w:val="left" w:pos="4085"/>
        </w:tabs>
        <w:snapToGrid w:val="0"/>
        <w:spacing w:line="406" w:lineRule="exact"/>
        <w:ind w:firstLine="420"/>
        <w:rPr>
          <w:rFonts w:hint="eastAsia" w:ascii="宋体" w:hAnsi="宋体" w:cs="宋体"/>
          <w:bCs/>
          <w:color w:val="auto"/>
          <w:kern w:val="0"/>
          <w:szCs w:val="21"/>
          <w:highlight w:val="none"/>
        </w:rPr>
      </w:pPr>
      <w:bookmarkStart w:id="88" w:name="_Hlk111726071"/>
      <w:r>
        <w:rPr>
          <w:rFonts w:hint="eastAsia" w:ascii="宋体" w:hAnsi="宋体" w:cs="宋体"/>
          <w:bCs/>
          <w:color w:val="auto"/>
          <w:kern w:val="0"/>
          <w:szCs w:val="21"/>
          <w:highlight w:val="none"/>
        </w:rPr>
        <w:t>★(</w:t>
      </w:r>
      <w:r>
        <w:rPr>
          <w:rFonts w:ascii="宋体" w:hAnsi="宋体" w:cs="宋体"/>
          <w:bCs/>
          <w:color w:val="auto"/>
          <w:kern w:val="0"/>
          <w:szCs w:val="21"/>
          <w:highlight w:val="none"/>
        </w:rPr>
        <w:t>4)</w:t>
      </w:r>
      <w:r>
        <w:rPr>
          <w:rFonts w:hint="eastAsia"/>
          <w:color w:val="auto"/>
          <w:highlight w:val="none"/>
        </w:rPr>
        <w:t>《</w:t>
      </w:r>
      <w:r>
        <w:rPr>
          <w:rFonts w:hint="eastAsia" w:ascii="宋体" w:hAnsi="宋体" w:cs="宋体"/>
          <w:bCs/>
          <w:color w:val="auto"/>
          <w:kern w:val="0"/>
          <w:szCs w:val="21"/>
          <w:highlight w:val="none"/>
        </w:rPr>
        <w:t>中小企业声明函</w:t>
      </w:r>
      <w:r>
        <w:rPr>
          <w:rFonts w:hint="eastAsia"/>
          <w:color w:val="auto"/>
          <w:highlight w:val="none"/>
        </w:rPr>
        <w:t>》</w:t>
      </w:r>
      <w:r>
        <w:rPr>
          <w:rFonts w:hint="eastAsia" w:ascii="宋体" w:hAnsi="宋体" w:cs="宋体"/>
          <w:bCs/>
          <w:color w:val="auto"/>
          <w:kern w:val="0"/>
          <w:szCs w:val="21"/>
          <w:highlight w:val="none"/>
        </w:rPr>
        <w:t>(格式见第六章)</w:t>
      </w:r>
    </w:p>
    <w:bookmarkEnd w:id="88"/>
    <w:p>
      <w:pPr>
        <w:snapToGrid w:val="0"/>
        <w:spacing w:line="420" w:lineRule="exact"/>
        <w:ind w:firstLine="422"/>
        <w:rPr>
          <w:rFonts w:ascii="宋体" w:hAnsi="宋体"/>
          <w:b/>
          <w:szCs w:val="21"/>
        </w:rPr>
      </w:pPr>
      <w:r>
        <w:rPr>
          <w:rFonts w:ascii="宋体" w:hAnsi="宋体"/>
          <w:b/>
          <w:szCs w:val="21"/>
        </w:rPr>
        <w:t>2.</w:t>
      </w:r>
      <w:r>
        <w:rPr>
          <w:rFonts w:hint="eastAsia" w:ascii="宋体" w:hAnsi="宋体"/>
          <w:b/>
          <w:szCs w:val="21"/>
        </w:rPr>
        <w:t>商务技术文件：</w:t>
      </w:r>
    </w:p>
    <w:p>
      <w:pPr>
        <w:tabs>
          <w:tab w:val="left" w:pos="3870"/>
          <w:tab w:val="left" w:pos="4085"/>
        </w:tabs>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(1</w:t>
      </w:r>
      <w:r>
        <w:rPr>
          <w:rFonts w:ascii="宋体" w:hAnsi="宋体"/>
          <w:szCs w:val="21"/>
        </w:rPr>
        <w:t>)</w:t>
      </w:r>
      <w:r>
        <w:rPr>
          <w:rFonts w:hint="eastAsia" w:ascii="宋体" w:hAnsi="宋体"/>
          <w:szCs w:val="21"/>
        </w:rPr>
        <w:t>谈判函（格式见第六章）</w:t>
      </w:r>
    </w:p>
    <w:p>
      <w:pPr>
        <w:tabs>
          <w:tab w:val="left" w:pos="3870"/>
          <w:tab w:val="left" w:pos="4085"/>
        </w:tabs>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(2</w:t>
      </w:r>
      <w:r>
        <w:rPr>
          <w:rFonts w:ascii="宋体" w:hAnsi="宋体"/>
          <w:szCs w:val="21"/>
        </w:rPr>
        <w:t>)</w:t>
      </w:r>
      <w:r>
        <w:rPr>
          <w:rFonts w:hint="eastAsia" w:ascii="宋体" w:hAnsi="宋体"/>
          <w:szCs w:val="21"/>
        </w:rPr>
        <w:t>法定代表人身份证</w:t>
      </w:r>
    </w:p>
    <w:p>
      <w:pPr>
        <w:snapToGrid w:val="0"/>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法定代表人授权委托书和代理人身份证（委托代理时必须提供，格式见第六章）</w:t>
      </w:r>
    </w:p>
    <w:p>
      <w:pPr>
        <w:snapToGrid w:val="0"/>
        <w:spacing w:line="420" w:lineRule="exact"/>
        <w:ind w:firstLine="422" w:firstLineChars="200"/>
        <w:rPr>
          <w:rFonts w:ascii="宋体" w:hAnsi="宋体"/>
          <w:szCs w:val="21"/>
        </w:rPr>
      </w:pPr>
      <w:r>
        <w:rPr>
          <w:rFonts w:hint="eastAsia" w:ascii="宋体" w:hAnsi="宋体"/>
          <w:b/>
          <w:szCs w:val="21"/>
        </w:rPr>
        <w:t>★</w:t>
      </w:r>
      <w:r>
        <w:rPr>
          <w:rFonts w:hint="eastAsia" w:ascii="宋体" w:hAnsi="宋体"/>
          <w:szCs w:val="21"/>
        </w:rPr>
        <w:t>(4</w:t>
      </w:r>
      <w:r>
        <w:rPr>
          <w:rFonts w:ascii="宋体" w:hAnsi="宋体"/>
          <w:szCs w:val="21"/>
        </w:rPr>
        <w:t>)</w:t>
      </w:r>
      <w:r>
        <w:rPr>
          <w:rFonts w:ascii="宋体" w:hAnsi="宋体"/>
        </w:rPr>
        <w:t>商务响应表(格式见第六章)</w:t>
      </w:r>
    </w:p>
    <w:p>
      <w:pPr>
        <w:snapToGrid w:val="0"/>
        <w:spacing w:line="420" w:lineRule="exact"/>
        <w:ind w:firstLine="422" w:firstLineChars="200"/>
        <w:rPr>
          <w:rFonts w:ascii="宋体" w:hAnsi="宋体"/>
        </w:rPr>
      </w:pPr>
      <w:bookmarkStart w:id="89" w:name="_Hlk111707698"/>
      <w:r>
        <w:rPr>
          <w:rFonts w:hint="eastAsia" w:ascii="宋体" w:hAnsi="宋体"/>
          <w:b/>
          <w:szCs w:val="21"/>
        </w:rPr>
        <w:t>★</w:t>
      </w:r>
      <w:r>
        <w:rPr>
          <w:rFonts w:hint="eastAsia" w:ascii="宋体" w:hAnsi="宋体"/>
        </w:rPr>
        <w:t>(5</w:t>
      </w:r>
      <w:r>
        <w:rPr>
          <w:rFonts w:ascii="宋体" w:hAnsi="宋体"/>
        </w:rPr>
        <w:t>)</w:t>
      </w:r>
      <w:r>
        <w:rPr>
          <w:rFonts w:hint="eastAsia" w:ascii="宋体" w:hAnsi="宋体"/>
          <w:szCs w:val="21"/>
        </w:rPr>
        <w:t>技术响应表</w:t>
      </w:r>
      <w:bookmarkStart w:id="90" w:name="_Hlk92285954"/>
      <w:r>
        <w:rPr>
          <w:rFonts w:ascii="宋体" w:hAnsi="宋体"/>
        </w:rPr>
        <w:t>(格式见第六章)</w:t>
      </w:r>
      <w:bookmarkEnd w:id="90"/>
    </w:p>
    <w:p>
      <w:pPr>
        <w:snapToGrid w:val="0"/>
        <w:spacing w:line="420" w:lineRule="exact"/>
        <w:ind w:firstLine="420" w:firstLineChars="200"/>
        <w:rPr>
          <w:rFonts w:ascii="宋体" w:hAnsi="宋体"/>
          <w:szCs w:val="21"/>
        </w:rPr>
      </w:pPr>
      <w:r>
        <w:rPr>
          <w:rFonts w:hint="eastAsia" w:ascii="宋体" w:hAnsi="宋体"/>
          <w:szCs w:val="21"/>
        </w:rPr>
        <w:t>★(6</w:t>
      </w:r>
      <w:r>
        <w:rPr>
          <w:rFonts w:ascii="宋体" w:hAnsi="宋体"/>
          <w:szCs w:val="21"/>
        </w:rPr>
        <w:t>)</w:t>
      </w:r>
      <w:bookmarkStart w:id="91" w:name="OLE_LINK14"/>
      <w:r>
        <w:rPr>
          <w:rFonts w:hint="eastAsia" w:ascii="宋体" w:hAnsi="宋体"/>
          <w:szCs w:val="21"/>
        </w:rPr>
        <w:t>《项目需求》中要求必须提供的材料</w:t>
      </w:r>
      <w:bookmarkEnd w:id="91"/>
    </w:p>
    <w:p>
      <w:pPr>
        <w:snapToGrid w:val="0"/>
        <w:spacing w:line="420" w:lineRule="exact"/>
        <w:ind w:firstLine="422" w:firstLineChars="200"/>
        <w:rPr>
          <w:rFonts w:ascii="宋体" w:hAnsi="宋体"/>
        </w:rPr>
      </w:pPr>
      <w:r>
        <w:rPr>
          <w:rFonts w:hint="eastAsia" w:ascii="宋体" w:hAnsi="宋体"/>
          <w:b/>
          <w:szCs w:val="21"/>
        </w:rPr>
        <w:t xml:space="preserve"> </w:t>
      </w:r>
      <w:r>
        <w:rPr>
          <w:rFonts w:hint="eastAsia" w:ascii="宋体" w:cs="宋体"/>
          <w:bCs/>
          <w:kern w:val="0"/>
          <w:szCs w:val="21"/>
        </w:rPr>
        <w:t>(7</w:t>
      </w:r>
      <w:r>
        <w:rPr>
          <w:rFonts w:ascii="宋体" w:cs="宋体"/>
          <w:bCs/>
          <w:kern w:val="0"/>
          <w:szCs w:val="21"/>
        </w:rPr>
        <w:t>)</w:t>
      </w:r>
      <w:r>
        <w:rPr>
          <w:rFonts w:hint="eastAsia" w:ascii="宋体" w:cs="宋体"/>
          <w:kern w:val="0"/>
          <w:szCs w:val="21"/>
        </w:rPr>
        <w:t>售后服务方案</w:t>
      </w:r>
      <w:r>
        <w:rPr>
          <w:rFonts w:hint="eastAsia" w:ascii="宋体" w:cs="宋体"/>
          <w:bCs/>
          <w:kern w:val="0"/>
          <w:szCs w:val="21"/>
        </w:rPr>
        <w:t>（根据项目需求要求提供，格式自拟）</w:t>
      </w:r>
    </w:p>
    <w:bookmarkEnd w:id="89"/>
    <w:p>
      <w:pPr>
        <w:snapToGrid w:val="0"/>
        <w:spacing w:line="420" w:lineRule="exact"/>
        <w:ind w:firstLine="630" w:firstLineChars="300"/>
        <w:rPr>
          <w:rFonts w:ascii="宋体" w:hAnsi="宋体"/>
          <w:szCs w:val="21"/>
        </w:rPr>
      </w:pPr>
      <w:r>
        <w:rPr>
          <w:rFonts w:hint="eastAsia" w:ascii="宋体" w:hAnsi="宋体"/>
          <w:szCs w:val="21"/>
        </w:rPr>
        <w:t>(8</w:t>
      </w:r>
      <w:r>
        <w:rPr>
          <w:rFonts w:ascii="宋体" w:hAnsi="宋体"/>
          <w:szCs w:val="21"/>
        </w:rPr>
        <w:t>)</w:t>
      </w:r>
      <w:r>
        <w:rPr>
          <w:rFonts w:hint="eastAsia" w:ascii="宋体" w:hAnsi="宋体"/>
        </w:rPr>
        <w:t>供应商认为有必要提供的声明或材料(中小企业、残疾人福利性单位声明函等，格式见第六章)</w:t>
      </w:r>
    </w:p>
    <w:p>
      <w:pPr>
        <w:snapToGrid w:val="0"/>
        <w:spacing w:line="420" w:lineRule="exact"/>
        <w:ind w:firstLine="422"/>
        <w:rPr>
          <w:rFonts w:ascii="宋体" w:hAnsi="宋体"/>
          <w:b/>
          <w:szCs w:val="21"/>
        </w:rPr>
      </w:pPr>
      <w:r>
        <w:rPr>
          <w:rFonts w:ascii="宋体" w:hAnsi="宋体"/>
          <w:b/>
          <w:szCs w:val="21"/>
        </w:rPr>
        <w:t>3.</w:t>
      </w:r>
      <w:r>
        <w:rPr>
          <w:rFonts w:hint="eastAsia" w:ascii="宋体" w:hAnsi="宋体"/>
          <w:b/>
          <w:szCs w:val="21"/>
        </w:rPr>
        <w:t>报价文件</w:t>
      </w:r>
    </w:p>
    <w:p>
      <w:pPr>
        <w:snapToGrid w:val="0"/>
        <w:spacing w:line="420" w:lineRule="exact"/>
        <w:rPr>
          <w:rFonts w:ascii="宋体" w:hAnsi="宋体"/>
          <w:bCs/>
          <w:szCs w:val="21"/>
        </w:rPr>
      </w:pPr>
      <w:bookmarkStart w:id="92" w:name="_Hlk92265738"/>
      <w:r>
        <w:rPr>
          <w:rFonts w:hint="eastAsia" w:ascii="宋体" w:hAnsi="宋体"/>
          <w:b/>
          <w:szCs w:val="21"/>
        </w:rPr>
        <w:t xml:space="preserve"> </w:t>
      </w:r>
      <w:r>
        <w:rPr>
          <w:rFonts w:ascii="宋体" w:hAnsi="宋体"/>
          <w:b/>
          <w:szCs w:val="21"/>
        </w:rPr>
        <w:t xml:space="preserve">   </w:t>
      </w:r>
      <w:r>
        <w:rPr>
          <w:rFonts w:hint="eastAsia" w:ascii="宋体" w:hAnsi="宋体"/>
          <w:b/>
          <w:szCs w:val="21"/>
        </w:rPr>
        <w:t>★</w:t>
      </w:r>
      <w:r>
        <w:rPr>
          <w:rFonts w:hint="eastAsia" w:ascii="宋体" w:hAnsi="宋体"/>
          <w:bCs/>
          <w:szCs w:val="21"/>
        </w:rPr>
        <w:t>报价明细表</w:t>
      </w:r>
      <w:bookmarkEnd w:id="92"/>
      <w:r>
        <w:rPr>
          <w:rFonts w:hint="eastAsia" w:ascii="宋体" w:hAnsi="宋体"/>
          <w:bCs/>
          <w:szCs w:val="21"/>
        </w:rPr>
        <w:t>(格式见第六章)。</w:t>
      </w:r>
    </w:p>
    <w:bookmarkEnd w:id="85"/>
    <w:p>
      <w:pPr>
        <w:snapToGrid w:val="0"/>
        <w:spacing w:line="420" w:lineRule="exact"/>
        <w:ind w:firstLine="422"/>
        <w:rPr>
          <w:rFonts w:ascii="宋体" w:hAnsi="宋体"/>
          <w:szCs w:val="21"/>
        </w:rPr>
      </w:pPr>
      <w:r>
        <w:rPr>
          <w:rFonts w:hint="eastAsia" w:ascii="宋体" w:hAnsi="宋体"/>
          <w:szCs w:val="21"/>
        </w:rPr>
        <w:t>注：标注★号的材料均为必须提供的材料须由供应商加盖公章，授权委托书必须由法定代表人签名，否则视为无效响应文件。</w:t>
      </w:r>
    </w:p>
    <w:p>
      <w:pPr>
        <w:spacing w:line="420" w:lineRule="exact"/>
        <w:ind w:firstLine="211" w:firstLineChars="100"/>
        <w:rPr>
          <w:rFonts w:ascii="宋体" w:hAnsi="宋体"/>
          <w:b/>
          <w:bCs/>
          <w:szCs w:val="21"/>
        </w:rPr>
      </w:pPr>
      <w:bookmarkStart w:id="93" w:name="_Hlk90906323"/>
      <w:r>
        <w:rPr>
          <w:rFonts w:hint="eastAsia" w:ascii="宋体" w:hAnsi="宋体"/>
          <w:b/>
          <w:szCs w:val="21"/>
        </w:rPr>
        <w:t>（三）</w:t>
      </w:r>
      <w:bookmarkStart w:id="94" w:name="_Toc254970537"/>
      <w:bookmarkStart w:id="95" w:name="_Toc254970678"/>
      <w:bookmarkStart w:id="96" w:name="_Toc352700422"/>
      <w:bookmarkStart w:id="97" w:name="_Toc353785292"/>
      <w:r>
        <w:rPr>
          <w:rFonts w:hint="eastAsia" w:ascii="宋体" w:hAnsi="宋体"/>
          <w:b/>
          <w:bCs/>
          <w:szCs w:val="21"/>
        </w:rPr>
        <w:t>响应文件的编制、签署及加密</w:t>
      </w:r>
    </w:p>
    <w:p>
      <w:pPr>
        <w:spacing w:line="420" w:lineRule="exact"/>
        <w:ind w:firstLine="420"/>
        <w:rPr>
          <w:rFonts w:ascii="宋体" w:hAnsi="宋体"/>
          <w:szCs w:val="21"/>
        </w:rPr>
      </w:pPr>
      <w:r>
        <w:rPr>
          <w:rFonts w:ascii="宋体" w:hAnsi="宋体"/>
          <w:szCs w:val="21"/>
        </w:rPr>
        <w:t>1.</w:t>
      </w:r>
      <w:r>
        <w:rPr>
          <w:rFonts w:hint="eastAsia" w:ascii="宋体" w:hAnsi="宋体"/>
          <w:szCs w:val="21"/>
        </w:rPr>
        <w:t>供应商应认真阅读、并充分理解招标文件的全部内容(包括所有的补充、修改内容)，承诺履行其各项条款的规定并按要求编制，响应文件应为电子文件或扫描件(样品除外)。</w:t>
      </w:r>
    </w:p>
    <w:p>
      <w:pPr>
        <w:spacing w:line="420" w:lineRule="exact"/>
        <w:ind w:firstLine="420"/>
        <w:rPr>
          <w:rFonts w:ascii="宋体" w:hAnsi="宋体"/>
          <w:szCs w:val="21"/>
        </w:rPr>
      </w:pPr>
      <w:r>
        <w:rPr>
          <w:rFonts w:ascii="宋体" w:hAnsi="宋体"/>
          <w:szCs w:val="21"/>
        </w:rPr>
        <w:t>2.</w:t>
      </w:r>
      <w:r>
        <w:rPr>
          <w:rFonts w:hint="eastAsia" w:ascii="宋体" w:hAnsi="宋体"/>
          <w:szCs w:val="21"/>
        </w:rPr>
        <w:t>供应商应通过广西政府采购云平台客户端编制加密响应文件。</w:t>
      </w:r>
    </w:p>
    <w:p>
      <w:pPr>
        <w:spacing w:line="420" w:lineRule="exact"/>
        <w:ind w:firstLine="420"/>
        <w:rPr>
          <w:rFonts w:ascii="宋体" w:hAnsi="宋体"/>
          <w:szCs w:val="21"/>
        </w:rPr>
      </w:pPr>
      <w:r>
        <w:rPr>
          <w:rFonts w:ascii="宋体" w:hAnsi="宋体"/>
          <w:szCs w:val="21"/>
        </w:rPr>
        <w:t>3.</w:t>
      </w:r>
      <w:r>
        <w:rPr>
          <w:rFonts w:hint="eastAsia" w:ascii="宋体" w:hAnsi="宋体"/>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pPr>
        <w:spacing w:line="420" w:lineRule="exact"/>
        <w:rPr>
          <w:rFonts w:ascii="宋体" w:hAnsi="宋体"/>
          <w:b/>
          <w:bCs/>
          <w:szCs w:val="21"/>
        </w:rPr>
      </w:pPr>
      <w:r>
        <w:rPr>
          <w:rFonts w:ascii="宋体" w:hAnsi="宋体"/>
          <w:szCs w:val="21"/>
        </w:rPr>
        <w:tab/>
      </w:r>
      <w:r>
        <w:rPr>
          <w:rFonts w:ascii="宋体" w:hAnsi="宋体"/>
          <w:b/>
          <w:bCs/>
          <w:szCs w:val="21"/>
        </w:rPr>
        <w:t>4.</w:t>
      </w:r>
      <w:bookmarkStart w:id="98" w:name="_Hlk112311085"/>
      <w:r>
        <w:rPr>
          <w:rFonts w:hint="eastAsia" w:ascii="宋体" w:hAnsi="宋体"/>
          <w:b/>
          <w:bCs/>
          <w:szCs w:val="21"/>
        </w:rPr>
        <w:t>响应文件由供应商在规定位置由法定代表人或授权委托人签名（可为电子签名）、填写供应商名称并加盖公章(简称“盖章”，可为电子公章)，供应商名称应写全称。</w:t>
      </w:r>
      <w:bookmarkEnd w:id="98"/>
    </w:p>
    <w:p>
      <w:pPr>
        <w:snapToGrid w:val="0"/>
        <w:spacing w:line="420" w:lineRule="exact"/>
        <w:ind w:firstLine="210" w:firstLineChars="100"/>
        <w:rPr>
          <w:rFonts w:ascii="宋体" w:hAnsi="宋体"/>
          <w:b/>
          <w:bCs/>
          <w:szCs w:val="21"/>
        </w:rPr>
      </w:pPr>
      <w:r>
        <w:rPr>
          <w:rFonts w:ascii="宋体" w:hAnsi="宋体"/>
          <w:szCs w:val="21"/>
        </w:rPr>
        <w:tab/>
      </w:r>
      <w:r>
        <w:rPr>
          <w:rFonts w:ascii="宋体" w:hAnsi="宋体"/>
          <w:szCs w:val="21"/>
        </w:rPr>
        <w:t>5.</w:t>
      </w:r>
      <w:r>
        <w:rPr>
          <w:rFonts w:hint="eastAsia" w:ascii="宋体" w:hAnsi="宋体"/>
          <w:szCs w:val="21"/>
        </w:rPr>
        <w:t>响应文件内容不完整、编排混乱、不清晰等原因导致被误读或漏读的责任和后果由供应商承担。</w:t>
      </w:r>
    </w:p>
    <w:bookmarkEnd w:id="93"/>
    <w:p>
      <w:pPr>
        <w:spacing w:line="420" w:lineRule="exact"/>
        <w:ind w:firstLine="211" w:firstLineChars="100"/>
      </w:pPr>
      <w:r>
        <w:rPr>
          <w:rFonts w:hint="eastAsia"/>
          <w:b/>
          <w:bCs/>
        </w:rPr>
        <w:t>（四）响应文件的语言及计量</w:t>
      </w:r>
      <w:bookmarkEnd w:id="94"/>
      <w:bookmarkEnd w:id="95"/>
      <w:bookmarkEnd w:id="96"/>
      <w:bookmarkEnd w:id="97"/>
    </w:p>
    <w:p>
      <w:pPr>
        <w:snapToGrid w:val="0"/>
        <w:spacing w:line="420" w:lineRule="exact"/>
        <w:ind w:firstLine="420"/>
        <w:rPr>
          <w:rFonts w:ascii="宋体" w:hAnsi="宋体"/>
          <w:szCs w:val="21"/>
        </w:rPr>
      </w:pPr>
      <w:r>
        <w:rPr>
          <w:rFonts w:ascii="宋体" w:hAnsi="宋体"/>
          <w:szCs w:val="21"/>
        </w:rPr>
        <w:t>1.</w:t>
      </w:r>
      <w:r>
        <w:rPr>
          <w:rFonts w:hint="eastAsia" w:ascii="宋体" w:hAnsi="宋体"/>
          <w:szCs w:val="21"/>
        </w:rPr>
        <w:t>响应文件以及供应商与采购人、本中心就有关事宜的所有来往函电，均应以中文汉语书写。除签名、盖章、专用名称等特殊情形外，以中文汉语以外的文字表述的视为无效文件。</w:t>
      </w:r>
    </w:p>
    <w:p>
      <w:pPr>
        <w:snapToGrid w:val="0"/>
        <w:spacing w:line="420" w:lineRule="exact"/>
        <w:ind w:firstLine="420"/>
        <w:rPr>
          <w:rFonts w:ascii="宋体" w:hAnsi="宋体"/>
          <w:szCs w:val="21"/>
        </w:rPr>
      </w:pPr>
      <w:r>
        <w:rPr>
          <w:rFonts w:ascii="宋体" w:hAnsi="宋体"/>
          <w:szCs w:val="21"/>
        </w:rPr>
        <w:t>2.响应</w:t>
      </w:r>
      <w:r>
        <w:rPr>
          <w:rFonts w:hint="eastAsia" w:ascii="宋体" w:hAnsi="宋体"/>
          <w:szCs w:val="21"/>
        </w:rPr>
        <w:t>文件的计量单位，采购文件已有明确规定的，使用采购文件规定的计量单位；采购文件没有规定的，应采用中华人民共和国法定计量单位（货币单位：人民币元），否则视为无效响应文件。</w:t>
      </w:r>
    </w:p>
    <w:p>
      <w:pPr>
        <w:pStyle w:val="4"/>
        <w:spacing w:before="0" w:after="0" w:line="440" w:lineRule="exact"/>
        <w:ind w:firstLine="211" w:firstLineChars="100"/>
        <w:rPr>
          <w:rFonts w:ascii="宋体" w:hAnsi="宋体" w:eastAsia="宋体"/>
          <w:sz w:val="21"/>
          <w:szCs w:val="21"/>
        </w:rPr>
      </w:pPr>
      <w:bookmarkStart w:id="99" w:name="_（五）报价"/>
      <w:bookmarkEnd w:id="99"/>
      <w:bookmarkStart w:id="100" w:name="_Toc254970679"/>
      <w:bookmarkStart w:id="101" w:name="_Toc353785293"/>
      <w:bookmarkStart w:id="102" w:name="_Toc254970538"/>
      <w:bookmarkStart w:id="103" w:name="_Toc352700423"/>
      <w:r>
        <w:rPr>
          <w:rFonts w:hint="eastAsia" w:ascii="宋体" w:hAnsi="宋体" w:eastAsia="宋体"/>
          <w:sz w:val="21"/>
          <w:szCs w:val="21"/>
        </w:rPr>
        <w:t>（五）报价</w:t>
      </w:r>
      <w:bookmarkEnd w:id="100"/>
      <w:bookmarkEnd w:id="101"/>
      <w:bookmarkEnd w:id="102"/>
      <w:bookmarkEnd w:id="103"/>
    </w:p>
    <w:p>
      <w:pPr>
        <w:pStyle w:val="22"/>
        <w:snapToGrid w:val="0"/>
        <w:spacing w:line="420" w:lineRule="exact"/>
        <w:ind w:firstLine="420"/>
        <w:rPr>
          <w:rFonts w:hAnsi="宋体"/>
        </w:rPr>
      </w:pPr>
      <w:r>
        <w:rPr>
          <w:rFonts w:hAnsi="宋体"/>
        </w:rPr>
        <w:t>1.</w:t>
      </w:r>
      <w:r>
        <w:rPr>
          <w:rFonts w:hint="eastAsia" w:hAnsi="宋体"/>
        </w:rPr>
        <w:t>采购文件中未列明，而供应商认为必需的费用也须列入总报价。在合同实施时，采购人将不予支付成交供应商没有列入总报价的项目费用，并认为此项费用已包含在总报价中。</w:t>
      </w:r>
    </w:p>
    <w:p>
      <w:pPr>
        <w:pStyle w:val="22"/>
        <w:snapToGrid w:val="0"/>
        <w:spacing w:line="420" w:lineRule="exact"/>
        <w:ind w:firstLine="420"/>
      </w:pPr>
      <w:r>
        <w:rPr>
          <w:rFonts w:hAnsi="宋体"/>
        </w:rPr>
        <w:t>2</w:t>
      </w:r>
      <w:r>
        <w:rPr>
          <w:rFonts w:hint="eastAsia" w:hAnsi="宋体"/>
        </w:rPr>
        <w:t>供应商</w:t>
      </w:r>
      <w:r>
        <w:rPr>
          <w:rFonts w:hint="eastAsia"/>
        </w:rPr>
        <w:t>必须就《项目需求》货物和服务的内容作完整唯一报价</w:t>
      </w:r>
      <w:r>
        <w:rPr>
          <w:rFonts w:hint="eastAsia" w:hAnsi="宋体"/>
        </w:rPr>
        <w:t>，有选择的或有条件的报价视为无效响应文件。</w:t>
      </w:r>
    </w:p>
    <w:p>
      <w:pPr>
        <w:tabs>
          <w:tab w:val="left" w:pos="525"/>
        </w:tabs>
        <w:snapToGrid w:val="0"/>
        <w:spacing w:line="420" w:lineRule="exact"/>
        <w:ind w:firstLine="420"/>
        <w:rPr>
          <w:rFonts w:ascii="宋体" w:hAnsi="宋体"/>
          <w:szCs w:val="21"/>
        </w:rPr>
      </w:pPr>
      <w:r>
        <w:rPr>
          <w:rFonts w:ascii="宋体" w:hAnsi="宋体"/>
          <w:szCs w:val="21"/>
        </w:rPr>
        <w:t>3.</w:t>
      </w:r>
      <w:r>
        <w:rPr>
          <w:rFonts w:hint="eastAsia" w:ascii="宋体" w:hAnsi="宋体"/>
          <w:szCs w:val="21"/>
        </w:rPr>
        <w:t>供应商的报价必须按采购文件或政府采购云平台规定的格式填写，并在规定时间内提交最后报价。</w:t>
      </w:r>
    </w:p>
    <w:p>
      <w:pPr>
        <w:tabs>
          <w:tab w:val="left" w:pos="525"/>
        </w:tabs>
        <w:snapToGrid w:val="0"/>
        <w:spacing w:line="420" w:lineRule="exact"/>
        <w:ind w:firstLine="420"/>
        <w:rPr>
          <w:rFonts w:ascii="宋体" w:hAnsi="宋体"/>
          <w:szCs w:val="21"/>
        </w:rPr>
      </w:pPr>
      <w:r>
        <w:rPr>
          <w:rFonts w:ascii="宋体" w:hAnsi="宋体"/>
          <w:szCs w:val="21"/>
        </w:rPr>
        <w:t>4.</w:t>
      </w:r>
      <w:r>
        <w:rPr>
          <w:rFonts w:hint="eastAsia" w:ascii="宋体" w:hAnsi="宋体"/>
          <w:szCs w:val="21"/>
        </w:rPr>
        <w:t>最后报价是供应商响应文件的有效组成部分。</w:t>
      </w:r>
    </w:p>
    <w:p>
      <w:pPr>
        <w:pStyle w:val="4"/>
        <w:spacing w:before="0" w:after="0" w:line="440" w:lineRule="exact"/>
        <w:ind w:firstLine="211" w:firstLineChars="100"/>
        <w:rPr>
          <w:rFonts w:ascii="宋体" w:hAnsi="宋体" w:eastAsia="宋体"/>
          <w:sz w:val="21"/>
          <w:szCs w:val="21"/>
        </w:rPr>
      </w:pPr>
      <w:bookmarkStart w:id="104" w:name="_（六）谈判保证金"/>
      <w:bookmarkEnd w:id="104"/>
      <w:bookmarkStart w:id="105" w:name="_Toc254970541"/>
      <w:bookmarkStart w:id="106" w:name="_Toc352700425"/>
      <w:bookmarkStart w:id="107" w:name="_Toc254970682"/>
      <w:bookmarkStart w:id="108" w:name="_Toc353785295"/>
      <w:r>
        <w:rPr>
          <w:rFonts w:hint="eastAsia" w:ascii="宋体" w:hAnsi="宋体" w:eastAsia="宋体"/>
          <w:sz w:val="21"/>
          <w:szCs w:val="21"/>
        </w:rPr>
        <w:t>（六）谈判保证金</w:t>
      </w:r>
      <w:bookmarkEnd w:id="105"/>
      <w:bookmarkEnd w:id="106"/>
      <w:bookmarkEnd w:id="107"/>
      <w:bookmarkEnd w:id="108"/>
    </w:p>
    <w:p>
      <w:pPr>
        <w:widowControl/>
        <w:spacing w:line="420" w:lineRule="exact"/>
        <w:ind w:firstLine="420" w:firstLineChars="200"/>
        <w:jc w:val="left"/>
      </w:pPr>
      <w:bookmarkStart w:id="109" w:name="_Toc254970683"/>
      <w:bookmarkStart w:id="110" w:name="_Toc254970542"/>
      <w:bookmarkStart w:id="111" w:name="_Toc353785296"/>
      <w:bookmarkStart w:id="112" w:name="_Toc352700426"/>
      <w:r>
        <w:rPr>
          <w:rFonts w:hint="eastAsia" w:ascii="宋体" w:hAnsi="宋体"/>
          <w:szCs w:val="21"/>
        </w:rPr>
        <w:t>本项目免收谈判保证金。</w:t>
      </w:r>
    </w:p>
    <w:bookmarkEnd w:id="109"/>
    <w:bookmarkEnd w:id="110"/>
    <w:bookmarkEnd w:id="111"/>
    <w:bookmarkEnd w:id="112"/>
    <w:p>
      <w:pPr>
        <w:spacing w:line="420" w:lineRule="exact"/>
        <w:ind w:firstLine="211" w:firstLineChars="100"/>
        <w:rPr>
          <w:b/>
          <w:bCs/>
        </w:rPr>
      </w:pPr>
      <w:r>
        <w:rPr>
          <w:rFonts w:hint="eastAsia"/>
          <w:b/>
          <w:bCs/>
        </w:rPr>
        <w:t>（七）响应文件的上传、提交、修改、撤回</w:t>
      </w:r>
    </w:p>
    <w:p>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响应文件的上传和提交:供应商须将编制好的加密响应文件上传至政府采购云平台，并在响应文件提交截止时间前提交，否则</w:t>
      </w:r>
      <w:bookmarkStart w:id="113" w:name="_Hlk91772691"/>
      <w:r>
        <w:rPr>
          <w:rFonts w:hint="eastAsia" w:ascii="宋体" w:hAnsi="宋体"/>
          <w:szCs w:val="21"/>
        </w:rPr>
        <w:t>政府采购云平台</w:t>
      </w:r>
      <w:bookmarkEnd w:id="113"/>
      <w:r>
        <w:rPr>
          <w:rFonts w:hint="eastAsia" w:ascii="宋体" w:hAnsi="宋体"/>
          <w:szCs w:val="21"/>
        </w:rPr>
        <w:t>将予以拒收。</w:t>
      </w:r>
    </w:p>
    <w:p>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响应文件的修改和撤回：</w:t>
      </w:r>
      <w:r>
        <w:rPr>
          <w:rFonts w:hint="eastAsia"/>
          <w:szCs w:val="21"/>
        </w:rPr>
        <w:t>供应商在提交响应文件截止时间前，可以对所提交的响应文件进行补充、修改或者撤回</w:t>
      </w:r>
      <w:r>
        <w:rPr>
          <w:rFonts w:hint="eastAsia" w:ascii="宋体" w:hAnsi="宋体"/>
          <w:szCs w:val="21"/>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szCs w:val="21"/>
        </w:rPr>
        <w:t>补充、修改的内容作为响应文件的组成部分。补充、修改的内容与响应文件不一致的，以补充、修改的内容为准。</w:t>
      </w:r>
    </w:p>
    <w:p>
      <w:pPr>
        <w:pStyle w:val="4"/>
        <w:spacing w:line="420" w:lineRule="exact"/>
      </w:pPr>
      <w:bookmarkStart w:id="114" w:name="_四、响应文件开启"/>
      <w:bookmarkEnd w:id="114"/>
      <w:r>
        <w:rPr>
          <w:rFonts w:hint="eastAsia"/>
        </w:rPr>
        <w:t>四、</w:t>
      </w:r>
      <w:bookmarkStart w:id="115" w:name="_Toc352700430"/>
      <w:bookmarkStart w:id="116" w:name="_Toc353785300"/>
      <w:r>
        <w:rPr>
          <w:rFonts w:hint="eastAsia"/>
        </w:rPr>
        <w:t>响应文件开启</w:t>
      </w:r>
    </w:p>
    <w:bookmarkEnd w:id="115"/>
    <w:bookmarkEnd w:id="116"/>
    <w:p>
      <w:pPr>
        <w:spacing w:line="420" w:lineRule="exact"/>
        <w:ind w:firstLine="210" w:firstLineChars="100"/>
        <w:rPr>
          <w:rFonts w:ascii="方正小标宋_GBK" w:hAnsi="Arial" w:eastAsia="方正小标宋_GBK"/>
          <w:bCs/>
          <w:sz w:val="24"/>
        </w:rPr>
      </w:pPr>
      <w:r>
        <w:rPr>
          <w:rFonts w:hint="eastAsia"/>
        </w:rPr>
        <w:t>（一）本中心将在响应文件提交截止时间后在</w:t>
      </w:r>
      <w:bookmarkStart w:id="117" w:name="_Hlk90300735"/>
      <w:r>
        <w:rPr>
          <w:rFonts w:hint="eastAsia"/>
        </w:rPr>
        <w:t>政采云远程开标大厅</w:t>
      </w:r>
      <w:bookmarkEnd w:id="117"/>
      <w:r>
        <w:rPr>
          <w:rFonts w:hint="eastAsia"/>
        </w:rPr>
        <w:t>进行响应文件开启，供应商法定代表人或委托代理人须按时登录</w:t>
      </w:r>
      <w:bookmarkStart w:id="118" w:name="_Hlk90300780"/>
      <w:r>
        <w:rPr>
          <w:rFonts w:hint="eastAsia"/>
        </w:rPr>
        <w:t>政采云远程开标大厅</w:t>
      </w:r>
      <w:bookmarkEnd w:id="118"/>
      <w:r>
        <w:rPr>
          <w:rFonts w:hint="eastAsia"/>
        </w:rPr>
        <w:t>（政府采购云平台-应用中心-项目采购-开标评标），保持全程在线并关注评审、谈判进度，评审期间谈判小组提出澄清等要求时，供应商须在规定时间内进行应答，否则按采购文件或政采云平台的相关规定执行。</w:t>
      </w:r>
      <w:bookmarkStart w:id="119" w:name="_Toc352700431"/>
      <w:bookmarkStart w:id="120" w:name="_Toc353785301"/>
    </w:p>
    <w:p>
      <w:pPr>
        <w:spacing w:line="420" w:lineRule="exact"/>
        <w:ind w:firstLine="210" w:firstLineChars="100"/>
        <w:rPr>
          <w:rFonts w:ascii="方正小标宋_GBK" w:hAnsi="Arial" w:eastAsia="方正小标宋_GBK"/>
          <w:bCs/>
          <w:sz w:val="24"/>
        </w:rPr>
      </w:pPr>
      <w:r>
        <w:rPr>
          <w:rFonts w:hint="eastAsia"/>
        </w:rPr>
        <w:t>（二）</w:t>
      </w:r>
      <w:bookmarkEnd w:id="119"/>
      <w:bookmarkEnd w:id="120"/>
      <w:r>
        <w:rPr>
          <w:rFonts w:hint="eastAsia"/>
        </w:rPr>
        <w:t>解密</w:t>
      </w:r>
    </w:p>
    <w:p>
      <w:pPr>
        <w:spacing w:line="420" w:lineRule="exact"/>
        <w:ind w:firstLine="420" w:firstLineChars="200"/>
      </w:pPr>
      <w:r>
        <w:rPr>
          <w:rFonts w:hint="eastAsia"/>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政府采购云平台视为供应商自主放弃谈判。</w:t>
      </w:r>
    </w:p>
    <w:p>
      <w:pPr>
        <w:spacing w:line="420" w:lineRule="exact"/>
        <w:ind w:firstLine="211" w:firstLineChars="100"/>
        <w:rPr>
          <w:b/>
          <w:bCs/>
        </w:rPr>
      </w:pPr>
      <w:r>
        <w:rPr>
          <w:rFonts w:hint="eastAsia"/>
          <w:b/>
          <w:bCs/>
        </w:rPr>
        <w:t>（三）资格审查</w:t>
      </w:r>
    </w:p>
    <w:p>
      <w:pPr>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采购人依法对供应商的资格进行审查，资格性审查时，如发现下列情形之一的，响应文件将被视为无效：</w:t>
      </w:r>
    </w:p>
    <w:p>
      <w:pPr>
        <w:spacing w:line="420" w:lineRule="exact"/>
        <w:ind w:firstLine="420" w:firstLineChars="200"/>
        <w:rPr>
          <w:rFonts w:ascii="宋体" w:hAnsi="宋体"/>
          <w:szCs w:val="21"/>
        </w:rPr>
      </w:pPr>
      <w:r>
        <w:rPr>
          <w:rFonts w:hint="eastAsia" w:ascii="宋体" w:hAnsi="宋体"/>
          <w:szCs w:val="21"/>
        </w:rPr>
        <w:t>(1)超越了按照法律法规规定必须获得行政许可或者行政审批的经营范围的；</w:t>
      </w:r>
    </w:p>
    <w:p>
      <w:pPr>
        <w:spacing w:line="420" w:lineRule="exact"/>
        <w:ind w:firstLine="420" w:firstLineChars="200"/>
        <w:rPr>
          <w:rFonts w:ascii="宋体" w:hAnsi="宋体"/>
          <w:szCs w:val="21"/>
        </w:rPr>
      </w:pPr>
      <w:r>
        <w:rPr>
          <w:rFonts w:hint="eastAsia" w:ascii="宋体" w:hAnsi="宋体"/>
          <w:szCs w:val="21"/>
        </w:rPr>
        <w:t>(2)资格证明文件不全的，或者不符合采购文件标明的资格要求的；</w:t>
      </w:r>
    </w:p>
    <w:p>
      <w:pPr>
        <w:snapToGrid w:val="0"/>
        <w:spacing w:line="420" w:lineRule="exact"/>
        <w:ind w:firstLine="420" w:firstLineChars="200"/>
        <w:jc w:val="left"/>
        <w:rPr>
          <w:rFonts w:ascii="宋体" w:hAnsi="宋体"/>
          <w:szCs w:val="21"/>
        </w:rPr>
      </w:pPr>
      <w:r>
        <w:rPr>
          <w:rFonts w:ascii="宋体" w:hAnsi="宋体"/>
          <w:szCs w:val="21"/>
        </w:rPr>
        <w:t>2.</w:t>
      </w:r>
      <w:r>
        <w:rPr>
          <w:rFonts w:hint="eastAsia" w:ascii="宋体" w:hAnsi="宋体"/>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pPr>
        <w:pStyle w:val="4"/>
        <w:spacing w:line="420" w:lineRule="exact"/>
        <w:rPr>
          <w:rFonts w:ascii="宋体" w:hAnsi="宋体"/>
          <w:szCs w:val="21"/>
        </w:rPr>
      </w:pPr>
      <w:bookmarkStart w:id="121" w:name="_五、评审与谈判"/>
      <w:bookmarkEnd w:id="121"/>
      <w:bookmarkStart w:id="122" w:name="_Toc254970545"/>
      <w:bookmarkStart w:id="123" w:name="_Toc353785302"/>
      <w:bookmarkStart w:id="124" w:name="_Toc254970686"/>
      <w:bookmarkStart w:id="125" w:name="_Toc352700432"/>
      <w:r>
        <w:rPr>
          <w:rFonts w:hint="eastAsia"/>
        </w:rPr>
        <w:t>五、</w:t>
      </w:r>
      <w:bookmarkEnd w:id="122"/>
      <w:bookmarkEnd w:id="123"/>
      <w:bookmarkEnd w:id="124"/>
      <w:bookmarkEnd w:id="125"/>
      <w:r>
        <w:rPr>
          <w:rFonts w:hint="eastAsia" w:ascii="宋体" w:hAnsi="宋体"/>
          <w:szCs w:val="21"/>
        </w:rPr>
        <w:t>评审与谈判</w:t>
      </w:r>
    </w:p>
    <w:p>
      <w:pPr>
        <w:snapToGrid w:val="0"/>
        <w:spacing w:line="420" w:lineRule="exact"/>
        <w:ind w:firstLine="211" w:firstLineChars="100"/>
        <w:rPr>
          <w:rFonts w:ascii="宋体" w:hAnsi="宋体"/>
          <w:b/>
          <w:bCs/>
          <w:szCs w:val="21"/>
        </w:rPr>
      </w:pPr>
      <w:bookmarkStart w:id="126" w:name="_Toc352700433"/>
      <w:bookmarkStart w:id="127" w:name="_Toc353785303"/>
      <w:r>
        <w:rPr>
          <w:rFonts w:hint="eastAsia" w:ascii="宋体" w:hAnsi="宋体"/>
          <w:b/>
          <w:bCs/>
          <w:szCs w:val="21"/>
        </w:rPr>
        <w:t>（一）评审原则：</w:t>
      </w:r>
    </w:p>
    <w:p>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谈判小组必须公平、公正、客观，不带任何倾向性和启发性；不得向外界透露任何与评审有关的内容；任何单位和个人不得干扰、影响评审的正常进行；谈判小组及有关工作人员不得私下接触供应商。</w:t>
      </w:r>
    </w:p>
    <w:p>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cs="Courier New"/>
          <w:szCs w:val="21"/>
        </w:rPr>
        <w:t>本项目采用不公开方式评审，评审的依据为采购文件和响应文件。</w:t>
      </w:r>
    </w:p>
    <w:p>
      <w:pPr>
        <w:snapToGrid w:val="0"/>
        <w:spacing w:line="420" w:lineRule="exact"/>
        <w:ind w:firstLine="211" w:firstLineChars="100"/>
        <w:rPr>
          <w:rFonts w:ascii="宋体" w:hAnsi="宋体"/>
          <w:b/>
          <w:bCs/>
          <w:szCs w:val="21"/>
        </w:rPr>
      </w:pPr>
      <w:r>
        <w:rPr>
          <w:rFonts w:hint="eastAsia"/>
          <w:b/>
          <w:bCs/>
        </w:rPr>
        <w:t>（二）成立谈判小组</w:t>
      </w:r>
    </w:p>
    <w:p>
      <w:pPr>
        <w:snapToGrid w:val="0"/>
        <w:spacing w:line="420" w:lineRule="exact"/>
        <w:ind w:firstLine="420" w:firstLineChars="200"/>
        <w:rPr>
          <w:rFonts w:ascii="宋体" w:hAnsi="宋体"/>
          <w:szCs w:val="21"/>
        </w:rPr>
      </w:pPr>
      <w:r>
        <w:rPr>
          <w:rFonts w:hint="eastAsia" w:ascii="宋体" w:hAnsi="宋体" w:cs="Courier New"/>
          <w:bCs/>
          <w:szCs w:val="21"/>
        </w:rPr>
        <w:t>谈判小组</w:t>
      </w:r>
      <w:bookmarkEnd w:id="126"/>
      <w:bookmarkEnd w:id="127"/>
      <w:r>
        <w:rPr>
          <w:rFonts w:hint="eastAsia" w:ascii="宋体" w:hAnsi="宋体" w:cs="Courier New"/>
          <w:bCs/>
          <w:szCs w:val="21"/>
        </w:rPr>
        <w:t>由采购人代表和评审专家共3人以上单数组成，其中评审专家人数不得少于谈判小组成员总数的2/3。</w:t>
      </w:r>
    </w:p>
    <w:p>
      <w:pPr>
        <w:spacing w:line="420" w:lineRule="exact"/>
        <w:ind w:firstLine="211" w:firstLineChars="100"/>
        <w:rPr>
          <w:rFonts w:ascii="宋体" w:hAnsi="宋体"/>
          <w:b/>
          <w:bCs/>
          <w:szCs w:val="21"/>
        </w:rPr>
      </w:pPr>
      <w:r>
        <w:rPr>
          <w:rFonts w:hint="eastAsia" w:ascii="宋体" w:hAnsi="宋体"/>
          <w:b/>
          <w:bCs/>
          <w:szCs w:val="21"/>
        </w:rPr>
        <w:t>（三）确认谈判文件</w:t>
      </w:r>
    </w:p>
    <w:p>
      <w:pPr>
        <w:spacing w:line="420" w:lineRule="exact"/>
        <w:ind w:firstLine="420" w:firstLineChars="200"/>
        <w:rPr>
          <w:rFonts w:ascii="宋体" w:hAnsi="宋体"/>
          <w:b/>
          <w:bCs/>
          <w:szCs w:val="21"/>
        </w:rPr>
      </w:pPr>
      <w:r>
        <w:rPr>
          <w:rFonts w:hint="eastAsia" w:hAnsi="宋体"/>
        </w:rPr>
        <w:t>谈判小组对谈判文件进行确认，认可谈判文件的内容，符合法律法规的规定、不存在歧视性或排他性内容。</w:t>
      </w:r>
    </w:p>
    <w:p>
      <w:pPr>
        <w:spacing w:line="420" w:lineRule="exact"/>
        <w:ind w:firstLine="211" w:firstLineChars="100"/>
        <w:rPr>
          <w:rFonts w:ascii="宋体" w:hAnsi="宋体" w:cs="Courier New"/>
          <w:szCs w:val="21"/>
        </w:rPr>
      </w:pPr>
      <w:r>
        <w:rPr>
          <w:rFonts w:hint="eastAsia" w:ascii="宋体" w:hAnsi="宋体"/>
          <w:b/>
          <w:bCs/>
          <w:szCs w:val="21"/>
        </w:rPr>
        <w:t>（四）实质性审查</w:t>
      </w:r>
    </w:p>
    <w:p>
      <w:pPr>
        <w:snapToGrid w:val="0"/>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未实质性响应竞争性谈判采购文件的响应文件按无效处理，谈判小组应当告知有关供应商。</w:t>
      </w:r>
    </w:p>
    <w:p>
      <w:pPr>
        <w:snapToGrid w:val="0"/>
        <w:spacing w:line="420" w:lineRule="exact"/>
        <w:ind w:firstLine="422" w:firstLineChars="200"/>
        <w:rPr>
          <w:rFonts w:ascii="宋体" w:hAnsi="宋体"/>
          <w:b/>
          <w:bCs/>
          <w:szCs w:val="21"/>
        </w:rPr>
      </w:pPr>
      <w:r>
        <w:rPr>
          <w:rFonts w:hint="eastAsia" w:ascii="宋体" w:hAnsi="宋体"/>
          <w:b/>
          <w:bCs/>
          <w:szCs w:val="21"/>
        </w:rPr>
        <w:t>2</w:t>
      </w:r>
      <w:r>
        <w:rPr>
          <w:rFonts w:ascii="宋体" w:hAnsi="宋体"/>
          <w:b/>
          <w:bCs/>
          <w:szCs w:val="21"/>
        </w:rPr>
        <w:t>.</w:t>
      </w:r>
      <w:r>
        <w:rPr>
          <w:rFonts w:hint="eastAsia" w:ascii="宋体" w:hAnsi="宋体"/>
          <w:b/>
          <w:bCs/>
          <w:szCs w:val="21"/>
        </w:rPr>
        <w:t>实质性审查时，如发现下列情形之一的，响应文件将被视为无效：</w:t>
      </w:r>
    </w:p>
    <w:p>
      <w:pPr>
        <w:snapToGrid w:val="0"/>
        <w:spacing w:line="420" w:lineRule="exact"/>
        <w:ind w:firstLine="525" w:firstLineChars="250"/>
        <w:rPr>
          <w:rFonts w:ascii="宋体" w:hAnsi="宋体"/>
          <w:szCs w:val="21"/>
        </w:rPr>
      </w:pPr>
      <w:bookmarkStart w:id="128" w:name="_Hlk112311783"/>
      <w:r>
        <w:rPr>
          <w:rFonts w:hint="eastAsia" w:ascii="宋体" w:hAnsi="宋体"/>
          <w:szCs w:val="21"/>
        </w:rPr>
        <w:t>①响应文件未按响应文件编制要求提供或内容虚假的；</w:t>
      </w:r>
    </w:p>
    <w:p>
      <w:pPr>
        <w:snapToGrid w:val="0"/>
        <w:spacing w:line="420" w:lineRule="exact"/>
        <w:ind w:firstLine="525" w:firstLineChars="250"/>
        <w:rPr>
          <w:rFonts w:ascii="宋体" w:hAnsi="宋体"/>
          <w:szCs w:val="21"/>
        </w:rPr>
      </w:pPr>
      <w:r>
        <w:rPr>
          <w:rFonts w:hint="eastAsia" w:ascii="宋体" w:hAnsi="宋体"/>
          <w:szCs w:val="21"/>
        </w:rPr>
        <w:t>②响应文件无法定代表人或其委托代理人签署、未提供授权委托书，或未按规定盖章的；</w:t>
      </w:r>
    </w:p>
    <w:p>
      <w:pPr>
        <w:snapToGrid w:val="0"/>
        <w:spacing w:line="420" w:lineRule="exact"/>
        <w:ind w:firstLine="525" w:firstLineChars="250"/>
        <w:rPr>
          <w:rFonts w:ascii="宋体" w:hAnsi="宋体"/>
          <w:szCs w:val="21"/>
        </w:rPr>
      </w:pPr>
      <w:r>
        <w:rPr>
          <w:rFonts w:hint="eastAsia" w:ascii="宋体" w:hAnsi="宋体"/>
          <w:szCs w:val="21"/>
        </w:rPr>
        <w:t>③供应商代表未能出具身份证明或与法定代表人委托代理人身份不符的；</w:t>
      </w:r>
    </w:p>
    <w:p>
      <w:pPr>
        <w:snapToGrid w:val="0"/>
        <w:spacing w:line="420" w:lineRule="exact"/>
        <w:ind w:firstLine="525" w:firstLineChars="250"/>
        <w:rPr>
          <w:rFonts w:ascii="宋体" w:hAnsi="宋体"/>
          <w:szCs w:val="21"/>
        </w:rPr>
      </w:pPr>
      <w:r>
        <w:rPr>
          <w:rFonts w:hint="eastAsia" w:ascii="宋体" w:hAnsi="宋体"/>
          <w:szCs w:val="21"/>
        </w:rPr>
        <w:t>④未实质性响应采购文件采购需求的技术、服务要求的；</w:t>
      </w:r>
    </w:p>
    <w:p>
      <w:pPr>
        <w:snapToGrid w:val="0"/>
        <w:spacing w:line="420" w:lineRule="exact"/>
        <w:ind w:firstLine="525" w:firstLineChars="250"/>
        <w:rPr>
          <w:rFonts w:ascii="宋体" w:hAnsi="宋体"/>
          <w:szCs w:val="21"/>
        </w:rPr>
      </w:pPr>
      <w:r>
        <w:rPr>
          <w:rFonts w:hint="eastAsia" w:ascii="宋体" w:hAnsi="宋体"/>
          <w:szCs w:val="21"/>
        </w:rPr>
        <w:t>⑤</w:t>
      </w:r>
      <w:r>
        <w:rPr>
          <w:rFonts w:hint="eastAsia" w:ascii="宋体" w:hAnsi="宋体"/>
          <w:spacing w:val="-4"/>
          <w:szCs w:val="21"/>
        </w:rPr>
        <w:t>不符合采购文件要求的质量标准，或者与采购文件中的技术指标、功能、服务事项发生较大偏离，已不符合采购人需求的；</w:t>
      </w:r>
    </w:p>
    <w:p>
      <w:pPr>
        <w:snapToGrid w:val="0"/>
        <w:spacing w:line="420" w:lineRule="exact"/>
        <w:ind w:firstLine="525" w:firstLineChars="250"/>
        <w:rPr>
          <w:rFonts w:ascii="宋体" w:hAnsi="宋体"/>
          <w:szCs w:val="21"/>
        </w:rPr>
      </w:pPr>
      <w:r>
        <w:rPr>
          <w:rFonts w:hint="eastAsia" w:ascii="宋体" w:hAnsi="宋体"/>
          <w:szCs w:val="21"/>
        </w:rPr>
        <w:t>⑥响应文件有采购人不能接受的附加条件的。</w:t>
      </w:r>
    </w:p>
    <w:p>
      <w:pPr>
        <w:snapToGrid w:val="0"/>
        <w:spacing w:line="420" w:lineRule="exact"/>
        <w:ind w:firstLine="505" w:firstLineChars="250"/>
        <w:rPr>
          <w:rFonts w:ascii="宋体" w:hAnsi="宋体"/>
          <w:spacing w:val="-4"/>
          <w:szCs w:val="21"/>
        </w:rPr>
      </w:pPr>
      <w:r>
        <w:rPr>
          <w:rFonts w:hint="eastAsia" w:ascii="宋体" w:hAnsi="宋体"/>
          <w:spacing w:val="-4"/>
          <w:szCs w:val="21"/>
        </w:rPr>
        <w:t>⑦响应文件技术方案不明确，存在一个或一个以上备选(替代)响应方案的；</w:t>
      </w:r>
    </w:p>
    <w:p>
      <w:pPr>
        <w:snapToGrid w:val="0"/>
        <w:spacing w:line="420" w:lineRule="exact"/>
        <w:ind w:firstLine="525" w:firstLineChars="250"/>
        <w:rPr>
          <w:rFonts w:ascii="宋体" w:hAnsi="宋体"/>
          <w:szCs w:val="21"/>
        </w:rPr>
      </w:pPr>
      <w:r>
        <w:rPr>
          <w:rFonts w:hint="eastAsia" w:ascii="宋体" w:hAnsi="宋体"/>
          <w:szCs w:val="21"/>
        </w:rPr>
        <w:t>⑧响应文件的实质性内容未使用中文表述、意思表述不明确、前后矛盾或者使用计量单位不符合采购文件要求的。</w:t>
      </w:r>
    </w:p>
    <w:bookmarkEnd w:id="128"/>
    <w:p>
      <w:pPr>
        <w:spacing w:line="420" w:lineRule="exact"/>
        <w:ind w:firstLine="211" w:firstLineChars="100"/>
        <w:rPr>
          <w:b/>
          <w:bCs/>
        </w:rPr>
      </w:pPr>
      <w:r>
        <w:rPr>
          <w:rFonts w:hint="eastAsia"/>
          <w:b/>
          <w:bCs/>
        </w:rPr>
        <w:t>（五）谈判</w:t>
      </w:r>
    </w:p>
    <w:p>
      <w:pPr>
        <w:pStyle w:val="22"/>
        <w:spacing w:line="420" w:lineRule="exact"/>
        <w:ind w:firstLine="420" w:firstLineChars="200"/>
      </w:pPr>
      <w:r>
        <w:rPr>
          <w:rFonts w:hint="eastAsia" w:hAnsi="宋体"/>
          <w:bCs/>
        </w:rPr>
        <w:t>1</w:t>
      </w:r>
      <w:r>
        <w:rPr>
          <w:rFonts w:hAnsi="宋体"/>
          <w:bCs/>
        </w:rPr>
        <w:t>.</w:t>
      </w:r>
      <w:r>
        <w:rPr>
          <w:rFonts w:hint="eastAsia"/>
        </w:rPr>
        <w:t>谈判小组所有成员应当集中与单一供应商分别进行谈判，并给予所有参加谈判的供应商平等的谈判机会。</w:t>
      </w:r>
    </w:p>
    <w:p>
      <w:pPr>
        <w:pStyle w:val="22"/>
        <w:spacing w:line="420" w:lineRule="exact"/>
        <w:ind w:firstLine="420" w:firstLineChars="200"/>
        <w:rPr>
          <w:rFonts w:hAnsi="宋体"/>
          <w:bCs/>
        </w:rPr>
      </w:pPr>
      <w:r>
        <w:rPr>
          <w:rFonts w:hint="eastAsia" w:hAnsi="宋体"/>
          <w:bCs/>
        </w:rPr>
        <w:t>2</w:t>
      </w:r>
      <w:r>
        <w:rPr>
          <w:rFonts w:hAnsi="宋体"/>
          <w:bCs/>
        </w:rPr>
        <w:t>.</w:t>
      </w:r>
      <w:r>
        <w:rPr>
          <w:rFonts w:hint="eastAsia" w:hAnsi="宋体"/>
          <w:bCs/>
        </w:rPr>
        <w:t>谈判小组可以根据谈判文件和谈判情况实质性变动采购需求中的技术、服务要求以及合同草案条款，但不得变动谈判文件中的其他内容。实质性变动的内容，须经采购人代表确认。</w:t>
      </w:r>
    </w:p>
    <w:p>
      <w:pPr>
        <w:pStyle w:val="22"/>
        <w:spacing w:line="420" w:lineRule="exact"/>
        <w:ind w:firstLine="420" w:firstLineChars="200"/>
        <w:rPr>
          <w:rFonts w:hAnsi="宋体"/>
          <w:bCs/>
        </w:rPr>
      </w:pPr>
      <w:r>
        <w:rPr>
          <w:rFonts w:hAnsi="宋体"/>
          <w:bCs/>
        </w:rPr>
        <w:t>3.</w:t>
      </w:r>
      <w:r>
        <w:rPr>
          <w:rFonts w:hint="eastAsia" w:hAnsi="宋体"/>
          <w:bCs/>
        </w:rPr>
        <w:t>对谈判文件作出的实质性变动是谈判文件的有效组成部分，谈判小组应当及时以书面形式同时通知所有参加谈判的供应商。</w:t>
      </w:r>
    </w:p>
    <w:p>
      <w:pPr>
        <w:pStyle w:val="22"/>
        <w:spacing w:line="420" w:lineRule="exact"/>
        <w:ind w:firstLine="420" w:firstLineChars="200"/>
        <w:rPr>
          <w:rFonts w:hAnsi="宋体"/>
          <w:bCs/>
        </w:rPr>
      </w:pPr>
      <w:r>
        <w:rPr>
          <w:rFonts w:hint="eastAsia" w:hAnsi="宋体"/>
          <w:bCs/>
        </w:rPr>
        <w:t>4</w:t>
      </w:r>
      <w:r>
        <w:rPr>
          <w:rFonts w:hAnsi="宋体"/>
          <w:bCs/>
        </w:rPr>
        <w:t>.</w:t>
      </w:r>
      <w:r>
        <w:rPr>
          <w:rFonts w:hint="eastAsia" w:hAnsi="宋体"/>
          <w:bCs/>
        </w:rPr>
        <w:t>供应商应当按照谈判文件的变动情况和谈判小组的要求重新提交响应文件，并由其法定代表人或授权代表签名或者加盖公章。由授权代表签名的，应当附法定代表人授权书。</w:t>
      </w:r>
      <w:bookmarkStart w:id="129" w:name="_Hlk92985140"/>
      <w:r>
        <w:rPr>
          <w:rFonts w:hint="eastAsia" w:hAnsi="宋体"/>
          <w:bCs/>
        </w:rPr>
        <w:t>供应商为自然人的，应当由本人签名并附身份证明。</w:t>
      </w:r>
      <w:bookmarkEnd w:id="129"/>
      <w:r>
        <w:rPr>
          <w:rFonts w:hint="eastAsia" w:hAnsi="宋体"/>
          <w:bCs/>
        </w:rPr>
        <w:t>逾时不提交的，视同放弃谈判。</w:t>
      </w:r>
    </w:p>
    <w:p>
      <w:pPr>
        <w:pStyle w:val="22"/>
        <w:spacing w:line="420" w:lineRule="exact"/>
        <w:ind w:firstLine="420" w:firstLineChars="200"/>
        <w:rPr>
          <w:rFonts w:hAnsi="宋体"/>
          <w:bCs/>
        </w:rPr>
      </w:pPr>
      <w:r>
        <w:rPr>
          <w:rFonts w:hint="eastAsia" w:hAnsi="宋体"/>
          <w:bCs/>
        </w:rPr>
        <w:t>5</w:t>
      </w:r>
      <w:r>
        <w:rPr>
          <w:rFonts w:hAnsi="宋体"/>
          <w:bCs/>
        </w:rPr>
        <w:t>.</w:t>
      </w:r>
      <w:r>
        <w:rPr>
          <w:rFonts w:hint="eastAsia"/>
        </w:rPr>
        <w:t>已提交响应文件的供应商，在提交最后报价之前，可以根据谈判情况退出谈判。</w:t>
      </w:r>
    </w:p>
    <w:p>
      <w:pPr>
        <w:spacing w:line="420" w:lineRule="exact"/>
        <w:ind w:firstLine="211" w:firstLineChars="100"/>
        <w:rPr>
          <w:b/>
          <w:bCs/>
        </w:rPr>
      </w:pPr>
      <w:r>
        <w:rPr>
          <w:rFonts w:hint="eastAsia"/>
          <w:b/>
          <w:bCs/>
        </w:rPr>
        <w:t>（六）最后报价</w:t>
      </w:r>
    </w:p>
    <w:p>
      <w:pPr>
        <w:spacing w:line="420" w:lineRule="exact"/>
        <w:ind w:firstLine="420" w:firstLineChars="200"/>
      </w:pPr>
      <w:r>
        <w:t>1.</w:t>
      </w:r>
      <w:r>
        <w:rPr>
          <w:rFonts w:hint="eastAsia"/>
        </w:rPr>
        <w:t>谈判文件能够详细列明采购标的的技术、服务要求的，谈判结束后，谈判小组应当要求所有继续参加谈判的供应商在规定时间内提交最后报价，提交最后报价的供应商不得少于3家。</w:t>
      </w:r>
    </w:p>
    <w:p>
      <w:pPr>
        <w:spacing w:line="420" w:lineRule="exact"/>
        <w:ind w:firstLine="420" w:firstLineChars="200"/>
      </w:pPr>
      <w:r>
        <w:rPr>
          <w:rFonts w:hint="eastAsia"/>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spacing w:line="420" w:lineRule="exact"/>
        <w:ind w:firstLine="420" w:firstLineChars="200"/>
      </w:pPr>
      <w:r>
        <w:t>2.</w:t>
      </w:r>
      <w:r>
        <w:rPr>
          <w:rFonts w:hint="eastAsia"/>
        </w:rPr>
        <w:t>最后报价应由其法定代表人或授权代表签名或者加盖公章，最后报价即系供应商响应报价。</w:t>
      </w:r>
    </w:p>
    <w:p>
      <w:pPr>
        <w:spacing w:line="420" w:lineRule="exact"/>
        <w:ind w:firstLine="422" w:firstLineChars="200"/>
      </w:pPr>
      <w:r>
        <w:rPr>
          <w:rFonts w:hint="eastAsia"/>
          <w:b/>
          <w:bCs/>
        </w:rPr>
        <w:t>3</w:t>
      </w:r>
      <w:r>
        <w:rPr>
          <w:rFonts w:hint="eastAsia" w:ascii="宋体" w:hAnsi="宋体" w:cs="Courier New"/>
          <w:b/>
          <w:szCs w:val="21"/>
        </w:rPr>
        <w:t>.在报价评审时，如发现下列情形之一的，响应文件将被视为无效：</w:t>
      </w:r>
    </w:p>
    <w:p>
      <w:pPr>
        <w:snapToGrid w:val="0"/>
        <w:spacing w:line="420" w:lineRule="exact"/>
        <w:ind w:firstLine="420" w:firstLineChars="200"/>
        <w:rPr>
          <w:rFonts w:ascii="宋体" w:hAnsi="宋体"/>
          <w:szCs w:val="21"/>
        </w:rPr>
      </w:pPr>
      <w:bookmarkStart w:id="130" w:name="_Hlk112312387"/>
      <w:r>
        <w:rPr>
          <w:rFonts w:hint="eastAsia" w:ascii="宋体" w:hAnsi="宋体"/>
          <w:szCs w:val="21"/>
        </w:rPr>
        <w:t>(</w:t>
      </w:r>
      <w:r>
        <w:rPr>
          <w:rFonts w:ascii="宋体" w:hAnsi="宋体"/>
          <w:szCs w:val="21"/>
        </w:rPr>
        <w:t>1)</w:t>
      </w:r>
      <w:r>
        <w:rPr>
          <w:rFonts w:hint="eastAsia" w:ascii="宋体" w:hAnsi="宋体"/>
          <w:szCs w:val="21"/>
        </w:rPr>
        <w:t>报价未采用人民币或者未按照采购文件标明的币种报价的；</w:t>
      </w:r>
    </w:p>
    <w:p>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报价明细表中货物品牌、规格、型号、服务事项未明确或与响应文件中相应内容不一致的；</w:t>
      </w:r>
    </w:p>
    <w:p>
      <w:pPr>
        <w:snapToGrid w:val="0"/>
        <w:spacing w:line="420" w:lineRule="exact"/>
        <w:ind w:firstLine="420" w:firstLineChars="200"/>
        <w:rPr>
          <w:rFonts w:ascii="宋体" w:hAnsi="宋体"/>
          <w:szCs w:val="21"/>
        </w:rPr>
      </w:pPr>
      <w:r>
        <w:rPr>
          <w:rFonts w:ascii="宋体" w:hAnsi="宋体"/>
          <w:szCs w:val="21"/>
        </w:rPr>
        <w:t>(3)</w:t>
      </w:r>
      <w:r>
        <w:rPr>
          <w:rFonts w:hint="eastAsia" w:ascii="宋体" w:hAnsi="宋体"/>
          <w:szCs w:val="21"/>
        </w:rPr>
        <w:t>报价具有选择性的；</w:t>
      </w:r>
    </w:p>
    <w:p>
      <w:pPr>
        <w:snapToGrid w:val="0"/>
        <w:spacing w:line="420" w:lineRule="exact"/>
        <w:ind w:firstLine="420" w:firstLineChars="200"/>
        <w:rPr>
          <w:rFonts w:ascii="宋体" w:hAnsi="宋体"/>
          <w:szCs w:val="21"/>
        </w:rPr>
      </w:pPr>
      <w:r>
        <w:rPr>
          <w:rFonts w:ascii="宋体" w:hAnsi="宋体"/>
          <w:szCs w:val="21"/>
        </w:rPr>
        <w:t>(4)</w:t>
      </w:r>
      <w:r>
        <w:rPr>
          <w:rFonts w:hint="eastAsia" w:ascii="宋体" w:hAnsi="宋体"/>
          <w:szCs w:val="21"/>
        </w:rPr>
        <w:t>报价未按采购文件或政府采购云平台规定的格式填写，或未在规定时间内提交最后报价的。</w:t>
      </w:r>
    </w:p>
    <w:bookmarkEnd w:id="130"/>
    <w:p>
      <w:pPr>
        <w:spacing w:line="420" w:lineRule="exact"/>
        <w:ind w:firstLine="211" w:firstLineChars="100"/>
        <w:rPr>
          <w:b/>
          <w:bCs/>
        </w:rPr>
      </w:pPr>
      <w:r>
        <w:rPr>
          <w:rFonts w:hint="eastAsia"/>
          <w:b/>
          <w:bCs/>
        </w:rPr>
        <w:t>（七）澄清、说明或者更正的形式</w:t>
      </w:r>
    </w:p>
    <w:p>
      <w:pPr>
        <w:pStyle w:val="22"/>
        <w:spacing w:line="420" w:lineRule="exact"/>
        <w:ind w:firstLine="420"/>
        <w:rPr>
          <w:rFonts w:hAnsi="宋体"/>
          <w:bCs/>
        </w:rPr>
      </w:pPr>
      <w:r>
        <w:rPr>
          <w:rFonts w:hint="eastAsia" w:hAnsi="宋体"/>
          <w:bCs/>
        </w:rPr>
        <w:t>1</w:t>
      </w:r>
      <w:r>
        <w:rPr>
          <w:rFonts w:hAnsi="宋体"/>
          <w:bCs/>
        </w:rPr>
        <w:t>.</w:t>
      </w:r>
      <w:r>
        <w:rPr>
          <w:rFonts w:hint="eastAsia" w:hAnsi="宋体"/>
          <w:bCs/>
        </w:rPr>
        <w:t>谈判小组在对响应文件的有效性、完整性和响应程度进行审查时，可以要求供应商对响应文件中含义不明确、同类问题表述不一致或者有明显文字和计算错误的内容等作出必要的</w:t>
      </w:r>
      <w:bookmarkStart w:id="131" w:name="_Hlk92462362"/>
      <w:r>
        <w:rPr>
          <w:rFonts w:hint="eastAsia" w:hAnsi="宋体"/>
          <w:bCs/>
        </w:rPr>
        <w:t>澄清、说明或者更正</w:t>
      </w:r>
      <w:bookmarkEnd w:id="131"/>
      <w:r>
        <w:rPr>
          <w:rFonts w:hint="eastAsia" w:hAnsi="宋体"/>
          <w:bCs/>
        </w:rPr>
        <w:t>。供应商的澄清、说明或者更正不得超出响应文件的范围或者改变响应文件的实质性内容。</w:t>
      </w:r>
    </w:p>
    <w:p>
      <w:pPr>
        <w:pStyle w:val="22"/>
        <w:spacing w:line="420" w:lineRule="exact"/>
        <w:ind w:firstLine="420"/>
        <w:rPr>
          <w:rFonts w:hAnsi="宋体"/>
          <w:bCs/>
        </w:rPr>
      </w:pPr>
      <w:r>
        <w:rPr>
          <w:rFonts w:hint="eastAsia" w:hAnsi="宋体"/>
          <w:bCs/>
        </w:rPr>
        <w:t>2</w:t>
      </w:r>
      <w:r>
        <w:rPr>
          <w:rFonts w:hAnsi="宋体"/>
          <w:bCs/>
        </w:rPr>
        <w:t>.</w:t>
      </w:r>
      <w:r>
        <w:rPr>
          <w:rFonts w:hint="eastAsia" w:hAnsi="宋体"/>
          <w:bCs/>
        </w:rPr>
        <w:t>谈判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pPr>
        <w:spacing w:line="420" w:lineRule="exact"/>
        <w:ind w:firstLine="211" w:firstLineChars="100"/>
        <w:rPr>
          <w:b/>
          <w:bCs/>
        </w:rPr>
      </w:pPr>
      <w:r>
        <w:rPr>
          <w:rFonts w:hint="eastAsia"/>
          <w:b/>
          <w:bCs/>
        </w:rPr>
        <w:t>（八）评定标准及推荐原则</w:t>
      </w:r>
    </w:p>
    <w:p>
      <w:pPr>
        <w:spacing w:line="420" w:lineRule="exact"/>
        <w:ind w:firstLine="420" w:firstLineChars="200"/>
      </w:pPr>
      <w:r>
        <w:rPr>
          <w:rFonts w:hint="eastAsia" w:ascii="宋体" w:hAnsi="Courier New" w:cs="Courier New"/>
          <w:szCs w:val="21"/>
        </w:rPr>
        <w:t>详见第四章《评定标准及推荐原则》。</w:t>
      </w:r>
    </w:p>
    <w:p>
      <w:pPr>
        <w:pStyle w:val="22"/>
        <w:spacing w:line="420" w:lineRule="exact"/>
        <w:ind w:firstLine="211" w:firstLineChars="100"/>
        <w:rPr>
          <w:rFonts w:hAnsi="宋体"/>
          <w:b/>
        </w:rPr>
      </w:pPr>
      <w:r>
        <w:rPr>
          <w:rFonts w:hint="eastAsia" w:hAnsi="宋体"/>
          <w:b/>
        </w:rPr>
        <w:t>（九）供应商有下列情形之一的，属于恶意串通：</w:t>
      </w:r>
    </w:p>
    <w:p>
      <w:pPr>
        <w:pStyle w:val="22"/>
        <w:spacing w:line="420" w:lineRule="exact"/>
        <w:ind w:firstLine="420" w:firstLineChars="200"/>
        <w:rPr>
          <w:rFonts w:hAnsi="宋体" w:cs="Times New Roman"/>
        </w:rPr>
      </w:pPr>
      <w:r>
        <w:rPr>
          <w:rFonts w:hint="eastAsia" w:hAnsi="宋体" w:cs="Times New Roman"/>
        </w:rPr>
        <w:t>1</w:t>
      </w:r>
      <w:r>
        <w:rPr>
          <w:rFonts w:hAnsi="宋体" w:cs="Times New Roman"/>
        </w:rPr>
        <w:t>.</w:t>
      </w:r>
      <w:r>
        <w:rPr>
          <w:rFonts w:hint="eastAsia" w:hAnsi="宋体" w:cs="Times New Roman"/>
        </w:rPr>
        <w:t>供应商直接或者间接从采购人或者采购代理机构处获得其他供应商的相关情况并修改其响应文件；</w:t>
      </w:r>
    </w:p>
    <w:p>
      <w:pPr>
        <w:pStyle w:val="22"/>
        <w:spacing w:line="420" w:lineRule="exact"/>
        <w:ind w:firstLine="420" w:firstLineChars="200"/>
        <w:rPr>
          <w:rFonts w:hAnsi="宋体" w:cs="Times New Roman"/>
        </w:rPr>
      </w:pPr>
      <w:r>
        <w:rPr>
          <w:rFonts w:hint="eastAsia" w:hAnsi="宋体" w:cs="Times New Roman"/>
        </w:rPr>
        <w:t>2</w:t>
      </w:r>
      <w:r>
        <w:rPr>
          <w:rFonts w:hAnsi="宋体" w:cs="Times New Roman"/>
        </w:rPr>
        <w:t>.</w:t>
      </w:r>
      <w:r>
        <w:rPr>
          <w:rFonts w:hint="eastAsia" w:hAnsi="宋体" w:cs="Times New Roman"/>
        </w:rPr>
        <w:t>供应商按照采购人或者采购代理机构的授意撤换、修改响应文件；</w:t>
      </w:r>
    </w:p>
    <w:p>
      <w:pPr>
        <w:pStyle w:val="22"/>
        <w:spacing w:line="420" w:lineRule="exact"/>
        <w:ind w:firstLine="420" w:firstLineChars="200"/>
        <w:rPr>
          <w:rFonts w:hAnsi="宋体" w:cs="Times New Roman"/>
        </w:rPr>
      </w:pPr>
      <w:r>
        <w:rPr>
          <w:rFonts w:hint="eastAsia" w:hAnsi="宋体" w:cs="Times New Roman"/>
        </w:rPr>
        <w:t>3</w:t>
      </w:r>
      <w:r>
        <w:rPr>
          <w:rFonts w:hAnsi="宋体" w:cs="Times New Roman"/>
        </w:rPr>
        <w:t>.</w:t>
      </w:r>
      <w:r>
        <w:rPr>
          <w:rFonts w:hint="eastAsia" w:hAnsi="宋体" w:cs="Times New Roman"/>
        </w:rPr>
        <w:t>供应商之间协商报价、技术方案等响应文件的实质性内容；</w:t>
      </w:r>
    </w:p>
    <w:p>
      <w:pPr>
        <w:pStyle w:val="22"/>
        <w:spacing w:line="420" w:lineRule="exact"/>
        <w:ind w:firstLine="420" w:firstLineChars="200"/>
        <w:rPr>
          <w:rFonts w:hAnsi="宋体" w:cs="Times New Roman"/>
        </w:rPr>
      </w:pPr>
      <w:r>
        <w:rPr>
          <w:rFonts w:hint="eastAsia" w:hAnsi="宋体" w:cs="Times New Roman"/>
        </w:rPr>
        <w:t>4</w:t>
      </w:r>
      <w:r>
        <w:rPr>
          <w:rFonts w:hAnsi="宋体" w:cs="Times New Roman"/>
        </w:rPr>
        <w:t>.</w:t>
      </w:r>
      <w:r>
        <w:rPr>
          <w:rFonts w:hint="eastAsia" w:hAnsi="宋体" w:cs="Times New Roman"/>
        </w:rPr>
        <w:t>属于同一集团、协会、商会等组织成员的供应商按照该组织要求协同参加政府采购活动；</w:t>
      </w:r>
    </w:p>
    <w:p>
      <w:pPr>
        <w:pStyle w:val="22"/>
        <w:spacing w:line="420" w:lineRule="exact"/>
        <w:ind w:firstLine="420" w:firstLineChars="200"/>
        <w:rPr>
          <w:rFonts w:hAnsi="宋体" w:cs="Times New Roman"/>
        </w:rPr>
      </w:pPr>
      <w:r>
        <w:rPr>
          <w:rFonts w:hint="eastAsia" w:hAnsi="宋体" w:cs="Times New Roman"/>
        </w:rPr>
        <w:t>5</w:t>
      </w:r>
      <w:r>
        <w:rPr>
          <w:rFonts w:hAnsi="宋体" w:cs="Times New Roman"/>
        </w:rPr>
        <w:t>.</w:t>
      </w:r>
      <w:r>
        <w:rPr>
          <w:rFonts w:hint="eastAsia" w:hAnsi="宋体" w:cs="Times New Roman"/>
        </w:rPr>
        <w:t>供应商之间事先约定由某一特定供应商成交；</w:t>
      </w:r>
    </w:p>
    <w:p>
      <w:pPr>
        <w:pStyle w:val="22"/>
        <w:spacing w:line="420" w:lineRule="exact"/>
        <w:ind w:firstLine="420" w:firstLineChars="200"/>
        <w:rPr>
          <w:rFonts w:hAnsi="宋体" w:cs="Times New Roman"/>
        </w:rPr>
      </w:pPr>
      <w:r>
        <w:rPr>
          <w:rFonts w:hint="eastAsia" w:hAnsi="宋体" w:cs="Times New Roman"/>
        </w:rPr>
        <w:t>6</w:t>
      </w:r>
      <w:r>
        <w:rPr>
          <w:rFonts w:hAnsi="宋体" w:cs="Times New Roman"/>
        </w:rPr>
        <w:t>.</w:t>
      </w:r>
      <w:r>
        <w:rPr>
          <w:rFonts w:hint="eastAsia" w:hAnsi="宋体" w:cs="Times New Roman"/>
        </w:rPr>
        <w:t>供应商之间商定部分供应商放弃参加政府采购活动或者放弃成交；</w:t>
      </w:r>
    </w:p>
    <w:p>
      <w:pPr>
        <w:pStyle w:val="22"/>
        <w:spacing w:line="420" w:lineRule="exact"/>
        <w:ind w:firstLine="420" w:firstLineChars="200"/>
        <w:rPr>
          <w:rFonts w:hAnsi="宋体" w:cs="Times New Roman"/>
        </w:rPr>
      </w:pPr>
      <w:r>
        <w:rPr>
          <w:rFonts w:hint="eastAsia" w:hAnsi="宋体" w:cs="Times New Roman"/>
        </w:rPr>
        <w:t>7</w:t>
      </w:r>
      <w:r>
        <w:rPr>
          <w:rFonts w:hAnsi="宋体" w:cs="Times New Roman"/>
        </w:rPr>
        <w:t>.</w:t>
      </w:r>
      <w:r>
        <w:rPr>
          <w:rFonts w:hint="eastAsia" w:hAnsi="宋体" w:cs="Times New Roman"/>
        </w:rPr>
        <w:t>供应商与采购人或者采购代理机构之间、供应商相互之间，为谋求特定供应商成交或者排斥其他供应商的其他串通行为。</w:t>
      </w:r>
    </w:p>
    <w:p>
      <w:pPr>
        <w:pStyle w:val="22"/>
        <w:spacing w:line="420" w:lineRule="exact"/>
        <w:ind w:firstLine="211" w:firstLineChars="100"/>
        <w:rPr>
          <w:rFonts w:hAnsi="宋体"/>
          <w:b/>
        </w:rPr>
      </w:pPr>
      <w:r>
        <w:rPr>
          <w:rFonts w:hint="eastAsia" w:hAnsi="宋体"/>
          <w:b/>
        </w:rPr>
        <w:t>（十）评审报告</w:t>
      </w:r>
    </w:p>
    <w:p>
      <w:pPr>
        <w:widowControl/>
        <w:tabs>
          <w:tab w:val="left" w:pos="540"/>
        </w:tabs>
        <w:spacing w:line="420" w:lineRule="exact"/>
        <w:ind w:firstLine="420" w:firstLineChars="200"/>
        <w:jc w:val="left"/>
        <w:rPr>
          <w:szCs w:val="21"/>
        </w:rPr>
      </w:pPr>
      <w:r>
        <w:rPr>
          <w:rFonts w:hint="eastAsia"/>
          <w:szCs w:val="21"/>
        </w:rPr>
        <w:t>1</w:t>
      </w:r>
      <w:r>
        <w:rPr>
          <w:szCs w:val="21"/>
        </w:rPr>
        <w:t>.</w:t>
      </w:r>
      <w:r>
        <w:rPr>
          <w:rFonts w:hint="eastAsia"/>
          <w:szCs w:val="21"/>
        </w:rPr>
        <w:t>谈判小组应当根据评审记录和评审结果编写评审报告，主要内容包括：</w:t>
      </w:r>
    </w:p>
    <w:p>
      <w:pPr>
        <w:widowControl/>
        <w:tabs>
          <w:tab w:val="left" w:pos="540"/>
        </w:tabs>
        <w:spacing w:line="420" w:lineRule="exact"/>
        <w:ind w:firstLine="420" w:firstLineChars="200"/>
        <w:jc w:val="left"/>
        <w:rPr>
          <w:szCs w:val="21"/>
        </w:rPr>
      </w:pPr>
      <w:r>
        <w:rPr>
          <w:rFonts w:hint="eastAsia"/>
          <w:szCs w:val="21"/>
        </w:rPr>
        <w:t>(</w:t>
      </w:r>
      <w:r>
        <w:rPr>
          <w:szCs w:val="21"/>
        </w:rPr>
        <w:t>1)</w:t>
      </w:r>
      <w:r>
        <w:rPr>
          <w:rFonts w:hint="eastAsia"/>
          <w:szCs w:val="21"/>
        </w:rPr>
        <w:t>邀请供应商参加采购活动的具体方式和相关情况，以及参加采购活动的供应商名单；</w:t>
      </w:r>
    </w:p>
    <w:p>
      <w:pPr>
        <w:widowControl/>
        <w:tabs>
          <w:tab w:val="left" w:pos="540"/>
        </w:tabs>
        <w:spacing w:line="420" w:lineRule="exact"/>
        <w:ind w:firstLine="420" w:firstLineChars="200"/>
        <w:jc w:val="left"/>
        <w:rPr>
          <w:szCs w:val="21"/>
        </w:rPr>
      </w:pPr>
      <w:r>
        <w:rPr>
          <w:rFonts w:hint="eastAsia"/>
          <w:szCs w:val="21"/>
        </w:rPr>
        <w:t>(</w:t>
      </w:r>
      <w:r>
        <w:rPr>
          <w:szCs w:val="21"/>
        </w:rPr>
        <w:t>2)</w:t>
      </w:r>
      <w:r>
        <w:rPr>
          <w:rFonts w:hint="eastAsia"/>
          <w:szCs w:val="21"/>
        </w:rPr>
        <w:t>评审日期和地点，谈判小组成员名单；</w:t>
      </w:r>
    </w:p>
    <w:p>
      <w:pPr>
        <w:widowControl/>
        <w:tabs>
          <w:tab w:val="left" w:pos="540"/>
        </w:tabs>
        <w:spacing w:line="420" w:lineRule="exact"/>
        <w:ind w:firstLine="420" w:firstLineChars="200"/>
        <w:jc w:val="left"/>
        <w:rPr>
          <w:szCs w:val="21"/>
        </w:rPr>
      </w:pPr>
      <w:r>
        <w:rPr>
          <w:rFonts w:hint="eastAsia"/>
          <w:szCs w:val="21"/>
        </w:rPr>
        <w:t>(</w:t>
      </w:r>
      <w:r>
        <w:rPr>
          <w:szCs w:val="21"/>
        </w:rPr>
        <w:t>3)</w:t>
      </w:r>
      <w:r>
        <w:rPr>
          <w:rFonts w:hint="eastAsia"/>
          <w:szCs w:val="21"/>
        </w:rPr>
        <w:t>评审情况记录和说明，包括对供应商的资格审查情况、供应商响应文件评审情况、谈判情况、报价情况等；</w:t>
      </w:r>
    </w:p>
    <w:p>
      <w:pPr>
        <w:widowControl/>
        <w:tabs>
          <w:tab w:val="left" w:pos="540"/>
        </w:tabs>
        <w:spacing w:line="420" w:lineRule="exact"/>
        <w:ind w:firstLine="420" w:firstLineChars="200"/>
        <w:jc w:val="left"/>
        <w:rPr>
          <w:szCs w:val="21"/>
        </w:rPr>
      </w:pPr>
      <w:r>
        <w:rPr>
          <w:rFonts w:hint="eastAsia"/>
        </w:rPr>
        <w:t>(</w:t>
      </w:r>
      <w:r>
        <w:t>4)</w:t>
      </w:r>
      <w:r>
        <w:rPr>
          <w:rFonts w:hint="eastAsia"/>
        </w:rPr>
        <w:t>提出的成交候选人的名单及理由。</w:t>
      </w:r>
      <w:r>
        <w:rPr>
          <w:rFonts w:hint="eastAsia"/>
        </w:rPr>
        <w:br w:type="textWrapping"/>
      </w:r>
      <w:r>
        <w:rPr>
          <w:rFonts w:hint="eastAsia"/>
        </w:rPr>
        <w:t>　　2</w:t>
      </w:r>
      <w:r>
        <w:t>.</w:t>
      </w:r>
      <w:r>
        <w:rPr>
          <w:rFonts w:hint="eastAsia"/>
        </w:rPr>
        <w:t>评审报告应当由谈判小组全体人员签名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名又不书面说明其不同意见和理由的，视为同意评审报告。</w:t>
      </w:r>
    </w:p>
    <w:p>
      <w:pPr>
        <w:pStyle w:val="22"/>
        <w:spacing w:line="420" w:lineRule="exact"/>
        <w:ind w:firstLine="211" w:firstLineChars="100"/>
        <w:rPr>
          <w:rFonts w:hAnsi="宋体"/>
        </w:rPr>
      </w:pPr>
      <w:r>
        <w:rPr>
          <w:rFonts w:hint="eastAsia" w:hAnsi="宋体"/>
          <w:b/>
          <w:bCs/>
        </w:rPr>
        <w:t>（十一）</w:t>
      </w:r>
      <w:r>
        <w:rPr>
          <w:rFonts w:hint="eastAsia" w:hAnsi="宋体"/>
          <w:b/>
        </w:rPr>
        <w:t>出现下列情形之一的，本中心将终止竞争性谈判采购活动：</w:t>
      </w:r>
    </w:p>
    <w:p>
      <w:pPr>
        <w:pStyle w:val="22"/>
        <w:spacing w:line="420" w:lineRule="exact"/>
        <w:ind w:firstLine="420" w:firstLineChars="200"/>
        <w:rPr>
          <w:rFonts w:hAnsi="宋体"/>
        </w:rPr>
      </w:pPr>
      <w:r>
        <w:rPr>
          <w:rFonts w:hint="eastAsia" w:hAnsi="宋体"/>
        </w:rPr>
        <w:t>1</w:t>
      </w:r>
      <w:r>
        <w:rPr>
          <w:rFonts w:hAnsi="宋体"/>
        </w:rPr>
        <w:t>.</w:t>
      </w:r>
      <w:r>
        <w:rPr>
          <w:rFonts w:hint="eastAsia" w:hAnsi="宋体"/>
        </w:rPr>
        <w:t>因情况变化，不再符合规定的竞争性谈判采购方式适用情形的；</w:t>
      </w:r>
    </w:p>
    <w:p>
      <w:pPr>
        <w:pStyle w:val="22"/>
        <w:spacing w:line="420" w:lineRule="exact"/>
        <w:ind w:firstLine="420" w:firstLineChars="200"/>
        <w:rPr>
          <w:rFonts w:hAnsi="宋体"/>
        </w:rPr>
      </w:pPr>
      <w:r>
        <w:rPr>
          <w:rFonts w:hint="eastAsia" w:hAnsi="宋体"/>
        </w:rPr>
        <w:t>2</w:t>
      </w:r>
      <w:r>
        <w:rPr>
          <w:rFonts w:hAnsi="宋体"/>
        </w:rPr>
        <w:t>.</w:t>
      </w:r>
      <w:r>
        <w:rPr>
          <w:rFonts w:hint="eastAsia" w:hAnsi="宋体"/>
        </w:rPr>
        <w:t>出现影响采购公正的违法、违规行为的；</w:t>
      </w:r>
    </w:p>
    <w:p>
      <w:pPr>
        <w:pStyle w:val="22"/>
        <w:spacing w:line="420" w:lineRule="exact"/>
        <w:ind w:firstLine="420" w:firstLineChars="200"/>
        <w:rPr>
          <w:rFonts w:hAnsi="宋体"/>
        </w:rPr>
      </w:pPr>
      <w:r>
        <w:rPr>
          <w:rFonts w:hint="eastAsia" w:hAnsi="宋体"/>
        </w:rPr>
        <w:t>3</w:t>
      </w:r>
      <w:r>
        <w:rPr>
          <w:rFonts w:hAnsi="宋体"/>
        </w:rPr>
        <w:t>.</w:t>
      </w:r>
      <w:r>
        <w:rPr>
          <w:rFonts w:hint="eastAsia" w:hAnsi="宋体"/>
        </w:rPr>
        <w:t>在采购过程中符合竞争要求的供应商或者报价未超过采购预算的供应商不足3家的。</w:t>
      </w:r>
    </w:p>
    <w:p>
      <w:pPr>
        <w:pStyle w:val="4"/>
        <w:spacing w:line="420" w:lineRule="exact"/>
      </w:pPr>
      <w:r>
        <w:rPr>
          <w:rFonts w:hint="eastAsia"/>
        </w:rPr>
        <w:t>六、确定成交供应商</w:t>
      </w:r>
    </w:p>
    <w:p>
      <w:pPr>
        <w:pStyle w:val="22"/>
        <w:spacing w:line="420" w:lineRule="exact"/>
        <w:ind w:firstLine="420"/>
        <w:rPr>
          <w:rFonts w:hAnsi="宋体"/>
        </w:rPr>
      </w:pPr>
      <w:r>
        <w:rPr>
          <w:rFonts w:hint="eastAsia" w:hAnsi="宋体"/>
        </w:rPr>
        <w:t>1</w:t>
      </w:r>
      <w:r>
        <w:rPr>
          <w:rFonts w:hAnsi="宋体"/>
        </w:rPr>
        <w:t>.</w:t>
      </w:r>
      <w:r>
        <w:rPr>
          <w:rFonts w:hint="eastAsia" w:hAnsi="宋体"/>
        </w:rPr>
        <w:t>本中心应当在评审结束后2个工作日内将评审报告送采购人确认。</w:t>
      </w:r>
    </w:p>
    <w:p>
      <w:pPr>
        <w:pStyle w:val="22"/>
        <w:spacing w:line="420" w:lineRule="exact"/>
        <w:ind w:firstLine="420"/>
        <w:rPr>
          <w:rFonts w:hAnsi="宋体"/>
        </w:rPr>
      </w:pPr>
      <w:r>
        <w:rPr>
          <w:rFonts w:hAnsi="宋体"/>
        </w:rPr>
        <w:t>2.</w:t>
      </w:r>
      <w:r>
        <w:rPr>
          <w:rFonts w:hint="eastAsia" w:hAnsi="宋体"/>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4"/>
        <w:spacing w:line="420" w:lineRule="exact"/>
      </w:pPr>
      <w:r>
        <w:rPr>
          <w:rFonts w:hint="eastAsia"/>
        </w:rPr>
        <w:t>七、结果公告</w:t>
      </w:r>
    </w:p>
    <w:p>
      <w:pPr>
        <w:pStyle w:val="22"/>
        <w:spacing w:line="420" w:lineRule="exact"/>
        <w:ind w:firstLine="420" w:firstLineChars="200"/>
        <w:rPr>
          <w:rFonts w:hAnsi="宋体"/>
        </w:rPr>
      </w:pPr>
      <w:r>
        <w:rPr>
          <w:rFonts w:hint="eastAsia" w:hAnsi="宋体"/>
        </w:rPr>
        <w:t>本中心在成交供应商确定后2个工作日内，</w:t>
      </w:r>
      <w:r>
        <w:rPr>
          <w:rFonts w:hint="eastAsia"/>
        </w:rPr>
        <w:t>在省级以上财政部门指定的媒体上公告</w:t>
      </w:r>
      <w:r>
        <w:rPr>
          <w:rFonts w:hint="eastAsia" w:hAnsi="宋体"/>
        </w:rPr>
        <w:t>成交结果，同时向成交供应商发出成交通知书。</w:t>
      </w:r>
    </w:p>
    <w:p>
      <w:pPr>
        <w:pStyle w:val="4"/>
        <w:spacing w:line="420" w:lineRule="exact"/>
      </w:pPr>
      <w:r>
        <w:rPr>
          <w:rFonts w:hint="eastAsia"/>
        </w:rPr>
        <w:t>八、签订合同</w:t>
      </w:r>
    </w:p>
    <w:p>
      <w:pPr>
        <w:spacing w:line="420" w:lineRule="exact"/>
        <w:ind w:firstLine="210" w:firstLineChars="100"/>
        <w:rPr>
          <w:rFonts w:ascii="宋体" w:hAnsi="宋体" w:cs="Courier New"/>
          <w:szCs w:val="21"/>
        </w:rPr>
      </w:pPr>
      <w:r>
        <w:rPr>
          <w:rFonts w:hint="eastAsia" w:ascii="宋体" w:hAnsi="宋体"/>
          <w:szCs w:val="21"/>
        </w:rPr>
        <w:t>（一）</w:t>
      </w:r>
      <w:r>
        <w:rPr>
          <w:rFonts w:hint="eastAsia" w:ascii="宋体" w:hAnsi="宋体" w:cs="Courier New"/>
          <w:szCs w:val="21"/>
        </w:rPr>
        <w:t>采购人与成交供应商应当在成交通知书发出之日起</w:t>
      </w:r>
      <w:r>
        <w:rPr>
          <w:rFonts w:ascii="宋体" w:hAnsi="宋体" w:cs="Courier New"/>
          <w:szCs w:val="21"/>
        </w:rPr>
        <w:t>15</w:t>
      </w:r>
      <w:r>
        <w:rPr>
          <w:rFonts w:hint="eastAsia" w:ascii="宋体" w:hAnsi="宋体" w:cs="Courier New"/>
          <w:szCs w:val="21"/>
        </w:rPr>
        <w:t>日内，</w:t>
      </w:r>
      <w:r>
        <w:rPr>
          <w:rFonts w:hint="eastAsia"/>
          <w:szCs w:val="21"/>
        </w:rPr>
        <w:t>按照采购文件确定的合同文本以及采购标的、规格型号、采购金额、采购数量、技术和服务要求等事项签订政府采购合同。</w:t>
      </w:r>
    </w:p>
    <w:p>
      <w:pPr>
        <w:widowControl/>
        <w:spacing w:line="420" w:lineRule="exact"/>
        <w:ind w:firstLine="210" w:firstLineChars="100"/>
        <w:jc w:val="left"/>
        <w:rPr>
          <w:rFonts w:ascii="宋体" w:hAnsi="宋体" w:cs="宋体"/>
          <w:kern w:val="0"/>
          <w:szCs w:val="21"/>
        </w:rPr>
      </w:pPr>
      <w:r>
        <w:rPr>
          <w:rFonts w:hint="eastAsia" w:ascii="宋体" w:hAnsi="宋体" w:cs="Courier New"/>
          <w:szCs w:val="21"/>
        </w:rPr>
        <w:t>（二）</w:t>
      </w:r>
      <w:r>
        <w:rPr>
          <w:rFonts w:hint="eastAsia" w:ascii="宋体" w:hAnsi="宋体" w:cs="宋体"/>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（三）供应商可凭成交通知书或政府采购合同等在内的相关材料、信息，通过中征应收账款融资服务平台向银行业金融机构在线申请“政采贷”融资。</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（四）除不可抗力等因素外，成交通知书发出后，采购人改变成交结果，或者成交供应商拒绝签订政府采购合同的，应当承担相应的法律责任。</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（五）</w:t>
      </w:r>
      <w:r>
        <w:rPr>
          <w:rFonts w:ascii="Arial" w:hAnsi="Arial" w:cs="Arial"/>
          <w:kern w:val="0"/>
          <w:szCs w:val="21"/>
        </w:rPr>
        <w:t>政府采购合同</w:t>
      </w:r>
      <w:r>
        <w:rPr>
          <w:rFonts w:hint="eastAsia" w:ascii="Arial" w:hAnsi="Arial" w:cs="Arial"/>
          <w:kern w:val="0"/>
          <w:szCs w:val="21"/>
        </w:rPr>
        <w:t>适用《中华人民共和国民法典》</w:t>
      </w:r>
      <w:r>
        <w:rPr>
          <w:rFonts w:ascii="Arial" w:hAnsi="Arial" w:cs="Arial"/>
          <w:kern w:val="0"/>
          <w:szCs w:val="21"/>
        </w:rPr>
        <w:t>。</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pPr>
        <w:pStyle w:val="4"/>
        <w:spacing w:line="420" w:lineRule="exact"/>
      </w:pPr>
      <w:r>
        <w:rPr>
          <w:rFonts w:hint="eastAsia"/>
        </w:rPr>
        <w:t>九、适用法律</w:t>
      </w:r>
    </w:p>
    <w:p>
      <w:pPr>
        <w:spacing w:line="420" w:lineRule="exact"/>
        <w:ind w:firstLine="420" w:firstLineChars="200"/>
        <w:rPr>
          <w:rFonts w:ascii="宋体" w:hAnsi="宋体"/>
          <w:szCs w:val="21"/>
        </w:rPr>
      </w:pPr>
      <w:bookmarkStart w:id="132" w:name="_Hlk92794186"/>
      <w:r>
        <w:rPr>
          <w:rFonts w:hint="eastAsia" w:ascii="宋体" w:hAnsi="宋体"/>
          <w:szCs w:val="21"/>
        </w:rPr>
        <w:t>本项目采购活动适用于《中华人民共和国政府采购法》及其实施条例、《政府采购非招标采购方式管理办法》等规定。</w:t>
      </w:r>
    </w:p>
    <w:bookmarkEnd w:id="132"/>
    <w:p>
      <w:pPr>
        <w:pStyle w:val="4"/>
        <w:spacing w:line="420" w:lineRule="exact"/>
      </w:pPr>
      <w:bookmarkStart w:id="133" w:name="_十、其他事项"/>
      <w:bookmarkEnd w:id="133"/>
      <w:r>
        <w:rPr>
          <w:rFonts w:hint="eastAsia"/>
        </w:rPr>
        <w:t>十、其他事项</w:t>
      </w:r>
    </w:p>
    <w:p>
      <w:pPr>
        <w:spacing w:line="420" w:lineRule="exact"/>
        <w:ind w:firstLine="210" w:firstLineChars="100"/>
        <w:rPr>
          <w:rFonts w:hAnsi="宋体"/>
        </w:rPr>
      </w:pPr>
      <w:r>
        <w:rPr>
          <w:rFonts w:hint="eastAsia" w:hAnsi="宋体"/>
        </w:rPr>
        <w:t>（一）代理服务费</w:t>
      </w:r>
    </w:p>
    <w:p>
      <w:pPr>
        <w:spacing w:line="420" w:lineRule="exact"/>
        <w:ind w:firstLine="420" w:firstLineChars="200"/>
        <w:rPr>
          <w:rFonts w:hAnsi="宋体"/>
        </w:rPr>
      </w:pPr>
      <w:r>
        <w:rPr>
          <w:rFonts w:hint="eastAsia" w:hAnsi="宋体"/>
        </w:rPr>
        <w:t>1</w:t>
      </w:r>
      <w:r>
        <w:rPr>
          <w:rFonts w:hAnsi="宋体"/>
        </w:rPr>
        <w:t>.</w:t>
      </w:r>
      <w:r>
        <w:rPr>
          <w:rFonts w:hint="eastAsia" w:hAnsi="宋体"/>
        </w:rPr>
        <w:t>本中心按钦州市物价局“钦市价费﹝2013﹞4号”文件规定向成交供应商收取代理服务费，成交供应商须向本中心一次付清代理服务费。</w:t>
      </w:r>
    </w:p>
    <w:p>
      <w:pPr>
        <w:spacing w:line="420" w:lineRule="exact"/>
        <w:ind w:firstLine="420" w:firstLineChars="200"/>
        <w:rPr>
          <w:rFonts w:hAnsi="宋体"/>
        </w:rPr>
      </w:pPr>
      <w:r>
        <w:rPr>
          <w:rFonts w:hint="eastAsia" w:hAnsi="宋体"/>
        </w:rPr>
        <w:t>2</w:t>
      </w:r>
      <w:r>
        <w:rPr>
          <w:rFonts w:hAnsi="宋体"/>
        </w:rPr>
        <w:t>.</w:t>
      </w:r>
      <w:r>
        <w:rPr>
          <w:rFonts w:hint="eastAsia" w:hAnsi="宋体"/>
          <w:bCs/>
        </w:rPr>
        <w:t>代理服务收费标准：</w:t>
      </w:r>
    </w:p>
    <w:tbl>
      <w:tblPr>
        <w:tblStyle w:val="34"/>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pPr>
              <w:spacing w:line="330" w:lineRule="exact"/>
              <w:ind w:firstLine="2310" w:firstLineChars="1100"/>
              <w:rPr>
                <w:rFonts w:hAnsi="宋体"/>
              </w:rPr>
            </w:pPr>
            <w:r>
              <w:rPr>
                <w:rFonts w:hAnsi="宋体"/>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fill on="f" focussize="0,0"/>
                      <v:stroke color="#000000" joinstyle="round"/>
                      <v:imagedata o:title=""/>
                      <o:lock v:ext="edit" aspectratio="f"/>
                    </v:line>
                  </w:pict>
                </mc:Fallback>
              </mc:AlternateContent>
            </w:r>
            <w:r>
              <w:rPr>
                <w:rFonts w:hAnsi="宋体"/>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fill on="f" focussize="0,0"/>
                      <v:stroke color="#000000" joinstyle="round"/>
                      <v:imagedata o:title=""/>
                      <o:lock v:ext="edit" aspectratio="f"/>
                    </v:line>
                  </w:pict>
                </mc:Fallback>
              </mc:AlternateContent>
            </w:r>
            <w:r>
              <w:rPr>
                <w:rFonts w:hint="eastAsia" w:hAnsi="宋体"/>
              </w:rPr>
              <w:t>采购类型</w:t>
            </w:r>
          </w:p>
          <w:p>
            <w:pPr>
              <w:spacing w:line="330" w:lineRule="exact"/>
              <w:rPr>
                <w:rFonts w:hAnsi="宋体"/>
              </w:rPr>
            </w:pPr>
          </w:p>
          <w:p>
            <w:pPr>
              <w:spacing w:line="330" w:lineRule="exact"/>
              <w:ind w:firstLine="1575" w:firstLineChars="750"/>
              <w:jc w:val="left"/>
              <w:rPr>
                <w:rFonts w:hAnsi="宋体"/>
              </w:rPr>
            </w:pPr>
            <w:r>
              <w:rPr>
                <w:rFonts w:hint="eastAsia" w:hAnsi="宋体"/>
              </w:rPr>
              <w:t>费率</w:t>
            </w:r>
          </w:p>
          <w:p>
            <w:pPr>
              <w:spacing w:line="330" w:lineRule="exact"/>
              <w:ind w:leftChars="-1" w:hanging="2" w:hangingChars="1"/>
              <w:jc w:val="left"/>
              <w:rPr>
                <w:rFonts w:hAnsi="宋体"/>
              </w:rPr>
            </w:pPr>
          </w:p>
          <w:p>
            <w:pPr>
              <w:spacing w:line="330" w:lineRule="exact"/>
              <w:ind w:leftChars="-1" w:hanging="2" w:hangingChars="1"/>
              <w:jc w:val="left"/>
              <w:rPr>
                <w:rFonts w:hAnsi="宋体"/>
              </w:rPr>
            </w:pPr>
          </w:p>
          <w:p>
            <w:pPr>
              <w:spacing w:line="330" w:lineRule="exact"/>
              <w:jc w:val="left"/>
              <w:rPr>
                <w:rFonts w:hAnsi="宋体"/>
              </w:rPr>
            </w:pPr>
            <w:r>
              <w:rPr>
                <w:rFonts w:hint="eastAsia" w:hAnsi="宋体"/>
              </w:rPr>
              <w:t>成交金额（万元）</w:t>
            </w:r>
          </w:p>
        </w:tc>
        <w:tc>
          <w:tcPr>
            <w:tcW w:w="5708" w:type="dxa"/>
            <w:gridSpan w:val="3"/>
            <w:vAlign w:val="center"/>
          </w:tcPr>
          <w:p>
            <w:pPr>
              <w:spacing w:line="330" w:lineRule="exact"/>
              <w:rPr>
                <w:rFonts w:hAnsi="宋体"/>
              </w:rPr>
            </w:pPr>
            <w:r>
              <w:rPr>
                <w:rFonts w:hint="eastAsia" w:hAnsi="宋体"/>
              </w:rPr>
              <w:t>公开招标、邀请招标、竞争性谈判方式采购代理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pPr>
              <w:spacing w:line="330" w:lineRule="exact"/>
              <w:ind w:firstLine="2620" w:firstLineChars="1248"/>
              <w:rPr>
                <w:rFonts w:hAnsi="宋体"/>
              </w:rPr>
            </w:pPr>
          </w:p>
        </w:tc>
        <w:tc>
          <w:tcPr>
            <w:tcW w:w="1932" w:type="dxa"/>
            <w:vAlign w:val="center"/>
          </w:tcPr>
          <w:p>
            <w:pPr>
              <w:spacing w:line="330" w:lineRule="exact"/>
              <w:jc w:val="center"/>
              <w:rPr>
                <w:rFonts w:hAnsi="宋体"/>
              </w:rPr>
            </w:pPr>
            <w:r>
              <w:rPr>
                <w:rFonts w:hint="eastAsia" w:hAnsi="宋体"/>
              </w:rPr>
              <w:t>货物类</w:t>
            </w:r>
          </w:p>
        </w:tc>
        <w:tc>
          <w:tcPr>
            <w:tcW w:w="1800" w:type="dxa"/>
            <w:vAlign w:val="center"/>
          </w:tcPr>
          <w:p>
            <w:pPr>
              <w:spacing w:line="330" w:lineRule="exact"/>
              <w:jc w:val="center"/>
              <w:rPr>
                <w:rFonts w:hAnsi="宋体"/>
              </w:rPr>
            </w:pPr>
            <w:r>
              <w:rPr>
                <w:rFonts w:hint="eastAsia" w:hAnsi="宋体"/>
              </w:rPr>
              <w:t>服务类</w:t>
            </w:r>
          </w:p>
        </w:tc>
        <w:tc>
          <w:tcPr>
            <w:tcW w:w="1976" w:type="dxa"/>
            <w:vAlign w:val="center"/>
          </w:tcPr>
          <w:p>
            <w:pPr>
              <w:widowControl/>
              <w:spacing w:line="330" w:lineRule="exact"/>
              <w:jc w:val="center"/>
              <w:rPr>
                <w:rFonts w:hAnsi="宋体"/>
              </w:rPr>
            </w:pPr>
            <w:r>
              <w:rPr>
                <w:rFonts w:hint="eastAsia" w:hAnsi="宋体"/>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pPr>
              <w:spacing w:line="330" w:lineRule="exact"/>
              <w:jc w:val="center"/>
              <w:rPr>
                <w:rFonts w:hAnsi="宋体"/>
              </w:rPr>
            </w:pPr>
            <w:r>
              <w:rPr>
                <w:rFonts w:hint="eastAsia" w:hAnsi="宋体"/>
              </w:rPr>
              <w:t>100以下</w:t>
            </w:r>
          </w:p>
        </w:tc>
        <w:tc>
          <w:tcPr>
            <w:tcW w:w="1932" w:type="dxa"/>
            <w:vAlign w:val="center"/>
          </w:tcPr>
          <w:p>
            <w:pPr>
              <w:spacing w:line="330" w:lineRule="exact"/>
              <w:jc w:val="center"/>
              <w:rPr>
                <w:rFonts w:hAnsi="宋体"/>
              </w:rPr>
            </w:pPr>
            <w:r>
              <w:rPr>
                <w:rFonts w:hint="eastAsia" w:hAnsi="宋体"/>
              </w:rPr>
              <w:t>1.2%</w:t>
            </w:r>
          </w:p>
        </w:tc>
        <w:tc>
          <w:tcPr>
            <w:tcW w:w="1800" w:type="dxa"/>
            <w:vAlign w:val="center"/>
          </w:tcPr>
          <w:p>
            <w:pPr>
              <w:spacing w:line="330" w:lineRule="exact"/>
              <w:jc w:val="center"/>
              <w:rPr>
                <w:rFonts w:hAnsi="宋体"/>
              </w:rPr>
            </w:pPr>
            <w:r>
              <w:rPr>
                <w:rFonts w:hint="eastAsia" w:hAnsi="宋体"/>
              </w:rPr>
              <w:t>1.2%</w:t>
            </w:r>
          </w:p>
        </w:tc>
        <w:tc>
          <w:tcPr>
            <w:tcW w:w="1976" w:type="dxa"/>
            <w:vAlign w:val="center"/>
          </w:tcPr>
          <w:p>
            <w:pPr>
              <w:spacing w:line="330" w:lineRule="exact"/>
              <w:jc w:val="center"/>
              <w:rPr>
                <w:rFonts w:hAnsi="宋体"/>
              </w:rPr>
            </w:pPr>
            <w:r>
              <w:rPr>
                <w:rFonts w:hint="eastAsia" w:hAnsi="宋体"/>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pPr>
              <w:spacing w:line="330" w:lineRule="exact"/>
              <w:jc w:val="center"/>
              <w:rPr>
                <w:rFonts w:hAnsi="宋体"/>
              </w:rPr>
            </w:pPr>
            <w:r>
              <w:rPr>
                <w:rFonts w:hint="eastAsia" w:hAnsi="宋体"/>
              </w:rPr>
              <w:t>100-500</w:t>
            </w:r>
          </w:p>
        </w:tc>
        <w:tc>
          <w:tcPr>
            <w:tcW w:w="1932" w:type="dxa"/>
            <w:vAlign w:val="center"/>
          </w:tcPr>
          <w:p>
            <w:pPr>
              <w:spacing w:line="330" w:lineRule="exact"/>
              <w:jc w:val="center"/>
              <w:rPr>
                <w:rFonts w:hAnsi="宋体"/>
              </w:rPr>
            </w:pPr>
            <w:r>
              <w:rPr>
                <w:rFonts w:hint="eastAsia" w:hAnsi="宋体"/>
              </w:rPr>
              <w:t>0.88%</w:t>
            </w:r>
          </w:p>
        </w:tc>
        <w:tc>
          <w:tcPr>
            <w:tcW w:w="1800" w:type="dxa"/>
            <w:vAlign w:val="center"/>
          </w:tcPr>
          <w:p>
            <w:pPr>
              <w:spacing w:line="330" w:lineRule="exact"/>
              <w:jc w:val="center"/>
              <w:rPr>
                <w:rFonts w:hAnsi="宋体"/>
              </w:rPr>
            </w:pPr>
            <w:r>
              <w:rPr>
                <w:rFonts w:hint="eastAsia" w:hAnsi="宋体"/>
              </w:rPr>
              <w:t>0.64%</w:t>
            </w:r>
          </w:p>
        </w:tc>
        <w:tc>
          <w:tcPr>
            <w:tcW w:w="1976" w:type="dxa"/>
            <w:vAlign w:val="center"/>
          </w:tcPr>
          <w:p>
            <w:pPr>
              <w:spacing w:line="330" w:lineRule="exact"/>
              <w:jc w:val="center"/>
              <w:rPr>
                <w:rFonts w:hAnsi="宋体"/>
              </w:rPr>
            </w:pPr>
            <w:r>
              <w:rPr>
                <w:rFonts w:hint="eastAsia" w:hAnsi="宋体"/>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pPr>
              <w:spacing w:line="330" w:lineRule="exact"/>
              <w:jc w:val="center"/>
              <w:rPr>
                <w:rFonts w:hAnsi="宋体"/>
              </w:rPr>
            </w:pPr>
            <w:r>
              <w:rPr>
                <w:rFonts w:hint="eastAsia" w:hAnsi="宋体"/>
              </w:rPr>
              <w:t>500-1000</w:t>
            </w:r>
          </w:p>
        </w:tc>
        <w:tc>
          <w:tcPr>
            <w:tcW w:w="1932" w:type="dxa"/>
            <w:vAlign w:val="center"/>
          </w:tcPr>
          <w:p>
            <w:pPr>
              <w:spacing w:line="330" w:lineRule="exact"/>
              <w:jc w:val="center"/>
              <w:rPr>
                <w:rFonts w:hAnsi="宋体"/>
              </w:rPr>
            </w:pPr>
            <w:r>
              <w:rPr>
                <w:rFonts w:hint="eastAsia" w:hAnsi="宋体"/>
              </w:rPr>
              <w:t>0.64%</w:t>
            </w:r>
          </w:p>
        </w:tc>
        <w:tc>
          <w:tcPr>
            <w:tcW w:w="1800" w:type="dxa"/>
            <w:vAlign w:val="center"/>
          </w:tcPr>
          <w:p>
            <w:pPr>
              <w:spacing w:line="330" w:lineRule="exact"/>
              <w:jc w:val="center"/>
              <w:rPr>
                <w:rFonts w:hAnsi="宋体"/>
              </w:rPr>
            </w:pPr>
            <w:r>
              <w:rPr>
                <w:rFonts w:hint="eastAsia" w:hAnsi="宋体"/>
              </w:rPr>
              <w:t>0.36%</w:t>
            </w:r>
          </w:p>
        </w:tc>
        <w:tc>
          <w:tcPr>
            <w:tcW w:w="1976" w:type="dxa"/>
            <w:vAlign w:val="center"/>
          </w:tcPr>
          <w:p>
            <w:pPr>
              <w:spacing w:line="330" w:lineRule="exact"/>
              <w:jc w:val="center"/>
              <w:rPr>
                <w:rFonts w:hAnsi="宋体"/>
              </w:rPr>
            </w:pPr>
            <w:r>
              <w:rPr>
                <w:rFonts w:hint="eastAsia" w:hAnsi="宋体"/>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pPr>
              <w:spacing w:line="330" w:lineRule="exact"/>
              <w:jc w:val="center"/>
              <w:rPr>
                <w:rFonts w:hAnsi="宋体"/>
              </w:rPr>
            </w:pPr>
            <w:r>
              <w:rPr>
                <w:rFonts w:hint="eastAsia" w:hAnsi="宋体"/>
              </w:rPr>
              <w:t>1000-5000</w:t>
            </w:r>
          </w:p>
        </w:tc>
        <w:tc>
          <w:tcPr>
            <w:tcW w:w="1932" w:type="dxa"/>
            <w:vAlign w:val="center"/>
          </w:tcPr>
          <w:p>
            <w:pPr>
              <w:spacing w:line="330" w:lineRule="exact"/>
              <w:jc w:val="center"/>
              <w:rPr>
                <w:rFonts w:hAnsi="宋体"/>
              </w:rPr>
            </w:pPr>
            <w:r>
              <w:rPr>
                <w:rFonts w:hint="eastAsia" w:hAnsi="宋体"/>
              </w:rPr>
              <w:t>0.4%</w:t>
            </w:r>
          </w:p>
        </w:tc>
        <w:tc>
          <w:tcPr>
            <w:tcW w:w="1800" w:type="dxa"/>
            <w:vAlign w:val="center"/>
          </w:tcPr>
          <w:p>
            <w:pPr>
              <w:spacing w:line="330" w:lineRule="exact"/>
              <w:jc w:val="center"/>
              <w:rPr>
                <w:rFonts w:hAnsi="宋体"/>
              </w:rPr>
            </w:pPr>
            <w:r>
              <w:rPr>
                <w:rFonts w:hint="eastAsia" w:hAnsi="宋体"/>
              </w:rPr>
              <w:t>0.2%</w:t>
            </w:r>
          </w:p>
        </w:tc>
        <w:tc>
          <w:tcPr>
            <w:tcW w:w="1976" w:type="dxa"/>
            <w:vAlign w:val="center"/>
          </w:tcPr>
          <w:p>
            <w:pPr>
              <w:spacing w:line="330" w:lineRule="exact"/>
              <w:jc w:val="center"/>
              <w:rPr>
                <w:rFonts w:hAnsi="宋体"/>
              </w:rPr>
            </w:pPr>
            <w:r>
              <w:rPr>
                <w:rFonts w:hint="eastAsia" w:hAnsi="宋体"/>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pPr>
              <w:spacing w:line="330" w:lineRule="exact"/>
              <w:jc w:val="center"/>
              <w:rPr>
                <w:rFonts w:hAnsi="宋体"/>
              </w:rPr>
            </w:pPr>
            <w:r>
              <w:rPr>
                <w:rFonts w:hint="eastAsia" w:hAnsi="宋体"/>
              </w:rPr>
              <w:t>5000-10000</w:t>
            </w:r>
          </w:p>
        </w:tc>
        <w:tc>
          <w:tcPr>
            <w:tcW w:w="1932" w:type="dxa"/>
            <w:vAlign w:val="center"/>
          </w:tcPr>
          <w:p>
            <w:pPr>
              <w:spacing w:line="330" w:lineRule="exact"/>
              <w:jc w:val="center"/>
              <w:rPr>
                <w:rFonts w:hAnsi="宋体"/>
              </w:rPr>
            </w:pPr>
            <w:r>
              <w:rPr>
                <w:rFonts w:hint="eastAsia" w:hAnsi="宋体"/>
              </w:rPr>
              <w:t>0.2%</w:t>
            </w:r>
          </w:p>
        </w:tc>
        <w:tc>
          <w:tcPr>
            <w:tcW w:w="1800" w:type="dxa"/>
            <w:vAlign w:val="center"/>
          </w:tcPr>
          <w:p>
            <w:pPr>
              <w:spacing w:line="330" w:lineRule="exact"/>
              <w:jc w:val="center"/>
              <w:rPr>
                <w:rFonts w:hAnsi="宋体"/>
              </w:rPr>
            </w:pPr>
            <w:r>
              <w:rPr>
                <w:rFonts w:hint="eastAsia" w:hAnsi="宋体"/>
              </w:rPr>
              <w:t>0.08%</w:t>
            </w:r>
          </w:p>
        </w:tc>
        <w:tc>
          <w:tcPr>
            <w:tcW w:w="1976" w:type="dxa"/>
            <w:vAlign w:val="center"/>
          </w:tcPr>
          <w:p>
            <w:pPr>
              <w:spacing w:line="330" w:lineRule="exact"/>
              <w:jc w:val="center"/>
              <w:rPr>
                <w:rFonts w:hAnsi="宋体"/>
              </w:rPr>
            </w:pPr>
            <w:r>
              <w:rPr>
                <w:rFonts w:hint="eastAsia" w:hAnsi="宋体"/>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pPr>
              <w:spacing w:line="330" w:lineRule="exact"/>
              <w:jc w:val="center"/>
              <w:rPr>
                <w:rFonts w:hAnsi="宋体"/>
              </w:rPr>
            </w:pPr>
            <w:r>
              <w:rPr>
                <w:rFonts w:hint="eastAsia" w:hAnsi="宋体"/>
              </w:rPr>
              <w:t>10000-100000</w:t>
            </w:r>
          </w:p>
        </w:tc>
        <w:tc>
          <w:tcPr>
            <w:tcW w:w="1932" w:type="dxa"/>
            <w:vAlign w:val="center"/>
          </w:tcPr>
          <w:p>
            <w:pPr>
              <w:spacing w:line="330" w:lineRule="exact"/>
              <w:jc w:val="center"/>
              <w:rPr>
                <w:rFonts w:hAnsi="宋体"/>
              </w:rPr>
            </w:pPr>
            <w:r>
              <w:rPr>
                <w:rFonts w:hint="eastAsia" w:hAnsi="宋体"/>
              </w:rPr>
              <w:t>0.04%</w:t>
            </w:r>
          </w:p>
        </w:tc>
        <w:tc>
          <w:tcPr>
            <w:tcW w:w="1800" w:type="dxa"/>
            <w:vAlign w:val="center"/>
          </w:tcPr>
          <w:p>
            <w:pPr>
              <w:spacing w:line="330" w:lineRule="exact"/>
              <w:jc w:val="center"/>
              <w:rPr>
                <w:rFonts w:hAnsi="宋体"/>
              </w:rPr>
            </w:pPr>
            <w:r>
              <w:rPr>
                <w:rFonts w:hint="eastAsia" w:hAnsi="宋体"/>
              </w:rPr>
              <w:t>0.04%</w:t>
            </w:r>
          </w:p>
        </w:tc>
        <w:tc>
          <w:tcPr>
            <w:tcW w:w="1976" w:type="dxa"/>
            <w:vAlign w:val="center"/>
          </w:tcPr>
          <w:p>
            <w:pPr>
              <w:spacing w:line="330" w:lineRule="exact"/>
              <w:jc w:val="center"/>
              <w:rPr>
                <w:rFonts w:hAnsi="宋体"/>
              </w:rPr>
            </w:pPr>
            <w:r>
              <w:rPr>
                <w:rFonts w:hint="eastAsia" w:hAnsi="宋体"/>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pPr>
              <w:spacing w:line="330" w:lineRule="exact"/>
              <w:jc w:val="center"/>
              <w:rPr>
                <w:rFonts w:hAnsi="宋体"/>
              </w:rPr>
            </w:pPr>
            <w:r>
              <w:rPr>
                <w:rFonts w:hint="eastAsia" w:hAnsi="宋体"/>
              </w:rPr>
              <w:t>100000以上</w:t>
            </w:r>
          </w:p>
        </w:tc>
        <w:tc>
          <w:tcPr>
            <w:tcW w:w="1932" w:type="dxa"/>
            <w:vAlign w:val="center"/>
          </w:tcPr>
          <w:p>
            <w:pPr>
              <w:spacing w:line="330" w:lineRule="exact"/>
              <w:jc w:val="center"/>
              <w:rPr>
                <w:rFonts w:hAnsi="宋体"/>
              </w:rPr>
            </w:pPr>
            <w:r>
              <w:rPr>
                <w:rFonts w:hint="eastAsia" w:hAnsi="宋体"/>
              </w:rPr>
              <w:t>0.008%</w:t>
            </w:r>
          </w:p>
        </w:tc>
        <w:tc>
          <w:tcPr>
            <w:tcW w:w="1800" w:type="dxa"/>
            <w:vAlign w:val="center"/>
          </w:tcPr>
          <w:p>
            <w:pPr>
              <w:spacing w:line="330" w:lineRule="exact"/>
              <w:jc w:val="center"/>
              <w:rPr>
                <w:rFonts w:hAnsi="宋体"/>
              </w:rPr>
            </w:pPr>
            <w:r>
              <w:rPr>
                <w:rFonts w:hint="eastAsia" w:hAnsi="宋体"/>
              </w:rPr>
              <w:t>0.008%</w:t>
            </w:r>
          </w:p>
        </w:tc>
        <w:tc>
          <w:tcPr>
            <w:tcW w:w="1976" w:type="dxa"/>
            <w:vAlign w:val="center"/>
          </w:tcPr>
          <w:p>
            <w:pPr>
              <w:spacing w:line="330" w:lineRule="exact"/>
              <w:jc w:val="center"/>
              <w:rPr>
                <w:rFonts w:hAnsi="宋体"/>
              </w:rPr>
            </w:pPr>
            <w:r>
              <w:rPr>
                <w:rFonts w:hint="eastAsia" w:hAnsi="宋体"/>
              </w:rPr>
              <w:t>0.008%</w:t>
            </w:r>
          </w:p>
        </w:tc>
      </w:tr>
    </w:tbl>
    <w:p>
      <w:pPr>
        <w:pStyle w:val="22"/>
        <w:spacing w:line="400" w:lineRule="exact"/>
        <w:ind w:firstLine="420" w:firstLineChars="200"/>
        <w:rPr>
          <w:rFonts w:hAnsi="宋体"/>
        </w:rPr>
      </w:pPr>
      <w:r>
        <w:rPr>
          <w:rFonts w:hint="eastAsia" w:hAnsi="宋体"/>
        </w:rPr>
        <w:t>注：代理服务收费按差额定率累进法计算。</w:t>
      </w:r>
    </w:p>
    <w:p>
      <w:pPr>
        <w:pStyle w:val="22"/>
        <w:spacing w:line="400" w:lineRule="exact"/>
        <w:ind w:firstLine="420" w:firstLineChars="200"/>
        <w:rPr>
          <w:rFonts w:hAnsi="宋体"/>
          <w:bCs/>
        </w:rPr>
      </w:pPr>
      <w:r>
        <w:rPr>
          <w:rFonts w:hint="eastAsia" w:hAnsi="宋体"/>
          <w:bCs/>
        </w:rPr>
        <w:t>3.缴纳代理服务费银行账户：</w:t>
      </w:r>
    </w:p>
    <w:p>
      <w:pPr>
        <w:pStyle w:val="22"/>
        <w:spacing w:line="400" w:lineRule="exact"/>
        <w:ind w:firstLine="420" w:firstLineChars="200"/>
        <w:rPr>
          <w:rFonts w:hAnsi="宋体"/>
          <w:bCs/>
        </w:rPr>
      </w:pPr>
      <w:r>
        <w:rPr>
          <w:rFonts w:hint="eastAsia" w:hAnsi="宋体"/>
          <w:bCs/>
        </w:rPr>
        <w:t>开户名称:钦州市政府采购中心</w:t>
      </w:r>
    </w:p>
    <w:p>
      <w:pPr>
        <w:pStyle w:val="22"/>
        <w:spacing w:line="400" w:lineRule="exact"/>
        <w:ind w:firstLine="420" w:firstLineChars="200"/>
        <w:rPr>
          <w:rFonts w:hAnsi="宋体"/>
          <w:bCs/>
        </w:rPr>
      </w:pPr>
      <w:r>
        <w:rPr>
          <w:rFonts w:hint="eastAsia" w:hAnsi="宋体"/>
          <w:bCs/>
        </w:rPr>
        <w:t>开户银行:兴业银行钦州支行</w:t>
      </w:r>
    </w:p>
    <w:p>
      <w:pPr>
        <w:pStyle w:val="22"/>
        <w:spacing w:line="400" w:lineRule="exact"/>
        <w:ind w:firstLine="420" w:firstLineChars="200"/>
        <w:rPr>
          <w:rFonts w:hAnsi="宋体"/>
          <w:bCs/>
        </w:rPr>
      </w:pPr>
      <w:r>
        <w:rPr>
          <w:rFonts w:hint="eastAsia" w:hAnsi="宋体"/>
          <w:bCs/>
        </w:rPr>
        <w:t>银行账号:554010100100129709</w:t>
      </w:r>
    </w:p>
    <w:p>
      <w:pPr>
        <w:pStyle w:val="22"/>
        <w:spacing w:line="400" w:lineRule="exact"/>
        <w:ind w:firstLine="210" w:firstLineChars="100"/>
        <w:rPr>
          <w:rFonts w:hAnsi="宋体"/>
          <w:spacing w:val="-4"/>
        </w:rPr>
      </w:pPr>
      <w:r>
        <w:rPr>
          <w:rFonts w:hint="eastAsia" w:hAnsi="宋体"/>
          <w:bCs/>
        </w:rPr>
        <w:t>（二）解释权：</w:t>
      </w:r>
      <w:r>
        <w:rPr>
          <w:rFonts w:hint="eastAsia" w:hAnsi="宋体"/>
          <w:spacing w:val="-4"/>
        </w:rPr>
        <w:t>本采购文件解释权属本中心。</w:t>
      </w:r>
    </w:p>
    <w:p>
      <w:pPr>
        <w:pStyle w:val="22"/>
        <w:spacing w:line="400" w:lineRule="exact"/>
        <w:ind w:firstLine="210" w:firstLineChars="100"/>
        <w:rPr>
          <w:rFonts w:hAnsi="宋体"/>
          <w:spacing w:val="-4"/>
        </w:rPr>
      </w:pPr>
      <w:r>
        <w:rPr>
          <w:rFonts w:hint="eastAsia" w:hAnsi="宋体"/>
          <w:bCs/>
        </w:rPr>
        <w:t>（三）有关事宜</w:t>
      </w:r>
    </w:p>
    <w:p>
      <w:pPr>
        <w:spacing w:line="400" w:lineRule="exact"/>
        <w:ind w:firstLine="420" w:firstLineChars="200"/>
      </w:pPr>
      <w:r>
        <w:rPr>
          <w:rFonts w:hint="eastAsia"/>
        </w:rPr>
        <w:t>所有与采购文件有关的函件请按下列通讯地址联系：</w:t>
      </w:r>
    </w:p>
    <w:p>
      <w:pPr>
        <w:widowControl/>
        <w:spacing w:line="400" w:lineRule="exact"/>
        <w:ind w:firstLine="420" w:firstLineChars="200"/>
        <w:jc w:val="left"/>
      </w:pPr>
      <w:r>
        <w:rPr>
          <w:rFonts w:hint="eastAsia"/>
        </w:rPr>
        <w:t>钦州市政府采购中心</w:t>
      </w:r>
    </w:p>
    <w:p>
      <w:pPr>
        <w:widowControl/>
        <w:spacing w:line="400" w:lineRule="exact"/>
        <w:ind w:firstLine="420" w:firstLineChars="200"/>
        <w:jc w:val="left"/>
      </w:pPr>
      <w:r>
        <w:rPr>
          <w:rFonts w:hint="eastAsia"/>
        </w:rPr>
        <w:t>通讯地址：钦州市金海湾东大街8号</w:t>
      </w:r>
    </w:p>
    <w:p>
      <w:pPr>
        <w:widowControl/>
        <w:spacing w:line="400" w:lineRule="exact"/>
        <w:ind w:firstLine="420" w:firstLineChars="200"/>
        <w:jc w:val="left"/>
      </w:pPr>
      <w:r>
        <w:rPr>
          <w:rFonts w:hint="eastAsia"/>
        </w:rPr>
        <w:t>邮政编码：535000</w:t>
      </w:r>
    </w:p>
    <w:p>
      <w:pPr>
        <w:widowControl/>
        <w:spacing w:line="400" w:lineRule="exact"/>
        <w:ind w:firstLine="420" w:firstLineChars="200"/>
        <w:jc w:val="left"/>
      </w:pPr>
      <w:r>
        <w:rPr>
          <w:rFonts w:hint="eastAsia"/>
        </w:rPr>
        <w:t>钦州市政府采购中心联系方式：</w:t>
      </w:r>
    </w:p>
    <w:p>
      <w:pPr>
        <w:widowControl/>
        <w:spacing w:line="400" w:lineRule="exact"/>
        <w:ind w:firstLine="420" w:firstLineChars="200"/>
        <w:jc w:val="left"/>
      </w:pPr>
      <w:r>
        <w:rPr>
          <w:rFonts w:hint="eastAsia"/>
        </w:rPr>
        <w:t>(1)采购部(采购文件)</w:t>
      </w:r>
    </w:p>
    <w:p>
      <w:pPr>
        <w:widowControl/>
        <w:spacing w:line="400" w:lineRule="exact"/>
        <w:ind w:firstLine="420" w:firstLineChars="200"/>
        <w:jc w:val="left"/>
      </w:pPr>
      <w:r>
        <w:rPr>
          <w:rFonts w:hint="eastAsia"/>
        </w:rPr>
        <w:t xml:space="preserve">联系人：黄忠秀 </w:t>
      </w:r>
      <w:r>
        <w:t xml:space="preserve"> </w:t>
      </w:r>
      <w:r>
        <w:rPr>
          <w:rFonts w:hint="eastAsia"/>
        </w:rPr>
        <w:t xml:space="preserve"> 联系方式：0777-2886022</w:t>
      </w:r>
    </w:p>
    <w:p>
      <w:pPr>
        <w:widowControl/>
        <w:spacing w:line="400" w:lineRule="exact"/>
        <w:ind w:firstLine="420" w:firstLineChars="200"/>
        <w:jc w:val="left"/>
      </w:pPr>
      <w:r>
        <w:rPr>
          <w:rFonts w:hint="eastAsia"/>
        </w:rPr>
        <w:t>(2)综合二部(评审、谈判、成交及合同管理)</w:t>
      </w:r>
    </w:p>
    <w:p>
      <w:pPr>
        <w:widowControl/>
        <w:spacing w:line="400" w:lineRule="exact"/>
        <w:ind w:firstLine="420" w:firstLineChars="200"/>
        <w:jc w:val="left"/>
      </w:pPr>
      <w:r>
        <w:rPr>
          <w:rFonts w:hint="eastAsia"/>
        </w:rPr>
        <w:t>联系人：陈侃</w:t>
      </w:r>
      <w:r>
        <w:rPr>
          <w:rFonts w:hint="eastAsia"/>
          <w:lang w:eastAsia="zh-CN"/>
        </w:rPr>
        <w:t>、</w:t>
      </w:r>
      <w:r>
        <w:rPr>
          <w:rFonts w:hint="eastAsia"/>
        </w:rPr>
        <w:t>陈启梅</w:t>
      </w:r>
      <w:r>
        <w:t xml:space="preserve">  </w:t>
      </w:r>
      <w:r>
        <w:rPr>
          <w:rFonts w:hint="eastAsia"/>
        </w:rPr>
        <w:t>联系方式：0777-2886006</w:t>
      </w:r>
    </w:p>
    <w:p>
      <w:pPr>
        <w:widowControl/>
        <w:spacing w:line="400" w:lineRule="exact"/>
        <w:ind w:firstLine="420" w:firstLineChars="200"/>
        <w:jc w:val="left"/>
      </w:pPr>
      <w:r>
        <w:rPr>
          <w:rFonts w:hint="eastAsia"/>
        </w:rPr>
        <w:t>(</w:t>
      </w:r>
      <w:r>
        <w:t>3)</w:t>
      </w:r>
      <w:r>
        <w:rPr>
          <w:rFonts w:hint="eastAsia"/>
        </w:rPr>
        <w:t>政采云技术支持热线：</w:t>
      </w:r>
      <w:r>
        <w:rPr>
          <w:rFonts w:hAnsi="宋体"/>
        </w:rPr>
        <w:t>95763</w:t>
      </w:r>
    </w:p>
    <w:p>
      <w:pPr>
        <w:widowControl/>
        <w:jc w:val="left"/>
      </w:pPr>
      <w:r>
        <w:br w:type="page"/>
      </w:r>
    </w:p>
    <w:p>
      <w:pPr>
        <w:widowControl/>
        <w:spacing w:line="400" w:lineRule="exact"/>
        <w:jc w:val="left"/>
      </w:pPr>
    </w:p>
    <w:p/>
    <w:p/>
    <w:p/>
    <w:p/>
    <w:p/>
    <w:p/>
    <w:p/>
    <w:p/>
    <w:p/>
    <w:p/>
    <w:p/>
    <w:p/>
    <w:p/>
    <w:p>
      <w:pPr>
        <w:pStyle w:val="3"/>
        <w:spacing w:line="400" w:lineRule="exact"/>
        <w:rPr>
          <w:rFonts w:ascii="方正小标宋_GBK" w:hAnsi="宋体" w:eastAsia="方正小标宋_GBK"/>
        </w:rPr>
      </w:pPr>
      <w:bookmarkStart w:id="134" w:name="_第四章__评定标准及推荐原则"/>
      <w:bookmarkEnd w:id="134"/>
      <w:bookmarkStart w:id="135" w:name="_Toc92355026"/>
      <w:r>
        <w:rPr>
          <w:rFonts w:hint="eastAsia" w:ascii="方正小标宋_GBK" w:hAnsi="宋体" w:eastAsia="方正小标宋_GBK"/>
        </w:rPr>
        <w:t>第四章  评定标准及推荐原则</w:t>
      </w:r>
      <w:bookmarkEnd w:id="135"/>
    </w:p>
    <w:p>
      <w:pPr>
        <w:pStyle w:val="22"/>
        <w:spacing w:line="280" w:lineRule="exact"/>
        <w:jc w:val="center"/>
        <w:rPr>
          <w:rFonts w:hAnsi="宋体"/>
          <w:b/>
          <w:bCs/>
          <w:sz w:val="30"/>
          <w:szCs w:val="30"/>
        </w:rPr>
      </w:pPr>
      <w:r>
        <w:rPr>
          <w:rFonts w:hAnsi="宋体"/>
          <w:b/>
          <w:bCs/>
        </w:rPr>
        <w:br w:type="page"/>
      </w:r>
    </w:p>
    <w:p/>
    <w:p>
      <w:pPr>
        <w:pStyle w:val="22"/>
        <w:spacing w:line="500" w:lineRule="exact"/>
        <w:jc w:val="center"/>
        <w:rPr>
          <w:rFonts w:hAnsi="宋体"/>
          <w:b/>
          <w:bCs/>
          <w:sz w:val="44"/>
          <w:szCs w:val="44"/>
        </w:rPr>
      </w:pPr>
      <w:bookmarkStart w:id="136" w:name="_Hlk92463826"/>
      <w:r>
        <w:rPr>
          <w:rFonts w:hint="eastAsia" w:hAnsi="宋体"/>
          <w:b/>
          <w:bCs/>
          <w:sz w:val="44"/>
          <w:szCs w:val="44"/>
        </w:rPr>
        <w:t>评定标准及推荐原则</w:t>
      </w:r>
    </w:p>
    <w:bookmarkEnd w:id="136"/>
    <w:p/>
    <w:p>
      <w:pPr>
        <w:pStyle w:val="22"/>
        <w:spacing w:line="540" w:lineRule="exact"/>
        <w:rPr>
          <w:rFonts w:hAnsi="宋体"/>
          <w:b/>
          <w:bCs/>
        </w:rPr>
      </w:pPr>
      <w:r>
        <w:rPr>
          <w:rFonts w:hint="eastAsia" w:hAnsi="宋体"/>
          <w:b/>
          <w:bCs/>
        </w:rPr>
        <w:t>一、评审原则</w:t>
      </w:r>
    </w:p>
    <w:p>
      <w:pPr>
        <w:pStyle w:val="22"/>
        <w:spacing w:line="540" w:lineRule="exact"/>
        <w:ind w:firstLine="420" w:firstLineChars="200"/>
        <w:rPr>
          <w:rFonts w:hAnsi="宋体"/>
          <w:bCs/>
        </w:rPr>
      </w:pPr>
      <w:r>
        <w:rPr>
          <w:rFonts w:hint="eastAsia" w:hAnsi="宋体"/>
          <w:bCs/>
        </w:rPr>
        <w:t>(一)谈判小组组成：</w:t>
      </w:r>
      <w:bookmarkStart w:id="137" w:name="_Hlk89353643"/>
      <w:r>
        <w:rPr>
          <w:rFonts w:hint="eastAsia" w:hAnsi="宋体"/>
          <w:bCs/>
        </w:rPr>
        <w:t>谈判小组由采购人代表和评审专家共3人以上单数组成，其中评审专家人数不得少于谈判小组成员总数的2/3。</w:t>
      </w:r>
      <w:bookmarkEnd w:id="137"/>
    </w:p>
    <w:p>
      <w:pPr>
        <w:pStyle w:val="22"/>
        <w:spacing w:line="540" w:lineRule="exact"/>
        <w:ind w:firstLine="420" w:firstLineChars="200"/>
        <w:rPr>
          <w:rFonts w:hAnsi="宋体"/>
          <w:b/>
          <w:bCs/>
        </w:rPr>
      </w:pPr>
      <w:r>
        <w:rPr>
          <w:rFonts w:hint="eastAsia" w:hAnsi="宋体"/>
          <w:bCs/>
        </w:rPr>
        <w:t>(二)评审依据：以竞争性谈判采购文件和响应文件为评定依据。</w:t>
      </w:r>
    </w:p>
    <w:p>
      <w:pPr>
        <w:pStyle w:val="22"/>
        <w:spacing w:line="540" w:lineRule="exact"/>
        <w:ind w:firstLine="420" w:firstLineChars="200"/>
        <w:rPr>
          <w:rFonts w:hint="eastAsia" w:hAnsi="宋体"/>
          <w:b w:val="0"/>
          <w:bCs w:val="0"/>
        </w:rPr>
      </w:pPr>
      <w:r>
        <w:rPr>
          <w:rFonts w:hint="eastAsia" w:hAnsi="宋体"/>
          <w:b w:val="0"/>
          <w:bCs w:val="0"/>
        </w:rPr>
        <w:t>二、评定标准</w:t>
      </w:r>
    </w:p>
    <w:p>
      <w:pPr>
        <w:pStyle w:val="22"/>
        <w:spacing w:line="540" w:lineRule="exact"/>
        <w:ind w:firstLine="420" w:firstLineChars="200"/>
        <w:rPr>
          <w:rFonts w:hint="eastAsia" w:hAnsi="宋体"/>
          <w:b w:val="0"/>
          <w:bCs w:val="0"/>
        </w:rPr>
      </w:pPr>
      <w:r>
        <w:rPr>
          <w:rFonts w:hint="eastAsia" w:hAnsi="宋体"/>
          <w:b w:val="0"/>
          <w:bCs w:val="0"/>
        </w:rPr>
        <w:t>（一）成交候选人的推荐原则：</w:t>
      </w:r>
    </w:p>
    <w:p>
      <w:pPr>
        <w:pStyle w:val="22"/>
        <w:spacing w:line="540" w:lineRule="exact"/>
        <w:ind w:firstLine="420" w:firstLineChars="200"/>
        <w:rPr>
          <w:rFonts w:hint="eastAsia" w:hAnsi="宋体"/>
          <w:b w:val="0"/>
          <w:bCs w:val="0"/>
        </w:rPr>
      </w:pPr>
      <w:r>
        <w:rPr>
          <w:rFonts w:hint="eastAsia" w:hAnsi="宋体"/>
          <w:b w:val="0"/>
          <w:bCs w:val="0"/>
        </w:rPr>
        <w:t>谈判小组从质量和服务均能满足采购文件实质性响应要求的供应商中，按照最后报价由低到高的顺序提出3名以上成交候选人（最后报价相同的，由谈判小组集体讨论确定排序）。</w:t>
      </w:r>
    </w:p>
    <w:p>
      <w:pPr>
        <w:pStyle w:val="22"/>
        <w:spacing w:line="540" w:lineRule="exact"/>
        <w:ind w:firstLine="420" w:firstLineChars="200"/>
        <w:rPr>
          <w:rFonts w:hint="eastAsia" w:hAnsi="宋体"/>
          <w:b w:val="0"/>
          <w:bCs w:val="0"/>
        </w:rPr>
      </w:pPr>
      <w:r>
        <w:rPr>
          <w:rFonts w:hint="eastAsia" w:hAnsi="宋体"/>
          <w:b w:val="0"/>
          <w:bCs w:val="0"/>
        </w:rPr>
        <w:t>（二）落实政府采购政策：</w:t>
      </w:r>
    </w:p>
    <w:p>
      <w:pPr>
        <w:pStyle w:val="22"/>
        <w:spacing w:line="540" w:lineRule="exact"/>
        <w:ind w:firstLine="420" w:firstLineChars="200"/>
        <w:rPr>
          <w:b w:val="0"/>
          <w:bCs w:val="0"/>
        </w:rPr>
      </w:pPr>
      <w:r>
        <w:rPr>
          <w:rFonts w:hint="eastAsia" w:hAnsi="宋体"/>
          <w:b w:val="0"/>
          <w:bCs w:val="0"/>
        </w:rPr>
        <w:t>采购人采购的产品属于清单中品目的，在性能、技术、服务等指标同等条件下，应当依据国家确定的认证机构出具的、处于有效期之内的节能产品、环境标志产品认证证书，对获得证书的产品实施政府优先采购。</w:t>
      </w:r>
    </w:p>
    <w:p>
      <w:pPr>
        <w:pStyle w:val="22"/>
        <w:spacing w:line="540" w:lineRule="exact"/>
        <w:ind w:firstLine="420" w:firstLineChars="200"/>
      </w:pPr>
      <w:r>
        <w:br w:type="page"/>
      </w:r>
    </w:p>
    <w:p>
      <w:pPr>
        <w:widowControl/>
        <w:jc w:val="left"/>
        <w:rPr>
          <w:rFonts w:ascii="宋体" w:hAnsi="Courier New" w:cs="Courier New"/>
          <w:szCs w:val="21"/>
        </w:rPr>
      </w:pPr>
    </w:p>
    <w:p/>
    <w:p/>
    <w:p/>
    <w:p/>
    <w:p/>
    <w:p/>
    <w:p/>
    <w:p/>
    <w:p/>
    <w:p/>
    <w:p/>
    <w:p/>
    <w:p>
      <w:pPr>
        <w:pStyle w:val="3"/>
        <w:spacing w:line="400" w:lineRule="exact"/>
        <w:rPr>
          <w:rFonts w:ascii="方正小标宋_GBK" w:eastAsia="方正小标宋_GBK"/>
        </w:rPr>
      </w:pPr>
      <w:bookmarkStart w:id="138" w:name="_Toc92355027"/>
      <w:r>
        <w:rPr>
          <w:rFonts w:hint="eastAsia" w:ascii="方正小标宋_GBK" w:eastAsia="方正小标宋_GBK"/>
        </w:rPr>
        <w:t>第五章  合同文本</w:t>
      </w:r>
      <w:bookmarkEnd w:id="138"/>
    </w:p>
    <w:p>
      <w:pPr>
        <w:widowControl/>
        <w:jc w:val="left"/>
      </w:pPr>
      <w:r>
        <w:br w:type="page"/>
      </w:r>
    </w:p>
    <w:p>
      <w:pPr>
        <w:spacing w:line="400" w:lineRule="exact"/>
        <w:jc w:val="left"/>
        <w:rPr>
          <w:rFonts w:ascii="宋体" w:hAnsi="Courier New" w:cs="Courier New"/>
          <w:szCs w:val="21"/>
        </w:rPr>
      </w:pPr>
    </w:p>
    <w:p/>
    <w:p/>
    <w:p/>
    <w:p/>
    <w:p/>
    <w:p/>
    <w:p/>
    <w:p/>
    <w:p>
      <w:pPr>
        <w:jc w:val="center"/>
        <w:rPr>
          <w:rFonts w:ascii="宋体" w:hAnsi="宋体" w:cs="宋体"/>
          <w:b/>
          <w:bCs/>
          <w:spacing w:val="-20"/>
          <w:kern w:val="44"/>
          <w:sz w:val="48"/>
          <w:szCs w:val="48"/>
        </w:rPr>
      </w:pPr>
      <w:r>
        <w:rPr>
          <w:rFonts w:hint="eastAsia" w:ascii="宋体" w:hAnsi="宋体" w:cs="宋体"/>
          <w:b/>
          <w:bCs/>
          <w:spacing w:val="-20"/>
          <w:kern w:val="44"/>
          <w:sz w:val="48"/>
          <w:szCs w:val="48"/>
        </w:rPr>
        <w:t>钦州市政府采购货物买卖合同</w:t>
      </w:r>
    </w:p>
    <w:p/>
    <w:p/>
    <w:p/>
    <w:p/>
    <w:p/>
    <w:p/>
    <w:p/>
    <w:p/>
    <w:p>
      <w:pPr>
        <w:spacing w:line="360" w:lineRule="auto"/>
        <w:ind w:left="420" w:leftChars="200" w:firstLine="1600" w:firstLineChars="500"/>
        <w:rPr>
          <w:sz w:val="32"/>
          <w:szCs w:val="32"/>
        </w:rPr>
      </w:pPr>
      <w:r>
        <w:rPr>
          <w:rFonts w:hint="eastAsia" w:ascii="宋体" w:hAnsi="宋体" w:cs="宋体"/>
          <w:kern w:val="0"/>
          <w:sz w:val="32"/>
          <w:szCs w:val="32"/>
        </w:rPr>
        <w:t>项目名称：</w:t>
      </w:r>
      <w:r>
        <w:rPr>
          <w:rFonts w:hint="eastAsia"/>
          <w:sz w:val="32"/>
          <w:szCs w:val="32"/>
          <w:u w:val="single"/>
        </w:rPr>
        <w:t xml:space="preserve">                            </w:t>
      </w:r>
    </w:p>
    <w:p>
      <w:pPr>
        <w:spacing w:line="360" w:lineRule="auto"/>
        <w:ind w:left="420" w:leftChars="200" w:firstLine="1600" w:firstLineChars="500"/>
        <w:rPr>
          <w:sz w:val="32"/>
          <w:szCs w:val="32"/>
          <w:u w:val="single"/>
        </w:rPr>
      </w:pPr>
      <w:r>
        <w:rPr>
          <w:rFonts w:hint="eastAsia"/>
          <w:sz w:val="32"/>
          <w:szCs w:val="32"/>
        </w:rPr>
        <w:t>合同编号：</w:t>
      </w:r>
      <w:r>
        <w:rPr>
          <w:rFonts w:hint="eastAsia"/>
          <w:sz w:val="32"/>
          <w:szCs w:val="32"/>
          <w:u w:val="single"/>
        </w:rPr>
        <w:t xml:space="preserve">                            </w:t>
      </w:r>
    </w:p>
    <w:p>
      <w:pPr>
        <w:spacing w:line="360" w:lineRule="auto"/>
        <w:ind w:left="420" w:leftChars="200" w:firstLine="1600" w:firstLineChars="500"/>
        <w:rPr>
          <w:sz w:val="32"/>
          <w:szCs w:val="32"/>
        </w:rPr>
      </w:pPr>
      <w:r>
        <w:rPr>
          <w:rFonts w:hint="eastAsia"/>
          <w:sz w:val="32"/>
          <w:szCs w:val="32"/>
        </w:rPr>
        <w:t>甲    方：</w:t>
      </w:r>
      <w:r>
        <w:rPr>
          <w:rFonts w:hint="eastAsia"/>
          <w:sz w:val="32"/>
          <w:szCs w:val="32"/>
          <w:u w:val="single"/>
        </w:rPr>
        <w:t xml:space="preserve">                            </w:t>
      </w:r>
    </w:p>
    <w:p>
      <w:pPr>
        <w:spacing w:line="360" w:lineRule="auto"/>
        <w:ind w:left="420" w:leftChars="200" w:firstLine="1600" w:firstLineChars="500"/>
        <w:rPr>
          <w:sz w:val="32"/>
          <w:szCs w:val="32"/>
          <w:u w:val="single"/>
        </w:rPr>
      </w:pPr>
      <w:r>
        <w:rPr>
          <w:rFonts w:hint="eastAsia"/>
          <w:sz w:val="32"/>
          <w:szCs w:val="32"/>
        </w:rPr>
        <w:t>乙    方：</w:t>
      </w:r>
      <w:r>
        <w:rPr>
          <w:rFonts w:hint="eastAsia"/>
          <w:sz w:val="32"/>
          <w:szCs w:val="32"/>
          <w:u w:val="single"/>
        </w:rPr>
        <w:t xml:space="preserve">                            </w:t>
      </w:r>
    </w:p>
    <w:p>
      <w:pPr>
        <w:spacing w:line="360" w:lineRule="auto"/>
        <w:ind w:left="420" w:leftChars="200" w:firstLine="1600" w:firstLineChars="5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p>
      <w:pPr>
        <w:spacing w:line="400" w:lineRule="exact"/>
      </w:pPr>
      <w:r>
        <w:rPr>
          <w:rFonts w:eastAsia="黑体"/>
          <w:sz w:val="44"/>
          <w:szCs w:val="44"/>
        </w:rPr>
        <w:br w:type="page"/>
      </w:r>
    </w:p>
    <w:p>
      <w:pPr>
        <w:jc w:val="center"/>
        <w:rPr>
          <w:rFonts w:eastAsia="黑体"/>
          <w:sz w:val="44"/>
          <w:szCs w:val="44"/>
        </w:rPr>
      </w:pPr>
      <w:r>
        <w:rPr>
          <w:rFonts w:hint="eastAsia" w:eastAsia="黑体"/>
          <w:sz w:val="44"/>
          <w:szCs w:val="44"/>
        </w:rPr>
        <w:t>使 用 说 明</w:t>
      </w:r>
    </w:p>
    <w:p>
      <w:pPr>
        <w:spacing w:line="400" w:lineRule="exact"/>
      </w:pP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1.本合同标准文本适用于购买现成货物的采购项目，不包括需要供应商定制开发、创新研发的货物采购项目。</w:t>
      </w:r>
    </w:p>
    <w:p>
      <w:pPr>
        <w:rPr>
          <w:rFonts w:eastAsia="黑体"/>
          <w:sz w:val="30"/>
          <w:szCs w:val="30"/>
        </w:rPr>
      </w:pPr>
      <w:r>
        <w:rPr>
          <w:rFonts w:hint="eastAsia" w:eastAsia="黑体"/>
          <w:sz w:val="30"/>
          <w:szCs w:val="30"/>
        </w:rPr>
        <w:t xml:space="preserve">   </w:t>
      </w:r>
      <w:r>
        <w:rPr>
          <w:rFonts w:hint="eastAsia" w:ascii="仿宋_GB2312" w:hAnsi="仿宋_GB2312" w:eastAsia="仿宋_GB2312" w:cs="仿宋_GB2312"/>
          <w:sz w:val="30"/>
          <w:szCs w:val="30"/>
        </w:rPr>
        <w:t>2.本合同标准文本为政府采购货物买卖合同编制提供参考，可以结合采购项目具体情况，对文本作必要的调整修订后使用。</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3.本合同标准文本各条款中，如涉及填写多家供应商、制造商，多种采购标的、分包主要内容等信息的，可根据采购项目具体情况添加信息项。</w:t>
      </w:r>
    </w:p>
    <w:p>
      <w:pPr>
        <w:keepNext/>
        <w:keepLines/>
        <w:adjustRightInd w:val="0"/>
        <w:snapToGrid w:val="0"/>
        <w:spacing w:line="400" w:lineRule="exact"/>
        <w:jc w:val="center"/>
        <w:outlineLvl w:val="1"/>
        <w:rPr>
          <w:rFonts w:ascii="黑体" w:hAnsi="黑体" w:eastAsia="黑体"/>
          <w:b/>
          <w:bCs/>
          <w:sz w:val="28"/>
          <w:szCs w:val="28"/>
        </w:rPr>
      </w:pPr>
      <w:bookmarkStart w:id="139" w:name="_Toc22209"/>
    </w:p>
    <w:p>
      <w:pPr>
        <w:keepNext/>
        <w:keepLines/>
        <w:adjustRightInd w:val="0"/>
        <w:snapToGrid w:val="0"/>
        <w:spacing w:line="400" w:lineRule="exact"/>
        <w:jc w:val="center"/>
        <w:outlineLvl w:val="1"/>
        <w:rPr>
          <w:rFonts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139"/>
    </w:p>
    <w:p>
      <w:pPr>
        <w:keepNext/>
        <w:keepLines/>
        <w:adjustRightInd w:val="0"/>
        <w:snapToGrid w:val="0"/>
        <w:spacing w:line="400" w:lineRule="exact"/>
        <w:jc w:val="center"/>
        <w:outlineLvl w:val="1"/>
        <w:rPr>
          <w:rFonts w:ascii="黑体" w:hAnsi="华文中宋" w:eastAsia="黑体"/>
          <w:sz w:val="28"/>
          <w:szCs w:val="28"/>
        </w:rPr>
      </w:pPr>
    </w:p>
    <w:p>
      <w:pPr>
        <w:adjustRightInd w:val="0"/>
        <w:snapToGrid w:val="0"/>
        <w:spacing w:line="42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 xml:space="preserve">（采购人、受采购人委托签订合同的单位或采购文件约定的合同甲方） </w:t>
      </w:r>
    </w:p>
    <w:p>
      <w:pPr>
        <w:adjustRightInd w:val="0"/>
        <w:snapToGrid w:val="0"/>
        <w:spacing w:line="42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pPr>
        <w:adjustRightInd w:val="0"/>
        <w:snapToGrid w:val="0"/>
        <w:spacing w:line="42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pPr>
        <w:adjustRightInd w:val="0"/>
        <w:snapToGrid w:val="0"/>
        <w:spacing w:line="42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pPr>
        <w:spacing w:line="420" w:lineRule="exact"/>
      </w:pPr>
    </w:p>
    <w:p>
      <w:pPr>
        <w:adjustRightInd w:val="0"/>
        <w:snapToGrid w:val="0"/>
        <w:spacing w:line="420" w:lineRule="exact"/>
        <w:ind w:firstLine="420" w:firstLineChars="200"/>
        <w:rPr>
          <w:rFonts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2"/>
        </w:numPr>
        <w:adjustRightInd w:val="0"/>
        <w:snapToGrid w:val="0"/>
        <w:spacing w:line="420" w:lineRule="exact"/>
        <w:ind w:firstLine="422" w:firstLineChars="200"/>
        <w:rPr>
          <w:rFonts w:ascii="宋体" w:hAnsi="宋体"/>
          <w:b/>
          <w:szCs w:val="21"/>
        </w:rPr>
      </w:pPr>
      <w:r>
        <w:rPr>
          <w:rFonts w:hint="eastAsia" w:ascii="宋体" w:hAnsi="宋体"/>
          <w:b/>
          <w:szCs w:val="21"/>
        </w:rPr>
        <w:t>项目信息</w:t>
      </w:r>
    </w:p>
    <w:p>
      <w:pPr>
        <w:adjustRightInd w:val="0"/>
        <w:snapToGrid w:val="0"/>
        <w:spacing w:line="420" w:lineRule="exact"/>
        <w:ind w:firstLine="210" w:firstLineChars="100"/>
        <w:rPr>
          <w:rFonts w:ascii="宋体" w:hAnsi="宋体"/>
          <w:szCs w:val="21"/>
          <w:u w:val="single"/>
        </w:rPr>
      </w:pPr>
      <w:r>
        <w:rPr>
          <w:rFonts w:hint="eastAsia" w:ascii="宋体" w:hAnsi="宋体"/>
          <w:szCs w:val="21"/>
        </w:rPr>
        <w:t>（1）采购项目名称：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numPr>
          <w:ilvl w:val="255"/>
          <w:numId w:val="0"/>
        </w:numPr>
        <w:tabs>
          <w:tab w:val="left" w:pos="999"/>
        </w:tabs>
        <w:adjustRightInd w:val="0"/>
        <w:snapToGrid w:val="0"/>
        <w:spacing w:line="420" w:lineRule="exact"/>
        <w:rPr>
          <w:rFonts w:ascii="宋体" w:hAnsi="宋体"/>
          <w:szCs w:val="21"/>
        </w:rPr>
      </w:pPr>
      <w:r>
        <w:rPr>
          <w:rFonts w:hint="eastAsia" w:ascii="宋体" w:hAnsi="宋体"/>
          <w:szCs w:val="21"/>
        </w:rPr>
        <w:t xml:space="preserve">       采购项目编号：</w:t>
      </w:r>
      <w:r>
        <w:rPr>
          <w:rFonts w:ascii="宋体" w:hAnsi="宋体"/>
          <w:szCs w:val="21"/>
          <w:u w:val="single"/>
        </w:rPr>
        <w:t xml:space="preserve">                                          </w:t>
      </w:r>
    </w:p>
    <w:p>
      <w:pPr>
        <w:adjustRightInd w:val="0"/>
        <w:snapToGrid w:val="0"/>
        <w:spacing w:line="420" w:lineRule="exact"/>
        <w:ind w:firstLine="199" w:firstLineChars="95"/>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adjustRightInd w:val="0"/>
        <w:snapToGrid w:val="0"/>
        <w:spacing w:line="420" w:lineRule="exact"/>
        <w:ind w:firstLine="199" w:firstLineChars="95"/>
        <w:rPr>
          <w:rFonts w:ascii="宋体" w:hAnsi="宋体"/>
          <w:szCs w:val="21"/>
        </w:rPr>
      </w:pPr>
      <w:r>
        <w:rPr>
          <w:rFonts w:hint="eastAsia" w:ascii="宋体" w:hAnsi="宋体"/>
          <w:szCs w:val="21"/>
        </w:rPr>
        <w:t>（3）项目内容：</w:t>
      </w:r>
    </w:p>
    <w:p>
      <w:pPr>
        <w:adjustRightInd w:val="0"/>
        <w:snapToGrid w:val="0"/>
        <w:spacing w:line="42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p>
    <w:p>
      <w:pPr>
        <w:numPr>
          <w:ilvl w:val="255"/>
          <w:numId w:val="0"/>
        </w:numPr>
        <w:adjustRightInd w:val="0"/>
        <w:snapToGrid w:val="0"/>
        <w:spacing w:line="420" w:lineRule="exact"/>
        <w:ind w:firstLine="420" w:firstLineChars="200"/>
        <w:rPr>
          <w:rFonts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pPr>
        <w:numPr>
          <w:ilvl w:val="255"/>
          <w:numId w:val="0"/>
        </w:numPr>
        <w:adjustRightInd w:val="0"/>
        <w:snapToGrid w:val="0"/>
        <w:spacing w:line="420" w:lineRule="exact"/>
        <w:ind w:firstLine="735" w:firstLineChars="350"/>
        <w:rPr>
          <w:rFonts w:ascii="宋体" w:hAnsi="宋体" w:cs="宋体"/>
          <w:szCs w:val="21"/>
          <w:lang w:val="en"/>
        </w:rPr>
      </w:pPr>
      <w:r>
        <w:rPr>
          <w:rFonts w:hint="eastAsia" w:ascii="宋体" w:hAnsi="宋体"/>
          <w:szCs w:val="21"/>
        </w:rPr>
        <w:t>采购标的的技术要求、商务要求具体见附件。</w:t>
      </w:r>
    </w:p>
    <w:p>
      <w:pPr>
        <w:numPr>
          <w:ilvl w:val="255"/>
          <w:numId w:val="0"/>
        </w:numPr>
        <w:adjustRightInd w:val="0"/>
        <w:snapToGrid w:val="0"/>
        <w:spacing w:line="420" w:lineRule="exact"/>
        <w:ind w:firstLine="735" w:firstLineChars="3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pPr>
        <w:numPr>
          <w:ilvl w:val="255"/>
          <w:numId w:val="0"/>
        </w:numPr>
        <w:adjustRightInd w:val="0"/>
        <w:snapToGrid w:val="0"/>
        <w:spacing w:line="42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pPr>
        <w:numPr>
          <w:ilvl w:val="255"/>
          <w:numId w:val="0"/>
        </w:numPr>
        <w:adjustRightInd w:val="0"/>
        <w:snapToGrid w:val="0"/>
        <w:spacing w:line="42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p>
    <w:p>
      <w:pPr>
        <w:widowControl/>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 xml:space="preserve">   </w:t>
      </w:r>
      <w:r>
        <w:rPr>
          <w:rFonts w:hint="eastAsia" w:ascii="宋体" w:hAnsi="宋体" w:cs="宋体"/>
          <w:szCs w:val="21"/>
        </w:rPr>
        <w:t>关键部件</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rPr>
        <w:t xml:space="preserve"> 品牌：</w:t>
      </w:r>
      <w:r>
        <w:rPr>
          <w:rFonts w:hint="eastAsia" w:ascii="宋体" w:hAnsi="宋体" w:cs="宋体"/>
          <w:kern w:val="0"/>
          <w:szCs w:val="21"/>
          <w:u w:val="single"/>
        </w:rPr>
        <w:t xml:space="preserve">        </w:t>
      </w:r>
      <w:r>
        <w:rPr>
          <w:rFonts w:hint="eastAsia" w:ascii="宋体" w:hAnsi="宋体" w:cs="宋体"/>
          <w:kern w:val="0"/>
          <w:szCs w:val="21"/>
        </w:rPr>
        <w:t xml:space="preserve"> 型号：</w:t>
      </w:r>
      <w:r>
        <w:rPr>
          <w:rFonts w:hint="eastAsia" w:ascii="宋体" w:hAnsi="宋体" w:cs="宋体"/>
          <w:kern w:val="0"/>
          <w:szCs w:val="21"/>
          <w:u w:val="single"/>
        </w:rPr>
        <w:t xml:space="preserve">          </w:t>
      </w:r>
    </w:p>
    <w:p>
      <w:pPr>
        <w:widowControl/>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品牌：</w:t>
      </w:r>
      <w:r>
        <w:rPr>
          <w:rFonts w:hint="eastAsia" w:ascii="宋体" w:hAnsi="宋体" w:cs="宋体"/>
          <w:kern w:val="0"/>
          <w:szCs w:val="21"/>
          <w:u w:val="single"/>
        </w:rPr>
        <w:t xml:space="preserve">        </w:t>
      </w:r>
      <w:r>
        <w:rPr>
          <w:rFonts w:hint="eastAsia" w:ascii="宋体" w:hAnsi="宋体" w:cs="宋体"/>
          <w:kern w:val="0"/>
          <w:szCs w:val="21"/>
        </w:rPr>
        <w:t xml:space="preserve"> 型号：</w:t>
      </w:r>
      <w:r>
        <w:rPr>
          <w:rFonts w:hint="eastAsia" w:ascii="宋体" w:hAnsi="宋体" w:cs="宋体"/>
          <w:kern w:val="0"/>
          <w:szCs w:val="21"/>
          <w:u w:val="single"/>
        </w:rPr>
        <w:t xml:space="preserve">          </w:t>
      </w:r>
    </w:p>
    <w:p>
      <w:pPr>
        <w:widowControl/>
        <w:numPr>
          <w:ilvl w:val="255"/>
          <w:numId w:val="0"/>
        </w:numPr>
        <w:autoSpaceDE w:val="0"/>
        <w:autoSpaceDN w:val="0"/>
        <w:adjustRightInd w:val="0"/>
        <w:snapToGrid w:val="0"/>
        <w:spacing w:line="420" w:lineRule="exact"/>
        <w:jc w:val="left"/>
        <w:rPr>
          <w:rFonts w:ascii="宋体" w:hAnsi="宋体" w:cs="宋体"/>
          <w:kern w:val="0"/>
          <w:szCs w:val="21"/>
        </w:rPr>
      </w:pPr>
      <w:r>
        <w:rPr>
          <w:rFonts w:hint="eastAsia" w:ascii="宋体" w:hAnsi="宋体" w:cs="宋体"/>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pPr>
        <w:widowControl/>
        <w:numPr>
          <w:ilvl w:val="255"/>
          <w:numId w:val="0"/>
        </w:numPr>
        <w:autoSpaceDE w:val="0"/>
        <w:autoSpaceDN w:val="0"/>
        <w:adjustRightInd w:val="0"/>
        <w:snapToGrid w:val="0"/>
        <w:spacing w:line="420" w:lineRule="exact"/>
        <w:jc w:val="left"/>
        <w:rPr>
          <w:rFonts w:ascii="宋体" w:hAnsi="宋体" w:cs="宋体"/>
          <w:kern w:val="0"/>
          <w:szCs w:val="21"/>
        </w:rPr>
      </w:pPr>
      <w:r>
        <w:rPr>
          <w:rFonts w:hint="eastAsia" w:ascii="宋体" w:hAnsi="宋体" w:cs="宋体"/>
          <w:kern w:val="0"/>
          <w:szCs w:val="21"/>
        </w:rPr>
        <w:t xml:space="preserve">         </w:t>
      </w:r>
      <w:r>
        <w:rPr>
          <w:rFonts w:hint="eastAsia" w:ascii="汉仪书宋二S" w:hAnsi="汉仪书宋二S" w:eastAsia="汉仪书宋二S" w:cs="汉仪书宋二S"/>
          <w:kern w:val="0"/>
          <w:szCs w:val="21"/>
        </w:rPr>
        <w:t>②</w:t>
      </w:r>
      <w:r>
        <w:rPr>
          <w:rFonts w:hint="eastAsia" w:ascii="宋体" w:hAnsi="宋体" w:cs="宋体"/>
          <w:kern w:val="0"/>
          <w:szCs w:val="21"/>
        </w:rPr>
        <w:t>涉及车辆采购，请填写是否属于新能源汽车：</w:t>
      </w:r>
    </w:p>
    <w:p>
      <w:pPr>
        <w:widowControl/>
        <w:numPr>
          <w:ilvl w:val="255"/>
          <w:numId w:val="0"/>
        </w:numPr>
        <w:autoSpaceDE w:val="0"/>
        <w:autoSpaceDN w:val="0"/>
        <w:adjustRightInd w:val="0"/>
        <w:snapToGrid w:val="0"/>
        <w:spacing w:line="420" w:lineRule="exact"/>
        <w:jc w:val="left"/>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rPr>
        <w:sym w:font="Wingdings" w:char="00A8"/>
      </w:r>
      <w:r>
        <w:rPr>
          <w:rFonts w:hint="eastAsia" w:ascii="宋体" w:hAnsi="宋体" w:cs="宋体"/>
          <w:kern w:val="0"/>
          <w:szCs w:val="21"/>
        </w:rPr>
        <w:t>是，《政府采购品目分类目录》底级品目名称：</w:t>
      </w:r>
      <w:r>
        <w:rPr>
          <w:rFonts w:hint="eastAsia" w:ascii="宋体" w:hAnsi="宋体" w:cs="宋体"/>
          <w:kern w:val="0"/>
          <w:szCs w:val="21"/>
          <w:u w:val="single"/>
        </w:rPr>
        <w:t xml:space="preserve">      </w:t>
      </w:r>
      <w:r>
        <w:rPr>
          <w:rFonts w:hint="eastAsia" w:ascii="宋体" w:hAnsi="宋体" w:cs="宋体"/>
          <w:kern w:val="0"/>
          <w:szCs w:val="21"/>
        </w:rPr>
        <w:t xml:space="preserve"> 数量：</w:t>
      </w:r>
      <w:r>
        <w:rPr>
          <w:rFonts w:hint="eastAsia" w:ascii="宋体" w:hAnsi="宋体" w:cs="宋体"/>
          <w:kern w:val="0"/>
          <w:szCs w:val="21"/>
          <w:u w:val="single"/>
        </w:rPr>
        <w:t xml:space="preserve">     </w:t>
      </w:r>
      <w:r>
        <w:rPr>
          <w:rFonts w:hint="eastAsia" w:ascii="宋体" w:hAnsi="宋体" w:cs="宋体"/>
          <w:kern w:val="0"/>
          <w:szCs w:val="21"/>
        </w:rPr>
        <w:t xml:space="preserve"> 金额：</w:t>
      </w:r>
      <w:r>
        <w:rPr>
          <w:rFonts w:hint="eastAsia" w:ascii="宋体" w:hAnsi="宋体" w:cs="宋体"/>
          <w:kern w:val="0"/>
          <w:szCs w:val="21"/>
          <w:u w:val="single"/>
        </w:rPr>
        <w:t xml:space="preserve">          </w:t>
      </w:r>
    </w:p>
    <w:p>
      <w:pPr>
        <w:widowControl/>
        <w:numPr>
          <w:ilvl w:val="255"/>
          <w:numId w:val="0"/>
        </w:numPr>
        <w:autoSpaceDE w:val="0"/>
        <w:autoSpaceDN w:val="0"/>
        <w:adjustRightInd w:val="0"/>
        <w:snapToGrid w:val="0"/>
        <w:spacing w:line="420" w:lineRule="exact"/>
        <w:jc w:val="left"/>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rPr>
        <w:sym w:font="Wingdings" w:char="00A8"/>
      </w:r>
      <w:r>
        <w:rPr>
          <w:rFonts w:hint="eastAsia" w:ascii="宋体" w:hAnsi="宋体" w:cs="宋体"/>
          <w:kern w:val="0"/>
          <w:szCs w:val="21"/>
        </w:rPr>
        <w:t>否</w:t>
      </w:r>
    </w:p>
    <w:p>
      <w:pPr>
        <w:widowControl/>
        <w:numPr>
          <w:ilvl w:val="255"/>
          <w:numId w:val="0"/>
        </w:numPr>
        <w:autoSpaceDE w:val="0"/>
        <w:autoSpaceDN w:val="0"/>
        <w:adjustRightInd w:val="0"/>
        <w:snapToGrid w:val="0"/>
        <w:spacing w:line="420" w:lineRule="exact"/>
        <w:jc w:val="left"/>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lang w:val="en"/>
        </w:rPr>
        <w:t>4</w:t>
      </w:r>
      <w:r>
        <w:rPr>
          <w:rFonts w:hint="eastAsia" w:ascii="宋体" w:hAnsi="宋体" w:cs="宋体"/>
          <w:kern w:val="0"/>
          <w:szCs w:val="21"/>
        </w:rPr>
        <w:t>）政府采购组织形式：</w:t>
      </w:r>
      <w:r>
        <w:rPr>
          <w:rFonts w:hint="eastAsia" w:ascii="宋体" w:hAnsi="宋体" w:cs="宋体"/>
          <w:kern w:val="0"/>
          <w:szCs w:val="21"/>
        </w:rPr>
        <w:sym w:font="Wingdings" w:char="00A8"/>
      </w:r>
      <w:r>
        <w:rPr>
          <w:rFonts w:hint="eastAsia" w:ascii="宋体" w:hAnsi="宋体" w:cs="宋体"/>
          <w:kern w:val="0"/>
          <w:szCs w:val="21"/>
        </w:rPr>
        <w:t xml:space="preserve">政府集中采购  </w:t>
      </w:r>
      <w:r>
        <w:rPr>
          <w:rFonts w:hint="eastAsia" w:ascii="宋体" w:hAnsi="宋体" w:cs="宋体"/>
          <w:kern w:val="0"/>
          <w:szCs w:val="21"/>
        </w:rPr>
        <w:sym w:font="Wingdings" w:char="00A8"/>
      </w:r>
      <w:r>
        <w:rPr>
          <w:rFonts w:hint="eastAsia" w:ascii="宋体" w:hAnsi="宋体" w:cs="宋体"/>
          <w:kern w:val="0"/>
          <w:szCs w:val="21"/>
        </w:rPr>
        <w:t xml:space="preserve">部门集中采购  </w:t>
      </w:r>
      <w:r>
        <w:rPr>
          <w:rFonts w:hint="eastAsia" w:ascii="宋体" w:hAnsi="宋体" w:cs="宋体"/>
          <w:kern w:val="0"/>
          <w:szCs w:val="21"/>
        </w:rPr>
        <w:sym w:font="Wingdings" w:char="00A8"/>
      </w:r>
      <w:r>
        <w:rPr>
          <w:rFonts w:hint="eastAsia" w:ascii="宋体" w:hAnsi="宋体" w:cs="宋体"/>
          <w:kern w:val="0"/>
          <w:szCs w:val="21"/>
        </w:rPr>
        <w:t>分散采购</w:t>
      </w:r>
    </w:p>
    <w:p>
      <w:pPr>
        <w:widowControl/>
        <w:numPr>
          <w:ilvl w:val="255"/>
          <w:numId w:val="0"/>
        </w:numPr>
        <w:autoSpaceDE w:val="0"/>
        <w:autoSpaceDN w:val="0"/>
        <w:adjustRightInd w:val="0"/>
        <w:snapToGrid w:val="0"/>
        <w:spacing w:line="420" w:lineRule="exact"/>
        <w:ind w:firstLine="283" w:firstLineChars="135"/>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lang w:val="en"/>
        </w:rPr>
        <w:t>5</w:t>
      </w:r>
      <w:r>
        <w:rPr>
          <w:rFonts w:hint="eastAsia" w:ascii="宋体" w:hAnsi="宋体" w:cs="宋体"/>
          <w:kern w:val="0"/>
          <w:szCs w:val="21"/>
        </w:rPr>
        <w:t>）政府采购方式：</w:t>
      </w:r>
      <w:r>
        <w:rPr>
          <w:rFonts w:hint="eastAsia" w:ascii="宋体" w:hAnsi="宋体" w:cs="宋体"/>
          <w:kern w:val="0"/>
          <w:szCs w:val="21"/>
        </w:rPr>
        <w:sym w:font="Wingdings" w:char="00A8"/>
      </w:r>
      <w:r>
        <w:rPr>
          <w:rFonts w:hint="eastAsia" w:ascii="宋体" w:hAnsi="宋体" w:cs="宋体"/>
          <w:kern w:val="0"/>
          <w:szCs w:val="21"/>
        </w:rPr>
        <w:t xml:space="preserve">公开招标 </w:t>
      </w:r>
      <w:r>
        <w:rPr>
          <w:rFonts w:hint="eastAsia" w:ascii="宋体" w:hAnsi="宋体" w:cs="宋体"/>
          <w:kern w:val="0"/>
          <w:szCs w:val="21"/>
        </w:rPr>
        <w:sym w:font="Wingdings" w:char="00A8"/>
      </w:r>
      <w:r>
        <w:rPr>
          <w:rFonts w:hint="eastAsia" w:ascii="宋体" w:hAnsi="宋体" w:cs="宋体"/>
          <w:kern w:val="0"/>
          <w:szCs w:val="21"/>
        </w:rPr>
        <w:t xml:space="preserve">邀请招标 </w:t>
      </w:r>
      <w:r>
        <w:rPr>
          <w:rFonts w:hint="eastAsia" w:ascii="宋体" w:hAnsi="宋体" w:cs="宋体"/>
          <w:kern w:val="0"/>
          <w:szCs w:val="21"/>
        </w:rPr>
        <w:sym w:font="Wingdings" w:char="00A8"/>
      </w:r>
      <w:r>
        <w:rPr>
          <w:rFonts w:hint="eastAsia" w:ascii="宋体" w:hAnsi="宋体" w:cs="宋体"/>
          <w:kern w:val="0"/>
          <w:szCs w:val="21"/>
        </w:rPr>
        <w:t xml:space="preserve">竞争性谈判 </w:t>
      </w:r>
      <w:r>
        <w:rPr>
          <w:rFonts w:hint="eastAsia" w:ascii="宋体" w:hAnsi="宋体" w:cs="宋体"/>
          <w:kern w:val="0"/>
          <w:szCs w:val="21"/>
        </w:rPr>
        <w:sym w:font="Wingdings" w:char="00A8"/>
      </w:r>
      <w:r>
        <w:rPr>
          <w:rFonts w:hint="eastAsia" w:ascii="宋体" w:hAnsi="宋体" w:cs="宋体"/>
          <w:kern w:val="0"/>
          <w:szCs w:val="21"/>
        </w:rPr>
        <w:t>竞争性磋商</w:t>
      </w:r>
    </w:p>
    <w:p>
      <w:pPr>
        <w:widowControl/>
        <w:numPr>
          <w:ilvl w:val="255"/>
          <w:numId w:val="0"/>
        </w:numPr>
        <w:autoSpaceDE w:val="0"/>
        <w:autoSpaceDN w:val="0"/>
        <w:adjustRightInd w:val="0"/>
        <w:snapToGrid w:val="0"/>
        <w:spacing w:line="420" w:lineRule="exact"/>
        <w:ind w:firstLine="420"/>
        <w:jc w:val="left"/>
        <w:rPr>
          <w:rFonts w:ascii="宋体" w:hAnsi="宋体" w:cs="宋体"/>
          <w:kern w:val="0"/>
          <w:szCs w:val="21"/>
          <w:u w:val="single"/>
        </w:rPr>
      </w:pPr>
      <w:r>
        <w:rPr>
          <w:rFonts w:hint="eastAsia" w:ascii="宋体" w:hAnsi="宋体" w:eastAsia="华文楷体" w:cs="宋体"/>
          <w:kern w:val="0"/>
          <w:sz w:val="22"/>
          <w:szCs w:val="21"/>
        </w:rPr>
        <w:t xml:space="preserve">                 </w:t>
      </w:r>
      <w:r>
        <w:rPr>
          <w:rFonts w:hint="eastAsia" w:ascii="宋体" w:hAnsi="宋体" w:cs="宋体"/>
          <w:kern w:val="0"/>
          <w:szCs w:val="21"/>
        </w:rPr>
        <w:sym w:font="Wingdings" w:char="00A8"/>
      </w:r>
      <w:r>
        <w:rPr>
          <w:rFonts w:hint="eastAsia" w:ascii="宋体" w:hAnsi="宋体" w:cs="宋体"/>
          <w:kern w:val="0"/>
          <w:szCs w:val="21"/>
        </w:rPr>
        <w:t xml:space="preserve">询价 </w:t>
      </w:r>
      <w:r>
        <w:rPr>
          <w:rFonts w:hint="eastAsia" w:ascii="宋体" w:hAnsi="宋体" w:cs="宋体"/>
          <w:kern w:val="0"/>
          <w:szCs w:val="21"/>
        </w:rPr>
        <w:sym w:font="Wingdings" w:char="00A8"/>
      </w:r>
      <w:r>
        <w:rPr>
          <w:rFonts w:hint="eastAsia" w:ascii="宋体" w:hAnsi="宋体" w:cs="宋体"/>
          <w:kern w:val="0"/>
          <w:szCs w:val="21"/>
        </w:rPr>
        <w:t xml:space="preserve">单一来源 </w:t>
      </w:r>
      <w:r>
        <w:rPr>
          <w:rFonts w:hint="eastAsia" w:ascii="宋体" w:hAnsi="宋体" w:cs="宋体"/>
          <w:kern w:val="0"/>
          <w:szCs w:val="21"/>
        </w:rPr>
        <w:sym w:font="Wingdings" w:char="00A8"/>
      </w:r>
      <w:r>
        <w:rPr>
          <w:rFonts w:hint="eastAsia" w:ascii="宋体" w:hAnsi="宋体" w:cs="宋体"/>
          <w:kern w:val="0"/>
          <w:szCs w:val="21"/>
        </w:rPr>
        <w:t xml:space="preserve">框架协议 </w:t>
      </w:r>
      <w:r>
        <w:rPr>
          <w:rFonts w:hint="eastAsia" w:ascii="宋体" w:hAnsi="宋体" w:cs="宋体"/>
          <w:kern w:val="0"/>
          <w:szCs w:val="21"/>
        </w:rPr>
        <w:sym w:font="Wingdings" w:char="00A8"/>
      </w:r>
      <w:r>
        <w:rPr>
          <w:rFonts w:hint="eastAsia" w:ascii="宋体" w:hAnsi="宋体" w:cs="宋体"/>
          <w:kern w:val="0"/>
          <w:szCs w:val="21"/>
        </w:rPr>
        <w:t>其他：</w:t>
      </w:r>
      <w:r>
        <w:rPr>
          <w:rFonts w:hint="eastAsia" w:ascii="宋体" w:hAnsi="宋体" w:cs="宋体"/>
          <w:kern w:val="0"/>
          <w:szCs w:val="21"/>
          <w:u w:val="single"/>
        </w:rPr>
        <w:t xml:space="preserve">          </w:t>
      </w:r>
    </w:p>
    <w:p>
      <w:pPr>
        <w:widowControl/>
        <w:numPr>
          <w:ilvl w:val="255"/>
          <w:numId w:val="0"/>
        </w:numPr>
        <w:autoSpaceDE w:val="0"/>
        <w:autoSpaceDN w:val="0"/>
        <w:adjustRightInd w:val="0"/>
        <w:snapToGrid w:val="0"/>
        <w:spacing w:line="420" w:lineRule="exact"/>
        <w:ind w:firstLine="283" w:firstLineChars="135"/>
        <w:jc w:val="left"/>
        <w:rPr>
          <w:rFonts w:ascii="宋体" w:hAnsi="宋体"/>
          <w:szCs w:val="21"/>
        </w:rPr>
      </w:pPr>
      <w:r>
        <w:rPr>
          <w:rFonts w:hint="eastAsia" w:ascii="宋体" w:hAnsi="宋体" w:cs="华文楷体"/>
          <w:kern w:val="0"/>
          <w:szCs w:val="21"/>
        </w:rPr>
        <w:t>（6）</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pPr>
        <w:numPr>
          <w:ilvl w:val="255"/>
          <w:numId w:val="0"/>
        </w:numPr>
        <w:adjustRightInd w:val="0"/>
        <w:snapToGrid w:val="0"/>
        <w:spacing w:line="42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2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2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snapToGrid w:val="0"/>
        <w:spacing w:line="42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20" w:lineRule="exact"/>
        <w:ind w:firstLine="409" w:firstLineChars="195"/>
        <w:rPr>
          <w:rFonts w:ascii="宋体" w:hAnsi="宋体"/>
          <w:szCs w:val="21"/>
        </w:rPr>
      </w:pPr>
      <w:r>
        <w:rPr>
          <w:rFonts w:hint="eastAsia" w:ascii="宋体" w:hAnsi="宋体"/>
          <w:szCs w:val="21"/>
        </w:rPr>
        <w:t>(</w:t>
      </w:r>
      <w:r>
        <w:rPr>
          <w:rFonts w:ascii="宋体" w:hAnsi="宋体"/>
          <w:szCs w:val="21"/>
          <w:lang w:val="en"/>
        </w:rPr>
        <w:t>7</w:t>
      </w:r>
      <w:r>
        <w:rPr>
          <w:rFonts w:ascii="宋体" w:hAnsi="宋体"/>
          <w:szCs w:val="21"/>
        </w:rPr>
        <w:t>）</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20" w:lineRule="exact"/>
        <w:ind w:firstLine="840" w:firstLineChars="400"/>
        <w:rPr>
          <w:rFonts w:ascii="宋体" w:hAnsi="宋体"/>
          <w:szCs w:val="21"/>
          <w:u w:val="single"/>
        </w:rPr>
      </w:pPr>
      <w:r>
        <w:rPr>
          <w:rFonts w:hint="eastAsia" w:ascii="宋体" w:hAnsi="宋体"/>
          <w:szCs w:val="21"/>
        </w:rPr>
        <w:t>分包主要内容：</w:t>
      </w:r>
      <w:r>
        <w:rPr>
          <w:rFonts w:hint="eastAsia" w:ascii="宋体" w:hAnsi="宋体"/>
          <w:szCs w:val="21"/>
          <w:u w:val="single"/>
        </w:rPr>
        <w:t xml:space="preserve">                                                         </w:t>
      </w:r>
    </w:p>
    <w:p>
      <w:pPr>
        <w:adjustRightInd w:val="0"/>
        <w:snapToGrid w:val="0"/>
        <w:spacing w:line="420" w:lineRule="exact"/>
        <w:ind w:firstLine="840" w:firstLineChars="400"/>
        <w:rPr>
          <w:rFonts w:ascii="宋体" w:hAnsi="宋体"/>
          <w:szCs w:val="21"/>
        </w:rPr>
      </w:pPr>
      <w:r>
        <w:rPr>
          <w:rFonts w:hint="eastAsia" w:ascii="宋体" w:hAnsi="宋体"/>
          <w:szCs w:val="21"/>
        </w:rPr>
        <w:t>分包供应商/制造商名称（如供应商和制造商不同，请分别填写）：</w:t>
      </w:r>
    </w:p>
    <w:p>
      <w:pPr>
        <w:adjustRightInd w:val="0"/>
        <w:snapToGrid w:val="0"/>
        <w:spacing w:line="420" w:lineRule="exact"/>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adjustRightInd w:val="0"/>
        <w:snapToGrid w:val="0"/>
        <w:spacing w:line="420" w:lineRule="exact"/>
        <w:ind w:firstLine="840" w:firstLineChars="400"/>
        <w:rPr>
          <w:rFonts w:ascii="宋体" w:hAnsi="宋体"/>
          <w:szCs w:val="21"/>
        </w:rPr>
      </w:pPr>
      <w:r>
        <w:rPr>
          <w:rFonts w:hint="eastAsia" w:ascii="宋体" w:hAnsi="宋体"/>
          <w:szCs w:val="21"/>
        </w:rPr>
        <w:t>分包供应商/制造商类型（如果供应商和制造商不同，只填写制造商类型）：</w:t>
      </w:r>
    </w:p>
    <w:p>
      <w:pPr>
        <w:adjustRightInd w:val="0"/>
        <w:snapToGrid w:val="0"/>
        <w:spacing w:line="420" w:lineRule="exact"/>
        <w:ind w:firstLine="840" w:firstLineChars="400"/>
        <w:rPr>
          <w:rFonts w:ascii="宋体" w:hAnsi="宋体"/>
          <w:iCs/>
          <w:szCs w:val="21"/>
        </w:rPr>
      </w:pP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p>
    <w:p>
      <w:pPr>
        <w:adjustRightInd w:val="0"/>
        <w:snapToGrid w:val="0"/>
        <w:spacing w:line="420" w:lineRule="exact"/>
        <w:ind w:firstLine="735" w:firstLineChars="35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pPr>
        <w:numPr>
          <w:ilvl w:val="255"/>
          <w:numId w:val="0"/>
        </w:numPr>
        <w:adjustRightInd w:val="0"/>
        <w:snapToGrid w:val="0"/>
        <w:spacing w:line="42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pPr>
        <w:widowControl/>
        <w:tabs>
          <w:tab w:val="left" w:pos="1340"/>
        </w:tabs>
        <w:autoSpaceDE w:val="0"/>
        <w:autoSpaceDN w:val="0"/>
        <w:adjustRightInd w:val="0"/>
        <w:spacing w:line="42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外商投资企业类型：</w:t>
      </w:r>
      <w:r>
        <w:rPr>
          <w:rFonts w:hint="eastAsia" w:ascii="宋体" w:hAnsi="宋体" w:cs="宋体"/>
          <w:iCs/>
          <w:kern w:val="0"/>
          <w:szCs w:val="21"/>
        </w:rPr>
        <w:sym w:font="Wingdings" w:char="00A8"/>
      </w:r>
      <w:r>
        <w:rPr>
          <w:rFonts w:hint="eastAsia" w:ascii="宋体" w:hAnsi="宋体" w:cs="宋体"/>
          <w:kern w:val="0"/>
          <w:szCs w:val="21"/>
        </w:rPr>
        <w:t xml:space="preserve">全部由外国投资者投资  </w:t>
      </w:r>
      <w:r>
        <w:rPr>
          <w:rFonts w:hint="eastAsia" w:ascii="宋体" w:hAnsi="宋体" w:cs="宋体"/>
          <w:iCs/>
          <w:kern w:val="0"/>
          <w:szCs w:val="21"/>
        </w:rPr>
        <w:sym w:font="Wingdings" w:char="00A8"/>
      </w:r>
      <w:r>
        <w:rPr>
          <w:rFonts w:hint="eastAsia" w:ascii="宋体" w:hAnsi="宋体" w:cs="宋体"/>
          <w:iCs/>
          <w:kern w:val="0"/>
          <w:szCs w:val="21"/>
        </w:rPr>
        <w:t>部分由外国投资者投资</w:t>
      </w:r>
    </w:p>
    <w:p>
      <w:pPr>
        <w:numPr>
          <w:ilvl w:val="255"/>
          <w:numId w:val="0"/>
        </w:numPr>
        <w:adjustRightInd w:val="0"/>
        <w:snapToGrid w:val="0"/>
        <w:spacing w:line="420" w:lineRule="exact"/>
        <w:ind w:firstLine="304" w:firstLineChars="145"/>
        <w:rPr>
          <w:rFonts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pPr>
        <w:numPr>
          <w:ilvl w:val="255"/>
          <w:numId w:val="0"/>
        </w:numPr>
        <w:adjustRightInd w:val="0"/>
        <w:snapToGrid w:val="0"/>
        <w:spacing w:line="420" w:lineRule="exact"/>
        <w:ind w:firstLine="735" w:firstLineChars="35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pPr>
        <w:numPr>
          <w:ilvl w:val="255"/>
          <w:numId w:val="0"/>
        </w:numPr>
        <w:adjustRightInd w:val="0"/>
        <w:snapToGrid w:val="0"/>
        <w:spacing w:line="420" w:lineRule="exact"/>
        <w:ind w:firstLine="840" w:firstLineChars="400"/>
        <w:rPr>
          <w:rFonts w:ascii="宋体" w:hAnsi="宋体"/>
          <w:szCs w:val="21"/>
        </w:rPr>
      </w:pPr>
      <w:r>
        <w:rPr>
          <w:rFonts w:hint="eastAsia" w:ascii="宋体" w:hAnsi="宋体" w:cs="宋体"/>
          <w:szCs w:val="21"/>
        </w:rPr>
        <w:t>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p>
    <w:p>
      <w:pPr>
        <w:adjustRightInd w:val="0"/>
        <w:snapToGrid w:val="0"/>
        <w:spacing w:line="42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20" w:lineRule="exact"/>
        <w:rPr>
          <w:rFonts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pPr>
        <w:numPr>
          <w:ilvl w:val="255"/>
          <w:numId w:val="0"/>
        </w:numPr>
        <w:tabs>
          <w:tab w:val="left" w:pos="740"/>
        </w:tabs>
        <w:adjustRightInd w:val="0"/>
        <w:snapToGrid w:val="0"/>
        <w:spacing w:line="42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p>
    <w:p>
      <w:pPr>
        <w:numPr>
          <w:ilvl w:val="255"/>
          <w:numId w:val="0"/>
        </w:numPr>
        <w:tabs>
          <w:tab w:val="left" w:pos="740"/>
        </w:tabs>
        <w:adjustRightInd w:val="0"/>
        <w:snapToGrid w:val="0"/>
        <w:spacing w:line="42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20" w:lineRule="exact"/>
        <w:rPr>
          <w:rFonts w:ascii="宋体" w:hAnsi="宋体"/>
          <w:szCs w:val="21"/>
        </w:rPr>
      </w:pPr>
      <w:r>
        <w:rPr>
          <w:rFonts w:hint="eastAsia" w:ascii="宋体" w:hAnsi="宋体"/>
          <w:szCs w:val="21"/>
        </w:rPr>
        <w:t xml:space="preserve">        是否涉及环境标志产品：</w:t>
      </w:r>
    </w:p>
    <w:p>
      <w:pPr>
        <w:numPr>
          <w:ilvl w:val="255"/>
          <w:numId w:val="0"/>
        </w:numPr>
        <w:tabs>
          <w:tab w:val="left" w:pos="740"/>
        </w:tabs>
        <w:adjustRightInd w:val="0"/>
        <w:snapToGrid w:val="0"/>
        <w:spacing w:line="42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p>
    <w:p>
      <w:pPr>
        <w:numPr>
          <w:ilvl w:val="255"/>
          <w:numId w:val="0"/>
        </w:numPr>
        <w:tabs>
          <w:tab w:val="left" w:pos="740"/>
        </w:tabs>
        <w:adjustRightInd w:val="0"/>
        <w:snapToGrid w:val="0"/>
        <w:spacing w:line="42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widowControl/>
        <w:numPr>
          <w:ilvl w:val="255"/>
          <w:numId w:val="0"/>
        </w:numPr>
        <w:autoSpaceDE w:val="0"/>
        <w:autoSpaceDN w:val="0"/>
        <w:adjustRightInd w:val="0"/>
        <w:snapToGrid w:val="0"/>
        <w:spacing w:line="420" w:lineRule="exact"/>
        <w:jc w:val="left"/>
        <w:rPr>
          <w:rFonts w:ascii="宋体" w:hAnsi="宋体"/>
          <w:szCs w:val="21"/>
        </w:rPr>
      </w:pPr>
      <w:r>
        <w:rPr>
          <w:rFonts w:hint="eastAsia" w:ascii="宋体" w:hAnsi="宋体" w:eastAsia="华文楷体" w:cs="华文楷体"/>
          <w:kern w:val="0"/>
          <w:szCs w:val="21"/>
        </w:rPr>
        <w:t xml:space="preserve">        </w:t>
      </w:r>
      <w:r>
        <w:rPr>
          <w:rFonts w:hint="eastAsia" w:ascii="宋体" w:hAnsi="宋体"/>
          <w:szCs w:val="21"/>
        </w:rPr>
        <w:t xml:space="preserve">是否涉及绿色产品： </w:t>
      </w:r>
    </w:p>
    <w:p>
      <w:pPr>
        <w:widowControl/>
        <w:autoSpaceDE w:val="0"/>
        <w:autoSpaceDN w:val="0"/>
        <w:adjustRightInd w:val="0"/>
        <w:spacing w:line="420" w:lineRule="exact"/>
        <w:ind w:firstLine="420"/>
        <w:jc w:val="left"/>
        <w:rPr>
          <w:rFonts w:ascii="宋体" w:hAnsi="宋体" w:cs="华文楷体"/>
          <w:kern w:val="0"/>
          <w:sz w:val="22"/>
          <w:szCs w:val="21"/>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是，绿色产品政府采购相关政策确定的底级品目名称：</w:t>
      </w:r>
      <w:r>
        <w:rPr>
          <w:rFonts w:hint="eastAsia" w:ascii="宋体" w:hAnsi="宋体" w:cs="华文楷体"/>
          <w:kern w:val="0"/>
          <w:sz w:val="22"/>
          <w:szCs w:val="21"/>
          <w:u w:val="single"/>
        </w:rPr>
        <w:t xml:space="preserve">                    </w:t>
      </w:r>
    </w:p>
    <w:p>
      <w:pPr>
        <w:numPr>
          <w:ilvl w:val="255"/>
          <w:numId w:val="0"/>
        </w:numPr>
        <w:tabs>
          <w:tab w:val="left" w:pos="740"/>
        </w:tabs>
        <w:adjustRightInd w:val="0"/>
        <w:snapToGrid w:val="0"/>
        <w:spacing w:line="42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numPr>
          <w:ilvl w:val="255"/>
          <w:numId w:val="0"/>
        </w:numPr>
        <w:adjustRightInd w:val="0"/>
        <w:snapToGrid w:val="0"/>
        <w:spacing w:line="420" w:lineRule="exact"/>
        <w:ind w:firstLine="315" w:firstLineChars="150"/>
        <w:rPr>
          <w:rFonts w:ascii="宋体" w:hAnsi="宋体"/>
          <w:szCs w:val="21"/>
        </w:rPr>
      </w:pPr>
      <w:r>
        <w:rPr>
          <w:rFonts w:hint="eastAsia" w:ascii="宋体" w:hAnsi="宋体"/>
          <w:szCs w:val="21"/>
        </w:rPr>
        <w:t>（1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pPr>
        <w:numPr>
          <w:ilvl w:val="0"/>
          <w:numId w:val="2"/>
        </w:numPr>
        <w:adjustRightInd w:val="0"/>
        <w:snapToGrid w:val="0"/>
        <w:spacing w:line="420" w:lineRule="exact"/>
        <w:ind w:firstLine="422" w:firstLineChars="200"/>
        <w:rPr>
          <w:rFonts w:ascii="宋体" w:hAnsi="宋体"/>
          <w:b/>
          <w:szCs w:val="21"/>
        </w:rPr>
      </w:pPr>
      <w:r>
        <w:rPr>
          <w:rFonts w:hint="eastAsia" w:ascii="宋体" w:hAnsi="宋体"/>
          <w:b/>
          <w:szCs w:val="21"/>
        </w:rPr>
        <w:t>合同金额</w:t>
      </w:r>
    </w:p>
    <w:p>
      <w:pPr>
        <w:adjustRightInd w:val="0"/>
        <w:snapToGrid w:val="0"/>
        <w:spacing w:line="42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pPr>
        <w:adjustRightInd w:val="0"/>
        <w:snapToGrid w:val="0"/>
        <w:spacing w:line="42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2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pPr>
        <w:adjustRightInd w:val="0"/>
        <w:snapToGrid w:val="0"/>
        <w:spacing w:line="42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20" w:lineRule="exact"/>
        <w:rPr>
          <w:rFonts w:ascii="宋体" w:hAnsi="宋体"/>
          <w:szCs w:val="21"/>
        </w:rPr>
      </w:pPr>
      <w:r>
        <w:rPr>
          <w:rFonts w:hint="eastAsia" w:ascii="宋体" w:hAnsi="宋体"/>
          <w:szCs w:val="21"/>
        </w:rPr>
        <w:t xml:space="preserve">    （注：固定单价合同应填写单价和最高限价）</w:t>
      </w:r>
    </w:p>
    <w:p>
      <w:pPr>
        <w:numPr>
          <w:ilvl w:val="255"/>
          <w:numId w:val="0"/>
        </w:numPr>
        <w:adjustRightInd w:val="0"/>
        <w:snapToGrid w:val="0"/>
        <w:spacing w:line="420" w:lineRule="exact"/>
        <w:rPr>
          <w:rFonts w:ascii="宋体" w:hAnsi="宋体"/>
          <w:szCs w:val="21"/>
        </w:rPr>
      </w:pPr>
      <w:r>
        <w:rPr>
          <w:rFonts w:hint="eastAsia" w:ascii="宋体" w:hAnsi="宋体"/>
          <w:szCs w:val="21"/>
        </w:rPr>
        <w:t xml:space="preserve">    （2）合同定价方式（采用组合定价方式的，可以勾选多项）：</w:t>
      </w:r>
    </w:p>
    <w:p>
      <w:pPr>
        <w:adjustRightInd w:val="0"/>
        <w:snapToGrid w:val="0"/>
        <w:spacing w:line="420" w:lineRule="exact"/>
        <w:ind w:firstLine="420"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pPr>
        <w:spacing w:line="420" w:lineRule="exact"/>
        <w:ind w:firstLine="420" w:firstLineChars="200"/>
        <w:rPr>
          <w:szCs w:val="21"/>
        </w:rPr>
      </w:pPr>
      <w:r>
        <w:rPr>
          <w:rFonts w:hint="eastAsia" w:ascii="宋体" w:hAnsi="宋体"/>
          <w:szCs w:val="21"/>
        </w:rPr>
        <w:t>（3）付款方式（按项目实际勾选填写）：</w:t>
      </w:r>
    </w:p>
    <w:p>
      <w:pPr>
        <w:adjustRightInd w:val="0"/>
        <w:snapToGrid w:val="0"/>
        <w:spacing w:line="42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pPr>
        <w:snapToGrid w:val="0"/>
        <w:spacing w:line="42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w:t>
      </w:r>
      <w:r>
        <w:rPr>
          <w:rFonts w:hint="eastAsia" w:ascii="宋体" w:hAnsi="宋体"/>
          <w:szCs w:val="21"/>
        </w:rPr>
        <w:t>，其中涉及预付款的：</w:t>
      </w:r>
      <w:r>
        <w:rPr>
          <w:rFonts w:hint="eastAsia" w:ascii="宋体" w:hAnsi="宋体"/>
          <w:szCs w:val="21"/>
          <w:u w:val="single"/>
        </w:rPr>
        <w:t xml:space="preserve"> （应明确预付款的支付比例和支付条件）</w:t>
      </w:r>
    </w:p>
    <w:p>
      <w:pPr>
        <w:adjustRightInd w:val="0"/>
        <w:snapToGrid w:val="0"/>
        <w:spacing w:line="42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pPr>
        <w:adjustRightInd w:val="0"/>
        <w:snapToGrid w:val="0"/>
        <w:spacing w:line="42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pPr>
        <w:numPr>
          <w:ilvl w:val="0"/>
          <w:numId w:val="2"/>
        </w:numPr>
        <w:adjustRightInd w:val="0"/>
        <w:snapToGrid w:val="0"/>
        <w:spacing w:line="420" w:lineRule="exact"/>
        <w:ind w:firstLine="422" w:firstLineChars="200"/>
        <w:rPr>
          <w:rFonts w:ascii="宋体" w:hAnsi="宋体"/>
          <w:b/>
          <w:szCs w:val="21"/>
          <w:u w:val="single"/>
        </w:rPr>
      </w:pPr>
      <w:r>
        <w:rPr>
          <w:rFonts w:hint="eastAsia" w:ascii="宋体" w:hAnsi="宋体"/>
          <w:b/>
          <w:szCs w:val="21"/>
        </w:rPr>
        <w:t>合同履行</w:t>
      </w:r>
    </w:p>
    <w:p>
      <w:pPr>
        <w:adjustRightInd w:val="0"/>
        <w:snapToGrid w:val="0"/>
        <w:spacing w:line="420" w:lineRule="exact"/>
        <w:ind w:firstLine="199" w:firstLineChars="95"/>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420" w:lineRule="exact"/>
        <w:ind w:firstLine="199" w:firstLineChars="95"/>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pPr>
        <w:adjustRightInd w:val="0"/>
        <w:snapToGrid w:val="0"/>
        <w:spacing w:line="420" w:lineRule="exact"/>
        <w:ind w:firstLine="199" w:firstLineChars="95"/>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pPr>
        <w:widowControl/>
        <w:autoSpaceDE w:val="0"/>
        <w:autoSpaceDN w:val="0"/>
        <w:adjustRightInd w:val="0"/>
        <w:spacing w:line="420" w:lineRule="exact"/>
        <w:ind w:firstLine="440" w:firstLineChars="200"/>
        <w:jc w:val="left"/>
        <w:rPr>
          <w:rFonts w:ascii="宋体" w:hAnsi="宋体" w:cs="宋体"/>
          <w:kern w:val="0"/>
          <w:szCs w:val="21"/>
        </w:rPr>
      </w:pPr>
      <w:r>
        <w:rPr>
          <w:rFonts w:hint="eastAsia" w:ascii="宋体" w:hAnsi="宋体" w:eastAsia="华文楷体" w:cs="宋体"/>
          <w:bCs/>
          <w:kern w:val="0"/>
          <w:sz w:val="22"/>
          <w:szCs w:val="21"/>
        </w:rPr>
        <w:t xml:space="preserve"> </w:t>
      </w:r>
      <w:r>
        <w:rPr>
          <w:rFonts w:hint="eastAsia" w:ascii="宋体" w:hAnsi="宋体" w:cs="宋体"/>
          <w:kern w:val="0"/>
          <w:szCs w:val="21"/>
        </w:rPr>
        <w:t xml:space="preserve">  收取履约保证金形式：</w:t>
      </w:r>
      <w:r>
        <w:rPr>
          <w:rFonts w:hint="eastAsia" w:ascii="宋体" w:hAnsi="宋体" w:cs="宋体"/>
          <w:bCs/>
          <w:kern w:val="0"/>
          <w:szCs w:val="21"/>
          <w:u w:val="single"/>
        </w:rPr>
        <w:t xml:space="preserve">                                  </w:t>
      </w:r>
    </w:p>
    <w:p>
      <w:pPr>
        <w:widowControl/>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 xml:space="preserve">   收取履约保证金金额：</w:t>
      </w:r>
      <w:r>
        <w:rPr>
          <w:rFonts w:hint="eastAsia" w:ascii="宋体" w:hAnsi="宋体" w:cs="宋体"/>
          <w:bCs/>
          <w:kern w:val="0"/>
          <w:szCs w:val="21"/>
          <w:u w:val="single"/>
        </w:rPr>
        <w:t xml:space="preserve">                                  </w:t>
      </w:r>
    </w:p>
    <w:p>
      <w:pPr>
        <w:snapToGrid w:val="0"/>
        <w:spacing w:line="420" w:lineRule="exact"/>
        <w:ind w:firstLine="420"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pPr>
        <w:adjustRightInd w:val="0"/>
        <w:snapToGrid w:val="0"/>
        <w:spacing w:line="420" w:lineRule="exact"/>
        <w:ind w:firstLine="199" w:firstLineChars="95"/>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pPr>
        <w:adjustRightInd w:val="0"/>
        <w:snapToGrid w:val="0"/>
        <w:spacing w:line="420" w:lineRule="exact"/>
        <w:ind w:firstLine="199" w:firstLineChars="95"/>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pPr>
        <w:numPr>
          <w:ilvl w:val="0"/>
          <w:numId w:val="2"/>
        </w:numPr>
        <w:adjustRightInd w:val="0"/>
        <w:snapToGrid w:val="0"/>
        <w:spacing w:line="420" w:lineRule="exact"/>
        <w:ind w:firstLine="422" w:firstLineChars="200"/>
        <w:rPr>
          <w:rFonts w:ascii="宋体" w:hAnsi="宋体"/>
          <w:b/>
          <w:szCs w:val="21"/>
        </w:rPr>
      </w:pPr>
      <w:r>
        <w:rPr>
          <w:rFonts w:hint="eastAsia" w:ascii="宋体" w:hAnsi="宋体"/>
          <w:b/>
          <w:szCs w:val="21"/>
        </w:rPr>
        <w:t>合同验收</w:t>
      </w:r>
    </w:p>
    <w:p>
      <w:pPr>
        <w:adjustRightInd w:val="0"/>
        <w:snapToGrid w:val="0"/>
        <w:spacing w:line="420" w:lineRule="exact"/>
        <w:ind w:firstLine="210" w:firstLineChars="100"/>
        <w:rPr>
          <w:rFonts w:ascii="宋体" w:hAnsi="宋体"/>
          <w:bCs/>
          <w:szCs w:val="21"/>
        </w:rPr>
      </w:pPr>
      <w:r>
        <w:rPr>
          <w:rFonts w:hint="eastAsia" w:ascii="宋体" w:hAnsi="宋体"/>
          <w:bCs/>
          <w:szCs w:val="21"/>
        </w:rPr>
        <w:t>（1）验收组织方式：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pPr>
        <w:adjustRightInd w:val="0"/>
        <w:snapToGrid w:val="0"/>
        <w:spacing w:line="42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pPr>
        <w:adjustRightInd w:val="0"/>
        <w:snapToGrid w:val="0"/>
        <w:spacing w:line="42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pPr>
        <w:adjustRightInd w:val="0"/>
        <w:snapToGrid w:val="0"/>
        <w:spacing w:line="420" w:lineRule="exact"/>
        <w:ind w:firstLine="210" w:firstLineChars="1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pPr>
        <w:adjustRightInd w:val="0"/>
        <w:snapToGrid w:val="0"/>
        <w:spacing w:line="420" w:lineRule="exact"/>
        <w:ind w:firstLine="210" w:firstLineChars="1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一次性验收</w:t>
      </w:r>
    </w:p>
    <w:p>
      <w:pPr>
        <w:adjustRightInd w:val="0"/>
        <w:snapToGrid w:val="0"/>
        <w:spacing w:line="42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pPr>
        <w:adjustRightInd w:val="0"/>
        <w:snapToGrid w:val="0"/>
        <w:spacing w:line="420" w:lineRule="exact"/>
        <w:ind w:firstLine="210" w:firstLineChars="1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pPr>
        <w:adjustRightInd w:val="0"/>
        <w:snapToGrid w:val="0"/>
        <w:spacing w:line="420" w:lineRule="exact"/>
        <w:ind w:firstLine="210" w:firstLineChars="1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pPr>
        <w:adjustRightInd w:val="0"/>
        <w:snapToGrid w:val="0"/>
        <w:spacing w:line="420" w:lineRule="exact"/>
        <w:ind w:firstLine="210" w:firstLineChars="1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pPr>
        <w:widowControl/>
        <w:autoSpaceDE w:val="0"/>
        <w:autoSpaceDN w:val="0"/>
        <w:adjustRightInd w:val="0"/>
        <w:spacing w:line="420" w:lineRule="exact"/>
        <w:ind w:firstLine="210" w:firstLineChars="100"/>
        <w:jc w:val="left"/>
        <w:rPr>
          <w:rFonts w:ascii="宋体" w:hAnsi="宋体" w:cs="宋体"/>
          <w:kern w:val="0"/>
          <w:szCs w:val="21"/>
        </w:rPr>
      </w:pPr>
      <w:r>
        <w:rPr>
          <w:rFonts w:hint="eastAsia" w:ascii="宋体" w:hAnsi="宋体" w:cs="宋体"/>
          <w:bCs/>
          <w:kern w:val="0"/>
          <w:szCs w:val="21"/>
        </w:rPr>
        <w:t>（7）是否以采购活动中供应商提供的样品作为参考：</w:t>
      </w:r>
      <w:r>
        <w:rPr>
          <w:rFonts w:hint="eastAsia" w:ascii="宋体" w:hAnsi="宋体" w:cs="宋体"/>
          <w:kern w:val="0"/>
          <w:szCs w:val="21"/>
        </w:rPr>
        <w:sym w:font="Wingdings" w:char="00A8"/>
      </w:r>
      <w:r>
        <w:rPr>
          <w:rFonts w:hint="eastAsia" w:ascii="宋体" w:hAnsi="宋体" w:cs="宋体"/>
          <w:bCs/>
          <w:kern w:val="0"/>
          <w:szCs w:val="21"/>
        </w:rPr>
        <w:t xml:space="preserve">是  </w:t>
      </w:r>
      <w:r>
        <w:rPr>
          <w:rFonts w:hint="eastAsia" w:ascii="宋体" w:hAnsi="宋体" w:cs="宋体"/>
          <w:kern w:val="0"/>
          <w:szCs w:val="21"/>
        </w:rPr>
        <w:sym w:font="Wingdings" w:char="00A8"/>
      </w:r>
      <w:r>
        <w:rPr>
          <w:rFonts w:hint="eastAsia" w:ascii="宋体" w:hAnsi="宋体" w:cs="宋体"/>
          <w:bCs/>
          <w:kern w:val="0"/>
          <w:szCs w:val="21"/>
        </w:rPr>
        <w:t>否</w:t>
      </w:r>
    </w:p>
    <w:p>
      <w:pPr>
        <w:adjustRightInd w:val="0"/>
        <w:snapToGrid w:val="0"/>
        <w:spacing w:line="420" w:lineRule="exact"/>
        <w:ind w:firstLine="210" w:firstLineChars="1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pPr>
        <w:numPr>
          <w:ilvl w:val="0"/>
          <w:numId w:val="2"/>
        </w:numPr>
        <w:adjustRightInd w:val="0"/>
        <w:snapToGrid w:val="0"/>
        <w:spacing w:line="420" w:lineRule="exact"/>
        <w:ind w:firstLine="422" w:firstLineChars="200"/>
        <w:rPr>
          <w:rFonts w:ascii="宋体" w:hAnsi="宋体"/>
          <w:b/>
          <w:szCs w:val="21"/>
        </w:rPr>
      </w:pPr>
      <w:r>
        <w:rPr>
          <w:rFonts w:hint="eastAsia" w:ascii="宋体" w:hAnsi="宋体"/>
          <w:b/>
          <w:szCs w:val="21"/>
        </w:rPr>
        <w:t>组成合同的文件</w:t>
      </w:r>
    </w:p>
    <w:p>
      <w:pPr>
        <w:adjustRightInd w:val="0"/>
        <w:snapToGrid w:val="0"/>
        <w:spacing w:line="42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pPr>
        <w:adjustRightInd w:val="0"/>
        <w:snapToGrid w:val="0"/>
        <w:spacing w:line="420" w:lineRule="exact"/>
        <w:ind w:firstLine="210" w:firstLineChars="100"/>
        <w:rPr>
          <w:rFonts w:ascii="宋体" w:hAnsi="宋体"/>
          <w:szCs w:val="21"/>
        </w:rPr>
      </w:pPr>
      <w:r>
        <w:rPr>
          <w:rFonts w:hint="eastAsia" w:ascii="宋体" w:hAnsi="宋体"/>
          <w:szCs w:val="21"/>
        </w:rPr>
        <w:t>（1）政府采购合同协议书及其变更、补充协议</w:t>
      </w:r>
    </w:p>
    <w:p>
      <w:pPr>
        <w:adjustRightInd w:val="0"/>
        <w:snapToGrid w:val="0"/>
        <w:spacing w:line="420" w:lineRule="exact"/>
        <w:ind w:firstLine="210" w:firstLineChars="100"/>
        <w:rPr>
          <w:rFonts w:ascii="宋体" w:hAnsi="宋体"/>
          <w:szCs w:val="21"/>
        </w:rPr>
      </w:pPr>
      <w:r>
        <w:rPr>
          <w:rFonts w:hint="eastAsia" w:ascii="宋体" w:hAnsi="宋体"/>
          <w:szCs w:val="21"/>
        </w:rPr>
        <w:t>（2）政府采购合同专用条款</w:t>
      </w:r>
    </w:p>
    <w:p>
      <w:pPr>
        <w:adjustRightInd w:val="0"/>
        <w:snapToGrid w:val="0"/>
        <w:spacing w:line="420" w:lineRule="exact"/>
        <w:ind w:firstLine="210" w:firstLineChars="100"/>
        <w:rPr>
          <w:rFonts w:ascii="宋体" w:hAnsi="宋体"/>
          <w:szCs w:val="21"/>
        </w:rPr>
      </w:pPr>
      <w:r>
        <w:rPr>
          <w:rFonts w:hint="eastAsia" w:ascii="宋体" w:hAnsi="宋体"/>
          <w:szCs w:val="21"/>
        </w:rPr>
        <w:t>（3）政府采购合同通用条款</w:t>
      </w:r>
    </w:p>
    <w:p>
      <w:pPr>
        <w:adjustRightInd w:val="0"/>
        <w:snapToGrid w:val="0"/>
        <w:spacing w:line="420" w:lineRule="exact"/>
        <w:ind w:firstLine="210" w:firstLineChars="100"/>
        <w:rPr>
          <w:rFonts w:ascii="宋体" w:hAnsi="宋体"/>
          <w:szCs w:val="21"/>
        </w:rPr>
      </w:pPr>
      <w:r>
        <w:rPr>
          <w:rFonts w:hint="eastAsia" w:ascii="宋体" w:hAnsi="宋体"/>
          <w:szCs w:val="21"/>
        </w:rPr>
        <w:t>（4）中标（成交）通知书</w:t>
      </w:r>
    </w:p>
    <w:p>
      <w:pPr>
        <w:adjustRightInd w:val="0"/>
        <w:snapToGrid w:val="0"/>
        <w:spacing w:line="420" w:lineRule="exact"/>
        <w:ind w:firstLine="210" w:firstLineChars="100"/>
        <w:rPr>
          <w:rFonts w:ascii="宋体" w:hAnsi="宋体"/>
          <w:szCs w:val="21"/>
        </w:rPr>
      </w:pPr>
      <w:r>
        <w:rPr>
          <w:rFonts w:hint="eastAsia" w:ascii="宋体" w:hAnsi="宋体"/>
          <w:szCs w:val="21"/>
        </w:rPr>
        <w:t>（5）投标（响应）文件</w:t>
      </w:r>
    </w:p>
    <w:p>
      <w:pPr>
        <w:adjustRightInd w:val="0"/>
        <w:snapToGrid w:val="0"/>
        <w:spacing w:line="420" w:lineRule="exact"/>
        <w:ind w:firstLine="210" w:firstLineChars="100"/>
        <w:rPr>
          <w:rFonts w:ascii="宋体" w:hAnsi="宋体"/>
          <w:szCs w:val="21"/>
        </w:rPr>
      </w:pPr>
      <w:r>
        <w:rPr>
          <w:rFonts w:hint="eastAsia" w:ascii="宋体" w:hAnsi="宋体"/>
          <w:szCs w:val="21"/>
        </w:rPr>
        <w:t>（6）采购文件</w:t>
      </w:r>
    </w:p>
    <w:p>
      <w:pPr>
        <w:adjustRightInd w:val="0"/>
        <w:snapToGrid w:val="0"/>
        <w:spacing w:line="420" w:lineRule="exact"/>
        <w:ind w:firstLine="210" w:firstLineChars="100"/>
        <w:rPr>
          <w:rFonts w:ascii="宋体" w:hAnsi="宋体"/>
          <w:szCs w:val="21"/>
        </w:rPr>
      </w:pPr>
      <w:r>
        <w:rPr>
          <w:rFonts w:hint="eastAsia" w:ascii="宋体" w:hAnsi="宋体"/>
          <w:szCs w:val="21"/>
        </w:rPr>
        <w:t>（7）有关技术文件，图纸</w:t>
      </w:r>
    </w:p>
    <w:p>
      <w:pPr>
        <w:widowControl/>
        <w:autoSpaceDE w:val="0"/>
        <w:autoSpaceDN w:val="0"/>
        <w:adjustRightInd w:val="0"/>
        <w:spacing w:line="420" w:lineRule="exact"/>
        <w:ind w:firstLine="210" w:firstLineChars="100"/>
        <w:jc w:val="left"/>
        <w:rPr>
          <w:rFonts w:ascii="宋体" w:hAnsi="宋体" w:cs="宋体"/>
          <w:szCs w:val="21"/>
        </w:rPr>
      </w:pPr>
      <w:r>
        <w:rPr>
          <w:rFonts w:hint="eastAsia" w:ascii="宋体" w:hAnsi="宋体" w:cs="宋体"/>
          <w:kern w:val="0"/>
          <w:szCs w:val="21"/>
        </w:rPr>
        <w:t>（8）</w:t>
      </w:r>
      <w:r>
        <w:rPr>
          <w:rFonts w:hint="eastAsia" w:ascii="宋体" w:hAnsi="宋体" w:cs="宋体"/>
          <w:szCs w:val="21"/>
        </w:rPr>
        <w:t>国家法律、行政法规和规章制度规定或合同约定的作为合同组成部分的其他文件</w:t>
      </w:r>
    </w:p>
    <w:p>
      <w:pPr>
        <w:numPr>
          <w:ilvl w:val="0"/>
          <w:numId w:val="2"/>
        </w:numPr>
        <w:adjustRightInd w:val="0"/>
        <w:snapToGrid w:val="0"/>
        <w:spacing w:line="420" w:lineRule="exact"/>
        <w:ind w:firstLine="422" w:firstLineChars="200"/>
        <w:rPr>
          <w:rFonts w:ascii="宋体" w:hAnsi="宋体"/>
          <w:b/>
          <w:szCs w:val="21"/>
        </w:rPr>
      </w:pPr>
      <w:r>
        <w:rPr>
          <w:rFonts w:hint="eastAsia" w:ascii="宋体" w:hAnsi="宋体"/>
          <w:b/>
          <w:szCs w:val="21"/>
        </w:rPr>
        <w:t>合同生效</w:t>
      </w:r>
    </w:p>
    <w:p>
      <w:pPr>
        <w:adjustRightInd w:val="0"/>
        <w:snapToGrid w:val="0"/>
        <w:spacing w:line="42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pPr>
        <w:numPr>
          <w:ilvl w:val="0"/>
          <w:numId w:val="2"/>
        </w:numPr>
        <w:adjustRightInd w:val="0"/>
        <w:snapToGrid w:val="0"/>
        <w:spacing w:line="420" w:lineRule="exact"/>
        <w:ind w:firstLine="422" w:firstLineChars="200"/>
        <w:rPr>
          <w:rFonts w:ascii="宋体" w:hAnsi="宋体"/>
          <w:b/>
          <w:szCs w:val="21"/>
        </w:rPr>
      </w:pPr>
      <w:r>
        <w:rPr>
          <w:rFonts w:hint="eastAsia" w:ascii="宋体" w:hAnsi="宋体"/>
          <w:b/>
          <w:szCs w:val="21"/>
        </w:rPr>
        <w:t>合同份数</w:t>
      </w:r>
    </w:p>
    <w:p>
      <w:pPr>
        <w:adjustRightInd w:val="0"/>
        <w:snapToGrid w:val="0"/>
        <w:spacing w:line="42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pPr>
        <w:adjustRightInd w:val="0"/>
        <w:snapToGrid w:val="0"/>
        <w:spacing w:line="42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42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pPr>
        <w:adjustRightInd w:val="0"/>
        <w:snapToGrid w:val="0"/>
        <w:spacing w:line="420" w:lineRule="exact"/>
        <w:ind w:firstLine="420" w:firstLineChars="200"/>
      </w:pPr>
      <w:r>
        <w:rPr>
          <w:rFonts w:hint="eastAsia" w:ascii="宋体" w:hAnsi="宋体"/>
          <w:szCs w:val="21"/>
        </w:rPr>
        <w:t>附件：具体标的及其技术要求和商务要求、联合协议、分包意向协议等。</w:t>
      </w:r>
    </w:p>
    <w:p>
      <w:pPr>
        <w:widowControl/>
        <w:spacing w:line="420" w:lineRule="exact"/>
        <w:jc w:val="left"/>
        <w:rPr>
          <w:szCs w:val="21"/>
        </w:rPr>
      </w:pPr>
      <w:r>
        <w:rPr>
          <w:szCs w:val="21"/>
        </w:rPr>
        <w:br w:type="page"/>
      </w:r>
    </w:p>
    <w:tbl>
      <w:tblPr>
        <w:tblStyle w:val="34"/>
        <w:tblW w:w="4927" w:type="pct"/>
        <w:tblInd w:w="113"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50"/>
        <w:gridCol w:w="2869"/>
        <w:gridCol w:w="2354"/>
        <w:gridCol w:w="251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054" w:hRule="atLeast"/>
        </w:trPr>
        <w:tc>
          <w:tcPr>
            <w:tcW w:w="2562" w:type="pct"/>
            <w:gridSpan w:val="2"/>
            <w:tcBorders>
              <w:bottom w:val="single" w:color="auto" w:sz="2" w:space="0"/>
              <w:right w:val="single" w:color="auto" w:sz="2" w:space="0"/>
            </w:tcBorders>
            <w:vAlign w:val="center"/>
          </w:tcPr>
          <w:p>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pPr>
              <w:adjustRightInd w:val="0"/>
              <w:snapToGrid w:val="0"/>
              <w:spacing w:line="300" w:lineRule="exact"/>
              <w:jc w:val="center"/>
            </w:pPr>
            <w:r>
              <w:rPr>
                <w:szCs w:val="21"/>
              </w:rPr>
              <w:t>乙方</w:t>
            </w:r>
            <w:r>
              <w:rPr>
                <w:rFonts w:hint="eastAsia"/>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832"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45" w:hRule="atLeast"/>
        </w:trPr>
        <w:tc>
          <w:tcPr>
            <w:tcW w:w="5000" w:type="pct"/>
            <w:gridSpan w:val="4"/>
            <w:tcBorders>
              <w:top w:val="single" w:color="auto" w:sz="2" w:space="0"/>
            </w:tcBorders>
            <w:vAlign w:val="center"/>
          </w:tcPr>
          <w:p>
            <w:pPr>
              <w:adjustRightInd w:val="0"/>
              <w:snapToGrid w:val="0"/>
              <w:spacing w:before="156" w:beforeLines="50" w:line="360" w:lineRule="auto"/>
              <w:jc w:val="left"/>
              <w:rPr>
                <w:spacing w:val="20"/>
                <w:szCs w:val="21"/>
              </w:rPr>
            </w:pPr>
            <w:r>
              <w:rPr>
                <w:rFonts w:hint="eastAsia" w:ascii="宋体" w:hAnsi="宋体"/>
                <w:szCs w:val="21"/>
              </w:rPr>
              <w:t>注：涉及联合体或其他合同主体的信息应按上表格式加列。</w:t>
            </w:r>
          </w:p>
        </w:tc>
      </w:tr>
    </w:tbl>
    <w:p>
      <w:pPr>
        <w:keepNext/>
        <w:keepLines/>
        <w:adjustRightInd w:val="0"/>
        <w:snapToGrid w:val="0"/>
        <w:spacing w:before="156" w:beforeLines="50" w:line="360" w:lineRule="auto"/>
        <w:jc w:val="center"/>
        <w:outlineLvl w:val="1"/>
        <w:rPr>
          <w:rFonts w:ascii="黑体" w:hAnsi="黑体" w:eastAsia="黑体"/>
          <w:b/>
          <w:bCs/>
          <w:sz w:val="28"/>
          <w:szCs w:val="28"/>
        </w:rPr>
      </w:pPr>
      <w:r>
        <w:rPr>
          <w:rFonts w:ascii="宋体" w:hAnsi="宋体"/>
          <w:b/>
          <w:bCs/>
          <w:szCs w:val="21"/>
          <w:u w:val="single"/>
        </w:rPr>
        <w:br w:type="page"/>
      </w:r>
      <w:bookmarkStart w:id="140" w:name="_Toc27624"/>
      <w:r>
        <w:rPr>
          <w:rFonts w:hint="eastAsia" w:ascii="黑体" w:hAnsi="黑体" w:eastAsia="黑体"/>
          <w:sz w:val="28"/>
          <w:szCs w:val="28"/>
        </w:rPr>
        <w:t>第二节 政府采购合同通用条款</w:t>
      </w:r>
      <w:bookmarkEnd w:id="140"/>
    </w:p>
    <w:p>
      <w:pPr>
        <w:tabs>
          <w:tab w:val="left" w:pos="8820"/>
          <w:tab w:val="left" w:pos="9345"/>
          <w:tab w:val="left" w:pos="9765"/>
        </w:tabs>
        <w:adjustRightInd w:val="0"/>
        <w:snapToGrid w:val="0"/>
        <w:spacing w:line="42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1.1合同当事人</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pPr>
        <w:tabs>
          <w:tab w:val="left" w:pos="570"/>
          <w:tab w:val="left" w:pos="9240"/>
          <w:tab w:val="left" w:pos="9555"/>
        </w:tabs>
        <w:adjustRightInd w:val="0"/>
        <w:snapToGrid w:val="0"/>
        <w:spacing w:line="406" w:lineRule="exact"/>
        <w:ind w:firstLine="420" w:firstLineChars="200"/>
        <w:jc w:val="left"/>
        <w:rPr>
          <w:rFonts w:ascii="宋体" w:hAnsi="宋体"/>
          <w:szCs w:val="21"/>
        </w:rPr>
      </w:pPr>
      <w:r>
        <w:rPr>
          <w:rFonts w:hint="eastAsia" w:ascii="宋体" w:hAnsi="宋体"/>
          <w:szCs w:val="21"/>
        </w:rPr>
        <w:t>1.2本合同下列术语应解释为：</w:t>
      </w:r>
    </w:p>
    <w:p>
      <w:pPr>
        <w:adjustRightInd w:val="0"/>
        <w:snapToGrid w:val="0"/>
        <w:spacing w:line="406"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pPr>
        <w:tabs>
          <w:tab w:val="left" w:pos="570"/>
          <w:tab w:val="left" w:pos="9240"/>
          <w:tab w:val="left" w:pos="9555"/>
        </w:tabs>
        <w:adjustRightInd w:val="0"/>
        <w:snapToGrid w:val="0"/>
        <w:spacing w:line="406"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pPr>
        <w:tabs>
          <w:tab w:val="left" w:pos="570"/>
          <w:tab w:val="left" w:pos="9240"/>
          <w:tab w:val="left" w:pos="9555"/>
        </w:tabs>
        <w:adjustRightInd w:val="0"/>
        <w:snapToGrid w:val="0"/>
        <w:spacing w:line="406" w:lineRule="exact"/>
        <w:ind w:firstLine="420" w:firstLineChars="20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hint="eastAsia" w:ascii="宋体" w:hAnsi="宋体"/>
          <w:szCs w:val="21"/>
        </w:rPr>
        <w:t>技术资料和材料等。</w:t>
      </w:r>
    </w:p>
    <w:p>
      <w:pPr>
        <w:adjustRightInd w:val="0"/>
        <w:snapToGrid w:val="0"/>
        <w:spacing w:line="406" w:lineRule="exact"/>
        <w:ind w:firstLine="420" w:firstLineChars="200"/>
        <w:jc w:val="left"/>
        <w:rPr>
          <w:rFonts w:ascii="宋体" w:hAnsi="宋体"/>
          <w:szCs w:val="21"/>
          <w:highlight w:val="yellow"/>
        </w:rPr>
      </w:pPr>
      <w:r>
        <w:rPr>
          <w:rFonts w:hint="eastAsia" w:ascii="宋体" w:hAnsi="宋体"/>
          <w:szCs w:val="21"/>
        </w:rPr>
        <w:t>（4）“相关服务”系指根据合同规定，乙方应提供的与货物有关的技术、管理和</w:t>
      </w:r>
      <w:r>
        <w:rPr>
          <w:rFonts w:ascii="宋体" w:hAnsi="宋体"/>
          <w:szCs w:val="21"/>
          <w:lang w:val="en"/>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hint="eastAsia" w:ascii="宋体" w:hAnsi="宋体"/>
          <w:szCs w:val="21"/>
        </w:rPr>
        <w:t>义务。</w:t>
      </w:r>
    </w:p>
    <w:p>
      <w:pPr>
        <w:adjustRightInd w:val="0"/>
        <w:snapToGrid w:val="0"/>
        <w:spacing w:line="406" w:lineRule="exact"/>
        <w:ind w:firstLine="420" w:firstLineChars="200"/>
        <w:jc w:val="left"/>
        <w:rPr>
          <w:rFonts w:ascii="宋体" w:hAnsi="宋体"/>
          <w:szCs w:val="21"/>
          <w:highlight w:val="yellow"/>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6" w:lineRule="exact"/>
        <w:ind w:firstLine="420" w:firstLineChars="20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pPr>
        <w:tabs>
          <w:tab w:val="left" w:pos="570"/>
          <w:tab w:val="left" w:pos="9240"/>
          <w:tab w:val="left" w:pos="9555"/>
        </w:tabs>
        <w:adjustRightInd w:val="0"/>
        <w:snapToGrid w:val="0"/>
        <w:spacing w:line="406" w:lineRule="exact"/>
        <w:ind w:firstLine="420" w:firstLineChars="20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pPr>
        <w:numPr>
          <w:ilvl w:val="0"/>
          <w:numId w:val="3"/>
        </w:numPr>
        <w:autoSpaceDE w:val="0"/>
        <w:autoSpaceDN w:val="0"/>
        <w:adjustRightInd w:val="0"/>
        <w:snapToGrid w:val="0"/>
        <w:spacing w:line="406" w:lineRule="exact"/>
        <w:ind w:firstLine="482" w:firstLineChars="200"/>
        <w:jc w:val="left"/>
        <w:rPr>
          <w:rFonts w:ascii="宋体" w:hAnsi="宋体"/>
          <w:b/>
          <w:bCs/>
          <w:sz w:val="24"/>
        </w:rPr>
      </w:pPr>
      <w:r>
        <w:rPr>
          <w:rFonts w:hint="eastAsia" w:ascii="宋体" w:hAnsi="宋体"/>
          <w:b/>
          <w:sz w:val="24"/>
        </w:rPr>
        <w:t>合同标的及金额</w:t>
      </w:r>
    </w:p>
    <w:p>
      <w:pPr>
        <w:autoSpaceDE w:val="0"/>
        <w:autoSpaceDN w:val="0"/>
        <w:adjustRightInd w:val="0"/>
        <w:snapToGrid w:val="0"/>
        <w:spacing w:line="406" w:lineRule="exact"/>
        <w:ind w:firstLine="420" w:firstLineChars="200"/>
        <w:jc w:val="left"/>
        <w:rPr>
          <w:rFonts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lang w:val="en"/>
        </w:rPr>
        <w:t>其他</w:t>
      </w:r>
      <w:r>
        <w:rPr>
          <w:rFonts w:hint="eastAsia" w:ascii="宋体" w:hAnsi="宋体"/>
          <w:szCs w:val="21"/>
        </w:rPr>
        <w:t>任何费用。</w:t>
      </w:r>
    </w:p>
    <w:p>
      <w:pPr>
        <w:adjustRightInd w:val="0"/>
        <w:snapToGrid w:val="0"/>
        <w:spacing w:line="406" w:lineRule="exact"/>
        <w:jc w:val="left"/>
        <w:rPr>
          <w:rFonts w:ascii="宋体" w:hAnsi="宋体"/>
          <w:b/>
          <w:sz w:val="24"/>
        </w:rPr>
      </w:pPr>
      <w:r>
        <w:rPr>
          <w:rFonts w:hint="eastAsia" w:ascii="宋体" w:hAnsi="宋体"/>
          <w:b/>
          <w:sz w:val="24"/>
        </w:rPr>
        <w:t>3. 履行合同的时间、地点和方式</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4. 甲方的权利和义务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pPr>
        <w:snapToGrid w:val="0"/>
        <w:spacing w:line="406" w:lineRule="exact"/>
        <w:ind w:firstLine="420"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pPr>
        <w:autoSpaceDE w:val="0"/>
        <w:autoSpaceDN w:val="0"/>
        <w:adjustRightInd w:val="0"/>
        <w:snapToGrid w:val="0"/>
        <w:spacing w:line="406" w:lineRule="exact"/>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5. 乙方的权利和义务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pPr>
        <w:spacing w:line="406" w:lineRule="exact"/>
        <w:ind w:firstLine="369" w:firstLineChars="176"/>
        <w:rPr>
          <w:rFonts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pPr>
        <w:spacing w:line="406" w:lineRule="exact"/>
        <w:ind w:firstLine="369" w:firstLineChars="176"/>
        <w:rPr>
          <w:rFonts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pPr>
        <w:numPr>
          <w:ilvl w:val="0"/>
          <w:numId w:val="4"/>
        </w:numPr>
        <w:autoSpaceDE w:val="0"/>
        <w:autoSpaceDN w:val="0"/>
        <w:adjustRightInd w:val="0"/>
        <w:snapToGrid w:val="0"/>
        <w:spacing w:line="406" w:lineRule="exact"/>
        <w:ind w:firstLine="482" w:firstLineChars="200"/>
        <w:jc w:val="left"/>
        <w:rPr>
          <w:rFonts w:ascii="宋体" w:hAnsi="宋体"/>
          <w:b/>
          <w:bCs/>
          <w:sz w:val="24"/>
        </w:rPr>
      </w:pPr>
      <w:r>
        <w:rPr>
          <w:rFonts w:hint="eastAsia" w:ascii="宋体" w:hAnsi="宋体"/>
          <w:b/>
          <w:bCs/>
          <w:sz w:val="24"/>
        </w:rPr>
        <w:t>合同履行</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pPr>
        <w:autoSpaceDE w:val="0"/>
        <w:autoSpaceDN w:val="0"/>
        <w:adjustRightInd w:val="0"/>
        <w:snapToGrid w:val="0"/>
        <w:spacing w:line="406" w:lineRule="exact"/>
        <w:ind w:firstLine="420"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6" w:lineRule="exact"/>
        <w:jc w:val="left"/>
        <w:rPr>
          <w:rFonts w:ascii="宋体" w:hAnsi="宋体"/>
          <w:b/>
          <w:bCs/>
          <w:sz w:val="24"/>
        </w:rPr>
      </w:pPr>
      <w:r>
        <w:rPr>
          <w:rFonts w:hint="eastAsia" w:ascii="宋体" w:hAnsi="宋体"/>
          <w:b/>
          <w:bCs/>
          <w:sz w:val="24"/>
        </w:rPr>
        <w:t>7. 货物包装、运输、保险和交付要求</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pPr>
        <w:adjustRightInd w:val="0"/>
        <w:snapToGrid w:val="0"/>
        <w:spacing w:line="406" w:lineRule="exact"/>
        <w:ind w:firstLine="420" w:firstLineChars="20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pPr>
        <w:adjustRightInd w:val="0"/>
        <w:snapToGrid w:val="0"/>
        <w:spacing w:line="406" w:lineRule="exact"/>
        <w:ind w:firstLine="420" w:firstLineChars="20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pPr>
        <w:widowControl/>
        <w:autoSpaceDE w:val="0"/>
        <w:autoSpaceDN w:val="0"/>
        <w:adjustRightInd w:val="0"/>
        <w:spacing w:line="406" w:lineRule="exact"/>
        <w:ind w:firstLine="420" w:firstLineChars="200"/>
        <w:jc w:val="left"/>
        <w:rPr>
          <w:rFonts w:ascii="华文楷体" w:hAnsi="华文楷体" w:eastAsia="华文楷体" w:cs="华文楷体"/>
          <w:kern w:val="0"/>
          <w:szCs w:val="21"/>
        </w:rPr>
      </w:pPr>
      <w:r>
        <w:rPr>
          <w:rFonts w:hint="eastAsia" w:ascii="宋体" w:hAnsi="宋体"/>
          <w:szCs w:val="21"/>
        </w:rPr>
        <w:t>7.6 如因包装、运输问题导致货物损毁、丢失或者品质下降，甲方有权要求降价、换货、拒收部分或整批货物，由此产生的费用和损失，均由乙方承担。</w:t>
      </w:r>
    </w:p>
    <w:p>
      <w:pPr>
        <w:adjustRightInd w:val="0"/>
        <w:snapToGrid w:val="0"/>
        <w:spacing w:line="406" w:lineRule="exact"/>
        <w:jc w:val="left"/>
        <w:rPr>
          <w:rFonts w:ascii="宋体" w:hAnsi="宋体"/>
          <w:b/>
          <w:sz w:val="24"/>
        </w:rPr>
      </w:pPr>
      <w:r>
        <w:rPr>
          <w:rFonts w:hint="eastAsia" w:ascii="宋体" w:hAnsi="宋体"/>
          <w:b/>
          <w:sz w:val="24"/>
        </w:rPr>
        <w:t>8. 质量标准和保证</w:t>
      </w:r>
    </w:p>
    <w:p>
      <w:pPr>
        <w:adjustRightInd w:val="0"/>
        <w:snapToGrid w:val="0"/>
        <w:spacing w:line="406" w:lineRule="exact"/>
        <w:ind w:firstLine="420" w:firstLineChars="200"/>
        <w:jc w:val="left"/>
        <w:rPr>
          <w:rFonts w:ascii="宋体" w:hAnsi="宋体" w:cs="Courier New"/>
          <w:b/>
          <w:szCs w:val="21"/>
        </w:rPr>
      </w:pPr>
      <w:r>
        <w:rPr>
          <w:rFonts w:hint="eastAsia" w:ascii="宋体" w:hAnsi="宋体" w:cs="Courier New"/>
          <w:szCs w:val="21"/>
        </w:rPr>
        <w:t>8.1 质量标准</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406" w:lineRule="exact"/>
        <w:ind w:firstLine="420" w:firstLineChars="200"/>
        <w:jc w:val="left"/>
        <w:rPr>
          <w:rFonts w:ascii="宋体" w:hAnsi="宋体" w:cs="Courier New"/>
          <w:szCs w:val="21"/>
        </w:rPr>
      </w:pPr>
      <w:r>
        <w:rPr>
          <w:rFonts w:hint="eastAsia" w:ascii="宋体" w:hAnsi="宋体" w:cs="Courier New"/>
          <w:szCs w:val="21"/>
        </w:rPr>
        <w:t>（2）采用中华人民共和国法定计量单位。</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8.2 保证</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6"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pPr>
        <w:adjustRightInd w:val="0"/>
        <w:snapToGrid w:val="0"/>
        <w:spacing w:line="406" w:lineRule="exact"/>
        <w:jc w:val="left"/>
        <w:rPr>
          <w:rFonts w:ascii="宋体" w:hAnsi="宋体"/>
          <w:b/>
          <w:bCs/>
          <w:sz w:val="24"/>
        </w:rPr>
      </w:pPr>
      <w:r>
        <w:rPr>
          <w:rFonts w:hint="eastAsia" w:ascii="宋体" w:hAnsi="宋体"/>
          <w:b/>
          <w:bCs/>
          <w:sz w:val="24"/>
        </w:rPr>
        <w:t>9. 权利瑕疵担保</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9.1 乙方保证对其出售的货物享有合法的权利。</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9.3 如甲方使用上述货物构成对第三人侵权的，则由乙方承担全部责任。</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10. 知识产权保护</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141"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141"/>
      <w:r>
        <w:rPr>
          <w:rFonts w:hint="eastAsia" w:ascii="宋体" w:hAnsi="宋体"/>
          <w:szCs w:val="21"/>
        </w:rPr>
        <w:t>。</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11. 保密义务</w:t>
      </w:r>
    </w:p>
    <w:p>
      <w:pPr>
        <w:autoSpaceDE w:val="0"/>
        <w:autoSpaceDN w:val="0"/>
        <w:adjustRightInd w:val="0"/>
        <w:snapToGrid w:val="0"/>
        <w:spacing w:line="406"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12. 合同价款支付</w:t>
      </w:r>
    </w:p>
    <w:p>
      <w:pPr>
        <w:adjustRightInd w:val="0"/>
        <w:snapToGrid w:val="0"/>
        <w:spacing w:line="406"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pPr>
        <w:keepNext/>
        <w:keepLines/>
        <w:spacing w:line="406" w:lineRule="exact"/>
        <w:ind w:firstLine="420" w:firstLineChars="200"/>
        <w:outlineLvl w:val="1"/>
        <w:rPr>
          <w:rFonts w:ascii="Arial" w:hAnsi="Arial"/>
          <w:b/>
          <w:bCs/>
          <w:sz w:val="24"/>
          <w:szCs w:val="32"/>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政府采购合同专用条款</w:t>
      </w:r>
      <w:r>
        <w:rPr>
          <w:rFonts w:hint="eastAsia" w:ascii="宋体" w:hAnsi="宋体"/>
          <w:szCs w:val="21"/>
        </w:rPr>
        <w:t>】中约定。</w:t>
      </w:r>
    </w:p>
    <w:p>
      <w:pPr>
        <w:spacing w:line="406" w:lineRule="exact"/>
        <w:rPr>
          <w:rFonts w:ascii="宋体" w:hAnsi="宋体"/>
          <w:b/>
          <w:bCs/>
          <w:sz w:val="24"/>
        </w:rPr>
      </w:pPr>
      <w:r>
        <w:rPr>
          <w:rFonts w:hint="eastAsia" w:ascii="宋体" w:hAnsi="宋体"/>
          <w:b/>
          <w:bCs/>
          <w:sz w:val="24"/>
        </w:rPr>
        <w:t>13. 履约保证金</w:t>
      </w:r>
    </w:p>
    <w:p>
      <w:pPr>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pPr>
        <w:adjustRightInd w:val="0"/>
        <w:snapToGrid w:val="0"/>
        <w:spacing w:line="406"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pPr>
        <w:spacing w:line="406"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pPr>
        <w:autoSpaceDE w:val="0"/>
        <w:autoSpaceDN w:val="0"/>
        <w:adjustRightInd w:val="0"/>
        <w:snapToGrid w:val="0"/>
        <w:spacing w:line="406"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（1）货物的现场移动、安装、调试、启动监督及技术支持；</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pPr>
        <w:widowControl/>
        <w:autoSpaceDE w:val="0"/>
        <w:autoSpaceDN w:val="0"/>
        <w:adjustRightInd w:val="0"/>
        <w:spacing w:line="406" w:lineRule="exact"/>
        <w:ind w:firstLine="420" w:firstLineChars="200"/>
        <w:jc w:val="left"/>
        <w:rPr>
          <w:rFonts w:ascii="宋体" w:hAnsi="宋体" w:cs="宋体"/>
          <w:kern w:val="0"/>
          <w:szCs w:val="21"/>
        </w:rPr>
      </w:pPr>
      <w:r>
        <w:rPr>
          <w:rFonts w:hint="eastAsia" w:ascii="宋体" w:hAnsi="宋体" w:cs="宋体"/>
          <w:kern w:val="0"/>
          <w:szCs w:val="21"/>
        </w:rPr>
        <w:t>（5）依照法律、行政法规的规定或者按照</w:t>
      </w:r>
      <w:r>
        <w:rPr>
          <w:rFonts w:hint="eastAsia" w:ascii="宋体" w:hAnsi="宋体" w:cs="宋体"/>
          <w:b/>
          <w:bCs/>
          <w:kern w:val="0"/>
          <w:szCs w:val="21"/>
        </w:rPr>
        <w:t>【政府采购合同专用条款】</w:t>
      </w:r>
      <w:r>
        <w:rPr>
          <w:rFonts w:hint="eastAsia" w:ascii="宋体" w:hAnsi="宋体" w:cs="宋体"/>
          <w:kern w:val="0"/>
          <w:szCs w:val="21"/>
        </w:rPr>
        <w:t>约定，货物在有效使用年限届满后应予回收的，乙方负有自行或者委托第三人对货物予以回收的义务；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pPr>
        <w:adjustRightInd w:val="0"/>
        <w:snapToGrid w:val="0"/>
        <w:spacing w:line="406" w:lineRule="exact"/>
        <w:jc w:val="left"/>
        <w:rPr>
          <w:rFonts w:ascii="宋体" w:hAnsi="宋体"/>
          <w:b/>
          <w:bCs/>
          <w:sz w:val="24"/>
        </w:rPr>
      </w:pPr>
      <w:r>
        <w:rPr>
          <w:rFonts w:hint="eastAsia" w:ascii="宋体" w:hAnsi="宋体"/>
          <w:b/>
          <w:bCs/>
          <w:sz w:val="24"/>
        </w:rPr>
        <w:t>15. 违约责任</w:t>
      </w:r>
    </w:p>
    <w:p>
      <w:pPr>
        <w:adjustRightInd w:val="0"/>
        <w:snapToGrid w:val="0"/>
        <w:spacing w:line="406" w:lineRule="exact"/>
        <w:ind w:firstLine="420" w:firstLineChars="200"/>
        <w:jc w:val="left"/>
        <w:rPr>
          <w:rFonts w:ascii="宋体" w:hAnsi="宋体"/>
          <w:bCs/>
          <w:szCs w:val="21"/>
        </w:rPr>
      </w:pPr>
      <w:r>
        <w:rPr>
          <w:rFonts w:hint="eastAsia" w:ascii="宋体" w:hAnsi="宋体"/>
          <w:bCs/>
          <w:szCs w:val="21"/>
        </w:rPr>
        <w:t>15.1质量瑕疵的违约责任</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pPr>
        <w:autoSpaceDE w:val="0"/>
        <w:autoSpaceDN w:val="0"/>
        <w:adjustRightInd w:val="0"/>
        <w:snapToGrid w:val="0"/>
        <w:spacing w:line="406" w:lineRule="exact"/>
        <w:ind w:firstLine="420" w:firstLineChars="200"/>
        <w:jc w:val="left"/>
        <w:rPr>
          <w:rFonts w:ascii="宋体" w:hAnsi="宋体"/>
          <w:bCs/>
          <w:szCs w:val="21"/>
        </w:rPr>
      </w:pPr>
      <w:r>
        <w:rPr>
          <w:rFonts w:hint="eastAsia" w:ascii="宋体" w:hAnsi="宋体"/>
          <w:bCs/>
          <w:szCs w:val="21"/>
        </w:rPr>
        <w:t>15.2 迟延交货的违约责任</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15.3 迟延支付的违约责任</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pPr>
        <w:adjustRightInd w:val="0"/>
        <w:snapToGrid w:val="0"/>
        <w:spacing w:line="406"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pPr>
        <w:numPr>
          <w:ilvl w:val="0"/>
          <w:numId w:val="5"/>
        </w:numPr>
        <w:autoSpaceDE w:val="0"/>
        <w:autoSpaceDN w:val="0"/>
        <w:adjustRightInd w:val="0"/>
        <w:snapToGrid w:val="0"/>
        <w:spacing w:line="406" w:lineRule="exact"/>
        <w:ind w:firstLine="482" w:firstLineChars="200"/>
        <w:jc w:val="left"/>
        <w:rPr>
          <w:rFonts w:ascii="宋体" w:hAnsi="宋体"/>
          <w:b/>
          <w:sz w:val="24"/>
        </w:rPr>
      </w:pPr>
      <w:r>
        <w:rPr>
          <w:rFonts w:hint="eastAsia" w:ascii="宋体" w:hAnsi="宋体"/>
          <w:b/>
          <w:sz w:val="24"/>
        </w:rPr>
        <w:t>合同变更、中止与终止</w:t>
      </w:r>
    </w:p>
    <w:p>
      <w:pPr>
        <w:adjustRightInd w:val="0"/>
        <w:snapToGrid w:val="0"/>
        <w:spacing w:line="406" w:lineRule="exact"/>
        <w:jc w:val="left"/>
        <w:rPr>
          <w:rFonts w:ascii="宋体" w:hAnsi="宋体"/>
          <w:szCs w:val="21"/>
        </w:rPr>
      </w:pPr>
      <w:r>
        <w:rPr>
          <w:rFonts w:hint="eastAsia" w:ascii="宋体" w:hAnsi="宋体"/>
          <w:szCs w:val="21"/>
        </w:rPr>
        <w:t xml:space="preserve">    16.1合同的变更</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pPr>
        <w:adjustRightInd w:val="0"/>
        <w:snapToGrid w:val="0"/>
        <w:spacing w:line="406" w:lineRule="exact"/>
        <w:ind w:firstLine="420" w:firstLineChars="200"/>
        <w:jc w:val="left"/>
        <w:rPr>
          <w:rFonts w:ascii="宋体" w:hAnsi="宋体"/>
          <w:szCs w:val="21"/>
        </w:rPr>
      </w:pPr>
      <w:r>
        <w:rPr>
          <w:rFonts w:hint="eastAsia" w:ascii="宋体" w:hAnsi="宋体"/>
          <w:szCs w:val="21"/>
        </w:rPr>
        <w:t>16.2合同的中止</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adjustRightInd w:val="0"/>
        <w:spacing w:line="406" w:lineRule="exact"/>
        <w:ind w:firstLine="420" w:firstLineChars="200"/>
        <w:rPr>
          <w:rFonts w:ascii="华文楷体" w:hAnsi="华文楷体" w:eastAsia="华文楷体" w:cs="华文楷体"/>
          <w:kern w:val="0"/>
          <w:szCs w:val="21"/>
        </w:rPr>
      </w:pPr>
      <w:r>
        <w:rPr>
          <w:rFonts w:hint="eastAsia" w:ascii="宋体" w:hAnsi="宋体" w:cs="宋体"/>
          <w:kern w:val="0"/>
          <w:szCs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6" w:lineRule="exact"/>
        <w:ind w:firstLine="420" w:firstLineChars="200"/>
        <w:jc w:val="left"/>
      </w:pPr>
      <w:r>
        <w:rPr>
          <w:rFonts w:hint="eastAsia" w:ascii="宋体" w:hAnsi="宋体"/>
          <w:szCs w:val="21"/>
        </w:rPr>
        <w:t>（4）甲方不得以行政区划调整、政府换届、机构或者职能调整以及相关责任人更替为由中止合同。</w:t>
      </w:r>
    </w:p>
    <w:p>
      <w:pPr>
        <w:adjustRightInd w:val="0"/>
        <w:snapToGrid w:val="0"/>
        <w:spacing w:line="406" w:lineRule="exact"/>
        <w:ind w:firstLine="420" w:firstLineChars="200"/>
        <w:jc w:val="left"/>
        <w:rPr>
          <w:rFonts w:ascii="宋体" w:hAnsi="宋体"/>
          <w:szCs w:val="21"/>
        </w:rPr>
      </w:pPr>
      <w:r>
        <w:rPr>
          <w:rFonts w:hint="eastAsia" w:ascii="宋体" w:hAnsi="宋体"/>
          <w:szCs w:val="21"/>
        </w:rPr>
        <w:t>16.3合同的终止</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（1）合同因有效期限届满而终止；</w:t>
      </w:r>
    </w:p>
    <w:p>
      <w:pPr>
        <w:snapToGrid w:val="0"/>
        <w:spacing w:line="406"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pPr>
        <w:widowControl/>
        <w:autoSpaceDE w:val="0"/>
        <w:autoSpaceDN w:val="0"/>
        <w:adjustRightInd w:val="0"/>
        <w:spacing w:line="406" w:lineRule="exact"/>
        <w:ind w:firstLine="440" w:firstLineChars="200"/>
        <w:jc w:val="left"/>
        <w:rPr>
          <w:rFonts w:ascii="宋体" w:hAnsi="宋体" w:eastAsia="华文楷体" w:cs="华文楷体"/>
          <w:kern w:val="0"/>
          <w:sz w:val="22"/>
          <w:szCs w:val="21"/>
        </w:rPr>
      </w:pPr>
      <w:r>
        <w:rPr>
          <w:rFonts w:hint="eastAsia" w:ascii="宋体" w:hAnsi="宋体" w:eastAsia="华文楷体" w:cs="华文楷体"/>
          <w:kern w:val="0"/>
          <w:sz w:val="22"/>
          <w:szCs w:val="21"/>
        </w:rPr>
        <w:t xml:space="preserve">16.4 </w:t>
      </w:r>
      <w:r>
        <w:rPr>
          <w:rFonts w:hint="eastAsia" w:ascii="宋体" w:hAnsi="宋体"/>
          <w:szCs w:val="21"/>
        </w:rPr>
        <w:t>涉及国家利益、社会公共利益的情形</w:t>
      </w:r>
    </w:p>
    <w:p>
      <w:pPr>
        <w:widowControl/>
        <w:autoSpaceDE w:val="0"/>
        <w:autoSpaceDN w:val="0"/>
        <w:adjustRightInd w:val="0"/>
        <w:spacing w:line="406" w:lineRule="exact"/>
        <w:ind w:firstLine="420" w:firstLineChars="200"/>
        <w:rPr>
          <w:rFonts w:ascii="华文楷体" w:hAnsi="华文楷体" w:eastAsia="华文楷体" w:cs="华文楷体"/>
          <w:kern w:val="0"/>
          <w:szCs w:val="21"/>
        </w:rPr>
      </w:pPr>
      <w:r>
        <w:rPr>
          <w:rFonts w:hint="eastAsia" w:ascii="宋体" w:hAnsi="宋体" w:cs="宋体"/>
          <w:kern w:val="0"/>
          <w:szCs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17. 合同分包</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18. 不可抗力</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19. 解决争议的方法</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19.2 选择仲裁的，应在</w:t>
      </w:r>
      <w:r>
        <w:rPr>
          <w:rFonts w:hint="eastAsia" w:ascii="宋体" w:hAnsi="宋体" w:cs="宋体"/>
          <w:b/>
          <w:bCs/>
          <w:kern w:val="0"/>
          <w:szCs w:val="21"/>
        </w:rPr>
        <w:t>【政府采购合同专用条款】</w:t>
      </w:r>
      <w:r>
        <w:rPr>
          <w:rFonts w:hint="eastAsia" w:ascii="宋体" w:hAnsi="宋体" w:cs="宋体"/>
          <w:kern w:val="0"/>
          <w:szCs w:val="21"/>
        </w:rPr>
        <w:t>中明确仲裁机构及仲裁地；通过诉讼方式解决的，可以在</w:t>
      </w:r>
      <w:r>
        <w:rPr>
          <w:rFonts w:hint="eastAsia" w:ascii="宋体" w:hAnsi="宋体" w:cs="宋体"/>
          <w:b/>
          <w:bCs/>
          <w:kern w:val="0"/>
          <w:szCs w:val="21"/>
        </w:rPr>
        <w:t>【政府采购合同专用条款】</w:t>
      </w:r>
      <w:r>
        <w:rPr>
          <w:rFonts w:hint="eastAsia" w:ascii="宋体" w:hAnsi="宋体" w:cs="宋体"/>
          <w:kern w:val="0"/>
          <w:szCs w:val="21"/>
        </w:rPr>
        <w:t>中进一步约定选择与争议有实际联系的地点的人民法院管辖，但管辖法院的约定不得违反级别管辖和专属管辖的规定。</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19.3 如甲乙双方有争议的事项不影响合同其他部分的履行，在争议解决期间，合同其他部分应当继续履行。</w:t>
      </w:r>
    </w:p>
    <w:p>
      <w:pPr>
        <w:autoSpaceDE w:val="0"/>
        <w:autoSpaceDN w:val="0"/>
        <w:adjustRightInd w:val="0"/>
        <w:snapToGrid w:val="0"/>
        <w:spacing w:line="406" w:lineRule="exact"/>
        <w:jc w:val="left"/>
        <w:rPr>
          <w:rFonts w:ascii="宋体" w:hAnsi="宋体"/>
          <w:sz w:val="24"/>
        </w:rPr>
      </w:pPr>
      <w:r>
        <w:rPr>
          <w:rFonts w:hint="eastAsia" w:ascii="宋体" w:hAnsi="宋体"/>
          <w:b/>
          <w:sz w:val="24"/>
        </w:rPr>
        <w:t>20. 政府采购政策</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pPr>
        <w:autoSpaceDE w:val="0"/>
        <w:autoSpaceDN w:val="0"/>
        <w:adjustRightInd w:val="0"/>
        <w:snapToGrid w:val="0"/>
        <w:spacing w:line="406"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pPr>
        <w:spacing w:line="406" w:lineRule="exact"/>
        <w:ind w:firstLine="420" w:firstLineChars="200"/>
        <w:rPr>
          <w:rFonts w:ascii="Calibri" w:hAnsi="Calibri"/>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6" w:lineRule="exact"/>
        <w:jc w:val="left"/>
        <w:rPr>
          <w:rFonts w:ascii="宋体" w:hAnsi="宋体"/>
          <w:b/>
          <w:sz w:val="24"/>
        </w:rPr>
      </w:pPr>
      <w:r>
        <w:rPr>
          <w:rFonts w:hint="eastAsia" w:ascii="宋体" w:hAnsi="宋体"/>
          <w:b/>
          <w:sz w:val="24"/>
        </w:rPr>
        <w:t>21. 法律适用</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21.1 本合同的订立、生效、解释、履行及与本合同有关的争议解决，均适用法律、行政法规。</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6" w:lineRule="exact"/>
        <w:jc w:val="left"/>
        <w:rPr>
          <w:rFonts w:ascii="宋体" w:hAnsi="宋体"/>
          <w:b/>
          <w:sz w:val="24"/>
        </w:rPr>
      </w:pPr>
      <w:r>
        <w:rPr>
          <w:rFonts w:hint="eastAsia" w:ascii="宋体" w:hAnsi="宋体"/>
          <w:b/>
          <w:sz w:val="24"/>
        </w:rPr>
        <w:t>22. 通知</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22.1 本合同任何一方向对方发出的通知、信件、数据电文等，应当发送至本合同第一部分《政府采购合同协议书》所约定的通讯地址、联系人、联系电话或电子邮箱。</w:t>
      </w:r>
    </w:p>
    <w:p>
      <w:pPr>
        <w:widowControl/>
        <w:autoSpaceDE w:val="0"/>
        <w:autoSpaceDN w:val="0"/>
        <w:adjustRightInd w:val="0"/>
        <w:spacing w:line="406" w:lineRule="exact"/>
        <w:rPr>
          <w:rFonts w:ascii="华文楷体" w:hAnsi="华文楷体" w:eastAsia="华文楷体" w:cs="华文楷体"/>
          <w:kern w:val="0"/>
          <w:szCs w:val="21"/>
        </w:rPr>
      </w:pPr>
      <w:r>
        <w:rPr>
          <w:rFonts w:hint="eastAsia" w:ascii="宋体" w:hAnsi="宋体" w:cs="宋体"/>
          <w:kern w:val="0"/>
          <w:szCs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6"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pPr>
        <w:adjustRightInd w:val="0"/>
        <w:snapToGrid w:val="0"/>
        <w:spacing w:line="406"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pPr>
        <w:numPr>
          <w:ilvl w:val="0"/>
          <w:numId w:val="6"/>
        </w:numPr>
        <w:adjustRightInd w:val="0"/>
        <w:snapToGrid w:val="0"/>
        <w:spacing w:line="406" w:lineRule="exact"/>
        <w:ind w:firstLine="482" w:firstLineChars="200"/>
        <w:jc w:val="left"/>
        <w:rPr>
          <w:rFonts w:ascii="宋体" w:hAnsi="宋体"/>
          <w:b/>
          <w:bCs/>
          <w:sz w:val="24"/>
        </w:rPr>
      </w:pPr>
      <w:r>
        <w:rPr>
          <w:rFonts w:hint="eastAsia" w:ascii="宋体" w:hAnsi="宋体"/>
          <w:b/>
          <w:bCs/>
          <w:sz w:val="24"/>
        </w:rPr>
        <w:t>合同未尽事项</w:t>
      </w:r>
    </w:p>
    <w:p>
      <w:pPr>
        <w:adjustRightInd w:val="0"/>
        <w:snapToGrid w:val="0"/>
        <w:spacing w:line="406"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pPr>
        <w:adjustRightInd w:val="0"/>
        <w:snapToGrid w:val="0"/>
        <w:spacing w:line="406"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142" w:name="_Toc20313"/>
    </w:p>
    <w:p>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pPr>
        <w:keepNext/>
        <w:keepLines/>
        <w:adjustRightInd w:val="0"/>
        <w:snapToGrid w:val="0"/>
        <w:spacing w:line="360" w:lineRule="auto"/>
        <w:jc w:val="center"/>
        <w:outlineLvl w:val="1"/>
        <w:rPr>
          <w:rFonts w:ascii="黑体" w:hAnsi="华文中宋" w:eastAsia="黑体"/>
          <w:sz w:val="28"/>
          <w:szCs w:val="28"/>
        </w:rPr>
      </w:pPr>
      <w:r>
        <w:rPr>
          <w:rFonts w:hint="eastAsia" w:ascii="黑体" w:hAnsi="华文中宋" w:eastAsia="黑体"/>
          <w:sz w:val="28"/>
          <w:szCs w:val="28"/>
        </w:rPr>
        <w:t>第三节 政府采购合同专用条款</w:t>
      </w:r>
      <w:bookmarkEnd w:id="142"/>
    </w:p>
    <w:tbl>
      <w:tblPr>
        <w:tblStyle w:val="34"/>
        <w:tblW w:w="10065" w:type="dxa"/>
        <w:tblInd w:w="-15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72"/>
        <w:gridCol w:w="2362"/>
        <w:gridCol w:w="583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第1.2（6）项</w:t>
            </w:r>
          </w:p>
        </w:tc>
        <w:tc>
          <w:tcPr>
            <w:tcW w:w="2362" w:type="dxa"/>
            <w:vAlign w:val="center"/>
          </w:tcPr>
          <w:p>
            <w:pPr>
              <w:adjustRightInd w:val="0"/>
              <w:snapToGrid w:val="0"/>
              <w:jc w:val="left"/>
              <w:rPr>
                <w:rFonts w:ascii="宋体" w:hAnsi="宋体"/>
                <w:szCs w:val="21"/>
              </w:rPr>
            </w:pPr>
            <w:r>
              <w:rPr>
                <w:rFonts w:hint="eastAsia" w:ascii="宋体" w:hAnsi="宋体"/>
                <w:szCs w:val="21"/>
              </w:rPr>
              <w:t>联合体具体要求</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第1.2（7）项</w:t>
            </w:r>
          </w:p>
        </w:tc>
        <w:tc>
          <w:tcPr>
            <w:tcW w:w="2362" w:type="dxa"/>
            <w:vAlign w:val="center"/>
          </w:tcPr>
          <w:p>
            <w:pPr>
              <w:adjustRightInd w:val="0"/>
              <w:snapToGrid w:val="0"/>
              <w:jc w:val="left"/>
              <w:rPr>
                <w:rFonts w:ascii="宋体" w:hAnsi="宋体"/>
                <w:szCs w:val="21"/>
              </w:rPr>
            </w:pPr>
            <w:r>
              <w:rPr>
                <w:rFonts w:hint="eastAsia" w:ascii="宋体" w:hAnsi="宋体"/>
                <w:szCs w:val="21"/>
              </w:rPr>
              <w:t>其他术语解释</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第4.4款</w:t>
            </w:r>
          </w:p>
        </w:tc>
        <w:tc>
          <w:tcPr>
            <w:tcW w:w="2362" w:type="dxa"/>
            <w:vAlign w:val="center"/>
          </w:tcPr>
          <w:p>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第4.6款</w:t>
            </w:r>
          </w:p>
        </w:tc>
        <w:tc>
          <w:tcPr>
            <w:tcW w:w="2362" w:type="dxa"/>
            <w:vAlign w:val="center"/>
          </w:tcPr>
          <w:p>
            <w:pPr>
              <w:adjustRightInd w:val="0"/>
              <w:snapToGrid w:val="0"/>
              <w:jc w:val="left"/>
              <w:rPr>
                <w:rFonts w:ascii="宋体" w:hAnsi="宋体"/>
                <w:szCs w:val="21"/>
              </w:rPr>
            </w:pPr>
            <w:r>
              <w:rPr>
                <w:rFonts w:hint="eastAsia" w:ascii="宋体" w:hAnsi="宋体"/>
                <w:szCs w:val="21"/>
              </w:rPr>
              <w:t>约定甲方承担的其他义务和责任</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snapToGrid w:val="0"/>
              <w:jc w:val="center"/>
            </w:pPr>
            <w:r>
              <w:rPr>
                <w:rFonts w:hint="eastAsia" w:ascii="宋体" w:hAnsi="宋体"/>
                <w:szCs w:val="21"/>
              </w:rPr>
              <w:t>第5.4款</w:t>
            </w:r>
          </w:p>
        </w:tc>
        <w:tc>
          <w:tcPr>
            <w:tcW w:w="2362" w:type="dxa"/>
            <w:vAlign w:val="center"/>
          </w:tcPr>
          <w:p>
            <w:pPr>
              <w:adjustRightInd w:val="0"/>
              <w:snapToGrid w:val="0"/>
              <w:jc w:val="left"/>
              <w:rPr>
                <w:rFonts w:ascii="宋体" w:hAnsi="宋体"/>
                <w:szCs w:val="21"/>
              </w:rPr>
            </w:pPr>
            <w:r>
              <w:rPr>
                <w:rFonts w:hint="eastAsia" w:ascii="宋体" w:hAnsi="宋体"/>
                <w:szCs w:val="21"/>
              </w:rPr>
              <w:t>约定乙方承担的其他义务和责任</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snapToGrid w:val="0"/>
              <w:jc w:val="center"/>
              <w:rPr>
                <w:rFonts w:ascii="宋体" w:hAnsi="宋体"/>
                <w:szCs w:val="21"/>
              </w:rPr>
            </w:pPr>
            <w:r>
              <w:rPr>
                <w:rFonts w:hint="eastAsia" w:ascii="宋体" w:hAnsi="宋体"/>
                <w:szCs w:val="21"/>
              </w:rPr>
              <w:t>第6.1款</w:t>
            </w:r>
          </w:p>
        </w:tc>
        <w:tc>
          <w:tcPr>
            <w:tcW w:w="2362" w:type="dxa"/>
            <w:vAlign w:val="center"/>
          </w:tcPr>
          <w:p>
            <w:pPr>
              <w:adjustRightInd w:val="0"/>
              <w:snapToGrid w:val="0"/>
              <w:jc w:val="left"/>
              <w:rPr>
                <w:rFonts w:ascii="宋体" w:hAnsi="宋体"/>
                <w:szCs w:val="21"/>
              </w:rPr>
            </w:pPr>
            <w:r>
              <w:rPr>
                <w:rFonts w:hint="eastAsia" w:ascii="宋体" w:hAnsi="宋体"/>
                <w:szCs w:val="21"/>
              </w:rPr>
              <w:t>履行合同义务的顺序</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Merge w:val="restart"/>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第7.1款</w:t>
            </w:r>
          </w:p>
        </w:tc>
        <w:tc>
          <w:tcPr>
            <w:tcW w:w="2362" w:type="dxa"/>
            <w:vAlign w:val="center"/>
          </w:tcPr>
          <w:p>
            <w:pPr>
              <w:adjustRightInd w:val="0"/>
              <w:snapToGrid w:val="0"/>
              <w:jc w:val="left"/>
              <w:rPr>
                <w:rFonts w:ascii="宋体" w:hAnsi="宋体"/>
                <w:szCs w:val="21"/>
              </w:rPr>
            </w:pPr>
            <w:r>
              <w:rPr>
                <w:rFonts w:hint="eastAsia" w:ascii="宋体" w:hAnsi="宋体"/>
                <w:szCs w:val="21"/>
              </w:rPr>
              <w:t>包装特殊要求</w:t>
            </w:r>
          </w:p>
        </w:tc>
        <w:tc>
          <w:tcPr>
            <w:tcW w:w="5831"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Merge w:val="continue"/>
            <w:vAlign w:val="center"/>
          </w:tcPr>
          <w:p>
            <w:pPr>
              <w:adjustRightInd w:val="0"/>
              <w:snapToGrid w:val="0"/>
              <w:jc w:val="center"/>
              <w:rPr>
                <w:rFonts w:ascii="宋体" w:hAnsi="宋体"/>
                <w:szCs w:val="21"/>
              </w:rPr>
            </w:pPr>
          </w:p>
        </w:tc>
        <w:tc>
          <w:tcPr>
            <w:tcW w:w="2362" w:type="dxa"/>
            <w:vAlign w:val="center"/>
          </w:tcPr>
          <w:p>
            <w:pPr>
              <w:adjustRightInd w:val="0"/>
              <w:snapToGrid w:val="0"/>
              <w:jc w:val="left"/>
              <w:rPr>
                <w:rFonts w:ascii="宋体" w:hAnsi="宋体"/>
                <w:szCs w:val="21"/>
              </w:rPr>
            </w:pPr>
            <w:r>
              <w:rPr>
                <w:rFonts w:hint="eastAsia" w:ascii="宋体" w:hAnsi="宋体"/>
                <w:szCs w:val="21"/>
              </w:rPr>
              <w:t>指定现场</w:t>
            </w:r>
          </w:p>
        </w:tc>
        <w:tc>
          <w:tcPr>
            <w:tcW w:w="5831"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第7.2款</w:t>
            </w:r>
          </w:p>
        </w:tc>
        <w:tc>
          <w:tcPr>
            <w:tcW w:w="2362" w:type="dxa"/>
            <w:vAlign w:val="center"/>
          </w:tcPr>
          <w:p>
            <w:pPr>
              <w:adjustRightInd w:val="0"/>
              <w:snapToGrid w:val="0"/>
              <w:jc w:val="left"/>
              <w:rPr>
                <w:rFonts w:ascii="宋体" w:hAnsi="宋体"/>
                <w:szCs w:val="21"/>
              </w:rPr>
            </w:pPr>
            <w:r>
              <w:rPr>
                <w:rFonts w:hint="eastAsia" w:ascii="宋体" w:hAnsi="宋体"/>
                <w:szCs w:val="21"/>
              </w:rPr>
              <w:t>运输特殊要求</w:t>
            </w:r>
          </w:p>
        </w:tc>
        <w:tc>
          <w:tcPr>
            <w:tcW w:w="5831"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第7.3款</w:t>
            </w:r>
          </w:p>
        </w:tc>
        <w:tc>
          <w:tcPr>
            <w:tcW w:w="2362" w:type="dxa"/>
            <w:vAlign w:val="center"/>
          </w:tcPr>
          <w:p>
            <w:pPr>
              <w:adjustRightInd w:val="0"/>
              <w:snapToGrid w:val="0"/>
              <w:jc w:val="left"/>
              <w:rPr>
                <w:rFonts w:ascii="宋体" w:hAnsi="宋体"/>
                <w:szCs w:val="21"/>
              </w:rPr>
            </w:pPr>
            <w:r>
              <w:rPr>
                <w:rFonts w:hint="eastAsia" w:ascii="宋体" w:hAnsi="宋体"/>
                <w:szCs w:val="21"/>
              </w:rPr>
              <w:t>保险要求</w:t>
            </w:r>
          </w:p>
        </w:tc>
        <w:tc>
          <w:tcPr>
            <w:tcW w:w="5831"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第8.2（1）项</w:t>
            </w:r>
          </w:p>
        </w:tc>
        <w:tc>
          <w:tcPr>
            <w:tcW w:w="2362" w:type="dxa"/>
            <w:vAlign w:val="center"/>
          </w:tcPr>
          <w:p>
            <w:pPr>
              <w:adjustRightInd w:val="0"/>
              <w:snapToGrid w:val="0"/>
              <w:jc w:val="left"/>
              <w:rPr>
                <w:rFonts w:ascii="宋体" w:hAnsi="宋体"/>
                <w:szCs w:val="21"/>
              </w:rPr>
            </w:pPr>
            <w:r>
              <w:rPr>
                <w:rFonts w:hint="eastAsia" w:ascii="宋体" w:hAnsi="宋体"/>
                <w:szCs w:val="21"/>
              </w:rPr>
              <w:t>质量保证期</w:t>
            </w:r>
          </w:p>
        </w:tc>
        <w:tc>
          <w:tcPr>
            <w:tcW w:w="5831" w:type="dxa"/>
            <w:vAlign w:val="center"/>
          </w:tcPr>
          <w:p>
            <w:pPr>
              <w:autoSpaceDE w:val="0"/>
              <w:autoSpaceDN w:val="0"/>
              <w:adjustRightInd w:val="0"/>
              <w:snapToGrid w:val="0"/>
              <w:ind w:firstLine="420" w:firstLineChars="20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第8.2（3）项</w:t>
            </w:r>
          </w:p>
        </w:tc>
        <w:tc>
          <w:tcPr>
            <w:tcW w:w="2362" w:type="dxa"/>
            <w:vAlign w:val="center"/>
          </w:tcPr>
          <w:p>
            <w:pPr>
              <w:adjustRightInd w:val="0"/>
              <w:snapToGrid w:val="0"/>
              <w:jc w:val="left"/>
              <w:rPr>
                <w:rFonts w:ascii="宋体" w:hAnsi="宋体"/>
                <w:szCs w:val="21"/>
              </w:rPr>
            </w:pPr>
            <w:r>
              <w:rPr>
                <w:rFonts w:hint="eastAsia" w:ascii="宋体" w:hAnsi="宋体"/>
                <w:szCs w:val="21"/>
              </w:rPr>
              <w:t>货物质量缺陷</w:t>
            </w:r>
          </w:p>
          <w:p>
            <w:pPr>
              <w:adjustRightInd w:val="0"/>
              <w:snapToGrid w:val="0"/>
              <w:jc w:val="left"/>
              <w:rPr>
                <w:rFonts w:ascii="宋体" w:hAnsi="宋体"/>
                <w:szCs w:val="21"/>
              </w:rPr>
            </w:pPr>
            <w:r>
              <w:rPr>
                <w:rFonts w:hint="eastAsia" w:ascii="宋体" w:hAnsi="宋体"/>
                <w:szCs w:val="21"/>
              </w:rPr>
              <w:t>响应时间</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snapToGrid w:val="0"/>
              <w:jc w:val="center"/>
              <w:rPr>
                <w:rFonts w:ascii="宋体" w:hAnsi="宋体" w:cs="宋体"/>
                <w:szCs w:val="21"/>
              </w:rPr>
            </w:pPr>
            <w:r>
              <w:rPr>
                <w:rFonts w:hint="eastAsia" w:ascii="宋体" w:hAnsi="宋体" w:cs="宋体"/>
                <w:szCs w:val="21"/>
              </w:rPr>
              <w:t>第二节</w:t>
            </w:r>
          </w:p>
          <w:p>
            <w:pPr>
              <w:widowControl/>
              <w:autoSpaceDE w:val="0"/>
              <w:autoSpaceDN w:val="0"/>
              <w:adjustRightInd w:val="0"/>
              <w:spacing w:line="400" w:lineRule="exact"/>
              <w:jc w:val="center"/>
              <w:rPr>
                <w:rFonts w:ascii="华文楷体" w:hAnsi="华文楷体" w:eastAsia="华文楷体" w:cs="华文楷体"/>
                <w:kern w:val="0"/>
                <w:sz w:val="22"/>
                <w:szCs w:val="21"/>
              </w:rPr>
            </w:pPr>
            <w:r>
              <w:rPr>
                <w:rFonts w:hint="eastAsia" w:ascii="宋体" w:hAnsi="宋体" w:cs="宋体"/>
                <w:kern w:val="0"/>
                <w:sz w:val="22"/>
                <w:szCs w:val="21"/>
              </w:rPr>
              <w:t>第11.1款</w:t>
            </w:r>
          </w:p>
        </w:tc>
        <w:tc>
          <w:tcPr>
            <w:tcW w:w="2362" w:type="dxa"/>
            <w:vAlign w:val="center"/>
          </w:tcPr>
          <w:p>
            <w:pPr>
              <w:adjustRightInd w:val="0"/>
              <w:snapToGrid w:val="0"/>
              <w:rPr>
                <w:rFonts w:ascii="宋体" w:hAnsi="宋体"/>
                <w:szCs w:val="21"/>
              </w:rPr>
            </w:pPr>
            <w:r>
              <w:rPr>
                <w:rFonts w:hint="eastAsia" w:ascii="宋体" w:hAnsi="宋体"/>
                <w:szCs w:val="21"/>
              </w:rPr>
              <w:t>其他应当保密的信息</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第12.2款</w:t>
            </w:r>
          </w:p>
        </w:tc>
        <w:tc>
          <w:tcPr>
            <w:tcW w:w="2362" w:type="dxa"/>
            <w:vAlign w:val="center"/>
          </w:tcPr>
          <w:p>
            <w:pPr>
              <w:adjustRightInd w:val="0"/>
              <w:snapToGrid w:val="0"/>
              <w:jc w:val="left"/>
              <w:rPr>
                <w:rFonts w:ascii="宋体" w:hAnsi="宋体"/>
                <w:szCs w:val="21"/>
              </w:rPr>
            </w:pPr>
            <w:r>
              <w:rPr>
                <w:rFonts w:hint="eastAsia" w:ascii="宋体" w:hAnsi="宋体"/>
                <w:szCs w:val="21"/>
              </w:rPr>
              <w:t>合同价款支付时间</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第13.2款</w:t>
            </w:r>
          </w:p>
        </w:tc>
        <w:tc>
          <w:tcPr>
            <w:tcW w:w="2362" w:type="dxa"/>
            <w:vAlign w:val="center"/>
          </w:tcPr>
          <w:p>
            <w:pPr>
              <w:adjustRightInd w:val="0"/>
              <w:snapToGrid w:val="0"/>
              <w:jc w:val="left"/>
              <w:rPr>
                <w:rFonts w:ascii="宋体" w:hAnsi="宋体"/>
                <w:szCs w:val="21"/>
              </w:rPr>
            </w:pPr>
            <w:r>
              <w:rPr>
                <w:rFonts w:hint="eastAsia" w:ascii="宋体" w:hAnsi="宋体"/>
                <w:szCs w:val="21"/>
              </w:rPr>
              <w:t>履约保证金不予退还的情形</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第13.3款</w:t>
            </w:r>
          </w:p>
        </w:tc>
        <w:tc>
          <w:tcPr>
            <w:tcW w:w="2362" w:type="dxa"/>
            <w:vAlign w:val="center"/>
          </w:tcPr>
          <w:p>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第14.1（3）项</w:t>
            </w:r>
          </w:p>
        </w:tc>
        <w:tc>
          <w:tcPr>
            <w:tcW w:w="2362" w:type="dxa"/>
            <w:vAlign w:val="center"/>
          </w:tcPr>
          <w:p>
            <w:pPr>
              <w:adjustRightInd w:val="0"/>
              <w:snapToGrid w:val="0"/>
              <w:jc w:val="left"/>
              <w:rPr>
                <w:rFonts w:ascii="宋体" w:hAnsi="宋体"/>
                <w:szCs w:val="21"/>
              </w:rPr>
            </w:pPr>
            <w:r>
              <w:rPr>
                <w:rFonts w:hint="eastAsia" w:ascii="宋体" w:hAnsi="宋体"/>
                <w:szCs w:val="21"/>
              </w:rPr>
              <w:t>运行监督、维修期限</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第14.1（5）项</w:t>
            </w:r>
          </w:p>
        </w:tc>
        <w:tc>
          <w:tcPr>
            <w:tcW w:w="2362" w:type="dxa"/>
            <w:vAlign w:val="center"/>
          </w:tcPr>
          <w:p>
            <w:pPr>
              <w:adjustRightInd w:val="0"/>
              <w:snapToGrid w:val="0"/>
              <w:jc w:val="left"/>
              <w:rPr>
                <w:rFonts w:ascii="宋体" w:hAnsi="宋体"/>
                <w:szCs w:val="21"/>
              </w:rPr>
            </w:pPr>
            <w:r>
              <w:rPr>
                <w:rFonts w:hint="eastAsia" w:ascii="宋体" w:hAnsi="宋体"/>
                <w:szCs w:val="21"/>
              </w:rPr>
              <w:t>货物回收的约定</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第14.1（6）项</w:t>
            </w:r>
          </w:p>
        </w:tc>
        <w:tc>
          <w:tcPr>
            <w:tcW w:w="2362" w:type="dxa"/>
            <w:vAlign w:val="center"/>
          </w:tcPr>
          <w:p>
            <w:pPr>
              <w:adjustRightInd w:val="0"/>
              <w:snapToGrid w:val="0"/>
              <w:jc w:val="left"/>
              <w:rPr>
                <w:rFonts w:ascii="宋体" w:hAnsi="宋体"/>
                <w:szCs w:val="21"/>
              </w:rPr>
            </w:pPr>
            <w:r>
              <w:rPr>
                <w:rFonts w:hint="eastAsia" w:ascii="宋体" w:hAnsi="宋体"/>
                <w:szCs w:val="21"/>
              </w:rPr>
              <w:t>乙方提供的其他服务</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第15.1款</w:t>
            </w:r>
          </w:p>
        </w:tc>
        <w:tc>
          <w:tcPr>
            <w:tcW w:w="2362" w:type="dxa"/>
            <w:vAlign w:val="center"/>
          </w:tcPr>
          <w:p>
            <w:pPr>
              <w:adjustRightInd w:val="0"/>
              <w:snapToGrid w:val="0"/>
              <w:jc w:val="left"/>
              <w:rPr>
                <w:rFonts w:ascii="宋体" w:hAnsi="宋体"/>
                <w:szCs w:val="21"/>
              </w:rPr>
            </w:pPr>
            <w:r>
              <w:rPr>
                <w:rFonts w:hint="eastAsia" w:ascii="宋体" w:hAnsi="宋体"/>
                <w:szCs w:val="21"/>
              </w:rPr>
              <w:t>修理、重作、更换相关具体规定</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第15.2（2）项</w:t>
            </w:r>
          </w:p>
        </w:tc>
        <w:tc>
          <w:tcPr>
            <w:tcW w:w="2362" w:type="dxa"/>
            <w:vAlign w:val="center"/>
          </w:tcPr>
          <w:p>
            <w:pPr>
              <w:adjustRightInd w:val="0"/>
              <w:snapToGrid w:val="0"/>
              <w:jc w:val="left"/>
              <w:rPr>
                <w:rFonts w:ascii="宋体" w:hAnsi="宋体"/>
                <w:szCs w:val="21"/>
              </w:rPr>
            </w:pPr>
            <w:r>
              <w:rPr>
                <w:rFonts w:hint="eastAsia" w:ascii="宋体" w:hAnsi="宋体"/>
                <w:szCs w:val="21"/>
              </w:rPr>
              <w:t>迟延交货赔偿费</w:t>
            </w:r>
          </w:p>
        </w:tc>
        <w:tc>
          <w:tcPr>
            <w:tcW w:w="5831" w:type="dxa"/>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第15.3款</w:t>
            </w:r>
          </w:p>
        </w:tc>
        <w:tc>
          <w:tcPr>
            <w:tcW w:w="2362" w:type="dxa"/>
            <w:vAlign w:val="center"/>
          </w:tcPr>
          <w:p>
            <w:pPr>
              <w:adjustRightInd w:val="0"/>
              <w:snapToGrid w:val="0"/>
              <w:jc w:val="left"/>
              <w:rPr>
                <w:rFonts w:ascii="宋体" w:hAnsi="宋体"/>
                <w:szCs w:val="21"/>
              </w:rPr>
            </w:pPr>
            <w:r>
              <w:rPr>
                <w:rFonts w:hint="eastAsia" w:ascii="宋体" w:hAnsi="宋体"/>
                <w:szCs w:val="21"/>
              </w:rPr>
              <w:t>逾期付款利息</w:t>
            </w:r>
          </w:p>
        </w:tc>
        <w:tc>
          <w:tcPr>
            <w:tcW w:w="5831" w:type="dxa"/>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72" w:type="dxa"/>
            <w:tcBorders>
              <w:bottom w:val="single" w:color="auto" w:sz="2"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第15.4款</w:t>
            </w:r>
          </w:p>
        </w:tc>
        <w:tc>
          <w:tcPr>
            <w:tcW w:w="236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rPr>
              <w:t>其他违约责任</w:t>
            </w:r>
          </w:p>
        </w:tc>
        <w:tc>
          <w:tcPr>
            <w:tcW w:w="5831" w:type="dxa"/>
            <w:tcBorders>
              <w:left w:val="single" w:color="auto" w:sz="2" w:space="0"/>
              <w:bottom w:val="single" w:color="auto" w:sz="2" w:space="0"/>
            </w:tcBorders>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72" w:type="dxa"/>
            <w:tcBorders>
              <w:top w:val="single" w:color="auto" w:sz="2"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第19.2款</w:t>
            </w:r>
          </w:p>
        </w:tc>
        <w:tc>
          <w:tcPr>
            <w:tcW w:w="236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rPr>
              <w:t>解决争议的方法</w:t>
            </w:r>
          </w:p>
        </w:tc>
        <w:tc>
          <w:tcPr>
            <w:tcW w:w="5831"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pPr>
              <w:adjustRightInd w:val="0"/>
              <w:snapToGrid w:val="0"/>
              <w:jc w:val="left"/>
              <w:rPr>
                <w:rFonts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第23.1款</w:t>
            </w:r>
          </w:p>
        </w:tc>
        <w:tc>
          <w:tcPr>
            <w:tcW w:w="2362" w:type="dxa"/>
            <w:vAlign w:val="center"/>
          </w:tcPr>
          <w:p>
            <w:pPr>
              <w:adjustRightInd w:val="0"/>
              <w:snapToGrid w:val="0"/>
              <w:jc w:val="left"/>
              <w:rPr>
                <w:rFonts w:ascii="宋体" w:hAnsi="宋体"/>
                <w:szCs w:val="21"/>
              </w:rPr>
            </w:pPr>
            <w:r>
              <w:rPr>
                <w:rFonts w:hint="eastAsia" w:ascii="宋体" w:hAnsi="宋体"/>
                <w:bCs/>
                <w:szCs w:val="21"/>
              </w:rPr>
              <w:t>其他专用条款</w:t>
            </w:r>
          </w:p>
        </w:tc>
        <w:tc>
          <w:tcPr>
            <w:tcW w:w="5831" w:type="dxa"/>
            <w:vAlign w:val="center"/>
          </w:tcPr>
          <w:p>
            <w:pPr>
              <w:adjustRightInd w:val="0"/>
              <w:snapToGrid w:val="0"/>
              <w:jc w:val="left"/>
              <w:rPr>
                <w:rFonts w:ascii="宋体" w:hAnsi="宋体"/>
                <w:szCs w:val="21"/>
              </w:rPr>
            </w:pPr>
          </w:p>
        </w:tc>
      </w:tr>
    </w:tbl>
    <w:p>
      <w:r>
        <w:br w:type="page"/>
      </w:r>
    </w:p>
    <w:p>
      <w:pPr>
        <w:pStyle w:val="22"/>
        <w:jc w:val="left"/>
      </w:pPr>
    </w:p>
    <w:p/>
    <w:p/>
    <w:p/>
    <w:p/>
    <w:p/>
    <w:p/>
    <w:p/>
    <w:p/>
    <w:p/>
    <w:p/>
    <w:p/>
    <w:p/>
    <w:p/>
    <w:p>
      <w:pPr>
        <w:pStyle w:val="3"/>
        <w:spacing w:line="400" w:lineRule="exact"/>
        <w:rPr>
          <w:rFonts w:ascii="方正小标宋_GBK" w:hAnsi="方正小标宋_GBK" w:eastAsia="方正小标宋_GBK"/>
        </w:rPr>
      </w:pPr>
      <w:bookmarkStart w:id="143" w:name="_Toc397585460"/>
      <w:bookmarkStart w:id="144" w:name="_Toc92355028"/>
      <w:r>
        <w:rPr>
          <w:rFonts w:hint="eastAsia" w:ascii="方正小标宋_GBK" w:hAnsi="方正小标宋_GBK" w:eastAsia="方正小标宋_GBK"/>
        </w:rPr>
        <w:t>第六章  响应文件格式</w:t>
      </w:r>
      <w:bookmarkEnd w:id="143"/>
      <w:bookmarkEnd w:id="144"/>
    </w:p>
    <w:p>
      <w:pPr>
        <w:jc w:val="left"/>
        <w:rPr>
          <w:rFonts w:hAnsi="宋体"/>
          <w:sz w:val="36"/>
          <w:szCs w:val="36"/>
        </w:rPr>
      </w:pPr>
      <w:r>
        <w:rPr>
          <w:b/>
          <w:sz w:val="30"/>
          <w:szCs w:val="30"/>
        </w:rPr>
        <w:br w:type="page"/>
      </w:r>
      <w:r>
        <w:rPr>
          <w:rFonts w:hint="eastAsia" w:ascii="仿宋_GB2312"/>
          <w:b/>
          <w:bCs/>
          <w:sz w:val="36"/>
          <w:szCs w:val="36"/>
        </w:rPr>
        <w:t>一、供应商资格文件</w:t>
      </w:r>
    </w:p>
    <w:p>
      <w:pPr>
        <w:tabs>
          <w:tab w:val="left" w:pos="3402"/>
        </w:tabs>
        <w:ind w:firstLine="602"/>
        <w:jc w:val="center"/>
        <w:rPr>
          <w:rFonts w:ascii="仿宋_GB2312" w:hAnsi="Adobe 仿宋 Std R" w:eastAsia="仿宋_GB2312"/>
          <w:b/>
          <w:spacing w:val="10"/>
          <w:sz w:val="32"/>
          <w:szCs w:val="32"/>
        </w:rPr>
      </w:pPr>
      <w:bookmarkStart w:id="145" w:name="_Hlk111728366"/>
      <w:r>
        <w:rPr>
          <w:rFonts w:hint="eastAsia" w:ascii="仿宋_GB2312" w:hAnsi="Adobe 仿宋 Std R" w:eastAsia="仿宋_GB2312"/>
          <w:b/>
          <w:spacing w:val="10"/>
          <w:sz w:val="32"/>
          <w:szCs w:val="32"/>
        </w:rPr>
        <w:t>供应商具备参加政府采购活动条件的承诺书</w:t>
      </w:r>
      <w:r>
        <w:rPr>
          <w:rFonts w:hint="eastAsia" w:ascii="仿宋_GB2312" w:hAnsi="Adobe 仿宋 Std R" w:eastAsia="仿宋_GB2312" w:cs="黑体"/>
          <w:bCs/>
          <w:sz w:val="24"/>
        </w:rPr>
        <w:t>(格式)</w:t>
      </w:r>
    </w:p>
    <w:p>
      <w:pPr>
        <w:tabs>
          <w:tab w:val="left" w:pos="3402"/>
        </w:tabs>
        <w:jc w:val="left"/>
        <w:rPr>
          <w:rFonts w:ascii="仿宋_GB2312" w:hAnsi="仿宋" w:eastAsia="仿宋_GB2312"/>
          <w:b/>
          <w:spacing w:val="10"/>
          <w:szCs w:val="21"/>
        </w:rPr>
      </w:pPr>
    </w:p>
    <w:p>
      <w:pPr>
        <w:spacing w:line="520" w:lineRule="exact"/>
        <w:rPr>
          <w:rFonts w:ascii="宋体" w:hAnsi="宋体"/>
          <w:bCs/>
          <w:szCs w:val="22"/>
        </w:rPr>
      </w:pPr>
      <w:r>
        <w:rPr>
          <w:rFonts w:hint="eastAsia" w:ascii="宋体" w:hAnsi="宋体"/>
          <w:bCs/>
          <w:szCs w:val="22"/>
        </w:rPr>
        <w:t>钦州市政府采购中心：</w:t>
      </w:r>
    </w:p>
    <w:p>
      <w:pPr>
        <w:spacing w:line="520" w:lineRule="exact"/>
        <w:ind w:firstLine="420"/>
        <w:rPr>
          <w:rFonts w:ascii="宋体" w:hAnsi="宋体"/>
          <w:bCs/>
          <w:szCs w:val="22"/>
        </w:rPr>
      </w:pPr>
      <w:r>
        <w:rPr>
          <w:rFonts w:hint="eastAsia" w:ascii="宋体" w:hAnsi="宋体"/>
          <w:bCs/>
          <w:szCs w:val="22"/>
        </w:rPr>
        <w:t>根据《中华人民共和国政府采购法》实施条例第十七条的规定，现郑重承诺：</w:t>
      </w:r>
    </w:p>
    <w:p>
      <w:pPr>
        <w:spacing w:line="520" w:lineRule="exact"/>
        <w:ind w:firstLine="420"/>
        <w:rPr>
          <w:rFonts w:ascii="宋体" w:hAnsi="宋体"/>
          <w:bCs/>
          <w:szCs w:val="22"/>
        </w:rPr>
      </w:pPr>
      <w:r>
        <w:rPr>
          <w:rFonts w:ascii="宋体" w:hAnsi="宋体"/>
          <w:bCs/>
          <w:szCs w:val="22"/>
          <w:u w:val="single"/>
        </w:rPr>
        <w:t>(</w:t>
      </w:r>
      <w:r>
        <w:rPr>
          <w:rFonts w:hint="eastAsia" w:ascii="宋体" w:hAnsi="宋体"/>
          <w:bCs/>
          <w:szCs w:val="22"/>
          <w:u w:val="single"/>
        </w:rPr>
        <w:t>供应商名称)</w:t>
      </w:r>
      <w:r>
        <w:rPr>
          <w:rFonts w:hint="eastAsia" w:ascii="宋体" w:hAnsi="宋体"/>
          <w:bCs/>
          <w:szCs w:val="22"/>
        </w:rPr>
        <w:t>具有良好的商业信誉和健全的财务会计制度，具有履行合同所必需的设备和专业技术能力，有依法缴纳税收和社会保障资金的良好记录。</w:t>
      </w:r>
    </w:p>
    <w:p>
      <w:pPr>
        <w:spacing w:line="520" w:lineRule="exact"/>
        <w:ind w:firstLine="420"/>
        <w:rPr>
          <w:rFonts w:ascii="宋体" w:hAnsi="宋体"/>
          <w:bCs/>
          <w:szCs w:val="22"/>
        </w:rPr>
      </w:pPr>
      <w:r>
        <w:rPr>
          <w:rFonts w:hint="eastAsia" w:ascii="宋体" w:hAnsi="宋体"/>
          <w:bCs/>
          <w:szCs w:val="22"/>
        </w:rPr>
        <w:t>本单位对上述承诺内容事项真实性负责，如有虚假，由我单位承担相关法律责任。</w:t>
      </w:r>
    </w:p>
    <w:p>
      <w:pPr>
        <w:spacing w:line="520" w:lineRule="exact"/>
        <w:ind w:firstLine="420"/>
        <w:rPr>
          <w:rFonts w:ascii="宋体" w:hAnsi="宋体"/>
          <w:bCs/>
          <w:szCs w:val="22"/>
        </w:rPr>
      </w:pPr>
      <w:r>
        <w:rPr>
          <w:rFonts w:hint="eastAsia" w:ascii="宋体" w:hAnsi="宋体"/>
          <w:bCs/>
          <w:szCs w:val="22"/>
        </w:rPr>
        <w:t>特此承诺。</w:t>
      </w:r>
    </w:p>
    <w:p>
      <w:pPr>
        <w:ind w:firstLine="420"/>
        <w:rPr>
          <w:rFonts w:ascii="宋体" w:hAnsi="宋体"/>
          <w:bCs/>
          <w:szCs w:val="22"/>
        </w:rPr>
      </w:pPr>
    </w:p>
    <w:p>
      <w:pPr>
        <w:ind w:firstLine="420"/>
        <w:rPr>
          <w:rFonts w:ascii="宋体" w:hAnsi="宋体"/>
          <w:bCs/>
          <w:szCs w:val="22"/>
        </w:rPr>
      </w:pPr>
    </w:p>
    <w:p>
      <w:pPr>
        <w:spacing w:line="440" w:lineRule="exact"/>
        <w:ind w:right="1050" w:rightChars="500" w:firstLine="5250" w:firstLineChars="2500"/>
        <w:jc w:val="left"/>
        <w:rPr>
          <w:rFonts w:ascii="宋体" w:hAnsi="宋体"/>
          <w:bCs/>
        </w:rPr>
      </w:pPr>
      <w:r>
        <w:rPr>
          <w:rFonts w:hint="eastAsia" w:ascii="宋体" w:hAnsi="宋体"/>
          <w:bCs/>
          <w:szCs w:val="22"/>
        </w:rPr>
        <w:t xml:space="preserve"> </w:t>
      </w:r>
      <w:r>
        <w:rPr>
          <w:rFonts w:ascii="宋体" w:hAnsi="宋体"/>
          <w:bCs/>
          <w:szCs w:val="22"/>
        </w:rPr>
        <w:t xml:space="preserve">   </w:t>
      </w: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pPr>
        <w:spacing w:line="440" w:lineRule="exact"/>
        <w:ind w:right="42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bookmarkEnd w:id="145"/>
    <w:p/>
    <w:p/>
    <w:p/>
    <w:p/>
    <w:p/>
    <w:p>
      <w:pPr>
        <w:tabs>
          <w:tab w:val="left" w:pos="3402"/>
        </w:tabs>
        <w:spacing w:line="460" w:lineRule="exact"/>
        <w:jc w:val="center"/>
        <w:rPr>
          <w:rFonts w:ascii="仿宋_GB2312" w:hAnsi="仿宋" w:eastAsia="仿宋_GB2312"/>
          <w:b/>
          <w:spacing w:val="10"/>
          <w:sz w:val="32"/>
          <w:szCs w:val="32"/>
        </w:rPr>
      </w:pPr>
      <w:r>
        <w:rPr>
          <w:rFonts w:hint="eastAsia" w:ascii="仿宋_GB2312" w:hAnsi="仿宋" w:eastAsia="仿宋_GB2312"/>
          <w:b/>
          <w:spacing w:val="10"/>
          <w:sz w:val="32"/>
          <w:szCs w:val="32"/>
        </w:rPr>
        <w:t>无重大违法记录的书面声明</w:t>
      </w:r>
      <w:r>
        <w:rPr>
          <w:rFonts w:hint="eastAsia" w:ascii="仿宋" w:hAnsi="仿宋" w:eastAsia="仿宋" w:cs="黑体"/>
          <w:bCs/>
          <w:sz w:val="24"/>
        </w:rPr>
        <w:t>(格式</w:t>
      </w:r>
      <w:r>
        <w:rPr>
          <w:rFonts w:ascii="仿宋" w:hAnsi="仿宋" w:eastAsia="仿宋" w:cs="黑体"/>
          <w:bCs/>
          <w:sz w:val="24"/>
        </w:rPr>
        <w:t>)</w:t>
      </w:r>
    </w:p>
    <w:p>
      <w:pPr>
        <w:spacing w:line="400" w:lineRule="exact"/>
        <w:rPr>
          <w:rFonts w:ascii="宋体" w:hAnsi="宋体"/>
          <w:b/>
        </w:rPr>
      </w:pPr>
    </w:p>
    <w:p>
      <w:pPr>
        <w:spacing w:line="520" w:lineRule="exact"/>
        <w:rPr>
          <w:rFonts w:ascii="宋体" w:hAnsi="宋体"/>
          <w:bCs/>
        </w:rPr>
      </w:pPr>
      <w:r>
        <w:rPr>
          <w:rFonts w:hint="eastAsia" w:ascii="宋体" w:hAnsi="宋体"/>
          <w:bCs/>
        </w:rPr>
        <w:t>钦州市政府采购中心：</w:t>
      </w:r>
    </w:p>
    <w:p>
      <w:pPr>
        <w:spacing w:line="520" w:lineRule="exact"/>
        <w:ind w:firstLine="420"/>
        <w:rPr>
          <w:rFonts w:ascii="宋体" w:hAnsi="宋体"/>
          <w:bCs/>
        </w:rPr>
      </w:pPr>
      <w:r>
        <w:rPr>
          <w:rFonts w:hint="eastAsia" w:ascii="宋体" w:hAnsi="宋体"/>
          <w:bCs/>
        </w:rPr>
        <w:t>根据《中华人民共和国政府采购法实施条例》第十七条第一款第(四</w:t>
      </w:r>
      <w:r>
        <w:rPr>
          <w:rFonts w:ascii="宋体" w:hAnsi="宋体"/>
          <w:bCs/>
        </w:rPr>
        <w:t>）</w:t>
      </w:r>
      <w:r>
        <w:rPr>
          <w:rFonts w:hint="eastAsia" w:ascii="宋体" w:hAnsi="宋体"/>
          <w:bCs/>
        </w:rPr>
        <w:t>项的规定，现郑重声明：</w:t>
      </w:r>
    </w:p>
    <w:p>
      <w:pPr>
        <w:spacing w:line="520" w:lineRule="exact"/>
        <w:ind w:firstLine="420"/>
        <w:rPr>
          <w:rFonts w:ascii="宋体" w:hAnsi="宋体"/>
          <w:bCs/>
        </w:rPr>
      </w:pPr>
      <w:r>
        <w:rPr>
          <w:rFonts w:ascii="宋体" w:hAnsi="宋体"/>
          <w:bCs/>
          <w:u w:val="single"/>
        </w:rPr>
        <w:t>(</w:t>
      </w:r>
      <w:r>
        <w:rPr>
          <w:rFonts w:hint="eastAsia" w:ascii="宋体" w:hAnsi="宋体"/>
          <w:bCs/>
          <w:u w:val="single"/>
        </w:rPr>
        <w:t>供应商名称)</w:t>
      </w:r>
      <w:r>
        <w:rPr>
          <w:rFonts w:hint="eastAsia" w:ascii="宋体" w:hAnsi="宋体"/>
          <w:bCs/>
        </w:rPr>
        <w:t>在参加本次政府采购活动前3年内在经营活动中没有重大违法记录（</w:t>
      </w:r>
      <w:r>
        <w:rPr>
          <w:rFonts w:hint="eastAsia" w:ascii="宋体" w:hAnsi="宋体"/>
          <w:bCs/>
          <w:u w:val="single"/>
        </w:rPr>
        <w:t>即因违法经营受到刑事处罚或者责令停产停业、吊销许可证或者执照、较大数额罚款等行政处罚的行为</w:t>
      </w:r>
      <w:r>
        <w:rPr>
          <w:rFonts w:hint="eastAsia" w:ascii="宋体" w:hAnsi="宋体"/>
          <w:bCs/>
        </w:rPr>
        <w:t>）。</w:t>
      </w:r>
    </w:p>
    <w:p>
      <w:pPr>
        <w:spacing w:line="520" w:lineRule="exact"/>
        <w:ind w:firstLine="420"/>
        <w:rPr>
          <w:rFonts w:ascii="宋体" w:hAnsi="宋体"/>
          <w:bCs/>
        </w:rPr>
      </w:pPr>
      <w:r>
        <w:rPr>
          <w:rFonts w:hint="eastAsia" w:ascii="宋体" w:hAnsi="宋体"/>
          <w:bCs/>
        </w:rPr>
        <w:t>本单位对上述声明内容事项真实性负责，如有虚假，由我单位承担相关法律责任。</w:t>
      </w:r>
    </w:p>
    <w:p>
      <w:pPr>
        <w:spacing w:line="520" w:lineRule="exact"/>
        <w:ind w:firstLine="420"/>
        <w:rPr>
          <w:rFonts w:ascii="宋体" w:hAnsi="宋体"/>
          <w:bCs/>
        </w:rPr>
      </w:pPr>
      <w:r>
        <w:rPr>
          <w:rFonts w:hint="eastAsia" w:ascii="宋体" w:hAnsi="宋体"/>
          <w:bCs/>
        </w:rPr>
        <w:t>特此声明。</w:t>
      </w:r>
    </w:p>
    <w:p>
      <w:pPr>
        <w:rPr>
          <w:rFonts w:ascii="宋体" w:hAnsi="宋体"/>
          <w:bCs/>
          <w:szCs w:val="22"/>
        </w:rPr>
      </w:pPr>
    </w:p>
    <w:p>
      <w:pPr>
        <w:rPr>
          <w:rFonts w:ascii="宋体" w:hAnsi="宋体"/>
          <w:bCs/>
          <w:szCs w:val="22"/>
        </w:rPr>
      </w:pPr>
    </w:p>
    <w:p>
      <w:pPr>
        <w:spacing w:line="440" w:lineRule="exact"/>
        <w:ind w:right="1050" w:rightChars="500" w:firstLine="5670" w:firstLineChars="2700"/>
        <w:jc w:val="left"/>
        <w:rPr>
          <w:rFonts w:ascii="宋体" w:hAnsi="宋体"/>
          <w:bCs/>
        </w:rPr>
      </w:pP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pPr>
        <w:spacing w:line="440" w:lineRule="exact"/>
        <w:ind w:right="42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p>
      <w:pPr>
        <w:spacing w:line="400" w:lineRule="exact"/>
        <w:ind w:right="1050" w:rightChars="500"/>
        <w:jc w:val="right"/>
        <w:rPr>
          <w:rFonts w:ascii="黑体" w:hAnsi="黑体" w:eastAsia="黑体" w:cs="黑体"/>
          <w:b/>
          <w:sz w:val="32"/>
          <w:szCs w:val="32"/>
        </w:rPr>
      </w:pPr>
    </w:p>
    <w:p>
      <w:pPr>
        <w:widowControl/>
        <w:jc w:val="left"/>
        <w:rPr>
          <w:rFonts w:ascii="黑体" w:hAnsi="黑体" w:eastAsia="黑体" w:cs="黑体"/>
          <w:b/>
          <w:sz w:val="32"/>
          <w:szCs w:val="32"/>
        </w:rPr>
      </w:pPr>
      <w:r>
        <w:rPr>
          <w:rFonts w:ascii="黑体" w:hAnsi="黑体" w:eastAsia="黑体" w:cs="黑体"/>
          <w:b/>
          <w:sz w:val="32"/>
          <w:szCs w:val="32"/>
        </w:rPr>
        <w:br w:type="page"/>
      </w:r>
      <w:r>
        <w:rPr>
          <w:rFonts w:hint="eastAsia" w:ascii="仿宋" w:hAnsi="仿宋" w:eastAsia="仿宋"/>
          <w:b/>
          <w:sz w:val="36"/>
          <w:szCs w:val="36"/>
        </w:rPr>
        <w:t>二、商务技术文件</w:t>
      </w:r>
    </w:p>
    <w:p>
      <w:pPr>
        <w:widowControl/>
        <w:jc w:val="center"/>
        <w:rPr>
          <w:rFonts w:ascii="仿宋" w:hAnsi="仿宋" w:eastAsia="仿宋" w:cs="黑体"/>
          <w:b/>
          <w:sz w:val="32"/>
          <w:szCs w:val="32"/>
        </w:rPr>
      </w:pPr>
      <w:bookmarkStart w:id="146" w:name="_Hlk92702324"/>
      <w:r>
        <w:rPr>
          <w:rFonts w:hint="eastAsia" w:ascii="仿宋" w:hAnsi="仿宋" w:eastAsia="仿宋" w:cs="黑体"/>
          <w:b/>
          <w:sz w:val="32"/>
          <w:szCs w:val="32"/>
        </w:rPr>
        <w:t>谈 判 函</w:t>
      </w:r>
      <w:bookmarkEnd w:id="146"/>
      <w:r>
        <w:rPr>
          <w:rFonts w:hint="eastAsia" w:ascii="仿宋" w:hAnsi="仿宋" w:eastAsia="仿宋" w:cs="黑体"/>
          <w:bCs/>
          <w:sz w:val="24"/>
        </w:rPr>
        <w:t>(格式</w:t>
      </w:r>
      <w:r>
        <w:rPr>
          <w:rFonts w:ascii="仿宋" w:hAnsi="仿宋" w:eastAsia="仿宋" w:cs="黑体"/>
          <w:bCs/>
          <w:sz w:val="24"/>
        </w:rPr>
        <w:t>)</w:t>
      </w:r>
    </w:p>
    <w:p>
      <w:pPr>
        <w:spacing w:line="360" w:lineRule="exact"/>
        <w:jc w:val="center"/>
        <w:rPr>
          <w:rFonts w:ascii="宋体" w:hAnsi="宋体"/>
          <w:b/>
          <w:szCs w:val="21"/>
        </w:rPr>
      </w:pPr>
    </w:p>
    <w:p>
      <w:pPr>
        <w:spacing w:line="400" w:lineRule="exact"/>
        <w:rPr>
          <w:rFonts w:ascii="宋体" w:hAnsi="宋体"/>
          <w:szCs w:val="21"/>
        </w:rPr>
      </w:pPr>
      <w:r>
        <w:rPr>
          <w:rFonts w:hint="eastAsia" w:ascii="宋体" w:hAnsi="宋体"/>
          <w:szCs w:val="21"/>
        </w:rPr>
        <w:t>致：钦州市政府采购中心：</w:t>
      </w:r>
    </w:p>
    <w:p>
      <w:pPr>
        <w:pStyle w:val="22"/>
        <w:spacing w:line="480" w:lineRule="exact"/>
        <w:ind w:firstLine="420"/>
        <w:rPr>
          <w:rFonts w:hAnsi="宋体"/>
        </w:rPr>
      </w:pPr>
      <w:r>
        <w:rPr>
          <w:rFonts w:hint="eastAsia" w:hAnsi="宋体"/>
        </w:rPr>
        <w:t>依据贵方</w:t>
      </w:r>
      <w:r>
        <w:rPr>
          <w:rFonts w:hint="eastAsia" w:hAnsi="宋体"/>
          <w:u w:val="single"/>
        </w:rPr>
        <w:t>（项目名称/文件编号）</w:t>
      </w:r>
      <w:r>
        <w:rPr>
          <w:rFonts w:hint="eastAsia" w:hAnsi="宋体"/>
        </w:rPr>
        <w:t>项目竞争性谈判采购文件，我方</w:t>
      </w:r>
      <w:r>
        <w:rPr>
          <w:rFonts w:hint="eastAsia" w:hAnsi="宋体"/>
          <w:u w:val="single"/>
        </w:rPr>
        <w:t xml:space="preserve"> （供应商名称） </w:t>
      </w:r>
      <w:r>
        <w:rPr>
          <w:rFonts w:hint="eastAsia" w:hAnsi="宋体"/>
        </w:rPr>
        <w:t>经正式授权代表</w:t>
      </w:r>
      <w:r>
        <w:rPr>
          <w:rFonts w:hint="eastAsia" w:hAnsi="宋体"/>
          <w:u w:val="single"/>
        </w:rPr>
        <w:t xml:space="preserve">   （被授权人）</w:t>
      </w:r>
      <w:r>
        <w:rPr>
          <w:rFonts w:hint="eastAsia" w:hAnsi="宋体"/>
        </w:rPr>
        <w:t>提交响应文件。</w:t>
      </w:r>
    </w:p>
    <w:p>
      <w:pPr>
        <w:spacing w:line="400" w:lineRule="exact"/>
        <w:rPr>
          <w:rFonts w:ascii="宋体" w:hAnsi="宋体"/>
          <w:szCs w:val="21"/>
        </w:rPr>
      </w:pPr>
      <w:r>
        <w:rPr>
          <w:rFonts w:ascii="宋体" w:hAnsi="宋体"/>
          <w:szCs w:val="21"/>
        </w:rPr>
        <w:tab/>
      </w:r>
      <w:r>
        <w:rPr>
          <w:rFonts w:hint="eastAsia" w:ascii="宋体" w:hAnsi="宋体"/>
          <w:szCs w:val="21"/>
        </w:rPr>
        <w:t>据此函，我公司承诺：</w:t>
      </w:r>
    </w:p>
    <w:p>
      <w:pPr>
        <w:snapToGrid w:val="0"/>
        <w:spacing w:line="360" w:lineRule="exact"/>
        <w:ind w:firstLine="420" w:firstLineChars="200"/>
        <w:rPr>
          <w:rFonts w:ascii="宋体" w:hAnsi="宋体"/>
          <w:szCs w:val="21"/>
        </w:rPr>
      </w:pPr>
      <w:r>
        <w:rPr>
          <w:rFonts w:ascii="宋体" w:hAnsi="宋体"/>
          <w:szCs w:val="21"/>
        </w:rPr>
        <w:t>1.</w:t>
      </w:r>
      <w:r>
        <w:rPr>
          <w:rFonts w:hint="eastAsia" w:ascii="宋体" w:hAnsi="宋体"/>
          <w:szCs w:val="21"/>
        </w:rPr>
        <w:t>我方已详细审阅采购文件（包括澄清或者修改文件），已经了解我方对于采购文件、采购过程、采购结果有依法进行询问、质疑、投诉的权利及相关渠道和要求。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ascii="宋体" w:hAnsi="宋体"/>
          <w:szCs w:val="21"/>
        </w:rPr>
      </w:pPr>
      <w:r>
        <w:rPr>
          <w:rFonts w:ascii="宋体" w:hAnsi="宋体"/>
          <w:szCs w:val="21"/>
        </w:rPr>
        <w:t>3.</w:t>
      </w:r>
      <w:r>
        <w:rPr>
          <w:rFonts w:hint="eastAsia" w:ascii="宋体" w:hAnsi="宋体"/>
          <w:szCs w:val="21"/>
        </w:rPr>
        <w:t>我方在谈判之前已经与贵方进行了充分的沟通，完全理解并接受采购文件的各项规定和要求，对采购文件的合理性、合法性不再有异议。</w:t>
      </w:r>
    </w:p>
    <w:p>
      <w:pPr>
        <w:spacing w:line="400" w:lineRule="exact"/>
        <w:rPr>
          <w:rFonts w:ascii="宋体" w:hAnsi="宋体"/>
          <w:szCs w:val="21"/>
        </w:rPr>
      </w:pPr>
      <w:r>
        <w:rPr>
          <w:rFonts w:ascii="宋体" w:hAnsi="宋体"/>
          <w:szCs w:val="21"/>
        </w:rPr>
        <w:tab/>
      </w:r>
      <w:r>
        <w:rPr>
          <w:rFonts w:ascii="宋体" w:hAnsi="宋体"/>
          <w:szCs w:val="21"/>
        </w:rPr>
        <w:t>4</w:t>
      </w:r>
      <w:r>
        <w:rPr>
          <w:rFonts w:hint="eastAsia" w:ascii="宋体" w:hAnsi="宋体"/>
          <w:szCs w:val="21"/>
        </w:rPr>
        <w:t>.我方根据采购文件的规定，承担完成合同的责任和义务。</w:t>
      </w:r>
    </w:p>
    <w:p>
      <w:pPr>
        <w:spacing w:line="400" w:lineRule="exact"/>
        <w:rPr>
          <w:rFonts w:ascii="宋体" w:hAnsi="宋体"/>
          <w:szCs w:val="21"/>
        </w:rPr>
      </w:pPr>
      <w:r>
        <w:rPr>
          <w:rFonts w:ascii="宋体" w:hAnsi="宋体"/>
          <w:szCs w:val="21"/>
        </w:rPr>
        <w:tab/>
      </w:r>
      <w:r>
        <w:rPr>
          <w:rFonts w:ascii="宋体" w:hAnsi="宋体"/>
          <w:szCs w:val="21"/>
        </w:rPr>
        <w:t>5</w:t>
      </w:r>
      <w:r>
        <w:rPr>
          <w:rFonts w:hint="eastAsia" w:ascii="宋体" w:hAnsi="宋体"/>
          <w:szCs w:val="21"/>
        </w:rPr>
        <w:t>.同意向贵方提供贵方可能要求的与本项目采购有关的人员、数据和资料。</w:t>
      </w:r>
    </w:p>
    <w:p>
      <w:pPr>
        <w:spacing w:line="400" w:lineRule="exact"/>
        <w:ind w:firstLine="424" w:firstLineChars="202"/>
        <w:rPr>
          <w:rFonts w:ascii="宋体" w:hAnsi="宋体"/>
          <w:szCs w:val="21"/>
        </w:rPr>
      </w:pPr>
      <w:r>
        <w:rPr>
          <w:rFonts w:ascii="宋体" w:hAnsi="宋体"/>
          <w:szCs w:val="21"/>
        </w:rPr>
        <w:t>6.</w:t>
      </w:r>
      <w:r>
        <w:rPr>
          <w:rFonts w:hint="eastAsia" w:ascii="宋体" w:hAnsi="宋体"/>
          <w:szCs w:val="21"/>
        </w:rPr>
        <w:t>我方向贵方提交的所有响应文件、资料都是准确的和真实的。</w:t>
      </w:r>
    </w:p>
    <w:p>
      <w:pPr>
        <w:spacing w:line="400" w:lineRule="exact"/>
        <w:rPr>
          <w:rFonts w:ascii="宋体" w:hAnsi="宋体"/>
          <w:szCs w:val="21"/>
        </w:rPr>
      </w:pPr>
    </w:p>
    <w:p>
      <w:pPr>
        <w:spacing w:line="400" w:lineRule="exact"/>
        <w:ind w:firstLine="426"/>
        <w:rPr>
          <w:rFonts w:ascii="宋体" w:hAnsi="宋体"/>
          <w:szCs w:val="21"/>
        </w:rPr>
      </w:pPr>
      <w:r>
        <w:rPr>
          <w:rFonts w:hint="eastAsia" w:ascii="宋体" w:hAnsi="宋体"/>
          <w:szCs w:val="21"/>
        </w:rPr>
        <w:t>与我公司有关的正式通讯方式：</w:t>
      </w:r>
    </w:p>
    <w:p>
      <w:pPr>
        <w:spacing w:line="400" w:lineRule="exact"/>
        <w:rPr>
          <w:rFonts w:ascii="宋体" w:hAnsi="宋体"/>
          <w:szCs w:val="21"/>
        </w:rPr>
      </w:pPr>
      <w:r>
        <w:rPr>
          <w:rFonts w:ascii="宋体" w:hAnsi="宋体"/>
          <w:szCs w:val="21"/>
        </w:rPr>
        <w:tab/>
      </w:r>
      <w:r>
        <w:rPr>
          <w:rFonts w:hint="eastAsia" w:ascii="宋体" w:hAnsi="宋体"/>
          <w:szCs w:val="21"/>
        </w:rPr>
        <w:t>地址：</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电话、电报、传真或电传：</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开户名称：</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开户银行：</w:t>
      </w:r>
      <w:r>
        <w:rPr>
          <w:rFonts w:hint="eastAsia" w:ascii="宋体" w:hAnsi="宋体"/>
          <w:szCs w:val="21"/>
          <w:u w:val="single"/>
        </w:rPr>
        <w:t xml:space="preserve">                               </w:t>
      </w:r>
    </w:p>
    <w:p>
      <w:pPr>
        <w:spacing w:line="400" w:lineRule="exact"/>
        <w:rPr>
          <w:rFonts w:ascii="宋体" w:hAnsi="宋体"/>
          <w:szCs w:val="21"/>
          <w:u w:val="single"/>
        </w:rPr>
      </w:pPr>
      <w:r>
        <w:rPr>
          <w:rFonts w:ascii="宋体" w:hAnsi="宋体"/>
          <w:szCs w:val="21"/>
        </w:rPr>
        <w:tab/>
      </w:r>
      <w:r>
        <w:rPr>
          <w:rFonts w:hint="eastAsia" w:ascii="宋体" w:hAnsi="宋体"/>
          <w:szCs w:val="21"/>
        </w:rPr>
        <w:t>账    号：</w:t>
      </w:r>
      <w:r>
        <w:rPr>
          <w:rFonts w:hint="eastAsia" w:ascii="宋体" w:hAnsi="宋体"/>
          <w:szCs w:val="21"/>
          <w:u w:val="single"/>
        </w:rPr>
        <w:t xml:space="preserve">                               </w:t>
      </w:r>
    </w:p>
    <w:p/>
    <w:p/>
    <w:p/>
    <w:p/>
    <w:p/>
    <w:p>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p>
    <w:p>
      <w:pPr>
        <w:widowControl/>
        <w:jc w:val="left"/>
      </w:pPr>
      <w:r>
        <w:br w:type="page"/>
      </w:r>
    </w:p>
    <w:p/>
    <w:p>
      <w:pPr>
        <w:jc w:val="center"/>
        <w:rPr>
          <w:rFonts w:ascii="仿宋" w:hAnsi="仿宋" w:eastAsia="仿宋"/>
          <w:sz w:val="32"/>
          <w:szCs w:val="32"/>
        </w:rPr>
      </w:pPr>
      <w:r>
        <w:rPr>
          <w:rFonts w:hint="eastAsia" w:ascii="仿宋" w:hAnsi="仿宋" w:eastAsia="仿宋"/>
          <w:b/>
          <w:sz w:val="32"/>
          <w:szCs w:val="32"/>
        </w:rPr>
        <w:t>授权委托书</w:t>
      </w:r>
      <w:bookmarkStart w:id="147" w:name="_Hlk92703623"/>
      <w:r>
        <w:rPr>
          <w:rFonts w:hint="eastAsia" w:ascii="仿宋" w:hAnsi="仿宋" w:eastAsia="仿宋"/>
          <w:sz w:val="24"/>
        </w:rPr>
        <w:t>(格式</w:t>
      </w:r>
      <w:r>
        <w:rPr>
          <w:rFonts w:ascii="仿宋" w:hAnsi="仿宋" w:eastAsia="仿宋"/>
          <w:sz w:val="24"/>
        </w:rPr>
        <w:t>)</w:t>
      </w:r>
      <w:bookmarkEnd w:id="147"/>
    </w:p>
    <w:p>
      <w:pPr>
        <w:snapToGrid w:val="0"/>
        <w:spacing w:before="156" w:beforeLines="50" w:after="50" w:line="500" w:lineRule="exact"/>
        <w:rPr>
          <w:rFonts w:ascii="宋体" w:hAnsi="宋体"/>
          <w:b/>
          <w:bCs/>
          <w:szCs w:val="21"/>
        </w:rPr>
      </w:pPr>
      <w:r>
        <w:rPr>
          <w:rFonts w:hint="eastAsia" w:ascii="宋体" w:hAnsi="宋体"/>
          <w:bCs/>
          <w:szCs w:val="21"/>
        </w:rPr>
        <w:t>致：</w:t>
      </w:r>
      <w:r>
        <w:rPr>
          <w:rFonts w:hint="eastAsia"/>
        </w:rPr>
        <w:t>钦州市政府采购中心</w:t>
      </w:r>
    </w:p>
    <w:p>
      <w:pPr>
        <w:snapToGrid w:val="0"/>
        <w:spacing w:before="156" w:beforeLines="50" w:after="50" w:line="500" w:lineRule="exact"/>
        <w:ind w:firstLine="420" w:firstLineChars="200"/>
        <w:rPr>
          <w:rFonts w:ascii="宋体" w:hAnsi="宋体"/>
          <w:szCs w:val="21"/>
        </w:rPr>
      </w:pPr>
      <w:r>
        <w:rPr>
          <w:rFonts w:hint="eastAsia" w:ascii="宋体" w:hAnsi="宋体"/>
          <w:szCs w:val="21"/>
        </w:rPr>
        <w:t>我</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（供应商名称）</w:t>
      </w:r>
      <w:r>
        <w:rPr>
          <w:rFonts w:hint="eastAsia" w:ascii="宋体" w:hAnsi="宋体"/>
          <w:szCs w:val="21"/>
        </w:rPr>
        <w:t>的法定代表人，现授权委托本单位在职职工</w:t>
      </w:r>
      <w:r>
        <w:rPr>
          <w:rFonts w:hint="eastAsia" w:ascii="宋体" w:hAnsi="宋体"/>
          <w:szCs w:val="21"/>
          <w:u w:val="single"/>
        </w:rPr>
        <w:t>（姓名）</w:t>
      </w:r>
      <w:r>
        <w:rPr>
          <w:rFonts w:hint="eastAsia" w:ascii="宋体" w:hAnsi="宋体"/>
          <w:szCs w:val="21"/>
        </w:rPr>
        <w:t>以我方的名义参加</w:t>
      </w:r>
      <w:r>
        <w:rPr>
          <w:rFonts w:hint="eastAsia" w:ascii="宋体" w:hAnsi="宋体"/>
          <w:szCs w:val="21"/>
          <w:u w:val="single"/>
        </w:rPr>
        <w:t>（项目名称/项目编号）</w:t>
      </w:r>
      <w:r>
        <w:rPr>
          <w:rFonts w:hint="eastAsia" w:ascii="宋体" w:hAnsi="宋体"/>
          <w:szCs w:val="21"/>
        </w:rPr>
        <w:t>的谈判活动，并代表我方全权办理针对上述项目的谈判、签约等具体事务和签署相关文件。</w:t>
      </w:r>
    </w:p>
    <w:p>
      <w:pPr>
        <w:snapToGrid w:val="0"/>
        <w:spacing w:before="156" w:beforeLines="50" w:after="50" w:line="500" w:lineRule="exact"/>
        <w:ind w:firstLine="420" w:firstLineChars="200"/>
        <w:rPr>
          <w:rFonts w:ascii="宋体" w:hAnsi="宋体"/>
          <w:szCs w:val="21"/>
        </w:rPr>
      </w:pPr>
      <w:r>
        <w:rPr>
          <w:rFonts w:hint="eastAsia" w:ascii="宋体" w:hAnsi="宋体"/>
          <w:szCs w:val="21"/>
        </w:rPr>
        <w:t>我方对被授权人的签名事项负全部责任。</w:t>
      </w:r>
    </w:p>
    <w:p>
      <w:pPr>
        <w:snapToGrid w:val="0"/>
        <w:spacing w:before="156" w:beforeLines="50" w:after="50" w:line="500" w:lineRule="exact"/>
        <w:ind w:firstLine="420" w:firstLineChars="20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500" w:lineRule="exact"/>
        <w:ind w:firstLine="420" w:firstLineChars="200"/>
        <w:rPr>
          <w:rFonts w:ascii="宋体" w:hAnsi="宋体"/>
          <w:szCs w:val="21"/>
        </w:rPr>
      </w:pPr>
      <w:r>
        <w:rPr>
          <w:rFonts w:hint="eastAsia" w:ascii="宋体" w:hAnsi="宋体"/>
          <w:szCs w:val="21"/>
        </w:rPr>
        <w:t>被授权人无转委托权，特此委托。</w:t>
      </w:r>
    </w:p>
    <w:p>
      <w:pPr>
        <w:snapToGrid w:val="0"/>
        <w:spacing w:before="156" w:beforeLines="50" w:after="50" w:line="300" w:lineRule="exact"/>
        <w:ind w:firstLine="420" w:firstLineChars="200"/>
        <w:rPr>
          <w:rFonts w:ascii="宋体" w:hAnsi="宋体"/>
          <w:szCs w:val="21"/>
          <w:u w:val="single"/>
        </w:rPr>
      </w:pPr>
    </w:p>
    <w:p>
      <w:pPr>
        <w:snapToGrid w:val="0"/>
        <w:spacing w:before="156" w:beforeLines="50" w:after="50" w:line="300" w:lineRule="exact"/>
        <w:ind w:firstLine="420" w:firstLineChars="200"/>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before="156" w:beforeLines="50" w:after="50" w:line="300" w:lineRule="exact"/>
        <w:ind w:firstLine="420" w:firstLineChars="200"/>
        <w:rPr>
          <w:rFonts w:hAnsi="宋体"/>
        </w:rPr>
      </w:pPr>
      <w:r>
        <w:rPr>
          <w:rFonts w:hint="eastAsia" w:hAnsi="宋体"/>
        </w:rPr>
        <w:t>附：委托代理人身份证(正反面</w:t>
      </w:r>
      <w:r>
        <w:rPr>
          <w:rFonts w:hAnsi="宋体"/>
        </w:rPr>
        <w:t>)</w:t>
      </w:r>
    </w:p>
    <w:p/>
    <w:p/>
    <w:p>
      <w:pPr>
        <w:snapToGrid w:val="0"/>
        <w:spacing w:before="156" w:beforeLines="50" w:after="50" w:line="200" w:lineRule="exact"/>
        <w:ind w:firstLine="4620" w:firstLineChars="2200"/>
        <w:rPr>
          <w:rFonts w:ascii="宋体" w:hAnsi="宋体"/>
          <w:szCs w:val="21"/>
          <w:u w:val="single"/>
        </w:rPr>
      </w:pPr>
      <w:r>
        <w:rPr>
          <w:rFonts w:hint="eastAsia" w:ascii="宋体" w:hAnsi="宋体"/>
          <w:szCs w:val="21"/>
        </w:rPr>
        <w:t xml:space="preserve">       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56" w:beforeLines="50" w:after="50" w:line="200" w:lineRule="exact"/>
        <w:ind w:firstLine="5355" w:firstLineChars="25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56" w:beforeLines="50" w:after="50" w:line="200" w:lineRule="exact"/>
        <w:ind w:firstLine="5355" w:firstLineChars="25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宋体" w:hAnsi="Courier New" w:cs="Courier New"/>
          <w:b/>
          <w:bCs/>
          <w:szCs w:val="21"/>
        </w:rPr>
      </w:pPr>
      <w:r>
        <w:rPr>
          <w:b/>
          <w:bCs/>
        </w:rPr>
        <w:br w:type="page"/>
      </w:r>
    </w:p>
    <w:p/>
    <w:p>
      <w:pPr>
        <w:snapToGrid w:val="0"/>
        <w:spacing w:before="156" w:beforeLines="50" w:after="50" w:line="360" w:lineRule="exact"/>
        <w:jc w:val="center"/>
        <w:rPr>
          <w:rFonts w:ascii="仿宋" w:hAnsi="仿宋" w:eastAsia="仿宋"/>
          <w:b/>
          <w:sz w:val="32"/>
          <w:szCs w:val="32"/>
        </w:rPr>
      </w:pPr>
      <w:r>
        <w:rPr>
          <w:rFonts w:hint="eastAsia" w:ascii="仿宋" w:hAnsi="仿宋" w:eastAsia="仿宋"/>
          <w:b/>
          <w:sz w:val="32"/>
          <w:szCs w:val="32"/>
        </w:rPr>
        <w:t>商务响应表</w:t>
      </w:r>
      <w:r>
        <w:rPr>
          <w:rFonts w:hint="eastAsia" w:ascii="仿宋" w:hAnsi="仿宋" w:eastAsia="仿宋"/>
          <w:sz w:val="24"/>
        </w:rPr>
        <w:t>(格式</w:t>
      </w:r>
      <w:r>
        <w:rPr>
          <w:rFonts w:ascii="仿宋" w:hAnsi="仿宋" w:eastAsia="仿宋"/>
          <w:sz w:val="24"/>
        </w:rPr>
        <w:t>)</w:t>
      </w:r>
    </w:p>
    <w:tbl>
      <w:tblPr>
        <w:tblStyle w:val="3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049"/>
        <w:gridCol w:w="2976"/>
        <w:gridCol w:w="15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szCs w:val="21"/>
              </w:rPr>
            </w:pPr>
            <w:r>
              <w:rPr>
                <w:rFonts w:hint="eastAsia" w:ascii="宋体" w:hAnsi="宋体"/>
                <w:b/>
                <w:szCs w:val="21"/>
              </w:rPr>
              <w:t>项目</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szCs w:val="21"/>
              </w:rPr>
            </w:pPr>
            <w:r>
              <w:rPr>
                <w:rFonts w:hint="eastAsia" w:ascii="宋体" w:hAnsi="宋体"/>
                <w:b/>
                <w:szCs w:val="21"/>
              </w:rPr>
              <w:t>采购文件要求</w:t>
            </w: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szCs w:val="21"/>
              </w:rPr>
            </w:pPr>
            <w:r>
              <w:rPr>
                <w:rFonts w:hint="eastAsia" w:ascii="宋体" w:hAnsi="宋体"/>
                <w:b/>
                <w:szCs w:val="21"/>
              </w:rPr>
              <w:t>供应商的承诺或说明</w:t>
            </w: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szCs w:val="21"/>
              </w:rPr>
            </w:pPr>
            <w:r>
              <w:rPr>
                <w:rFonts w:hint="eastAsia" w:ascii="宋体" w:hAnsi="宋体"/>
                <w:b/>
                <w:szCs w:val="21"/>
              </w:rPr>
              <w:t>是否响应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r>
              <w:rPr>
                <w:rFonts w:hint="eastAsia" w:ascii="宋体" w:hAnsi="宋体"/>
                <w:szCs w:val="21"/>
              </w:rPr>
              <w:t>质保期</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r>
              <w:rPr>
                <w:rFonts w:hint="eastAsia" w:ascii="宋体" w:hAnsi="宋体"/>
                <w:szCs w:val="21"/>
              </w:rPr>
              <w:t>售后技术服务要求</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r>
              <w:rPr>
                <w:rFonts w:hint="eastAsia" w:ascii="宋体" w:hAnsi="宋体"/>
                <w:szCs w:val="21"/>
              </w:rPr>
              <w:t>交货时间及地点</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r>
              <w:rPr>
                <w:rFonts w:hint="eastAsia" w:ascii="宋体" w:hAnsi="宋体"/>
                <w:szCs w:val="21"/>
              </w:rPr>
              <w:t>付款条件</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r>
              <w:rPr>
                <w:rFonts w:hint="eastAsia" w:ascii="宋体" w:hAnsi="宋体"/>
                <w:szCs w:val="21"/>
              </w:rPr>
              <w:t>…</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r>
    </w:tbl>
    <w:p>
      <w:pPr>
        <w:tabs>
          <w:tab w:val="left" w:pos="3870"/>
          <w:tab w:val="left" w:pos="4085"/>
        </w:tabs>
        <w:snapToGrid w:val="0"/>
        <w:spacing w:line="400" w:lineRule="exact"/>
        <w:rPr>
          <w:rFonts w:ascii="宋体" w:hAnsi="宋体"/>
          <w:b/>
          <w:szCs w:val="21"/>
        </w:rPr>
      </w:pPr>
    </w:p>
    <w:p>
      <w:pPr>
        <w:tabs>
          <w:tab w:val="left" w:pos="3870"/>
          <w:tab w:val="left" w:pos="4085"/>
        </w:tabs>
        <w:snapToGrid w:val="0"/>
        <w:spacing w:line="400" w:lineRule="exact"/>
        <w:rPr>
          <w:rFonts w:ascii="宋体" w:hAnsi="宋体"/>
          <w:b/>
          <w:szCs w:val="21"/>
        </w:rPr>
      </w:pPr>
    </w:p>
    <w:p>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p>
    <w:p>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snapToGrid w:val="0"/>
        <w:spacing w:before="50" w:after="50" w:line="350" w:lineRule="exact"/>
        <w:ind w:right="-817" w:rightChars="-389"/>
        <w:rPr>
          <w:rFonts w:ascii="宋体" w:hAnsi="宋体"/>
          <w:szCs w:val="21"/>
        </w:rPr>
      </w:pPr>
    </w:p>
    <w:p>
      <w:pPr>
        <w:snapToGrid w:val="0"/>
        <w:spacing w:before="50" w:after="50" w:line="350" w:lineRule="exact"/>
        <w:ind w:right="-817" w:rightChars="-389"/>
        <w:rPr>
          <w:rFonts w:ascii="宋体" w:hAnsi="宋体"/>
          <w:szCs w:val="21"/>
        </w:rPr>
      </w:pPr>
    </w:p>
    <w:p>
      <w:pPr>
        <w:pStyle w:val="22"/>
        <w:spacing w:line="440" w:lineRule="exact"/>
        <w:ind w:firstLine="840"/>
        <w:jc w:val="center"/>
        <w:rPr>
          <w:rFonts w:ascii="仿宋" w:hAnsi="仿宋" w:eastAsia="仿宋"/>
        </w:rPr>
      </w:pPr>
      <w:r>
        <w:rPr>
          <w:rFonts w:hint="eastAsia" w:ascii="仿宋" w:hAnsi="仿宋" w:eastAsia="仿宋" w:cs="黑体"/>
          <w:b/>
          <w:sz w:val="32"/>
          <w:szCs w:val="32"/>
        </w:rPr>
        <w:t>技术响应表</w:t>
      </w:r>
      <w:r>
        <w:rPr>
          <w:rFonts w:hint="eastAsia" w:ascii="仿宋" w:hAnsi="仿宋" w:eastAsia="仿宋"/>
          <w:sz w:val="24"/>
          <w:szCs w:val="24"/>
        </w:rPr>
        <w:t>(格式</w:t>
      </w:r>
      <w:r>
        <w:rPr>
          <w:rFonts w:ascii="仿宋" w:hAnsi="仿宋" w:eastAsia="仿宋"/>
          <w:sz w:val="24"/>
          <w:szCs w:val="24"/>
        </w:rPr>
        <w:t>)</w:t>
      </w:r>
    </w:p>
    <w:p/>
    <w:p>
      <w:r>
        <w:rPr>
          <w:rFonts w:hint="eastAsia"/>
        </w:rPr>
        <w:t>采购项目编号：</w:t>
      </w:r>
      <w:r>
        <w:rPr>
          <w:rFonts w:hint="eastAsia"/>
          <w:u w:val="single"/>
        </w:rPr>
        <w:t xml:space="preserve">                 </w:t>
      </w:r>
    </w:p>
    <w:p>
      <w:r>
        <w:rPr>
          <w:rFonts w:hint="eastAsia"/>
        </w:rPr>
        <w:t>采购项目名称：</w:t>
      </w:r>
      <w:r>
        <w:rPr>
          <w:rFonts w:hint="eastAsia"/>
          <w:u w:val="single"/>
        </w:rPr>
        <w:t xml:space="preserve">                 </w:t>
      </w:r>
    </w:p>
    <w:tbl>
      <w:tblPr>
        <w:tblStyle w:val="34"/>
        <w:tblW w:w="9415" w:type="dxa"/>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vAlign w:val="center"/>
          </w:tcPr>
          <w:p>
            <w:pPr>
              <w:jc w:val="center"/>
            </w:pPr>
            <w:r>
              <w:rPr>
                <w:rFonts w:hint="eastAsia"/>
              </w:rPr>
              <w:t>序号</w:t>
            </w:r>
          </w:p>
        </w:tc>
        <w:tc>
          <w:tcPr>
            <w:tcW w:w="1480" w:type="dxa"/>
            <w:vAlign w:val="center"/>
          </w:tcPr>
          <w:p>
            <w:pPr>
              <w:jc w:val="center"/>
            </w:pPr>
            <w:r>
              <w:rPr>
                <w:rFonts w:hint="eastAsia"/>
              </w:rPr>
              <w:t>标的名称</w:t>
            </w:r>
          </w:p>
        </w:tc>
        <w:tc>
          <w:tcPr>
            <w:tcW w:w="2835" w:type="dxa"/>
            <w:vAlign w:val="center"/>
          </w:tcPr>
          <w:p>
            <w:pPr>
              <w:jc w:val="center"/>
            </w:pPr>
            <w:r>
              <w:rPr>
                <w:rFonts w:hint="eastAsia"/>
              </w:rPr>
              <w:t>竞争性谈判采购文件要求</w:t>
            </w:r>
          </w:p>
        </w:tc>
        <w:tc>
          <w:tcPr>
            <w:tcW w:w="2268" w:type="dxa"/>
            <w:vAlign w:val="center"/>
          </w:tcPr>
          <w:p>
            <w:pPr>
              <w:jc w:val="center"/>
            </w:pPr>
            <w:r>
              <w:rPr>
                <w:rFonts w:hint="eastAsia"/>
              </w:rPr>
              <w:t>响应文件具体响应</w:t>
            </w:r>
          </w:p>
        </w:tc>
        <w:tc>
          <w:tcPr>
            <w:tcW w:w="1418" w:type="dxa"/>
            <w:vAlign w:val="center"/>
          </w:tcPr>
          <w:p>
            <w:pPr>
              <w:jc w:val="center"/>
            </w:pPr>
            <w:r>
              <w:rPr>
                <w:rFonts w:hint="eastAsia"/>
              </w:rPr>
              <w:t>响应/偏离</w:t>
            </w:r>
          </w:p>
        </w:tc>
        <w:tc>
          <w:tcPr>
            <w:tcW w:w="709" w:type="dxa"/>
            <w:vAlign w:val="center"/>
          </w:tcPr>
          <w:p>
            <w:pPr>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1</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2</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3</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4</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5</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w:t>
            </w:r>
          </w:p>
        </w:tc>
        <w:tc>
          <w:tcPr>
            <w:tcW w:w="1480" w:type="dxa"/>
            <w:vAlign w:val="center"/>
          </w:tcPr>
          <w:p/>
        </w:tc>
        <w:tc>
          <w:tcPr>
            <w:tcW w:w="2835" w:type="dxa"/>
            <w:vAlign w:val="center"/>
          </w:tcPr>
          <w:p/>
        </w:tc>
        <w:tc>
          <w:tcPr>
            <w:tcW w:w="2268" w:type="dxa"/>
            <w:vAlign w:val="center"/>
          </w:tcPr>
          <w:p/>
        </w:tc>
        <w:tc>
          <w:tcPr>
            <w:tcW w:w="1418" w:type="dxa"/>
            <w:tcBorders>
              <w:right w:val="single" w:color="auto" w:sz="4" w:space="0"/>
            </w:tcBorders>
            <w:vAlign w:val="center"/>
          </w:tcPr>
          <w:p/>
        </w:tc>
        <w:tc>
          <w:tcPr>
            <w:tcW w:w="709" w:type="dxa"/>
            <w:tcBorders>
              <w:left w:val="single" w:color="auto" w:sz="4" w:space="0"/>
            </w:tcBorders>
            <w:vAlign w:val="center"/>
          </w:tcPr>
          <w:p/>
        </w:tc>
      </w:tr>
    </w:tbl>
    <w:p>
      <w:pPr>
        <w:pStyle w:val="19"/>
        <w:spacing w:line="300" w:lineRule="auto"/>
        <w:ind w:firstLine="105" w:firstLineChars="50"/>
        <w:rPr>
          <w:rFonts w:ascii="宋体" w:hAnsi="宋体" w:eastAsia="宋体"/>
          <w:sz w:val="21"/>
          <w:szCs w:val="21"/>
        </w:rPr>
      </w:pPr>
      <w:r>
        <w:rPr>
          <w:rFonts w:hint="eastAsia" w:ascii="宋体" w:hAnsi="宋体" w:eastAsia="宋体"/>
          <w:sz w:val="21"/>
          <w:szCs w:val="21"/>
        </w:rPr>
        <w:t>注：供应商须对照竞争性谈判采购文件第二章《项目需求》，逐条说明所提供货物和服务对项目需求中货物的</w:t>
      </w:r>
      <w:bookmarkStart w:id="148" w:name="_Hlk92703260"/>
      <w:r>
        <w:rPr>
          <w:rFonts w:hint="eastAsia" w:ascii="宋体" w:hAnsi="宋体" w:eastAsia="宋体"/>
          <w:sz w:val="21"/>
          <w:szCs w:val="21"/>
        </w:rPr>
        <w:t>技术参数及其性能（规格）</w:t>
      </w:r>
      <w:bookmarkEnd w:id="148"/>
      <w:r>
        <w:rPr>
          <w:rFonts w:hint="eastAsia" w:ascii="宋体" w:hAnsi="宋体" w:eastAsia="宋体"/>
          <w:sz w:val="21"/>
          <w:szCs w:val="21"/>
        </w:rPr>
        <w:t>及服务要求作出的响应，并申明偏离情况。对有具体参数要求的指标，供应商须提供所供设备的具体技术参数及其性能（规格）。</w:t>
      </w:r>
    </w:p>
    <w:p>
      <w:pPr>
        <w:pStyle w:val="19"/>
        <w:spacing w:line="300" w:lineRule="auto"/>
        <w:ind w:firstLine="0" w:firstLineChars="0"/>
        <w:rPr>
          <w:rFonts w:ascii="宋体" w:hAnsi="宋体" w:eastAsia="宋体"/>
          <w:sz w:val="21"/>
          <w:szCs w:val="21"/>
        </w:rPr>
      </w:pPr>
    </w:p>
    <w:p>
      <w:pPr>
        <w:pStyle w:val="22"/>
        <w:spacing w:line="300" w:lineRule="auto"/>
        <w:rPr>
          <w:rFonts w:hAnsi="宋体"/>
        </w:rPr>
      </w:pPr>
    </w:p>
    <w:p>
      <w:pPr>
        <w:pStyle w:val="22"/>
        <w:spacing w:line="300" w:lineRule="auto"/>
        <w:ind w:firstLine="5880" w:firstLineChars="2800"/>
        <w:rPr>
          <w:rFonts w:hAnsi="宋体"/>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p>
    <w:p>
      <w:pPr>
        <w:pStyle w:val="22"/>
        <w:spacing w:line="300" w:lineRule="auto"/>
        <w:ind w:firstLine="5880" w:firstLineChars="2800"/>
        <w:rPr>
          <w:rFonts w:hAnsi="宋体"/>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bookmarkEnd w:id="54"/>
    <w:bookmarkEnd w:id="55"/>
    <w:bookmarkEnd w:id="56"/>
    <w:bookmarkEnd w:id="57"/>
    <w:p/>
    <w:p>
      <w:pPr>
        <w:spacing w:line="440" w:lineRule="exact"/>
        <w:ind w:left="420" w:hanging="420"/>
        <w:jc w:val="center"/>
        <w:rPr>
          <w:rFonts w:ascii="仿宋" w:hAnsi="仿宋" w:eastAsia="仿宋"/>
          <w:b/>
          <w:sz w:val="32"/>
          <w:szCs w:val="32"/>
        </w:rPr>
      </w:pPr>
      <w:bookmarkStart w:id="149" w:name="_Hlk94194102"/>
      <w:r>
        <w:rPr>
          <w:rFonts w:hint="eastAsia" w:ascii="仿宋" w:hAnsi="仿宋" w:eastAsia="仿宋"/>
          <w:b/>
          <w:sz w:val="32"/>
          <w:szCs w:val="32"/>
        </w:rPr>
        <w:t>中小企业声明函</w:t>
      </w:r>
      <w:r>
        <w:rPr>
          <w:rFonts w:hint="eastAsia" w:ascii="仿宋" w:hAnsi="仿宋" w:eastAsia="仿宋"/>
          <w:sz w:val="24"/>
        </w:rPr>
        <w:t>(格式</w:t>
      </w:r>
      <w:r>
        <w:rPr>
          <w:rFonts w:ascii="仿宋" w:hAnsi="仿宋" w:eastAsia="仿宋"/>
          <w:sz w:val="24"/>
        </w:rPr>
        <w:t>)</w:t>
      </w:r>
    </w:p>
    <w:p/>
    <w:p>
      <w:pPr>
        <w:spacing w:line="600" w:lineRule="exact"/>
        <w:ind w:firstLine="294" w:firstLineChars="140"/>
        <w:jc w:val="left"/>
        <w:rPr>
          <w:rFonts w:ascii="宋体" w:hAnsi="宋体"/>
          <w:bCs/>
          <w:szCs w:val="21"/>
        </w:rPr>
      </w:pPr>
      <w:r>
        <w:rPr>
          <w:rFonts w:hint="eastAsia" w:ascii="宋体" w:hAnsi="宋体"/>
          <w:bCs/>
          <w:szCs w:val="21"/>
        </w:rPr>
        <w:t>本公司郑重声明，根据</w:t>
      </w:r>
      <w:bookmarkStart w:id="150" w:name="_Hlk82091685"/>
      <w:r>
        <w:rPr>
          <w:rFonts w:ascii="宋体" w:hAnsi="宋体"/>
          <w:bCs/>
          <w:szCs w:val="21"/>
        </w:rPr>
        <w:fldChar w:fldCharType="begin"/>
      </w:r>
      <w:r>
        <w:rPr>
          <w:rFonts w:ascii="宋体" w:hAnsi="宋体"/>
          <w:bCs/>
          <w:szCs w:val="21"/>
        </w:rPr>
        <w:instrText xml:space="preserve"> </w:instrText>
      </w:r>
      <w:r>
        <w:rPr>
          <w:rFonts w:hint="eastAsia" w:ascii="宋体" w:hAnsi="宋体"/>
          <w:bCs/>
          <w:szCs w:val="21"/>
        </w:rPr>
        <w:instrText xml:space="preserve">HYPERLINK "http://www.gov.cn/zhengce/zhengceku/2020-12/29/content_5574611.htm"</w:instrText>
      </w:r>
      <w:r>
        <w:rPr>
          <w:rFonts w:ascii="宋体" w:hAnsi="宋体"/>
          <w:bCs/>
          <w:szCs w:val="21"/>
        </w:rPr>
        <w:instrText xml:space="preserve"> </w:instrText>
      </w:r>
      <w:r>
        <w:rPr>
          <w:rFonts w:ascii="宋体" w:hAnsi="宋体"/>
          <w:bCs/>
          <w:szCs w:val="21"/>
        </w:rPr>
        <w:fldChar w:fldCharType="separate"/>
      </w:r>
      <w:r>
        <w:rPr>
          <w:rStyle w:val="41"/>
          <w:rFonts w:hint="eastAsia" w:ascii="宋体" w:hAnsi="宋体"/>
          <w:bCs/>
          <w:color w:val="auto"/>
          <w:szCs w:val="21"/>
          <w:u w:val="none"/>
        </w:rPr>
        <w:t>《政府采购促进中小企业发展管理办法》</w:t>
      </w:r>
      <w:bookmarkStart w:id="151" w:name="_Hlk60836554"/>
      <w:r>
        <w:rPr>
          <w:rStyle w:val="41"/>
          <w:rFonts w:hint="eastAsia" w:ascii="宋体" w:hAnsi="宋体"/>
          <w:bCs/>
          <w:color w:val="auto"/>
          <w:szCs w:val="21"/>
          <w:u w:val="none"/>
        </w:rPr>
        <w:t>（财库﹝2020﹞46号）</w:t>
      </w:r>
      <w:bookmarkEnd w:id="150"/>
      <w:bookmarkEnd w:id="151"/>
      <w:r>
        <w:rPr>
          <w:rFonts w:ascii="宋体" w:hAnsi="宋体"/>
          <w:bCs/>
          <w:szCs w:val="21"/>
        </w:rPr>
        <w:fldChar w:fldCharType="end"/>
      </w:r>
      <w:r>
        <w:rPr>
          <w:rFonts w:hint="eastAsia" w:ascii="宋体" w:hAnsi="宋体"/>
          <w:bCs/>
          <w:szCs w:val="21"/>
        </w:rPr>
        <w:t>的规定，本公司参加</w:t>
      </w:r>
      <w:bookmarkStart w:id="152" w:name="_Hlk82091228"/>
      <w:r>
        <w:rPr>
          <w:rFonts w:hint="eastAsia" w:ascii="宋体" w:hAnsi="宋体"/>
          <w:bCs/>
          <w:szCs w:val="21"/>
        </w:rPr>
        <w:t>（</w:t>
      </w:r>
      <w:r>
        <w:rPr>
          <w:rFonts w:hint="eastAsia" w:ascii="宋体" w:hAnsi="宋体"/>
          <w:bCs/>
          <w:szCs w:val="21"/>
          <w:u w:val="single"/>
        </w:rPr>
        <w:t>单位名称</w:t>
      </w:r>
      <w:r>
        <w:rPr>
          <w:rFonts w:hint="eastAsia" w:ascii="宋体" w:hAnsi="宋体"/>
          <w:bCs/>
          <w:szCs w:val="21"/>
        </w:rPr>
        <w:t>）的（</w:t>
      </w:r>
      <w:r>
        <w:rPr>
          <w:rFonts w:hint="eastAsia" w:ascii="宋体" w:hAnsi="宋体"/>
          <w:bCs/>
          <w:szCs w:val="21"/>
          <w:u w:val="single"/>
        </w:rPr>
        <w:t>项目名称</w:t>
      </w:r>
      <w:r>
        <w:rPr>
          <w:rFonts w:hint="eastAsia" w:ascii="宋体" w:hAnsi="宋体"/>
          <w:bCs/>
          <w:szCs w:val="21"/>
        </w:rPr>
        <w:t>）</w:t>
      </w:r>
      <w:bookmarkEnd w:id="152"/>
      <w:r>
        <w:rPr>
          <w:rFonts w:hint="eastAsia" w:ascii="宋体" w:hAnsi="宋体"/>
          <w:bCs/>
          <w:szCs w:val="21"/>
        </w:rPr>
        <w:t>采购活动，提供的货物全部由符合政策要求的中小企业制造。相关企业的具体情况如下：</w:t>
      </w:r>
    </w:p>
    <w:p>
      <w:pPr>
        <w:spacing w:line="600" w:lineRule="exact"/>
        <w:ind w:firstLine="294" w:firstLineChars="140"/>
        <w:jc w:val="left"/>
        <w:rPr>
          <w:rFonts w:ascii="宋体" w:hAnsi="宋体"/>
          <w:bCs/>
          <w:szCs w:val="21"/>
        </w:rPr>
      </w:pPr>
      <w:r>
        <w:rPr>
          <w:rFonts w:hint="eastAsia" w:ascii="宋体" w:hAnsi="宋体"/>
          <w:bCs/>
          <w:szCs w:val="21"/>
        </w:rPr>
        <w:t>1.</w:t>
      </w:r>
      <w:bookmarkStart w:id="153" w:name="_Hlk60836996"/>
      <w:r>
        <w:rPr>
          <w:rFonts w:hint="eastAsia" w:ascii="宋体" w:hAnsi="宋体"/>
          <w:bCs/>
          <w:szCs w:val="21"/>
        </w:rPr>
        <w:t>（</w:t>
      </w:r>
      <w:r>
        <w:rPr>
          <w:rFonts w:hint="eastAsia" w:ascii="宋体" w:hAnsi="宋体"/>
          <w:bCs/>
          <w:szCs w:val="21"/>
          <w:u w:val="single"/>
        </w:rPr>
        <w:t>标的名称</w:t>
      </w:r>
      <w:r>
        <w:rPr>
          <w:rFonts w:ascii="宋体" w:hAnsi="宋体"/>
          <w:bCs/>
          <w:szCs w:val="21"/>
        </w:rPr>
        <w:t>）</w:t>
      </w:r>
      <w:r>
        <w:rPr>
          <w:rFonts w:hint="eastAsia" w:ascii="宋体" w:hAnsi="宋体"/>
          <w:bCs/>
          <w:szCs w:val="21"/>
        </w:rPr>
        <w:t>，属于(</w:t>
      </w:r>
      <w:r>
        <w:rPr>
          <w:rFonts w:hint="eastAsia" w:ascii="宋体" w:hAnsi="宋体"/>
          <w:bCs/>
          <w:szCs w:val="21"/>
          <w:u w:val="single"/>
        </w:rPr>
        <w:t>采购文件中明确的所属行业</w:t>
      </w:r>
      <w:r>
        <w:rPr>
          <w:rFonts w:ascii="宋体" w:hAnsi="宋体"/>
          <w:bCs/>
          <w:szCs w:val="21"/>
        </w:rPr>
        <w:t>）</w:t>
      </w:r>
      <w:r>
        <w:rPr>
          <w:rFonts w:hint="eastAsia" w:ascii="宋体" w:hAnsi="宋体"/>
          <w:bCs/>
          <w:szCs w:val="21"/>
        </w:rPr>
        <w:t>行业；制造商为(</w:t>
      </w:r>
      <w:r>
        <w:rPr>
          <w:rFonts w:hint="eastAsia" w:ascii="宋体" w:hAnsi="宋体"/>
          <w:bCs/>
          <w:szCs w:val="21"/>
          <w:u w:val="single"/>
        </w:rPr>
        <w:t>企业名称</w:t>
      </w:r>
      <w:r>
        <w:rPr>
          <w:rFonts w:ascii="宋体" w:hAnsi="宋体"/>
          <w:bCs/>
          <w:szCs w:val="21"/>
        </w:rPr>
        <w:t>）</w:t>
      </w:r>
      <w:r>
        <w:rPr>
          <w:rFonts w:hint="eastAsia" w:ascii="宋体" w:hAnsi="宋体"/>
          <w:bCs/>
          <w:szCs w:val="21"/>
        </w:rPr>
        <w:t>，从业人员</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人，营业收入为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万元，资产总额为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万元，属于（</w:t>
      </w:r>
      <w:r>
        <w:rPr>
          <w:rFonts w:hint="eastAsia" w:ascii="宋体" w:hAnsi="宋体"/>
          <w:bCs/>
          <w:szCs w:val="21"/>
          <w:u w:val="single"/>
        </w:rPr>
        <w:t>中型企业、小型企业、微型企业</w:t>
      </w:r>
      <w:r>
        <w:rPr>
          <w:rFonts w:hint="eastAsia" w:ascii="宋体" w:hAnsi="宋体"/>
          <w:bCs/>
          <w:szCs w:val="21"/>
        </w:rPr>
        <w:t>）；</w:t>
      </w:r>
      <w:bookmarkEnd w:id="153"/>
    </w:p>
    <w:p>
      <w:pPr>
        <w:spacing w:line="600" w:lineRule="exact"/>
        <w:ind w:firstLine="294" w:firstLineChars="140"/>
        <w:jc w:val="left"/>
        <w:rPr>
          <w:rFonts w:ascii="宋体" w:hAnsi="宋体"/>
          <w:bCs/>
          <w:szCs w:val="21"/>
        </w:rPr>
      </w:pPr>
      <w:r>
        <w:rPr>
          <w:rFonts w:hint="eastAsia" w:ascii="宋体" w:hAnsi="宋体"/>
          <w:bCs/>
          <w:szCs w:val="21"/>
        </w:rPr>
        <w:t>2.（</w:t>
      </w:r>
      <w:r>
        <w:rPr>
          <w:rFonts w:hint="eastAsia" w:ascii="宋体" w:hAnsi="宋体"/>
          <w:bCs/>
          <w:szCs w:val="21"/>
          <w:u w:val="single"/>
        </w:rPr>
        <w:t>标的名称</w:t>
      </w:r>
      <w:r>
        <w:rPr>
          <w:rFonts w:hint="eastAsia" w:ascii="宋体" w:hAnsi="宋体"/>
          <w:bCs/>
          <w:szCs w:val="21"/>
        </w:rPr>
        <w:t>），属于(</w:t>
      </w:r>
      <w:r>
        <w:rPr>
          <w:rFonts w:hint="eastAsia" w:ascii="宋体" w:hAnsi="宋体"/>
          <w:bCs/>
          <w:szCs w:val="21"/>
          <w:u w:val="single"/>
        </w:rPr>
        <w:t>采购文件中明确的所属行业</w:t>
      </w:r>
      <w:r>
        <w:rPr>
          <w:rFonts w:hint="eastAsia" w:ascii="宋体" w:hAnsi="宋体"/>
          <w:bCs/>
          <w:szCs w:val="21"/>
        </w:rPr>
        <w:t>)行业；制造商为(</w:t>
      </w:r>
      <w:r>
        <w:rPr>
          <w:rFonts w:hint="eastAsia" w:ascii="宋体" w:hAnsi="宋体"/>
          <w:bCs/>
          <w:szCs w:val="21"/>
          <w:u w:val="single"/>
        </w:rPr>
        <w:t>企业名称</w:t>
      </w:r>
      <w:r>
        <w:rPr>
          <w:rFonts w:hint="eastAsia" w:ascii="宋体" w:hAnsi="宋体"/>
          <w:bCs/>
          <w:szCs w:val="21"/>
        </w:rPr>
        <w:t>)，从业人员</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人，营业收入为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万元，资产总额为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万元，属于（</w:t>
      </w:r>
      <w:r>
        <w:rPr>
          <w:rFonts w:hint="eastAsia" w:ascii="宋体" w:hAnsi="宋体"/>
          <w:bCs/>
          <w:szCs w:val="21"/>
          <w:u w:val="single"/>
        </w:rPr>
        <w:t>中型企业、小型企业、微型企业</w:t>
      </w:r>
      <w:r>
        <w:rPr>
          <w:rFonts w:hint="eastAsia" w:ascii="宋体" w:hAnsi="宋体"/>
          <w:bCs/>
          <w:szCs w:val="21"/>
        </w:rPr>
        <w:t>）；</w:t>
      </w:r>
    </w:p>
    <w:p>
      <w:pPr>
        <w:spacing w:line="600" w:lineRule="exact"/>
        <w:ind w:firstLine="294" w:firstLineChars="140"/>
        <w:jc w:val="left"/>
        <w:rPr>
          <w:rFonts w:ascii="宋体" w:hAnsi="宋体"/>
          <w:bCs/>
          <w:szCs w:val="21"/>
        </w:rPr>
      </w:pPr>
      <w:r>
        <w:rPr>
          <w:rFonts w:hint="eastAsia" w:ascii="宋体" w:hAnsi="宋体"/>
          <w:bCs/>
          <w:szCs w:val="21"/>
        </w:rPr>
        <w:t>……</w:t>
      </w:r>
    </w:p>
    <w:p>
      <w:pPr>
        <w:spacing w:line="600" w:lineRule="exact"/>
        <w:ind w:firstLine="294" w:firstLineChars="140"/>
        <w:jc w:val="left"/>
        <w:rPr>
          <w:rFonts w:ascii="宋体" w:hAnsi="宋体"/>
          <w:bCs/>
          <w:szCs w:val="21"/>
        </w:rPr>
      </w:pPr>
      <w:r>
        <w:rPr>
          <w:rFonts w:hint="eastAsia" w:ascii="宋体" w:hAnsi="宋体"/>
          <w:bCs/>
          <w:szCs w:val="21"/>
        </w:rPr>
        <w:t>以上企业，不属于大企业的分支机构，不存在控股股东为大企业的情形，也不存在与大企业的负责人为同一人的情形。</w:t>
      </w:r>
    </w:p>
    <w:p>
      <w:pPr>
        <w:spacing w:line="600" w:lineRule="exact"/>
        <w:ind w:firstLine="294" w:firstLineChars="140"/>
        <w:jc w:val="left"/>
        <w:rPr>
          <w:rFonts w:ascii="宋体" w:hAnsi="宋体"/>
          <w:bCs/>
          <w:szCs w:val="21"/>
        </w:rPr>
      </w:pPr>
      <w:r>
        <w:rPr>
          <w:rFonts w:hint="eastAsia" w:ascii="宋体" w:hAnsi="宋体"/>
          <w:bCs/>
          <w:szCs w:val="21"/>
        </w:rPr>
        <w:t>本企业对上述声明内容的真实性负责。如有虚假，将依法承担相应责任。</w:t>
      </w:r>
    </w:p>
    <w:p>
      <w:pPr>
        <w:spacing w:line="400" w:lineRule="exact"/>
        <w:rPr>
          <w:szCs w:val="21"/>
        </w:rPr>
      </w:pPr>
    </w:p>
    <w:p>
      <w:pPr>
        <w:spacing w:line="400" w:lineRule="exact"/>
        <w:rPr>
          <w:szCs w:val="21"/>
        </w:rPr>
      </w:pPr>
    </w:p>
    <w:p>
      <w:pPr>
        <w:spacing w:line="400" w:lineRule="exact"/>
        <w:rPr>
          <w:szCs w:val="21"/>
        </w:rPr>
      </w:pPr>
    </w:p>
    <w:p>
      <w:pPr>
        <w:spacing w:line="440" w:lineRule="exact"/>
        <w:ind w:firstLine="5250" w:firstLineChars="2500"/>
        <w:jc w:val="left"/>
        <w:rPr>
          <w:rFonts w:ascii="宋体" w:hAnsi="宋体"/>
          <w:bCs/>
          <w:szCs w:val="21"/>
        </w:rPr>
      </w:pPr>
      <w:r>
        <w:rPr>
          <w:rFonts w:hint="eastAsia" w:ascii="宋体" w:hAnsi="宋体"/>
          <w:bCs/>
          <w:szCs w:val="21"/>
        </w:rPr>
        <w:t>企业名称（盖章）：</w:t>
      </w:r>
      <w:r>
        <w:rPr>
          <w:rFonts w:hint="eastAsia" w:hAnsi="宋体"/>
          <w:szCs w:val="21"/>
          <w:u w:val="single"/>
        </w:rPr>
        <w:t xml:space="preserve"> </w:t>
      </w:r>
      <w:r>
        <w:rPr>
          <w:rFonts w:hAnsi="宋体"/>
          <w:szCs w:val="21"/>
          <w:u w:val="single"/>
        </w:rPr>
        <w:t xml:space="preserve">              </w:t>
      </w:r>
    </w:p>
    <w:p>
      <w:pPr>
        <w:spacing w:line="440" w:lineRule="exact"/>
        <w:ind w:firstLine="5250" w:firstLineChars="2500"/>
        <w:jc w:val="left"/>
        <w:rPr>
          <w:rFonts w:ascii="宋体" w:hAnsi="宋体"/>
          <w:bCs/>
          <w:szCs w:val="21"/>
        </w:rPr>
      </w:pPr>
      <w:r>
        <w:rPr>
          <w:rFonts w:hint="eastAsia" w:ascii="宋体" w:hAnsi="宋体"/>
          <w:bCs/>
          <w:szCs w:val="21"/>
        </w:rPr>
        <w:t>日 期：</w:t>
      </w:r>
      <w:r>
        <w:rPr>
          <w:rFonts w:hint="eastAsia" w:hAnsi="宋体"/>
          <w:szCs w:val="21"/>
          <w:u w:val="single"/>
        </w:rPr>
        <w:t xml:space="preserve"> </w:t>
      </w:r>
      <w:r>
        <w:rPr>
          <w:rFonts w:hAnsi="宋体"/>
          <w:szCs w:val="21"/>
          <w:u w:val="single"/>
        </w:rPr>
        <w:t xml:space="preserve">                        </w:t>
      </w:r>
    </w:p>
    <w:p/>
    <w:p/>
    <w:p/>
    <w:p/>
    <w:p/>
    <w:p/>
    <w:p/>
    <w:p/>
    <w:p/>
    <w:p/>
    <w:p/>
    <w:p/>
    <w:p/>
    <w:p>
      <w:pPr>
        <w:spacing w:line="320" w:lineRule="exact"/>
        <w:jc w:val="left"/>
        <w:rPr>
          <w:rFonts w:hAnsi="宋体"/>
          <w:bCs/>
          <w:sz w:val="18"/>
          <w:szCs w:val="18"/>
        </w:rPr>
      </w:pPr>
      <w:bookmarkStart w:id="154" w:name="_Hlk82091879"/>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),从)</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),业)</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),人)</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),员)</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),营)</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),业)</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),收)</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),入)</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),资)</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),产)</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),总)</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),额)</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),填)</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),报)</w:instrText>
      </w:r>
      <w:r>
        <w:rPr>
          <w:rFonts w:hAnsi="宋体"/>
          <w:bCs/>
          <w:sz w:val="18"/>
          <w:szCs w:val="18"/>
        </w:rPr>
        <w:fldChar w:fldCharType="end"/>
      </w:r>
      <w:bookmarkEnd w:id="154"/>
      <w:r>
        <w:rPr>
          <w:rFonts w:hint="eastAsia" w:hAnsi="宋体"/>
          <w:bCs/>
          <w:sz w:val="18"/>
          <w:szCs w:val="18"/>
        </w:rPr>
        <w:t>上一年度数据，无上一年度数据的新成立企业可不填报。</w:t>
      </w:r>
    </w:p>
    <w:tbl>
      <w:tblPr>
        <w:tblStyle w:val="34"/>
        <w:tblW w:w="9952" w:type="dxa"/>
        <w:tblInd w:w="150" w:type="dxa"/>
        <w:shd w:val="clear" w:color="auto" w:fill="FFFFFF"/>
        <w:tblLayout w:type="autofit"/>
        <w:tblCellMar>
          <w:top w:w="15" w:type="dxa"/>
          <w:left w:w="15" w:type="dxa"/>
          <w:bottom w:w="15" w:type="dxa"/>
          <w:right w:w="15" w:type="dxa"/>
        </w:tblCellMar>
      </w:tblPr>
      <w:tblGrid>
        <w:gridCol w:w="2127"/>
        <w:gridCol w:w="1413"/>
        <w:gridCol w:w="714"/>
        <w:gridCol w:w="1275"/>
        <w:gridCol w:w="1843"/>
        <w:gridCol w:w="1559"/>
        <w:gridCol w:w="1021"/>
      </w:tblGrid>
      <w:tr>
        <w:tblPrEx>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jc w:val="center"/>
              <w:rPr>
                <w:rFonts w:ascii="Helvetica" w:hAnsi="Helvetica" w:cs="Helvetica"/>
                <w:b/>
                <w:bCs/>
                <w:kern w:val="0"/>
                <w:szCs w:val="21"/>
              </w:rPr>
            </w:pPr>
            <w:r>
              <w:rPr>
                <w:rFonts w:ascii="Helvetica" w:hAnsi="Helvetica" w:cs="Helvetica"/>
                <w:b/>
                <w:bCs/>
                <w:kern w:val="0"/>
                <w:szCs w:val="21"/>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计量</w:t>
            </w:r>
          </w:p>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5≤X＜20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200≤Y＜3000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Z＜2000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100≤Z＜8000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bl>
    <w:p>
      <w:pPr>
        <w:widowControl/>
        <w:shd w:val="clear" w:color="auto" w:fill="FFFFFF"/>
        <w:spacing w:line="360" w:lineRule="atLeast"/>
        <w:ind w:firstLine="480"/>
        <w:jc w:val="left"/>
        <w:rPr>
          <w:rFonts w:ascii="Helvetica" w:hAnsi="Helvetica" w:cs="Helvetica"/>
          <w:kern w:val="0"/>
          <w:szCs w:val="21"/>
        </w:rPr>
      </w:pPr>
    </w:p>
    <w:p>
      <w:pPr>
        <w:widowControl/>
        <w:jc w:val="left"/>
        <w:rPr>
          <w:rFonts w:ascii="Helvetica" w:hAnsi="Helvetica" w:cs="Helvetica"/>
          <w:kern w:val="0"/>
          <w:szCs w:val="21"/>
        </w:rPr>
      </w:pPr>
      <w:r>
        <w:rPr>
          <w:rFonts w:ascii="Helvetica" w:hAnsi="Helvetica" w:cs="Helvetica"/>
          <w:kern w:val="0"/>
          <w:szCs w:val="21"/>
        </w:rPr>
        <w:br w:type="page"/>
      </w:r>
    </w:p>
    <w:p>
      <w:pPr>
        <w:widowControl/>
        <w:shd w:val="clear" w:color="auto" w:fill="FFFFFF"/>
        <w:spacing w:line="360" w:lineRule="atLeast"/>
        <w:jc w:val="left"/>
        <w:rPr>
          <w:rFonts w:ascii="Helvetica" w:hAnsi="Helvetica" w:cs="Helvetica"/>
          <w:kern w:val="0"/>
          <w:sz w:val="18"/>
          <w:szCs w:val="18"/>
        </w:rPr>
      </w:pPr>
      <w:r>
        <w:rPr>
          <w:rFonts w:ascii="Helvetica" w:hAnsi="Helvetica" w:cs="Helvetica"/>
          <w:kern w:val="0"/>
          <w:sz w:val="18"/>
          <w:szCs w:val="18"/>
        </w:rPr>
        <w:t>说明：</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1.大型、中型和小型企业须同时满足所列指标的下限，否则下划一档；微型企业只须满足所列指标中的一项即可。</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2.附表中各行业的范围以《国民经济行业分类》（GB/T4754-2017）为准。带*的项为行业组合类别，其中，工业包括采矿业，制造业，电力、热力、燃气及水生产和供应业；交通运输业包括道路运输业，水上运输业，航空运输业，管道运输业，</w:t>
      </w:r>
      <w:r>
        <w:fldChar w:fldCharType="begin"/>
      </w:r>
      <w:r>
        <w:instrText xml:space="preserve"> HYPERLINK "https://baike.baidu.com/item/%E5%A4%9A%E5%BC%8F%E8%81%94%E8%BF%90/3342240?fromModule=lemma_inlink" \t "_blank" </w:instrText>
      </w:r>
      <w:r>
        <w:fldChar w:fldCharType="separate"/>
      </w:r>
      <w:r>
        <w:rPr>
          <w:rFonts w:ascii="Helvetica" w:hAnsi="Helvetica" w:cs="Helvetica"/>
          <w:kern w:val="0"/>
          <w:sz w:val="18"/>
          <w:szCs w:val="18"/>
          <w:u w:val="single"/>
        </w:rPr>
        <w:t>多式联运</w:t>
      </w:r>
      <w:r>
        <w:rPr>
          <w:rFonts w:ascii="Helvetica" w:hAnsi="Helvetica" w:cs="Helvetica"/>
          <w:kern w:val="0"/>
          <w:sz w:val="18"/>
          <w:szCs w:val="18"/>
          <w:u w:val="single"/>
        </w:rPr>
        <w:fldChar w:fldCharType="end"/>
      </w:r>
      <w:r>
        <w:rPr>
          <w:rFonts w:ascii="Helvetica" w:hAnsi="Helvetica" w:cs="Helvetica"/>
          <w:kern w:val="0"/>
          <w:sz w:val="18"/>
          <w:szCs w:val="18"/>
        </w:rPr>
        <w:t>和运输代理业、</w:t>
      </w:r>
      <w:r>
        <w:fldChar w:fldCharType="begin"/>
      </w:r>
      <w:r>
        <w:instrText xml:space="preserve"> HYPERLINK "https://baike.baidu.com/item/%E8%A3%85%E5%8D%B8%E6%90%AC%E8%BF%90/6511400?fromModule=lemma_inlink" \t "_blank" </w:instrText>
      </w:r>
      <w:r>
        <w:fldChar w:fldCharType="separate"/>
      </w:r>
      <w:r>
        <w:rPr>
          <w:rFonts w:ascii="Helvetica" w:hAnsi="Helvetica" w:cs="Helvetica"/>
          <w:kern w:val="0"/>
          <w:sz w:val="18"/>
          <w:szCs w:val="18"/>
          <w:u w:val="single"/>
        </w:rPr>
        <w:t>装卸搬运</w:t>
      </w:r>
      <w:r>
        <w:rPr>
          <w:rFonts w:ascii="Helvetica" w:hAnsi="Helvetica" w:cs="Helvetica"/>
          <w:kern w:val="0"/>
          <w:sz w:val="18"/>
          <w:szCs w:val="18"/>
          <w:u w:val="single"/>
        </w:rPr>
        <w:fldChar w:fldCharType="end"/>
      </w:r>
      <w:r>
        <w:rPr>
          <w:rFonts w:ascii="Helvetica" w:hAnsi="Helvetica" w:cs="Helvetica"/>
          <w:kern w:val="0"/>
          <w:sz w:val="18"/>
          <w:szCs w:val="18"/>
        </w:rPr>
        <w:t>，不包括铁路运输业；</w:t>
      </w:r>
      <w:r>
        <w:fldChar w:fldCharType="begin"/>
      </w:r>
      <w:r>
        <w:instrText xml:space="preserve"> HYPERLINK "https://baike.baidu.com/item/%E4%BB%93%E5%82%A8%E4%B8%9A/3487863?fromModule=lemma_inlink" \t "_blank" </w:instrText>
      </w:r>
      <w:r>
        <w:fldChar w:fldCharType="separate"/>
      </w:r>
      <w:r>
        <w:rPr>
          <w:rFonts w:ascii="Helvetica" w:hAnsi="Helvetica" w:cs="Helvetica"/>
          <w:kern w:val="0"/>
          <w:sz w:val="18"/>
          <w:szCs w:val="18"/>
          <w:u w:val="single"/>
        </w:rPr>
        <w:t>仓储业</w:t>
      </w:r>
      <w:r>
        <w:rPr>
          <w:rFonts w:ascii="Helvetica" w:hAnsi="Helvetica" w:cs="Helvetica"/>
          <w:kern w:val="0"/>
          <w:sz w:val="18"/>
          <w:szCs w:val="18"/>
          <w:u w:val="single"/>
        </w:rPr>
        <w:fldChar w:fldCharType="end"/>
      </w:r>
      <w:r>
        <w:rPr>
          <w:rFonts w:ascii="Helvetica" w:hAnsi="Helvetica" w:cs="Helvetica"/>
          <w:kern w:val="0"/>
          <w:sz w:val="18"/>
          <w:szCs w:val="18"/>
        </w:rPr>
        <w:t>包括通用仓储，低温仓储，危险品仓储，谷物、棉花等农产品仓储，中药材仓储和其他仓储业;</w:t>
      </w:r>
      <w:r>
        <w:fldChar w:fldCharType="begin"/>
      </w:r>
      <w:r>
        <w:instrText xml:space="preserve"> HYPERLINK "https://baike.baidu.com/item/%E4%BF%A1%E6%81%AF%E4%BC%A0%E8%BE%93%E4%B8%9A/61331990?fromModule=lemma_inlink" \t "_blank" </w:instrText>
      </w:r>
      <w:r>
        <w:fldChar w:fldCharType="separate"/>
      </w:r>
      <w:r>
        <w:rPr>
          <w:rFonts w:ascii="Helvetica" w:hAnsi="Helvetica" w:cs="Helvetica"/>
          <w:kern w:val="0"/>
          <w:sz w:val="18"/>
          <w:szCs w:val="18"/>
          <w:u w:val="single"/>
        </w:rPr>
        <w:t>信息传输业</w:t>
      </w:r>
      <w:r>
        <w:rPr>
          <w:rFonts w:ascii="Helvetica" w:hAnsi="Helvetica" w:cs="Helvetica"/>
          <w:kern w:val="0"/>
          <w:sz w:val="18"/>
          <w:szCs w:val="18"/>
          <w:u w:val="single"/>
        </w:rPr>
        <w:fldChar w:fldCharType="end"/>
      </w:r>
      <w:r>
        <w:rPr>
          <w:rFonts w:ascii="Helvetica" w:hAnsi="Helvetica" w:cs="Helvetica"/>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3.企业划分指标以现行</w:t>
      </w:r>
      <w:r>
        <w:fldChar w:fldCharType="begin"/>
      </w:r>
      <w:r>
        <w:instrText xml:space="preserve"> HYPERLINK "https://baike.baidu.com/item/%E7%BB%9F%E8%AE%A1%E5%88%B6%E5%BA%A6/917165?fromModule=lemma_inlink" \t "_blank" </w:instrText>
      </w:r>
      <w:r>
        <w:fldChar w:fldCharType="separate"/>
      </w:r>
      <w:r>
        <w:rPr>
          <w:rFonts w:ascii="Helvetica" w:hAnsi="Helvetica" w:cs="Helvetica"/>
          <w:kern w:val="0"/>
          <w:sz w:val="18"/>
          <w:szCs w:val="18"/>
          <w:u w:val="single"/>
        </w:rPr>
        <w:t>统计制度</w:t>
      </w:r>
      <w:r>
        <w:rPr>
          <w:rFonts w:ascii="Helvetica" w:hAnsi="Helvetica" w:cs="Helvetica"/>
          <w:kern w:val="0"/>
          <w:sz w:val="18"/>
          <w:szCs w:val="18"/>
          <w:u w:val="single"/>
        </w:rPr>
        <w:fldChar w:fldCharType="end"/>
      </w:r>
      <w:r>
        <w:rPr>
          <w:rFonts w:ascii="Helvetica" w:hAnsi="Helvetica" w:cs="Helvetica"/>
          <w:kern w:val="0"/>
          <w:sz w:val="18"/>
          <w:szCs w:val="18"/>
        </w:rPr>
        <w:t>为准。（1）从业人员，是指期末从业人员数，没有期末从业人员数的，采用全年平均人员数代替。（2）</w:t>
      </w:r>
      <w:r>
        <w:fldChar w:fldCharType="begin"/>
      </w:r>
      <w:r>
        <w:instrText xml:space="preserve"> HYPERLINK "https://baike.baidu.com/item/%E8%90%A5%E4%B8%9A%E6%94%B6%E5%85%A5/5099832?fromModule=lemma_inlink" \t "_blank" </w:instrText>
      </w:r>
      <w:r>
        <w:fldChar w:fldCharType="separate"/>
      </w:r>
      <w:r>
        <w:rPr>
          <w:rFonts w:ascii="Helvetica" w:hAnsi="Helvetica" w:cs="Helvetica"/>
          <w:kern w:val="0"/>
          <w:sz w:val="18"/>
          <w:szCs w:val="18"/>
          <w:u w:val="single"/>
        </w:rPr>
        <w:t>营业收入</w:t>
      </w:r>
      <w:r>
        <w:rPr>
          <w:rFonts w:ascii="Helvetica" w:hAnsi="Helvetica" w:cs="Helvetica"/>
          <w:kern w:val="0"/>
          <w:sz w:val="18"/>
          <w:szCs w:val="18"/>
          <w:u w:val="single"/>
        </w:rPr>
        <w:fldChar w:fldCharType="end"/>
      </w:r>
      <w:r>
        <w:rPr>
          <w:rFonts w:ascii="Helvetica" w:hAnsi="Helvetica" w:cs="Helvetica"/>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fldChar w:fldCharType="begin"/>
      </w:r>
      <w:r>
        <w:instrText xml:space="preserve"> HYPERLINK "https://baike.baidu.com/item/%E8%B5%84%E4%BA%A7%E6%80%BB%E9%A2%9D/716517?fromModule=lemma_inlink" \t "_blank" </w:instrText>
      </w:r>
      <w:r>
        <w:fldChar w:fldCharType="separate"/>
      </w:r>
      <w:r>
        <w:rPr>
          <w:rFonts w:ascii="Helvetica" w:hAnsi="Helvetica" w:cs="Helvetica"/>
          <w:kern w:val="0"/>
          <w:sz w:val="18"/>
          <w:szCs w:val="18"/>
          <w:u w:val="single"/>
        </w:rPr>
        <w:t>资产总额</w:t>
      </w:r>
      <w:r>
        <w:rPr>
          <w:rFonts w:ascii="Helvetica" w:hAnsi="Helvetica" w:cs="Helvetica"/>
          <w:kern w:val="0"/>
          <w:sz w:val="18"/>
          <w:szCs w:val="18"/>
          <w:u w:val="single"/>
        </w:rPr>
        <w:fldChar w:fldCharType="end"/>
      </w:r>
      <w:r>
        <w:rPr>
          <w:rFonts w:ascii="Helvetica" w:hAnsi="Helvetica" w:cs="Helvetica"/>
          <w:kern w:val="0"/>
          <w:sz w:val="18"/>
          <w:szCs w:val="18"/>
        </w:rPr>
        <w:t>，采用资产总计代替。</w:t>
      </w:r>
    </w:p>
    <w:p>
      <w:pPr>
        <w:widowControl/>
        <w:jc w:val="left"/>
        <w:rPr>
          <w:rFonts w:hAnsi="宋体"/>
          <w:bCs/>
          <w:sz w:val="18"/>
          <w:szCs w:val="18"/>
        </w:rPr>
      </w:pPr>
      <w:r>
        <w:rPr>
          <w:rFonts w:hAnsi="宋体"/>
          <w:bCs/>
          <w:sz w:val="18"/>
          <w:szCs w:val="18"/>
        </w:rPr>
        <w:br w:type="page"/>
      </w:r>
    </w:p>
    <w:p>
      <w:pPr>
        <w:spacing w:line="320" w:lineRule="exact"/>
        <w:jc w:val="left"/>
        <w:rPr>
          <w:rFonts w:hAnsi="宋体"/>
          <w:bCs/>
          <w:sz w:val="18"/>
          <w:szCs w:val="18"/>
        </w:rPr>
      </w:pPr>
    </w:p>
    <w:p>
      <w:pPr>
        <w:pStyle w:val="22"/>
        <w:spacing w:line="440" w:lineRule="exact"/>
        <w:jc w:val="center"/>
        <w:rPr>
          <w:rFonts w:ascii="仿宋" w:hAnsi="仿宋" w:eastAsia="仿宋"/>
          <w:b/>
          <w:kern w:val="0"/>
          <w:sz w:val="32"/>
          <w:szCs w:val="32"/>
        </w:rPr>
      </w:pPr>
      <w:r>
        <w:rPr>
          <w:rFonts w:hint="eastAsia" w:ascii="仿宋" w:hAnsi="仿宋" w:eastAsia="仿宋"/>
          <w:b/>
          <w:kern w:val="0"/>
          <w:sz w:val="32"/>
          <w:szCs w:val="32"/>
        </w:rPr>
        <w:t>残疾人福利性单位声明函</w:t>
      </w:r>
      <w:r>
        <w:rPr>
          <w:rFonts w:hint="eastAsia" w:ascii="仿宋" w:hAnsi="仿宋" w:eastAsia="仿宋"/>
          <w:sz w:val="24"/>
        </w:rPr>
        <w:t>(格式</w:t>
      </w:r>
      <w:r>
        <w:rPr>
          <w:rFonts w:ascii="仿宋" w:hAnsi="仿宋" w:eastAsia="仿宋"/>
          <w:sz w:val="24"/>
        </w:rPr>
        <w:t>)</w:t>
      </w:r>
    </w:p>
    <w:p/>
    <w:p>
      <w:pPr>
        <w:spacing w:line="660" w:lineRule="exact"/>
        <w:ind w:firstLine="420" w:firstLineChars="200"/>
        <w:rPr>
          <w:rFonts w:ascii="宋体" w:hAnsi="宋体" w:cs="Courier New"/>
          <w:kern w:val="0"/>
          <w:szCs w:val="21"/>
        </w:rPr>
      </w:pPr>
      <w:r>
        <w:rPr>
          <w:rFonts w:hint="eastAsia" w:ascii="宋体" w:hAnsi="宋体" w:cs="Courier New"/>
          <w:kern w:val="0"/>
          <w:szCs w:val="21"/>
        </w:rPr>
        <w:t>本单位郑重声明，根据</w:t>
      </w:r>
      <w:bookmarkStart w:id="155" w:name="_Hlk82091361"/>
      <w:r>
        <w:rPr>
          <w:rFonts w:hint="eastAsia" w:ascii="宋体" w:hAnsi="宋体" w:cs="Courier New"/>
          <w:kern w:val="0"/>
          <w:szCs w:val="21"/>
        </w:rPr>
        <w:t>《</w:t>
      </w:r>
      <w:r>
        <w:fldChar w:fldCharType="begin"/>
      </w:r>
      <w:r>
        <w:instrText xml:space="preserve"> HYPERLINK "http://www.mof.gov.cn/gp/xxgkml/gks/201709/t20170901_2689542.htm" </w:instrText>
      </w:r>
      <w:r>
        <w:fldChar w:fldCharType="separate"/>
      </w:r>
      <w:r>
        <w:rPr>
          <w:rFonts w:hint="eastAsia" w:ascii="宋体" w:hAnsi="Courier New" w:cs="Courier New"/>
          <w:kern w:val="0"/>
          <w:szCs w:val="21"/>
        </w:rPr>
        <w:t>财政部 民政部 中国残疾人联合会关于促进残疾人就业政府采购政策的通知》（财库〔2017〕141号）</w:t>
      </w:r>
      <w:r>
        <w:rPr>
          <w:rFonts w:hint="eastAsia" w:ascii="宋体" w:hAnsi="Courier New" w:cs="Courier New"/>
          <w:kern w:val="0"/>
          <w:szCs w:val="21"/>
        </w:rPr>
        <w:fldChar w:fldCharType="end"/>
      </w:r>
      <w:bookmarkEnd w:id="155"/>
      <w:r>
        <w:rPr>
          <w:rFonts w:hint="eastAsia" w:ascii="宋体" w:hAnsi="宋体" w:cs="Courier New"/>
          <w:kern w:val="0"/>
          <w:szCs w:val="21"/>
        </w:rPr>
        <w:t>的规定，本单位为符合条件的残疾人福利性单位，且本单位参加（</w:t>
      </w:r>
      <w:r>
        <w:rPr>
          <w:rFonts w:hint="eastAsia" w:ascii="宋体" w:hAnsi="宋体" w:cs="Courier New"/>
          <w:kern w:val="0"/>
          <w:szCs w:val="21"/>
          <w:u w:val="single"/>
        </w:rPr>
        <w:t>单位名称</w:t>
      </w:r>
      <w:r>
        <w:rPr>
          <w:rFonts w:hint="eastAsia" w:ascii="宋体" w:hAnsi="宋体" w:cs="Courier New"/>
          <w:kern w:val="0"/>
          <w:szCs w:val="21"/>
        </w:rPr>
        <w:t>）的（</w:t>
      </w:r>
      <w:r>
        <w:rPr>
          <w:rFonts w:hint="eastAsia" w:ascii="宋体" w:hAnsi="宋体" w:cs="Courier New"/>
          <w:kern w:val="0"/>
          <w:szCs w:val="21"/>
          <w:u w:val="single"/>
        </w:rPr>
        <w:t>项目名称</w:t>
      </w:r>
      <w:r>
        <w:rPr>
          <w:rFonts w:hint="eastAsia" w:ascii="宋体" w:hAnsi="宋体" w:cs="Courier New"/>
          <w:kern w:val="0"/>
          <w:szCs w:val="21"/>
        </w:rPr>
        <w:t>）采购活动提供本单位制造的货物，或者提供其他残疾人福利性单位（</w:t>
      </w:r>
      <w:r>
        <w:rPr>
          <w:rFonts w:hint="eastAsia" w:ascii="宋体" w:hAnsi="宋体" w:cs="Courier New"/>
          <w:kern w:val="0"/>
          <w:szCs w:val="21"/>
          <w:u w:val="single"/>
        </w:rPr>
        <w:t>请填写具体单位名称</w:t>
      </w:r>
      <w:r>
        <w:rPr>
          <w:rFonts w:hint="eastAsia" w:ascii="宋体" w:hAnsi="宋体" w:cs="Courier New"/>
          <w:kern w:val="0"/>
          <w:szCs w:val="21"/>
        </w:rPr>
        <w:t>）制造的货物（不包括使用非残疾人福利性单位注册商标的货物）。</w:t>
      </w:r>
    </w:p>
    <w:p>
      <w:pPr>
        <w:spacing w:line="660" w:lineRule="exact"/>
        <w:ind w:firstLine="420" w:firstLineChars="200"/>
        <w:rPr>
          <w:rFonts w:ascii="宋体" w:hAnsi="宋体" w:cs="Courier New"/>
          <w:kern w:val="0"/>
          <w:szCs w:val="21"/>
        </w:rPr>
      </w:pPr>
      <w:r>
        <w:rPr>
          <w:rFonts w:hint="eastAsia" w:ascii="宋体" w:hAnsi="宋体" w:cs="Courier New"/>
          <w:kern w:val="0"/>
          <w:szCs w:val="21"/>
        </w:rPr>
        <w:t>本单位对上述声明的真实性负责。如有虚假，将依法承担相应责任。</w:t>
      </w:r>
    </w:p>
    <w:p>
      <w:pPr>
        <w:spacing w:line="400" w:lineRule="exact"/>
        <w:rPr>
          <w:szCs w:val="21"/>
        </w:rPr>
      </w:pPr>
    </w:p>
    <w:p>
      <w:pPr>
        <w:spacing w:line="400" w:lineRule="exact"/>
        <w:rPr>
          <w:szCs w:val="21"/>
        </w:rPr>
      </w:pPr>
    </w:p>
    <w:p>
      <w:pPr>
        <w:spacing w:line="400" w:lineRule="exact"/>
        <w:rPr>
          <w:szCs w:val="21"/>
        </w:rPr>
      </w:pPr>
    </w:p>
    <w:p>
      <w:pPr>
        <w:spacing w:line="440" w:lineRule="exact"/>
        <w:ind w:firstLine="5250" w:firstLineChars="2500"/>
        <w:rPr>
          <w:rFonts w:ascii="宋体" w:hAnsi="宋体" w:cs="Courier New"/>
          <w:kern w:val="0"/>
          <w:szCs w:val="21"/>
        </w:rPr>
      </w:pPr>
      <w:r>
        <w:rPr>
          <w:rFonts w:hint="eastAsia" w:ascii="宋体" w:hAnsi="宋体" w:cs="Courier New"/>
          <w:kern w:val="0"/>
          <w:szCs w:val="21"/>
        </w:rPr>
        <w:t>单位名称（盖章）：</w:t>
      </w:r>
      <w:r>
        <w:rPr>
          <w:rFonts w:hint="eastAsia" w:ascii="宋体" w:hAnsi="宋体" w:cs="Courier New"/>
          <w:szCs w:val="21"/>
          <w:u w:val="single"/>
        </w:rPr>
        <w:t xml:space="preserve"> </w:t>
      </w:r>
      <w:r>
        <w:rPr>
          <w:rFonts w:ascii="宋体" w:hAnsi="宋体" w:cs="Courier New"/>
          <w:szCs w:val="21"/>
          <w:u w:val="single"/>
        </w:rPr>
        <w:t xml:space="preserve">             </w:t>
      </w:r>
    </w:p>
    <w:p>
      <w:pPr>
        <w:spacing w:line="440" w:lineRule="exact"/>
        <w:ind w:firstLine="5250" w:firstLineChars="2500"/>
        <w:rPr>
          <w:rFonts w:ascii="宋体" w:hAnsi="宋体" w:cs="Courier New"/>
          <w:szCs w:val="21"/>
          <w:u w:val="single"/>
        </w:rPr>
      </w:pPr>
      <w:r>
        <w:rPr>
          <w:rFonts w:hint="eastAsia" w:ascii="宋体" w:hAnsi="宋体" w:cs="Courier New"/>
          <w:kern w:val="0"/>
          <w:szCs w:val="21"/>
        </w:rPr>
        <w:t>日  期：</w:t>
      </w:r>
      <w:r>
        <w:rPr>
          <w:rFonts w:hint="eastAsia" w:ascii="宋体" w:hAnsi="宋体" w:cs="Courier New"/>
          <w:szCs w:val="21"/>
          <w:u w:val="single"/>
        </w:rPr>
        <w:t xml:space="preserve"> </w:t>
      </w:r>
      <w:r>
        <w:rPr>
          <w:rFonts w:ascii="宋体" w:hAnsi="宋体" w:cs="Courier New"/>
          <w:szCs w:val="21"/>
          <w:u w:val="single"/>
        </w:rPr>
        <w:t xml:space="preserve">                       </w:t>
      </w:r>
    </w:p>
    <w:bookmarkEnd w:id="149"/>
    <w:p>
      <w:pPr>
        <w:widowControl/>
        <w:jc w:val="left"/>
        <w:rPr>
          <w:rFonts w:ascii="宋体" w:hAnsi="Courier New" w:cs="Courier New"/>
          <w:sz w:val="18"/>
          <w:szCs w:val="18"/>
        </w:rPr>
      </w:pPr>
      <w:r>
        <w:rPr>
          <w:rFonts w:ascii="宋体" w:hAnsi="Courier New" w:cs="Courier New"/>
          <w:sz w:val="18"/>
          <w:szCs w:val="18"/>
        </w:rPr>
        <w:br w:type="page"/>
      </w:r>
    </w:p>
    <w:p>
      <w:pPr>
        <w:jc w:val="left"/>
        <w:rPr>
          <w:rFonts w:ascii="宋体" w:hAnsi="宋体"/>
          <w:b/>
          <w:bCs/>
          <w:sz w:val="36"/>
          <w:szCs w:val="36"/>
        </w:rPr>
      </w:pPr>
      <w:r>
        <w:rPr>
          <w:rFonts w:hint="eastAsia" w:ascii="宋体" w:hAnsi="宋体"/>
          <w:b/>
          <w:bCs/>
          <w:sz w:val="36"/>
          <w:szCs w:val="36"/>
        </w:rPr>
        <w:t>三、报价文件</w:t>
      </w:r>
    </w:p>
    <w:p>
      <w:pPr>
        <w:jc w:val="center"/>
        <w:rPr>
          <w:rFonts w:ascii="仿宋" w:hAnsi="仿宋" w:eastAsia="仿宋"/>
          <w:b/>
          <w:bCs/>
          <w:sz w:val="30"/>
          <w:szCs w:val="30"/>
        </w:rPr>
      </w:pPr>
      <w:r>
        <w:rPr>
          <w:rFonts w:hint="eastAsia" w:ascii="仿宋" w:hAnsi="仿宋" w:eastAsia="仿宋"/>
          <w:b/>
          <w:bCs/>
          <w:sz w:val="32"/>
          <w:szCs w:val="32"/>
        </w:rPr>
        <w:t>报价明细表</w:t>
      </w:r>
      <w:r>
        <w:rPr>
          <w:rFonts w:hint="eastAsia" w:ascii="仿宋" w:hAnsi="仿宋" w:eastAsia="仿宋"/>
          <w:sz w:val="24"/>
        </w:rPr>
        <w:t>(格式</w:t>
      </w:r>
      <w:r>
        <w:rPr>
          <w:rFonts w:ascii="仿宋" w:hAnsi="仿宋" w:eastAsia="仿宋"/>
          <w:sz w:val="24"/>
        </w:rPr>
        <w:t>)</w:t>
      </w:r>
    </w:p>
    <w:p/>
    <w:p>
      <w:pPr>
        <w:spacing w:line="400" w:lineRule="exact"/>
        <w:rPr>
          <w:rFonts w:ascii="宋体" w:hAnsi="宋体"/>
          <w:szCs w:val="21"/>
          <w:u w:val="single"/>
        </w:rPr>
      </w:pPr>
      <w:r>
        <w:rPr>
          <w:rFonts w:hint="eastAsia" w:ascii="宋体" w:hAnsi="宋体"/>
          <w:szCs w:val="21"/>
        </w:rPr>
        <w:t>项目编号：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单位：元</w:t>
      </w:r>
    </w:p>
    <w:tbl>
      <w:tblPr>
        <w:tblStyle w:val="34"/>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vAlign w:val="center"/>
          </w:tcPr>
          <w:p>
            <w:pPr>
              <w:spacing w:line="300" w:lineRule="exact"/>
              <w:jc w:val="center"/>
              <w:rPr>
                <w:rFonts w:ascii="宋体" w:hAnsi="宋体" w:cs="Courier New"/>
                <w:szCs w:val="21"/>
              </w:rPr>
            </w:pPr>
            <w:bookmarkStart w:id="156" w:name="_Hlk97823529"/>
            <w:r>
              <w:rPr>
                <w:rFonts w:hint="eastAsia" w:ascii="宋体" w:hAnsi="宋体" w:cs="Courier New"/>
                <w:szCs w:val="21"/>
              </w:rPr>
              <w:t>序号</w:t>
            </w:r>
          </w:p>
        </w:tc>
        <w:tc>
          <w:tcPr>
            <w:tcW w:w="1145"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货物名称</w:t>
            </w:r>
          </w:p>
        </w:tc>
        <w:tc>
          <w:tcPr>
            <w:tcW w:w="698"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品牌</w:t>
            </w:r>
          </w:p>
        </w:tc>
        <w:tc>
          <w:tcPr>
            <w:tcW w:w="709"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型号</w:t>
            </w:r>
          </w:p>
        </w:tc>
        <w:tc>
          <w:tcPr>
            <w:tcW w:w="708"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产地</w:t>
            </w:r>
          </w:p>
        </w:tc>
        <w:tc>
          <w:tcPr>
            <w:tcW w:w="1701"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技术参数及性能（规格）</w:t>
            </w:r>
          </w:p>
        </w:tc>
        <w:tc>
          <w:tcPr>
            <w:tcW w:w="1701"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数量、单位</w:t>
            </w:r>
            <w:r>
              <w:rPr>
                <w:rFonts w:hint="eastAsia" w:hAnsi="宋体"/>
              </w:rPr>
              <w:t>①</w:t>
            </w:r>
          </w:p>
        </w:tc>
        <w:tc>
          <w:tcPr>
            <w:tcW w:w="851"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单价</w:t>
            </w:r>
            <w:r>
              <w:rPr>
                <w:rFonts w:hint="eastAsia" w:hAnsi="宋体"/>
              </w:rPr>
              <w:t>②</w:t>
            </w:r>
          </w:p>
        </w:tc>
        <w:tc>
          <w:tcPr>
            <w:tcW w:w="1340" w:type="dxa"/>
            <w:tcBorders>
              <w:bottom w:val="single" w:color="auto" w:sz="4" w:space="0"/>
            </w:tcBorders>
            <w:vAlign w:val="center"/>
          </w:tcPr>
          <w:p>
            <w:pPr>
              <w:spacing w:line="300" w:lineRule="exact"/>
              <w:jc w:val="center"/>
              <w:rPr>
                <w:rFonts w:ascii="宋体" w:hAnsi="宋体" w:cs="Courier New"/>
                <w:szCs w:val="21"/>
              </w:rPr>
            </w:pPr>
            <w:r>
              <w:rPr>
                <w:rFonts w:hint="eastAsia" w:ascii="宋体" w:hAnsi="宋体" w:cs="Courier New"/>
                <w:szCs w:val="21"/>
              </w:rPr>
              <w:t>单项合价</w:t>
            </w:r>
          </w:p>
          <w:p>
            <w:pPr>
              <w:spacing w:line="300" w:lineRule="exact"/>
              <w:jc w:val="center"/>
              <w:rPr>
                <w:rFonts w:ascii="宋体" w:hAnsi="宋体" w:cs="Courier New"/>
                <w:szCs w:val="21"/>
              </w:rPr>
            </w:pPr>
            <w:r>
              <w:rPr>
                <w:rFonts w:hint="eastAsia" w:ascii="宋体" w:hAnsi="宋体" w:cs="Courier New"/>
                <w:szCs w:val="21"/>
              </w:rPr>
              <w:t>③</w:t>
            </w:r>
            <w:r>
              <w:rPr>
                <w:rFonts w:ascii="宋体" w:hAnsi="宋体" w:cs="Courier New"/>
                <w:szCs w:val="21"/>
              </w:rPr>
              <w:t>=</w:t>
            </w:r>
            <w:r>
              <w:rPr>
                <w:rFonts w:hint="eastAsia" w:ascii="宋体" w:hAnsi="宋体" w:cs="Courier New"/>
                <w:szCs w:val="21"/>
              </w:rPr>
              <w:t>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ind w:right="-34" w:rightChars="-16"/>
              <w:jc w:val="center"/>
              <w:rPr>
                <w:rFonts w:ascii="宋体" w:hAnsi="宋体"/>
                <w:sz w:val="24"/>
              </w:rPr>
            </w:pPr>
            <w:r>
              <w:rPr>
                <w:rFonts w:hint="eastAsia" w:ascii="宋体" w:hAnsi="宋体"/>
                <w:sz w:val="24"/>
              </w:rPr>
              <w:t>1</w:t>
            </w:r>
          </w:p>
        </w:tc>
        <w:tc>
          <w:tcPr>
            <w:tcW w:w="1145" w:type="dxa"/>
            <w:vAlign w:val="center"/>
          </w:tcPr>
          <w:p>
            <w:pPr>
              <w:spacing w:line="440" w:lineRule="exact"/>
              <w:ind w:firstLine="33" w:firstLineChars="16"/>
              <w:jc w:val="center"/>
              <w:rPr>
                <w:rFonts w:ascii="宋体" w:hAnsi="宋体"/>
              </w:rPr>
            </w:pPr>
          </w:p>
        </w:tc>
        <w:tc>
          <w:tcPr>
            <w:tcW w:w="698" w:type="dxa"/>
            <w:vAlign w:val="center"/>
          </w:tcPr>
          <w:p>
            <w:pPr>
              <w:spacing w:line="440" w:lineRule="exact"/>
              <w:ind w:firstLine="35" w:firstLineChars="17"/>
              <w:jc w:val="center"/>
              <w:rPr>
                <w:rFonts w:ascii="宋体" w:hAnsi="宋体"/>
              </w:rPr>
            </w:pPr>
          </w:p>
        </w:tc>
        <w:tc>
          <w:tcPr>
            <w:tcW w:w="709" w:type="dxa"/>
            <w:vAlign w:val="center"/>
          </w:tcPr>
          <w:p>
            <w:pPr>
              <w:spacing w:line="440" w:lineRule="exact"/>
              <w:jc w:val="center"/>
              <w:rPr>
                <w:rFonts w:ascii="宋体" w:hAnsi="宋体"/>
              </w:rPr>
            </w:pPr>
          </w:p>
        </w:tc>
        <w:tc>
          <w:tcPr>
            <w:tcW w:w="708"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jc w:val="center"/>
              <w:rPr>
                <w:rFonts w:ascii="宋体" w:hAnsi="宋体"/>
              </w:rPr>
            </w:pPr>
          </w:p>
        </w:tc>
        <w:tc>
          <w:tcPr>
            <w:tcW w:w="851" w:type="dxa"/>
            <w:vAlign w:val="center"/>
          </w:tcPr>
          <w:p>
            <w:pPr>
              <w:spacing w:line="440" w:lineRule="exact"/>
              <w:jc w:val="center"/>
              <w:rPr>
                <w:rFonts w:ascii="宋体" w:hAnsi="宋体"/>
              </w:rPr>
            </w:pPr>
          </w:p>
        </w:tc>
        <w:tc>
          <w:tcPr>
            <w:tcW w:w="1340"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2</w:t>
            </w:r>
          </w:p>
        </w:tc>
        <w:tc>
          <w:tcPr>
            <w:tcW w:w="1145" w:type="dxa"/>
            <w:vAlign w:val="center"/>
          </w:tcPr>
          <w:p>
            <w:pPr>
              <w:spacing w:line="440" w:lineRule="exact"/>
              <w:ind w:firstLine="33" w:firstLineChars="16"/>
              <w:jc w:val="center"/>
              <w:rPr>
                <w:rFonts w:ascii="宋体" w:hAnsi="宋体"/>
              </w:rPr>
            </w:pPr>
          </w:p>
        </w:tc>
        <w:tc>
          <w:tcPr>
            <w:tcW w:w="698" w:type="dxa"/>
            <w:vAlign w:val="center"/>
          </w:tcPr>
          <w:p>
            <w:pPr>
              <w:spacing w:line="440" w:lineRule="exact"/>
              <w:ind w:firstLine="35" w:firstLineChars="17"/>
              <w:jc w:val="center"/>
              <w:rPr>
                <w:rFonts w:ascii="宋体" w:hAnsi="宋体"/>
              </w:rPr>
            </w:pPr>
          </w:p>
        </w:tc>
        <w:tc>
          <w:tcPr>
            <w:tcW w:w="709" w:type="dxa"/>
            <w:vAlign w:val="center"/>
          </w:tcPr>
          <w:p>
            <w:pPr>
              <w:spacing w:line="440" w:lineRule="exact"/>
              <w:jc w:val="center"/>
              <w:rPr>
                <w:rFonts w:ascii="宋体" w:hAnsi="宋体"/>
              </w:rPr>
            </w:pPr>
          </w:p>
        </w:tc>
        <w:tc>
          <w:tcPr>
            <w:tcW w:w="708"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jc w:val="center"/>
              <w:rPr>
                <w:rFonts w:ascii="宋体" w:hAnsi="宋体"/>
              </w:rPr>
            </w:pPr>
          </w:p>
        </w:tc>
        <w:tc>
          <w:tcPr>
            <w:tcW w:w="851" w:type="dxa"/>
            <w:vAlign w:val="center"/>
          </w:tcPr>
          <w:p>
            <w:pPr>
              <w:spacing w:line="440" w:lineRule="exact"/>
              <w:jc w:val="center"/>
              <w:rPr>
                <w:rFonts w:ascii="宋体" w:hAnsi="宋体"/>
              </w:rPr>
            </w:pPr>
          </w:p>
        </w:tc>
        <w:tc>
          <w:tcPr>
            <w:tcW w:w="1340"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3</w:t>
            </w:r>
          </w:p>
        </w:tc>
        <w:tc>
          <w:tcPr>
            <w:tcW w:w="1145" w:type="dxa"/>
            <w:vAlign w:val="center"/>
          </w:tcPr>
          <w:p>
            <w:pPr>
              <w:spacing w:line="440" w:lineRule="exact"/>
              <w:ind w:firstLine="33" w:firstLineChars="16"/>
              <w:jc w:val="center"/>
              <w:rPr>
                <w:rFonts w:ascii="宋体" w:hAnsi="宋体"/>
              </w:rPr>
            </w:pPr>
          </w:p>
        </w:tc>
        <w:tc>
          <w:tcPr>
            <w:tcW w:w="698" w:type="dxa"/>
            <w:vAlign w:val="center"/>
          </w:tcPr>
          <w:p>
            <w:pPr>
              <w:spacing w:line="440" w:lineRule="exact"/>
              <w:ind w:firstLine="35" w:firstLineChars="17"/>
              <w:jc w:val="center"/>
              <w:rPr>
                <w:rFonts w:ascii="宋体" w:hAnsi="宋体"/>
              </w:rPr>
            </w:pPr>
          </w:p>
        </w:tc>
        <w:tc>
          <w:tcPr>
            <w:tcW w:w="709" w:type="dxa"/>
            <w:vAlign w:val="center"/>
          </w:tcPr>
          <w:p>
            <w:pPr>
              <w:spacing w:line="440" w:lineRule="exact"/>
              <w:jc w:val="center"/>
              <w:rPr>
                <w:rFonts w:ascii="宋体" w:hAnsi="宋体"/>
              </w:rPr>
            </w:pPr>
          </w:p>
        </w:tc>
        <w:tc>
          <w:tcPr>
            <w:tcW w:w="708"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jc w:val="center"/>
              <w:rPr>
                <w:rFonts w:ascii="宋体" w:hAnsi="宋体"/>
              </w:rPr>
            </w:pPr>
          </w:p>
        </w:tc>
        <w:tc>
          <w:tcPr>
            <w:tcW w:w="851" w:type="dxa"/>
            <w:vAlign w:val="center"/>
          </w:tcPr>
          <w:p>
            <w:pPr>
              <w:spacing w:line="440" w:lineRule="exact"/>
              <w:jc w:val="center"/>
              <w:rPr>
                <w:rFonts w:ascii="宋体" w:hAnsi="宋体"/>
              </w:rPr>
            </w:pPr>
          </w:p>
        </w:tc>
        <w:tc>
          <w:tcPr>
            <w:tcW w:w="1340"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ascii="宋体" w:hAnsi="宋体"/>
                <w:sz w:val="24"/>
              </w:rPr>
            </w:pPr>
            <w:r>
              <w:rPr>
                <w:rFonts w:ascii="宋体" w:hAnsi="宋体"/>
                <w:sz w:val="24"/>
              </w:rPr>
              <w:t>…</w:t>
            </w:r>
          </w:p>
        </w:tc>
        <w:tc>
          <w:tcPr>
            <w:tcW w:w="1145" w:type="dxa"/>
            <w:vAlign w:val="center"/>
          </w:tcPr>
          <w:p>
            <w:pPr>
              <w:spacing w:line="440" w:lineRule="exact"/>
              <w:ind w:firstLine="33" w:firstLineChars="16"/>
              <w:jc w:val="center"/>
              <w:rPr>
                <w:rFonts w:ascii="宋体" w:hAnsi="宋体"/>
              </w:rPr>
            </w:pPr>
          </w:p>
        </w:tc>
        <w:tc>
          <w:tcPr>
            <w:tcW w:w="698" w:type="dxa"/>
            <w:vAlign w:val="center"/>
          </w:tcPr>
          <w:p>
            <w:pPr>
              <w:spacing w:line="440" w:lineRule="exact"/>
              <w:ind w:firstLine="35" w:firstLineChars="17"/>
              <w:jc w:val="center"/>
              <w:rPr>
                <w:rFonts w:ascii="宋体" w:hAnsi="宋体"/>
              </w:rPr>
            </w:pPr>
          </w:p>
        </w:tc>
        <w:tc>
          <w:tcPr>
            <w:tcW w:w="709" w:type="dxa"/>
            <w:vAlign w:val="center"/>
          </w:tcPr>
          <w:p>
            <w:pPr>
              <w:spacing w:line="440" w:lineRule="exact"/>
              <w:jc w:val="center"/>
              <w:rPr>
                <w:rFonts w:ascii="宋体" w:hAnsi="宋体"/>
              </w:rPr>
            </w:pPr>
          </w:p>
        </w:tc>
        <w:tc>
          <w:tcPr>
            <w:tcW w:w="708"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jc w:val="center"/>
              <w:rPr>
                <w:rFonts w:ascii="宋体" w:hAnsi="宋体"/>
              </w:rPr>
            </w:pPr>
          </w:p>
        </w:tc>
        <w:tc>
          <w:tcPr>
            <w:tcW w:w="851" w:type="dxa"/>
            <w:vAlign w:val="center"/>
          </w:tcPr>
          <w:p>
            <w:pPr>
              <w:spacing w:line="440" w:lineRule="exact"/>
              <w:jc w:val="center"/>
              <w:rPr>
                <w:rFonts w:ascii="宋体" w:hAnsi="宋体"/>
              </w:rPr>
            </w:pPr>
          </w:p>
        </w:tc>
        <w:tc>
          <w:tcPr>
            <w:tcW w:w="1340"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64" w:type="dxa"/>
            <w:gridSpan w:val="9"/>
            <w:vAlign w:val="center"/>
          </w:tcPr>
          <w:p>
            <w:pPr>
              <w:spacing w:line="440" w:lineRule="exact"/>
              <w:ind w:firstLine="27" w:firstLineChars="14"/>
              <w:rPr>
                <w:rFonts w:ascii="宋体" w:hAnsi="宋体" w:cs="Courier New"/>
                <w:spacing w:val="-6"/>
                <w:szCs w:val="21"/>
              </w:rPr>
            </w:pPr>
            <w:r>
              <w:rPr>
                <w:rFonts w:hint="eastAsia" w:ascii="宋体" w:hAnsi="宋体" w:cs="Courier New"/>
                <w:spacing w:val="-6"/>
                <w:szCs w:val="21"/>
              </w:rPr>
              <w:t>总报价（人民币大写）：</w:t>
            </w:r>
            <w:r>
              <w:rPr>
                <w:rFonts w:hint="eastAsia" w:ascii="宋体" w:hAnsi="宋体" w:cs="Courier New"/>
                <w:spacing w:val="-6"/>
                <w:szCs w:val="21"/>
                <w:u w:val="single"/>
              </w:rPr>
              <w:t xml:space="preserve">                                       </w:t>
            </w:r>
            <w:r>
              <w:rPr>
                <w:rFonts w:hint="eastAsia" w:ascii="宋体" w:hAnsi="宋体" w:cs="Courier New"/>
                <w:spacing w:val="-6"/>
                <w:szCs w:val="21"/>
              </w:rPr>
              <w:t>（￥</w:t>
            </w:r>
            <w:r>
              <w:rPr>
                <w:rFonts w:hint="eastAsia" w:ascii="宋体" w:hAnsi="宋体" w:cs="Courier New"/>
                <w:spacing w:val="-6"/>
                <w:szCs w:val="21"/>
                <w:u w:val="single"/>
              </w:rPr>
              <w:t xml:space="preserve">                       元</w:t>
            </w:r>
            <w:r>
              <w:rPr>
                <w:rFonts w:hint="eastAsia" w:ascii="宋体" w:hAnsi="宋体" w:cs="Courier New"/>
                <w:spacing w:val="-6"/>
                <w:szCs w:val="21"/>
              </w:rPr>
              <w:t>）</w:t>
            </w:r>
          </w:p>
        </w:tc>
      </w:tr>
      <w:bookmarkEnd w:id="156"/>
    </w:tbl>
    <w:p>
      <w:pPr>
        <w:spacing w:line="440" w:lineRule="exact"/>
        <w:rPr>
          <w:rFonts w:ascii="宋体" w:hAnsi="宋体"/>
          <w:szCs w:val="21"/>
        </w:rPr>
      </w:pPr>
      <w:r>
        <w:rPr>
          <w:rFonts w:hint="eastAsia" w:ascii="宋体" w:hAnsi="宋体"/>
          <w:szCs w:val="21"/>
        </w:rPr>
        <w:t>注：1.所有价格均用人民币表示，单位为元，精确到个数位。</w:t>
      </w:r>
    </w:p>
    <w:p>
      <w:pPr>
        <w:spacing w:line="440" w:lineRule="exact"/>
        <w:rPr>
          <w:rFonts w:ascii="宋体" w:hAnsi="宋体"/>
          <w:szCs w:val="21"/>
        </w:rPr>
      </w:pPr>
      <w:r>
        <w:rPr>
          <w:rFonts w:hint="eastAsia" w:ascii="宋体" w:hAnsi="宋体"/>
          <w:szCs w:val="21"/>
        </w:rPr>
        <w:t xml:space="preserve">    </w:t>
      </w:r>
      <w:r>
        <w:rPr>
          <w:rFonts w:hint="eastAsia" w:ascii="宋体" w:hAnsi="宋体"/>
          <w:bCs/>
          <w:szCs w:val="21"/>
        </w:rPr>
        <w:t>2.总报价应包含货物、货物标准附件、备品备件、专用工具、设备安装辅材、包装、运输、保险等各种费用以及安装、调试、税金、售后服务、技术培训费、更新升级其所有成本费用。</w:t>
      </w:r>
    </w:p>
    <w:p/>
    <w:p/>
    <w:p>
      <w:pPr>
        <w:pStyle w:val="22"/>
        <w:spacing w:line="440" w:lineRule="exact"/>
        <w:ind w:firstLine="3675" w:firstLineChars="1750"/>
        <w:rPr>
          <w:rFonts w:hAnsi="宋体"/>
          <w:u w:val="single"/>
        </w:rPr>
      </w:pPr>
      <w:r>
        <w:rPr>
          <w:rFonts w:hint="eastAsia" w:hAnsi="宋体"/>
        </w:rPr>
        <w:t>法定代表人或授权代表（签名）：</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p>
    <w:p>
      <w:pPr>
        <w:pStyle w:val="22"/>
        <w:spacing w:line="440" w:lineRule="exact"/>
        <w:ind w:firstLine="3675" w:firstLineChars="1750"/>
        <w:rPr>
          <w:rFonts w:hAnsi="宋体"/>
          <w:u w:val="single"/>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r>
        <w:rPr>
          <w:rFonts w:hint="eastAsia" w:hAnsi="宋体"/>
          <w:u w:val="single"/>
        </w:rPr>
        <w:t xml:space="preserve">                   </w:t>
      </w:r>
    </w:p>
    <w:p>
      <w:pPr>
        <w:spacing w:line="440" w:lineRule="exact"/>
        <w:ind w:firstLine="3675" w:firstLineChars="1750"/>
        <w:rPr>
          <w:rFonts w:ascii="宋体" w:hAnsi="宋体"/>
          <w:szCs w:val="21"/>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月</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日</w:t>
      </w:r>
    </w:p>
    <w:sectPr>
      <w:headerReference r:id="rId5" w:type="default"/>
      <w:footerReference r:id="rId6" w:type="default"/>
      <w:pgSz w:w="11906" w:h="16838"/>
      <w:pgMar w:top="936" w:right="991" w:bottom="1135" w:left="99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Adobe 仿宋 Std R">
    <w:altName w:val="仿宋"/>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f1mLBgMCAAAEBAAADgAAAAAAAAABACAAAAAe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564419"/>
    </w:sdtPr>
    <w:sdtContent>
      <w:p>
        <w:pPr>
          <w:pStyle w:val="2"/>
          <w:jc w:val="center"/>
        </w:pPr>
        <w:r>
          <w:fldChar w:fldCharType="begin"/>
        </w:r>
        <w:r>
          <w:instrText xml:space="preserve">PAGE   \* MERGEFORMAT</w:instrText>
        </w:r>
        <w:r>
          <w:fldChar w:fldCharType="separate"/>
        </w:r>
        <w:r>
          <w:t>11</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r>
      <w:rPr>
        <w:rFonts w:hint="eastAsia"/>
      </w:rPr>
      <w:t xml:space="preserve">钦州市政府采购中心          </w:t>
    </w:r>
    <w:r>
      <w:rPr>
        <w:rFonts w:hint="eastAsia"/>
        <w:lang w:val="en-US" w:eastAsia="zh-CN"/>
      </w:rPr>
      <w:t xml:space="preserve">   </w:t>
    </w:r>
    <w:r>
      <w:rPr>
        <w:rFonts w:hint="eastAsia"/>
        <w:lang w:eastAsia="zh-CN"/>
      </w:rPr>
      <w:t>钦州港经济技术开发区东港区第二幼儿园户内外玩教具设备</w:t>
    </w:r>
    <w:r>
      <w:rPr>
        <w:rFonts w:hint="eastAsia"/>
      </w:rPr>
      <w:t xml:space="preserve"> (</w:t>
    </w:r>
    <w:r>
      <w:rPr>
        <w:rFonts w:hint="eastAsia"/>
        <w:lang w:eastAsia="zh-CN"/>
      </w:rPr>
      <w:t>QZZC2025-J1-980014-QZSZ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DDECD3BC"/>
    <w:multiLevelType w:val="singleLevel"/>
    <w:tmpl w:val="DDECD3BC"/>
    <w:lvl w:ilvl="0" w:tentative="0">
      <w:start w:val="6"/>
      <w:numFmt w:val="decimal"/>
      <w:suff w:val="space"/>
      <w:lvlText w:val="%1."/>
      <w:lvlJc w:val="left"/>
    </w:lvl>
  </w:abstractNum>
  <w:abstractNum w:abstractNumId="2">
    <w:nsid w:val="DE759F4B"/>
    <w:multiLevelType w:val="singleLevel"/>
    <w:tmpl w:val="DE759F4B"/>
    <w:lvl w:ilvl="0" w:tentative="0">
      <w:start w:val="2"/>
      <w:numFmt w:val="decimal"/>
      <w:suff w:val="space"/>
      <w:lvlText w:val="%1."/>
      <w:lvlJc w:val="left"/>
    </w:lvl>
  </w:abstractNum>
  <w:abstractNum w:abstractNumId="3">
    <w:nsid w:val="DEABE1DB"/>
    <w:multiLevelType w:val="singleLevel"/>
    <w:tmpl w:val="DEABE1DB"/>
    <w:lvl w:ilvl="0" w:tentative="0">
      <w:start w:val="23"/>
      <w:numFmt w:val="decimal"/>
      <w:suff w:val="space"/>
      <w:lvlText w:val="%1."/>
      <w:lvlJc w:val="left"/>
    </w:lvl>
  </w:abstractNum>
  <w:abstractNum w:abstractNumId="4">
    <w:nsid w:val="00000007"/>
    <w:multiLevelType w:val="multilevel"/>
    <w:tmpl w:val="00000007"/>
    <w:lvl w:ilvl="0" w:tentative="0">
      <w:start w:val="1"/>
      <w:numFmt w:val="chineseCountingThousand"/>
      <w:pStyle w:val="20"/>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7A0F6431"/>
    <w:multiLevelType w:val="singleLevel"/>
    <w:tmpl w:val="7A0F6431"/>
    <w:lvl w:ilvl="0" w:tentative="0">
      <w:start w:val="1"/>
      <w:numFmt w:val="decimal"/>
      <w:suff w:val="space"/>
      <w:lvlText w:val="%1."/>
      <w:lvlJc w:val="left"/>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6D"/>
    <w:rsid w:val="000009A4"/>
    <w:rsid w:val="0000182C"/>
    <w:rsid w:val="00001C30"/>
    <w:rsid w:val="00001F66"/>
    <w:rsid w:val="000027DB"/>
    <w:rsid w:val="0000296D"/>
    <w:rsid w:val="00002E66"/>
    <w:rsid w:val="0000330D"/>
    <w:rsid w:val="00003781"/>
    <w:rsid w:val="00003F3C"/>
    <w:rsid w:val="0000486E"/>
    <w:rsid w:val="00004CB0"/>
    <w:rsid w:val="00004CDE"/>
    <w:rsid w:val="00005328"/>
    <w:rsid w:val="000059D3"/>
    <w:rsid w:val="000066F9"/>
    <w:rsid w:val="00007E2F"/>
    <w:rsid w:val="00007E51"/>
    <w:rsid w:val="000104B5"/>
    <w:rsid w:val="00010774"/>
    <w:rsid w:val="00010E05"/>
    <w:rsid w:val="00012061"/>
    <w:rsid w:val="000123EC"/>
    <w:rsid w:val="00013AC8"/>
    <w:rsid w:val="00013C7F"/>
    <w:rsid w:val="00014132"/>
    <w:rsid w:val="00014488"/>
    <w:rsid w:val="00016829"/>
    <w:rsid w:val="00017A2B"/>
    <w:rsid w:val="00020517"/>
    <w:rsid w:val="000207E1"/>
    <w:rsid w:val="00020DBA"/>
    <w:rsid w:val="00021054"/>
    <w:rsid w:val="000216CC"/>
    <w:rsid w:val="00022909"/>
    <w:rsid w:val="00022CE2"/>
    <w:rsid w:val="000234DD"/>
    <w:rsid w:val="000248E5"/>
    <w:rsid w:val="0002594F"/>
    <w:rsid w:val="00025985"/>
    <w:rsid w:val="00025AC0"/>
    <w:rsid w:val="00026612"/>
    <w:rsid w:val="000272D2"/>
    <w:rsid w:val="0002754E"/>
    <w:rsid w:val="00027BD3"/>
    <w:rsid w:val="00032229"/>
    <w:rsid w:val="00032A59"/>
    <w:rsid w:val="00032B1F"/>
    <w:rsid w:val="00032F50"/>
    <w:rsid w:val="00033214"/>
    <w:rsid w:val="00033587"/>
    <w:rsid w:val="000344F4"/>
    <w:rsid w:val="0003479C"/>
    <w:rsid w:val="00034B7D"/>
    <w:rsid w:val="00035002"/>
    <w:rsid w:val="0003509E"/>
    <w:rsid w:val="000369F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5285"/>
    <w:rsid w:val="0004535A"/>
    <w:rsid w:val="00045D3B"/>
    <w:rsid w:val="00050908"/>
    <w:rsid w:val="00050B4D"/>
    <w:rsid w:val="000521BA"/>
    <w:rsid w:val="00053067"/>
    <w:rsid w:val="000530C2"/>
    <w:rsid w:val="00053FFD"/>
    <w:rsid w:val="00054058"/>
    <w:rsid w:val="000548EF"/>
    <w:rsid w:val="00054D61"/>
    <w:rsid w:val="00054F2A"/>
    <w:rsid w:val="0005526A"/>
    <w:rsid w:val="00055319"/>
    <w:rsid w:val="00055AA6"/>
    <w:rsid w:val="0005758A"/>
    <w:rsid w:val="000576C1"/>
    <w:rsid w:val="00060064"/>
    <w:rsid w:val="000601EC"/>
    <w:rsid w:val="0006170C"/>
    <w:rsid w:val="00061972"/>
    <w:rsid w:val="00061AC4"/>
    <w:rsid w:val="00063151"/>
    <w:rsid w:val="00063CE9"/>
    <w:rsid w:val="00064127"/>
    <w:rsid w:val="0006432D"/>
    <w:rsid w:val="00064B46"/>
    <w:rsid w:val="00064E81"/>
    <w:rsid w:val="000656B5"/>
    <w:rsid w:val="0006633A"/>
    <w:rsid w:val="0006699C"/>
    <w:rsid w:val="000670F3"/>
    <w:rsid w:val="000675EC"/>
    <w:rsid w:val="00067C97"/>
    <w:rsid w:val="000709DB"/>
    <w:rsid w:val="000714E8"/>
    <w:rsid w:val="00071DBC"/>
    <w:rsid w:val="000725F2"/>
    <w:rsid w:val="00072665"/>
    <w:rsid w:val="0007297B"/>
    <w:rsid w:val="00072ABB"/>
    <w:rsid w:val="0007345C"/>
    <w:rsid w:val="00074159"/>
    <w:rsid w:val="000749B7"/>
    <w:rsid w:val="000753D2"/>
    <w:rsid w:val="00075494"/>
    <w:rsid w:val="0007550C"/>
    <w:rsid w:val="00075C45"/>
    <w:rsid w:val="00076CDB"/>
    <w:rsid w:val="0007737B"/>
    <w:rsid w:val="00077E54"/>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A01"/>
    <w:rsid w:val="00086B70"/>
    <w:rsid w:val="00087668"/>
    <w:rsid w:val="000904A2"/>
    <w:rsid w:val="00090AF0"/>
    <w:rsid w:val="000910C5"/>
    <w:rsid w:val="000923C1"/>
    <w:rsid w:val="00092839"/>
    <w:rsid w:val="00093BC2"/>
    <w:rsid w:val="00093C1A"/>
    <w:rsid w:val="00093E79"/>
    <w:rsid w:val="00094441"/>
    <w:rsid w:val="00094BC6"/>
    <w:rsid w:val="00094C47"/>
    <w:rsid w:val="000953A5"/>
    <w:rsid w:val="000963F4"/>
    <w:rsid w:val="00096670"/>
    <w:rsid w:val="00096B4A"/>
    <w:rsid w:val="00096DE8"/>
    <w:rsid w:val="000A0911"/>
    <w:rsid w:val="000A139A"/>
    <w:rsid w:val="000A2431"/>
    <w:rsid w:val="000A2A30"/>
    <w:rsid w:val="000A358F"/>
    <w:rsid w:val="000A38A0"/>
    <w:rsid w:val="000A3C64"/>
    <w:rsid w:val="000A4362"/>
    <w:rsid w:val="000A61B8"/>
    <w:rsid w:val="000A62BD"/>
    <w:rsid w:val="000A6603"/>
    <w:rsid w:val="000A679A"/>
    <w:rsid w:val="000A6972"/>
    <w:rsid w:val="000A6A7F"/>
    <w:rsid w:val="000A6F98"/>
    <w:rsid w:val="000A74E0"/>
    <w:rsid w:val="000A74F6"/>
    <w:rsid w:val="000A7B98"/>
    <w:rsid w:val="000B1427"/>
    <w:rsid w:val="000B1905"/>
    <w:rsid w:val="000B1CCA"/>
    <w:rsid w:val="000B200B"/>
    <w:rsid w:val="000B2684"/>
    <w:rsid w:val="000B2963"/>
    <w:rsid w:val="000B2AB7"/>
    <w:rsid w:val="000B2F6F"/>
    <w:rsid w:val="000B3976"/>
    <w:rsid w:val="000B3C2D"/>
    <w:rsid w:val="000B46A8"/>
    <w:rsid w:val="000B470D"/>
    <w:rsid w:val="000B4E66"/>
    <w:rsid w:val="000B5395"/>
    <w:rsid w:val="000B62CB"/>
    <w:rsid w:val="000B6350"/>
    <w:rsid w:val="000B678F"/>
    <w:rsid w:val="000B6FEF"/>
    <w:rsid w:val="000B7F9A"/>
    <w:rsid w:val="000C0328"/>
    <w:rsid w:val="000C03D4"/>
    <w:rsid w:val="000C0864"/>
    <w:rsid w:val="000C0B96"/>
    <w:rsid w:val="000C0D86"/>
    <w:rsid w:val="000C1621"/>
    <w:rsid w:val="000C1CD7"/>
    <w:rsid w:val="000C2778"/>
    <w:rsid w:val="000C32AE"/>
    <w:rsid w:val="000C3380"/>
    <w:rsid w:val="000C4807"/>
    <w:rsid w:val="000C4C6A"/>
    <w:rsid w:val="000C52AC"/>
    <w:rsid w:val="000C5751"/>
    <w:rsid w:val="000C57F9"/>
    <w:rsid w:val="000C598C"/>
    <w:rsid w:val="000C618E"/>
    <w:rsid w:val="000C6342"/>
    <w:rsid w:val="000C6CE1"/>
    <w:rsid w:val="000C720B"/>
    <w:rsid w:val="000C7B9D"/>
    <w:rsid w:val="000D02E9"/>
    <w:rsid w:val="000D059D"/>
    <w:rsid w:val="000D1274"/>
    <w:rsid w:val="000D1597"/>
    <w:rsid w:val="000D16A7"/>
    <w:rsid w:val="000D1C6A"/>
    <w:rsid w:val="000D1F8D"/>
    <w:rsid w:val="000D22BD"/>
    <w:rsid w:val="000D26E7"/>
    <w:rsid w:val="000D42CA"/>
    <w:rsid w:val="000D53F2"/>
    <w:rsid w:val="000D55C4"/>
    <w:rsid w:val="000D5748"/>
    <w:rsid w:val="000D5C5C"/>
    <w:rsid w:val="000D5C8A"/>
    <w:rsid w:val="000D6A24"/>
    <w:rsid w:val="000D6C9D"/>
    <w:rsid w:val="000D78E6"/>
    <w:rsid w:val="000E0487"/>
    <w:rsid w:val="000E285B"/>
    <w:rsid w:val="000E545D"/>
    <w:rsid w:val="000E660E"/>
    <w:rsid w:val="000E6EBD"/>
    <w:rsid w:val="000F0150"/>
    <w:rsid w:val="000F03FE"/>
    <w:rsid w:val="000F152C"/>
    <w:rsid w:val="000F17C9"/>
    <w:rsid w:val="000F3668"/>
    <w:rsid w:val="000F383E"/>
    <w:rsid w:val="000F38CF"/>
    <w:rsid w:val="000F3F16"/>
    <w:rsid w:val="000F449F"/>
    <w:rsid w:val="000F48C9"/>
    <w:rsid w:val="000F6024"/>
    <w:rsid w:val="00100A2B"/>
    <w:rsid w:val="00100B14"/>
    <w:rsid w:val="0010174C"/>
    <w:rsid w:val="0010201F"/>
    <w:rsid w:val="0010254F"/>
    <w:rsid w:val="00102B73"/>
    <w:rsid w:val="00102C51"/>
    <w:rsid w:val="00103216"/>
    <w:rsid w:val="0010330D"/>
    <w:rsid w:val="001039BF"/>
    <w:rsid w:val="00103CB4"/>
    <w:rsid w:val="00103D6B"/>
    <w:rsid w:val="00107F42"/>
    <w:rsid w:val="00110401"/>
    <w:rsid w:val="00110E22"/>
    <w:rsid w:val="001110F1"/>
    <w:rsid w:val="0011195C"/>
    <w:rsid w:val="00112E30"/>
    <w:rsid w:val="001138CB"/>
    <w:rsid w:val="00114453"/>
    <w:rsid w:val="00114D32"/>
    <w:rsid w:val="00115CAC"/>
    <w:rsid w:val="00116718"/>
    <w:rsid w:val="00116FC8"/>
    <w:rsid w:val="00117835"/>
    <w:rsid w:val="00120042"/>
    <w:rsid w:val="0012024C"/>
    <w:rsid w:val="00120493"/>
    <w:rsid w:val="00120DFA"/>
    <w:rsid w:val="001218FE"/>
    <w:rsid w:val="00121CC1"/>
    <w:rsid w:val="001221BE"/>
    <w:rsid w:val="00122219"/>
    <w:rsid w:val="00122477"/>
    <w:rsid w:val="00122899"/>
    <w:rsid w:val="00123679"/>
    <w:rsid w:val="001236BF"/>
    <w:rsid w:val="001236EB"/>
    <w:rsid w:val="00123ACC"/>
    <w:rsid w:val="00124792"/>
    <w:rsid w:val="00124CF0"/>
    <w:rsid w:val="00125726"/>
    <w:rsid w:val="001258B7"/>
    <w:rsid w:val="001267FF"/>
    <w:rsid w:val="00127F9D"/>
    <w:rsid w:val="0013084E"/>
    <w:rsid w:val="00130DB2"/>
    <w:rsid w:val="001315D8"/>
    <w:rsid w:val="00132B8C"/>
    <w:rsid w:val="0013360D"/>
    <w:rsid w:val="00133E41"/>
    <w:rsid w:val="00133E7C"/>
    <w:rsid w:val="00134D7F"/>
    <w:rsid w:val="00134F65"/>
    <w:rsid w:val="0013526C"/>
    <w:rsid w:val="001356B6"/>
    <w:rsid w:val="001365F4"/>
    <w:rsid w:val="0013661A"/>
    <w:rsid w:val="00136E07"/>
    <w:rsid w:val="001372D1"/>
    <w:rsid w:val="001374A2"/>
    <w:rsid w:val="00137EAE"/>
    <w:rsid w:val="00140295"/>
    <w:rsid w:val="00141121"/>
    <w:rsid w:val="001429D7"/>
    <w:rsid w:val="00143437"/>
    <w:rsid w:val="00143891"/>
    <w:rsid w:val="00143DE4"/>
    <w:rsid w:val="001447EF"/>
    <w:rsid w:val="00144800"/>
    <w:rsid w:val="00145073"/>
    <w:rsid w:val="0014515E"/>
    <w:rsid w:val="0014559E"/>
    <w:rsid w:val="00145749"/>
    <w:rsid w:val="00145EF0"/>
    <w:rsid w:val="001462D6"/>
    <w:rsid w:val="001464A7"/>
    <w:rsid w:val="00146F35"/>
    <w:rsid w:val="00147344"/>
    <w:rsid w:val="001476CB"/>
    <w:rsid w:val="001477F2"/>
    <w:rsid w:val="0015059D"/>
    <w:rsid w:val="00150778"/>
    <w:rsid w:val="00151322"/>
    <w:rsid w:val="00152C66"/>
    <w:rsid w:val="00153A5A"/>
    <w:rsid w:val="00153EDA"/>
    <w:rsid w:val="001547CA"/>
    <w:rsid w:val="00154C02"/>
    <w:rsid w:val="00154C69"/>
    <w:rsid w:val="0015529D"/>
    <w:rsid w:val="00156328"/>
    <w:rsid w:val="00157085"/>
    <w:rsid w:val="001573B4"/>
    <w:rsid w:val="001601A2"/>
    <w:rsid w:val="00160295"/>
    <w:rsid w:val="001607B6"/>
    <w:rsid w:val="00162969"/>
    <w:rsid w:val="00162E86"/>
    <w:rsid w:val="0016388F"/>
    <w:rsid w:val="00163D73"/>
    <w:rsid w:val="00163D88"/>
    <w:rsid w:val="00164096"/>
    <w:rsid w:val="0016529E"/>
    <w:rsid w:val="0016575C"/>
    <w:rsid w:val="00165B1C"/>
    <w:rsid w:val="00165BF8"/>
    <w:rsid w:val="00166036"/>
    <w:rsid w:val="001662BD"/>
    <w:rsid w:val="0016649A"/>
    <w:rsid w:val="00166560"/>
    <w:rsid w:val="001675A5"/>
    <w:rsid w:val="00170111"/>
    <w:rsid w:val="00170697"/>
    <w:rsid w:val="00171392"/>
    <w:rsid w:val="00171C1A"/>
    <w:rsid w:val="00171C72"/>
    <w:rsid w:val="00172708"/>
    <w:rsid w:val="001727B0"/>
    <w:rsid w:val="001729BA"/>
    <w:rsid w:val="00172A27"/>
    <w:rsid w:val="00173260"/>
    <w:rsid w:val="00173C43"/>
    <w:rsid w:val="00174BEA"/>
    <w:rsid w:val="001751E2"/>
    <w:rsid w:val="0017537B"/>
    <w:rsid w:val="001759CF"/>
    <w:rsid w:val="00175B5D"/>
    <w:rsid w:val="00176986"/>
    <w:rsid w:val="00176B7D"/>
    <w:rsid w:val="00177302"/>
    <w:rsid w:val="00177FB1"/>
    <w:rsid w:val="001809EC"/>
    <w:rsid w:val="00180D02"/>
    <w:rsid w:val="00181809"/>
    <w:rsid w:val="00182FF5"/>
    <w:rsid w:val="0018316B"/>
    <w:rsid w:val="001837AA"/>
    <w:rsid w:val="00183BC0"/>
    <w:rsid w:val="0018456A"/>
    <w:rsid w:val="00184681"/>
    <w:rsid w:val="001847DB"/>
    <w:rsid w:val="00184AE6"/>
    <w:rsid w:val="00185C46"/>
    <w:rsid w:val="00185D1E"/>
    <w:rsid w:val="00185D2D"/>
    <w:rsid w:val="00185EF5"/>
    <w:rsid w:val="00185F81"/>
    <w:rsid w:val="0018652D"/>
    <w:rsid w:val="00186AA0"/>
    <w:rsid w:val="00186C19"/>
    <w:rsid w:val="00187707"/>
    <w:rsid w:val="00187828"/>
    <w:rsid w:val="00187EAA"/>
    <w:rsid w:val="00190B5F"/>
    <w:rsid w:val="001912D2"/>
    <w:rsid w:val="00191575"/>
    <w:rsid w:val="00191FD8"/>
    <w:rsid w:val="0019224F"/>
    <w:rsid w:val="001923BA"/>
    <w:rsid w:val="00192DA5"/>
    <w:rsid w:val="0019338C"/>
    <w:rsid w:val="00194C01"/>
    <w:rsid w:val="001965CD"/>
    <w:rsid w:val="00196AD9"/>
    <w:rsid w:val="00197377"/>
    <w:rsid w:val="0019768C"/>
    <w:rsid w:val="00197F91"/>
    <w:rsid w:val="001A0381"/>
    <w:rsid w:val="001A04B7"/>
    <w:rsid w:val="001A10F0"/>
    <w:rsid w:val="001A24D5"/>
    <w:rsid w:val="001A2637"/>
    <w:rsid w:val="001A270B"/>
    <w:rsid w:val="001A2CE9"/>
    <w:rsid w:val="001A37A7"/>
    <w:rsid w:val="001A397E"/>
    <w:rsid w:val="001A3D56"/>
    <w:rsid w:val="001A4A03"/>
    <w:rsid w:val="001A51A4"/>
    <w:rsid w:val="001A52EC"/>
    <w:rsid w:val="001A592E"/>
    <w:rsid w:val="001A5B3D"/>
    <w:rsid w:val="001A608D"/>
    <w:rsid w:val="001A64AB"/>
    <w:rsid w:val="001A69D0"/>
    <w:rsid w:val="001A6CA2"/>
    <w:rsid w:val="001A79FC"/>
    <w:rsid w:val="001B08D0"/>
    <w:rsid w:val="001B0FFF"/>
    <w:rsid w:val="001B1422"/>
    <w:rsid w:val="001B1780"/>
    <w:rsid w:val="001B21BF"/>
    <w:rsid w:val="001B2789"/>
    <w:rsid w:val="001B3396"/>
    <w:rsid w:val="001B45AC"/>
    <w:rsid w:val="001B4641"/>
    <w:rsid w:val="001B49B9"/>
    <w:rsid w:val="001B53CE"/>
    <w:rsid w:val="001B5555"/>
    <w:rsid w:val="001B55FC"/>
    <w:rsid w:val="001B5A4E"/>
    <w:rsid w:val="001B5FB8"/>
    <w:rsid w:val="001B621A"/>
    <w:rsid w:val="001B639B"/>
    <w:rsid w:val="001B66C9"/>
    <w:rsid w:val="001B7226"/>
    <w:rsid w:val="001B79CA"/>
    <w:rsid w:val="001C006C"/>
    <w:rsid w:val="001C046C"/>
    <w:rsid w:val="001C0792"/>
    <w:rsid w:val="001C1068"/>
    <w:rsid w:val="001C111E"/>
    <w:rsid w:val="001C1954"/>
    <w:rsid w:val="001C1CB6"/>
    <w:rsid w:val="001C2637"/>
    <w:rsid w:val="001C2856"/>
    <w:rsid w:val="001C3032"/>
    <w:rsid w:val="001C36F2"/>
    <w:rsid w:val="001C37B8"/>
    <w:rsid w:val="001C3997"/>
    <w:rsid w:val="001C4006"/>
    <w:rsid w:val="001C4264"/>
    <w:rsid w:val="001C5049"/>
    <w:rsid w:val="001C5A88"/>
    <w:rsid w:val="001C5F33"/>
    <w:rsid w:val="001D131F"/>
    <w:rsid w:val="001D145B"/>
    <w:rsid w:val="001D2BC7"/>
    <w:rsid w:val="001D3347"/>
    <w:rsid w:val="001D342C"/>
    <w:rsid w:val="001D3D7A"/>
    <w:rsid w:val="001D3FE6"/>
    <w:rsid w:val="001D426E"/>
    <w:rsid w:val="001D47A2"/>
    <w:rsid w:val="001D4CB2"/>
    <w:rsid w:val="001D542E"/>
    <w:rsid w:val="001D5AB1"/>
    <w:rsid w:val="001D6C9C"/>
    <w:rsid w:val="001D7C0A"/>
    <w:rsid w:val="001E135A"/>
    <w:rsid w:val="001E1B96"/>
    <w:rsid w:val="001E3151"/>
    <w:rsid w:val="001E33E7"/>
    <w:rsid w:val="001E361F"/>
    <w:rsid w:val="001E389A"/>
    <w:rsid w:val="001E3A70"/>
    <w:rsid w:val="001E4160"/>
    <w:rsid w:val="001E4638"/>
    <w:rsid w:val="001E4649"/>
    <w:rsid w:val="001E4806"/>
    <w:rsid w:val="001E4F61"/>
    <w:rsid w:val="001E5228"/>
    <w:rsid w:val="001E556F"/>
    <w:rsid w:val="001E56BE"/>
    <w:rsid w:val="001E5D7F"/>
    <w:rsid w:val="001E606C"/>
    <w:rsid w:val="001E6E0F"/>
    <w:rsid w:val="001E7383"/>
    <w:rsid w:val="001E7A45"/>
    <w:rsid w:val="001F0090"/>
    <w:rsid w:val="001F01FC"/>
    <w:rsid w:val="001F09B2"/>
    <w:rsid w:val="001F145B"/>
    <w:rsid w:val="001F1B44"/>
    <w:rsid w:val="001F220E"/>
    <w:rsid w:val="001F299F"/>
    <w:rsid w:val="001F3380"/>
    <w:rsid w:val="001F409D"/>
    <w:rsid w:val="001F4B03"/>
    <w:rsid w:val="001F53DC"/>
    <w:rsid w:val="001F612B"/>
    <w:rsid w:val="001F69C1"/>
    <w:rsid w:val="001F78C9"/>
    <w:rsid w:val="00200210"/>
    <w:rsid w:val="002005D7"/>
    <w:rsid w:val="00200673"/>
    <w:rsid w:val="00200C07"/>
    <w:rsid w:val="00201D62"/>
    <w:rsid w:val="00201FA0"/>
    <w:rsid w:val="002030D5"/>
    <w:rsid w:val="00203236"/>
    <w:rsid w:val="00203374"/>
    <w:rsid w:val="002047A7"/>
    <w:rsid w:val="00204832"/>
    <w:rsid w:val="00205192"/>
    <w:rsid w:val="002069C4"/>
    <w:rsid w:val="00207574"/>
    <w:rsid w:val="00207788"/>
    <w:rsid w:val="0020781A"/>
    <w:rsid w:val="00207BB0"/>
    <w:rsid w:val="002100EE"/>
    <w:rsid w:val="00210236"/>
    <w:rsid w:val="00210822"/>
    <w:rsid w:val="00210837"/>
    <w:rsid w:val="00210B9B"/>
    <w:rsid w:val="002119E2"/>
    <w:rsid w:val="00213134"/>
    <w:rsid w:val="00214AE1"/>
    <w:rsid w:val="00215B9B"/>
    <w:rsid w:val="00215DE3"/>
    <w:rsid w:val="0021617D"/>
    <w:rsid w:val="00216288"/>
    <w:rsid w:val="002165EA"/>
    <w:rsid w:val="002168F3"/>
    <w:rsid w:val="00216ACD"/>
    <w:rsid w:val="00217785"/>
    <w:rsid w:val="00217AA5"/>
    <w:rsid w:val="00217F65"/>
    <w:rsid w:val="00220B21"/>
    <w:rsid w:val="00220BFA"/>
    <w:rsid w:val="00220CA4"/>
    <w:rsid w:val="00220EEC"/>
    <w:rsid w:val="00221ADA"/>
    <w:rsid w:val="00221C35"/>
    <w:rsid w:val="00221E2F"/>
    <w:rsid w:val="0022371D"/>
    <w:rsid w:val="00223AA0"/>
    <w:rsid w:val="00223AE2"/>
    <w:rsid w:val="00223DA7"/>
    <w:rsid w:val="002255D4"/>
    <w:rsid w:val="00225CAB"/>
    <w:rsid w:val="002262D7"/>
    <w:rsid w:val="002263C7"/>
    <w:rsid w:val="0022681A"/>
    <w:rsid w:val="00226A6D"/>
    <w:rsid w:val="00226C7E"/>
    <w:rsid w:val="00226F54"/>
    <w:rsid w:val="002277D4"/>
    <w:rsid w:val="00227BF2"/>
    <w:rsid w:val="00230B9C"/>
    <w:rsid w:val="0023120C"/>
    <w:rsid w:val="002313E0"/>
    <w:rsid w:val="002314F8"/>
    <w:rsid w:val="00231C0C"/>
    <w:rsid w:val="002323C0"/>
    <w:rsid w:val="00232AAB"/>
    <w:rsid w:val="00232BF8"/>
    <w:rsid w:val="0023312F"/>
    <w:rsid w:val="00233272"/>
    <w:rsid w:val="002332E7"/>
    <w:rsid w:val="00234D73"/>
    <w:rsid w:val="00235F11"/>
    <w:rsid w:val="00236110"/>
    <w:rsid w:val="00236A1E"/>
    <w:rsid w:val="0023765F"/>
    <w:rsid w:val="002406B7"/>
    <w:rsid w:val="00240858"/>
    <w:rsid w:val="00240C76"/>
    <w:rsid w:val="002420BD"/>
    <w:rsid w:val="002428DE"/>
    <w:rsid w:val="00244795"/>
    <w:rsid w:val="00244A39"/>
    <w:rsid w:val="00244F4D"/>
    <w:rsid w:val="00245603"/>
    <w:rsid w:val="00245C72"/>
    <w:rsid w:val="002460FA"/>
    <w:rsid w:val="00246576"/>
    <w:rsid w:val="002472D1"/>
    <w:rsid w:val="00247F10"/>
    <w:rsid w:val="00247FE9"/>
    <w:rsid w:val="00250231"/>
    <w:rsid w:val="00250620"/>
    <w:rsid w:val="00250DF3"/>
    <w:rsid w:val="002518C7"/>
    <w:rsid w:val="00251E58"/>
    <w:rsid w:val="00253905"/>
    <w:rsid w:val="00253B1F"/>
    <w:rsid w:val="00254615"/>
    <w:rsid w:val="00254CE6"/>
    <w:rsid w:val="00254EAD"/>
    <w:rsid w:val="002554CD"/>
    <w:rsid w:val="00255AD8"/>
    <w:rsid w:val="00256102"/>
    <w:rsid w:val="00256160"/>
    <w:rsid w:val="002562BF"/>
    <w:rsid w:val="002569C6"/>
    <w:rsid w:val="00256BBA"/>
    <w:rsid w:val="00257F6D"/>
    <w:rsid w:val="00260023"/>
    <w:rsid w:val="0026021A"/>
    <w:rsid w:val="00260547"/>
    <w:rsid w:val="00260C1C"/>
    <w:rsid w:val="002617CC"/>
    <w:rsid w:val="0026186B"/>
    <w:rsid w:val="00261A0E"/>
    <w:rsid w:val="002625CB"/>
    <w:rsid w:val="00263A90"/>
    <w:rsid w:val="00263D22"/>
    <w:rsid w:val="00264009"/>
    <w:rsid w:val="00264B45"/>
    <w:rsid w:val="002652AD"/>
    <w:rsid w:val="00266004"/>
    <w:rsid w:val="00267D9A"/>
    <w:rsid w:val="00270584"/>
    <w:rsid w:val="00270EA2"/>
    <w:rsid w:val="00271121"/>
    <w:rsid w:val="00272DFC"/>
    <w:rsid w:val="00275BF2"/>
    <w:rsid w:val="00275E57"/>
    <w:rsid w:val="0027616F"/>
    <w:rsid w:val="00276544"/>
    <w:rsid w:val="00276976"/>
    <w:rsid w:val="00280525"/>
    <w:rsid w:val="00280656"/>
    <w:rsid w:val="00280870"/>
    <w:rsid w:val="002833C1"/>
    <w:rsid w:val="00284030"/>
    <w:rsid w:val="002846C4"/>
    <w:rsid w:val="00284927"/>
    <w:rsid w:val="00284BF6"/>
    <w:rsid w:val="00284C89"/>
    <w:rsid w:val="0028576F"/>
    <w:rsid w:val="00286140"/>
    <w:rsid w:val="00286B67"/>
    <w:rsid w:val="00287246"/>
    <w:rsid w:val="002906BB"/>
    <w:rsid w:val="002908FC"/>
    <w:rsid w:val="00290940"/>
    <w:rsid w:val="00290BC0"/>
    <w:rsid w:val="00290E68"/>
    <w:rsid w:val="002910C9"/>
    <w:rsid w:val="00291DAD"/>
    <w:rsid w:val="00293BF8"/>
    <w:rsid w:val="00293EC9"/>
    <w:rsid w:val="00294080"/>
    <w:rsid w:val="00294418"/>
    <w:rsid w:val="00294552"/>
    <w:rsid w:val="00295227"/>
    <w:rsid w:val="00295F39"/>
    <w:rsid w:val="00295F45"/>
    <w:rsid w:val="00296775"/>
    <w:rsid w:val="00297942"/>
    <w:rsid w:val="002A0ED2"/>
    <w:rsid w:val="002A11BA"/>
    <w:rsid w:val="002A135C"/>
    <w:rsid w:val="002A267D"/>
    <w:rsid w:val="002A270F"/>
    <w:rsid w:val="002A2B15"/>
    <w:rsid w:val="002A2B1E"/>
    <w:rsid w:val="002A323D"/>
    <w:rsid w:val="002A40F2"/>
    <w:rsid w:val="002A5325"/>
    <w:rsid w:val="002A724F"/>
    <w:rsid w:val="002B05B1"/>
    <w:rsid w:val="002B0936"/>
    <w:rsid w:val="002B0C56"/>
    <w:rsid w:val="002B128E"/>
    <w:rsid w:val="002B1B6D"/>
    <w:rsid w:val="002B213F"/>
    <w:rsid w:val="002B278C"/>
    <w:rsid w:val="002B2D48"/>
    <w:rsid w:val="002B4C67"/>
    <w:rsid w:val="002B4F5A"/>
    <w:rsid w:val="002B5256"/>
    <w:rsid w:val="002B56E3"/>
    <w:rsid w:val="002B604A"/>
    <w:rsid w:val="002B63A2"/>
    <w:rsid w:val="002B6DF3"/>
    <w:rsid w:val="002B7809"/>
    <w:rsid w:val="002C04C6"/>
    <w:rsid w:val="002C0FD0"/>
    <w:rsid w:val="002C2AE1"/>
    <w:rsid w:val="002C35C5"/>
    <w:rsid w:val="002C37C7"/>
    <w:rsid w:val="002C3950"/>
    <w:rsid w:val="002C3E69"/>
    <w:rsid w:val="002C4303"/>
    <w:rsid w:val="002C4472"/>
    <w:rsid w:val="002C4C8F"/>
    <w:rsid w:val="002C5B91"/>
    <w:rsid w:val="002C6C98"/>
    <w:rsid w:val="002D00D0"/>
    <w:rsid w:val="002D00D7"/>
    <w:rsid w:val="002D04B3"/>
    <w:rsid w:val="002D0A76"/>
    <w:rsid w:val="002D0F4F"/>
    <w:rsid w:val="002D12D5"/>
    <w:rsid w:val="002D19C8"/>
    <w:rsid w:val="002D25A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19C"/>
    <w:rsid w:val="002E334E"/>
    <w:rsid w:val="002E3AE8"/>
    <w:rsid w:val="002E3FFE"/>
    <w:rsid w:val="002E53D0"/>
    <w:rsid w:val="002E5625"/>
    <w:rsid w:val="002E5931"/>
    <w:rsid w:val="002E6A86"/>
    <w:rsid w:val="002E6E46"/>
    <w:rsid w:val="002E7D58"/>
    <w:rsid w:val="002E7E40"/>
    <w:rsid w:val="002F00FE"/>
    <w:rsid w:val="002F0468"/>
    <w:rsid w:val="002F0609"/>
    <w:rsid w:val="002F1457"/>
    <w:rsid w:val="002F1614"/>
    <w:rsid w:val="002F17EB"/>
    <w:rsid w:val="002F1947"/>
    <w:rsid w:val="002F1B84"/>
    <w:rsid w:val="002F1D85"/>
    <w:rsid w:val="002F284C"/>
    <w:rsid w:val="002F2B81"/>
    <w:rsid w:val="002F3352"/>
    <w:rsid w:val="002F461E"/>
    <w:rsid w:val="002F4DAB"/>
    <w:rsid w:val="002F5103"/>
    <w:rsid w:val="002F5779"/>
    <w:rsid w:val="002F5C3F"/>
    <w:rsid w:val="002F5C8F"/>
    <w:rsid w:val="002F6AC6"/>
    <w:rsid w:val="002F703B"/>
    <w:rsid w:val="00301558"/>
    <w:rsid w:val="003023C6"/>
    <w:rsid w:val="00302A77"/>
    <w:rsid w:val="00302CF7"/>
    <w:rsid w:val="00302D27"/>
    <w:rsid w:val="00302E1C"/>
    <w:rsid w:val="00303D3C"/>
    <w:rsid w:val="0030429A"/>
    <w:rsid w:val="003052AB"/>
    <w:rsid w:val="00305F0B"/>
    <w:rsid w:val="003060C4"/>
    <w:rsid w:val="0030668D"/>
    <w:rsid w:val="003069D9"/>
    <w:rsid w:val="003073F5"/>
    <w:rsid w:val="00307B9C"/>
    <w:rsid w:val="00307BA1"/>
    <w:rsid w:val="003100DF"/>
    <w:rsid w:val="00310C8A"/>
    <w:rsid w:val="00311B0A"/>
    <w:rsid w:val="003137D4"/>
    <w:rsid w:val="00314227"/>
    <w:rsid w:val="00314DBA"/>
    <w:rsid w:val="00314EFA"/>
    <w:rsid w:val="00315AB3"/>
    <w:rsid w:val="003164A3"/>
    <w:rsid w:val="00317A63"/>
    <w:rsid w:val="00317BA9"/>
    <w:rsid w:val="003200AE"/>
    <w:rsid w:val="0032034B"/>
    <w:rsid w:val="00320BF6"/>
    <w:rsid w:val="00320EFA"/>
    <w:rsid w:val="00321E23"/>
    <w:rsid w:val="0032215C"/>
    <w:rsid w:val="00322259"/>
    <w:rsid w:val="003255F1"/>
    <w:rsid w:val="00325789"/>
    <w:rsid w:val="00325A5A"/>
    <w:rsid w:val="00325A89"/>
    <w:rsid w:val="00325FE2"/>
    <w:rsid w:val="00326A2E"/>
    <w:rsid w:val="003272E3"/>
    <w:rsid w:val="0032780E"/>
    <w:rsid w:val="00327CF0"/>
    <w:rsid w:val="00330325"/>
    <w:rsid w:val="00331922"/>
    <w:rsid w:val="00331AFB"/>
    <w:rsid w:val="0033215F"/>
    <w:rsid w:val="0033295D"/>
    <w:rsid w:val="00332B79"/>
    <w:rsid w:val="00333CAB"/>
    <w:rsid w:val="00333D3B"/>
    <w:rsid w:val="00334C5E"/>
    <w:rsid w:val="00334F81"/>
    <w:rsid w:val="00335E06"/>
    <w:rsid w:val="00336AC2"/>
    <w:rsid w:val="00336FD3"/>
    <w:rsid w:val="00337B76"/>
    <w:rsid w:val="00337BB7"/>
    <w:rsid w:val="00341DE7"/>
    <w:rsid w:val="00341FEE"/>
    <w:rsid w:val="003430E1"/>
    <w:rsid w:val="0034324B"/>
    <w:rsid w:val="00345199"/>
    <w:rsid w:val="003451FE"/>
    <w:rsid w:val="003462BA"/>
    <w:rsid w:val="00346B52"/>
    <w:rsid w:val="00346C19"/>
    <w:rsid w:val="00346E53"/>
    <w:rsid w:val="003471EA"/>
    <w:rsid w:val="0034781A"/>
    <w:rsid w:val="00350096"/>
    <w:rsid w:val="003503CD"/>
    <w:rsid w:val="00350421"/>
    <w:rsid w:val="0035042D"/>
    <w:rsid w:val="00350759"/>
    <w:rsid w:val="0035088B"/>
    <w:rsid w:val="00350FBD"/>
    <w:rsid w:val="003510DF"/>
    <w:rsid w:val="003511E3"/>
    <w:rsid w:val="0035181E"/>
    <w:rsid w:val="0035252E"/>
    <w:rsid w:val="00353BBF"/>
    <w:rsid w:val="00353C02"/>
    <w:rsid w:val="00353F48"/>
    <w:rsid w:val="0035422F"/>
    <w:rsid w:val="00354301"/>
    <w:rsid w:val="003544A3"/>
    <w:rsid w:val="00354AC8"/>
    <w:rsid w:val="00355454"/>
    <w:rsid w:val="0035571F"/>
    <w:rsid w:val="003560A3"/>
    <w:rsid w:val="00356A1A"/>
    <w:rsid w:val="0035700D"/>
    <w:rsid w:val="00357768"/>
    <w:rsid w:val="003579C1"/>
    <w:rsid w:val="00357A6C"/>
    <w:rsid w:val="00357B7A"/>
    <w:rsid w:val="00360B24"/>
    <w:rsid w:val="00360B88"/>
    <w:rsid w:val="00361409"/>
    <w:rsid w:val="00361478"/>
    <w:rsid w:val="00362098"/>
    <w:rsid w:val="003621B0"/>
    <w:rsid w:val="00363105"/>
    <w:rsid w:val="00363317"/>
    <w:rsid w:val="00363BEF"/>
    <w:rsid w:val="00365288"/>
    <w:rsid w:val="00366C33"/>
    <w:rsid w:val="0036705C"/>
    <w:rsid w:val="003673C9"/>
    <w:rsid w:val="003737B0"/>
    <w:rsid w:val="003743F8"/>
    <w:rsid w:val="00374B13"/>
    <w:rsid w:val="00374BBC"/>
    <w:rsid w:val="00374FC1"/>
    <w:rsid w:val="003756A2"/>
    <w:rsid w:val="00375C87"/>
    <w:rsid w:val="00375DC1"/>
    <w:rsid w:val="00375E94"/>
    <w:rsid w:val="00376DED"/>
    <w:rsid w:val="003774A0"/>
    <w:rsid w:val="0037767D"/>
    <w:rsid w:val="003810DB"/>
    <w:rsid w:val="00381624"/>
    <w:rsid w:val="003816C1"/>
    <w:rsid w:val="00381985"/>
    <w:rsid w:val="00382571"/>
    <w:rsid w:val="0038489B"/>
    <w:rsid w:val="003849B0"/>
    <w:rsid w:val="003857D9"/>
    <w:rsid w:val="003862DF"/>
    <w:rsid w:val="003863BE"/>
    <w:rsid w:val="00386566"/>
    <w:rsid w:val="00387330"/>
    <w:rsid w:val="003876FF"/>
    <w:rsid w:val="00393401"/>
    <w:rsid w:val="003955B2"/>
    <w:rsid w:val="00395890"/>
    <w:rsid w:val="003959A5"/>
    <w:rsid w:val="00395F26"/>
    <w:rsid w:val="00395FAA"/>
    <w:rsid w:val="00397827"/>
    <w:rsid w:val="00397BEE"/>
    <w:rsid w:val="003A063A"/>
    <w:rsid w:val="003A0B73"/>
    <w:rsid w:val="003A104E"/>
    <w:rsid w:val="003A13C4"/>
    <w:rsid w:val="003A14AF"/>
    <w:rsid w:val="003A289D"/>
    <w:rsid w:val="003A2DD9"/>
    <w:rsid w:val="003A32F3"/>
    <w:rsid w:val="003A3817"/>
    <w:rsid w:val="003A384F"/>
    <w:rsid w:val="003A3985"/>
    <w:rsid w:val="003A50D9"/>
    <w:rsid w:val="003A543D"/>
    <w:rsid w:val="003A62CE"/>
    <w:rsid w:val="003A6FA5"/>
    <w:rsid w:val="003A7CFF"/>
    <w:rsid w:val="003B01F4"/>
    <w:rsid w:val="003B16AA"/>
    <w:rsid w:val="003B188F"/>
    <w:rsid w:val="003B1BEC"/>
    <w:rsid w:val="003B2BA8"/>
    <w:rsid w:val="003B3AF7"/>
    <w:rsid w:val="003B4180"/>
    <w:rsid w:val="003B4356"/>
    <w:rsid w:val="003B481F"/>
    <w:rsid w:val="003B536B"/>
    <w:rsid w:val="003B5DFF"/>
    <w:rsid w:val="003B6043"/>
    <w:rsid w:val="003B785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25F7"/>
    <w:rsid w:val="003D3096"/>
    <w:rsid w:val="003D3994"/>
    <w:rsid w:val="003D3D95"/>
    <w:rsid w:val="003D3EC0"/>
    <w:rsid w:val="003D519A"/>
    <w:rsid w:val="003D7120"/>
    <w:rsid w:val="003D73AB"/>
    <w:rsid w:val="003E00AC"/>
    <w:rsid w:val="003E095B"/>
    <w:rsid w:val="003E1840"/>
    <w:rsid w:val="003E2F30"/>
    <w:rsid w:val="003E30A3"/>
    <w:rsid w:val="003E39C3"/>
    <w:rsid w:val="003E3D24"/>
    <w:rsid w:val="003E414B"/>
    <w:rsid w:val="003E427F"/>
    <w:rsid w:val="003E431F"/>
    <w:rsid w:val="003E439D"/>
    <w:rsid w:val="003E5810"/>
    <w:rsid w:val="003E5A25"/>
    <w:rsid w:val="003E5D32"/>
    <w:rsid w:val="003E691B"/>
    <w:rsid w:val="003E6E97"/>
    <w:rsid w:val="003E7765"/>
    <w:rsid w:val="003E778E"/>
    <w:rsid w:val="003E78F0"/>
    <w:rsid w:val="003E79D7"/>
    <w:rsid w:val="003E7F3F"/>
    <w:rsid w:val="003F0FAD"/>
    <w:rsid w:val="003F0FC1"/>
    <w:rsid w:val="003F1894"/>
    <w:rsid w:val="003F1C77"/>
    <w:rsid w:val="003F3898"/>
    <w:rsid w:val="003F3A1B"/>
    <w:rsid w:val="003F3D0B"/>
    <w:rsid w:val="003F3E3F"/>
    <w:rsid w:val="003F42B8"/>
    <w:rsid w:val="003F4E50"/>
    <w:rsid w:val="003F4EDF"/>
    <w:rsid w:val="003F564A"/>
    <w:rsid w:val="003F572D"/>
    <w:rsid w:val="003F5D0D"/>
    <w:rsid w:val="003F6A41"/>
    <w:rsid w:val="003F6B54"/>
    <w:rsid w:val="003F6CAD"/>
    <w:rsid w:val="003F7235"/>
    <w:rsid w:val="004003FD"/>
    <w:rsid w:val="00402898"/>
    <w:rsid w:val="00402A13"/>
    <w:rsid w:val="0040368D"/>
    <w:rsid w:val="00403A8C"/>
    <w:rsid w:val="004049EE"/>
    <w:rsid w:val="00404D01"/>
    <w:rsid w:val="00404D50"/>
    <w:rsid w:val="00404ECC"/>
    <w:rsid w:val="00404F56"/>
    <w:rsid w:val="004051A6"/>
    <w:rsid w:val="0040652E"/>
    <w:rsid w:val="004071FD"/>
    <w:rsid w:val="0040738B"/>
    <w:rsid w:val="0041009D"/>
    <w:rsid w:val="004112F1"/>
    <w:rsid w:val="00411E8B"/>
    <w:rsid w:val="004122FB"/>
    <w:rsid w:val="00412D87"/>
    <w:rsid w:val="00412F73"/>
    <w:rsid w:val="00413F7A"/>
    <w:rsid w:val="004147E2"/>
    <w:rsid w:val="00415BD1"/>
    <w:rsid w:val="00416802"/>
    <w:rsid w:val="00416812"/>
    <w:rsid w:val="00416BBD"/>
    <w:rsid w:val="00416D0A"/>
    <w:rsid w:val="00417112"/>
    <w:rsid w:val="00420556"/>
    <w:rsid w:val="00420B78"/>
    <w:rsid w:val="00420E3D"/>
    <w:rsid w:val="0042141A"/>
    <w:rsid w:val="00421725"/>
    <w:rsid w:val="00421E05"/>
    <w:rsid w:val="00422223"/>
    <w:rsid w:val="00422AB4"/>
    <w:rsid w:val="00422E58"/>
    <w:rsid w:val="0042311F"/>
    <w:rsid w:val="004234EC"/>
    <w:rsid w:val="004235E3"/>
    <w:rsid w:val="00423606"/>
    <w:rsid w:val="00424647"/>
    <w:rsid w:val="00424703"/>
    <w:rsid w:val="00424934"/>
    <w:rsid w:val="00425C37"/>
    <w:rsid w:val="0042603F"/>
    <w:rsid w:val="004274AD"/>
    <w:rsid w:val="00427703"/>
    <w:rsid w:val="00430C76"/>
    <w:rsid w:val="00430F20"/>
    <w:rsid w:val="00431CF2"/>
    <w:rsid w:val="00431D90"/>
    <w:rsid w:val="00431E46"/>
    <w:rsid w:val="00432002"/>
    <w:rsid w:val="004329FE"/>
    <w:rsid w:val="00432A04"/>
    <w:rsid w:val="004332C6"/>
    <w:rsid w:val="0043402A"/>
    <w:rsid w:val="00434769"/>
    <w:rsid w:val="0043518D"/>
    <w:rsid w:val="004351DE"/>
    <w:rsid w:val="00435C11"/>
    <w:rsid w:val="00436611"/>
    <w:rsid w:val="00437A2F"/>
    <w:rsid w:val="00437D58"/>
    <w:rsid w:val="00440164"/>
    <w:rsid w:val="004405EC"/>
    <w:rsid w:val="00440E18"/>
    <w:rsid w:val="004426B7"/>
    <w:rsid w:val="00442C6D"/>
    <w:rsid w:val="00443834"/>
    <w:rsid w:val="00444140"/>
    <w:rsid w:val="00444217"/>
    <w:rsid w:val="00444ACC"/>
    <w:rsid w:val="00444B3E"/>
    <w:rsid w:val="00445234"/>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DA8"/>
    <w:rsid w:val="004540DE"/>
    <w:rsid w:val="00454359"/>
    <w:rsid w:val="00454638"/>
    <w:rsid w:val="00454961"/>
    <w:rsid w:val="00455031"/>
    <w:rsid w:val="004551EE"/>
    <w:rsid w:val="00455682"/>
    <w:rsid w:val="00455922"/>
    <w:rsid w:val="00456610"/>
    <w:rsid w:val="00456BE9"/>
    <w:rsid w:val="00460061"/>
    <w:rsid w:val="004603B8"/>
    <w:rsid w:val="004607E7"/>
    <w:rsid w:val="004610FB"/>
    <w:rsid w:val="00461667"/>
    <w:rsid w:val="00461CAB"/>
    <w:rsid w:val="00463040"/>
    <w:rsid w:val="00463317"/>
    <w:rsid w:val="00463CCF"/>
    <w:rsid w:val="00463E66"/>
    <w:rsid w:val="0046562A"/>
    <w:rsid w:val="00465DDA"/>
    <w:rsid w:val="00465E8B"/>
    <w:rsid w:val="0046640E"/>
    <w:rsid w:val="00467256"/>
    <w:rsid w:val="00467674"/>
    <w:rsid w:val="00467A24"/>
    <w:rsid w:val="00470652"/>
    <w:rsid w:val="0047201A"/>
    <w:rsid w:val="004729B4"/>
    <w:rsid w:val="0047422F"/>
    <w:rsid w:val="004742C1"/>
    <w:rsid w:val="00477289"/>
    <w:rsid w:val="00477456"/>
    <w:rsid w:val="00477793"/>
    <w:rsid w:val="00477A00"/>
    <w:rsid w:val="00477F75"/>
    <w:rsid w:val="00480059"/>
    <w:rsid w:val="00480DC1"/>
    <w:rsid w:val="00480DE2"/>
    <w:rsid w:val="00481480"/>
    <w:rsid w:val="00481D6F"/>
    <w:rsid w:val="00482162"/>
    <w:rsid w:val="0048291E"/>
    <w:rsid w:val="00482A59"/>
    <w:rsid w:val="00483666"/>
    <w:rsid w:val="004843A9"/>
    <w:rsid w:val="0048472A"/>
    <w:rsid w:val="00484B49"/>
    <w:rsid w:val="00484D59"/>
    <w:rsid w:val="00485526"/>
    <w:rsid w:val="00485F07"/>
    <w:rsid w:val="00486100"/>
    <w:rsid w:val="0048646C"/>
    <w:rsid w:val="00486503"/>
    <w:rsid w:val="004866D8"/>
    <w:rsid w:val="00486987"/>
    <w:rsid w:val="00487537"/>
    <w:rsid w:val="00487B57"/>
    <w:rsid w:val="00491CDE"/>
    <w:rsid w:val="0049200E"/>
    <w:rsid w:val="00492566"/>
    <w:rsid w:val="00492C10"/>
    <w:rsid w:val="00492E53"/>
    <w:rsid w:val="004933FA"/>
    <w:rsid w:val="004935EE"/>
    <w:rsid w:val="00493F1E"/>
    <w:rsid w:val="00493F29"/>
    <w:rsid w:val="00493F3D"/>
    <w:rsid w:val="00494354"/>
    <w:rsid w:val="00494E82"/>
    <w:rsid w:val="00495886"/>
    <w:rsid w:val="0049662F"/>
    <w:rsid w:val="00496E76"/>
    <w:rsid w:val="00497018"/>
    <w:rsid w:val="00497A39"/>
    <w:rsid w:val="00497B27"/>
    <w:rsid w:val="00497F5B"/>
    <w:rsid w:val="004A0666"/>
    <w:rsid w:val="004A19F6"/>
    <w:rsid w:val="004A1CF8"/>
    <w:rsid w:val="004A1F56"/>
    <w:rsid w:val="004A259D"/>
    <w:rsid w:val="004A2E1F"/>
    <w:rsid w:val="004A3892"/>
    <w:rsid w:val="004A487F"/>
    <w:rsid w:val="004A4B9D"/>
    <w:rsid w:val="004A4CA4"/>
    <w:rsid w:val="004A6F45"/>
    <w:rsid w:val="004A78CA"/>
    <w:rsid w:val="004B02A4"/>
    <w:rsid w:val="004B0356"/>
    <w:rsid w:val="004B0916"/>
    <w:rsid w:val="004B1C66"/>
    <w:rsid w:val="004B1FAC"/>
    <w:rsid w:val="004B2291"/>
    <w:rsid w:val="004B2624"/>
    <w:rsid w:val="004B2A6A"/>
    <w:rsid w:val="004B2E7D"/>
    <w:rsid w:val="004B317D"/>
    <w:rsid w:val="004B4463"/>
    <w:rsid w:val="004B4B08"/>
    <w:rsid w:val="004B53FF"/>
    <w:rsid w:val="004B55ED"/>
    <w:rsid w:val="004B6418"/>
    <w:rsid w:val="004B666A"/>
    <w:rsid w:val="004B6989"/>
    <w:rsid w:val="004B6AD2"/>
    <w:rsid w:val="004B763D"/>
    <w:rsid w:val="004B76D4"/>
    <w:rsid w:val="004C0192"/>
    <w:rsid w:val="004C04BD"/>
    <w:rsid w:val="004C0E2B"/>
    <w:rsid w:val="004C1270"/>
    <w:rsid w:val="004C1B57"/>
    <w:rsid w:val="004C1E9C"/>
    <w:rsid w:val="004C36A9"/>
    <w:rsid w:val="004C497E"/>
    <w:rsid w:val="004C4AD3"/>
    <w:rsid w:val="004C53C4"/>
    <w:rsid w:val="004C5844"/>
    <w:rsid w:val="004C6408"/>
    <w:rsid w:val="004C6AD2"/>
    <w:rsid w:val="004C6F26"/>
    <w:rsid w:val="004C7513"/>
    <w:rsid w:val="004C782F"/>
    <w:rsid w:val="004C7F15"/>
    <w:rsid w:val="004D00C0"/>
    <w:rsid w:val="004D0448"/>
    <w:rsid w:val="004D0BA0"/>
    <w:rsid w:val="004D0BD0"/>
    <w:rsid w:val="004D1D79"/>
    <w:rsid w:val="004D34C3"/>
    <w:rsid w:val="004D45C4"/>
    <w:rsid w:val="004D487B"/>
    <w:rsid w:val="004D4D09"/>
    <w:rsid w:val="004D5652"/>
    <w:rsid w:val="004D5792"/>
    <w:rsid w:val="004D6A43"/>
    <w:rsid w:val="004D7C59"/>
    <w:rsid w:val="004E02E5"/>
    <w:rsid w:val="004E15D4"/>
    <w:rsid w:val="004E16F7"/>
    <w:rsid w:val="004E2127"/>
    <w:rsid w:val="004E296C"/>
    <w:rsid w:val="004E2AE2"/>
    <w:rsid w:val="004E3A28"/>
    <w:rsid w:val="004E3C34"/>
    <w:rsid w:val="004E3C87"/>
    <w:rsid w:val="004E3CE1"/>
    <w:rsid w:val="004E41E2"/>
    <w:rsid w:val="004E55B7"/>
    <w:rsid w:val="004E56D9"/>
    <w:rsid w:val="004E5DCB"/>
    <w:rsid w:val="004E637C"/>
    <w:rsid w:val="004E662F"/>
    <w:rsid w:val="004E725F"/>
    <w:rsid w:val="004E790B"/>
    <w:rsid w:val="004E7D1F"/>
    <w:rsid w:val="004F0307"/>
    <w:rsid w:val="004F0C75"/>
    <w:rsid w:val="004F142E"/>
    <w:rsid w:val="004F1517"/>
    <w:rsid w:val="004F1523"/>
    <w:rsid w:val="004F2892"/>
    <w:rsid w:val="004F29DC"/>
    <w:rsid w:val="004F2DD5"/>
    <w:rsid w:val="004F38D3"/>
    <w:rsid w:val="004F3ECB"/>
    <w:rsid w:val="004F45A5"/>
    <w:rsid w:val="004F49AE"/>
    <w:rsid w:val="004F4D44"/>
    <w:rsid w:val="004F60F0"/>
    <w:rsid w:val="004F6534"/>
    <w:rsid w:val="004F6FCA"/>
    <w:rsid w:val="004F7292"/>
    <w:rsid w:val="004F7453"/>
    <w:rsid w:val="005005A1"/>
    <w:rsid w:val="00500B8C"/>
    <w:rsid w:val="0050150A"/>
    <w:rsid w:val="005016FD"/>
    <w:rsid w:val="005017CC"/>
    <w:rsid w:val="005027F1"/>
    <w:rsid w:val="00502B48"/>
    <w:rsid w:val="00502EEA"/>
    <w:rsid w:val="00503DD2"/>
    <w:rsid w:val="005048DA"/>
    <w:rsid w:val="00504C15"/>
    <w:rsid w:val="00504CCB"/>
    <w:rsid w:val="00505537"/>
    <w:rsid w:val="00506754"/>
    <w:rsid w:val="00506C1E"/>
    <w:rsid w:val="00506CCD"/>
    <w:rsid w:val="0050717B"/>
    <w:rsid w:val="00507647"/>
    <w:rsid w:val="0051007E"/>
    <w:rsid w:val="00510BB6"/>
    <w:rsid w:val="00511D79"/>
    <w:rsid w:val="0051305D"/>
    <w:rsid w:val="0051432D"/>
    <w:rsid w:val="005154AD"/>
    <w:rsid w:val="00515628"/>
    <w:rsid w:val="00515BE6"/>
    <w:rsid w:val="005160F6"/>
    <w:rsid w:val="005173B6"/>
    <w:rsid w:val="00520280"/>
    <w:rsid w:val="00520497"/>
    <w:rsid w:val="00520520"/>
    <w:rsid w:val="00520CEA"/>
    <w:rsid w:val="005213D0"/>
    <w:rsid w:val="00521423"/>
    <w:rsid w:val="005229B8"/>
    <w:rsid w:val="00523135"/>
    <w:rsid w:val="0052318E"/>
    <w:rsid w:val="00523C54"/>
    <w:rsid w:val="00523E78"/>
    <w:rsid w:val="00524020"/>
    <w:rsid w:val="0052466B"/>
    <w:rsid w:val="005248DE"/>
    <w:rsid w:val="00525D3A"/>
    <w:rsid w:val="005261D6"/>
    <w:rsid w:val="005262E7"/>
    <w:rsid w:val="00526A26"/>
    <w:rsid w:val="0053207B"/>
    <w:rsid w:val="00532381"/>
    <w:rsid w:val="005323FA"/>
    <w:rsid w:val="0053380D"/>
    <w:rsid w:val="00533837"/>
    <w:rsid w:val="00534688"/>
    <w:rsid w:val="00534A8F"/>
    <w:rsid w:val="00535A75"/>
    <w:rsid w:val="0053617F"/>
    <w:rsid w:val="005362E8"/>
    <w:rsid w:val="0053654A"/>
    <w:rsid w:val="00536689"/>
    <w:rsid w:val="00536855"/>
    <w:rsid w:val="00536872"/>
    <w:rsid w:val="00536D50"/>
    <w:rsid w:val="00536D89"/>
    <w:rsid w:val="00536F4A"/>
    <w:rsid w:val="00537C9C"/>
    <w:rsid w:val="0054163B"/>
    <w:rsid w:val="00542B31"/>
    <w:rsid w:val="00545239"/>
    <w:rsid w:val="005454E5"/>
    <w:rsid w:val="00546B8A"/>
    <w:rsid w:val="00546D05"/>
    <w:rsid w:val="00547244"/>
    <w:rsid w:val="00547933"/>
    <w:rsid w:val="005508AD"/>
    <w:rsid w:val="0055098D"/>
    <w:rsid w:val="00550B24"/>
    <w:rsid w:val="00550FD2"/>
    <w:rsid w:val="005513B4"/>
    <w:rsid w:val="00552031"/>
    <w:rsid w:val="005528E7"/>
    <w:rsid w:val="00553018"/>
    <w:rsid w:val="0055382B"/>
    <w:rsid w:val="0055412E"/>
    <w:rsid w:val="0055419D"/>
    <w:rsid w:val="0055583F"/>
    <w:rsid w:val="005573C1"/>
    <w:rsid w:val="00557817"/>
    <w:rsid w:val="00557A6F"/>
    <w:rsid w:val="00557ED9"/>
    <w:rsid w:val="005601C1"/>
    <w:rsid w:val="005603EF"/>
    <w:rsid w:val="00560A56"/>
    <w:rsid w:val="00560B40"/>
    <w:rsid w:val="00560CD8"/>
    <w:rsid w:val="005611CE"/>
    <w:rsid w:val="005612EC"/>
    <w:rsid w:val="00561575"/>
    <w:rsid w:val="005627B1"/>
    <w:rsid w:val="005631C0"/>
    <w:rsid w:val="00563B8A"/>
    <w:rsid w:val="0056408D"/>
    <w:rsid w:val="005651D0"/>
    <w:rsid w:val="00565220"/>
    <w:rsid w:val="00565370"/>
    <w:rsid w:val="00565470"/>
    <w:rsid w:val="005658E3"/>
    <w:rsid w:val="00565B06"/>
    <w:rsid w:val="00566941"/>
    <w:rsid w:val="00566DB4"/>
    <w:rsid w:val="005670F9"/>
    <w:rsid w:val="005672F2"/>
    <w:rsid w:val="005678DE"/>
    <w:rsid w:val="0056793E"/>
    <w:rsid w:val="00567C83"/>
    <w:rsid w:val="005700B8"/>
    <w:rsid w:val="0057024B"/>
    <w:rsid w:val="00570292"/>
    <w:rsid w:val="0057092B"/>
    <w:rsid w:val="0057110F"/>
    <w:rsid w:val="00571B2A"/>
    <w:rsid w:val="00572145"/>
    <w:rsid w:val="00572CE9"/>
    <w:rsid w:val="00573A2D"/>
    <w:rsid w:val="005749DA"/>
    <w:rsid w:val="005760B0"/>
    <w:rsid w:val="0057769E"/>
    <w:rsid w:val="00580435"/>
    <w:rsid w:val="005805B7"/>
    <w:rsid w:val="00580751"/>
    <w:rsid w:val="005812C5"/>
    <w:rsid w:val="00581990"/>
    <w:rsid w:val="0058223C"/>
    <w:rsid w:val="0058260F"/>
    <w:rsid w:val="00583EF1"/>
    <w:rsid w:val="005865CB"/>
    <w:rsid w:val="00586784"/>
    <w:rsid w:val="00586C4A"/>
    <w:rsid w:val="005871CB"/>
    <w:rsid w:val="00587424"/>
    <w:rsid w:val="005878DB"/>
    <w:rsid w:val="0058797B"/>
    <w:rsid w:val="00587E29"/>
    <w:rsid w:val="005927A5"/>
    <w:rsid w:val="00593039"/>
    <w:rsid w:val="005936F6"/>
    <w:rsid w:val="00593785"/>
    <w:rsid w:val="005938A2"/>
    <w:rsid w:val="005940FD"/>
    <w:rsid w:val="00595AA4"/>
    <w:rsid w:val="00595B4C"/>
    <w:rsid w:val="0059666A"/>
    <w:rsid w:val="00596851"/>
    <w:rsid w:val="0059713E"/>
    <w:rsid w:val="00597444"/>
    <w:rsid w:val="005A00B5"/>
    <w:rsid w:val="005A08EF"/>
    <w:rsid w:val="005A0AC7"/>
    <w:rsid w:val="005A0E6F"/>
    <w:rsid w:val="005A1051"/>
    <w:rsid w:val="005A16C7"/>
    <w:rsid w:val="005A299D"/>
    <w:rsid w:val="005A328B"/>
    <w:rsid w:val="005A3AC4"/>
    <w:rsid w:val="005A4B7F"/>
    <w:rsid w:val="005A5AC3"/>
    <w:rsid w:val="005A5B4C"/>
    <w:rsid w:val="005A5BE3"/>
    <w:rsid w:val="005A691E"/>
    <w:rsid w:val="005A6A43"/>
    <w:rsid w:val="005A6F87"/>
    <w:rsid w:val="005A70AD"/>
    <w:rsid w:val="005A797A"/>
    <w:rsid w:val="005B08E4"/>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775D"/>
    <w:rsid w:val="005B790D"/>
    <w:rsid w:val="005C0C8C"/>
    <w:rsid w:val="005C1213"/>
    <w:rsid w:val="005C1661"/>
    <w:rsid w:val="005C17AA"/>
    <w:rsid w:val="005C27A6"/>
    <w:rsid w:val="005C3507"/>
    <w:rsid w:val="005C373C"/>
    <w:rsid w:val="005C3DFA"/>
    <w:rsid w:val="005C4574"/>
    <w:rsid w:val="005C45D7"/>
    <w:rsid w:val="005C4AFE"/>
    <w:rsid w:val="005C5F92"/>
    <w:rsid w:val="005C684D"/>
    <w:rsid w:val="005C6997"/>
    <w:rsid w:val="005C7210"/>
    <w:rsid w:val="005C784C"/>
    <w:rsid w:val="005C786F"/>
    <w:rsid w:val="005C79C9"/>
    <w:rsid w:val="005C7AFE"/>
    <w:rsid w:val="005D02BA"/>
    <w:rsid w:val="005D04B6"/>
    <w:rsid w:val="005D0A54"/>
    <w:rsid w:val="005D0B56"/>
    <w:rsid w:val="005D0F20"/>
    <w:rsid w:val="005D10E6"/>
    <w:rsid w:val="005D1294"/>
    <w:rsid w:val="005D25F9"/>
    <w:rsid w:val="005D3885"/>
    <w:rsid w:val="005D3F38"/>
    <w:rsid w:val="005D500D"/>
    <w:rsid w:val="005D51FF"/>
    <w:rsid w:val="005D5CE7"/>
    <w:rsid w:val="005D6357"/>
    <w:rsid w:val="005D6D4B"/>
    <w:rsid w:val="005D70FE"/>
    <w:rsid w:val="005E0FBD"/>
    <w:rsid w:val="005E11B5"/>
    <w:rsid w:val="005E2AFF"/>
    <w:rsid w:val="005E3430"/>
    <w:rsid w:val="005E396E"/>
    <w:rsid w:val="005E477F"/>
    <w:rsid w:val="005E4D25"/>
    <w:rsid w:val="005E4DCC"/>
    <w:rsid w:val="005E5151"/>
    <w:rsid w:val="005E5214"/>
    <w:rsid w:val="005E5F08"/>
    <w:rsid w:val="005E658F"/>
    <w:rsid w:val="005E7885"/>
    <w:rsid w:val="005F0613"/>
    <w:rsid w:val="005F0850"/>
    <w:rsid w:val="005F0A72"/>
    <w:rsid w:val="005F0F9C"/>
    <w:rsid w:val="005F101C"/>
    <w:rsid w:val="005F12E1"/>
    <w:rsid w:val="005F184D"/>
    <w:rsid w:val="005F1F1F"/>
    <w:rsid w:val="005F1F64"/>
    <w:rsid w:val="005F29AA"/>
    <w:rsid w:val="005F2E3B"/>
    <w:rsid w:val="005F334D"/>
    <w:rsid w:val="005F38B1"/>
    <w:rsid w:val="005F3B90"/>
    <w:rsid w:val="005F3BC1"/>
    <w:rsid w:val="005F3D78"/>
    <w:rsid w:val="005F4276"/>
    <w:rsid w:val="005F4746"/>
    <w:rsid w:val="005F4791"/>
    <w:rsid w:val="005F4CCA"/>
    <w:rsid w:val="005F50F3"/>
    <w:rsid w:val="005F55C1"/>
    <w:rsid w:val="005F5C1E"/>
    <w:rsid w:val="005F5EAC"/>
    <w:rsid w:val="005F5FB6"/>
    <w:rsid w:val="005F6107"/>
    <w:rsid w:val="005F61AE"/>
    <w:rsid w:val="005F6F92"/>
    <w:rsid w:val="005F7C3B"/>
    <w:rsid w:val="005F7E8D"/>
    <w:rsid w:val="00600398"/>
    <w:rsid w:val="00600A90"/>
    <w:rsid w:val="00600DCD"/>
    <w:rsid w:val="0060129B"/>
    <w:rsid w:val="006017EB"/>
    <w:rsid w:val="006020AC"/>
    <w:rsid w:val="00602E24"/>
    <w:rsid w:val="00602E6A"/>
    <w:rsid w:val="006046C8"/>
    <w:rsid w:val="00604E35"/>
    <w:rsid w:val="0060528E"/>
    <w:rsid w:val="00605574"/>
    <w:rsid w:val="00606941"/>
    <w:rsid w:val="006072E7"/>
    <w:rsid w:val="00610901"/>
    <w:rsid w:val="0061131E"/>
    <w:rsid w:val="00611B2A"/>
    <w:rsid w:val="006122AE"/>
    <w:rsid w:val="006130AE"/>
    <w:rsid w:val="00613CB7"/>
    <w:rsid w:val="00613E1F"/>
    <w:rsid w:val="0061448D"/>
    <w:rsid w:val="00614C4F"/>
    <w:rsid w:val="00614DC7"/>
    <w:rsid w:val="00615AA2"/>
    <w:rsid w:val="00616395"/>
    <w:rsid w:val="0062044D"/>
    <w:rsid w:val="0062044E"/>
    <w:rsid w:val="00620606"/>
    <w:rsid w:val="00620639"/>
    <w:rsid w:val="00620EE7"/>
    <w:rsid w:val="00621018"/>
    <w:rsid w:val="0062169F"/>
    <w:rsid w:val="00621D10"/>
    <w:rsid w:val="006229C0"/>
    <w:rsid w:val="00622CB5"/>
    <w:rsid w:val="00623A30"/>
    <w:rsid w:val="0062476E"/>
    <w:rsid w:val="006248E6"/>
    <w:rsid w:val="00624EC6"/>
    <w:rsid w:val="0062534F"/>
    <w:rsid w:val="006270FF"/>
    <w:rsid w:val="006279E4"/>
    <w:rsid w:val="00627E13"/>
    <w:rsid w:val="00630222"/>
    <w:rsid w:val="00630459"/>
    <w:rsid w:val="00630F6F"/>
    <w:rsid w:val="00631505"/>
    <w:rsid w:val="00632245"/>
    <w:rsid w:val="0063225C"/>
    <w:rsid w:val="006323DD"/>
    <w:rsid w:val="006327BB"/>
    <w:rsid w:val="00632FD3"/>
    <w:rsid w:val="006335EF"/>
    <w:rsid w:val="006348C2"/>
    <w:rsid w:val="00634A4C"/>
    <w:rsid w:val="00634DE6"/>
    <w:rsid w:val="0063508F"/>
    <w:rsid w:val="006372BF"/>
    <w:rsid w:val="00637322"/>
    <w:rsid w:val="00637434"/>
    <w:rsid w:val="0063785D"/>
    <w:rsid w:val="0064055F"/>
    <w:rsid w:val="0064076F"/>
    <w:rsid w:val="00640CA8"/>
    <w:rsid w:val="006418E5"/>
    <w:rsid w:val="006421EA"/>
    <w:rsid w:val="00642772"/>
    <w:rsid w:val="00642ED3"/>
    <w:rsid w:val="006431C8"/>
    <w:rsid w:val="006439AE"/>
    <w:rsid w:val="006441C1"/>
    <w:rsid w:val="006446BC"/>
    <w:rsid w:val="0064578A"/>
    <w:rsid w:val="00645953"/>
    <w:rsid w:val="00646614"/>
    <w:rsid w:val="00646BC6"/>
    <w:rsid w:val="00646CCC"/>
    <w:rsid w:val="00646D03"/>
    <w:rsid w:val="00650445"/>
    <w:rsid w:val="00651109"/>
    <w:rsid w:val="006517A0"/>
    <w:rsid w:val="00651A1C"/>
    <w:rsid w:val="006536AF"/>
    <w:rsid w:val="00654230"/>
    <w:rsid w:val="00655371"/>
    <w:rsid w:val="00655DFD"/>
    <w:rsid w:val="006562D8"/>
    <w:rsid w:val="00656B2E"/>
    <w:rsid w:val="00656B88"/>
    <w:rsid w:val="00657332"/>
    <w:rsid w:val="00657C33"/>
    <w:rsid w:val="006605F9"/>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2890"/>
    <w:rsid w:val="00672B19"/>
    <w:rsid w:val="00673B1C"/>
    <w:rsid w:val="00674A59"/>
    <w:rsid w:val="00674C74"/>
    <w:rsid w:val="00675260"/>
    <w:rsid w:val="00675350"/>
    <w:rsid w:val="0067650E"/>
    <w:rsid w:val="00676E14"/>
    <w:rsid w:val="00676F2E"/>
    <w:rsid w:val="00677896"/>
    <w:rsid w:val="00677AAE"/>
    <w:rsid w:val="00677ABE"/>
    <w:rsid w:val="00677DB8"/>
    <w:rsid w:val="00680FCC"/>
    <w:rsid w:val="006811FF"/>
    <w:rsid w:val="00681B16"/>
    <w:rsid w:val="00681BF8"/>
    <w:rsid w:val="00681E6F"/>
    <w:rsid w:val="00682287"/>
    <w:rsid w:val="006822B5"/>
    <w:rsid w:val="00683102"/>
    <w:rsid w:val="0068317C"/>
    <w:rsid w:val="006832D6"/>
    <w:rsid w:val="00683CE9"/>
    <w:rsid w:val="006841BF"/>
    <w:rsid w:val="006845A4"/>
    <w:rsid w:val="00684DB1"/>
    <w:rsid w:val="006872CF"/>
    <w:rsid w:val="00687FB6"/>
    <w:rsid w:val="006914EA"/>
    <w:rsid w:val="00691B91"/>
    <w:rsid w:val="006925DD"/>
    <w:rsid w:val="006928AC"/>
    <w:rsid w:val="00692BB2"/>
    <w:rsid w:val="00692BFF"/>
    <w:rsid w:val="00693091"/>
    <w:rsid w:val="0069401A"/>
    <w:rsid w:val="006948AC"/>
    <w:rsid w:val="00694D39"/>
    <w:rsid w:val="006953CA"/>
    <w:rsid w:val="006954EC"/>
    <w:rsid w:val="006959D6"/>
    <w:rsid w:val="00695EC8"/>
    <w:rsid w:val="00696909"/>
    <w:rsid w:val="00697114"/>
    <w:rsid w:val="00697BC6"/>
    <w:rsid w:val="006A1B84"/>
    <w:rsid w:val="006A1FEF"/>
    <w:rsid w:val="006A27C2"/>
    <w:rsid w:val="006A2EBD"/>
    <w:rsid w:val="006A3009"/>
    <w:rsid w:val="006A3E7B"/>
    <w:rsid w:val="006A4D9B"/>
    <w:rsid w:val="006A6950"/>
    <w:rsid w:val="006A7210"/>
    <w:rsid w:val="006A757D"/>
    <w:rsid w:val="006A7B32"/>
    <w:rsid w:val="006B002A"/>
    <w:rsid w:val="006B130C"/>
    <w:rsid w:val="006B15F2"/>
    <w:rsid w:val="006B28B5"/>
    <w:rsid w:val="006B32C8"/>
    <w:rsid w:val="006B3A46"/>
    <w:rsid w:val="006B5301"/>
    <w:rsid w:val="006B698B"/>
    <w:rsid w:val="006B7C2C"/>
    <w:rsid w:val="006C1A19"/>
    <w:rsid w:val="006C221E"/>
    <w:rsid w:val="006C376B"/>
    <w:rsid w:val="006C4319"/>
    <w:rsid w:val="006C440B"/>
    <w:rsid w:val="006C453C"/>
    <w:rsid w:val="006C45C7"/>
    <w:rsid w:val="006C4881"/>
    <w:rsid w:val="006C4BC0"/>
    <w:rsid w:val="006C50E7"/>
    <w:rsid w:val="006C5C73"/>
    <w:rsid w:val="006C5DC3"/>
    <w:rsid w:val="006C616B"/>
    <w:rsid w:val="006C63FB"/>
    <w:rsid w:val="006C6D72"/>
    <w:rsid w:val="006D0115"/>
    <w:rsid w:val="006D0279"/>
    <w:rsid w:val="006D03DF"/>
    <w:rsid w:val="006D1327"/>
    <w:rsid w:val="006D1F03"/>
    <w:rsid w:val="006D1F8F"/>
    <w:rsid w:val="006D2971"/>
    <w:rsid w:val="006D2E24"/>
    <w:rsid w:val="006D38EB"/>
    <w:rsid w:val="006D4A4A"/>
    <w:rsid w:val="006D4ADB"/>
    <w:rsid w:val="006D4D36"/>
    <w:rsid w:val="006D6E79"/>
    <w:rsid w:val="006E017B"/>
    <w:rsid w:val="006E06A9"/>
    <w:rsid w:val="006E0888"/>
    <w:rsid w:val="006E097F"/>
    <w:rsid w:val="006E0E4A"/>
    <w:rsid w:val="006E1778"/>
    <w:rsid w:val="006E17B0"/>
    <w:rsid w:val="006E1A8C"/>
    <w:rsid w:val="006E2595"/>
    <w:rsid w:val="006E2694"/>
    <w:rsid w:val="006E2A1F"/>
    <w:rsid w:val="006E2A78"/>
    <w:rsid w:val="006E5500"/>
    <w:rsid w:val="006E58AF"/>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CF3"/>
    <w:rsid w:val="006F3059"/>
    <w:rsid w:val="006F3A64"/>
    <w:rsid w:val="006F5987"/>
    <w:rsid w:val="006F5F1A"/>
    <w:rsid w:val="006F6C67"/>
    <w:rsid w:val="006F6EB9"/>
    <w:rsid w:val="006F7078"/>
    <w:rsid w:val="00700222"/>
    <w:rsid w:val="007002FB"/>
    <w:rsid w:val="0070040B"/>
    <w:rsid w:val="007008C7"/>
    <w:rsid w:val="007008D0"/>
    <w:rsid w:val="00701188"/>
    <w:rsid w:val="0070137E"/>
    <w:rsid w:val="0070287D"/>
    <w:rsid w:val="00702DB9"/>
    <w:rsid w:val="00702E2E"/>
    <w:rsid w:val="00703F39"/>
    <w:rsid w:val="0070554F"/>
    <w:rsid w:val="00705942"/>
    <w:rsid w:val="00705AB2"/>
    <w:rsid w:val="0070619A"/>
    <w:rsid w:val="0070678A"/>
    <w:rsid w:val="00707173"/>
    <w:rsid w:val="007072F0"/>
    <w:rsid w:val="00707607"/>
    <w:rsid w:val="0071055F"/>
    <w:rsid w:val="0071095F"/>
    <w:rsid w:val="007118EB"/>
    <w:rsid w:val="00712C57"/>
    <w:rsid w:val="007136CC"/>
    <w:rsid w:val="00713902"/>
    <w:rsid w:val="00713B9A"/>
    <w:rsid w:val="00714281"/>
    <w:rsid w:val="00714BEF"/>
    <w:rsid w:val="007157C8"/>
    <w:rsid w:val="007161CE"/>
    <w:rsid w:val="00716B38"/>
    <w:rsid w:val="00717EE2"/>
    <w:rsid w:val="007206D3"/>
    <w:rsid w:val="00721BEF"/>
    <w:rsid w:val="00722055"/>
    <w:rsid w:val="007228F2"/>
    <w:rsid w:val="00722C23"/>
    <w:rsid w:val="007246ED"/>
    <w:rsid w:val="0072578A"/>
    <w:rsid w:val="00725A8D"/>
    <w:rsid w:val="00727851"/>
    <w:rsid w:val="00727B18"/>
    <w:rsid w:val="00727FA5"/>
    <w:rsid w:val="007314A9"/>
    <w:rsid w:val="007318E5"/>
    <w:rsid w:val="00731984"/>
    <w:rsid w:val="00733157"/>
    <w:rsid w:val="007333F4"/>
    <w:rsid w:val="00733EE3"/>
    <w:rsid w:val="00733F89"/>
    <w:rsid w:val="00734A03"/>
    <w:rsid w:val="007372F4"/>
    <w:rsid w:val="00737FDC"/>
    <w:rsid w:val="007400AC"/>
    <w:rsid w:val="007406F0"/>
    <w:rsid w:val="0074189A"/>
    <w:rsid w:val="00741BAA"/>
    <w:rsid w:val="00741E2A"/>
    <w:rsid w:val="007421DB"/>
    <w:rsid w:val="0074274E"/>
    <w:rsid w:val="00744BA5"/>
    <w:rsid w:val="0074528C"/>
    <w:rsid w:val="00745567"/>
    <w:rsid w:val="00745D02"/>
    <w:rsid w:val="00745D65"/>
    <w:rsid w:val="00745F54"/>
    <w:rsid w:val="007461D4"/>
    <w:rsid w:val="007463A4"/>
    <w:rsid w:val="00746C32"/>
    <w:rsid w:val="007473EE"/>
    <w:rsid w:val="00747802"/>
    <w:rsid w:val="00747E9F"/>
    <w:rsid w:val="00747F86"/>
    <w:rsid w:val="00750184"/>
    <w:rsid w:val="007520CE"/>
    <w:rsid w:val="00752414"/>
    <w:rsid w:val="00752573"/>
    <w:rsid w:val="00752A09"/>
    <w:rsid w:val="007548EC"/>
    <w:rsid w:val="00754B63"/>
    <w:rsid w:val="00756180"/>
    <w:rsid w:val="00756636"/>
    <w:rsid w:val="007566F3"/>
    <w:rsid w:val="00756BC6"/>
    <w:rsid w:val="00756F23"/>
    <w:rsid w:val="00757736"/>
    <w:rsid w:val="00757BB3"/>
    <w:rsid w:val="00760777"/>
    <w:rsid w:val="00762B3F"/>
    <w:rsid w:val="00762B7E"/>
    <w:rsid w:val="007637A9"/>
    <w:rsid w:val="00763B8B"/>
    <w:rsid w:val="0076417B"/>
    <w:rsid w:val="00764C92"/>
    <w:rsid w:val="007651DB"/>
    <w:rsid w:val="0076552A"/>
    <w:rsid w:val="007674EC"/>
    <w:rsid w:val="007675BE"/>
    <w:rsid w:val="0077012E"/>
    <w:rsid w:val="00770158"/>
    <w:rsid w:val="00770B56"/>
    <w:rsid w:val="00770EC4"/>
    <w:rsid w:val="007710A5"/>
    <w:rsid w:val="007717BF"/>
    <w:rsid w:val="0077225D"/>
    <w:rsid w:val="00772E28"/>
    <w:rsid w:val="007734C9"/>
    <w:rsid w:val="00773560"/>
    <w:rsid w:val="007736D0"/>
    <w:rsid w:val="007737B8"/>
    <w:rsid w:val="0077463A"/>
    <w:rsid w:val="007747D1"/>
    <w:rsid w:val="00776341"/>
    <w:rsid w:val="007767C3"/>
    <w:rsid w:val="00776BC9"/>
    <w:rsid w:val="00777325"/>
    <w:rsid w:val="0077786E"/>
    <w:rsid w:val="00777E53"/>
    <w:rsid w:val="007801E4"/>
    <w:rsid w:val="00780A67"/>
    <w:rsid w:val="00780A9A"/>
    <w:rsid w:val="00780AC7"/>
    <w:rsid w:val="00781105"/>
    <w:rsid w:val="007816AC"/>
    <w:rsid w:val="007817D3"/>
    <w:rsid w:val="0078183C"/>
    <w:rsid w:val="00781D05"/>
    <w:rsid w:val="007823ED"/>
    <w:rsid w:val="007838C6"/>
    <w:rsid w:val="007839AA"/>
    <w:rsid w:val="00783C5E"/>
    <w:rsid w:val="00784784"/>
    <w:rsid w:val="0078491B"/>
    <w:rsid w:val="00784D14"/>
    <w:rsid w:val="00784F1D"/>
    <w:rsid w:val="0078588F"/>
    <w:rsid w:val="00787636"/>
    <w:rsid w:val="00787B5A"/>
    <w:rsid w:val="007906B4"/>
    <w:rsid w:val="007916AA"/>
    <w:rsid w:val="007919DB"/>
    <w:rsid w:val="00791A91"/>
    <w:rsid w:val="007929EE"/>
    <w:rsid w:val="00792B92"/>
    <w:rsid w:val="00792E68"/>
    <w:rsid w:val="007930CD"/>
    <w:rsid w:val="00793F64"/>
    <w:rsid w:val="0079532A"/>
    <w:rsid w:val="00795D00"/>
    <w:rsid w:val="0079678C"/>
    <w:rsid w:val="00796F83"/>
    <w:rsid w:val="007972C6"/>
    <w:rsid w:val="00797CE7"/>
    <w:rsid w:val="007A0950"/>
    <w:rsid w:val="007A2176"/>
    <w:rsid w:val="007A2429"/>
    <w:rsid w:val="007A27C4"/>
    <w:rsid w:val="007A34D9"/>
    <w:rsid w:val="007A3771"/>
    <w:rsid w:val="007A39B7"/>
    <w:rsid w:val="007A3A5D"/>
    <w:rsid w:val="007A41EC"/>
    <w:rsid w:val="007A5446"/>
    <w:rsid w:val="007A5863"/>
    <w:rsid w:val="007A5F29"/>
    <w:rsid w:val="007A6883"/>
    <w:rsid w:val="007A6D85"/>
    <w:rsid w:val="007A6E92"/>
    <w:rsid w:val="007A7F00"/>
    <w:rsid w:val="007B06CC"/>
    <w:rsid w:val="007B1015"/>
    <w:rsid w:val="007B1A5C"/>
    <w:rsid w:val="007B3AB0"/>
    <w:rsid w:val="007B4168"/>
    <w:rsid w:val="007B433E"/>
    <w:rsid w:val="007B4AB9"/>
    <w:rsid w:val="007B5BF6"/>
    <w:rsid w:val="007B5C2D"/>
    <w:rsid w:val="007B7058"/>
    <w:rsid w:val="007B74E0"/>
    <w:rsid w:val="007B77EC"/>
    <w:rsid w:val="007B785D"/>
    <w:rsid w:val="007B7B20"/>
    <w:rsid w:val="007C164A"/>
    <w:rsid w:val="007C236F"/>
    <w:rsid w:val="007C2738"/>
    <w:rsid w:val="007C2746"/>
    <w:rsid w:val="007C2BCF"/>
    <w:rsid w:val="007C3645"/>
    <w:rsid w:val="007C429E"/>
    <w:rsid w:val="007C445E"/>
    <w:rsid w:val="007C4B10"/>
    <w:rsid w:val="007C56A9"/>
    <w:rsid w:val="007C5785"/>
    <w:rsid w:val="007C627E"/>
    <w:rsid w:val="007C6C74"/>
    <w:rsid w:val="007C76C8"/>
    <w:rsid w:val="007D03D2"/>
    <w:rsid w:val="007D0A66"/>
    <w:rsid w:val="007D27D9"/>
    <w:rsid w:val="007D2842"/>
    <w:rsid w:val="007D3061"/>
    <w:rsid w:val="007D376D"/>
    <w:rsid w:val="007D3BA1"/>
    <w:rsid w:val="007D401F"/>
    <w:rsid w:val="007D4F2C"/>
    <w:rsid w:val="007D5151"/>
    <w:rsid w:val="007D7383"/>
    <w:rsid w:val="007D7E2A"/>
    <w:rsid w:val="007E1113"/>
    <w:rsid w:val="007E155F"/>
    <w:rsid w:val="007E1BDD"/>
    <w:rsid w:val="007E20BA"/>
    <w:rsid w:val="007E28AC"/>
    <w:rsid w:val="007E2928"/>
    <w:rsid w:val="007E2C07"/>
    <w:rsid w:val="007E3350"/>
    <w:rsid w:val="007E3ABE"/>
    <w:rsid w:val="007E455D"/>
    <w:rsid w:val="007E467A"/>
    <w:rsid w:val="007E51A5"/>
    <w:rsid w:val="007E5E3C"/>
    <w:rsid w:val="007E65BE"/>
    <w:rsid w:val="007E69AB"/>
    <w:rsid w:val="007E6BB3"/>
    <w:rsid w:val="007F042F"/>
    <w:rsid w:val="007F081A"/>
    <w:rsid w:val="007F0A0A"/>
    <w:rsid w:val="007F1727"/>
    <w:rsid w:val="007F1B48"/>
    <w:rsid w:val="007F1D70"/>
    <w:rsid w:val="007F1E8C"/>
    <w:rsid w:val="007F2464"/>
    <w:rsid w:val="007F248C"/>
    <w:rsid w:val="007F3C2C"/>
    <w:rsid w:val="007F441B"/>
    <w:rsid w:val="007F5555"/>
    <w:rsid w:val="007F5AD1"/>
    <w:rsid w:val="007F5EF6"/>
    <w:rsid w:val="007F6A57"/>
    <w:rsid w:val="007F6BBF"/>
    <w:rsid w:val="007F6EAA"/>
    <w:rsid w:val="007F782D"/>
    <w:rsid w:val="00800136"/>
    <w:rsid w:val="00800575"/>
    <w:rsid w:val="00801CCA"/>
    <w:rsid w:val="00802783"/>
    <w:rsid w:val="0080290B"/>
    <w:rsid w:val="0080417F"/>
    <w:rsid w:val="008043A1"/>
    <w:rsid w:val="008045E4"/>
    <w:rsid w:val="008051C9"/>
    <w:rsid w:val="00806D25"/>
    <w:rsid w:val="008110DA"/>
    <w:rsid w:val="0081135B"/>
    <w:rsid w:val="00812EDE"/>
    <w:rsid w:val="0081304C"/>
    <w:rsid w:val="00813373"/>
    <w:rsid w:val="0081353E"/>
    <w:rsid w:val="00814CE6"/>
    <w:rsid w:val="00814F17"/>
    <w:rsid w:val="0081696A"/>
    <w:rsid w:val="00816EBB"/>
    <w:rsid w:val="008170CE"/>
    <w:rsid w:val="00817642"/>
    <w:rsid w:val="00821C08"/>
    <w:rsid w:val="00821D78"/>
    <w:rsid w:val="0082313D"/>
    <w:rsid w:val="00823153"/>
    <w:rsid w:val="008235A6"/>
    <w:rsid w:val="00823718"/>
    <w:rsid w:val="008240B3"/>
    <w:rsid w:val="00824186"/>
    <w:rsid w:val="008248CE"/>
    <w:rsid w:val="00826265"/>
    <w:rsid w:val="00826288"/>
    <w:rsid w:val="00826980"/>
    <w:rsid w:val="008277D5"/>
    <w:rsid w:val="008303D2"/>
    <w:rsid w:val="008313D1"/>
    <w:rsid w:val="008325BF"/>
    <w:rsid w:val="00832658"/>
    <w:rsid w:val="00832E14"/>
    <w:rsid w:val="00833150"/>
    <w:rsid w:val="00834231"/>
    <w:rsid w:val="008344B3"/>
    <w:rsid w:val="00834CEE"/>
    <w:rsid w:val="00834EA0"/>
    <w:rsid w:val="00835CAA"/>
    <w:rsid w:val="00836163"/>
    <w:rsid w:val="008368B9"/>
    <w:rsid w:val="008368E9"/>
    <w:rsid w:val="00837134"/>
    <w:rsid w:val="0083735B"/>
    <w:rsid w:val="0083787C"/>
    <w:rsid w:val="008378CA"/>
    <w:rsid w:val="00840131"/>
    <w:rsid w:val="008403BF"/>
    <w:rsid w:val="00840A7D"/>
    <w:rsid w:val="00841D48"/>
    <w:rsid w:val="00842CE2"/>
    <w:rsid w:val="0084355E"/>
    <w:rsid w:val="008439AB"/>
    <w:rsid w:val="00844042"/>
    <w:rsid w:val="008447D4"/>
    <w:rsid w:val="008464F6"/>
    <w:rsid w:val="00846FC6"/>
    <w:rsid w:val="0084736E"/>
    <w:rsid w:val="00847BDD"/>
    <w:rsid w:val="0085093E"/>
    <w:rsid w:val="00851BBA"/>
    <w:rsid w:val="0085254F"/>
    <w:rsid w:val="00852DE2"/>
    <w:rsid w:val="008540D0"/>
    <w:rsid w:val="00854918"/>
    <w:rsid w:val="008553AA"/>
    <w:rsid w:val="00855BAE"/>
    <w:rsid w:val="00856DFA"/>
    <w:rsid w:val="00857B23"/>
    <w:rsid w:val="0086027E"/>
    <w:rsid w:val="008603B7"/>
    <w:rsid w:val="00861681"/>
    <w:rsid w:val="00861B04"/>
    <w:rsid w:val="00863552"/>
    <w:rsid w:val="00863A44"/>
    <w:rsid w:val="00864042"/>
    <w:rsid w:val="00864B06"/>
    <w:rsid w:val="00865BC3"/>
    <w:rsid w:val="0086628D"/>
    <w:rsid w:val="008662A7"/>
    <w:rsid w:val="0086762E"/>
    <w:rsid w:val="00867691"/>
    <w:rsid w:val="00867E3B"/>
    <w:rsid w:val="00870161"/>
    <w:rsid w:val="00870708"/>
    <w:rsid w:val="00870782"/>
    <w:rsid w:val="008707B8"/>
    <w:rsid w:val="00871C82"/>
    <w:rsid w:val="008723AE"/>
    <w:rsid w:val="008726D6"/>
    <w:rsid w:val="008732ED"/>
    <w:rsid w:val="008733D7"/>
    <w:rsid w:val="008737F3"/>
    <w:rsid w:val="00873938"/>
    <w:rsid w:val="00873A79"/>
    <w:rsid w:val="00874D4F"/>
    <w:rsid w:val="00874DFA"/>
    <w:rsid w:val="008755B8"/>
    <w:rsid w:val="00875AAC"/>
    <w:rsid w:val="00875D0E"/>
    <w:rsid w:val="00875EFD"/>
    <w:rsid w:val="00876641"/>
    <w:rsid w:val="008771EE"/>
    <w:rsid w:val="0087737B"/>
    <w:rsid w:val="00877D5F"/>
    <w:rsid w:val="00880E16"/>
    <w:rsid w:val="00880F2B"/>
    <w:rsid w:val="00881330"/>
    <w:rsid w:val="008817D2"/>
    <w:rsid w:val="00881C8C"/>
    <w:rsid w:val="00882464"/>
    <w:rsid w:val="00882833"/>
    <w:rsid w:val="00882FC1"/>
    <w:rsid w:val="00883CEE"/>
    <w:rsid w:val="00883D25"/>
    <w:rsid w:val="00884A53"/>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4B07"/>
    <w:rsid w:val="00894D05"/>
    <w:rsid w:val="00894EE4"/>
    <w:rsid w:val="0089507F"/>
    <w:rsid w:val="00896C03"/>
    <w:rsid w:val="00896EFD"/>
    <w:rsid w:val="008974FE"/>
    <w:rsid w:val="00897F5D"/>
    <w:rsid w:val="008A01B8"/>
    <w:rsid w:val="008A0F38"/>
    <w:rsid w:val="008A1BF8"/>
    <w:rsid w:val="008A1E13"/>
    <w:rsid w:val="008A353B"/>
    <w:rsid w:val="008A54E7"/>
    <w:rsid w:val="008A5BDF"/>
    <w:rsid w:val="008A6A26"/>
    <w:rsid w:val="008A6BAF"/>
    <w:rsid w:val="008A6F28"/>
    <w:rsid w:val="008A7640"/>
    <w:rsid w:val="008A79A1"/>
    <w:rsid w:val="008B08A8"/>
    <w:rsid w:val="008B0934"/>
    <w:rsid w:val="008B09E4"/>
    <w:rsid w:val="008B0B15"/>
    <w:rsid w:val="008B10CB"/>
    <w:rsid w:val="008B17E9"/>
    <w:rsid w:val="008B1BA0"/>
    <w:rsid w:val="008B1E15"/>
    <w:rsid w:val="008B1E21"/>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3975"/>
    <w:rsid w:val="008C47BA"/>
    <w:rsid w:val="008C5185"/>
    <w:rsid w:val="008C55EB"/>
    <w:rsid w:val="008C67E5"/>
    <w:rsid w:val="008C6C0B"/>
    <w:rsid w:val="008C73C3"/>
    <w:rsid w:val="008C766F"/>
    <w:rsid w:val="008D0819"/>
    <w:rsid w:val="008D0859"/>
    <w:rsid w:val="008D14CF"/>
    <w:rsid w:val="008D2081"/>
    <w:rsid w:val="008D297A"/>
    <w:rsid w:val="008D2B08"/>
    <w:rsid w:val="008D35B1"/>
    <w:rsid w:val="008D4205"/>
    <w:rsid w:val="008D49C9"/>
    <w:rsid w:val="008D6020"/>
    <w:rsid w:val="008D63E9"/>
    <w:rsid w:val="008D6BBC"/>
    <w:rsid w:val="008D7455"/>
    <w:rsid w:val="008D74D0"/>
    <w:rsid w:val="008D74EB"/>
    <w:rsid w:val="008D7BCB"/>
    <w:rsid w:val="008E0C42"/>
    <w:rsid w:val="008E1494"/>
    <w:rsid w:val="008E15EA"/>
    <w:rsid w:val="008E1B5A"/>
    <w:rsid w:val="008E2F74"/>
    <w:rsid w:val="008E3532"/>
    <w:rsid w:val="008E3E3E"/>
    <w:rsid w:val="008E4681"/>
    <w:rsid w:val="008E5216"/>
    <w:rsid w:val="008E68A7"/>
    <w:rsid w:val="008E728C"/>
    <w:rsid w:val="008E7327"/>
    <w:rsid w:val="008E78BF"/>
    <w:rsid w:val="008F03CC"/>
    <w:rsid w:val="008F087E"/>
    <w:rsid w:val="008F189D"/>
    <w:rsid w:val="008F1B54"/>
    <w:rsid w:val="008F255D"/>
    <w:rsid w:val="008F2853"/>
    <w:rsid w:val="008F2EDB"/>
    <w:rsid w:val="008F3209"/>
    <w:rsid w:val="008F3A03"/>
    <w:rsid w:val="008F3FDD"/>
    <w:rsid w:val="008F702F"/>
    <w:rsid w:val="008F70E1"/>
    <w:rsid w:val="008F735D"/>
    <w:rsid w:val="008F78C0"/>
    <w:rsid w:val="009012A5"/>
    <w:rsid w:val="00901A8A"/>
    <w:rsid w:val="0090208D"/>
    <w:rsid w:val="009024C4"/>
    <w:rsid w:val="009029DE"/>
    <w:rsid w:val="0090316E"/>
    <w:rsid w:val="009032CC"/>
    <w:rsid w:val="0090353B"/>
    <w:rsid w:val="009040EB"/>
    <w:rsid w:val="009045E3"/>
    <w:rsid w:val="00905267"/>
    <w:rsid w:val="0090627F"/>
    <w:rsid w:val="0090766A"/>
    <w:rsid w:val="00907B64"/>
    <w:rsid w:val="009101A1"/>
    <w:rsid w:val="0091055F"/>
    <w:rsid w:val="009115D6"/>
    <w:rsid w:val="00912AAC"/>
    <w:rsid w:val="00913442"/>
    <w:rsid w:val="00913CB2"/>
    <w:rsid w:val="00913E0F"/>
    <w:rsid w:val="00915D22"/>
    <w:rsid w:val="00915ECE"/>
    <w:rsid w:val="0091610D"/>
    <w:rsid w:val="009163AD"/>
    <w:rsid w:val="009166B8"/>
    <w:rsid w:val="00916B30"/>
    <w:rsid w:val="00916EFB"/>
    <w:rsid w:val="009201EE"/>
    <w:rsid w:val="009209BD"/>
    <w:rsid w:val="009212C2"/>
    <w:rsid w:val="00921361"/>
    <w:rsid w:val="0092191C"/>
    <w:rsid w:val="00922464"/>
    <w:rsid w:val="00922D98"/>
    <w:rsid w:val="00923600"/>
    <w:rsid w:val="0092394D"/>
    <w:rsid w:val="00923AB8"/>
    <w:rsid w:val="00923AC1"/>
    <w:rsid w:val="00923BAC"/>
    <w:rsid w:val="00923E46"/>
    <w:rsid w:val="00923E7D"/>
    <w:rsid w:val="00925FA1"/>
    <w:rsid w:val="00926019"/>
    <w:rsid w:val="00926A42"/>
    <w:rsid w:val="0092700E"/>
    <w:rsid w:val="009276B1"/>
    <w:rsid w:val="009301AE"/>
    <w:rsid w:val="0093039C"/>
    <w:rsid w:val="00930F58"/>
    <w:rsid w:val="00932182"/>
    <w:rsid w:val="00932A54"/>
    <w:rsid w:val="00932C21"/>
    <w:rsid w:val="00933057"/>
    <w:rsid w:val="009333DA"/>
    <w:rsid w:val="0093379B"/>
    <w:rsid w:val="00933B5D"/>
    <w:rsid w:val="00933BE8"/>
    <w:rsid w:val="00933C65"/>
    <w:rsid w:val="00933CA9"/>
    <w:rsid w:val="00934CDB"/>
    <w:rsid w:val="00935728"/>
    <w:rsid w:val="00936B38"/>
    <w:rsid w:val="00936B7E"/>
    <w:rsid w:val="00937046"/>
    <w:rsid w:val="009370FF"/>
    <w:rsid w:val="009375FD"/>
    <w:rsid w:val="00937911"/>
    <w:rsid w:val="00941CE3"/>
    <w:rsid w:val="00942B91"/>
    <w:rsid w:val="00943A37"/>
    <w:rsid w:val="00944258"/>
    <w:rsid w:val="00944518"/>
    <w:rsid w:val="00944F09"/>
    <w:rsid w:val="0094537C"/>
    <w:rsid w:val="00945899"/>
    <w:rsid w:val="009460D9"/>
    <w:rsid w:val="00946B3E"/>
    <w:rsid w:val="00946D21"/>
    <w:rsid w:val="009474A0"/>
    <w:rsid w:val="00947B58"/>
    <w:rsid w:val="00947ECA"/>
    <w:rsid w:val="00950865"/>
    <w:rsid w:val="00950C35"/>
    <w:rsid w:val="00951444"/>
    <w:rsid w:val="00951816"/>
    <w:rsid w:val="0095273E"/>
    <w:rsid w:val="00952C40"/>
    <w:rsid w:val="00953589"/>
    <w:rsid w:val="009535F6"/>
    <w:rsid w:val="00953A15"/>
    <w:rsid w:val="00954DB3"/>
    <w:rsid w:val="00955755"/>
    <w:rsid w:val="00956091"/>
    <w:rsid w:val="009564B0"/>
    <w:rsid w:val="00957D5A"/>
    <w:rsid w:val="0096023A"/>
    <w:rsid w:val="009602F2"/>
    <w:rsid w:val="0096059E"/>
    <w:rsid w:val="00960F4B"/>
    <w:rsid w:val="0096139B"/>
    <w:rsid w:val="00961AFF"/>
    <w:rsid w:val="009634B8"/>
    <w:rsid w:val="0096394B"/>
    <w:rsid w:val="00963ED8"/>
    <w:rsid w:val="009640D3"/>
    <w:rsid w:val="00964D5A"/>
    <w:rsid w:val="00965C2C"/>
    <w:rsid w:val="00966078"/>
    <w:rsid w:val="00966CA6"/>
    <w:rsid w:val="00970C34"/>
    <w:rsid w:val="0097102C"/>
    <w:rsid w:val="00972702"/>
    <w:rsid w:val="0097275B"/>
    <w:rsid w:val="0097285E"/>
    <w:rsid w:val="00972ED7"/>
    <w:rsid w:val="00973519"/>
    <w:rsid w:val="00973A11"/>
    <w:rsid w:val="0097578C"/>
    <w:rsid w:val="0097581D"/>
    <w:rsid w:val="00975B95"/>
    <w:rsid w:val="00976CE7"/>
    <w:rsid w:val="00976F30"/>
    <w:rsid w:val="00976F92"/>
    <w:rsid w:val="00977563"/>
    <w:rsid w:val="00977A76"/>
    <w:rsid w:val="00980019"/>
    <w:rsid w:val="009804CB"/>
    <w:rsid w:val="009806F1"/>
    <w:rsid w:val="009811F7"/>
    <w:rsid w:val="0098199C"/>
    <w:rsid w:val="00982F14"/>
    <w:rsid w:val="00983CFE"/>
    <w:rsid w:val="009842DC"/>
    <w:rsid w:val="0098438F"/>
    <w:rsid w:val="00984EEA"/>
    <w:rsid w:val="00984FC0"/>
    <w:rsid w:val="0098554F"/>
    <w:rsid w:val="009855AE"/>
    <w:rsid w:val="00985667"/>
    <w:rsid w:val="00986287"/>
    <w:rsid w:val="009875FA"/>
    <w:rsid w:val="0098764F"/>
    <w:rsid w:val="0098784D"/>
    <w:rsid w:val="009878CD"/>
    <w:rsid w:val="00987C93"/>
    <w:rsid w:val="00987E21"/>
    <w:rsid w:val="00987EA5"/>
    <w:rsid w:val="0099023B"/>
    <w:rsid w:val="009909C3"/>
    <w:rsid w:val="00991216"/>
    <w:rsid w:val="00991349"/>
    <w:rsid w:val="00991354"/>
    <w:rsid w:val="009913D2"/>
    <w:rsid w:val="00991A65"/>
    <w:rsid w:val="00992415"/>
    <w:rsid w:val="009924AE"/>
    <w:rsid w:val="009934BD"/>
    <w:rsid w:val="009935C1"/>
    <w:rsid w:val="00993943"/>
    <w:rsid w:val="00993F01"/>
    <w:rsid w:val="00994035"/>
    <w:rsid w:val="0099441A"/>
    <w:rsid w:val="0099476D"/>
    <w:rsid w:val="009960CC"/>
    <w:rsid w:val="00996724"/>
    <w:rsid w:val="00996779"/>
    <w:rsid w:val="009A0607"/>
    <w:rsid w:val="009A357E"/>
    <w:rsid w:val="009A368D"/>
    <w:rsid w:val="009A3D96"/>
    <w:rsid w:val="009A3E02"/>
    <w:rsid w:val="009A4829"/>
    <w:rsid w:val="009A4ACF"/>
    <w:rsid w:val="009A621B"/>
    <w:rsid w:val="009A6ECD"/>
    <w:rsid w:val="009A6EFC"/>
    <w:rsid w:val="009A7E33"/>
    <w:rsid w:val="009B0780"/>
    <w:rsid w:val="009B11D0"/>
    <w:rsid w:val="009B13CF"/>
    <w:rsid w:val="009B16B7"/>
    <w:rsid w:val="009B21D3"/>
    <w:rsid w:val="009B2D7F"/>
    <w:rsid w:val="009B2E9F"/>
    <w:rsid w:val="009B2EB9"/>
    <w:rsid w:val="009B414C"/>
    <w:rsid w:val="009B41C6"/>
    <w:rsid w:val="009B498F"/>
    <w:rsid w:val="009B51AF"/>
    <w:rsid w:val="009B53E1"/>
    <w:rsid w:val="009B5586"/>
    <w:rsid w:val="009B5934"/>
    <w:rsid w:val="009B5EB5"/>
    <w:rsid w:val="009B6EEB"/>
    <w:rsid w:val="009B7205"/>
    <w:rsid w:val="009B72F3"/>
    <w:rsid w:val="009B737A"/>
    <w:rsid w:val="009B7639"/>
    <w:rsid w:val="009B77EE"/>
    <w:rsid w:val="009B7F81"/>
    <w:rsid w:val="009C0449"/>
    <w:rsid w:val="009C04C6"/>
    <w:rsid w:val="009C0C34"/>
    <w:rsid w:val="009C0E53"/>
    <w:rsid w:val="009C13F5"/>
    <w:rsid w:val="009C14DE"/>
    <w:rsid w:val="009C20F0"/>
    <w:rsid w:val="009C336E"/>
    <w:rsid w:val="009C3B4C"/>
    <w:rsid w:val="009C4C7E"/>
    <w:rsid w:val="009C5240"/>
    <w:rsid w:val="009C566F"/>
    <w:rsid w:val="009C56FC"/>
    <w:rsid w:val="009C5ABE"/>
    <w:rsid w:val="009C6600"/>
    <w:rsid w:val="009C690C"/>
    <w:rsid w:val="009C70A3"/>
    <w:rsid w:val="009C72E1"/>
    <w:rsid w:val="009C7776"/>
    <w:rsid w:val="009C7BEF"/>
    <w:rsid w:val="009D02B7"/>
    <w:rsid w:val="009D2726"/>
    <w:rsid w:val="009D2834"/>
    <w:rsid w:val="009D4FAE"/>
    <w:rsid w:val="009D7292"/>
    <w:rsid w:val="009E0B58"/>
    <w:rsid w:val="009E147D"/>
    <w:rsid w:val="009E17C0"/>
    <w:rsid w:val="009E1BC1"/>
    <w:rsid w:val="009E1BF4"/>
    <w:rsid w:val="009E1F8D"/>
    <w:rsid w:val="009E2020"/>
    <w:rsid w:val="009E21C8"/>
    <w:rsid w:val="009E27AA"/>
    <w:rsid w:val="009E2A3E"/>
    <w:rsid w:val="009E4219"/>
    <w:rsid w:val="009E431F"/>
    <w:rsid w:val="009E47C1"/>
    <w:rsid w:val="009E4F4F"/>
    <w:rsid w:val="009E501C"/>
    <w:rsid w:val="009E521F"/>
    <w:rsid w:val="009E56E2"/>
    <w:rsid w:val="009E5CBF"/>
    <w:rsid w:val="009E621E"/>
    <w:rsid w:val="009E6BBC"/>
    <w:rsid w:val="009F0826"/>
    <w:rsid w:val="009F15A7"/>
    <w:rsid w:val="009F1638"/>
    <w:rsid w:val="009F19E1"/>
    <w:rsid w:val="009F200C"/>
    <w:rsid w:val="009F210D"/>
    <w:rsid w:val="009F287D"/>
    <w:rsid w:val="009F3454"/>
    <w:rsid w:val="009F3BBB"/>
    <w:rsid w:val="009F44FF"/>
    <w:rsid w:val="009F50E1"/>
    <w:rsid w:val="009F57EC"/>
    <w:rsid w:val="009F68AA"/>
    <w:rsid w:val="009F695B"/>
    <w:rsid w:val="009F6F83"/>
    <w:rsid w:val="00A0011F"/>
    <w:rsid w:val="00A00A2A"/>
    <w:rsid w:val="00A02D8B"/>
    <w:rsid w:val="00A02DDE"/>
    <w:rsid w:val="00A0317A"/>
    <w:rsid w:val="00A035A2"/>
    <w:rsid w:val="00A0362D"/>
    <w:rsid w:val="00A037BD"/>
    <w:rsid w:val="00A0384A"/>
    <w:rsid w:val="00A03C44"/>
    <w:rsid w:val="00A041E4"/>
    <w:rsid w:val="00A045F2"/>
    <w:rsid w:val="00A06BDD"/>
    <w:rsid w:val="00A07308"/>
    <w:rsid w:val="00A07345"/>
    <w:rsid w:val="00A07D1C"/>
    <w:rsid w:val="00A07F05"/>
    <w:rsid w:val="00A10993"/>
    <w:rsid w:val="00A112F0"/>
    <w:rsid w:val="00A11DD5"/>
    <w:rsid w:val="00A1544B"/>
    <w:rsid w:val="00A1659E"/>
    <w:rsid w:val="00A16FAC"/>
    <w:rsid w:val="00A178A9"/>
    <w:rsid w:val="00A17D48"/>
    <w:rsid w:val="00A20927"/>
    <w:rsid w:val="00A21479"/>
    <w:rsid w:val="00A21640"/>
    <w:rsid w:val="00A21747"/>
    <w:rsid w:val="00A2188E"/>
    <w:rsid w:val="00A224F8"/>
    <w:rsid w:val="00A22832"/>
    <w:rsid w:val="00A22AB4"/>
    <w:rsid w:val="00A23FB0"/>
    <w:rsid w:val="00A241BD"/>
    <w:rsid w:val="00A251F4"/>
    <w:rsid w:val="00A26358"/>
    <w:rsid w:val="00A26652"/>
    <w:rsid w:val="00A26AC9"/>
    <w:rsid w:val="00A277E4"/>
    <w:rsid w:val="00A27A5F"/>
    <w:rsid w:val="00A30167"/>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0D54"/>
    <w:rsid w:val="00A41276"/>
    <w:rsid w:val="00A4136F"/>
    <w:rsid w:val="00A41873"/>
    <w:rsid w:val="00A41B6D"/>
    <w:rsid w:val="00A41E6E"/>
    <w:rsid w:val="00A41F5A"/>
    <w:rsid w:val="00A421B9"/>
    <w:rsid w:val="00A42493"/>
    <w:rsid w:val="00A43592"/>
    <w:rsid w:val="00A43D18"/>
    <w:rsid w:val="00A43F1F"/>
    <w:rsid w:val="00A44262"/>
    <w:rsid w:val="00A44CBD"/>
    <w:rsid w:val="00A5139A"/>
    <w:rsid w:val="00A52F63"/>
    <w:rsid w:val="00A5436E"/>
    <w:rsid w:val="00A54D38"/>
    <w:rsid w:val="00A550AE"/>
    <w:rsid w:val="00A559C9"/>
    <w:rsid w:val="00A564D4"/>
    <w:rsid w:val="00A56BA0"/>
    <w:rsid w:val="00A57F14"/>
    <w:rsid w:val="00A600ED"/>
    <w:rsid w:val="00A6080C"/>
    <w:rsid w:val="00A61E0B"/>
    <w:rsid w:val="00A6224B"/>
    <w:rsid w:val="00A623BD"/>
    <w:rsid w:val="00A62A82"/>
    <w:rsid w:val="00A6368B"/>
    <w:rsid w:val="00A63B46"/>
    <w:rsid w:val="00A64D8F"/>
    <w:rsid w:val="00A65040"/>
    <w:rsid w:val="00A651BE"/>
    <w:rsid w:val="00A66666"/>
    <w:rsid w:val="00A677E0"/>
    <w:rsid w:val="00A67840"/>
    <w:rsid w:val="00A67966"/>
    <w:rsid w:val="00A70383"/>
    <w:rsid w:val="00A70393"/>
    <w:rsid w:val="00A719AE"/>
    <w:rsid w:val="00A734B1"/>
    <w:rsid w:val="00A74588"/>
    <w:rsid w:val="00A75216"/>
    <w:rsid w:val="00A75999"/>
    <w:rsid w:val="00A75A90"/>
    <w:rsid w:val="00A767C9"/>
    <w:rsid w:val="00A7699E"/>
    <w:rsid w:val="00A769AD"/>
    <w:rsid w:val="00A76DAA"/>
    <w:rsid w:val="00A76F0D"/>
    <w:rsid w:val="00A80636"/>
    <w:rsid w:val="00A80866"/>
    <w:rsid w:val="00A8105D"/>
    <w:rsid w:val="00A811E4"/>
    <w:rsid w:val="00A824FE"/>
    <w:rsid w:val="00A82727"/>
    <w:rsid w:val="00A850D2"/>
    <w:rsid w:val="00A856A7"/>
    <w:rsid w:val="00A85E75"/>
    <w:rsid w:val="00A86002"/>
    <w:rsid w:val="00A86104"/>
    <w:rsid w:val="00A86836"/>
    <w:rsid w:val="00A8687B"/>
    <w:rsid w:val="00A87773"/>
    <w:rsid w:val="00A877E2"/>
    <w:rsid w:val="00A87C20"/>
    <w:rsid w:val="00A90992"/>
    <w:rsid w:val="00A90C4D"/>
    <w:rsid w:val="00A918BA"/>
    <w:rsid w:val="00A92ACF"/>
    <w:rsid w:val="00A92CE3"/>
    <w:rsid w:val="00A93317"/>
    <w:rsid w:val="00A93F88"/>
    <w:rsid w:val="00A94055"/>
    <w:rsid w:val="00A94056"/>
    <w:rsid w:val="00A94231"/>
    <w:rsid w:val="00A94B5C"/>
    <w:rsid w:val="00A9529C"/>
    <w:rsid w:val="00A9558D"/>
    <w:rsid w:val="00A9577C"/>
    <w:rsid w:val="00A95D47"/>
    <w:rsid w:val="00A964CC"/>
    <w:rsid w:val="00A964D0"/>
    <w:rsid w:val="00A9697D"/>
    <w:rsid w:val="00A97928"/>
    <w:rsid w:val="00A97D17"/>
    <w:rsid w:val="00AA038F"/>
    <w:rsid w:val="00AA04CA"/>
    <w:rsid w:val="00AA0EB9"/>
    <w:rsid w:val="00AA13A3"/>
    <w:rsid w:val="00AA18FB"/>
    <w:rsid w:val="00AA1FD0"/>
    <w:rsid w:val="00AA2110"/>
    <w:rsid w:val="00AA2C69"/>
    <w:rsid w:val="00AA32CE"/>
    <w:rsid w:val="00AA3660"/>
    <w:rsid w:val="00AA382B"/>
    <w:rsid w:val="00AA4549"/>
    <w:rsid w:val="00AA4601"/>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4868"/>
    <w:rsid w:val="00AB499B"/>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B88"/>
    <w:rsid w:val="00AC0E21"/>
    <w:rsid w:val="00AC2F81"/>
    <w:rsid w:val="00AC3332"/>
    <w:rsid w:val="00AC35F0"/>
    <w:rsid w:val="00AC3ADF"/>
    <w:rsid w:val="00AC3EF5"/>
    <w:rsid w:val="00AC48F4"/>
    <w:rsid w:val="00AC5317"/>
    <w:rsid w:val="00AC5EF6"/>
    <w:rsid w:val="00AC6587"/>
    <w:rsid w:val="00AC6E1C"/>
    <w:rsid w:val="00AC7E2C"/>
    <w:rsid w:val="00AD0218"/>
    <w:rsid w:val="00AD07F8"/>
    <w:rsid w:val="00AD0E73"/>
    <w:rsid w:val="00AD0F7B"/>
    <w:rsid w:val="00AD18A8"/>
    <w:rsid w:val="00AD1F9D"/>
    <w:rsid w:val="00AD29DB"/>
    <w:rsid w:val="00AD36A2"/>
    <w:rsid w:val="00AD3A1E"/>
    <w:rsid w:val="00AD3CEC"/>
    <w:rsid w:val="00AD44EF"/>
    <w:rsid w:val="00AD45C8"/>
    <w:rsid w:val="00AD4F49"/>
    <w:rsid w:val="00AD5E9A"/>
    <w:rsid w:val="00AD66DB"/>
    <w:rsid w:val="00AD6AA9"/>
    <w:rsid w:val="00AE0B1E"/>
    <w:rsid w:val="00AE233C"/>
    <w:rsid w:val="00AE2434"/>
    <w:rsid w:val="00AE26DB"/>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73EA"/>
    <w:rsid w:val="00B00CD6"/>
    <w:rsid w:val="00B00FD2"/>
    <w:rsid w:val="00B0227F"/>
    <w:rsid w:val="00B0344F"/>
    <w:rsid w:val="00B0354B"/>
    <w:rsid w:val="00B059A7"/>
    <w:rsid w:val="00B05BCF"/>
    <w:rsid w:val="00B061BF"/>
    <w:rsid w:val="00B06780"/>
    <w:rsid w:val="00B067C4"/>
    <w:rsid w:val="00B06DC0"/>
    <w:rsid w:val="00B073F1"/>
    <w:rsid w:val="00B07B9A"/>
    <w:rsid w:val="00B07DEC"/>
    <w:rsid w:val="00B07FEE"/>
    <w:rsid w:val="00B102FC"/>
    <w:rsid w:val="00B10A34"/>
    <w:rsid w:val="00B110F4"/>
    <w:rsid w:val="00B121E6"/>
    <w:rsid w:val="00B125D5"/>
    <w:rsid w:val="00B127D2"/>
    <w:rsid w:val="00B131C6"/>
    <w:rsid w:val="00B13282"/>
    <w:rsid w:val="00B13596"/>
    <w:rsid w:val="00B156D1"/>
    <w:rsid w:val="00B16429"/>
    <w:rsid w:val="00B16808"/>
    <w:rsid w:val="00B169A4"/>
    <w:rsid w:val="00B16D9A"/>
    <w:rsid w:val="00B20176"/>
    <w:rsid w:val="00B2055C"/>
    <w:rsid w:val="00B207D8"/>
    <w:rsid w:val="00B20C48"/>
    <w:rsid w:val="00B20D3C"/>
    <w:rsid w:val="00B21940"/>
    <w:rsid w:val="00B21C7D"/>
    <w:rsid w:val="00B22A72"/>
    <w:rsid w:val="00B22AC4"/>
    <w:rsid w:val="00B23174"/>
    <w:rsid w:val="00B24083"/>
    <w:rsid w:val="00B240A5"/>
    <w:rsid w:val="00B24F20"/>
    <w:rsid w:val="00B25DD6"/>
    <w:rsid w:val="00B26209"/>
    <w:rsid w:val="00B27215"/>
    <w:rsid w:val="00B27EA2"/>
    <w:rsid w:val="00B315DB"/>
    <w:rsid w:val="00B319A4"/>
    <w:rsid w:val="00B3204F"/>
    <w:rsid w:val="00B32984"/>
    <w:rsid w:val="00B337CA"/>
    <w:rsid w:val="00B33E86"/>
    <w:rsid w:val="00B3428E"/>
    <w:rsid w:val="00B34686"/>
    <w:rsid w:val="00B349AC"/>
    <w:rsid w:val="00B36577"/>
    <w:rsid w:val="00B36ED3"/>
    <w:rsid w:val="00B372A1"/>
    <w:rsid w:val="00B400DB"/>
    <w:rsid w:val="00B42F2E"/>
    <w:rsid w:val="00B43466"/>
    <w:rsid w:val="00B449D1"/>
    <w:rsid w:val="00B44C4F"/>
    <w:rsid w:val="00B45276"/>
    <w:rsid w:val="00B4541F"/>
    <w:rsid w:val="00B45583"/>
    <w:rsid w:val="00B45B7A"/>
    <w:rsid w:val="00B46195"/>
    <w:rsid w:val="00B46836"/>
    <w:rsid w:val="00B46B6A"/>
    <w:rsid w:val="00B46D80"/>
    <w:rsid w:val="00B47314"/>
    <w:rsid w:val="00B47CDE"/>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579"/>
    <w:rsid w:val="00B60FCB"/>
    <w:rsid w:val="00B61D17"/>
    <w:rsid w:val="00B63EE9"/>
    <w:rsid w:val="00B64E8F"/>
    <w:rsid w:val="00B6559F"/>
    <w:rsid w:val="00B6597A"/>
    <w:rsid w:val="00B65E65"/>
    <w:rsid w:val="00B66056"/>
    <w:rsid w:val="00B66127"/>
    <w:rsid w:val="00B6617F"/>
    <w:rsid w:val="00B667EB"/>
    <w:rsid w:val="00B66B42"/>
    <w:rsid w:val="00B67071"/>
    <w:rsid w:val="00B6719C"/>
    <w:rsid w:val="00B67E4B"/>
    <w:rsid w:val="00B70A84"/>
    <w:rsid w:val="00B71787"/>
    <w:rsid w:val="00B71B1C"/>
    <w:rsid w:val="00B71C39"/>
    <w:rsid w:val="00B721F6"/>
    <w:rsid w:val="00B731BB"/>
    <w:rsid w:val="00B734ED"/>
    <w:rsid w:val="00B73712"/>
    <w:rsid w:val="00B73A9E"/>
    <w:rsid w:val="00B74418"/>
    <w:rsid w:val="00B75816"/>
    <w:rsid w:val="00B759C0"/>
    <w:rsid w:val="00B775BA"/>
    <w:rsid w:val="00B80651"/>
    <w:rsid w:val="00B82842"/>
    <w:rsid w:val="00B84155"/>
    <w:rsid w:val="00B84431"/>
    <w:rsid w:val="00B853F9"/>
    <w:rsid w:val="00B85425"/>
    <w:rsid w:val="00B85762"/>
    <w:rsid w:val="00B85D59"/>
    <w:rsid w:val="00B863E2"/>
    <w:rsid w:val="00B86B25"/>
    <w:rsid w:val="00B86F02"/>
    <w:rsid w:val="00B87693"/>
    <w:rsid w:val="00B87DB4"/>
    <w:rsid w:val="00B904E4"/>
    <w:rsid w:val="00B905FC"/>
    <w:rsid w:val="00B90FE8"/>
    <w:rsid w:val="00B9204F"/>
    <w:rsid w:val="00B929CE"/>
    <w:rsid w:val="00B92FCF"/>
    <w:rsid w:val="00B93380"/>
    <w:rsid w:val="00B9444D"/>
    <w:rsid w:val="00B945FE"/>
    <w:rsid w:val="00B954F6"/>
    <w:rsid w:val="00B95A48"/>
    <w:rsid w:val="00B970A4"/>
    <w:rsid w:val="00B97855"/>
    <w:rsid w:val="00BA03DC"/>
    <w:rsid w:val="00BA061F"/>
    <w:rsid w:val="00BA079A"/>
    <w:rsid w:val="00BA277F"/>
    <w:rsid w:val="00BA2D7D"/>
    <w:rsid w:val="00BA3C8B"/>
    <w:rsid w:val="00BA4155"/>
    <w:rsid w:val="00BA4378"/>
    <w:rsid w:val="00BA5587"/>
    <w:rsid w:val="00BA6434"/>
    <w:rsid w:val="00BA66EA"/>
    <w:rsid w:val="00BA7346"/>
    <w:rsid w:val="00BA755A"/>
    <w:rsid w:val="00BA7BCA"/>
    <w:rsid w:val="00BA7D14"/>
    <w:rsid w:val="00BA7FD6"/>
    <w:rsid w:val="00BB0428"/>
    <w:rsid w:val="00BB05E7"/>
    <w:rsid w:val="00BB0621"/>
    <w:rsid w:val="00BB0DE4"/>
    <w:rsid w:val="00BB1E00"/>
    <w:rsid w:val="00BB1E03"/>
    <w:rsid w:val="00BB2E14"/>
    <w:rsid w:val="00BB2E88"/>
    <w:rsid w:val="00BB2FE2"/>
    <w:rsid w:val="00BB30CF"/>
    <w:rsid w:val="00BB4421"/>
    <w:rsid w:val="00BB4887"/>
    <w:rsid w:val="00BB55ED"/>
    <w:rsid w:val="00BC11E2"/>
    <w:rsid w:val="00BC1DCC"/>
    <w:rsid w:val="00BC26C0"/>
    <w:rsid w:val="00BC2FDB"/>
    <w:rsid w:val="00BC3215"/>
    <w:rsid w:val="00BC42AF"/>
    <w:rsid w:val="00BC4471"/>
    <w:rsid w:val="00BC4A30"/>
    <w:rsid w:val="00BC4A90"/>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49B"/>
    <w:rsid w:val="00BD398B"/>
    <w:rsid w:val="00BD3A56"/>
    <w:rsid w:val="00BD5A3D"/>
    <w:rsid w:val="00BD61A8"/>
    <w:rsid w:val="00BD6459"/>
    <w:rsid w:val="00BD6714"/>
    <w:rsid w:val="00BD6A05"/>
    <w:rsid w:val="00BD6DF0"/>
    <w:rsid w:val="00BD745F"/>
    <w:rsid w:val="00BE1064"/>
    <w:rsid w:val="00BE14F4"/>
    <w:rsid w:val="00BE1820"/>
    <w:rsid w:val="00BE1D76"/>
    <w:rsid w:val="00BE1D92"/>
    <w:rsid w:val="00BE287F"/>
    <w:rsid w:val="00BE2C6C"/>
    <w:rsid w:val="00BE34DB"/>
    <w:rsid w:val="00BE3CD6"/>
    <w:rsid w:val="00BE3D65"/>
    <w:rsid w:val="00BE5BC1"/>
    <w:rsid w:val="00BE62F1"/>
    <w:rsid w:val="00BE63A7"/>
    <w:rsid w:val="00BE6828"/>
    <w:rsid w:val="00BE68FA"/>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354"/>
    <w:rsid w:val="00C013C5"/>
    <w:rsid w:val="00C02AFC"/>
    <w:rsid w:val="00C043FD"/>
    <w:rsid w:val="00C0478B"/>
    <w:rsid w:val="00C047D6"/>
    <w:rsid w:val="00C04836"/>
    <w:rsid w:val="00C0489F"/>
    <w:rsid w:val="00C0490D"/>
    <w:rsid w:val="00C05234"/>
    <w:rsid w:val="00C052D3"/>
    <w:rsid w:val="00C05AD0"/>
    <w:rsid w:val="00C06502"/>
    <w:rsid w:val="00C065DD"/>
    <w:rsid w:val="00C06A90"/>
    <w:rsid w:val="00C06B2A"/>
    <w:rsid w:val="00C07078"/>
    <w:rsid w:val="00C0767A"/>
    <w:rsid w:val="00C1042D"/>
    <w:rsid w:val="00C11019"/>
    <w:rsid w:val="00C1162A"/>
    <w:rsid w:val="00C11A89"/>
    <w:rsid w:val="00C1223E"/>
    <w:rsid w:val="00C135C4"/>
    <w:rsid w:val="00C13D55"/>
    <w:rsid w:val="00C15312"/>
    <w:rsid w:val="00C15836"/>
    <w:rsid w:val="00C15EF3"/>
    <w:rsid w:val="00C171A0"/>
    <w:rsid w:val="00C1789C"/>
    <w:rsid w:val="00C17E85"/>
    <w:rsid w:val="00C20A03"/>
    <w:rsid w:val="00C2199F"/>
    <w:rsid w:val="00C21AFE"/>
    <w:rsid w:val="00C222FA"/>
    <w:rsid w:val="00C2243A"/>
    <w:rsid w:val="00C22D7C"/>
    <w:rsid w:val="00C22E37"/>
    <w:rsid w:val="00C2370D"/>
    <w:rsid w:val="00C24249"/>
    <w:rsid w:val="00C2518F"/>
    <w:rsid w:val="00C2627F"/>
    <w:rsid w:val="00C26FDC"/>
    <w:rsid w:val="00C27B79"/>
    <w:rsid w:val="00C3079D"/>
    <w:rsid w:val="00C30DA7"/>
    <w:rsid w:val="00C310A9"/>
    <w:rsid w:val="00C31837"/>
    <w:rsid w:val="00C31A2D"/>
    <w:rsid w:val="00C320FB"/>
    <w:rsid w:val="00C32173"/>
    <w:rsid w:val="00C322EE"/>
    <w:rsid w:val="00C328BF"/>
    <w:rsid w:val="00C3378A"/>
    <w:rsid w:val="00C34F6E"/>
    <w:rsid w:val="00C34FEB"/>
    <w:rsid w:val="00C357FE"/>
    <w:rsid w:val="00C35E23"/>
    <w:rsid w:val="00C364E8"/>
    <w:rsid w:val="00C378AD"/>
    <w:rsid w:val="00C40861"/>
    <w:rsid w:val="00C4131C"/>
    <w:rsid w:val="00C421C7"/>
    <w:rsid w:val="00C42572"/>
    <w:rsid w:val="00C42630"/>
    <w:rsid w:val="00C426F8"/>
    <w:rsid w:val="00C4304E"/>
    <w:rsid w:val="00C4350F"/>
    <w:rsid w:val="00C43B95"/>
    <w:rsid w:val="00C43D50"/>
    <w:rsid w:val="00C43F65"/>
    <w:rsid w:val="00C469E4"/>
    <w:rsid w:val="00C46BE6"/>
    <w:rsid w:val="00C47D80"/>
    <w:rsid w:val="00C47EC1"/>
    <w:rsid w:val="00C50EBA"/>
    <w:rsid w:val="00C5116C"/>
    <w:rsid w:val="00C5301F"/>
    <w:rsid w:val="00C5349E"/>
    <w:rsid w:val="00C538F8"/>
    <w:rsid w:val="00C53E0C"/>
    <w:rsid w:val="00C53FC9"/>
    <w:rsid w:val="00C5498C"/>
    <w:rsid w:val="00C55058"/>
    <w:rsid w:val="00C55175"/>
    <w:rsid w:val="00C552A6"/>
    <w:rsid w:val="00C559BF"/>
    <w:rsid w:val="00C55BC4"/>
    <w:rsid w:val="00C5730F"/>
    <w:rsid w:val="00C60154"/>
    <w:rsid w:val="00C60A1A"/>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DA3"/>
    <w:rsid w:val="00C72940"/>
    <w:rsid w:val="00C72B99"/>
    <w:rsid w:val="00C737C9"/>
    <w:rsid w:val="00C744B1"/>
    <w:rsid w:val="00C74E7A"/>
    <w:rsid w:val="00C7568D"/>
    <w:rsid w:val="00C75698"/>
    <w:rsid w:val="00C7651F"/>
    <w:rsid w:val="00C76659"/>
    <w:rsid w:val="00C76E2C"/>
    <w:rsid w:val="00C80780"/>
    <w:rsid w:val="00C80796"/>
    <w:rsid w:val="00C80907"/>
    <w:rsid w:val="00C81AF4"/>
    <w:rsid w:val="00C8201C"/>
    <w:rsid w:val="00C8246F"/>
    <w:rsid w:val="00C82E23"/>
    <w:rsid w:val="00C833AB"/>
    <w:rsid w:val="00C837F9"/>
    <w:rsid w:val="00C84170"/>
    <w:rsid w:val="00C85E21"/>
    <w:rsid w:val="00C86421"/>
    <w:rsid w:val="00C8708C"/>
    <w:rsid w:val="00C87547"/>
    <w:rsid w:val="00C9049F"/>
    <w:rsid w:val="00C905E1"/>
    <w:rsid w:val="00C93360"/>
    <w:rsid w:val="00C934A7"/>
    <w:rsid w:val="00C9600E"/>
    <w:rsid w:val="00C96730"/>
    <w:rsid w:val="00C967BD"/>
    <w:rsid w:val="00C96A9B"/>
    <w:rsid w:val="00C9767C"/>
    <w:rsid w:val="00C97F01"/>
    <w:rsid w:val="00CA052C"/>
    <w:rsid w:val="00CA098E"/>
    <w:rsid w:val="00CA0A19"/>
    <w:rsid w:val="00CA0F7C"/>
    <w:rsid w:val="00CA2649"/>
    <w:rsid w:val="00CA278C"/>
    <w:rsid w:val="00CA2991"/>
    <w:rsid w:val="00CA4A2B"/>
    <w:rsid w:val="00CA4A3D"/>
    <w:rsid w:val="00CA5D42"/>
    <w:rsid w:val="00CA666A"/>
    <w:rsid w:val="00CA79E2"/>
    <w:rsid w:val="00CB03D3"/>
    <w:rsid w:val="00CB0504"/>
    <w:rsid w:val="00CB1515"/>
    <w:rsid w:val="00CB164B"/>
    <w:rsid w:val="00CB1F8E"/>
    <w:rsid w:val="00CB270E"/>
    <w:rsid w:val="00CB2FBE"/>
    <w:rsid w:val="00CB33F8"/>
    <w:rsid w:val="00CB462C"/>
    <w:rsid w:val="00CB484E"/>
    <w:rsid w:val="00CB5900"/>
    <w:rsid w:val="00CB6519"/>
    <w:rsid w:val="00CB67D0"/>
    <w:rsid w:val="00CB6878"/>
    <w:rsid w:val="00CC03BA"/>
    <w:rsid w:val="00CC1386"/>
    <w:rsid w:val="00CC172C"/>
    <w:rsid w:val="00CC3AF2"/>
    <w:rsid w:val="00CC404B"/>
    <w:rsid w:val="00CC410F"/>
    <w:rsid w:val="00CC495D"/>
    <w:rsid w:val="00CC553D"/>
    <w:rsid w:val="00CC5721"/>
    <w:rsid w:val="00CC6292"/>
    <w:rsid w:val="00CC72CB"/>
    <w:rsid w:val="00CC7564"/>
    <w:rsid w:val="00CC79EA"/>
    <w:rsid w:val="00CD06C6"/>
    <w:rsid w:val="00CD0947"/>
    <w:rsid w:val="00CD0B5F"/>
    <w:rsid w:val="00CD115F"/>
    <w:rsid w:val="00CD153C"/>
    <w:rsid w:val="00CD1705"/>
    <w:rsid w:val="00CD1A26"/>
    <w:rsid w:val="00CD2219"/>
    <w:rsid w:val="00CD2DFE"/>
    <w:rsid w:val="00CD48D4"/>
    <w:rsid w:val="00CD4E71"/>
    <w:rsid w:val="00CD6A2E"/>
    <w:rsid w:val="00CD6F4C"/>
    <w:rsid w:val="00CE031A"/>
    <w:rsid w:val="00CE05F5"/>
    <w:rsid w:val="00CE0A30"/>
    <w:rsid w:val="00CE1DFF"/>
    <w:rsid w:val="00CE1F7F"/>
    <w:rsid w:val="00CE32B1"/>
    <w:rsid w:val="00CE32F8"/>
    <w:rsid w:val="00CE3300"/>
    <w:rsid w:val="00CE390B"/>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65A"/>
    <w:rsid w:val="00CF127D"/>
    <w:rsid w:val="00CF23B9"/>
    <w:rsid w:val="00CF278D"/>
    <w:rsid w:val="00CF35E8"/>
    <w:rsid w:val="00CF3EC8"/>
    <w:rsid w:val="00CF4189"/>
    <w:rsid w:val="00CF4334"/>
    <w:rsid w:val="00CF4402"/>
    <w:rsid w:val="00CF4569"/>
    <w:rsid w:val="00CF4888"/>
    <w:rsid w:val="00CF4F70"/>
    <w:rsid w:val="00CF60EC"/>
    <w:rsid w:val="00CF7E56"/>
    <w:rsid w:val="00D00492"/>
    <w:rsid w:val="00D00AA3"/>
    <w:rsid w:val="00D01014"/>
    <w:rsid w:val="00D018A0"/>
    <w:rsid w:val="00D01B90"/>
    <w:rsid w:val="00D01D34"/>
    <w:rsid w:val="00D0245F"/>
    <w:rsid w:val="00D0253F"/>
    <w:rsid w:val="00D02699"/>
    <w:rsid w:val="00D030AD"/>
    <w:rsid w:val="00D03D7B"/>
    <w:rsid w:val="00D04157"/>
    <w:rsid w:val="00D0433D"/>
    <w:rsid w:val="00D0490A"/>
    <w:rsid w:val="00D05068"/>
    <w:rsid w:val="00D05B1B"/>
    <w:rsid w:val="00D068E3"/>
    <w:rsid w:val="00D0764C"/>
    <w:rsid w:val="00D07F60"/>
    <w:rsid w:val="00D1088D"/>
    <w:rsid w:val="00D1117C"/>
    <w:rsid w:val="00D11238"/>
    <w:rsid w:val="00D11D67"/>
    <w:rsid w:val="00D12D17"/>
    <w:rsid w:val="00D12D91"/>
    <w:rsid w:val="00D135A5"/>
    <w:rsid w:val="00D1388C"/>
    <w:rsid w:val="00D13E42"/>
    <w:rsid w:val="00D145D4"/>
    <w:rsid w:val="00D15EEA"/>
    <w:rsid w:val="00D20BA9"/>
    <w:rsid w:val="00D22011"/>
    <w:rsid w:val="00D224E7"/>
    <w:rsid w:val="00D22FB3"/>
    <w:rsid w:val="00D236C2"/>
    <w:rsid w:val="00D23814"/>
    <w:rsid w:val="00D251AB"/>
    <w:rsid w:val="00D25292"/>
    <w:rsid w:val="00D25507"/>
    <w:rsid w:val="00D256E5"/>
    <w:rsid w:val="00D25A2C"/>
    <w:rsid w:val="00D26E1C"/>
    <w:rsid w:val="00D274D2"/>
    <w:rsid w:val="00D2786B"/>
    <w:rsid w:val="00D27D85"/>
    <w:rsid w:val="00D30D41"/>
    <w:rsid w:val="00D3122B"/>
    <w:rsid w:val="00D31B75"/>
    <w:rsid w:val="00D3201B"/>
    <w:rsid w:val="00D33326"/>
    <w:rsid w:val="00D347E9"/>
    <w:rsid w:val="00D34D53"/>
    <w:rsid w:val="00D34F0D"/>
    <w:rsid w:val="00D3532B"/>
    <w:rsid w:val="00D36388"/>
    <w:rsid w:val="00D364BC"/>
    <w:rsid w:val="00D37712"/>
    <w:rsid w:val="00D37D94"/>
    <w:rsid w:val="00D401FA"/>
    <w:rsid w:val="00D407CC"/>
    <w:rsid w:val="00D41146"/>
    <w:rsid w:val="00D417DB"/>
    <w:rsid w:val="00D418F4"/>
    <w:rsid w:val="00D42794"/>
    <w:rsid w:val="00D42ADB"/>
    <w:rsid w:val="00D42CDC"/>
    <w:rsid w:val="00D44575"/>
    <w:rsid w:val="00D44D89"/>
    <w:rsid w:val="00D44DCE"/>
    <w:rsid w:val="00D453A1"/>
    <w:rsid w:val="00D46546"/>
    <w:rsid w:val="00D46A00"/>
    <w:rsid w:val="00D46D25"/>
    <w:rsid w:val="00D516D3"/>
    <w:rsid w:val="00D517B4"/>
    <w:rsid w:val="00D518D2"/>
    <w:rsid w:val="00D52AB6"/>
    <w:rsid w:val="00D52D4B"/>
    <w:rsid w:val="00D5360A"/>
    <w:rsid w:val="00D53D03"/>
    <w:rsid w:val="00D540AB"/>
    <w:rsid w:val="00D54A42"/>
    <w:rsid w:val="00D56598"/>
    <w:rsid w:val="00D56C08"/>
    <w:rsid w:val="00D5764E"/>
    <w:rsid w:val="00D577D1"/>
    <w:rsid w:val="00D57A67"/>
    <w:rsid w:val="00D61112"/>
    <w:rsid w:val="00D62347"/>
    <w:rsid w:val="00D64D10"/>
    <w:rsid w:val="00D65856"/>
    <w:rsid w:val="00D66903"/>
    <w:rsid w:val="00D67422"/>
    <w:rsid w:val="00D708E2"/>
    <w:rsid w:val="00D70A0F"/>
    <w:rsid w:val="00D719E8"/>
    <w:rsid w:val="00D71AFB"/>
    <w:rsid w:val="00D723DA"/>
    <w:rsid w:val="00D7255C"/>
    <w:rsid w:val="00D72856"/>
    <w:rsid w:val="00D72E86"/>
    <w:rsid w:val="00D74F8F"/>
    <w:rsid w:val="00D75373"/>
    <w:rsid w:val="00D764A3"/>
    <w:rsid w:val="00D76BB7"/>
    <w:rsid w:val="00D80F3A"/>
    <w:rsid w:val="00D82BCE"/>
    <w:rsid w:val="00D82DA2"/>
    <w:rsid w:val="00D82E48"/>
    <w:rsid w:val="00D83DCA"/>
    <w:rsid w:val="00D844AB"/>
    <w:rsid w:val="00D851BB"/>
    <w:rsid w:val="00D8521D"/>
    <w:rsid w:val="00D861C2"/>
    <w:rsid w:val="00D86267"/>
    <w:rsid w:val="00D86582"/>
    <w:rsid w:val="00D86B73"/>
    <w:rsid w:val="00D87574"/>
    <w:rsid w:val="00D87C5D"/>
    <w:rsid w:val="00D908C0"/>
    <w:rsid w:val="00D90DA0"/>
    <w:rsid w:val="00D935C4"/>
    <w:rsid w:val="00D93896"/>
    <w:rsid w:val="00D9579F"/>
    <w:rsid w:val="00D95979"/>
    <w:rsid w:val="00D95C97"/>
    <w:rsid w:val="00D96DE2"/>
    <w:rsid w:val="00D97057"/>
    <w:rsid w:val="00D97559"/>
    <w:rsid w:val="00DA0229"/>
    <w:rsid w:val="00DA0897"/>
    <w:rsid w:val="00DA0A99"/>
    <w:rsid w:val="00DA15D2"/>
    <w:rsid w:val="00DA27B9"/>
    <w:rsid w:val="00DA29D1"/>
    <w:rsid w:val="00DA30D8"/>
    <w:rsid w:val="00DA3C65"/>
    <w:rsid w:val="00DA3CE0"/>
    <w:rsid w:val="00DA4E66"/>
    <w:rsid w:val="00DA4FA3"/>
    <w:rsid w:val="00DA5092"/>
    <w:rsid w:val="00DA6975"/>
    <w:rsid w:val="00DA6AC1"/>
    <w:rsid w:val="00DA7243"/>
    <w:rsid w:val="00DA77FA"/>
    <w:rsid w:val="00DA7D1C"/>
    <w:rsid w:val="00DB127E"/>
    <w:rsid w:val="00DB1C28"/>
    <w:rsid w:val="00DB288F"/>
    <w:rsid w:val="00DB2AAD"/>
    <w:rsid w:val="00DB3094"/>
    <w:rsid w:val="00DB3431"/>
    <w:rsid w:val="00DB3972"/>
    <w:rsid w:val="00DB3F40"/>
    <w:rsid w:val="00DB5EE3"/>
    <w:rsid w:val="00DB603C"/>
    <w:rsid w:val="00DB61C7"/>
    <w:rsid w:val="00DB6EF7"/>
    <w:rsid w:val="00DB7503"/>
    <w:rsid w:val="00DB7B4A"/>
    <w:rsid w:val="00DC0A31"/>
    <w:rsid w:val="00DC10CC"/>
    <w:rsid w:val="00DC215E"/>
    <w:rsid w:val="00DC2824"/>
    <w:rsid w:val="00DC28A9"/>
    <w:rsid w:val="00DC2B34"/>
    <w:rsid w:val="00DC2B56"/>
    <w:rsid w:val="00DC33C3"/>
    <w:rsid w:val="00DC3532"/>
    <w:rsid w:val="00DC3963"/>
    <w:rsid w:val="00DC3CAC"/>
    <w:rsid w:val="00DC44A5"/>
    <w:rsid w:val="00DC4707"/>
    <w:rsid w:val="00DC51B4"/>
    <w:rsid w:val="00DC5976"/>
    <w:rsid w:val="00DC61C5"/>
    <w:rsid w:val="00DC667E"/>
    <w:rsid w:val="00DC69A0"/>
    <w:rsid w:val="00DC7DAF"/>
    <w:rsid w:val="00DD0713"/>
    <w:rsid w:val="00DD1090"/>
    <w:rsid w:val="00DD1520"/>
    <w:rsid w:val="00DD157A"/>
    <w:rsid w:val="00DD1903"/>
    <w:rsid w:val="00DD1A3B"/>
    <w:rsid w:val="00DD2065"/>
    <w:rsid w:val="00DD2BEC"/>
    <w:rsid w:val="00DD3051"/>
    <w:rsid w:val="00DD3A56"/>
    <w:rsid w:val="00DD456D"/>
    <w:rsid w:val="00DD46CA"/>
    <w:rsid w:val="00DD5130"/>
    <w:rsid w:val="00DD5605"/>
    <w:rsid w:val="00DD5716"/>
    <w:rsid w:val="00DD5FBC"/>
    <w:rsid w:val="00DD64AD"/>
    <w:rsid w:val="00DD6BDA"/>
    <w:rsid w:val="00DD707A"/>
    <w:rsid w:val="00DD776F"/>
    <w:rsid w:val="00DD7F79"/>
    <w:rsid w:val="00DE0573"/>
    <w:rsid w:val="00DE27E3"/>
    <w:rsid w:val="00DE2840"/>
    <w:rsid w:val="00DE2A9B"/>
    <w:rsid w:val="00DE348F"/>
    <w:rsid w:val="00DE3907"/>
    <w:rsid w:val="00DE3A0D"/>
    <w:rsid w:val="00DE4ACE"/>
    <w:rsid w:val="00DE5120"/>
    <w:rsid w:val="00DE521C"/>
    <w:rsid w:val="00DE643A"/>
    <w:rsid w:val="00DE6590"/>
    <w:rsid w:val="00DE7AC1"/>
    <w:rsid w:val="00DF033F"/>
    <w:rsid w:val="00DF05AF"/>
    <w:rsid w:val="00DF11F1"/>
    <w:rsid w:val="00DF1DBD"/>
    <w:rsid w:val="00DF2899"/>
    <w:rsid w:val="00DF3E05"/>
    <w:rsid w:val="00DF3FF1"/>
    <w:rsid w:val="00DF422F"/>
    <w:rsid w:val="00DF4557"/>
    <w:rsid w:val="00DF5A06"/>
    <w:rsid w:val="00DF60D3"/>
    <w:rsid w:val="00DF7320"/>
    <w:rsid w:val="00DF7897"/>
    <w:rsid w:val="00DF7F27"/>
    <w:rsid w:val="00E00686"/>
    <w:rsid w:val="00E02B92"/>
    <w:rsid w:val="00E03753"/>
    <w:rsid w:val="00E05A52"/>
    <w:rsid w:val="00E06F82"/>
    <w:rsid w:val="00E07987"/>
    <w:rsid w:val="00E07ECB"/>
    <w:rsid w:val="00E10446"/>
    <w:rsid w:val="00E10AAD"/>
    <w:rsid w:val="00E114F8"/>
    <w:rsid w:val="00E11D41"/>
    <w:rsid w:val="00E12DF9"/>
    <w:rsid w:val="00E13002"/>
    <w:rsid w:val="00E1364B"/>
    <w:rsid w:val="00E13966"/>
    <w:rsid w:val="00E14140"/>
    <w:rsid w:val="00E144A9"/>
    <w:rsid w:val="00E14D66"/>
    <w:rsid w:val="00E16313"/>
    <w:rsid w:val="00E1744E"/>
    <w:rsid w:val="00E17F9D"/>
    <w:rsid w:val="00E2049B"/>
    <w:rsid w:val="00E205A9"/>
    <w:rsid w:val="00E2071B"/>
    <w:rsid w:val="00E20754"/>
    <w:rsid w:val="00E21725"/>
    <w:rsid w:val="00E22196"/>
    <w:rsid w:val="00E229AE"/>
    <w:rsid w:val="00E235FA"/>
    <w:rsid w:val="00E23D60"/>
    <w:rsid w:val="00E24871"/>
    <w:rsid w:val="00E24F99"/>
    <w:rsid w:val="00E25502"/>
    <w:rsid w:val="00E25653"/>
    <w:rsid w:val="00E257C1"/>
    <w:rsid w:val="00E25C8E"/>
    <w:rsid w:val="00E26760"/>
    <w:rsid w:val="00E27381"/>
    <w:rsid w:val="00E30406"/>
    <w:rsid w:val="00E30438"/>
    <w:rsid w:val="00E30BF9"/>
    <w:rsid w:val="00E313AD"/>
    <w:rsid w:val="00E31BD8"/>
    <w:rsid w:val="00E3245D"/>
    <w:rsid w:val="00E3246B"/>
    <w:rsid w:val="00E325D8"/>
    <w:rsid w:val="00E328FF"/>
    <w:rsid w:val="00E331B7"/>
    <w:rsid w:val="00E3365B"/>
    <w:rsid w:val="00E336E4"/>
    <w:rsid w:val="00E3400D"/>
    <w:rsid w:val="00E34436"/>
    <w:rsid w:val="00E34996"/>
    <w:rsid w:val="00E34CEB"/>
    <w:rsid w:val="00E3538C"/>
    <w:rsid w:val="00E35810"/>
    <w:rsid w:val="00E35F86"/>
    <w:rsid w:val="00E3648E"/>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377"/>
    <w:rsid w:val="00E45DC9"/>
    <w:rsid w:val="00E45E05"/>
    <w:rsid w:val="00E46978"/>
    <w:rsid w:val="00E46C71"/>
    <w:rsid w:val="00E47C67"/>
    <w:rsid w:val="00E514C7"/>
    <w:rsid w:val="00E5156F"/>
    <w:rsid w:val="00E51BC2"/>
    <w:rsid w:val="00E51E96"/>
    <w:rsid w:val="00E52404"/>
    <w:rsid w:val="00E52F36"/>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D8"/>
    <w:rsid w:val="00E64E53"/>
    <w:rsid w:val="00E6715F"/>
    <w:rsid w:val="00E673FD"/>
    <w:rsid w:val="00E67C5E"/>
    <w:rsid w:val="00E70061"/>
    <w:rsid w:val="00E7096F"/>
    <w:rsid w:val="00E71682"/>
    <w:rsid w:val="00E720FC"/>
    <w:rsid w:val="00E72401"/>
    <w:rsid w:val="00E7271A"/>
    <w:rsid w:val="00E731A5"/>
    <w:rsid w:val="00E7376C"/>
    <w:rsid w:val="00E73CC2"/>
    <w:rsid w:val="00E748B6"/>
    <w:rsid w:val="00E74950"/>
    <w:rsid w:val="00E753B5"/>
    <w:rsid w:val="00E75F11"/>
    <w:rsid w:val="00E7700B"/>
    <w:rsid w:val="00E77C6E"/>
    <w:rsid w:val="00E809EB"/>
    <w:rsid w:val="00E80A86"/>
    <w:rsid w:val="00E8501C"/>
    <w:rsid w:val="00E851A5"/>
    <w:rsid w:val="00E851AA"/>
    <w:rsid w:val="00E8576B"/>
    <w:rsid w:val="00E85A30"/>
    <w:rsid w:val="00E85FBE"/>
    <w:rsid w:val="00E86CBC"/>
    <w:rsid w:val="00E86E48"/>
    <w:rsid w:val="00E870AB"/>
    <w:rsid w:val="00E87CD5"/>
    <w:rsid w:val="00E9082B"/>
    <w:rsid w:val="00E911CE"/>
    <w:rsid w:val="00E91664"/>
    <w:rsid w:val="00E91C0B"/>
    <w:rsid w:val="00E924C5"/>
    <w:rsid w:val="00E92D29"/>
    <w:rsid w:val="00E92D44"/>
    <w:rsid w:val="00E9394D"/>
    <w:rsid w:val="00E94337"/>
    <w:rsid w:val="00E94965"/>
    <w:rsid w:val="00E94A5A"/>
    <w:rsid w:val="00E96BBA"/>
    <w:rsid w:val="00E975EF"/>
    <w:rsid w:val="00E97801"/>
    <w:rsid w:val="00EA11FC"/>
    <w:rsid w:val="00EA1C42"/>
    <w:rsid w:val="00EA1E5B"/>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B05EC"/>
    <w:rsid w:val="00EB0C1A"/>
    <w:rsid w:val="00EB15FB"/>
    <w:rsid w:val="00EB1E31"/>
    <w:rsid w:val="00EB1EA2"/>
    <w:rsid w:val="00EB21C2"/>
    <w:rsid w:val="00EB2466"/>
    <w:rsid w:val="00EB26ED"/>
    <w:rsid w:val="00EB279C"/>
    <w:rsid w:val="00EB320E"/>
    <w:rsid w:val="00EB4FFB"/>
    <w:rsid w:val="00EB598D"/>
    <w:rsid w:val="00EB6C1C"/>
    <w:rsid w:val="00EB7271"/>
    <w:rsid w:val="00EC0FD6"/>
    <w:rsid w:val="00EC190C"/>
    <w:rsid w:val="00EC27BB"/>
    <w:rsid w:val="00EC3C4B"/>
    <w:rsid w:val="00EC3CF5"/>
    <w:rsid w:val="00EC3E9E"/>
    <w:rsid w:val="00EC42C8"/>
    <w:rsid w:val="00EC5A7B"/>
    <w:rsid w:val="00EC5B60"/>
    <w:rsid w:val="00EC5EF1"/>
    <w:rsid w:val="00EC6072"/>
    <w:rsid w:val="00EC75EC"/>
    <w:rsid w:val="00EC798B"/>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1BA"/>
    <w:rsid w:val="00EE0A61"/>
    <w:rsid w:val="00EE1534"/>
    <w:rsid w:val="00EE199A"/>
    <w:rsid w:val="00EE3AD2"/>
    <w:rsid w:val="00EE558E"/>
    <w:rsid w:val="00EE5937"/>
    <w:rsid w:val="00EE645F"/>
    <w:rsid w:val="00EE678E"/>
    <w:rsid w:val="00EE6918"/>
    <w:rsid w:val="00EF072D"/>
    <w:rsid w:val="00EF135F"/>
    <w:rsid w:val="00EF1B00"/>
    <w:rsid w:val="00EF375B"/>
    <w:rsid w:val="00EF38F2"/>
    <w:rsid w:val="00EF41B6"/>
    <w:rsid w:val="00EF4A7B"/>
    <w:rsid w:val="00EF71EE"/>
    <w:rsid w:val="00EF74B5"/>
    <w:rsid w:val="00EF7825"/>
    <w:rsid w:val="00F0044E"/>
    <w:rsid w:val="00F010E9"/>
    <w:rsid w:val="00F01974"/>
    <w:rsid w:val="00F0290D"/>
    <w:rsid w:val="00F02F72"/>
    <w:rsid w:val="00F0307B"/>
    <w:rsid w:val="00F03948"/>
    <w:rsid w:val="00F03C1D"/>
    <w:rsid w:val="00F03E5D"/>
    <w:rsid w:val="00F04615"/>
    <w:rsid w:val="00F04771"/>
    <w:rsid w:val="00F04F98"/>
    <w:rsid w:val="00F05675"/>
    <w:rsid w:val="00F056BB"/>
    <w:rsid w:val="00F05F14"/>
    <w:rsid w:val="00F06DFD"/>
    <w:rsid w:val="00F0752F"/>
    <w:rsid w:val="00F0765A"/>
    <w:rsid w:val="00F10236"/>
    <w:rsid w:val="00F104E3"/>
    <w:rsid w:val="00F125FA"/>
    <w:rsid w:val="00F1277D"/>
    <w:rsid w:val="00F135D5"/>
    <w:rsid w:val="00F13836"/>
    <w:rsid w:val="00F13863"/>
    <w:rsid w:val="00F14190"/>
    <w:rsid w:val="00F15C0E"/>
    <w:rsid w:val="00F16015"/>
    <w:rsid w:val="00F16281"/>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42DC"/>
    <w:rsid w:val="00F24BD1"/>
    <w:rsid w:val="00F260C9"/>
    <w:rsid w:val="00F261EF"/>
    <w:rsid w:val="00F2635F"/>
    <w:rsid w:val="00F26FFB"/>
    <w:rsid w:val="00F27404"/>
    <w:rsid w:val="00F278C4"/>
    <w:rsid w:val="00F27DA3"/>
    <w:rsid w:val="00F27E8A"/>
    <w:rsid w:val="00F3085A"/>
    <w:rsid w:val="00F30905"/>
    <w:rsid w:val="00F314A2"/>
    <w:rsid w:val="00F323A5"/>
    <w:rsid w:val="00F32894"/>
    <w:rsid w:val="00F32A44"/>
    <w:rsid w:val="00F32D4D"/>
    <w:rsid w:val="00F32F58"/>
    <w:rsid w:val="00F333B8"/>
    <w:rsid w:val="00F33A07"/>
    <w:rsid w:val="00F33B22"/>
    <w:rsid w:val="00F33B6F"/>
    <w:rsid w:val="00F34415"/>
    <w:rsid w:val="00F3478A"/>
    <w:rsid w:val="00F353BC"/>
    <w:rsid w:val="00F35686"/>
    <w:rsid w:val="00F3614C"/>
    <w:rsid w:val="00F3738D"/>
    <w:rsid w:val="00F37786"/>
    <w:rsid w:val="00F377DB"/>
    <w:rsid w:val="00F37AA3"/>
    <w:rsid w:val="00F37E99"/>
    <w:rsid w:val="00F40CD4"/>
    <w:rsid w:val="00F41035"/>
    <w:rsid w:val="00F41688"/>
    <w:rsid w:val="00F4242E"/>
    <w:rsid w:val="00F424A3"/>
    <w:rsid w:val="00F42F6A"/>
    <w:rsid w:val="00F431B8"/>
    <w:rsid w:val="00F43CF7"/>
    <w:rsid w:val="00F44F27"/>
    <w:rsid w:val="00F45F1D"/>
    <w:rsid w:val="00F46401"/>
    <w:rsid w:val="00F471FD"/>
    <w:rsid w:val="00F4768E"/>
    <w:rsid w:val="00F50BCC"/>
    <w:rsid w:val="00F50C08"/>
    <w:rsid w:val="00F5159B"/>
    <w:rsid w:val="00F51E48"/>
    <w:rsid w:val="00F5293A"/>
    <w:rsid w:val="00F52AC0"/>
    <w:rsid w:val="00F52E2D"/>
    <w:rsid w:val="00F54084"/>
    <w:rsid w:val="00F549A1"/>
    <w:rsid w:val="00F5603F"/>
    <w:rsid w:val="00F5682E"/>
    <w:rsid w:val="00F57DA4"/>
    <w:rsid w:val="00F603F8"/>
    <w:rsid w:val="00F6062F"/>
    <w:rsid w:val="00F606A7"/>
    <w:rsid w:val="00F606C2"/>
    <w:rsid w:val="00F60715"/>
    <w:rsid w:val="00F60B09"/>
    <w:rsid w:val="00F61877"/>
    <w:rsid w:val="00F61ABE"/>
    <w:rsid w:val="00F61ACE"/>
    <w:rsid w:val="00F61D84"/>
    <w:rsid w:val="00F62810"/>
    <w:rsid w:val="00F64888"/>
    <w:rsid w:val="00F65260"/>
    <w:rsid w:val="00F6612D"/>
    <w:rsid w:val="00F662BB"/>
    <w:rsid w:val="00F66A9E"/>
    <w:rsid w:val="00F67239"/>
    <w:rsid w:val="00F70762"/>
    <w:rsid w:val="00F721CA"/>
    <w:rsid w:val="00F72655"/>
    <w:rsid w:val="00F72660"/>
    <w:rsid w:val="00F73B9F"/>
    <w:rsid w:val="00F740A0"/>
    <w:rsid w:val="00F74801"/>
    <w:rsid w:val="00F74AE7"/>
    <w:rsid w:val="00F74C5A"/>
    <w:rsid w:val="00F76B6A"/>
    <w:rsid w:val="00F76C17"/>
    <w:rsid w:val="00F779B1"/>
    <w:rsid w:val="00F80F83"/>
    <w:rsid w:val="00F81011"/>
    <w:rsid w:val="00F81B08"/>
    <w:rsid w:val="00F81BDE"/>
    <w:rsid w:val="00F8258B"/>
    <w:rsid w:val="00F82614"/>
    <w:rsid w:val="00F826C1"/>
    <w:rsid w:val="00F828EE"/>
    <w:rsid w:val="00F83970"/>
    <w:rsid w:val="00F84018"/>
    <w:rsid w:val="00F84B09"/>
    <w:rsid w:val="00F84B5A"/>
    <w:rsid w:val="00F84B93"/>
    <w:rsid w:val="00F84D11"/>
    <w:rsid w:val="00F855B5"/>
    <w:rsid w:val="00F858B5"/>
    <w:rsid w:val="00F85FF6"/>
    <w:rsid w:val="00F868C1"/>
    <w:rsid w:val="00F87A66"/>
    <w:rsid w:val="00F87CBF"/>
    <w:rsid w:val="00F90206"/>
    <w:rsid w:val="00F9230A"/>
    <w:rsid w:val="00F92626"/>
    <w:rsid w:val="00F9285A"/>
    <w:rsid w:val="00F92B52"/>
    <w:rsid w:val="00F93BBC"/>
    <w:rsid w:val="00F94F5F"/>
    <w:rsid w:val="00F958C2"/>
    <w:rsid w:val="00F95F56"/>
    <w:rsid w:val="00F96137"/>
    <w:rsid w:val="00F9644D"/>
    <w:rsid w:val="00F97296"/>
    <w:rsid w:val="00F979AC"/>
    <w:rsid w:val="00F97DF6"/>
    <w:rsid w:val="00FA0BA0"/>
    <w:rsid w:val="00FA19C1"/>
    <w:rsid w:val="00FA1ED1"/>
    <w:rsid w:val="00FA25EE"/>
    <w:rsid w:val="00FA3B86"/>
    <w:rsid w:val="00FA4969"/>
    <w:rsid w:val="00FA53D7"/>
    <w:rsid w:val="00FA58E1"/>
    <w:rsid w:val="00FA60BD"/>
    <w:rsid w:val="00FA6796"/>
    <w:rsid w:val="00FA7557"/>
    <w:rsid w:val="00FA7558"/>
    <w:rsid w:val="00FA774E"/>
    <w:rsid w:val="00FB12FB"/>
    <w:rsid w:val="00FB1E74"/>
    <w:rsid w:val="00FB2347"/>
    <w:rsid w:val="00FB2D85"/>
    <w:rsid w:val="00FB3108"/>
    <w:rsid w:val="00FB3587"/>
    <w:rsid w:val="00FB3B2E"/>
    <w:rsid w:val="00FB3D97"/>
    <w:rsid w:val="00FB3EE6"/>
    <w:rsid w:val="00FB440B"/>
    <w:rsid w:val="00FB4510"/>
    <w:rsid w:val="00FB4A92"/>
    <w:rsid w:val="00FB56AF"/>
    <w:rsid w:val="00FB5AA2"/>
    <w:rsid w:val="00FB63BC"/>
    <w:rsid w:val="00FB6514"/>
    <w:rsid w:val="00FB6614"/>
    <w:rsid w:val="00FC05C0"/>
    <w:rsid w:val="00FC085D"/>
    <w:rsid w:val="00FC1CE1"/>
    <w:rsid w:val="00FC29E0"/>
    <w:rsid w:val="00FC2B13"/>
    <w:rsid w:val="00FC315E"/>
    <w:rsid w:val="00FC3E96"/>
    <w:rsid w:val="00FC5728"/>
    <w:rsid w:val="00FC572D"/>
    <w:rsid w:val="00FC6714"/>
    <w:rsid w:val="00FC6E87"/>
    <w:rsid w:val="00FC7EBB"/>
    <w:rsid w:val="00FC7F08"/>
    <w:rsid w:val="00FD0FD1"/>
    <w:rsid w:val="00FD106D"/>
    <w:rsid w:val="00FD13AA"/>
    <w:rsid w:val="00FD1975"/>
    <w:rsid w:val="00FD1A3D"/>
    <w:rsid w:val="00FD2191"/>
    <w:rsid w:val="00FD2500"/>
    <w:rsid w:val="00FD266B"/>
    <w:rsid w:val="00FD2B28"/>
    <w:rsid w:val="00FD2D33"/>
    <w:rsid w:val="00FD3580"/>
    <w:rsid w:val="00FD4710"/>
    <w:rsid w:val="00FD5B50"/>
    <w:rsid w:val="00FD6195"/>
    <w:rsid w:val="00FD63FC"/>
    <w:rsid w:val="00FE0670"/>
    <w:rsid w:val="00FE2147"/>
    <w:rsid w:val="00FE219D"/>
    <w:rsid w:val="00FE2620"/>
    <w:rsid w:val="00FE3864"/>
    <w:rsid w:val="00FE3E75"/>
    <w:rsid w:val="00FE4B0E"/>
    <w:rsid w:val="00FE4D6E"/>
    <w:rsid w:val="00FE6349"/>
    <w:rsid w:val="00FE6BFA"/>
    <w:rsid w:val="00FE7282"/>
    <w:rsid w:val="00FE7304"/>
    <w:rsid w:val="00FE79B7"/>
    <w:rsid w:val="00FF0310"/>
    <w:rsid w:val="00FF11DA"/>
    <w:rsid w:val="00FF23DE"/>
    <w:rsid w:val="00FF2792"/>
    <w:rsid w:val="00FF59D0"/>
    <w:rsid w:val="00FF670F"/>
    <w:rsid w:val="00FF72F4"/>
    <w:rsid w:val="00FF7454"/>
    <w:rsid w:val="00FF7ED8"/>
    <w:rsid w:val="01330404"/>
    <w:rsid w:val="01DF58FF"/>
    <w:rsid w:val="01FB5C4F"/>
    <w:rsid w:val="0248546F"/>
    <w:rsid w:val="0256548E"/>
    <w:rsid w:val="02890D36"/>
    <w:rsid w:val="029370C7"/>
    <w:rsid w:val="02FF41F8"/>
    <w:rsid w:val="0314419D"/>
    <w:rsid w:val="032327D8"/>
    <w:rsid w:val="04335DCA"/>
    <w:rsid w:val="04E24159"/>
    <w:rsid w:val="04E81B1A"/>
    <w:rsid w:val="05097AD0"/>
    <w:rsid w:val="05CC0E93"/>
    <w:rsid w:val="06443FD4"/>
    <w:rsid w:val="06922C55"/>
    <w:rsid w:val="06EE427E"/>
    <w:rsid w:val="070E32C1"/>
    <w:rsid w:val="07277E4A"/>
    <w:rsid w:val="07B039F2"/>
    <w:rsid w:val="08073E22"/>
    <w:rsid w:val="08822685"/>
    <w:rsid w:val="08D97BB9"/>
    <w:rsid w:val="08FA104A"/>
    <w:rsid w:val="08FA57C7"/>
    <w:rsid w:val="091E45B4"/>
    <w:rsid w:val="0933542B"/>
    <w:rsid w:val="09AA1547"/>
    <w:rsid w:val="09F96B44"/>
    <w:rsid w:val="0A765FB8"/>
    <w:rsid w:val="0A814349"/>
    <w:rsid w:val="0AA94A66"/>
    <w:rsid w:val="0AF8308E"/>
    <w:rsid w:val="0B6F08F7"/>
    <w:rsid w:val="0BD72DB1"/>
    <w:rsid w:val="0C483CB5"/>
    <w:rsid w:val="0C5F0057"/>
    <w:rsid w:val="0C72663C"/>
    <w:rsid w:val="0D8D654B"/>
    <w:rsid w:val="0D9553DC"/>
    <w:rsid w:val="0DA914DF"/>
    <w:rsid w:val="0E263246"/>
    <w:rsid w:val="0E3015D7"/>
    <w:rsid w:val="0E6A02CB"/>
    <w:rsid w:val="0E6F2744"/>
    <w:rsid w:val="0EA73BA0"/>
    <w:rsid w:val="0EEC2402"/>
    <w:rsid w:val="101500B2"/>
    <w:rsid w:val="102E7D98"/>
    <w:rsid w:val="10507C42"/>
    <w:rsid w:val="10525C37"/>
    <w:rsid w:val="105A7962"/>
    <w:rsid w:val="108968E3"/>
    <w:rsid w:val="109C3C4F"/>
    <w:rsid w:val="10D27F8E"/>
    <w:rsid w:val="115C57C9"/>
    <w:rsid w:val="11AC2EE9"/>
    <w:rsid w:val="11F62C07"/>
    <w:rsid w:val="124F3295"/>
    <w:rsid w:val="12AA447F"/>
    <w:rsid w:val="133A58CB"/>
    <w:rsid w:val="134921CE"/>
    <w:rsid w:val="13737B75"/>
    <w:rsid w:val="13B43E61"/>
    <w:rsid w:val="147719A1"/>
    <w:rsid w:val="148C1946"/>
    <w:rsid w:val="14B7376E"/>
    <w:rsid w:val="14B8240A"/>
    <w:rsid w:val="154C7218"/>
    <w:rsid w:val="15777179"/>
    <w:rsid w:val="161F36D9"/>
    <w:rsid w:val="172719B3"/>
    <w:rsid w:val="17707100"/>
    <w:rsid w:val="17853822"/>
    <w:rsid w:val="17856795"/>
    <w:rsid w:val="17E06C0C"/>
    <w:rsid w:val="18071A18"/>
    <w:rsid w:val="18947263"/>
    <w:rsid w:val="18D67A3E"/>
    <w:rsid w:val="196C36C2"/>
    <w:rsid w:val="196C5A40"/>
    <w:rsid w:val="19AB6A2A"/>
    <w:rsid w:val="19C2556A"/>
    <w:rsid w:val="19C41B53"/>
    <w:rsid w:val="1A164B5A"/>
    <w:rsid w:val="1A2608F3"/>
    <w:rsid w:val="1A336B23"/>
    <w:rsid w:val="1B2A271F"/>
    <w:rsid w:val="1B7E3DAE"/>
    <w:rsid w:val="1BCD57AB"/>
    <w:rsid w:val="1BE753BD"/>
    <w:rsid w:val="1C0E1A98"/>
    <w:rsid w:val="1C237A06"/>
    <w:rsid w:val="1C252021"/>
    <w:rsid w:val="1C393AA4"/>
    <w:rsid w:val="1C490289"/>
    <w:rsid w:val="1C6F4FB4"/>
    <w:rsid w:val="1CA6768D"/>
    <w:rsid w:val="1CDB5968"/>
    <w:rsid w:val="1CE417D1"/>
    <w:rsid w:val="1D1F6145"/>
    <w:rsid w:val="1D54432D"/>
    <w:rsid w:val="1E2D620F"/>
    <w:rsid w:val="1E422931"/>
    <w:rsid w:val="1E5C45CC"/>
    <w:rsid w:val="1F573F7F"/>
    <w:rsid w:val="1F5E4382"/>
    <w:rsid w:val="202D3756"/>
    <w:rsid w:val="20621846"/>
    <w:rsid w:val="208244E5"/>
    <w:rsid w:val="20CC67C1"/>
    <w:rsid w:val="20DC5E78"/>
    <w:rsid w:val="21BD09EA"/>
    <w:rsid w:val="21C734F7"/>
    <w:rsid w:val="21D2510C"/>
    <w:rsid w:val="226650A3"/>
    <w:rsid w:val="227E6D21"/>
    <w:rsid w:val="22851A6B"/>
    <w:rsid w:val="22B60C01"/>
    <w:rsid w:val="231879A1"/>
    <w:rsid w:val="23197D8A"/>
    <w:rsid w:val="23462FA7"/>
    <w:rsid w:val="239A46F7"/>
    <w:rsid w:val="2411343C"/>
    <w:rsid w:val="249F6523"/>
    <w:rsid w:val="25574A23"/>
    <w:rsid w:val="25B84A72"/>
    <w:rsid w:val="263338DA"/>
    <w:rsid w:val="264B53EC"/>
    <w:rsid w:val="2678274F"/>
    <w:rsid w:val="26CA35AD"/>
    <w:rsid w:val="26F91E7B"/>
    <w:rsid w:val="27022FF6"/>
    <w:rsid w:val="279A2A09"/>
    <w:rsid w:val="28B1694E"/>
    <w:rsid w:val="28BC0562"/>
    <w:rsid w:val="28D00B27"/>
    <w:rsid w:val="293F68E6"/>
    <w:rsid w:val="29747D10"/>
    <w:rsid w:val="297D6669"/>
    <w:rsid w:val="29C86A02"/>
    <w:rsid w:val="2A2D713F"/>
    <w:rsid w:val="2A423861"/>
    <w:rsid w:val="2A5D75B2"/>
    <w:rsid w:val="2A63541A"/>
    <w:rsid w:val="2A8F5EDF"/>
    <w:rsid w:val="2AA73F36"/>
    <w:rsid w:val="2AA84B6D"/>
    <w:rsid w:val="2AB11E8F"/>
    <w:rsid w:val="2ABF0192"/>
    <w:rsid w:val="2AFB6893"/>
    <w:rsid w:val="2B1C6E47"/>
    <w:rsid w:val="2B937D0B"/>
    <w:rsid w:val="2D0E5F45"/>
    <w:rsid w:val="2D6C1D53"/>
    <w:rsid w:val="2DB26785"/>
    <w:rsid w:val="2E1E06B9"/>
    <w:rsid w:val="2EB61B31"/>
    <w:rsid w:val="2EF8259B"/>
    <w:rsid w:val="2F2954D5"/>
    <w:rsid w:val="2F3F27D7"/>
    <w:rsid w:val="2F6241C8"/>
    <w:rsid w:val="2F831EC3"/>
    <w:rsid w:val="2F9959A7"/>
    <w:rsid w:val="2FAF42C8"/>
    <w:rsid w:val="2FD44978"/>
    <w:rsid w:val="2FDE4A00"/>
    <w:rsid w:val="30A957E4"/>
    <w:rsid w:val="30C56DD2"/>
    <w:rsid w:val="30F068D5"/>
    <w:rsid w:val="318556DB"/>
    <w:rsid w:val="3198766B"/>
    <w:rsid w:val="319D0DD6"/>
    <w:rsid w:val="31C74937"/>
    <w:rsid w:val="31F314D0"/>
    <w:rsid w:val="31F55F59"/>
    <w:rsid w:val="32294115"/>
    <w:rsid w:val="32DE1F01"/>
    <w:rsid w:val="331630E9"/>
    <w:rsid w:val="335F6FD7"/>
    <w:rsid w:val="348B76F3"/>
    <w:rsid w:val="34B20B82"/>
    <w:rsid w:val="34C131AF"/>
    <w:rsid w:val="34E87C04"/>
    <w:rsid w:val="35476355"/>
    <w:rsid w:val="356928AF"/>
    <w:rsid w:val="35BC2091"/>
    <w:rsid w:val="35D579E0"/>
    <w:rsid w:val="35F90E99"/>
    <w:rsid w:val="36013D27"/>
    <w:rsid w:val="36025D97"/>
    <w:rsid w:val="36E47B9D"/>
    <w:rsid w:val="38733E42"/>
    <w:rsid w:val="38C2712E"/>
    <w:rsid w:val="39A62C24"/>
    <w:rsid w:val="3A29797A"/>
    <w:rsid w:val="3A3E409C"/>
    <w:rsid w:val="3A5B7D04"/>
    <w:rsid w:val="3B1D351E"/>
    <w:rsid w:val="3B2575DE"/>
    <w:rsid w:val="3B7C2C0B"/>
    <w:rsid w:val="3BC66EAB"/>
    <w:rsid w:val="3BE128EE"/>
    <w:rsid w:val="3C0E122F"/>
    <w:rsid w:val="3C682428"/>
    <w:rsid w:val="3CD742D5"/>
    <w:rsid w:val="3D417B8C"/>
    <w:rsid w:val="3D4C5F1D"/>
    <w:rsid w:val="3DF93FBC"/>
    <w:rsid w:val="3E1A5671"/>
    <w:rsid w:val="3E667CEF"/>
    <w:rsid w:val="3EC5576E"/>
    <w:rsid w:val="3ED34AA0"/>
    <w:rsid w:val="3F2A54AE"/>
    <w:rsid w:val="3F6E789D"/>
    <w:rsid w:val="3FE04FF8"/>
    <w:rsid w:val="3FED2FEE"/>
    <w:rsid w:val="3FF22C00"/>
    <w:rsid w:val="40463BE0"/>
    <w:rsid w:val="40B118C6"/>
    <w:rsid w:val="412874F2"/>
    <w:rsid w:val="41965843"/>
    <w:rsid w:val="41A05EB7"/>
    <w:rsid w:val="41D4081A"/>
    <w:rsid w:val="41FD0C19"/>
    <w:rsid w:val="42014C57"/>
    <w:rsid w:val="42161379"/>
    <w:rsid w:val="425828A0"/>
    <w:rsid w:val="42AF6075"/>
    <w:rsid w:val="42B44FC7"/>
    <w:rsid w:val="42CF43AB"/>
    <w:rsid w:val="42EE6E5E"/>
    <w:rsid w:val="43204EC2"/>
    <w:rsid w:val="435D2698"/>
    <w:rsid w:val="43A6660D"/>
    <w:rsid w:val="43C845C3"/>
    <w:rsid w:val="44973C18"/>
    <w:rsid w:val="461E4DC2"/>
    <w:rsid w:val="46206466"/>
    <w:rsid w:val="463D1F7B"/>
    <w:rsid w:val="463E02DC"/>
    <w:rsid w:val="46737A24"/>
    <w:rsid w:val="46CA0433"/>
    <w:rsid w:val="47520E10"/>
    <w:rsid w:val="47753731"/>
    <w:rsid w:val="48516FB5"/>
    <w:rsid w:val="48B459D5"/>
    <w:rsid w:val="48C01F80"/>
    <w:rsid w:val="49497D40"/>
    <w:rsid w:val="4A053FE3"/>
    <w:rsid w:val="4A9216E3"/>
    <w:rsid w:val="4AE820F1"/>
    <w:rsid w:val="4B315D69"/>
    <w:rsid w:val="4BE76618"/>
    <w:rsid w:val="4CC72CAB"/>
    <w:rsid w:val="4D2C7DCB"/>
    <w:rsid w:val="4DBB0B83"/>
    <w:rsid w:val="4E6138C4"/>
    <w:rsid w:val="4E634927"/>
    <w:rsid w:val="4ED85BEA"/>
    <w:rsid w:val="4F105D44"/>
    <w:rsid w:val="4F355850"/>
    <w:rsid w:val="4F5C4B3F"/>
    <w:rsid w:val="4F8B14B0"/>
    <w:rsid w:val="4FB671CF"/>
    <w:rsid w:val="4FFD7F4B"/>
    <w:rsid w:val="501F5F01"/>
    <w:rsid w:val="50BF05A8"/>
    <w:rsid w:val="51190623"/>
    <w:rsid w:val="5133771D"/>
    <w:rsid w:val="51A66A0C"/>
    <w:rsid w:val="52077FA0"/>
    <w:rsid w:val="52580603"/>
    <w:rsid w:val="529F178F"/>
    <w:rsid w:val="52F61E27"/>
    <w:rsid w:val="53372305"/>
    <w:rsid w:val="535316C2"/>
    <w:rsid w:val="53C44BA8"/>
    <w:rsid w:val="53E259A0"/>
    <w:rsid w:val="541909C0"/>
    <w:rsid w:val="545C6276"/>
    <w:rsid w:val="552E0C4B"/>
    <w:rsid w:val="556C60B3"/>
    <w:rsid w:val="55763369"/>
    <w:rsid w:val="561A74D1"/>
    <w:rsid w:val="56D86652"/>
    <w:rsid w:val="57283E0B"/>
    <w:rsid w:val="574A1DC1"/>
    <w:rsid w:val="57C00B06"/>
    <w:rsid w:val="57E52089"/>
    <w:rsid w:val="58021570"/>
    <w:rsid w:val="580E5197"/>
    <w:rsid w:val="5831455A"/>
    <w:rsid w:val="5863030F"/>
    <w:rsid w:val="589A668A"/>
    <w:rsid w:val="58F22B40"/>
    <w:rsid w:val="5906339C"/>
    <w:rsid w:val="592616D2"/>
    <w:rsid w:val="59341B00"/>
    <w:rsid w:val="59523377"/>
    <w:rsid w:val="59DE0E81"/>
    <w:rsid w:val="59F55223"/>
    <w:rsid w:val="59FF35B4"/>
    <w:rsid w:val="5AD444AA"/>
    <w:rsid w:val="5AE470AA"/>
    <w:rsid w:val="5B083FE3"/>
    <w:rsid w:val="5B301727"/>
    <w:rsid w:val="5B415B5C"/>
    <w:rsid w:val="5B5773E8"/>
    <w:rsid w:val="5B5A5DEF"/>
    <w:rsid w:val="5B8422A3"/>
    <w:rsid w:val="5BC56904"/>
    <w:rsid w:val="5C0A6E8C"/>
    <w:rsid w:val="5CEC2D02"/>
    <w:rsid w:val="5D2353DA"/>
    <w:rsid w:val="5E326290"/>
    <w:rsid w:val="5E5C734E"/>
    <w:rsid w:val="5E8072DA"/>
    <w:rsid w:val="5F185A0A"/>
    <w:rsid w:val="5F6D531F"/>
    <w:rsid w:val="5FAE2505"/>
    <w:rsid w:val="5FE20EFF"/>
    <w:rsid w:val="60056797"/>
    <w:rsid w:val="603478AE"/>
    <w:rsid w:val="61094D40"/>
    <w:rsid w:val="614172DE"/>
    <w:rsid w:val="6160574F"/>
    <w:rsid w:val="62D95E61"/>
    <w:rsid w:val="63707248"/>
    <w:rsid w:val="63A86B21"/>
    <w:rsid w:val="64A81D34"/>
    <w:rsid w:val="64C2705A"/>
    <w:rsid w:val="6511265D"/>
    <w:rsid w:val="651C4271"/>
    <w:rsid w:val="65A93AD5"/>
    <w:rsid w:val="662B3EC2"/>
    <w:rsid w:val="66606F70"/>
    <w:rsid w:val="66B25BAB"/>
    <w:rsid w:val="6786514B"/>
    <w:rsid w:val="67F55C0F"/>
    <w:rsid w:val="6808013C"/>
    <w:rsid w:val="68490BA5"/>
    <w:rsid w:val="6872092B"/>
    <w:rsid w:val="68720D3D"/>
    <w:rsid w:val="68A320F0"/>
    <w:rsid w:val="68C10A03"/>
    <w:rsid w:val="68D23109"/>
    <w:rsid w:val="691702F9"/>
    <w:rsid w:val="692E7F1E"/>
    <w:rsid w:val="69423526"/>
    <w:rsid w:val="69430A4C"/>
    <w:rsid w:val="69586B5E"/>
    <w:rsid w:val="6A242849"/>
    <w:rsid w:val="6A9E3FF1"/>
    <w:rsid w:val="6AA61B9C"/>
    <w:rsid w:val="6ADF78E5"/>
    <w:rsid w:val="6B0B3C2C"/>
    <w:rsid w:val="6B353ACE"/>
    <w:rsid w:val="6B403D4E"/>
    <w:rsid w:val="6B8D0D02"/>
    <w:rsid w:val="6C7C2B89"/>
    <w:rsid w:val="6CB30AE5"/>
    <w:rsid w:val="6DF523F6"/>
    <w:rsid w:val="6E4C115B"/>
    <w:rsid w:val="6E531DC3"/>
    <w:rsid w:val="6E92338D"/>
    <w:rsid w:val="6EA50F15"/>
    <w:rsid w:val="6F1218C9"/>
    <w:rsid w:val="6F35142D"/>
    <w:rsid w:val="6FB80462"/>
    <w:rsid w:val="6FE10C9C"/>
    <w:rsid w:val="70257F20"/>
    <w:rsid w:val="70375E28"/>
    <w:rsid w:val="70593DDE"/>
    <w:rsid w:val="708505A9"/>
    <w:rsid w:val="70D0654C"/>
    <w:rsid w:val="70EC22C8"/>
    <w:rsid w:val="712E1E4B"/>
    <w:rsid w:val="71693786"/>
    <w:rsid w:val="71CD2FDE"/>
    <w:rsid w:val="72401A80"/>
    <w:rsid w:val="72847405"/>
    <w:rsid w:val="7298562B"/>
    <w:rsid w:val="73047240"/>
    <w:rsid w:val="736E2F25"/>
    <w:rsid w:val="74125278"/>
    <w:rsid w:val="741A021E"/>
    <w:rsid w:val="74556A6B"/>
    <w:rsid w:val="7474619D"/>
    <w:rsid w:val="74DC18EE"/>
    <w:rsid w:val="74FD0C6E"/>
    <w:rsid w:val="753C5A8D"/>
    <w:rsid w:val="75435570"/>
    <w:rsid w:val="75D71CD0"/>
    <w:rsid w:val="761F6D59"/>
    <w:rsid w:val="765E373E"/>
    <w:rsid w:val="76912AA8"/>
    <w:rsid w:val="76936197"/>
    <w:rsid w:val="77281327"/>
    <w:rsid w:val="78175E36"/>
    <w:rsid w:val="78825B31"/>
    <w:rsid w:val="78DA438B"/>
    <w:rsid w:val="7A2D6D03"/>
    <w:rsid w:val="7A986F61"/>
    <w:rsid w:val="7AF244C2"/>
    <w:rsid w:val="7B4A666E"/>
    <w:rsid w:val="7B831833"/>
    <w:rsid w:val="7C034870"/>
    <w:rsid w:val="7C8313D5"/>
    <w:rsid w:val="7CB1637A"/>
    <w:rsid w:val="7CDA6256"/>
    <w:rsid w:val="7D0564AB"/>
    <w:rsid w:val="7D5052A6"/>
    <w:rsid w:val="7D5843C2"/>
    <w:rsid w:val="7DAA61E1"/>
    <w:rsid w:val="7DCC458D"/>
    <w:rsid w:val="7DE50961"/>
    <w:rsid w:val="7E467245"/>
    <w:rsid w:val="7E542C37"/>
    <w:rsid w:val="7E813419"/>
    <w:rsid w:val="7E8D09DC"/>
    <w:rsid w:val="7F0204F0"/>
    <w:rsid w:val="7F106C3A"/>
    <w:rsid w:val="7FA66625"/>
    <w:rsid w:val="7FAD4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
    <w:pPr>
      <w:keepNext/>
      <w:keepLines/>
      <w:spacing w:before="340" w:after="330" w:line="578" w:lineRule="auto"/>
      <w:jc w:val="center"/>
      <w:outlineLvl w:val="0"/>
    </w:pPr>
    <w:rPr>
      <w:rFonts w:eastAsia="仿宋_GB2312"/>
      <w:b/>
      <w:bCs/>
      <w:kern w:val="44"/>
      <w:sz w:val="44"/>
      <w:szCs w:val="44"/>
    </w:rPr>
  </w:style>
  <w:style w:type="paragraph" w:styleId="4">
    <w:name w:val="heading 2"/>
    <w:basedOn w:val="1"/>
    <w:next w:val="1"/>
    <w:link w:val="80"/>
    <w:qFormat/>
    <w:uiPriority w:val="9"/>
    <w:pPr>
      <w:keepNext/>
      <w:keepLines/>
      <w:spacing w:before="260" w:after="260" w:line="400" w:lineRule="exact"/>
      <w:outlineLvl w:val="1"/>
    </w:pPr>
    <w:rPr>
      <w:rFonts w:ascii="Arial" w:hAnsi="Arial" w:eastAsia="黑体"/>
      <w:b/>
      <w:bCs/>
      <w:sz w:val="24"/>
      <w:szCs w:val="32"/>
    </w:rPr>
  </w:style>
  <w:style w:type="paragraph" w:styleId="5">
    <w:name w:val="heading 3"/>
    <w:basedOn w:val="1"/>
    <w:next w:val="1"/>
    <w:link w:val="56"/>
    <w:qFormat/>
    <w:uiPriority w:val="0"/>
    <w:pPr>
      <w:keepNext/>
      <w:keepLines/>
      <w:spacing w:before="260" w:after="260" w:line="416" w:lineRule="auto"/>
      <w:outlineLvl w:val="2"/>
    </w:pPr>
    <w:rPr>
      <w:b/>
      <w:bCs/>
      <w:sz w:val="32"/>
      <w:szCs w:val="32"/>
    </w:rPr>
  </w:style>
  <w:style w:type="paragraph" w:styleId="6">
    <w:name w:val="heading 5"/>
    <w:basedOn w:val="1"/>
    <w:next w:val="7"/>
    <w:link w:val="124"/>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125"/>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126"/>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12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65"/>
    <w:qFormat/>
    <w:uiPriority w:val="99"/>
    <w:pPr>
      <w:tabs>
        <w:tab w:val="center" w:pos="4153"/>
        <w:tab w:val="right" w:pos="8306"/>
      </w:tabs>
      <w:snapToGrid w:val="0"/>
      <w:jc w:val="left"/>
    </w:pPr>
    <w:rPr>
      <w:sz w:val="18"/>
      <w:szCs w:val="18"/>
      <w:lang w:val="zh-CN"/>
    </w:rPr>
  </w:style>
  <w:style w:type="paragraph" w:styleId="7">
    <w:name w:val="Normal Indent"/>
    <w:basedOn w:val="1"/>
    <w:link w:val="54"/>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129"/>
    <w:qFormat/>
    <w:uiPriority w:val="0"/>
    <w:pPr>
      <w:shd w:val="clear" w:color="auto" w:fill="000080"/>
    </w:pPr>
  </w:style>
  <w:style w:type="paragraph" w:styleId="15">
    <w:name w:val="annotation text"/>
    <w:basedOn w:val="1"/>
    <w:link w:val="70"/>
    <w:qFormat/>
    <w:uiPriority w:val="0"/>
    <w:pPr>
      <w:jc w:val="left"/>
    </w:pPr>
  </w:style>
  <w:style w:type="paragraph" w:styleId="16">
    <w:name w:val="Body Text 3"/>
    <w:basedOn w:val="1"/>
    <w:link w:val="130"/>
    <w:qFormat/>
    <w:uiPriority w:val="0"/>
    <w:pPr>
      <w:spacing w:line="500" w:lineRule="exact"/>
    </w:pPr>
    <w:rPr>
      <w:b/>
      <w:bCs/>
      <w:sz w:val="24"/>
    </w:rPr>
  </w:style>
  <w:style w:type="paragraph" w:styleId="17">
    <w:name w:val="Body Text"/>
    <w:basedOn w:val="1"/>
    <w:next w:val="18"/>
    <w:link w:val="131"/>
    <w:qFormat/>
    <w:uiPriority w:val="0"/>
    <w:pPr>
      <w:spacing w:line="380" w:lineRule="exact"/>
    </w:pPr>
    <w:rPr>
      <w:sz w:val="24"/>
    </w:rPr>
  </w:style>
  <w:style w:type="paragraph" w:styleId="18">
    <w:name w:val="Body Text 2"/>
    <w:basedOn w:val="1"/>
    <w:link w:val="135"/>
    <w:qFormat/>
    <w:uiPriority w:val="0"/>
    <w:pPr>
      <w:spacing w:after="120" w:line="480" w:lineRule="auto"/>
    </w:pPr>
  </w:style>
  <w:style w:type="paragraph" w:styleId="19">
    <w:name w:val="Body Text Indent"/>
    <w:basedOn w:val="1"/>
    <w:link w:val="63"/>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pPr>
  </w:style>
  <w:style w:type="paragraph" w:styleId="21">
    <w:name w:val="List 2"/>
    <w:basedOn w:val="1"/>
    <w:qFormat/>
    <w:uiPriority w:val="0"/>
    <w:pPr>
      <w:ind w:left="100" w:leftChars="200" w:hanging="200" w:hangingChars="200"/>
    </w:pPr>
    <w:rPr>
      <w:sz w:val="28"/>
    </w:rPr>
  </w:style>
  <w:style w:type="paragraph" w:styleId="22">
    <w:name w:val="Plain Text"/>
    <w:basedOn w:val="1"/>
    <w:link w:val="50"/>
    <w:qFormat/>
    <w:uiPriority w:val="0"/>
    <w:rPr>
      <w:rFonts w:ascii="宋体" w:hAnsi="Courier New" w:cs="Courier New"/>
      <w:szCs w:val="21"/>
    </w:rPr>
  </w:style>
  <w:style w:type="paragraph" w:styleId="23">
    <w:name w:val="Date"/>
    <w:basedOn w:val="1"/>
    <w:next w:val="1"/>
    <w:link w:val="132"/>
    <w:qFormat/>
    <w:uiPriority w:val="0"/>
    <w:pPr>
      <w:ind w:left="100" w:leftChars="2500"/>
    </w:pPr>
    <w:rPr>
      <w:rFonts w:ascii="宋体" w:hAnsi="Courier New" w:cs="Courier New"/>
      <w:szCs w:val="21"/>
    </w:rPr>
  </w:style>
  <w:style w:type="paragraph" w:styleId="24">
    <w:name w:val="Body Text Indent 2"/>
    <w:basedOn w:val="1"/>
    <w:link w:val="133"/>
    <w:qFormat/>
    <w:uiPriority w:val="0"/>
    <w:pPr>
      <w:ind w:firstLine="630"/>
    </w:pPr>
    <w:rPr>
      <w:sz w:val="32"/>
      <w:szCs w:val="20"/>
    </w:rPr>
  </w:style>
  <w:style w:type="paragraph" w:styleId="25">
    <w:name w:val="Balloon Text"/>
    <w:basedOn w:val="1"/>
    <w:link w:val="69"/>
    <w:qFormat/>
    <w:uiPriority w:val="0"/>
    <w:rPr>
      <w:sz w:val="18"/>
      <w:szCs w:val="18"/>
      <w:lang w:val="zh-CN"/>
    </w:rPr>
  </w:style>
  <w:style w:type="paragraph" w:styleId="26">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Subtitle"/>
    <w:basedOn w:val="1"/>
    <w:next w:val="1"/>
    <w:link w:val="68"/>
    <w:qFormat/>
    <w:uiPriority w:val="0"/>
    <w:pPr>
      <w:spacing w:line="312" w:lineRule="auto"/>
      <w:ind w:left="200" w:leftChars="200"/>
      <w:jc w:val="left"/>
      <w:outlineLvl w:val="1"/>
    </w:pPr>
    <w:rPr>
      <w:rFonts w:ascii="Cambria" w:hAnsi="Cambria"/>
      <w:b/>
      <w:bCs/>
      <w:kern w:val="28"/>
      <w:sz w:val="28"/>
      <w:szCs w:val="32"/>
    </w:rPr>
  </w:style>
  <w:style w:type="paragraph" w:styleId="29">
    <w:name w:val="List"/>
    <w:basedOn w:val="1"/>
    <w:qFormat/>
    <w:uiPriority w:val="0"/>
    <w:pPr>
      <w:ind w:left="200" w:hanging="200" w:hangingChars="200"/>
    </w:pPr>
    <w:rPr>
      <w:sz w:val="28"/>
    </w:rPr>
  </w:style>
  <w:style w:type="paragraph" w:styleId="30">
    <w:name w:val="Body Text Indent 3"/>
    <w:basedOn w:val="1"/>
    <w:link w:val="134"/>
    <w:qFormat/>
    <w:uiPriority w:val="0"/>
    <w:pPr>
      <w:spacing w:after="120"/>
      <w:ind w:left="420" w:leftChars="200"/>
    </w:pPr>
    <w:rPr>
      <w:sz w:val="16"/>
      <w:szCs w:val="16"/>
    </w:rPr>
  </w:style>
  <w:style w:type="paragraph" w:styleId="31">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2">
    <w:name w:val="Normal (Web)"/>
    <w:basedOn w:val="1"/>
    <w:qFormat/>
    <w:uiPriority w:val="0"/>
    <w:pPr>
      <w:widowControl/>
      <w:spacing w:before="100" w:beforeAutospacing="1" w:after="100" w:afterAutospacing="1"/>
      <w:jc w:val="left"/>
    </w:pPr>
    <w:rPr>
      <w:rFonts w:ascii="宋体" w:hAnsi="宋体"/>
      <w:kern w:val="0"/>
      <w:sz w:val="24"/>
    </w:rPr>
  </w:style>
  <w:style w:type="paragraph" w:styleId="33">
    <w:name w:val="annotation subject"/>
    <w:basedOn w:val="15"/>
    <w:next w:val="15"/>
    <w:link w:val="81"/>
    <w:qFormat/>
    <w:uiPriority w:val="0"/>
    <w:rPr>
      <w:b/>
      <w:bCs/>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rFonts w:ascii="Times New Roman" w:hAnsi="Times New Roman" w:eastAsia="宋体" w:cs="Times New Roman"/>
      <w:b/>
      <w:bCs/>
    </w:rPr>
  </w:style>
  <w:style w:type="character" w:styleId="38">
    <w:name w:val="page number"/>
    <w:qFormat/>
    <w:uiPriority w:val="0"/>
    <w:rPr>
      <w:rFonts w:ascii="Times New Roman" w:hAnsi="Times New Roman" w:eastAsia="宋体" w:cs="Times New Roman"/>
    </w:rPr>
  </w:style>
  <w:style w:type="character" w:styleId="39">
    <w:name w:val="FollowedHyperlink"/>
    <w:basedOn w:val="36"/>
    <w:semiHidden/>
    <w:unhideWhenUsed/>
    <w:qFormat/>
    <w:uiPriority w:val="99"/>
    <w:rPr>
      <w:color w:val="954F72" w:themeColor="followedHyperlink"/>
      <w:u w:val="single"/>
      <w14:textFill>
        <w14:solidFill>
          <w14:schemeClr w14:val="folHlink"/>
        </w14:solidFill>
      </w14:textFill>
    </w:rPr>
  </w:style>
  <w:style w:type="character" w:styleId="40">
    <w:name w:val="Emphasis"/>
    <w:qFormat/>
    <w:uiPriority w:val="0"/>
    <w:rPr>
      <w:rFonts w:ascii="Times New Roman" w:hAnsi="Times New Roman" w:eastAsia="宋体" w:cs="Times New Roman"/>
      <w:color w:val="CC0033"/>
    </w:rPr>
  </w:style>
  <w:style w:type="character" w:styleId="41">
    <w:name w:val="Hyperlink"/>
    <w:qFormat/>
    <w:uiPriority w:val="99"/>
    <w:rPr>
      <w:rFonts w:ascii="Times New Roman" w:hAnsi="Times New Roman" w:eastAsia="宋体" w:cs="Times New Roman"/>
      <w:color w:val="0000FF"/>
      <w:u w:val="single"/>
    </w:rPr>
  </w:style>
  <w:style w:type="character" w:styleId="42">
    <w:name w:val="annotation reference"/>
    <w:qFormat/>
    <w:uiPriority w:val="0"/>
    <w:rPr>
      <w:rFonts w:ascii="Times New Roman" w:hAnsi="Times New Roman" w:eastAsia="宋体" w:cs="Times New Roman"/>
      <w:sz w:val="21"/>
      <w:szCs w:val="21"/>
    </w:rPr>
  </w:style>
  <w:style w:type="character" w:customStyle="1" w:styleId="43">
    <w:name w:val="font21"/>
    <w:basedOn w:val="36"/>
    <w:qFormat/>
    <w:uiPriority w:val="0"/>
    <w:rPr>
      <w:rFonts w:hint="eastAsia" w:ascii="宋体" w:hAnsi="宋体" w:eastAsia="宋体" w:cs="宋体"/>
      <w:color w:val="000000"/>
      <w:sz w:val="20"/>
      <w:szCs w:val="20"/>
    </w:rPr>
  </w:style>
  <w:style w:type="character" w:customStyle="1" w:styleId="44">
    <w:name w:val="st1"/>
    <w:qFormat/>
    <w:uiPriority w:val="0"/>
    <w:rPr>
      <w:rFonts w:ascii="Times New Roman" w:hAnsi="Times New Roman" w:eastAsia="宋体" w:cs="Times New Roman"/>
    </w:rPr>
  </w:style>
  <w:style w:type="character" w:customStyle="1" w:styleId="45">
    <w:name w:val="标题 1 Char"/>
    <w:link w:val="3"/>
    <w:qFormat/>
    <w:uiPriority w:val="9"/>
    <w:rPr>
      <w:rFonts w:ascii="Times New Roman" w:hAnsi="Times New Roman" w:eastAsia="仿宋_GB2312" w:cs="Times New Roman"/>
      <w:b/>
      <w:bCs/>
      <w:kern w:val="44"/>
      <w:sz w:val="44"/>
      <w:szCs w:val="44"/>
      <w:lang w:val="en-US" w:eastAsia="zh-CN" w:bidi="ar-SA"/>
    </w:rPr>
  </w:style>
  <w:style w:type="character" w:customStyle="1" w:styleId="46">
    <w:name w:val="ca-2"/>
    <w:qFormat/>
    <w:uiPriority w:val="0"/>
    <w:rPr>
      <w:rFonts w:ascii="Times New Roman" w:hAnsi="Times New Roman" w:eastAsia="宋体" w:cs="Times New Roman"/>
    </w:rPr>
  </w:style>
  <w:style w:type="character" w:customStyle="1" w:styleId="47">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48">
    <w:name w:val="1ji Char"/>
    <w:link w:val="49"/>
    <w:qFormat/>
    <w:uiPriority w:val="0"/>
    <w:rPr>
      <w:rFonts w:ascii="宋体" w:hAnsi="宋体" w:eastAsia="仿宋_GB2312" w:cs="Times New Roman"/>
      <w:b/>
      <w:bCs/>
      <w:kern w:val="44"/>
      <w:sz w:val="36"/>
      <w:szCs w:val="44"/>
      <w:lang w:val="en-US" w:eastAsia="zh-CN" w:bidi="ar-SA"/>
    </w:rPr>
  </w:style>
  <w:style w:type="paragraph" w:customStyle="1" w:styleId="49">
    <w:name w:val="1ji"/>
    <w:basedOn w:val="3"/>
    <w:link w:val="48"/>
    <w:qFormat/>
    <w:uiPriority w:val="0"/>
    <w:pPr>
      <w:keepLines w:val="0"/>
      <w:widowControl/>
      <w:spacing w:before="0" w:after="0" w:line="240" w:lineRule="auto"/>
    </w:pPr>
    <w:rPr>
      <w:rFonts w:ascii="宋体" w:hAnsi="宋体"/>
      <w:sz w:val="36"/>
    </w:rPr>
  </w:style>
  <w:style w:type="character" w:customStyle="1" w:styleId="50">
    <w:name w:val="纯文本 Char"/>
    <w:link w:val="22"/>
    <w:qFormat/>
    <w:uiPriority w:val="0"/>
    <w:rPr>
      <w:rFonts w:ascii="宋体" w:hAnsi="Courier New" w:eastAsia="宋体" w:cs="Courier New"/>
      <w:kern w:val="2"/>
      <w:sz w:val="21"/>
      <w:szCs w:val="21"/>
      <w:lang w:val="en-US" w:eastAsia="zh-CN" w:bidi="ar-SA"/>
    </w:rPr>
  </w:style>
  <w:style w:type="character" w:customStyle="1" w:styleId="51">
    <w:name w:val="font41"/>
    <w:basedOn w:val="36"/>
    <w:qFormat/>
    <w:uiPriority w:val="0"/>
    <w:rPr>
      <w:rFonts w:hint="default" w:ascii="Times New Roman" w:hAnsi="Times New Roman" w:eastAsia="宋体" w:cs="Times New Roman"/>
      <w:color w:val="000000"/>
      <w:sz w:val="20"/>
      <w:szCs w:val="20"/>
    </w:rPr>
  </w:style>
  <w:style w:type="character" w:customStyle="1" w:styleId="52">
    <w:name w:val="font31"/>
    <w:qFormat/>
    <w:uiPriority w:val="0"/>
    <w:rPr>
      <w:rFonts w:hint="default" w:ascii="Times New Roman" w:hAnsi="Times New Roman" w:eastAsia="宋体" w:cs="Times New Roman"/>
      <w:color w:val="000000"/>
      <w:sz w:val="20"/>
      <w:szCs w:val="20"/>
    </w:rPr>
  </w:style>
  <w:style w:type="character" w:customStyle="1" w:styleId="53">
    <w:name w:val="apple-style-span"/>
    <w:qFormat/>
    <w:uiPriority w:val="0"/>
    <w:rPr>
      <w:rFonts w:ascii="Times New Roman" w:hAnsi="Times New Roman" w:eastAsia="宋体" w:cs="Times New Roman"/>
    </w:rPr>
  </w:style>
  <w:style w:type="character" w:customStyle="1" w:styleId="54">
    <w:name w:val="正文缩进 Char"/>
    <w:link w:val="7"/>
    <w:qFormat/>
    <w:uiPriority w:val="0"/>
    <w:rPr>
      <w:rFonts w:ascii="Times New Roman" w:hAnsi="Times New Roman" w:eastAsia="宋体" w:cs="Times New Roman"/>
      <w:kern w:val="2"/>
      <w:sz w:val="21"/>
      <w:lang w:val="en-US" w:eastAsia="zh-CN" w:bidi="ar-SA"/>
    </w:rPr>
  </w:style>
  <w:style w:type="character" w:customStyle="1" w:styleId="55">
    <w:name w:val="font51"/>
    <w:qFormat/>
    <w:uiPriority w:val="0"/>
    <w:rPr>
      <w:rFonts w:hint="default" w:ascii="Times New Roman" w:hAnsi="Times New Roman" w:eastAsia="宋体" w:cs="Times New Roman"/>
      <w:color w:val="000000"/>
      <w:sz w:val="20"/>
      <w:szCs w:val="20"/>
    </w:rPr>
  </w:style>
  <w:style w:type="character" w:customStyle="1" w:styleId="56">
    <w:name w:val="标题 3 Char"/>
    <w:link w:val="5"/>
    <w:qFormat/>
    <w:uiPriority w:val="0"/>
    <w:rPr>
      <w:rFonts w:ascii="Times New Roman" w:hAnsi="Times New Roman" w:eastAsia="宋体" w:cs="Times New Roman"/>
      <w:b/>
      <w:bCs/>
      <w:kern w:val="2"/>
      <w:sz w:val="32"/>
      <w:szCs w:val="32"/>
      <w:lang w:val="en-US" w:eastAsia="zh-CN" w:bidi="ar-SA"/>
    </w:rPr>
  </w:style>
  <w:style w:type="character" w:customStyle="1" w:styleId="57">
    <w:name w:val="apple-converted-space"/>
    <w:qFormat/>
    <w:uiPriority w:val="0"/>
    <w:rPr>
      <w:rFonts w:ascii="Times New Roman" w:hAnsi="Times New Roman" w:eastAsia="宋体" w:cs="Times New Roman"/>
    </w:rPr>
  </w:style>
  <w:style w:type="character" w:customStyle="1" w:styleId="58">
    <w:name w:val="Header Char"/>
    <w:qFormat/>
    <w:uiPriority w:val="0"/>
    <w:rPr>
      <w:rFonts w:ascii="Calibri" w:hAnsi="Calibri" w:eastAsia="宋体" w:cs="Times New Roman"/>
      <w:kern w:val="2"/>
      <w:sz w:val="18"/>
      <w:szCs w:val="18"/>
      <w:lang w:val="en-US" w:eastAsia="zh-CN" w:bidi="ar-SA"/>
    </w:rPr>
  </w:style>
  <w:style w:type="character" w:customStyle="1" w:styleId="59">
    <w:name w:val="Footer Char"/>
    <w:qFormat/>
    <w:uiPriority w:val="0"/>
    <w:rPr>
      <w:rFonts w:ascii="Calibri" w:hAnsi="Calibri" w:eastAsia="宋体" w:cs="Times New Roman"/>
      <w:kern w:val="2"/>
      <w:sz w:val="18"/>
      <w:szCs w:val="18"/>
      <w:lang w:val="en-US" w:eastAsia="zh-CN" w:bidi="ar-SA"/>
    </w:rPr>
  </w:style>
  <w:style w:type="character" w:customStyle="1" w:styleId="60">
    <w:name w:val="Plain Text Char"/>
    <w:qFormat/>
    <w:uiPriority w:val="0"/>
    <w:rPr>
      <w:rFonts w:ascii="宋体" w:hAnsi="Courier New" w:eastAsia="宋体" w:cs="Times New Roman"/>
      <w:lang w:bidi="ar-SA"/>
    </w:rPr>
  </w:style>
  <w:style w:type="character" w:customStyle="1" w:styleId="61">
    <w:name w:val="普通文字 Char Char3"/>
    <w:qFormat/>
    <w:uiPriority w:val="0"/>
    <w:rPr>
      <w:rFonts w:ascii="宋体" w:hAnsi="Times New Roman" w:eastAsia="宋体" w:cs="Courier New"/>
      <w:kern w:val="2"/>
      <w:sz w:val="21"/>
      <w:szCs w:val="21"/>
      <w:lang w:val="en-US" w:eastAsia="zh-CN" w:bidi="ar-SA"/>
    </w:rPr>
  </w:style>
  <w:style w:type="character" w:customStyle="1" w:styleId="62">
    <w:name w:val="样式 正文 +"/>
    <w:qFormat/>
    <w:uiPriority w:val="0"/>
    <w:rPr>
      <w:rFonts w:ascii="Times New Roman" w:hAnsi="Times New Roman" w:eastAsia="宋体" w:cs="Times New Roman"/>
      <w:kern w:val="0"/>
      <w:sz w:val="28"/>
    </w:rPr>
  </w:style>
  <w:style w:type="character" w:customStyle="1" w:styleId="63">
    <w:name w:val="正文文本缩进 Char"/>
    <w:link w:val="19"/>
    <w:qFormat/>
    <w:uiPriority w:val="0"/>
    <w:rPr>
      <w:rFonts w:ascii="仿宋_GB2312" w:hAnsi="Times New Roman" w:eastAsia="仿宋_GB2312" w:cs="Times New Roman"/>
      <w:kern w:val="2"/>
      <w:sz w:val="32"/>
      <w:lang w:val="en-US" w:eastAsia="zh-CN" w:bidi="ar-SA"/>
    </w:rPr>
  </w:style>
  <w:style w:type="character" w:customStyle="1" w:styleId="64">
    <w:name w:val="普通文字 Char Char2"/>
    <w:qFormat/>
    <w:uiPriority w:val="0"/>
    <w:rPr>
      <w:rFonts w:ascii="宋体" w:hAnsi="Courier New" w:eastAsia="宋体" w:cs="Times New Roman"/>
      <w:kern w:val="2"/>
      <w:sz w:val="21"/>
      <w:lang w:val="en-US" w:eastAsia="zh-CN" w:bidi="ar-SA"/>
    </w:rPr>
  </w:style>
  <w:style w:type="character" w:customStyle="1" w:styleId="65">
    <w:name w:val="页脚 Char"/>
    <w:link w:val="2"/>
    <w:qFormat/>
    <w:uiPriority w:val="99"/>
    <w:rPr>
      <w:rFonts w:ascii="Times New Roman" w:hAnsi="Times New Roman" w:eastAsia="宋体" w:cs="Times New Roman"/>
      <w:kern w:val="2"/>
      <w:sz w:val="18"/>
      <w:szCs w:val="18"/>
    </w:rPr>
  </w:style>
  <w:style w:type="character" w:customStyle="1" w:styleId="66">
    <w:name w:val="样式 宋体 小四"/>
    <w:qFormat/>
    <w:uiPriority w:val="0"/>
    <w:rPr>
      <w:rFonts w:ascii="宋体" w:hAnsi="宋体" w:eastAsia="宋体" w:cs="Times New Roman"/>
      <w:sz w:val="24"/>
    </w:rPr>
  </w:style>
  <w:style w:type="character" w:customStyle="1" w:styleId="67">
    <w:name w:val="页眉 Char"/>
    <w:link w:val="26"/>
    <w:qFormat/>
    <w:uiPriority w:val="99"/>
    <w:rPr>
      <w:rFonts w:ascii="Times New Roman" w:hAnsi="Times New Roman" w:eastAsia="宋体" w:cs="Times New Roman"/>
      <w:kern w:val="2"/>
      <w:sz w:val="18"/>
      <w:szCs w:val="18"/>
      <w:lang w:val="en-US" w:eastAsia="zh-CN" w:bidi="ar-SA"/>
    </w:rPr>
  </w:style>
  <w:style w:type="character" w:customStyle="1" w:styleId="68">
    <w:name w:val="副标题 Char"/>
    <w:link w:val="28"/>
    <w:qFormat/>
    <w:uiPriority w:val="0"/>
    <w:rPr>
      <w:rFonts w:ascii="Cambria" w:hAnsi="Cambria" w:eastAsia="宋体" w:cs="Times New Roman"/>
      <w:b/>
      <w:bCs/>
      <w:kern w:val="28"/>
      <w:sz w:val="28"/>
      <w:szCs w:val="32"/>
      <w:lang w:val="en-US" w:eastAsia="zh-CN" w:bidi="ar-SA"/>
    </w:rPr>
  </w:style>
  <w:style w:type="character" w:customStyle="1" w:styleId="69">
    <w:name w:val="批注框文本 Char"/>
    <w:link w:val="25"/>
    <w:qFormat/>
    <w:uiPriority w:val="0"/>
    <w:rPr>
      <w:rFonts w:ascii="Times New Roman" w:hAnsi="Times New Roman" w:eastAsia="宋体" w:cs="Times New Roman"/>
      <w:kern w:val="2"/>
      <w:sz w:val="18"/>
      <w:szCs w:val="18"/>
    </w:rPr>
  </w:style>
  <w:style w:type="character" w:customStyle="1" w:styleId="70">
    <w:name w:val="批注文字 Char"/>
    <w:link w:val="15"/>
    <w:qFormat/>
    <w:uiPriority w:val="0"/>
    <w:rPr>
      <w:rFonts w:ascii="Times New Roman" w:hAnsi="Times New Roman" w:eastAsia="宋体" w:cs="Times New Roman"/>
      <w:kern w:val="2"/>
      <w:sz w:val="21"/>
      <w:szCs w:val="24"/>
      <w:lang w:val="en-US" w:eastAsia="zh-CN" w:bidi="ar-SA"/>
    </w:rPr>
  </w:style>
  <w:style w:type="character" w:customStyle="1" w:styleId="71">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72">
    <w:name w:val="ca-1"/>
    <w:qFormat/>
    <w:uiPriority w:val="0"/>
    <w:rPr>
      <w:rFonts w:ascii="Times New Roman" w:hAnsi="Times New Roman" w:eastAsia="宋体" w:cs="Times New Roman"/>
    </w:rPr>
  </w:style>
  <w:style w:type="character" w:customStyle="1" w:styleId="73">
    <w:name w:val="正文360首行缩进 Char"/>
    <w:link w:val="74"/>
    <w:qFormat/>
    <w:uiPriority w:val="0"/>
    <w:rPr>
      <w:rFonts w:ascii="Times New Roman" w:hAnsi="Times New Roman" w:eastAsia="宋体" w:cs="Times New Roman"/>
      <w:sz w:val="24"/>
      <w:szCs w:val="24"/>
    </w:rPr>
  </w:style>
  <w:style w:type="paragraph" w:customStyle="1" w:styleId="74">
    <w:name w:val="正文360首行缩进"/>
    <w:basedOn w:val="1"/>
    <w:link w:val="73"/>
    <w:qFormat/>
    <w:uiPriority w:val="0"/>
    <w:pPr>
      <w:widowControl/>
      <w:spacing w:before="120" w:line="300" w:lineRule="auto"/>
      <w:ind w:firstLine="200"/>
      <w:jc w:val="left"/>
    </w:pPr>
    <w:rPr>
      <w:kern w:val="0"/>
      <w:sz w:val="24"/>
    </w:rPr>
  </w:style>
  <w:style w:type="character" w:customStyle="1" w:styleId="75">
    <w:name w:val="List Paragraph Char"/>
    <w:link w:val="76"/>
    <w:qFormat/>
    <w:locked/>
    <w:uiPriority w:val="0"/>
    <w:rPr>
      <w:rFonts w:ascii="宋体" w:hAnsi="宋体" w:cs="宋体"/>
      <w:sz w:val="24"/>
      <w:szCs w:val="24"/>
    </w:rPr>
  </w:style>
  <w:style w:type="paragraph" w:customStyle="1" w:styleId="76">
    <w:name w:val="列表段落1"/>
    <w:basedOn w:val="1"/>
    <w:link w:val="75"/>
    <w:qFormat/>
    <w:uiPriority w:val="0"/>
    <w:pPr>
      <w:widowControl/>
      <w:ind w:firstLine="420" w:firstLineChars="200"/>
      <w:jc w:val="left"/>
    </w:pPr>
    <w:rPr>
      <w:rFonts w:ascii="宋体" w:hAnsi="宋体"/>
      <w:kern w:val="0"/>
      <w:sz w:val="24"/>
      <w:lang w:val="zh-CN"/>
    </w:rPr>
  </w:style>
  <w:style w:type="character" w:customStyle="1" w:styleId="77">
    <w:name w:val="yyii"/>
    <w:qFormat/>
    <w:uiPriority w:val="0"/>
    <w:rPr>
      <w:rFonts w:ascii="Times New Roman" w:hAnsi="Times New Roman" w:eastAsia="宋体" w:cs="Times New Roman"/>
    </w:rPr>
  </w:style>
  <w:style w:type="character" w:customStyle="1" w:styleId="78">
    <w:name w:val="纯文本 Char1"/>
    <w:qFormat/>
    <w:uiPriority w:val="0"/>
    <w:rPr>
      <w:rFonts w:ascii="宋体" w:hAnsi="Courier New" w:eastAsia="宋体" w:cs="Times New Roman"/>
      <w:kern w:val="2"/>
      <w:sz w:val="21"/>
    </w:rPr>
  </w:style>
  <w:style w:type="character" w:customStyle="1" w:styleId="79">
    <w:name w:val="标题 1 Char1"/>
    <w:qFormat/>
    <w:uiPriority w:val="0"/>
    <w:rPr>
      <w:rFonts w:ascii="Times New Roman" w:hAnsi="Times New Roman" w:eastAsia="宋体" w:cs="Times New Roman"/>
      <w:b/>
      <w:bCs/>
      <w:kern w:val="44"/>
      <w:sz w:val="44"/>
      <w:szCs w:val="44"/>
    </w:rPr>
  </w:style>
  <w:style w:type="character" w:customStyle="1" w:styleId="80">
    <w:name w:val="标题 2 Char"/>
    <w:link w:val="4"/>
    <w:qFormat/>
    <w:uiPriority w:val="9"/>
    <w:rPr>
      <w:rFonts w:ascii="Arial" w:hAnsi="Arial" w:eastAsia="黑体"/>
      <w:b/>
      <w:bCs/>
      <w:kern w:val="2"/>
      <w:sz w:val="24"/>
      <w:szCs w:val="32"/>
    </w:rPr>
  </w:style>
  <w:style w:type="character" w:customStyle="1" w:styleId="81">
    <w:name w:val="批注主题 Char"/>
    <w:link w:val="33"/>
    <w:qFormat/>
    <w:uiPriority w:val="0"/>
    <w:rPr>
      <w:rFonts w:ascii="Times New Roman" w:hAnsi="Times New Roman" w:eastAsia="宋体" w:cs="Times New Roman"/>
      <w:b/>
      <w:bCs/>
      <w:kern w:val="2"/>
      <w:sz w:val="21"/>
      <w:szCs w:val="24"/>
      <w:lang w:val="en-US" w:eastAsia="zh-CN" w:bidi="ar-SA"/>
    </w:rPr>
  </w:style>
  <w:style w:type="paragraph" w:customStyle="1" w:styleId="82">
    <w:name w:val="目录 11"/>
    <w:basedOn w:val="1"/>
    <w:next w:val="1"/>
    <w:qFormat/>
    <w:uiPriority w:val="39"/>
  </w:style>
  <w:style w:type="paragraph" w:customStyle="1" w:styleId="83">
    <w:name w:val="目录 21"/>
    <w:basedOn w:val="1"/>
    <w:next w:val="1"/>
    <w:qFormat/>
    <w:uiPriority w:val="39"/>
    <w:pPr>
      <w:tabs>
        <w:tab w:val="right" w:leader="dot" w:pos="9402"/>
      </w:tabs>
      <w:ind w:left="718" w:leftChars="200" w:hanging="298" w:hangingChars="142"/>
    </w:pPr>
  </w:style>
  <w:style w:type="paragraph" w:customStyle="1" w:styleId="84">
    <w:name w:val="目录 31"/>
    <w:basedOn w:val="1"/>
    <w:next w:val="1"/>
    <w:qFormat/>
    <w:uiPriority w:val="39"/>
    <w:pPr>
      <w:ind w:left="840" w:leftChars="400"/>
    </w:pPr>
  </w:style>
  <w:style w:type="paragraph" w:customStyle="1" w:styleId="85">
    <w:name w:val="正文首行缩进1"/>
    <w:basedOn w:val="17"/>
    <w:qFormat/>
    <w:uiPriority w:val="0"/>
    <w:pPr>
      <w:spacing w:after="120" w:line="240" w:lineRule="auto"/>
      <w:ind w:firstLine="420" w:firstLineChars="100"/>
    </w:pPr>
    <w:rPr>
      <w:sz w:val="21"/>
    </w:rPr>
  </w:style>
  <w:style w:type="paragraph" w:customStyle="1" w:styleId="86">
    <w:name w:val="Char Char1 Char Char Char Char"/>
    <w:basedOn w:val="14"/>
    <w:qFormat/>
    <w:uiPriority w:val="0"/>
    <w:rPr>
      <w:rFonts w:ascii="Tahoma" w:hAnsi="Tahoma"/>
      <w:sz w:val="24"/>
    </w:rPr>
  </w:style>
  <w:style w:type="paragraph" w:customStyle="1" w:styleId="87">
    <w:name w:val="列出段落1"/>
    <w:basedOn w:val="1"/>
    <w:qFormat/>
    <w:uiPriority w:val="99"/>
    <w:pPr>
      <w:ind w:firstLine="420" w:firstLineChars="200"/>
    </w:pPr>
    <w:rPr>
      <w:rFonts w:ascii="Calibri" w:hAnsi="Calibri"/>
    </w:rPr>
  </w:style>
  <w:style w:type="paragraph" w:customStyle="1" w:styleId="88">
    <w:name w:val="Char Char Char1 Char"/>
    <w:basedOn w:val="14"/>
    <w:qFormat/>
    <w:uiPriority w:val="0"/>
  </w:style>
  <w:style w:type="paragraph" w:customStyle="1" w:styleId="89">
    <w:name w:val="pa-5"/>
    <w:basedOn w:val="1"/>
    <w:qFormat/>
    <w:uiPriority w:val="0"/>
    <w:pPr>
      <w:widowControl/>
      <w:spacing w:before="150" w:after="150"/>
      <w:jc w:val="left"/>
    </w:pPr>
    <w:rPr>
      <w:rFonts w:ascii="宋体" w:hAnsi="宋体" w:cs="宋体"/>
      <w:kern w:val="0"/>
      <w:sz w:val="24"/>
    </w:rPr>
  </w:style>
  <w:style w:type="paragraph" w:customStyle="1" w:styleId="90">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1">
    <w:name w:val="Char Char1 Char Char Char Char1"/>
    <w:basedOn w:val="14"/>
    <w:qFormat/>
    <w:uiPriority w:val="0"/>
    <w:rPr>
      <w:rFonts w:ascii="Tahoma" w:hAnsi="Tahoma"/>
      <w:sz w:val="24"/>
    </w:rPr>
  </w:style>
  <w:style w:type="paragraph" w:customStyle="1" w:styleId="92">
    <w:name w:val="_Style 35"/>
    <w:basedOn w:val="14"/>
    <w:qFormat/>
    <w:uiPriority w:val="0"/>
    <w:pPr>
      <w:widowControl/>
      <w:ind w:firstLine="454"/>
      <w:jc w:val="left"/>
    </w:pPr>
  </w:style>
  <w:style w:type="paragraph" w:customStyle="1" w:styleId="93">
    <w:name w:val="5 Char Char Char Char Char Char Char Char Char Char"/>
    <w:basedOn w:val="1"/>
    <w:qFormat/>
    <w:uiPriority w:val="0"/>
  </w:style>
  <w:style w:type="paragraph" w:customStyle="1" w:styleId="9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95">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96">
    <w:name w:val="默认段落字体 Para Char"/>
    <w:basedOn w:val="1"/>
    <w:qFormat/>
    <w:uiPriority w:val="0"/>
    <w:rPr>
      <w:szCs w:val="20"/>
    </w:rPr>
  </w:style>
  <w:style w:type="paragraph" w:customStyle="1" w:styleId="97">
    <w:name w:val="表格文字"/>
    <w:basedOn w:val="1"/>
    <w:qFormat/>
    <w:uiPriority w:val="0"/>
    <w:pPr>
      <w:spacing w:before="25" w:after="25"/>
      <w:jc w:val="left"/>
    </w:pPr>
    <w:rPr>
      <w:bCs/>
      <w:spacing w:val="10"/>
      <w:kern w:val="0"/>
      <w:sz w:val="24"/>
    </w:rPr>
  </w:style>
  <w:style w:type="paragraph" w:customStyle="1" w:styleId="98">
    <w:name w:val="_Style 7"/>
    <w:basedOn w:val="14"/>
    <w:qFormat/>
    <w:uiPriority w:val="0"/>
  </w:style>
  <w:style w:type="paragraph" w:customStyle="1" w:styleId="99">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默认段落字体 Para Char Char Char Char Char Char Char Char Char1 Char Char Char Char"/>
    <w:basedOn w:val="1"/>
    <w:qFormat/>
    <w:uiPriority w:val="0"/>
    <w:rPr>
      <w:rFonts w:ascii="Tahoma" w:hAnsi="Tahoma"/>
      <w:sz w:val="24"/>
      <w:szCs w:val="20"/>
    </w:rPr>
  </w:style>
  <w:style w:type="paragraph" w:customStyle="1" w:styleId="101">
    <w:name w:val="样式 标题 1 + 居中 段前: 0 磅 段后: 0 磅 行距: 固定值 30 磅"/>
    <w:basedOn w:val="3"/>
    <w:qFormat/>
    <w:uiPriority w:val="0"/>
    <w:pPr>
      <w:spacing w:before="0" w:after="0" w:line="600" w:lineRule="exact"/>
    </w:pPr>
    <w:rPr>
      <w:rFonts w:eastAsia="宋体" w:cs="宋体"/>
      <w:szCs w:val="20"/>
    </w:rPr>
  </w:style>
  <w:style w:type="paragraph" w:customStyle="1" w:styleId="102">
    <w:name w:val="样式 小四 行距: 1.5 倍行距"/>
    <w:basedOn w:val="1"/>
    <w:qFormat/>
    <w:uiPriority w:val="0"/>
    <w:pPr>
      <w:spacing w:line="360" w:lineRule="auto"/>
      <w:ind w:firstLine="480" w:firstLineChars="200"/>
    </w:pPr>
    <w:rPr>
      <w:rFonts w:cs="宋体"/>
      <w:sz w:val="24"/>
      <w:szCs w:val="20"/>
    </w:rPr>
  </w:style>
  <w:style w:type="paragraph" w:customStyle="1" w:styleId="103">
    <w:name w:val="p0"/>
    <w:basedOn w:val="1"/>
    <w:qFormat/>
    <w:uiPriority w:val="0"/>
    <w:pPr>
      <w:widowControl/>
    </w:pPr>
    <w:rPr>
      <w:rFonts w:ascii="宋体" w:hAnsi="宋体" w:cs="宋体"/>
      <w:kern w:val="0"/>
      <w:szCs w:val="21"/>
    </w:rPr>
  </w:style>
  <w:style w:type="paragraph" w:customStyle="1" w:styleId="104">
    <w:name w:val="Char Char Char Char Char Char Char Char Char Char Char Char"/>
    <w:basedOn w:val="1"/>
    <w:qFormat/>
    <w:uiPriority w:val="0"/>
    <w:pPr>
      <w:widowControl/>
      <w:spacing w:after="160" w:line="240" w:lineRule="exact"/>
      <w:jc w:val="left"/>
    </w:pPr>
  </w:style>
  <w:style w:type="paragraph" w:customStyle="1" w:styleId="105">
    <w:name w:val="Char Char Char1 Char1"/>
    <w:basedOn w:val="1"/>
    <w:qFormat/>
    <w:uiPriority w:val="0"/>
    <w:rPr>
      <w:rFonts w:ascii="Calibri" w:hAnsi="Calibri"/>
      <w:szCs w:val="22"/>
    </w:rPr>
  </w:style>
  <w:style w:type="paragraph" w:customStyle="1" w:styleId="106">
    <w:name w:val="Char Char Char Char Char Char Char"/>
    <w:basedOn w:val="1"/>
    <w:qFormat/>
    <w:uiPriority w:val="0"/>
  </w:style>
  <w:style w:type="paragraph" w:customStyle="1" w:styleId="107">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08">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09">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1">
    <w:name w:val="Char"/>
    <w:basedOn w:val="14"/>
    <w:qFormat/>
    <w:uiPriority w:val="0"/>
    <w:pPr>
      <w:widowControl/>
      <w:ind w:firstLine="454"/>
      <w:jc w:val="left"/>
    </w:pPr>
    <w:rPr>
      <w:rFonts w:ascii="Tahoma" w:hAnsi="Tahoma" w:cs="宋体"/>
      <w:kern w:val="0"/>
      <w:sz w:val="24"/>
      <w:szCs w:val="20"/>
    </w:rPr>
  </w:style>
  <w:style w:type="paragraph" w:customStyle="1" w:styleId="112">
    <w:name w:val="Char1"/>
    <w:basedOn w:val="14"/>
    <w:qFormat/>
    <w:uiPriority w:val="0"/>
    <w:pPr>
      <w:widowControl/>
      <w:ind w:firstLine="454"/>
      <w:jc w:val="left"/>
    </w:pPr>
    <w:rPr>
      <w:rFonts w:ascii="Tahoma" w:hAnsi="Tahoma" w:cs="宋体"/>
      <w:kern w:val="0"/>
      <w:sz w:val="24"/>
      <w:szCs w:val="20"/>
    </w:rPr>
  </w:style>
  <w:style w:type="paragraph" w:customStyle="1" w:styleId="113">
    <w:name w:val="1"/>
    <w:basedOn w:val="1"/>
    <w:next w:val="22"/>
    <w:qFormat/>
    <w:uiPriority w:val="0"/>
    <w:rPr>
      <w:rFonts w:ascii="宋体" w:hAnsi="Courier New"/>
      <w:szCs w:val="20"/>
    </w:rPr>
  </w:style>
  <w:style w:type="paragraph" w:customStyle="1" w:styleId="114">
    <w:name w:val="_Style 2"/>
    <w:basedOn w:val="1"/>
    <w:qFormat/>
    <w:uiPriority w:val="0"/>
    <w:pPr>
      <w:ind w:firstLine="420" w:firstLineChars="200"/>
    </w:pPr>
  </w:style>
  <w:style w:type="paragraph" w:customStyle="1" w:styleId="115">
    <w:name w:val="正文段"/>
    <w:basedOn w:val="1"/>
    <w:qFormat/>
    <w:uiPriority w:val="0"/>
    <w:pPr>
      <w:widowControl/>
      <w:snapToGrid w:val="0"/>
      <w:spacing w:after="156" w:afterLines="50"/>
      <w:ind w:firstLine="200" w:firstLineChars="200"/>
    </w:pPr>
    <w:rPr>
      <w:kern w:val="0"/>
      <w:sz w:val="24"/>
      <w:szCs w:val="20"/>
    </w:rPr>
  </w:style>
  <w:style w:type="paragraph" w:customStyle="1" w:styleId="116">
    <w:name w:val="列出段落2"/>
    <w:basedOn w:val="1"/>
    <w:qFormat/>
    <w:uiPriority w:val="34"/>
    <w:pPr>
      <w:ind w:firstLine="420" w:firstLineChars="200"/>
    </w:pPr>
    <w:rPr>
      <w:rFonts w:ascii="Calibri" w:hAnsi="Calibri"/>
      <w:szCs w:val="22"/>
    </w:rPr>
  </w:style>
  <w:style w:type="paragraph" w:styleId="117">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8">
    <w:name w:val="未处理的提及1"/>
    <w:basedOn w:val="36"/>
    <w:semiHidden/>
    <w:unhideWhenUsed/>
    <w:qFormat/>
    <w:uiPriority w:val="99"/>
    <w:rPr>
      <w:color w:val="605E5C"/>
      <w:shd w:val="clear" w:color="auto" w:fill="E1DFDD"/>
    </w:rPr>
  </w:style>
  <w:style w:type="character" w:customStyle="1" w:styleId="119">
    <w:name w:val="font81"/>
    <w:basedOn w:val="36"/>
    <w:qFormat/>
    <w:uiPriority w:val="0"/>
    <w:rPr>
      <w:rFonts w:hint="eastAsia" w:ascii="宋体" w:hAnsi="宋体" w:eastAsia="宋体" w:cs="宋体"/>
      <w:color w:val="000000"/>
      <w:sz w:val="18"/>
      <w:szCs w:val="18"/>
      <w:u w:val="none"/>
    </w:rPr>
  </w:style>
  <w:style w:type="paragraph" w:styleId="120">
    <w:name w:val="List Paragraph"/>
    <w:basedOn w:val="1"/>
    <w:qFormat/>
    <w:uiPriority w:val="34"/>
    <w:pPr>
      <w:ind w:firstLine="420" w:firstLineChars="200"/>
    </w:pPr>
  </w:style>
  <w:style w:type="character" w:customStyle="1" w:styleId="121">
    <w:name w:val="Unresolved Mention"/>
    <w:basedOn w:val="36"/>
    <w:semiHidden/>
    <w:unhideWhenUsed/>
    <w:qFormat/>
    <w:uiPriority w:val="99"/>
    <w:rPr>
      <w:color w:val="605E5C"/>
      <w:shd w:val="clear" w:color="auto" w:fill="E1DFDD"/>
    </w:rPr>
  </w:style>
  <w:style w:type="character" w:customStyle="1" w:styleId="122">
    <w:name w:val="纯文本 字符1"/>
    <w:qFormat/>
    <w:uiPriority w:val="0"/>
    <w:rPr>
      <w:rFonts w:ascii="宋体" w:hAnsi="Courier New" w:eastAsia="宋体" w:cs="Courier New"/>
      <w:kern w:val="2"/>
      <w:sz w:val="21"/>
      <w:szCs w:val="21"/>
      <w:lang w:val="en-US" w:eastAsia="zh-CN" w:bidi="ar-SA"/>
    </w:rPr>
  </w:style>
  <w:style w:type="paragraph" w:customStyle="1" w:styleId="12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24">
    <w:name w:val="标题 5 Char"/>
    <w:basedOn w:val="36"/>
    <w:link w:val="6"/>
    <w:qFormat/>
    <w:uiPriority w:val="0"/>
    <w:rPr>
      <w:b/>
      <w:kern w:val="2"/>
      <w:sz w:val="28"/>
      <w:szCs w:val="24"/>
    </w:rPr>
  </w:style>
  <w:style w:type="character" w:customStyle="1" w:styleId="125">
    <w:name w:val="标题 6 Char"/>
    <w:basedOn w:val="36"/>
    <w:link w:val="8"/>
    <w:qFormat/>
    <w:uiPriority w:val="0"/>
    <w:rPr>
      <w:rFonts w:ascii="Arial" w:hAnsi="Arial" w:eastAsia="黑体"/>
      <w:b/>
      <w:kern w:val="2"/>
      <w:sz w:val="24"/>
      <w:szCs w:val="24"/>
    </w:rPr>
  </w:style>
  <w:style w:type="character" w:customStyle="1" w:styleId="126">
    <w:name w:val="标题 7 Char"/>
    <w:basedOn w:val="36"/>
    <w:link w:val="9"/>
    <w:qFormat/>
    <w:uiPriority w:val="0"/>
    <w:rPr>
      <w:b/>
      <w:kern w:val="2"/>
      <w:sz w:val="24"/>
      <w:szCs w:val="24"/>
    </w:rPr>
  </w:style>
  <w:style w:type="character" w:customStyle="1" w:styleId="127">
    <w:name w:val="标题 8 Char"/>
    <w:basedOn w:val="36"/>
    <w:link w:val="10"/>
    <w:qFormat/>
    <w:uiPriority w:val="0"/>
    <w:rPr>
      <w:rFonts w:ascii="Arial" w:hAnsi="Arial" w:eastAsia="黑体"/>
      <w:kern w:val="2"/>
      <w:sz w:val="24"/>
      <w:szCs w:val="24"/>
    </w:rPr>
  </w:style>
  <w:style w:type="character" w:customStyle="1" w:styleId="128">
    <w:name w:val="标题 9 Char"/>
    <w:basedOn w:val="36"/>
    <w:link w:val="11"/>
    <w:qFormat/>
    <w:uiPriority w:val="0"/>
    <w:rPr>
      <w:rFonts w:ascii="Arial" w:hAnsi="Arial" w:eastAsia="黑体"/>
      <w:kern w:val="2"/>
      <w:sz w:val="21"/>
      <w:szCs w:val="24"/>
    </w:rPr>
  </w:style>
  <w:style w:type="character" w:customStyle="1" w:styleId="129">
    <w:name w:val="文档结构图 Char"/>
    <w:basedOn w:val="36"/>
    <w:link w:val="14"/>
    <w:qFormat/>
    <w:uiPriority w:val="0"/>
    <w:rPr>
      <w:kern w:val="2"/>
      <w:sz w:val="21"/>
      <w:szCs w:val="24"/>
      <w:shd w:val="clear" w:color="auto" w:fill="000080"/>
    </w:rPr>
  </w:style>
  <w:style w:type="character" w:customStyle="1" w:styleId="130">
    <w:name w:val="正文文本 3 Char"/>
    <w:basedOn w:val="36"/>
    <w:link w:val="16"/>
    <w:qFormat/>
    <w:uiPriority w:val="0"/>
    <w:rPr>
      <w:b/>
      <w:bCs/>
      <w:kern w:val="2"/>
      <w:sz w:val="24"/>
      <w:szCs w:val="24"/>
    </w:rPr>
  </w:style>
  <w:style w:type="character" w:customStyle="1" w:styleId="131">
    <w:name w:val="正文文本 Char"/>
    <w:basedOn w:val="36"/>
    <w:link w:val="17"/>
    <w:qFormat/>
    <w:uiPriority w:val="0"/>
    <w:rPr>
      <w:kern w:val="2"/>
      <w:sz w:val="24"/>
      <w:szCs w:val="24"/>
    </w:rPr>
  </w:style>
  <w:style w:type="character" w:customStyle="1" w:styleId="132">
    <w:name w:val="日期 Char"/>
    <w:basedOn w:val="36"/>
    <w:link w:val="23"/>
    <w:qFormat/>
    <w:uiPriority w:val="0"/>
    <w:rPr>
      <w:rFonts w:ascii="宋体" w:hAnsi="Courier New" w:cs="Courier New"/>
      <w:kern w:val="2"/>
      <w:sz w:val="21"/>
      <w:szCs w:val="21"/>
    </w:rPr>
  </w:style>
  <w:style w:type="character" w:customStyle="1" w:styleId="133">
    <w:name w:val="正文文本缩进 2 Char"/>
    <w:basedOn w:val="36"/>
    <w:link w:val="24"/>
    <w:qFormat/>
    <w:uiPriority w:val="0"/>
    <w:rPr>
      <w:kern w:val="2"/>
      <w:sz w:val="32"/>
    </w:rPr>
  </w:style>
  <w:style w:type="character" w:customStyle="1" w:styleId="134">
    <w:name w:val="正文文本缩进 3 Char"/>
    <w:basedOn w:val="36"/>
    <w:link w:val="30"/>
    <w:qFormat/>
    <w:uiPriority w:val="0"/>
    <w:rPr>
      <w:kern w:val="2"/>
      <w:sz w:val="16"/>
      <w:szCs w:val="16"/>
    </w:rPr>
  </w:style>
  <w:style w:type="character" w:customStyle="1" w:styleId="135">
    <w:name w:val="正文文本 2 Char"/>
    <w:basedOn w:val="36"/>
    <w:link w:val="18"/>
    <w:qFormat/>
    <w:uiPriority w:val="0"/>
    <w:rPr>
      <w:kern w:val="2"/>
      <w:sz w:val="21"/>
      <w:szCs w:val="24"/>
    </w:rPr>
  </w:style>
  <w:style w:type="character" w:customStyle="1" w:styleId="136">
    <w:name w:val="HTML 预设格式 Char"/>
    <w:basedOn w:val="36"/>
    <w:link w:val="31"/>
    <w:qFormat/>
    <w:uiPriority w:val="0"/>
    <w:rPr>
      <w:rFonts w:ascii="宋体" w:hAnsi="宋体" w:cs="宋体"/>
      <w:sz w:val="24"/>
      <w:szCs w:val="24"/>
    </w:rPr>
  </w:style>
  <w:style w:type="paragraph" w:customStyle="1" w:styleId="137">
    <w:name w:val="Default"/>
    <w:next w:val="23"/>
    <w:qFormat/>
    <w:uiPriority w:val="0"/>
    <w:pPr>
      <w:widowControl w:val="0"/>
      <w:autoSpaceDE w:val="0"/>
      <w:autoSpaceDN w:val="0"/>
      <w:adjustRightInd w:val="0"/>
      <w:spacing w:line="400" w:lineRule="exact"/>
      <w:ind w:firstLine="200" w:firstLineChars="200"/>
      <w:jc w:val="both"/>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6405</Words>
  <Characters>36509</Characters>
  <Lines>304</Lines>
  <Paragraphs>85</Paragraphs>
  <TotalTime>5</TotalTime>
  <ScaleCrop>false</ScaleCrop>
  <LinksUpToDate>false</LinksUpToDate>
  <CharactersWithSpaces>42829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2025-03-12T06:25:00Z</dcterms:created>
  <dc:creator>Huang Qian</dc:creator>
  <cp:lastModifiedBy>Lenovo</cp:lastModifiedBy>
  <cp:lastPrinted>2025-10-09T01:54:00Z</cp:lastPrinted>
  <dcterms:modified xsi:type="dcterms:W3CDTF">2025-10-09T08:24:55Z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41EB038EF5644A6788A0F71B2CDA97DC</vt:lpwstr>
  </property>
  <property fmtid="{D5CDD505-2E9C-101B-9397-08002B2CF9AE}" pid="4" name="KSOTemplateDocerSaveRecord">
    <vt:lpwstr>eyJoZGlkIjoiYTI4OGY0ZDY4YTYzYzlmMTkyNjk2NTZmZjQ1YTExMGIiLCJ1c2VySWQiOiI0NDcxNTM5NjQifQ==</vt:lpwstr>
  </property>
</Properties>
</file>