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4"/>
      <w:r>
        <w:rPr>
          <w:rFonts w:hint="eastAsia" w:ascii="方正小标宋_GBK" w:hAnsi="微软雅黑" w:eastAsia="方正小标宋_GBK"/>
          <w:color w:val="auto"/>
          <w:sz w:val="32"/>
          <w:szCs w:val="32"/>
          <w:highlight w:val="none"/>
          <w:lang w:eastAsia="zh-CN"/>
        </w:rPr>
        <w:t>钦州市DeepSeek大模型部署、AI智能应用及配套技术服务</w:t>
      </w:r>
      <w:bookmarkEnd w:id="1"/>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QZZC2025-C3-990307-QZSZ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202</w:t>
      </w:r>
      <w:r>
        <w:rPr>
          <w:rFonts w:hint="eastAsia" w:ascii="方正小标宋_GBK" w:hAnsi="微软雅黑" w:eastAsia="方正小标宋_GBK"/>
          <w:color w:val="auto"/>
          <w:sz w:val="32"/>
          <w:szCs w:val="32"/>
          <w:highlight w:val="none"/>
          <w:lang w:val="en-US" w:eastAsia="zh-CN"/>
        </w:rPr>
        <w:t>5</w:t>
      </w:r>
      <w:r>
        <w:rPr>
          <w:rFonts w:hint="eastAsia" w:ascii="方正小标宋_GBK" w:hAnsi="微软雅黑" w:eastAsia="方正小标宋_GBK"/>
          <w:color w:val="auto"/>
          <w:sz w:val="32"/>
          <w:szCs w:val="32"/>
          <w:highlight w:val="none"/>
        </w:rPr>
        <w:t>年</w:t>
      </w:r>
      <w:r>
        <w:rPr>
          <w:rFonts w:hint="eastAsia" w:ascii="方正小标宋_GBK" w:hAnsi="微软雅黑" w:eastAsia="方正小标宋_GBK"/>
          <w:color w:val="auto"/>
          <w:sz w:val="32"/>
          <w:szCs w:val="32"/>
          <w:highlight w:val="none"/>
          <w:lang w:eastAsia="zh-CN"/>
        </w:rPr>
        <w:t>10月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2"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3"/>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3"/>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3"/>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3"/>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3"/>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3"/>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32</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3" w:name="_Toc92355023"/>
      <w:r>
        <w:rPr>
          <w:rFonts w:hint="eastAsia" w:ascii="方正小标宋_GBK" w:hAnsi="宋体" w:eastAsia="方正小标宋_GBK"/>
          <w:color w:val="auto"/>
          <w:highlight w:val="none"/>
        </w:rPr>
        <w:t>第一章  竞争性磋商公告</w:t>
      </w:r>
      <w:bookmarkEnd w:id="2"/>
      <w:bookmarkEnd w:id="3"/>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钦州市DeepSeek大模型部署、AI智能应用及配套技术服务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QZZC2025-C3-990307-QZSZ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4"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钦州市DeepSeek大模型部署、AI智能应用及配套技术服务</w:t>
      </w:r>
      <w:r>
        <w:rPr>
          <w:rFonts w:hint="eastAsia" w:ascii="宋体" w:hAnsi="宋体"/>
          <w:color w:val="auto"/>
          <w:szCs w:val="21"/>
          <w:highlight w:val="none"/>
        </w:rPr>
        <w:t>项目的潜在供应商应在广西政府采购云平台（https://www.gcy.zfcg.gxzf.gov.cn/）获取采购文件，并于202</w:t>
      </w:r>
      <w:r>
        <w:rPr>
          <w:rFonts w:hint="eastAsia" w:ascii="宋体" w:hAnsi="宋体"/>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11月18</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4"/>
    <w:p>
      <w:pPr>
        <w:spacing w:line="400" w:lineRule="exact"/>
        <w:rPr>
          <w:b/>
          <w:color w:val="auto"/>
          <w:highlight w:val="none"/>
        </w:rPr>
      </w:pPr>
      <w:bookmarkStart w:id="5" w:name="_Toc28359079"/>
      <w:bookmarkStart w:id="6" w:name="_Toc35393621"/>
      <w:bookmarkStart w:id="7" w:name="_Toc35393790"/>
      <w:bookmarkStart w:id="8" w:name="_Toc28359002"/>
      <w:bookmarkStart w:id="9" w:name="_Hlk24379207"/>
      <w:bookmarkStart w:id="10" w:name="_Toc38370146"/>
      <w:r>
        <w:rPr>
          <w:rFonts w:hint="eastAsia"/>
          <w:b/>
          <w:color w:val="auto"/>
          <w:highlight w:val="none"/>
        </w:rPr>
        <w:t>一、项目基本情况</w:t>
      </w:r>
      <w:bookmarkEnd w:id="5"/>
      <w:bookmarkEnd w:id="6"/>
      <w:bookmarkEnd w:id="7"/>
      <w:bookmarkEnd w:id="8"/>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QZZC2025-C3-990307-QZSZ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钦州市DeepSeek大模型部署、AI智能应用及配套技术服务</w:t>
      </w:r>
    </w:p>
    <w:bookmarkEnd w:id="9"/>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1,440,000.00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钦州市DeepSeek大模型部署、AI智能应用及配套技术服务</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1,440,000.00</w:t>
      </w:r>
    </w:p>
    <w:p>
      <w:pPr>
        <w:spacing w:line="400" w:lineRule="exact"/>
        <w:ind w:firstLine="420"/>
        <w:rPr>
          <w:rFonts w:hint="eastAsia" w:eastAsia="宋体"/>
          <w:color w:val="auto"/>
          <w:highlight w:val="none"/>
          <w:lang w:eastAsia="zh-CN"/>
        </w:rPr>
      </w:pPr>
      <w:r>
        <w:rPr>
          <w:rFonts w:hint="eastAsia"/>
          <w:color w:val="auto"/>
          <w:highlight w:val="none"/>
        </w:rPr>
        <w:t>简要规格描述或项目基本概况介绍、用途：部署DeepSeek-R1大模型(671B)，搭建知识库并根据工作需要不断更新，为不少于1家三甲公立医院提供智能导检预问诊、健康宣教、护理宣教、检查检验结果解读等医疗领域的AI智能应用，并配套能满足该大模型部署及AI智能应用所需的云资源，以及1条100M点对点电子政务外网专线。采购费用为48万元/年，计划采购3年，即3年服务期费用为144万元。</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eastAsia="宋体"/>
          <w:color w:val="auto"/>
          <w:highlight w:val="none"/>
          <w:lang w:eastAsia="zh-CN"/>
        </w:rPr>
      </w:pPr>
      <w:r>
        <w:rPr>
          <w:rFonts w:hint="eastAsia"/>
          <w:color w:val="auto"/>
          <w:highlight w:val="none"/>
        </w:rPr>
        <w:t>合同履行期限：自签订合同之日起30个工作日内完成所有相关系统、设备、软件等内容的集成调试服务工作。</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1" w:name="_Toc35393622"/>
      <w:bookmarkStart w:id="12" w:name="_Toc28359080"/>
      <w:bookmarkStart w:id="13" w:name="_Toc35393791"/>
      <w:bookmarkStart w:id="14" w:name="_Toc28359003"/>
      <w:r>
        <w:rPr>
          <w:rFonts w:hint="eastAsia"/>
          <w:b/>
          <w:color w:val="auto"/>
          <w:highlight w:val="none"/>
        </w:rPr>
        <w:t>二、申请人的资格要求：</w:t>
      </w:r>
      <w:bookmarkEnd w:id="11"/>
      <w:bookmarkEnd w:id="12"/>
      <w:bookmarkEnd w:id="13"/>
      <w:bookmarkEnd w:id="14"/>
      <w:bookmarkStart w:id="15" w:name="_Toc28359004"/>
      <w:bookmarkStart w:id="16" w:name="_Toc28359081"/>
      <w:bookmarkStart w:id="17" w:name="_Toc35393623"/>
      <w:bookmarkStart w:id="18" w:name="_Toc35393792"/>
    </w:p>
    <w:p>
      <w:pPr>
        <w:spacing w:line="400" w:lineRule="exact"/>
        <w:ind w:firstLine="420"/>
        <w:rPr>
          <w:b/>
          <w:color w:val="auto"/>
          <w:highlight w:val="none"/>
        </w:rPr>
      </w:pPr>
      <w:bookmarkStart w:id="19"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0" w:lineRule="exact"/>
        <w:ind w:firstLine="435"/>
        <w:rPr>
          <w:color w:val="auto"/>
          <w:highlight w:val="none"/>
        </w:rPr>
      </w:pPr>
      <w:r>
        <w:rPr>
          <w:rFonts w:hint="eastAsia"/>
          <w:color w:val="auto"/>
          <w:highlight w:val="none"/>
        </w:rPr>
        <w:t>3.本项目的特定资格要求：无</w:t>
      </w:r>
    </w:p>
    <w:bookmarkEnd w:id="19"/>
    <w:p>
      <w:pPr>
        <w:spacing w:line="400" w:lineRule="exact"/>
        <w:rPr>
          <w:b/>
          <w:color w:val="auto"/>
          <w:highlight w:val="none"/>
        </w:rPr>
      </w:pPr>
      <w:r>
        <w:rPr>
          <w:rFonts w:hint="eastAsia"/>
          <w:b/>
          <w:color w:val="auto"/>
          <w:highlight w:val="none"/>
        </w:rPr>
        <w:t>三、获取采购文件</w:t>
      </w:r>
      <w:bookmarkEnd w:id="15"/>
      <w:bookmarkEnd w:id="16"/>
      <w:bookmarkEnd w:id="17"/>
      <w:bookmarkEnd w:id="18"/>
    </w:p>
    <w:p>
      <w:pPr>
        <w:spacing w:line="400" w:lineRule="exact"/>
        <w:ind w:firstLine="420"/>
        <w:jc w:val="left"/>
        <w:rPr>
          <w:color w:val="auto"/>
          <w:highlight w:val="none"/>
        </w:rPr>
      </w:pPr>
      <w:bookmarkStart w:id="20" w:name="_Toc38370141"/>
      <w:r>
        <w:rPr>
          <w:rFonts w:hint="eastAsia"/>
          <w:color w:val="auto"/>
          <w:highlight w:val="none"/>
        </w:rPr>
        <w:t>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10月31</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11月7</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1" w:name="_Hlk164066481"/>
      <w:r>
        <w:rPr>
          <w:rFonts w:hint="eastAsia" w:ascii="宋体" w:hAnsi="宋体"/>
          <w:color w:val="auto"/>
          <w:szCs w:val="21"/>
          <w:highlight w:val="none"/>
        </w:rPr>
        <w:t>广西政府采购云平台（https://www.gcy.zfcg.gxzf.gov.cn/）</w:t>
      </w:r>
      <w:bookmarkEnd w:id="21"/>
    </w:p>
    <w:p>
      <w:pPr>
        <w:spacing w:line="400" w:lineRule="exact"/>
        <w:ind w:firstLine="420"/>
        <w:rPr>
          <w:color w:val="auto"/>
          <w:highlight w:val="none"/>
        </w:rPr>
      </w:pPr>
      <w:r>
        <w:rPr>
          <w:rFonts w:hint="eastAsia"/>
          <w:color w:val="auto"/>
          <w:highlight w:val="none"/>
        </w:rPr>
        <w:t>方式：供应商登录广西政府采购云平台(以下称“政采云平台”)在线获取采购文件（进入“项目采购”应用选择项目，获取采购文件）</w:t>
      </w:r>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0"/>
      <w:bookmarkStart w:id="22" w:name="_Toc28359082"/>
      <w:bookmarkStart w:id="23" w:name="_Toc28359005"/>
      <w:bookmarkStart w:id="24" w:name="_Toc35393624"/>
      <w:bookmarkStart w:id="25" w:name="_Toc35393793"/>
      <w:r>
        <w:rPr>
          <w:rFonts w:hint="eastAsia"/>
          <w:b/>
          <w:color w:val="auto"/>
          <w:highlight w:val="none"/>
        </w:rPr>
        <w:t>响应文件</w:t>
      </w:r>
      <w:bookmarkEnd w:id="22"/>
      <w:bookmarkEnd w:id="23"/>
      <w:r>
        <w:rPr>
          <w:rFonts w:hint="eastAsia"/>
          <w:b/>
          <w:color w:val="auto"/>
          <w:highlight w:val="none"/>
        </w:rPr>
        <w:t>提交</w:t>
      </w:r>
      <w:bookmarkEnd w:id="24"/>
      <w:bookmarkEnd w:id="25"/>
    </w:p>
    <w:p>
      <w:pPr>
        <w:spacing w:line="400" w:lineRule="exact"/>
        <w:ind w:firstLine="420"/>
        <w:rPr>
          <w:color w:val="auto"/>
          <w:highlight w:val="none"/>
        </w:rPr>
      </w:pPr>
      <w:r>
        <w:rPr>
          <w:rFonts w:hint="eastAsia"/>
          <w:color w:val="auto"/>
          <w:highlight w:val="none"/>
        </w:rPr>
        <w:t>截止时间：202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11月18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6" w:name="OLE_LINK3"/>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6"/>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11月18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27" w:name="_Toc35393625"/>
      <w:bookmarkStart w:id="28" w:name="_Toc35393794"/>
      <w:bookmarkStart w:id="29" w:name="_Toc28359084"/>
      <w:bookmarkStart w:id="30" w:name="_Toc28359007"/>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27"/>
      <w:bookmarkEnd w:id="28"/>
      <w:bookmarkEnd w:id="29"/>
      <w:bookmarkEnd w:id="30"/>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1" w:name="_Toc28359085"/>
      <w:bookmarkStart w:id="32" w:name="_Toc35393796"/>
      <w:bookmarkStart w:id="33" w:name="_Toc28359008"/>
      <w:bookmarkStart w:id="34" w:name="_Toc35393627"/>
      <w:r>
        <w:rPr>
          <w:rFonts w:hint="eastAsia"/>
          <w:b/>
          <w:color w:val="auto"/>
          <w:highlight w:val="none"/>
        </w:rPr>
        <w:t>七、其他补充事宜</w:t>
      </w:r>
    </w:p>
    <w:p>
      <w:pPr>
        <w:spacing w:line="400" w:lineRule="exact"/>
        <w:ind w:firstLine="420"/>
        <w:rPr>
          <w:rFonts w:hint="default"/>
          <w:color w:val="auto"/>
          <w:highlight w:val="none"/>
          <w:lang w:val="en-US" w:eastAsia="zh-CN"/>
        </w:rPr>
      </w:pPr>
      <w:r>
        <w:rPr>
          <w:rFonts w:hint="eastAsia"/>
          <w:color w:val="auto"/>
          <w:highlight w:val="none"/>
          <w:lang w:val="en-US" w:eastAsia="zh-CN"/>
        </w:rPr>
        <w:t>1..本项目接受电信行业的投标人分支机构参与投标。</w:t>
      </w:r>
    </w:p>
    <w:p>
      <w:pPr>
        <w:spacing w:line="400" w:lineRule="exact"/>
        <w:ind w:firstLine="420"/>
        <w:rPr>
          <w:b/>
          <w:color w:val="auto"/>
          <w:highlight w:val="none"/>
        </w:rPr>
      </w:pPr>
      <w:r>
        <w:rPr>
          <w:rFonts w:hint="eastAsia"/>
          <w:color w:val="auto"/>
          <w:highlight w:val="none"/>
          <w:lang w:val="en-US" w:eastAsia="zh-CN"/>
        </w:rPr>
        <w:t>2</w:t>
      </w:r>
      <w:r>
        <w:rPr>
          <w:color w:val="auto"/>
          <w:highlight w:val="none"/>
        </w:rPr>
        <w:t>.</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3</w:t>
      </w:r>
      <w:r>
        <w:rPr>
          <w:color w:val="auto"/>
          <w:highlight w:val="none"/>
        </w:rPr>
        <w:t>.</w:t>
      </w:r>
      <w:bookmarkStart w:id="35" w:name="_Hlk91598380"/>
      <w:r>
        <w:rPr>
          <w:rFonts w:hint="eastAsia"/>
          <w:color w:val="auto"/>
          <w:highlight w:val="none"/>
        </w:rPr>
        <w:t>全流程电子化</w:t>
      </w:r>
      <w:bookmarkEnd w:id="35"/>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6"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3"/>
          <w:rFonts w:hint="eastAsia"/>
          <w:color w:val="auto"/>
          <w:highlight w:val="none"/>
        </w:rPr>
        <w:t>政采云电子卖场首页右上角—服务中心—帮助文档—项目采购</w:t>
      </w:r>
      <w:r>
        <w:rPr>
          <w:rStyle w:val="43"/>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3"/>
          <w:rFonts w:hint="eastAsia"/>
          <w:color w:val="auto"/>
          <w:highlight w:val="none"/>
        </w:rPr>
        <w:t>政采云电子卖场首页右上角—帮助文档—入驻与配置—CA管理</w:t>
      </w:r>
      <w:r>
        <w:rPr>
          <w:rStyle w:val="43"/>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3"/>
          <w:rFonts w:hint="eastAsia"/>
          <w:color w:val="auto"/>
          <w:highlight w:val="none"/>
        </w:rPr>
        <w:t>政采云平台—我的工作台右上角—CA管理—CA证书申领</w:t>
      </w:r>
      <w:r>
        <w:rPr>
          <w:rStyle w:val="43"/>
          <w:rFonts w:hint="eastAsia"/>
          <w:color w:val="auto"/>
          <w:highlight w:val="none"/>
        </w:rPr>
        <w:fldChar w:fldCharType="end"/>
      </w:r>
      <w:r>
        <w:rPr>
          <w:rFonts w:hint="eastAsia"/>
          <w:color w:val="auto"/>
          <w:highlight w:val="none"/>
        </w:rPr>
        <w:t>)</w:t>
      </w:r>
      <w:bookmarkEnd w:id="36"/>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3"/>
          <w:rFonts w:hint="eastAsia"/>
          <w:color w:val="auto"/>
          <w:highlight w:val="none"/>
        </w:rPr>
        <w:t>政府采购云平台</w:t>
      </w:r>
      <w:r>
        <w:rPr>
          <w:rStyle w:val="43"/>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37" w:name="_Hlk90367388"/>
      <w:r>
        <w:rPr>
          <w:rFonts w:hint="eastAsia" w:ascii="宋体" w:hAnsi="宋体" w:cs="Courier New"/>
          <w:color w:val="auto"/>
          <w:szCs w:val="21"/>
          <w:highlight w:val="none"/>
        </w:rPr>
        <w:t>政采云远程开标大厅</w:t>
      </w:r>
      <w:bookmarkEnd w:id="37"/>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38" w:name="_Hlk107409555"/>
      <w:bookmarkStart w:id="39" w:name="_Hlk108515619"/>
      <w:r>
        <w:rPr>
          <w:rFonts w:hint="eastAsia" w:hAnsi="宋体"/>
          <w:color w:val="auto"/>
          <w:highlight w:val="none"/>
          <w:lang w:val="en-US" w:eastAsia="zh-CN"/>
        </w:rPr>
        <w:t>5</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w:t>
      </w:r>
      <w:r>
        <w:rPr>
          <w:rFonts w:hint="eastAsia" w:hAnsi="宋体"/>
          <w:color w:val="auto"/>
          <w:highlight w:val="none"/>
        </w:rPr>
        <w:t>陈启梅</w:t>
      </w:r>
      <w:r>
        <w:rPr>
          <w:rFonts w:hAnsi="宋体"/>
          <w:color w:val="auto"/>
          <w:highlight w:val="none"/>
        </w:rPr>
        <w:t xml:space="preserve">  </w:t>
      </w:r>
      <w:r>
        <w:rPr>
          <w:rFonts w:hint="eastAsia" w:hAnsi="宋体"/>
          <w:color w:val="auto"/>
          <w:highlight w:val="none"/>
        </w:rPr>
        <w:t>联系方式：0777-2886006</w:t>
      </w:r>
      <w:bookmarkEnd w:id="38"/>
    </w:p>
    <w:bookmarkEnd w:id="39"/>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1"/>
      <w:bookmarkEnd w:id="32"/>
      <w:bookmarkEnd w:id="33"/>
      <w:bookmarkEnd w:id="34"/>
    </w:p>
    <w:p>
      <w:pPr>
        <w:spacing w:line="400" w:lineRule="exact"/>
        <w:ind w:firstLine="420" w:firstLineChars="200"/>
        <w:rPr>
          <w:color w:val="auto"/>
          <w:highlight w:val="none"/>
        </w:rPr>
      </w:pPr>
      <w:r>
        <w:rPr>
          <w:rFonts w:hint="eastAsia"/>
          <w:color w:val="auto"/>
          <w:highlight w:val="none"/>
        </w:rPr>
        <w:t>1.采购人信息</w:t>
      </w:r>
      <w:bookmarkEnd w:id="10"/>
    </w:p>
    <w:p>
      <w:pPr>
        <w:spacing w:line="400" w:lineRule="exact"/>
        <w:ind w:firstLine="420" w:firstLineChars="200"/>
        <w:rPr>
          <w:color w:val="auto"/>
          <w:highlight w:val="none"/>
        </w:rPr>
      </w:pPr>
      <w:r>
        <w:rPr>
          <w:rFonts w:hint="eastAsia"/>
          <w:color w:val="auto"/>
          <w:highlight w:val="none"/>
        </w:rPr>
        <w:t>名称：钦州市大数据发展局</w:t>
      </w:r>
    </w:p>
    <w:p>
      <w:pPr>
        <w:spacing w:line="400" w:lineRule="exact"/>
        <w:ind w:firstLine="420" w:firstLineChars="200"/>
        <w:rPr>
          <w:rFonts w:hint="default" w:eastAsia="宋体"/>
          <w:color w:val="auto"/>
          <w:highlight w:val="none"/>
          <w:lang w:val="en-US" w:eastAsia="zh-CN"/>
        </w:rPr>
      </w:pPr>
      <w:bookmarkStart w:id="40" w:name="_Toc38370147"/>
      <w:r>
        <w:rPr>
          <w:rFonts w:hint="eastAsia"/>
          <w:color w:val="auto"/>
          <w:highlight w:val="none"/>
        </w:rPr>
        <w:t>地址：</w:t>
      </w:r>
      <w:r>
        <w:rPr>
          <w:rFonts w:hint="eastAsia"/>
          <w:color w:val="auto"/>
          <w:highlight w:val="none"/>
          <w:lang w:eastAsia="zh-CN"/>
        </w:rPr>
        <w:t>钦州市</w:t>
      </w:r>
      <w:r>
        <w:rPr>
          <w:rFonts w:hint="eastAsia"/>
          <w:color w:val="auto"/>
          <w:highlight w:val="none"/>
        </w:rPr>
        <w:t>坭兴街</w:t>
      </w:r>
      <w:r>
        <w:rPr>
          <w:rFonts w:hint="eastAsia"/>
          <w:color w:val="auto"/>
          <w:highlight w:val="none"/>
          <w:lang w:val="en-US" w:eastAsia="zh-CN"/>
        </w:rPr>
        <w:t>666号</w:t>
      </w:r>
    </w:p>
    <w:p>
      <w:pPr>
        <w:spacing w:line="400" w:lineRule="exact"/>
        <w:ind w:firstLine="420" w:firstLineChars="200"/>
        <w:rPr>
          <w:color w:val="auto"/>
          <w:highlight w:val="none"/>
        </w:rPr>
      </w:pPr>
      <w:r>
        <w:rPr>
          <w:rFonts w:hint="eastAsia"/>
          <w:color w:val="auto"/>
          <w:highlight w:val="none"/>
        </w:rPr>
        <w:t>项目联系人：陈伟良</w:t>
      </w:r>
    </w:p>
    <w:p>
      <w:pPr>
        <w:spacing w:line="400" w:lineRule="exact"/>
        <w:ind w:firstLine="420" w:firstLineChars="200"/>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0777-3689080</w:t>
      </w:r>
    </w:p>
    <w:bookmarkEnd w:id="40"/>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项目联系方式：</w:t>
      </w:r>
      <w:bookmarkStart w:id="41" w:name="_Toc28359010"/>
      <w:bookmarkStart w:id="42" w:name="_Toc28359087"/>
      <w:r>
        <w:rPr>
          <w:rFonts w:hint="eastAsia" w:hAnsi="宋体"/>
          <w:color w:val="auto"/>
          <w:highlight w:val="none"/>
        </w:rPr>
        <w:t>0777-2886022</w:t>
      </w:r>
      <w:r>
        <w:rPr>
          <w:rFonts w:hint="eastAsia" w:hAnsi="宋体"/>
          <w:color w:val="auto"/>
          <w:highlight w:val="none"/>
          <w:lang w:eastAsia="zh-CN"/>
        </w:rPr>
        <w:t>、0777-2886006</w:t>
      </w:r>
    </w:p>
    <w:p>
      <w:pPr>
        <w:widowControl/>
        <w:jc w:val="left"/>
        <w:rPr>
          <w:color w:val="auto"/>
          <w:highlight w:val="none"/>
        </w:rPr>
      </w:pPr>
      <w:r>
        <w:rPr>
          <w:color w:val="auto"/>
          <w:highlight w:val="none"/>
        </w:rPr>
        <w:br w:type="page"/>
      </w:r>
    </w:p>
    <w:p>
      <w:pPr>
        <w:rPr>
          <w:color w:val="auto"/>
          <w:highlight w:val="none"/>
        </w:rPr>
      </w:pPr>
    </w:p>
    <w:bookmarkEnd w:id="41"/>
    <w:bookmarkEnd w:id="42"/>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43" w:name="_Toc92355024"/>
      <w:r>
        <w:rPr>
          <w:rFonts w:hint="eastAsia" w:ascii="方正小标宋_GBK" w:hAnsi="宋体" w:eastAsia="方正小标宋_GBK"/>
          <w:color w:val="auto"/>
          <w:highlight w:val="none"/>
        </w:rPr>
        <w:t>第二章  项目需求</w:t>
      </w:r>
      <w:bookmarkEnd w:id="43"/>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4" w:name="_Hlk89960406"/>
      <w:bookmarkStart w:id="45" w:name="_Toc354479498"/>
      <w:bookmarkStart w:id="46" w:name="_Toc358477280"/>
      <w:r>
        <w:rPr>
          <w:rFonts w:hint="eastAsia" w:ascii="宋体" w:hAnsi="宋体"/>
          <w:color w:val="auto"/>
          <w:szCs w:val="21"/>
          <w:highlight w:val="none"/>
        </w:rPr>
        <w:t>采购预算：</w:t>
      </w:r>
      <w:r>
        <w:rPr>
          <w:rFonts w:hint="eastAsia" w:ascii="宋体" w:hAnsi="宋体"/>
          <w:color w:val="auto"/>
          <w:szCs w:val="21"/>
          <w:highlight w:val="none"/>
          <w:lang w:val="en-US" w:eastAsia="zh-CN"/>
        </w:rPr>
        <w:t>壹佰肆拾肆万元整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1,440,000.00</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ascii="宋体" w:hAnsi="宋体"/>
          <w:color w:val="auto"/>
          <w:szCs w:val="21"/>
          <w:highlight w:val="none"/>
        </w:rPr>
      </w:pPr>
      <w:r>
        <w:rPr>
          <w:rFonts w:hint="eastAsia" w:ascii="宋体" w:hAnsi="宋体"/>
          <w:color w:val="auto"/>
          <w:szCs w:val="21"/>
          <w:highlight w:val="none"/>
        </w:rPr>
        <w:t>二、本项目对应的中小企业划分标准所属行业为：软件和信息技术服务业</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rPr>
          <w:rFonts w:ascii="宋体" w:hAnsi="宋体"/>
          <w:color w:val="auto"/>
          <w:szCs w:val="21"/>
          <w:highlight w:val="none"/>
        </w:rPr>
      </w:pPr>
      <w:r>
        <w:rPr>
          <w:rFonts w:hint="eastAsia" w:ascii="宋体" w:hAnsi="宋体"/>
          <w:color w:val="auto"/>
          <w:szCs w:val="21"/>
          <w:highlight w:val="none"/>
        </w:rPr>
        <w:t>四、项目需求：</w:t>
      </w:r>
      <w:bookmarkEnd w:id="44"/>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1.本表中的品牌型号、技术参数及其性能（配置）仅起参考作用，供应商可选用其他品牌型号替代，但这些替代的品牌型号要实质上相当于或优于参考品牌型号及其技术参数性能（配置）要求。</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3.本项目不接受供应商提供通过中国海关报关验放进入中国境内且产自关境外的产品。</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bookmarkStart w:id="47" w:name="OLE_LINK1"/>
      <w:r>
        <w:rPr>
          <w:rFonts w:hint="eastAsia" w:ascii="宋体" w:hAnsi="宋体"/>
          <w:color w:val="auto"/>
          <w:szCs w:val="21"/>
          <w:highlight w:val="none"/>
        </w:rPr>
        <w:t>标注★号的技术参数为实质性响应条款，要求必须满足或优于，否则视为无效响应文件。</w:t>
      </w:r>
    </w:p>
    <w:bookmarkEnd w:id="47"/>
    <w:p>
      <w:pPr>
        <w:spacing w:line="460" w:lineRule="exact"/>
        <w:ind w:firstLine="420" w:firstLineChars="200"/>
        <w:rPr>
          <w:rFonts w:hint="eastAsia" w:ascii="宋体" w:hAnsi="宋体"/>
          <w:color w:val="auto"/>
          <w:szCs w:val="21"/>
          <w:highlight w:val="none"/>
        </w:rPr>
      </w:pPr>
    </w:p>
    <w:p>
      <w:pPr>
        <w:widowControl/>
        <w:spacing w:line="460" w:lineRule="exact"/>
        <w:jc w:val="left"/>
        <w:rPr>
          <w:rFonts w:ascii="宋体" w:hAnsi="宋体"/>
          <w:b/>
          <w:color w:val="auto"/>
          <w:szCs w:val="21"/>
          <w:highlight w:val="none"/>
        </w:rPr>
      </w:pPr>
    </w:p>
    <w:p>
      <w:pPr>
        <w:ind w:firstLine="482"/>
        <w:rPr>
          <w:rFonts w:hint="eastAsia" w:eastAsia="宋体"/>
          <w:b/>
          <w:color w:val="auto"/>
          <w:sz w:val="24"/>
          <w:highlight w:val="none"/>
          <w:lang w:eastAsia="zh-CN"/>
        </w:rPr>
      </w:pPr>
      <w:r>
        <w:rPr>
          <w:color w:val="auto"/>
          <w:highlight w:val="none"/>
        </w:rPr>
        <w:br w:type="page"/>
      </w:r>
    </w:p>
    <w:tbl>
      <w:tblPr>
        <w:tblStyle w:val="36"/>
        <w:tblW w:w="9954" w:type="dxa"/>
        <w:tblInd w:w="16" w:type="dxa"/>
        <w:tblLayout w:type="fixed"/>
        <w:tblCellMar>
          <w:top w:w="0" w:type="dxa"/>
          <w:left w:w="108" w:type="dxa"/>
          <w:bottom w:w="0" w:type="dxa"/>
          <w:right w:w="108" w:type="dxa"/>
        </w:tblCellMar>
      </w:tblPr>
      <w:tblGrid>
        <w:gridCol w:w="705"/>
        <w:gridCol w:w="1686"/>
        <w:gridCol w:w="725"/>
        <w:gridCol w:w="722"/>
        <w:gridCol w:w="5166"/>
        <w:gridCol w:w="950"/>
      </w:tblGrid>
      <w:tr>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服务技术参数及功能要求</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0" w:firstLineChars="0"/>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备注</w:t>
            </w:r>
          </w:p>
        </w:tc>
      </w:tr>
      <w:tr>
        <w:tblPrEx>
          <w:tblCellMar>
            <w:top w:w="0" w:type="dxa"/>
            <w:left w:w="108" w:type="dxa"/>
            <w:bottom w:w="0" w:type="dxa"/>
            <w:right w:w="108" w:type="dxa"/>
          </w:tblCellMar>
        </w:tblPrEx>
        <w:trPr>
          <w:trHeight w:val="2337"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DeepSeek-R1大模型部署服务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ind w:firstLine="210" w:firstLineChars="100"/>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部署DeepSeek-R1大模型(671B)，搭建知识库并根据工作需要不断更新，为不少于1家三甲公立医院提供智能导检预问诊、健康宣教、护理宣教、检查检验结果解读等医疗领域的AI智能应用。</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170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计算节点</w:t>
            </w:r>
            <w:r>
              <w:rPr>
                <w:rFonts w:hint="eastAsia" w:ascii="宋体" w:hAnsi="宋体" w:cs="宋体"/>
                <w:i w:val="0"/>
                <w:iCs w:val="0"/>
                <w:color w:val="auto"/>
                <w:kern w:val="0"/>
                <w:sz w:val="21"/>
                <w:szCs w:val="21"/>
                <w:highlight w:val="none"/>
                <w:u w:val="none"/>
                <w:lang w:val="en-US" w:eastAsia="zh-CN" w:bidi="ar"/>
              </w:rPr>
              <w:t>通算使用</w:t>
            </w:r>
            <w:r>
              <w:rPr>
                <w:rFonts w:hint="eastAsia" w:ascii="宋体" w:hAnsi="宋体" w:eastAsia="宋体" w:cs="宋体"/>
                <w:i w:val="0"/>
                <w:iCs w:val="0"/>
                <w:color w:val="auto"/>
                <w:kern w:val="0"/>
                <w:sz w:val="21"/>
                <w:szCs w:val="21"/>
                <w:highlight w:val="none"/>
                <w:u w:val="none"/>
                <w:lang w:val="en-US" w:eastAsia="zh-CN" w:bidi="ar"/>
              </w:rPr>
              <w:t>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sz w:val="21"/>
                <w:szCs w:val="21"/>
                <w:highlight w:val="none"/>
                <w:u w:val="none"/>
                <w:lang w:val="en-US" w:eastAsia="zh-CN"/>
              </w:rPr>
              <w:t>4</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CPU：2*Kunpeng920，64Core@2.6GHz。内存：512GB主频&gt;=2666MHz。硬盘：2*480GSATASSD。Raid卡：1*9560-8i。网卡：4*GE+3*2*25GE/10GE。</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7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计算节点</w:t>
            </w:r>
            <w:r>
              <w:rPr>
                <w:rFonts w:hint="eastAsia" w:ascii="宋体" w:hAnsi="宋体" w:cs="宋体"/>
                <w:i w:val="0"/>
                <w:iCs w:val="0"/>
                <w:color w:val="auto"/>
                <w:kern w:val="0"/>
                <w:sz w:val="21"/>
                <w:szCs w:val="21"/>
                <w:highlight w:val="none"/>
                <w:u w:val="none"/>
                <w:lang w:val="en-US" w:eastAsia="zh-CN" w:bidi="ar"/>
              </w:rPr>
              <w:t>智算使用</w:t>
            </w:r>
            <w:r>
              <w:rPr>
                <w:rFonts w:hint="eastAsia" w:ascii="宋体" w:hAnsi="宋体" w:eastAsia="宋体" w:cs="宋体"/>
                <w:i w:val="0"/>
                <w:iCs w:val="0"/>
                <w:color w:val="auto"/>
                <w:kern w:val="0"/>
                <w:sz w:val="21"/>
                <w:szCs w:val="21"/>
                <w:highlight w:val="none"/>
                <w:u w:val="none"/>
                <w:lang w:val="en-US" w:eastAsia="zh-CN" w:bidi="ar"/>
              </w:rPr>
              <w:t>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sz w:val="21"/>
                <w:szCs w:val="21"/>
                <w:highlight w:val="none"/>
                <w:u w:val="none"/>
                <w:lang w:val="en-US" w:eastAsia="zh-CN"/>
              </w:rPr>
              <w:t>4</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CPU：4*Kunpeng920，48Core@2.6GHz。内存：1536GB主频&gt;=2666MHz。硬盘：3*7680GBPCIENVME。GPU卡：8*910B（313T）。网卡：1*SDI5.0+4*2*200GE板载。</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7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管理面交换机</w:t>
            </w:r>
            <w:r>
              <w:rPr>
                <w:rFonts w:hint="eastAsia" w:ascii="宋体" w:hAnsi="宋体" w:cs="宋体"/>
                <w:i w:val="0"/>
                <w:iCs w:val="0"/>
                <w:color w:val="auto"/>
                <w:kern w:val="0"/>
                <w:sz w:val="21"/>
                <w:szCs w:val="21"/>
                <w:highlight w:val="none"/>
                <w:u w:val="none"/>
                <w:lang w:val="en-US" w:eastAsia="zh-CN" w:bidi="ar"/>
              </w:rPr>
              <w:t>使用</w:t>
            </w:r>
            <w:r>
              <w:rPr>
                <w:rFonts w:hint="eastAsia" w:ascii="宋体" w:hAnsi="宋体" w:eastAsia="宋体" w:cs="宋体"/>
                <w:i w:val="0"/>
                <w:iCs w:val="0"/>
                <w:color w:val="auto"/>
                <w:kern w:val="0"/>
                <w:sz w:val="21"/>
                <w:szCs w:val="21"/>
                <w:highlight w:val="none"/>
                <w:u w:val="none"/>
                <w:lang w:val="en-US" w:eastAsia="zh-CN" w:bidi="ar"/>
              </w:rPr>
              <w:t>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i w:val="0"/>
                <w:iCs w:val="0"/>
                <w:color w:val="auto"/>
                <w:sz w:val="21"/>
                <w:szCs w:val="21"/>
                <w:highlight w:val="none"/>
                <w:u w:val="none"/>
                <w:lang w:val="en-US" w:eastAsia="zh-CN"/>
              </w:rPr>
              <w:t>2</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端口：32个40/100GE，4个200GE</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交换容量：8Tbps/128Tbps</w:t>
            </w:r>
          </w:p>
          <w:p>
            <w:pPr>
              <w:keepNext w:val="0"/>
              <w:keepLines w:val="0"/>
              <w:widowControl/>
              <w:suppressLineNumbers w:val="0"/>
              <w:spacing w:line="360" w:lineRule="auto"/>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包转发率：2400Mpps</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7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参数面交换机</w:t>
            </w:r>
            <w:r>
              <w:rPr>
                <w:rFonts w:hint="eastAsia" w:ascii="宋体" w:hAnsi="宋体" w:cs="宋体"/>
                <w:i w:val="0"/>
                <w:iCs w:val="0"/>
                <w:color w:val="auto"/>
                <w:kern w:val="0"/>
                <w:sz w:val="21"/>
                <w:szCs w:val="21"/>
                <w:highlight w:val="none"/>
                <w:u w:val="none"/>
                <w:lang w:val="en-US" w:eastAsia="zh-CN" w:bidi="ar"/>
              </w:rPr>
              <w:t>使用</w:t>
            </w:r>
            <w:r>
              <w:rPr>
                <w:rFonts w:hint="eastAsia" w:ascii="宋体" w:hAnsi="宋体" w:eastAsia="宋体" w:cs="宋体"/>
                <w:i w:val="0"/>
                <w:iCs w:val="0"/>
                <w:color w:val="auto"/>
                <w:kern w:val="0"/>
                <w:sz w:val="21"/>
                <w:szCs w:val="21"/>
                <w:highlight w:val="none"/>
                <w:u w:val="none"/>
                <w:lang w:val="en-US" w:eastAsia="zh-CN" w:bidi="ar"/>
              </w:rPr>
              <w:t>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sz w:val="21"/>
                <w:szCs w:val="21"/>
                <w:highlight w:val="none"/>
                <w:u w:val="none"/>
                <w:lang w:val="en-US" w:eastAsia="zh-CN"/>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端口：32个400GE，2个10GE</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交换容量：25.6Tbps</w:t>
            </w:r>
          </w:p>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包转发率：8000Mpps</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7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接入管理交换机</w:t>
            </w:r>
            <w:r>
              <w:rPr>
                <w:rFonts w:hint="eastAsia" w:ascii="宋体" w:hAnsi="宋体" w:cs="宋体"/>
                <w:i w:val="0"/>
                <w:iCs w:val="0"/>
                <w:color w:val="auto"/>
                <w:kern w:val="0"/>
                <w:sz w:val="21"/>
                <w:szCs w:val="21"/>
                <w:highlight w:val="none"/>
                <w:u w:val="none"/>
                <w:lang w:val="en-US" w:eastAsia="zh-CN" w:bidi="ar"/>
              </w:rPr>
              <w:t>使用</w:t>
            </w:r>
            <w:r>
              <w:rPr>
                <w:rFonts w:hint="eastAsia" w:ascii="宋体" w:hAnsi="宋体" w:eastAsia="宋体" w:cs="宋体"/>
                <w:i w:val="0"/>
                <w:iCs w:val="0"/>
                <w:color w:val="auto"/>
                <w:kern w:val="0"/>
                <w:sz w:val="21"/>
                <w:szCs w:val="21"/>
                <w:highlight w:val="none"/>
                <w:u w:val="none"/>
                <w:lang w:val="en-US" w:eastAsia="zh-CN" w:bidi="ar"/>
              </w:rPr>
              <w:t>服务</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sz w:val="21"/>
                <w:szCs w:val="21"/>
                <w:highlight w:val="none"/>
                <w:u w:val="none"/>
                <w:lang w:val="en-US" w:eastAsia="zh-CN"/>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端口：48个10/100/1000Base-T以太网口，4个万兆SPF+</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交换容量：2/20Tbps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包转发率：620Mpps</w:t>
            </w:r>
          </w:p>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支持三层交换服务</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部署在电子政务外网</w:t>
            </w:r>
          </w:p>
        </w:tc>
      </w:tr>
      <w:tr>
        <w:tblPrEx>
          <w:tblCellMar>
            <w:top w:w="0" w:type="dxa"/>
            <w:left w:w="108" w:type="dxa"/>
            <w:bottom w:w="0" w:type="dxa"/>
            <w:right w:w="108" w:type="dxa"/>
          </w:tblCellMar>
        </w:tblPrEx>
        <w:trPr>
          <w:trHeight w:val="72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210" w:firstLineChars="100"/>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cs="宋体"/>
                <w:color w:val="auto"/>
                <w:kern w:val="0"/>
                <w:sz w:val="21"/>
                <w:szCs w:val="21"/>
                <w:highlight w:val="none"/>
              </w:rPr>
            </w:pPr>
            <w:r>
              <w:rPr>
                <w:rFonts w:hint="eastAsia" w:ascii="宋体" w:hAnsi="宋体" w:eastAsia="宋体" w:cs="宋体"/>
                <w:i w:val="0"/>
                <w:iCs w:val="0"/>
                <w:color w:val="auto"/>
                <w:sz w:val="21"/>
                <w:szCs w:val="21"/>
                <w:highlight w:val="none"/>
                <w:u w:val="none"/>
                <w:lang w:val="en-US" w:eastAsia="zh-CN"/>
              </w:rPr>
              <w:t>电子政务外网专线</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sz w:val="21"/>
                <w:szCs w:val="21"/>
                <w:highlight w:val="none"/>
                <w:u w:val="none"/>
                <w:lang w:val="en-US" w:eastAsia="zh-CN"/>
              </w:rPr>
              <w:t>1</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5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1.服务期：3年；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2.速率：上、下行不低于100Mbps；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3.线路连接方式：IPRAN点对点光纤专线线路或更先进的专用专线；</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4.线路技术指标：</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（1）线路可用率≥99.50%；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（2）系统端到端的时延上限400ms，其中网络时延不超过50ms；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（3）网络丢包率上限值为1×10-3；</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（4）包误差率上限值为1×10-4；</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5.具备自愈保护功能接入段节点业务恢复时间小于50ms。</w:t>
            </w:r>
          </w:p>
          <w:p>
            <w:pPr>
              <w:keepNext w:val="0"/>
              <w:keepLines w:val="0"/>
              <w:widowControl/>
              <w:suppressLineNumbers w:val="0"/>
              <w:spacing w:line="360" w:lineRule="auto"/>
              <w:jc w:val="left"/>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6.线路从钦州市行政信息中心10楼机房连接至中国-东盟（钦州）华为云计算及大数据中心4楼机房，并结合实际可灵活调整。</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auto"/>
                <w:sz w:val="21"/>
                <w:szCs w:val="21"/>
                <w:highlight w:val="none"/>
              </w:rPr>
            </w:pPr>
          </w:p>
        </w:tc>
      </w:tr>
      <w:tr>
        <w:tblPrEx>
          <w:tblCellMar>
            <w:top w:w="0" w:type="dxa"/>
            <w:left w:w="108" w:type="dxa"/>
            <w:bottom w:w="0" w:type="dxa"/>
            <w:right w:w="108" w:type="dxa"/>
          </w:tblCellMar>
        </w:tblPrEx>
        <w:trPr>
          <w:trHeight w:val="512" w:hRule="atLeast"/>
        </w:trPr>
        <w:tc>
          <w:tcPr>
            <w:tcW w:w="9954" w:type="dxa"/>
            <w:gridSpan w:val="6"/>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center"/>
              <w:rPr>
                <w:rFonts w:ascii="宋体" w:hAnsi="宋体" w:cs="宋体"/>
                <w:color w:val="auto"/>
                <w:szCs w:val="21"/>
                <w:highlight w:val="none"/>
              </w:rPr>
            </w:pPr>
            <w:r>
              <w:rPr>
                <w:rFonts w:hint="eastAsia" w:ascii="宋体" w:hAnsi="宋体" w:cs="宋体"/>
                <w:b/>
                <w:color w:val="auto"/>
                <w:kern w:val="0"/>
                <w:szCs w:val="21"/>
                <w:highlight w:val="none"/>
                <w:lang w:bidi="ar"/>
              </w:rPr>
              <w:t>商务条款</w:t>
            </w:r>
          </w:p>
        </w:tc>
      </w:tr>
      <w:tr>
        <w:tblPrEx>
          <w:tblCellMar>
            <w:top w:w="0" w:type="dxa"/>
            <w:left w:w="108" w:type="dxa"/>
            <w:bottom w:w="0" w:type="dxa"/>
            <w:right w:w="108" w:type="dxa"/>
          </w:tblCellMar>
        </w:tblPrEx>
        <w:trPr>
          <w:trHeight w:val="562"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exact"/>
              <w:ind w:firstLine="0" w:firstLineChars="0"/>
              <w:rPr>
                <w:rFonts w:ascii="宋体" w:hAnsi="宋体" w:cs="微软雅黑"/>
                <w:b/>
                <w:color w:val="auto"/>
                <w:kern w:val="0"/>
                <w:szCs w:val="21"/>
                <w:highlight w:val="none"/>
              </w:rPr>
            </w:pPr>
            <w:r>
              <w:rPr>
                <w:rFonts w:hint="eastAsia" w:ascii="宋体" w:hAnsi="宋体" w:cs="微软雅黑"/>
                <w:b/>
                <w:color w:val="auto"/>
                <w:kern w:val="0"/>
                <w:szCs w:val="21"/>
                <w:highlight w:val="none"/>
              </w:rPr>
              <w:t>项号</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center"/>
              <w:rPr>
                <w:rFonts w:ascii="宋体" w:hAnsi="宋体" w:cs="微软雅黑"/>
                <w:b/>
                <w:color w:val="auto"/>
                <w:kern w:val="0"/>
                <w:szCs w:val="21"/>
                <w:highlight w:val="none"/>
              </w:rPr>
            </w:pPr>
            <w:r>
              <w:rPr>
                <w:rFonts w:hint="eastAsia" w:ascii="宋体" w:hAnsi="宋体" w:cs="微软雅黑"/>
                <w:b/>
                <w:color w:val="auto"/>
                <w:kern w:val="0"/>
                <w:szCs w:val="21"/>
                <w:highlight w:val="none"/>
              </w:rPr>
              <w:t>商务内容</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center"/>
              <w:rPr>
                <w:rFonts w:ascii="宋体" w:hAnsi="宋体" w:cs="微软雅黑"/>
                <w:b/>
                <w:color w:val="auto"/>
                <w:kern w:val="0"/>
                <w:szCs w:val="21"/>
                <w:highlight w:val="none"/>
              </w:rPr>
            </w:pPr>
            <w:r>
              <w:rPr>
                <w:rFonts w:hint="eastAsia" w:ascii="宋体" w:hAnsi="宋体" w:cs="微软雅黑"/>
                <w:b/>
                <w:color w:val="auto"/>
                <w:kern w:val="0"/>
                <w:szCs w:val="21"/>
                <w:highlight w:val="none"/>
              </w:rPr>
              <w:t>商务需求</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val="0"/>
                <w:bCs/>
                <w:color w:val="auto"/>
                <w:kern w:val="0"/>
                <w:sz w:val="21"/>
                <w:szCs w:val="21"/>
                <w:highlight w:val="none"/>
              </w:rPr>
              <w:t>1</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210" w:firstLineChars="100"/>
              <w:jc w:val="center"/>
              <w:rPr>
                <w:rFonts w:hint="eastAsia" w:ascii="宋体" w:hAnsi="宋体" w:eastAsia="宋体" w:cs="宋体"/>
                <w:b/>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服务时间</w:t>
            </w:r>
            <w:r>
              <w:rPr>
                <w:rFonts w:hint="eastAsia" w:ascii="宋体" w:hAnsi="宋体" w:eastAsia="宋体" w:cs="宋体"/>
                <w:b/>
                <w:color w:val="auto"/>
                <w:sz w:val="21"/>
                <w:szCs w:val="21"/>
                <w:highlight w:val="none"/>
                <w:lang w:val="en-US" w:eastAsia="zh-CN"/>
              </w:rPr>
              <w:t xml:space="preserve"> </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numPr>
                <w:ilvl w:val="0"/>
                <w:numId w:val="0"/>
              </w:num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自合同签订之日起负责本次项目相关工作内容，部署完成后，交付验收合格之日起提供3年运维服务。</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投标报价要求</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本项目磋商报价要求：磋商报价为采购人提供的所有服务报价，磋商报价必须包括以下：</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(1)3年服务的价格(包括采购需求中的所有内容)；</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(2)报价包括服务采购、软件提供、运输、安装、调试、验收、培训等各种费用和售后服务、税金及其它所有成本费用的总和；</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(3)项目验收产生的费用。</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服务响</w:t>
            </w:r>
            <w:r>
              <w:rPr>
                <w:rStyle w:val="152"/>
                <w:rFonts w:hint="eastAsia" w:ascii="宋体" w:hAnsi="宋体" w:eastAsia="宋体" w:cs="宋体"/>
                <w:color w:val="auto"/>
                <w:sz w:val="21"/>
                <w:szCs w:val="21"/>
                <w:highlight w:val="none"/>
                <w:lang w:val="en-US" w:eastAsia="zh-CN" w:bidi="ar"/>
              </w:rPr>
              <w:t>应要求</w:t>
            </w:r>
            <w:r>
              <w:rPr>
                <w:rFonts w:hint="eastAsia" w:ascii="宋体" w:hAnsi="宋体" w:eastAsia="宋体" w:cs="宋体"/>
                <w:color w:val="auto"/>
                <w:kern w:val="0"/>
                <w:sz w:val="21"/>
                <w:szCs w:val="21"/>
                <w:highlight w:val="none"/>
                <w:lang w:val="en-US" w:eastAsia="zh-CN"/>
              </w:rPr>
              <w:t xml:space="preserve"> </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numPr>
                <w:ilvl w:val="0"/>
                <w:numId w:val="3"/>
              </w:numPr>
              <w:spacing w:line="360" w:lineRule="auto"/>
              <w:ind w:left="105"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售后服务按国家有关规定实行产品“三包”，提供系统3年的质量保证服务，以保障系统正常运行，不涉及设备及软件功能更新及变更，采购人与供应商另行商讨确定。</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2.提供系统定期回访服务及巡检服务。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3.质量保证期内成交供应商负责上门提供维护服务。</w:t>
            </w:r>
          </w:p>
          <w:p>
            <w:pPr>
              <w:pStyle w:val="2"/>
              <w:numPr>
                <w:ilvl w:val="0"/>
                <w:numId w:val="0"/>
              </w:numPr>
              <w:spacing w:line="360" w:lineRule="auto"/>
              <w:ind w:left="105"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4.成交供应商负责培训：负责进行现场培训，内容包括平台及软件操作、维护，使技术操作人员能够熟练掌握日常使用。</w:t>
            </w:r>
          </w:p>
          <w:p>
            <w:pPr>
              <w:pStyle w:val="2"/>
              <w:numPr>
                <w:ilvl w:val="0"/>
                <w:numId w:val="0"/>
              </w:numPr>
              <w:spacing w:line="360" w:lineRule="auto"/>
              <w:ind w:left="105"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5.集成调试：成交供应商负责本项目的实施、集成、调试。</w:t>
            </w:r>
          </w:p>
          <w:p>
            <w:pPr>
              <w:pStyle w:val="2"/>
              <w:numPr>
                <w:ilvl w:val="0"/>
                <w:numId w:val="0"/>
              </w:numPr>
              <w:spacing w:line="360" w:lineRule="auto"/>
              <w:ind w:left="105"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6.提供本地化7×24小时热线电话服务，接到故障通知后30分钟内响应，8小时内派工程师到达现场，一般故障24小时内修复，重大故障在48小时内修复</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交付使用时间及交付地点</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1.自中标通知书发出之日起</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日内签订合同。</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2.交付使用时间：自签订合同之日起30个工作日内完成所有相关系统、设备、软件等内容的集成调试服务工作。</w:t>
            </w:r>
          </w:p>
          <w:p>
            <w:pPr>
              <w:snapToGrid w:val="0"/>
              <w:spacing w:line="360" w:lineRule="auto"/>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3.交付地点：钦州市坭兴街666号中国—东盟（钦州）华为云计算及大数据中心</w:t>
            </w:r>
            <w:r>
              <w:rPr>
                <w:rFonts w:hint="eastAsia" w:ascii="宋体" w:hAnsi="宋体" w:cs="宋体"/>
                <w:color w:val="auto"/>
                <w:kern w:val="0"/>
                <w:sz w:val="21"/>
                <w:szCs w:val="21"/>
                <w:highlight w:val="none"/>
                <w:lang w:eastAsia="zh-CN"/>
              </w:rPr>
              <w:t>。</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5</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付款条件</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sz w:val="21"/>
                <w:szCs w:val="21"/>
                <w:highlight w:val="none"/>
                <w:u w:val="none"/>
                <w:lang w:val="en-US" w:eastAsia="zh-CN"/>
              </w:rPr>
              <w:t>项目合同金额分3年支付，每年服务期满</w:t>
            </w:r>
            <w:r>
              <w:rPr>
                <w:rFonts w:hint="eastAsia"/>
                <w:color w:val="auto"/>
                <w:highlight w:val="none"/>
                <w:lang w:val="en-US" w:eastAsia="zh-CN"/>
              </w:rPr>
              <w:t>收到发票十个工作日内支付，</w:t>
            </w:r>
            <w:r>
              <w:rPr>
                <w:rFonts w:hint="eastAsia" w:ascii="宋体" w:hAnsi="宋体" w:eastAsia="宋体" w:cs="宋体"/>
                <w:i w:val="0"/>
                <w:iCs w:val="0"/>
                <w:color w:val="auto"/>
                <w:sz w:val="21"/>
                <w:szCs w:val="21"/>
                <w:highlight w:val="none"/>
                <w:u w:val="none"/>
                <w:lang w:val="en-US" w:eastAsia="zh-CN"/>
              </w:rPr>
              <w:t>以后年度费用依次类推</w:t>
            </w:r>
            <w:r>
              <w:rPr>
                <w:rFonts w:hint="eastAsia" w:ascii="宋体" w:hAnsi="宋体" w:cs="宋体"/>
                <w:i w:val="0"/>
                <w:iCs w:val="0"/>
                <w:color w:val="auto"/>
                <w:sz w:val="21"/>
                <w:szCs w:val="21"/>
                <w:highlight w:val="none"/>
                <w:u w:val="none"/>
                <w:lang w:val="en-US" w:eastAsia="zh-CN"/>
              </w:rPr>
              <w:t>。</w:t>
            </w:r>
          </w:p>
        </w:tc>
      </w:tr>
      <w:tr>
        <w:tblPrEx>
          <w:tblCellMar>
            <w:top w:w="0" w:type="dxa"/>
            <w:left w:w="108" w:type="dxa"/>
            <w:bottom w:w="0" w:type="dxa"/>
            <w:right w:w="108" w:type="dxa"/>
          </w:tblCellMar>
        </w:tblPrEx>
        <w:trPr>
          <w:trHeight w:val="9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验收标准</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sz w:val="21"/>
                <w:szCs w:val="21"/>
                <w:highlight w:val="none"/>
              </w:rPr>
            </w:pPr>
            <w:r>
              <w:rPr>
                <w:rFonts w:hint="eastAsia"/>
                <w:color w:val="auto"/>
                <w:highlight w:val="none"/>
                <w:lang w:val="en-US" w:eastAsia="zh-CN"/>
              </w:rPr>
              <w:t>★</w:t>
            </w:r>
            <w:r>
              <w:rPr>
                <w:rFonts w:hint="eastAsia" w:ascii="宋体" w:hAnsi="宋体" w:eastAsia="宋体" w:cs="宋体"/>
                <w:color w:val="auto"/>
                <w:sz w:val="21"/>
                <w:szCs w:val="21"/>
                <w:highlight w:val="none"/>
              </w:rPr>
              <w:t>1.根据有关工作要求，本项目的部署和所产生的数据需要存放于壮美广西·钦州市政务云上，若发生数据迁移现象，采购单位可进行追责，并有权依法终止本项目合同。【供应商需在响应文件中提供若发生数据迁移现象的后果处置相关承诺函(格式自拟)】</w:t>
            </w:r>
          </w:p>
          <w:p>
            <w:pPr>
              <w:pStyle w:val="2"/>
              <w:numPr>
                <w:ilvl w:val="0"/>
                <w:numId w:val="3"/>
              </w:numPr>
              <w:spacing w:line="360" w:lineRule="auto"/>
              <w:ind w:left="105"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成交供应商提供其响应文件中承诺采购服务的所属装置等有关技术资料作为验收的参考依据。</w:t>
            </w:r>
          </w:p>
          <w:p>
            <w:pPr>
              <w:pStyle w:val="2"/>
              <w:numPr>
                <w:ilvl w:val="0"/>
                <w:numId w:val="3"/>
              </w:numPr>
              <w:spacing w:line="360" w:lineRule="auto"/>
              <w:ind w:left="105"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成交供应商提供服务的产品必须是具备厂家合法渠道的正品，若采购人对所供产品有疑问的，要求成交供应商必须提供制造商针对产品的参数真实性证明、供货证明函及质量保修函，以上材料不全者，达不到要求或提供虚假资料的不予验收，视为产品验收不合格，采购人可要求成交供应商做退/换货处理，直至验收通过或做违约处理、解除双方的合同；采购人保留进一步追究责任的权利。</w:t>
            </w:r>
          </w:p>
          <w:p>
            <w:pPr>
              <w:pStyle w:val="2"/>
              <w:numPr>
                <w:ilvl w:val="0"/>
                <w:numId w:val="3"/>
              </w:numPr>
              <w:spacing w:line="360" w:lineRule="auto"/>
              <w:ind w:left="105"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为保证合同、响应文件</w:t>
            </w:r>
            <w:r>
              <w:rPr>
                <w:rFonts w:hint="eastAsia" w:hAnsi="宋体" w:cs="宋体"/>
                <w:i w:val="0"/>
                <w:iCs w:val="0"/>
                <w:color w:val="auto"/>
                <w:kern w:val="0"/>
                <w:sz w:val="21"/>
                <w:szCs w:val="21"/>
                <w:highlight w:val="none"/>
                <w:u w:val="none"/>
                <w:lang w:val="en-US" w:eastAsia="zh-CN" w:bidi="ar"/>
              </w:rPr>
              <w:t>与采购文件</w:t>
            </w:r>
            <w:r>
              <w:rPr>
                <w:rFonts w:hint="eastAsia" w:ascii="宋体" w:hAnsi="宋体" w:eastAsia="宋体" w:cs="宋体"/>
                <w:i w:val="0"/>
                <w:iCs w:val="0"/>
                <w:color w:val="auto"/>
                <w:kern w:val="0"/>
                <w:sz w:val="21"/>
                <w:szCs w:val="21"/>
                <w:highlight w:val="none"/>
                <w:u w:val="none"/>
                <w:lang w:val="en-US" w:eastAsia="zh-CN" w:bidi="ar"/>
              </w:rPr>
              <w:t>《采购需求》中带有的技术指标和性能要求相符，如采购人对成交供应商所竞标产品及服务的技术指标有质疑，验收时须进行现场演示，以确认是否达到合同、采购文件、响应文件中所规定的技术功能要求；成交供应商未提供的则视为虚假应标，所有损失由成交供应商承担。</w:t>
            </w:r>
          </w:p>
          <w:p>
            <w:pPr>
              <w:pStyle w:val="2"/>
              <w:numPr>
                <w:ilvl w:val="0"/>
                <w:numId w:val="3"/>
              </w:numPr>
              <w:spacing w:line="360" w:lineRule="auto"/>
              <w:ind w:left="105"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符合现行国家相关标准、行业标准、地方标</w:t>
            </w:r>
            <w:r>
              <w:rPr>
                <w:rStyle w:val="152"/>
                <w:rFonts w:hint="eastAsia" w:ascii="宋体" w:hAnsi="宋体" w:eastAsia="宋体" w:cs="宋体"/>
                <w:color w:val="auto"/>
                <w:sz w:val="21"/>
                <w:szCs w:val="21"/>
                <w:highlight w:val="none"/>
                <w:lang w:val="en-US" w:eastAsia="zh-CN" w:bidi="ar"/>
              </w:rPr>
              <w:t>准或者其他标准、规范。</w:t>
            </w:r>
          </w:p>
        </w:tc>
      </w:tr>
      <w:tr>
        <w:tblPrEx>
          <w:tblCellMar>
            <w:top w:w="0" w:type="dxa"/>
            <w:left w:w="108" w:type="dxa"/>
            <w:bottom w:w="0" w:type="dxa"/>
            <w:right w:w="108" w:type="dxa"/>
          </w:tblCellMar>
        </w:tblPrEx>
        <w:trPr>
          <w:trHeight w:val="1140"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3133"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其他要求</w:t>
            </w:r>
            <w:r>
              <w:rPr>
                <w:rFonts w:hint="eastAsia" w:ascii="宋体" w:hAnsi="宋体" w:eastAsia="宋体" w:cs="宋体"/>
                <w:color w:val="auto"/>
                <w:kern w:val="0"/>
                <w:sz w:val="21"/>
                <w:szCs w:val="21"/>
                <w:highlight w:val="none"/>
                <w:lang w:val="en-US" w:eastAsia="zh-CN"/>
              </w:rPr>
              <w:t xml:space="preserve"> </w:t>
            </w:r>
          </w:p>
        </w:tc>
        <w:tc>
          <w:tcPr>
            <w:tcW w:w="6116" w:type="dxa"/>
            <w:gridSpan w:val="2"/>
            <w:tcBorders>
              <w:top w:val="single" w:color="000000" w:sz="4" w:space="0"/>
              <w:left w:val="single" w:color="000000" w:sz="4" w:space="0"/>
              <w:bottom w:val="single" w:color="000000" w:sz="4" w:space="0"/>
              <w:right w:val="single" w:color="000000" w:sz="4" w:space="0"/>
            </w:tcBorders>
            <w:noWrap/>
            <w:vAlign w:val="center"/>
          </w:tcPr>
          <w:p>
            <w:pPr>
              <w:numPr>
                <w:ilvl w:val="0"/>
                <w:numId w:val="4"/>
              </w:numPr>
              <w:spacing w:line="36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采购人有权对供应商提供的服务进行核验，如无法满足采购文件的总体要求和技术参数的，采购人有权取消合同，并上报政府采购监督管理部门，同时追究相应法律责任。</w:t>
            </w:r>
          </w:p>
          <w:p>
            <w:pPr>
              <w:pStyle w:val="2"/>
              <w:numPr>
                <w:ilvl w:val="0"/>
                <w:numId w:val="4"/>
              </w:numPr>
              <w:spacing w:line="360" w:lineRule="auto"/>
              <w:ind w:left="0" w:leftChars="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应商可根据采购人实际情况，制定针对性项目服务方案(具体内容包括但不限于项目技术方案、项目实施方案、售后、运维服务方案、拟投入团队能力等)，提出对本项目的合理化建议和改进措施。根据项目服务方案制定详细的工作流程和规章制度，对流程环节的内容细化，保证工作规范有序进行，使每个环节都能保证质量和安全，并在合同履行期间不断完善、改进。</w:t>
            </w:r>
          </w:p>
          <w:p>
            <w:pPr>
              <w:widowControl/>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3.供应商可根据自身情况提供相关</w:t>
            </w:r>
            <w:r>
              <w:rPr>
                <w:rStyle w:val="152"/>
                <w:rFonts w:hint="eastAsia" w:ascii="宋体" w:hAnsi="宋体" w:eastAsia="宋体" w:cs="宋体"/>
                <w:color w:val="auto"/>
                <w:sz w:val="21"/>
                <w:szCs w:val="21"/>
                <w:lang w:val="en-US" w:eastAsia="zh-CN" w:bidi="ar"/>
              </w:rPr>
              <w:t>证明材料等。</w:t>
            </w:r>
            <w:r>
              <w:rPr>
                <w:rFonts w:hint="eastAsia" w:ascii="宋体" w:hAnsi="宋体" w:eastAsia="宋体" w:cs="宋体"/>
                <w:color w:val="auto"/>
                <w:sz w:val="21"/>
                <w:szCs w:val="21"/>
                <w:highlight w:val="none"/>
                <w:lang w:eastAsia="zh-CN"/>
              </w:rPr>
              <w:t>项目负责人</w:t>
            </w:r>
            <w:bookmarkStart w:id="48" w:name="OLE_LINK2"/>
            <w:r>
              <w:rPr>
                <w:rFonts w:hint="eastAsia" w:ascii="宋体" w:hAnsi="宋体" w:cs="宋体"/>
                <w:color w:val="auto"/>
                <w:sz w:val="21"/>
                <w:szCs w:val="21"/>
                <w:highlight w:val="none"/>
                <w:lang w:val="en-US" w:eastAsia="zh-CN"/>
              </w:rPr>
              <w:t>须</w:t>
            </w:r>
            <w:bookmarkEnd w:id="48"/>
            <w:r>
              <w:rPr>
                <w:rFonts w:hint="eastAsia" w:ascii="宋体" w:hAnsi="宋体" w:eastAsia="宋体" w:cs="宋体"/>
                <w:color w:val="auto"/>
                <w:sz w:val="21"/>
                <w:szCs w:val="21"/>
                <w:highlight w:val="none"/>
                <w:lang w:val="en-US" w:eastAsia="zh-CN"/>
              </w:rPr>
              <w:t>具</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lang w:eastAsia="zh-CN"/>
              </w:rPr>
              <w:t>人工智能</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eastAsia="zh-CN"/>
              </w:rPr>
              <w:t>级工程师证书</w:t>
            </w:r>
            <w:r>
              <w:rPr>
                <w:rFonts w:hint="eastAsia" w:ascii="宋体" w:hAnsi="宋体" w:eastAsia="宋体" w:cs="宋体"/>
                <w:color w:val="auto"/>
                <w:sz w:val="21"/>
                <w:szCs w:val="21"/>
                <w:highlight w:val="none"/>
                <w:lang w:val="en-US" w:eastAsia="zh-CN"/>
              </w:rPr>
              <w:t>；</w:t>
            </w:r>
          </w:p>
          <w:p>
            <w:pPr>
              <w:widowControl/>
              <w:spacing w:line="36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技术负责人</w:t>
            </w:r>
            <w:r>
              <w:rPr>
                <w:rFonts w:hint="eastAsia" w:ascii="宋体" w:hAnsi="宋体" w:cs="宋体"/>
                <w:color w:val="auto"/>
                <w:sz w:val="21"/>
                <w:szCs w:val="21"/>
                <w:highlight w:val="none"/>
                <w:lang w:val="en-US" w:eastAsia="zh-CN"/>
              </w:rPr>
              <w:t>须为</w:t>
            </w:r>
            <w:r>
              <w:rPr>
                <w:rFonts w:hint="eastAsia" w:ascii="宋体" w:hAnsi="宋体" w:eastAsia="宋体" w:cs="宋体"/>
                <w:color w:val="auto"/>
                <w:sz w:val="21"/>
                <w:szCs w:val="21"/>
                <w:highlight w:val="none"/>
                <w:lang w:eastAsia="zh-CN"/>
              </w:rPr>
              <w:t>大数据</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eastAsia="zh-CN"/>
              </w:rPr>
              <w:t>级工程师</w:t>
            </w:r>
            <w:r>
              <w:rPr>
                <w:rFonts w:hint="eastAsia" w:ascii="宋体" w:hAnsi="宋体" w:eastAsia="宋体" w:cs="宋体"/>
                <w:color w:val="auto"/>
                <w:sz w:val="21"/>
                <w:szCs w:val="21"/>
                <w:highlight w:val="none"/>
                <w:lang w:val="en-US" w:eastAsia="zh-CN"/>
              </w:rPr>
              <w:t>；</w:t>
            </w:r>
          </w:p>
          <w:p>
            <w:pPr>
              <w:widowControl/>
              <w:spacing w:line="36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实施团队人员(除项目负责人、技术负责人外)</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lang w:eastAsia="zh-CN"/>
              </w:rPr>
              <w:t>持有信息系统项目管理或通信工程</w:t>
            </w:r>
            <w:r>
              <w:rPr>
                <w:rFonts w:hint="eastAsia" w:ascii="宋体" w:hAnsi="宋体" w:eastAsia="宋体" w:cs="宋体"/>
                <w:color w:val="auto"/>
                <w:sz w:val="21"/>
                <w:szCs w:val="21"/>
                <w:highlight w:val="none"/>
                <w:lang w:val="en-US" w:eastAsia="zh-CN"/>
              </w:rPr>
              <w:t>初</w:t>
            </w:r>
            <w:r>
              <w:rPr>
                <w:rFonts w:hint="eastAsia" w:ascii="宋体" w:hAnsi="宋体" w:eastAsia="宋体" w:cs="宋体"/>
                <w:color w:val="auto"/>
                <w:sz w:val="21"/>
                <w:szCs w:val="21"/>
                <w:highlight w:val="none"/>
                <w:lang w:eastAsia="zh-CN"/>
              </w:rPr>
              <w:t>级及以上职称证书，或取得全国软考类</w:t>
            </w:r>
            <w:r>
              <w:rPr>
                <w:rFonts w:hint="eastAsia" w:ascii="宋体" w:hAnsi="宋体" w:eastAsia="宋体" w:cs="宋体"/>
                <w:color w:val="auto"/>
                <w:sz w:val="21"/>
                <w:szCs w:val="21"/>
                <w:highlight w:val="none"/>
                <w:lang w:val="en-US" w:eastAsia="zh-CN"/>
              </w:rPr>
              <w:t>初</w:t>
            </w:r>
            <w:r>
              <w:rPr>
                <w:rFonts w:hint="eastAsia" w:ascii="宋体" w:hAnsi="宋体" w:eastAsia="宋体" w:cs="宋体"/>
                <w:color w:val="auto"/>
                <w:sz w:val="21"/>
                <w:szCs w:val="21"/>
                <w:highlight w:val="none"/>
                <w:lang w:eastAsia="zh-CN"/>
              </w:rPr>
              <w:t>级及以上资格证书</w:t>
            </w:r>
          </w:p>
          <w:p>
            <w:pPr>
              <w:widowControl/>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拟投入的实施团队其他人员(除项目负责人、技术负责人外)实施团队人员</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w:t>
            </w:r>
          </w:p>
          <w:p>
            <w:pPr>
              <w:widowControl/>
              <w:spacing w:line="36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w:t>
            </w:r>
            <w:r>
              <w:rPr>
                <w:rFonts w:hint="eastAsia" w:ascii="宋体" w:hAnsi="宋体" w:cs="Courier New"/>
                <w:color w:val="auto"/>
                <w:szCs w:val="21"/>
                <w:highlight w:val="none"/>
                <w:lang w:eastAsia="zh-CN"/>
              </w:rPr>
              <w:t>信息系统项目管理师证书、系统架构设计师证书、系统分析师证、注册信息安全专业人员(CISP)认证证书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优先考虑</w:t>
            </w:r>
          </w:p>
          <w:p>
            <w:pPr>
              <w:widowControl/>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具有信息系统建设和服务能力等级证书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数据管理能力成熟度认证证书</w:t>
            </w:r>
            <w:r>
              <w:rPr>
                <w:rFonts w:hint="eastAsia" w:ascii="宋体" w:hAnsi="宋体" w:eastAsia="宋体" w:cs="宋体"/>
                <w:color w:val="auto"/>
                <w:sz w:val="21"/>
                <w:szCs w:val="21"/>
                <w:highlight w:val="none"/>
                <w:lang w:val="en-US" w:eastAsia="zh-CN"/>
              </w:rPr>
              <w:t>2级以上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ITSS信息技术服务标准（数据中心）符合性</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级及以</w:t>
            </w:r>
            <w:r>
              <w:rPr>
                <w:rFonts w:hint="eastAsia" w:ascii="宋体" w:hAnsi="宋体" w:eastAsia="宋体" w:cs="宋体"/>
                <w:color w:val="auto"/>
                <w:sz w:val="21"/>
                <w:szCs w:val="21"/>
                <w:highlight w:val="none"/>
                <w:lang w:val="en-US" w:eastAsia="zh-CN"/>
              </w:rPr>
              <w:t>上的优先考虑</w:t>
            </w:r>
          </w:p>
          <w:p>
            <w:pPr>
              <w:widowControl/>
              <w:spacing w:line="360" w:lineRule="auto"/>
              <w:ind w:firstLine="0" w:firstLineChars="0"/>
              <w:jc w:val="left"/>
              <w:rPr>
                <w:rStyle w:val="152"/>
                <w:rFonts w:hint="eastAsia" w:ascii="宋体" w:hAnsi="宋体" w:eastAsia="宋体" w:cs="宋体"/>
                <w:color w:val="auto"/>
                <w:sz w:val="21"/>
                <w:szCs w:val="21"/>
                <w:lang w:val="en-US" w:eastAsia="zh-CN" w:bidi="ar"/>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获得信息安全管理体系认证、信息技术服务管理体系认证等相关认证证书的</w:t>
            </w:r>
            <w:r>
              <w:rPr>
                <w:rFonts w:hint="eastAsia" w:ascii="宋体" w:hAnsi="宋体" w:eastAsia="宋体" w:cs="宋体"/>
                <w:color w:val="auto"/>
                <w:sz w:val="21"/>
                <w:szCs w:val="21"/>
                <w:highlight w:val="none"/>
                <w:lang w:val="en-US" w:eastAsia="zh-CN"/>
              </w:rPr>
              <w:t>优先考虑</w:t>
            </w:r>
          </w:p>
          <w:p>
            <w:pPr>
              <w:pStyle w:val="2"/>
              <w:numPr>
                <w:ilvl w:val="0"/>
                <w:numId w:val="4"/>
              </w:numPr>
              <w:spacing w:line="360" w:lineRule="auto"/>
              <w:ind w:left="0" w:leftChars="0" w:firstLine="0" w:firstLineChars="0"/>
              <w:rPr>
                <w:rStyle w:val="152"/>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rPr>
              <w:t>投标人应承诺投标文件中提供的证明材料和资质文件真实，如出现虚假投标情况，投标人除了应接受有关部门的处罚外，还应依据《中华人民共和国民法典》的相关条款来确定赔偿金额。</w:t>
            </w:r>
          </w:p>
        </w:tc>
      </w:tr>
    </w:tbl>
    <w:p>
      <w:pPr>
        <w:spacing w:line="360" w:lineRule="auto"/>
        <w:ind w:firstLine="420"/>
        <w:rPr>
          <w:rFonts w:hint="eastAsia" w:ascii="宋体" w:hAnsi="宋体" w:eastAsia="宋体" w:cs="宋体"/>
          <w:color w:val="auto"/>
          <w:sz w:val="21"/>
          <w:szCs w:val="21"/>
          <w:highlight w:val="none"/>
          <w:lang w:val="en-US" w:eastAsia="zh-CN"/>
        </w:rPr>
      </w:pPr>
    </w:p>
    <w:p>
      <w:pPr>
        <w:pStyle w:val="2"/>
        <w:rPr>
          <w:color w:val="auto"/>
          <w:highlight w:val="none"/>
        </w:rPr>
      </w:pPr>
      <w:r>
        <w:rPr>
          <w:rFonts w:hint="eastAsia" w:ascii="宋体" w:hAnsi="宋体"/>
          <w:b/>
          <w:color w:val="auto"/>
          <w:sz w:val="32"/>
          <w:highlight w:val="none"/>
        </w:rPr>
        <w:br w:type="page"/>
      </w:r>
    </w:p>
    <w:p>
      <w:pPr>
        <w:rPr>
          <w:rFonts w:hint="eastAsia" w:ascii="宋体" w:hAnsi="宋体"/>
          <w:color w:val="auto"/>
          <w:szCs w:val="21"/>
          <w:highlight w:val="none"/>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4"/>
        <w:spacing w:line="400" w:lineRule="exact"/>
        <w:rPr>
          <w:rFonts w:ascii="方正小标宋简体" w:eastAsia="方正小标宋简体"/>
          <w:color w:val="auto"/>
          <w:highlight w:val="none"/>
        </w:rPr>
      </w:pPr>
      <w:bookmarkStart w:id="49" w:name="_Toc92355025"/>
      <w:r>
        <w:rPr>
          <w:rFonts w:hint="eastAsia" w:ascii="方正小标宋简体" w:eastAsia="方正小标宋简体"/>
          <w:color w:val="auto"/>
          <w:highlight w:val="none"/>
        </w:rPr>
        <w:t>第三章  供应商须知</w:t>
      </w:r>
      <w:bookmarkEnd w:id="45"/>
      <w:bookmarkEnd w:id="46"/>
      <w:bookmarkEnd w:id="49"/>
    </w:p>
    <w:p>
      <w:pPr>
        <w:jc w:val="center"/>
        <w:rPr>
          <w:rFonts w:hint="eastAsia" w:ascii="仿宋_GB2312" w:hAnsi="宋体" w:eastAsia="仿宋_GB2312"/>
          <w:b/>
          <w:color w:val="auto"/>
          <w:sz w:val="32"/>
          <w:szCs w:val="32"/>
          <w:highlight w:val="none"/>
        </w:rPr>
      </w:pPr>
      <w:bookmarkStart w:id="50" w:name="_Toc358477281"/>
      <w:bookmarkStart w:id="51" w:name="_Toc357157408"/>
      <w:bookmarkStart w:id="52" w:name="_Toc354479499"/>
      <w:bookmarkStart w:id="53" w:name="_Toc350325671"/>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6"/>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3"/>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项目名称：</w:t>
            </w:r>
            <w:r>
              <w:rPr>
                <w:rStyle w:val="43"/>
                <w:rFonts w:hint="eastAsia" w:ascii="宋体" w:hAnsi="宋体" w:cs="宋体"/>
                <w:color w:val="auto"/>
                <w:kern w:val="0"/>
                <w:szCs w:val="21"/>
                <w:highlight w:val="none"/>
                <w:u w:val="none"/>
                <w:lang w:eastAsia="zh-CN"/>
              </w:rPr>
              <w:t>钦州市DeepSeek大模型部署、AI智能应用及配套技术服务</w:t>
            </w:r>
          </w:p>
          <w:p>
            <w:pPr>
              <w:widowControl/>
              <w:spacing w:line="440" w:lineRule="exact"/>
              <w:rPr>
                <w:rFonts w:hint="eastAsia" w:ascii="宋体" w:hAnsi="宋体" w:eastAsia="宋体"/>
                <w:color w:val="auto"/>
                <w:szCs w:val="21"/>
                <w:highlight w:val="none"/>
                <w:lang w:eastAsia="zh-CN"/>
              </w:rPr>
            </w:pPr>
            <w:r>
              <w:rPr>
                <w:rStyle w:val="43"/>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QZZC2025-C3-990307-QZSZ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3"/>
                <w:rFonts w:hint="eastAsia" w:ascii="宋体" w:hAnsi="宋体"/>
                <w:color w:val="auto"/>
                <w:szCs w:val="21"/>
                <w:highlight w:val="none"/>
                <w:u w:val="none"/>
              </w:rPr>
            </w:pPr>
            <w:r>
              <w:rPr>
                <w:rStyle w:val="43"/>
                <w:rFonts w:ascii="宋体" w:hAnsi="宋体"/>
                <w:color w:val="auto"/>
                <w:szCs w:val="21"/>
                <w:highlight w:val="none"/>
                <w:u w:val="none"/>
              </w:rPr>
              <w:fldChar w:fldCharType="begin"/>
            </w:r>
            <w:r>
              <w:rPr>
                <w:rStyle w:val="43"/>
                <w:rFonts w:ascii="宋体" w:hAnsi="宋体"/>
                <w:color w:val="auto"/>
                <w:szCs w:val="21"/>
                <w:highlight w:val="none"/>
                <w:u w:val="none"/>
              </w:rPr>
              <w:instrText xml:space="preserve"> </w:instrText>
            </w:r>
            <w:r>
              <w:rPr>
                <w:rStyle w:val="43"/>
                <w:rFonts w:hint="eastAsia" w:ascii="宋体" w:hAnsi="宋体"/>
                <w:color w:val="auto"/>
                <w:szCs w:val="21"/>
                <w:highlight w:val="none"/>
                <w:u w:val="none"/>
              </w:rPr>
              <w:instrText xml:space="preserve">HYPERLINK </w:instrText>
            </w:r>
            <w:r>
              <w:rPr>
                <w:rStyle w:val="43"/>
                <w:rFonts w:ascii="宋体" w:hAnsi="宋体"/>
                <w:color w:val="auto"/>
                <w:szCs w:val="21"/>
                <w:highlight w:val="none"/>
                <w:u w:val="none"/>
              </w:rPr>
              <w:instrText xml:space="preserve"> \l "_一、总_则" </w:instrText>
            </w:r>
            <w:r>
              <w:rPr>
                <w:rStyle w:val="43"/>
                <w:rFonts w:ascii="宋体" w:hAnsi="宋体"/>
                <w:color w:val="auto"/>
                <w:szCs w:val="21"/>
                <w:highlight w:val="none"/>
                <w:u w:val="none"/>
              </w:rPr>
              <w:fldChar w:fldCharType="separate"/>
            </w:r>
            <w:r>
              <w:rPr>
                <w:rStyle w:val="43"/>
                <w:rFonts w:hint="eastAsia" w:ascii="宋体" w:hAnsi="宋体"/>
                <w:color w:val="auto"/>
                <w:szCs w:val="21"/>
                <w:highlight w:val="none"/>
                <w:u w:val="none"/>
              </w:rPr>
              <w:t>供应商资格：</w:t>
            </w:r>
          </w:p>
          <w:p>
            <w:pPr>
              <w:spacing w:line="440" w:lineRule="exact"/>
              <w:rPr>
                <w:rStyle w:val="43"/>
                <w:rFonts w:hint="eastAsia" w:ascii="宋体" w:hAnsi="宋体"/>
                <w:color w:val="auto"/>
                <w:szCs w:val="21"/>
                <w:highlight w:val="none"/>
                <w:u w:val="none"/>
              </w:rPr>
            </w:pPr>
            <w:r>
              <w:rPr>
                <w:rStyle w:val="43"/>
                <w:rFonts w:hint="eastAsia" w:ascii="宋体" w:hAnsi="宋体"/>
                <w:color w:val="auto"/>
                <w:szCs w:val="21"/>
                <w:highlight w:val="none"/>
                <w:u w:val="none"/>
              </w:rPr>
              <w:t>1.满足《中华人民共和国政府采购法》第二十二条规定</w:t>
            </w:r>
          </w:p>
          <w:p>
            <w:pPr>
              <w:spacing w:line="440" w:lineRule="exact"/>
              <w:rPr>
                <w:rStyle w:val="43"/>
                <w:rFonts w:hint="eastAsia" w:ascii="宋体" w:hAnsi="宋体" w:eastAsia="宋体"/>
                <w:color w:val="auto"/>
                <w:szCs w:val="21"/>
                <w:highlight w:val="none"/>
                <w:u w:val="none"/>
                <w:lang w:eastAsia="zh-CN"/>
              </w:rPr>
            </w:pPr>
            <w:r>
              <w:rPr>
                <w:rStyle w:val="43"/>
                <w:rFonts w:hint="eastAsia" w:ascii="宋体" w:hAnsi="宋体"/>
                <w:color w:val="auto"/>
                <w:szCs w:val="21"/>
                <w:highlight w:val="none"/>
                <w:u w:val="none"/>
              </w:rPr>
              <w:t>2.落实政府采购政策需满足的资格要求：</w:t>
            </w:r>
            <w:r>
              <w:rPr>
                <w:rStyle w:val="43"/>
                <w:rFonts w:hint="eastAsia" w:ascii="宋体" w:hAnsi="宋体"/>
                <w:color w:val="auto"/>
                <w:szCs w:val="21"/>
                <w:highlight w:val="none"/>
                <w:u w:val="none"/>
                <w:lang w:val="en-US" w:eastAsia="zh-CN"/>
              </w:rPr>
              <w:t>无</w:t>
            </w:r>
          </w:p>
          <w:p>
            <w:pPr>
              <w:spacing w:line="440" w:lineRule="exact"/>
              <w:rPr>
                <w:rFonts w:hint="eastAsia" w:ascii="宋体" w:hAnsi="宋体"/>
                <w:color w:val="auto"/>
                <w:szCs w:val="21"/>
                <w:highlight w:val="none"/>
              </w:rPr>
            </w:pPr>
            <w:r>
              <w:rPr>
                <w:rStyle w:val="43"/>
                <w:rFonts w:hint="eastAsia" w:ascii="宋体" w:hAnsi="宋体"/>
                <w:color w:val="auto"/>
                <w:szCs w:val="21"/>
                <w:highlight w:val="none"/>
                <w:u w:val="none"/>
              </w:rPr>
              <w:t>3.本项目的特定资格要求：无</w:t>
            </w:r>
            <w:r>
              <w:rPr>
                <w:rStyle w:val="43"/>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3"/>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3"/>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响应文件提交截止时间及开启时间：</w:t>
            </w:r>
            <w:r>
              <w:rPr>
                <w:rStyle w:val="43"/>
                <w:rFonts w:hint="eastAsia" w:ascii="宋体" w:hAnsi="宋体"/>
                <w:color w:val="auto"/>
                <w:szCs w:val="21"/>
                <w:highlight w:val="none"/>
                <w:u w:val="none"/>
              </w:rPr>
              <w:t>202</w:t>
            </w:r>
            <w:r>
              <w:rPr>
                <w:rStyle w:val="43"/>
                <w:rFonts w:hint="eastAsia" w:ascii="宋体" w:hAnsi="宋体"/>
                <w:color w:val="auto"/>
                <w:szCs w:val="21"/>
                <w:highlight w:val="none"/>
                <w:u w:val="none"/>
                <w:lang w:val="en-US" w:eastAsia="zh-CN"/>
              </w:rPr>
              <w:t>5</w:t>
            </w:r>
            <w:r>
              <w:rPr>
                <w:rStyle w:val="43"/>
                <w:rFonts w:hint="eastAsia" w:ascii="宋体" w:hAnsi="宋体"/>
                <w:color w:val="auto"/>
                <w:szCs w:val="21"/>
                <w:highlight w:val="none"/>
                <w:u w:val="none"/>
              </w:rPr>
              <w:t>年</w:t>
            </w:r>
            <w:r>
              <w:rPr>
                <w:rStyle w:val="43"/>
                <w:rFonts w:hint="eastAsia" w:ascii="宋体" w:hAnsi="宋体"/>
                <w:color w:val="auto"/>
                <w:szCs w:val="21"/>
                <w:highlight w:val="none"/>
                <w:u w:val="none"/>
                <w:lang w:val="en-US" w:eastAsia="zh-CN"/>
              </w:rPr>
              <w:t>11月18</w:t>
            </w:r>
            <w:r>
              <w:rPr>
                <w:rStyle w:val="43"/>
                <w:rFonts w:hint="eastAsia" w:ascii="宋体" w:hAnsi="宋体"/>
                <w:color w:val="auto"/>
                <w:szCs w:val="21"/>
                <w:highlight w:val="none"/>
                <w:u w:val="none"/>
              </w:rPr>
              <w:t>日</w:t>
            </w:r>
            <w:r>
              <w:rPr>
                <w:rStyle w:val="43"/>
                <w:rFonts w:ascii="宋体" w:hAnsi="宋体"/>
                <w:color w:val="auto"/>
                <w:szCs w:val="21"/>
                <w:highlight w:val="none"/>
                <w:u w:val="none"/>
              </w:rPr>
              <w:t>09</w:t>
            </w:r>
            <w:r>
              <w:rPr>
                <w:rStyle w:val="43"/>
                <w:rFonts w:hint="eastAsia" w:ascii="宋体" w:hAnsi="宋体"/>
                <w:color w:val="auto"/>
                <w:szCs w:val="21"/>
                <w:highlight w:val="none"/>
                <w:u w:val="none"/>
              </w:rPr>
              <w:t>时</w:t>
            </w:r>
            <w:r>
              <w:rPr>
                <w:rStyle w:val="43"/>
                <w:rFonts w:ascii="宋体" w:hAnsi="宋体"/>
                <w:color w:val="auto"/>
                <w:szCs w:val="21"/>
                <w:highlight w:val="none"/>
                <w:u w:val="none"/>
              </w:rPr>
              <w:t>3</w:t>
            </w:r>
            <w:r>
              <w:rPr>
                <w:rStyle w:val="43"/>
                <w:rFonts w:hint="eastAsia" w:ascii="宋体" w:hAnsi="宋体"/>
                <w:color w:val="auto"/>
                <w:szCs w:val="21"/>
                <w:highlight w:val="none"/>
                <w:u w:val="none"/>
              </w:rPr>
              <w:t>0分。</w:t>
            </w:r>
          </w:p>
          <w:p>
            <w:pPr>
              <w:widowControl/>
              <w:spacing w:line="440" w:lineRule="exact"/>
              <w:rPr>
                <w:color w:val="auto"/>
                <w:highlight w:val="none"/>
              </w:rPr>
            </w:pPr>
            <w:r>
              <w:rPr>
                <w:rStyle w:val="43"/>
                <w:rFonts w:hint="eastAsia"/>
                <w:b/>
                <w:color w:val="auto"/>
                <w:szCs w:val="21"/>
                <w:highlight w:val="none"/>
                <w:u w:val="none"/>
              </w:rPr>
              <w:t>注意事项：</w:t>
            </w:r>
            <w:r>
              <w:rPr>
                <w:rStyle w:val="43"/>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3"/>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3"/>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3"/>
                <w:rFonts w:hint="eastAsia" w:ascii="宋体" w:hAnsi="宋体" w:cs="宋体"/>
                <w:color w:val="auto"/>
                <w:kern w:val="0"/>
                <w:szCs w:val="21"/>
                <w:highlight w:val="none"/>
                <w:u w:val="none"/>
              </w:rPr>
              <w:t>评定方法：</w:t>
            </w:r>
            <w:r>
              <w:rPr>
                <w:rStyle w:val="43"/>
                <w:rFonts w:hint="eastAsia"/>
                <w:color w:val="auto"/>
                <w:highlight w:val="none"/>
                <w:u w:val="none"/>
              </w:rPr>
              <w:t>详见第四章《评定标准及推荐原则》。</w:t>
            </w:r>
            <w:r>
              <w:rPr>
                <w:rStyle w:val="43"/>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3"/>
                <w:rFonts w:hint="eastAsia" w:ascii="宋体" w:hAnsi="宋体" w:cs="宋体"/>
                <w:color w:val="auto"/>
                <w:kern w:val="0"/>
                <w:szCs w:val="21"/>
                <w:highlight w:val="none"/>
                <w:u w:val="none"/>
              </w:rPr>
              <w:t>代理服务费：按钦州市物价局“钦市价费〔2013﹞4号”文件，以差额定率累进法计算。成交供应商须按成交金额缴纳相应的代理服务费。</w:t>
            </w:r>
            <w:r>
              <w:rPr>
                <w:rStyle w:val="43"/>
                <w:rFonts w:hint="eastAsia" w:ascii="宋体" w:hAnsi="宋体" w:cs="宋体"/>
                <w:color w:val="auto"/>
                <w:kern w:val="0"/>
                <w:szCs w:val="21"/>
                <w:highlight w:val="none"/>
                <w:u w:val="none"/>
              </w:rPr>
              <w:fldChar w:fldCharType="end"/>
            </w:r>
          </w:p>
        </w:tc>
      </w:tr>
    </w:tbl>
    <w:p>
      <w:pPr>
        <w:rPr>
          <w:color w:val="auto"/>
          <w:highlight w:val="none"/>
        </w:rPr>
      </w:pPr>
      <w:bookmarkStart w:id="54"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4"/>
    </w:p>
    <w:p>
      <w:pPr>
        <w:pStyle w:val="5"/>
        <w:spacing w:line="420" w:lineRule="exact"/>
        <w:rPr>
          <w:color w:val="auto"/>
          <w:highlight w:val="none"/>
        </w:rPr>
      </w:pPr>
      <w:bookmarkStart w:id="55" w:name="_一、总_则"/>
      <w:bookmarkEnd w:id="55"/>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钦州市DeepSeek大模型部署、AI智能应用及配套技术服务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QZZC2025-C3-990307-QZSZ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无</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56" w:name="_Toc254970530"/>
      <w:bookmarkStart w:id="57" w:name="_Toc353785281"/>
      <w:bookmarkStart w:id="58" w:name="_Toc254970671"/>
      <w:bookmarkStart w:id="59" w:name="_Toc352700410"/>
      <w:r>
        <w:rPr>
          <w:rFonts w:hint="eastAsia"/>
          <w:b/>
          <w:bCs/>
          <w:color w:val="auto"/>
          <w:highlight w:val="none"/>
        </w:rPr>
        <w:t>（五）代理委托</w:t>
      </w:r>
      <w:bookmarkEnd w:id="56"/>
      <w:bookmarkEnd w:id="57"/>
      <w:bookmarkEnd w:id="58"/>
      <w:bookmarkEnd w:id="59"/>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0" w:name="_Toc353785282"/>
      <w:bookmarkStart w:id="61" w:name="_Toc254970672"/>
      <w:bookmarkStart w:id="62" w:name="_Toc352700411"/>
      <w:bookmarkStart w:id="63" w:name="_Toc254970531"/>
      <w:r>
        <w:rPr>
          <w:rFonts w:hint="eastAsia"/>
          <w:b/>
          <w:bCs/>
          <w:color w:val="auto"/>
          <w:highlight w:val="none"/>
        </w:rPr>
        <w:t>（六）磋商费用</w:t>
      </w:r>
      <w:bookmarkEnd w:id="60"/>
      <w:bookmarkEnd w:id="61"/>
      <w:bookmarkEnd w:id="62"/>
      <w:bookmarkEnd w:id="63"/>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4" w:name="_Toc353785283"/>
      <w:bookmarkStart w:id="65" w:name="_Toc352700413"/>
      <w:r>
        <w:rPr>
          <w:rFonts w:hint="eastAsia"/>
          <w:b/>
          <w:bCs/>
          <w:color w:val="auto"/>
          <w:highlight w:val="none"/>
        </w:rPr>
        <w:t>（七）转包与分包</w:t>
      </w:r>
      <w:bookmarkEnd w:id="64"/>
      <w:bookmarkEnd w:id="65"/>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66" w:name="_Toc254970532"/>
      <w:bookmarkStart w:id="67" w:name="_Toc352700414"/>
      <w:bookmarkStart w:id="68" w:name="_Toc254970673"/>
      <w:bookmarkStart w:id="69" w:name="_Toc353785284"/>
      <w:r>
        <w:rPr>
          <w:rFonts w:hint="eastAsia"/>
          <w:b/>
          <w:bCs/>
          <w:color w:val="auto"/>
          <w:highlight w:val="none"/>
        </w:rPr>
        <w:t>（八）特别说明</w:t>
      </w:r>
      <w:bookmarkEnd w:id="66"/>
      <w:bookmarkEnd w:id="67"/>
      <w:bookmarkEnd w:id="68"/>
      <w:bookmarkEnd w:id="69"/>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3"/>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3.本项目接受电信行业的投标人分支机构参与投标。</w:t>
      </w:r>
    </w:p>
    <w:p>
      <w:pPr>
        <w:spacing w:line="406" w:lineRule="exact"/>
        <w:ind w:firstLine="211" w:firstLineChars="100"/>
        <w:rPr>
          <w:b/>
          <w:bCs/>
          <w:color w:val="auto"/>
          <w:highlight w:val="none"/>
        </w:rPr>
      </w:pPr>
      <w:bookmarkStart w:id="70" w:name="_Toc254970674"/>
      <w:bookmarkStart w:id="71" w:name="_Toc352700415"/>
      <w:bookmarkStart w:id="72" w:name="_Toc254970533"/>
      <w:bookmarkStart w:id="73" w:name="_Toc353785285"/>
      <w:r>
        <w:rPr>
          <w:rFonts w:hint="eastAsia"/>
          <w:b/>
          <w:bCs/>
          <w:color w:val="auto"/>
          <w:highlight w:val="none"/>
        </w:rPr>
        <w:t>（九）询问、质疑和投诉</w:t>
      </w:r>
      <w:bookmarkEnd w:id="70"/>
      <w:bookmarkEnd w:id="71"/>
      <w:bookmarkEnd w:id="72"/>
      <w:bookmarkEnd w:id="73"/>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pStyle w:val="5"/>
        <w:spacing w:line="406" w:lineRule="exact"/>
        <w:rPr>
          <w:color w:val="auto"/>
          <w:highlight w:val="none"/>
        </w:rPr>
      </w:pPr>
      <w:bookmarkStart w:id="74" w:name="_Toc352700416"/>
      <w:bookmarkStart w:id="75" w:name="_Toc353785286"/>
      <w:r>
        <w:rPr>
          <w:rFonts w:hint="eastAsia"/>
          <w:color w:val="auto"/>
          <w:highlight w:val="none"/>
        </w:rPr>
        <w:t>二、竞争性磋商采购文件</w:t>
      </w:r>
      <w:bookmarkEnd w:id="74"/>
      <w:bookmarkEnd w:id="75"/>
    </w:p>
    <w:p>
      <w:pPr>
        <w:spacing w:line="406" w:lineRule="exact"/>
        <w:ind w:firstLine="211" w:firstLineChars="100"/>
        <w:rPr>
          <w:b/>
          <w:bCs/>
          <w:color w:val="auto"/>
          <w:highlight w:val="none"/>
        </w:rPr>
      </w:pPr>
      <w:bookmarkStart w:id="76" w:name="_Toc353785287"/>
      <w:bookmarkStart w:id="77" w:name="_Toc352700417"/>
      <w:r>
        <w:rPr>
          <w:rFonts w:hint="eastAsia"/>
          <w:b/>
          <w:bCs/>
          <w:color w:val="auto"/>
          <w:highlight w:val="none"/>
        </w:rPr>
        <w:t>（一）竞争性磋商采购文件的组成</w:t>
      </w:r>
      <w:bookmarkEnd w:id="76"/>
      <w:bookmarkEnd w:id="77"/>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78" w:name="_Toc352700419"/>
      <w:bookmarkStart w:id="79" w:name="_Toc353785289"/>
      <w:r>
        <w:rPr>
          <w:rFonts w:hint="eastAsia"/>
          <w:b/>
          <w:bCs/>
          <w:color w:val="auto"/>
          <w:highlight w:val="none"/>
        </w:rPr>
        <w:t>（二）竞争性磋商采购文件的澄清与修改</w:t>
      </w:r>
      <w:bookmarkEnd w:id="78"/>
      <w:bookmarkEnd w:id="79"/>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5"/>
        <w:spacing w:line="406" w:lineRule="exact"/>
        <w:rPr>
          <w:color w:val="auto"/>
          <w:highlight w:val="none"/>
        </w:rPr>
      </w:pPr>
      <w:bookmarkStart w:id="80" w:name="_三、响应文件"/>
      <w:bookmarkEnd w:id="80"/>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1"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2"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2"/>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3" w:name="_Hlk108683109"/>
      <w:r>
        <w:rPr>
          <w:rFonts w:hint="eastAsia" w:hAnsi="宋体"/>
          <w:color w:val="auto"/>
          <w:spacing w:val="-4"/>
          <w:highlight w:val="none"/>
        </w:rPr>
        <w:t>(格式见第六章)</w:t>
      </w:r>
      <w:bookmarkEnd w:id="83"/>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ascii="宋体" w:hAnsi="宋体"/>
          <w:color w:val="auto"/>
          <w:highlight w:val="none"/>
        </w:rPr>
        <w:t>商务响应表(格式见第六章)</w:t>
      </w:r>
    </w:p>
    <w:p>
      <w:pPr>
        <w:snapToGrid w:val="0"/>
        <w:spacing w:line="406" w:lineRule="exact"/>
        <w:ind w:firstLine="422" w:firstLineChars="200"/>
        <w:rPr>
          <w:rFonts w:hint="eastAsia" w:ascii="宋体" w:hAnsi="宋体"/>
          <w:color w:val="auto"/>
          <w:highlight w:val="none"/>
        </w:rPr>
      </w:pPr>
      <w:r>
        <w:rPr>
          <w:rFonts w:hint="eastAsia" w:ascii="宋体" w:hAnsi="宋体"/>
          <w:b/>
          <w:color w:val="auto"/>
          <w:szCs w:val="21"/>
          <w:highlight w:val="none"/>
        </w:rPr>
        <w:t>★</w:t>
      </w:r>
      <w:r>
        <w:rPr>
          <w:rFonts w:hint="eastAsia" w:ascii="宋体" w:hAnsi="宋体"/>
          <w:color w:val="auto"/>
          <w:highlight w:val="none"/>
        </w:rPr>
        <w:t>(5</w:t>
      </w:r>
      <w:r>
        <w:rPr>
          <w:rFonts w:ascii="宋体" w:hAnsi="宋体"/>
          <w:color w:val="auto"/>
          <w:highlight w:val="none"/>
        </w:rPr>
        <w:t>)</w:t>
      </w:r>
      <w:r>
        <w:rPr>
          <w:rFonts w:hint="eastAsia" w:ascii="宋体" w:hAnsi="宋体"/>
          <w:color w:val="auto"/>
          <w:szCs w:val="21"/>
          <w:highlight w:val="none"/>
        </w:rPr>
        <w:t>技术响应表</w:t>
      </w:r>
      <w:bookmarkStart w:id="84" w:name="_Hlk92285954"/>
      <w:r>
        <w:rPr>
          <w:rFonts w:ascii="宋体" w:hAnsi="宋体"/>
          <w:color w:val="auto"/>
          <w:highlight w:val="none"/>
        </w:rPr>
        <w:t>(格式见第六章)</w:t>
      </w:r>
      <w:bookmarkEnd w:id="84"/>
    </w:p>
    <w:p>
      <w:pPr>
        <w:snapToGrid w:val="0"/>
        <w:spacing w:line="406" w:lineRule="exact"/>
        <w:ind w:firstLine="422" w:firstLineChars="200"/>
        <w:rPr>
          <w:rFonts w:hint="eastAsia" w:ascii="宋体" w:hAnsi="宋体"/>
          <w:bCs/>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《项目需求》中要求必须提供的材料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5"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5"/>
      <w:r>
        <w:rPr>
          <w:rFonts w:hint="eastAsia" w:ascii="宋体" w:hAnsi="宋体"/>
          <w:bCs/>
          <w:color w:val="auto"/>
          <w:szCs w:val="21"/>
          <w:highlight w:val="none"/>
        </w:rPr>
        <w:t>(格式见第六章)。</w:t>
      </w:r>
    </w:p>
    <w:bookmarkEnd w:id="81"/>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86" w:name="_Hlk90906323"/>
      <w:r>
        <w:rPr>
          <w:rFonts w:hint="eastAsia" w:ascii="宋体" w:hAnsi="宋体"/>
          <w:color w:val="auto"/>
          <w:szCs w:val="21"/>
          <w:highlight w:val="none"/>
        </w:rPr>
        <w:t>②</w:t>
      </w:r>
      <w:bookmarkStart w:id="87"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7"/>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88" w:name="_Toc352700422"/>
      <w:bookmarkStart w:id="89" w:name="_Toc353785292"/>
      <w:bookmarkStart w:id="90" w:name="_Toc254970537"/>
      <w:bookmarkStart w:id="91" w:name="_Toc254970678"/>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86"/>
    <w:p>
      <w:pPr>
        <w:spacing w:line="406" w:lineRule="exact"/>
        <w:ind w:firstLine="211" w:firstLineChars="100"/>
        <w:rPr>
          <w:color w:val="auto"/>
          <w:highlight w:val="none"/>
        </w:rPr>
      </w:pPr>
      <w:r>
        <w:rPr>
          <w:rFonts w:hint="eastAsia"/>
          <w:b/>
          <w:bCs/>
          <w:color w:val="auto"/>
          <w:highlight w:val="none"/>
        </w:rPr>
        <w:t>（四）响应文件的语言及计量</w:t>
      </w:r>
      <w:bookmarkEnd w:id="88"/>
      <w:bookmarkEnd w:id="89"/>
      <w:bookmarkEnd w:id="90"/>
      <w:bookmarkEnd w:id="91"/>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06" w:lineRule="exact"/>
        <w:ind w:firstLine="211" w:firstLineChars="100"/>
        <w:rPr>
          <w:rFonts w:hint="eastAsia" w:ascii="宋体" w:hAnsi="宋体" w:eastAsia="宋体"/>
          <w:color w:val="auto"/>
          <w:sz w:val="21"/>
          <w:szCs w:val="21"/>
          <w:highlight w:val="none"/>
        </w:rPr>
      </w:pPr>
      <w:bookmarkStart w:id="92" w:name="_（五）报价"/>
      <w:bookmarkEnd w:id="92"/>
      <w:bookmarkStart w:id="93" w:name="_Toc352700423"/>
      <w:bookmarkStart w:id="94" w:name="_Toc353785293"/>
      <w:bookmarkStart w:id="95" w:name="_Toc254970679"/>
      <w:bookmarkStart w:id="96" w:name="_Toc254970538"/>
      <w:r>
        <w:rPr>
          <w:rFonts w:hint="eastAsia" w:ascii="宋体" w:hAnsi="宋体" w:eastAsia="宋体"/>
          <w:color w:val="auto"/>
          <w:sz w:val="21"/>
          <w:szCs w:val="21"/>
          <w:highlight w:val="none"/>
        </w:rPr>
        <w:t>（五）报价</w:t>
      </w:r>
      <w:bookmarkEnd w:id="93"/>
      <w:bookmarkEnd w:id="94"/>
      <w:bookmarkEnd w:id="95"/>
      <w:bookmarkEnd w:id="96"/>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5"/>
        <w:spacing w:before="0" w:after="0" w:line="406" w:lineRule="exact"/>
        <w:ind w:firstLine="211" w:firstLineChars="100"/>
        <w:rPr>
          <w:rFonts w:hint="eastAsia" w:ascii="宋体" w:hAnsi="宋体" w:eastAsia="宋体"/>
          <w:color w:val="auto"/>
          <w:sz w:val="21"/>
          <w:szCs w:val="21"/>
          <w:highlight w:val="none"/>
        </w:rPr>
      </w:pPr>
      <w:bookmarkStart w:id="97" w:name="_（六）磋商保证金"/>
      <w:bookmarkEnd w:id="97"/>
      <w:bookmarkStart w:id="98" w:name="_Toc254970682"/>
      <w:bookmarkStart w:id="99" w:name="_Toc254970541"/>
      <w:bookmarkStart w:id="100" w:name="_Toc353785295"/>
      <w:bookmarkStart w:id="101" w:name="_Toc352700425"/>
      <w:r>
        <w:rPr>
          <w:rFonts w:hint="eastAsia" w:ascii="宋体" w:hAnsi="宋体" w:eastAsia="宋体"/>
          <w:color w:val="auto"/>
          <w:sz w:val="21"/>
          <w:szCs w:val="21"/>
          <w:highlight w:val="none"/>
        </w:rPr>
        <w:t>（六）磋商保证金</w:t>
      </w:r>
      <w:bookmarkEnd w:id="98"/>
      <w:bookmarkEnd w:id="99"/>
      <w:bookmarkEnd w:id="100"/>
      <w:bookmarkEnd w:id="101"/>
    </w:p>
    <w:p>
      <w:pPr>
        <w:snapToGrid w:val="0"/>
        <w:spacing w:line="406" w:lineRule="exact"/>
        <w:ind w:firstLine="420" w:firstLineChars="200"/>
        <w:rPr>
          <w:color w:val="auto"/>
          <w:highlight w:val="none"/>
        </w:rPr>
      </w:pPr>
      <w:bookmarkStart w:id="102" w:name="_Toc353785296"/>
      <w:bookmarkStart w:id="103" w:name="_Toc254970542"/>
      <w:bookmarkStart w:id="104" w:name="_Toc254970683"/>
      <w:bookmarkStart w:id="105" w:name="_Toc352700426"/>
      <w:r>
        <w:rPr>
          <w:rFonts w:hint="eastAsia" w:ascii="宋体" w:hAnsi="宋体"/>
          <w:color w:val="auto"/>
          <w:szCs w:val="21"/>
          <w:highlight w:val="none"/>
        </w:rPr>
        <w:t>本项目免收磋商保证金。</w:t>
      </w:r>
    </w:p>
    <w:bookmarkEnd w:id="102"/>
    <w:bookmarkEnd w:id="103"/>
    <w:bookmarkEnd w:id="104"/>
    <w:bookmarkEnd w:id="105"/>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6" w:name="_Hlk91772691"/>
      <w:r>
        <w:rPr>
          <w:rFonts w:hint="eastAsia" w:ascii="宋体" w:hAnsi="宋体"/>
          <w:color w:val="auto"/>
          <w:szCs w:val="21"/>
          <w:highlight w:val="none"/>
        </w:rPr>
        <w:t>政府采购云平台</w:t>
      </w:r>
      <w:bookmarkEnd w:id="106"/>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5"/>
        <w:spacing w:line="406" w:lineRule="exact"/>
        <w:rPr>
          <w:color w:val="auto"/>
          <w:highlight w:val="none"/>
        </w:rPr>
      </w:pPr>
      <w:bookmarkStart w:id="107" w:name="_四、响应文件开启"/>
      <w:bookmarkEnd w:id="107"/>
      <w:r>
        <w:rPr>
          <w:rFonts w:hint="eastAsia"/>
          <w:color w:val="auto"/>
          <w:highlight w:val="none"/>
        </w:rPr>
        <w:t>四、</w:t>
      </w:r>
      <w:bookmarkStart w:id="108" w:name="_Toc352700430"/>
      <w:bookmarkStart w:id="109" w:name="_Toc353785300"/>
      <w:r>
        <w:rPr>
          <w:rFonts w:hint="eastAsia"/>
          <w:color w:val="auto"/>
          <w:highlight w:val="none"/>
        </w:rPr>
        <w:t>响应文件开启</w:t>
      </w:r>
    </w:p>
    <w:bookmarkEnd w:id="108"/>
    <w:bookmarkEnd w:id="109"/>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0" w:name="_Hlk90300735"/>
      <w:r>
        <w:rPr>
          <w:rFonts w:hint="eastAsia"/>
          <w:color w:val="auto"/>
          <w:highlight w:val="none"/>
        </w:rPr>
        <w:t>政采云远程开标大厅</w:t>
      </w:r>
      <w:bookmarkEnd w:id="110"/>
      <w:r>
        <w:rPr>
          <w:rFonts w:hint="eastAsia"/>
          <w:color w:val="auto"/>
          <w:highlight w:val="none"/>
        </w:rPr>
        <w:t>进行响应文件开启，供应商法定代表人或委托代理人须按时登录</w:t>
      </w:r>
      <w:bookmarkStart w:id="111" w:name="_Hlk90300780"/>
      <w:r>
        <w:rPr>
          <w:rFonts w:hint="eastAsia"/>
          <w:color w:val="auto"/>
          <w:highlight w:val="none"/>
        </w:rPr>
        <w:t>政采云远程开标大厅</w:t>
      </w:r>
      <w:bookmarkEnd w:id="111"/>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2" w:name="_Toc352700431"/>
      <w:bookmarkStart w:id="113" w:name="_Toc35378530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2"/>
      <w:bookmarkEnd w:id="113"/>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06" w:lineRule="exact"/>
        <w:rPr>
          <w:rFonts w:hint="eastAsia" w:ascii="宋体" w:hAnsi="宋体"/>
          <w:color w:val="auto"/>
          <w:szCs w:val="21"/>
          <w:highlight w:val="none"/>
        </w:rPr>
      </w:pPr>
      <w:bookmarkStart w:id="114" w:name="_五、评审与磋商"/>
      <w:bookmarkEnd w:id="114"/>
      <w:bookmarkStart w:id="115" w:name="_Toc352700432"/>
      <w:bookmarkStart w:id="116" w:name="_Toc353785302"/>
      <w:bookmarkStart w:id="117" w:name="_Toc254970686"/>
      <w:bookmarkStart w:id="118" w:name="_Toc254970545"/>
      <w:r>
        <w:rPr>
          <w:rFonts w:hint="eastAsia"/>
          <w:color w:val="auto"/>
          <w:highlight w:val="none"/>
        </w:rPr>
        <w:t>五、</w:t>
      </w:r>
      <w:bookmarkEnd w:id="115"/>
      <w:bookmarkEnd w:id="116"/>
      <w:bookmarkEnd w:id="117"/>
      <w:bookmarkEnd w:id="118"/>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19" w:name="_Toc352700433"/>
      <w:bookmarkStart w:id="120" w:name="_Toc35378530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19"/>
      <w:bookmarkEnd w:id="120"/>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1" w:name="_Hlk101270484"/>
      <w:r>
        <w:rPr>
          <w:rFonts w:hint="eastAsia"/>
          <w:color w:val="auto"/>
          <w:highlight w:val="none"/>
        </w:rPr>
        <w:t>市场竞争不充分的科研项目，以及需要扶持的科技成果转化项目</w:t>
      </w:r>
      <w:bookmarkEnd w:id="121"/>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2" w:name="_Hlk92462362"/>
      <w:r>
        <w:rPr>
          <w:rFonts w:hint="eastAsia" w:hAnsi="宋体"/>
          <w:bCs/>
          <w:color w:val="auto"/>
          <w:highlight w:val="none"/>
        </w:rPr>
        <w:t>澄清、说明或者更正</w:t>
      </w:r>
      <w:bookmarkEnd w:id="122"/>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5"/>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5"/>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5"/>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3"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3"/>
    <w:p>
      <w:pPr>
        <w:pStyle w:val="5"/>
        <w:spacing w:line="406" w:lineRule="exact"/>
        <w:rPr>
          <w:color w:val="auto"/>
          <w:highlight w:val="none"/>
        </w:rPr>
      </w:pPr>
      <w:bookmarkStart w:id="124" w:name="_十、其他事项"/>
      <w:bookmarkEnd w:id="124"/>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5" w:name="_Hlk94168058"/>
      <w:r>
        <w:rPr>
          <w:rFonts w:hint="eastAsia" w:hAnsi="宋体"/>
          <w:color w:val="auto"/>
          <w:highlight w:val="none"/>
        </w:rPr>
        <w:t>（一）</w:t>
      </w:r>
      <w:bookmarkEnd w:id="125"/>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6"/>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26"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、陈启梅</w:t>
      </w:r>
      <w:r>
        <w:rPr>
          <w:rFonts w:hint="eastAsia"/>
          <w:color w:val="auto"/>
          <w:highlight w:val="none"/>
        </w:rPr>
        <w:t xml:space="preserve">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26"/>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4"/>
        <w:spacing w:line="400" w:lineRule="exact"/>
        <w:rPr>
          <w:rFonts w:hint="eastAsia" w:ascii="方正小标宋_GBK" w:hAnsi="宋体" w:eastAsia="方正小标宋_GBK"/>
          <w:color w:val="auto"/>
          <w:highlight w:val="none"/>
        </w:rPr>
      </w:pPr>
      <w:bookmarkStart w:id="127" w:name="_第四章__评定标准及推荐原则"/>
      <w:bookmarkEnd w:id="127"/>
      <w:bookmarkStart w:id="128" w:name="_Toc92355026"/>
      <w:r>
        <w:rPr>
          <w:rFonts w:hint="eastAsia" w:ascii="方正小标宋_GBK" w:hAnsi="宋体" w:eastAsia="方正小标宋_GBK"/>
          <w:color w:val="auto"/>
          <w:highlight w:val="none"/>
        </w:rPr>
        <w:t>第四章  评定标准及推荐原则</w:t>
      </w:r>
      <w:bookmarkEnd w:id="128"/>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29" w:name="_Hlk92463826"/>
      <w:r>
        <w:rPr>
          <w:rFonts w:hint="eastAsia" w:hAnsi="宋体"/>
          <w:b/>
          <w:bCs/>
          <w:color w:val="auto"/>
          <w:sz w:val="44"/>
          <w:szCs w:val="44"/>
          <w:highlight w:val="none"/>
        </w:rPr>
        <w:t>评定标准及推荐原则</w:t>
      </w:r>
    </w:p>
    <w:bookmarkEnd w:id="129"/>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0" w:name="_Hlk89353643"/>
      <w:r>
        <w:rPr>
          <w:rFonts w:hint="eastAsia" w:hAnsi="宋体"/>
          <w:bCs/>
          <w:color w:val="auto"/>
          <w:highlight w:val="none"/>
        </w:rPr>
        <w:t>由采购人代表和评审专家共3人以上单数组成，其中评审专家人数不得少于磋商小组成员总数的2/3。</w:t>
      </w:r>
      <w:bookmarkEnd w:id="130"/>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b/>
          <w:bCs/>
          <w:color w:val="auto"/>
          <w:highlight w:val="none"/>
        </w:rPr>
      </w:pPr>
      <w:r>
        <w:rPr>
          <w:rFonts w:hint="eastAsia"/>
          <w:b/>
          <w:bCs/>
          <w:color w:val="auto"/>
          <w:highlight w:val="none"/>
        </w:rPr>
        <w:t>（一）磋商报价得分（</w:t>
      </w:r>
      <w:r>
        <w:rPr>
          <w:rFonts w:hint="eastAsia"/>
          <w:b/>
          <w:bCs/>
          <w:color w:val="auto"/>
          <w:highlight w:val="none"/>
          <w:lang w:val="en-US" w:eastAsia="zh-CN"/>
        </w:rPr>
        <w:t>1</w:t>
      </w:r>
      <w:r>
        <w:rPr>
          <w:rFonts w:hint="eastAsia"/>
          <w:b/>
          <w:bCs/>
          <w:color w:val="auto"/>
          <w:highlight w:val="none"/>
        </w:rPr>
        <w:t>0分）</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满足磋商文件要求且最后报价最低的供应商的价格为磋商基准价，其价格分为满分。其他供应商的价格分统一按照下列公式计算：</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磋商报价得分=（磋商基准价/最后</w:t>
      </w:r>
      <w:r>
        <w:rPr>
          <w:rFonts w:hint="eastAsia" w:ascii="宋体" w:hAnsi="宋体" w:cs="Courier New"/>
          <w:color w:val="auto"/>
          <w:szCs w:val="21"/>
          <w:highlight w:val="none"/>
        </w:rPr>
        <w:t>磋商</w:t>
      </w:r>
      <w:r>
        <w:rPr>
          <w:rFonts w:ascii="宋体" w:hAnsi="宋体" w:cs="Courier New"/>
          <w:color w:val="auto"/>
          <w:szCs w:val="21"/>
          <w:highlight w:val="none"/>
        </w:rPr>
        <w:t>报价）×</w:t>
      </w:r>
      <w:r>
        <w:rPr>
          <w:rFonts w:hint="eastAsia" w:ascii="宋体" w:hAnsi="宋体" w:cs="Courier New"/>
          <w:color w:val="auto"/>
          <w:szCs w:val="21"/>
          <w:highlight w:val="none"/>
          <w:lang w:val="en-US" w:eastAsia="zh-CN"/>
        </w:rPr>
        <w:t>1</w:t>
      </w:r>
      <w:r>
        <w:rPr>
          <w:rFonts w:ascii="宋体" w:hAnsi="宋体" w:cs="Courier New"/>
          <w:color w:val="auto"/>
          <w:szCs w:val="21"/>
          <w:highlight w:val="none"/>
        </w:rPr>
        <w:t>0</w:t>
      </w:r>
      <w:r>
        <w:rPr>
          <w:rFonts w:hint="eastAsia" w:ascii="宋体" w:hAnsi="宋体" w:cs="Courier New"/>
          <w:color w:val="auto"/>
          <w:szCs w:val="21"/>
          <w:highlight w:val="none"/>
        </w:rPr>
        <w:t>分</w:t>
      </w:r>
    </w:p>
    <w:p>
      <w:pPr>
        <w:widowControl/>
        <w:spacing w:line="500" w:lineRule="exact"/>
        <w:ind w:firstLine="42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注：</w:t>
      </w:r>
    </w:p>
    <w:p>
      <w:pPr>
        <w:widowControl/>
        <w:spacing w:line="500"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提供的</w:t>
      </w:r>
      <w:r>
        <w:rPr>
          <w:rFonts w:hint="eastAsia" w:ascii="宋体" w:hAnsi="宋体" w:cs="Courier New"/>
          <w:color w:val="auto"/>
          <w:szCs w:val="21"/>
          <w:highlight w:val="none"/>
          <w:lang w:val="en-US" w:eastAsia="zh-CN"/>
        </w:rPr>
        <w:t>服务</w:t>
      </w:r>
      <w:r>
        <w:rPr>
          <w:rFonts w:hint="eastAsia" w:ascii="宋体" w:hAnsi="宋体" w:cs="Courier New"/>
          <w:color w:val="auto"/>
          <w:szCs w:val="21"/>
          <w:highlight w:val="none"/>
        </w:rPr>
        <w:t>符合《政府采购促进中小企业发展管理办法》（财库﹝2020﹞46号）规定，并在</w:t>
      </w:r>
      <w:r>
        <w:rPr>
          <w:rFonts w:hint="eastAsia" w:ascii="宋体" w:hAnsi="宋体" w:cs="Courier New"/>
          <w:color w:val="auto"/>
          <w:szCs w:val="21"/>
          <w:highlight w:val="none"/>
          <w:lang w:val="en-US" w:eastAsia="zh-CN"/>
        </w:rPr>
        <w:t>响应</w:t>
      </w:r>
      <w:r>
        <w:rPr>
          <w:rFonts w:hint="eastAsia" w:ascii="宋体" w:hAnsi="宋体" w:cs="Courier New"/>
          <w:color w:val="auto"/>
          <w:szCs w:val="21"/>
          <w:highlight w:val="none"/>
        </w:rPr>
        <w:t>文件中提供《中小企业声明函》（格式见第六章，</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须对声明的真实性负责）。评审中将对小微型企业报价给予</w:t>
      </w:r>
      <w:r>
        <w:rPr>
          <w:rFonts w:ascii="宋体" w:hAnsi="宋体" w:cs="Courier New"/>
          <w:color w:val="auto"/>
          <w:szCs w:val="21"/>
          <w:highlight w:val="none"/>
        </w:rPr>
        <w:t>2</w:t>
      </w:r>
      <w:r>
        <w:rPr>
          <w:rFonts w:hint="eastAsia" w:ascii="宋体" w:hAnsi="宋体" w:cs="Courier New"/>
          <w:color w:val="auto"/>
          <w:szCs w:val="21"/>
          <w:highlight w:val="none"/>
        </w:rPr>
        <w:t>0%的扣除，扣除后的价格为评标价。</w:t>
      </w:r>
    </w:p>
    <w:p>
      <w:pPr>
        <w:widowControl/>
        <w:spacing w:line="500"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0" w:firstLineChars="0"/>
        <w:jc w:val="left"/>
        <w:rPr>
          <w:rFonts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color w:val="auto"/>
          <w:highlight w:val="none"/>
        </w:rPr>
      </w:pPr>
      <w:bookmarkStart w:id="131" w:name="_Hlk93484329"/>
      <w:r>
        <w:rPr>
          <w:rFonts w:hint="eastAsia" w:ascii="Calibri" w:hAnsi="宋体" w:cs="Courier New"/>
          <w:color w:val="auto"/>
          <w:highlight w:val="none"/>
          <w:lang w:eastAsia="zh-CN"/>
        </w:rPr>
        <w:t>供应商</w:t>
      </w:r>
      <w:r>
        <w:rPr>
          <w:rFonts w:hint="eastAsia" w:hAnsi="宋体" w:cs="Courier New"/>
          <w:color w:val="auto"/>
          <w:highlight w:val="none"/>
        </w:rPr>
        <w:t>获得政策性价格扣除的，评标价=</w:t>
      </w:r>
      <w:r>
        <w:rPr>
          <w:rFonts w:hint="eastAsia" w:hAnsi="宋体" w:cs="Courier New"/>
          <w:color w:val="auto"/>
          <w:highlight w:val="none"/>
          <w:lang w:val="en-US" w:eastAsia="zh-CN"/>
        </w:rPr>
        <w:t>供应商最后磋商</w:t>
      </w:r>
      <w:r>
        <w:rPr>
          <w:rFonts w:hint="eastAsia" w:hAnsi="宋体" w:cs="Courier New"/>
          <w:color w:val="auto"/>
          <w:highlight w:val="none"/>
        </w:rPr>
        <w:t>报价×（1-</w:t>
      </w:r>
      <w:r>
        <w:rPr>
          <w:rFonts w:hAnsi="宋体" w:cs="Courier New"/>
          <w:color w:val="auto"/>
          <w:highlight w:val="none"/>
        </w:rPr>
        <w:t>2</w:t>
      </w:r>
      <w:r>
        <w:rPr>
          <w:rFonts w:hint="eastAsia" w:hAnsi="宋体" w:cs="Courier New"/>
          <w:color w:val="auto"/>
          <w:highlight w:val="none"/>
        </w:rPr>
        <w:t>0%），否则评标价=</w:t>
      </w:r>
      <w:r>
        <w:rPr>
          <w:rFonts w:hint="eastAsia" w:hAnsi="宋体" w:cs="Courier New"/>
          <w:color w:val="auto"/>
          <w:highlight w:val="none"/>
          <w:lang w:val="en-US" w:eastAsia="zh-CN"/>
        </w:rPr>
        <w:t>供应商最后磋商</w:t>
      </w:r>
      <w:r>
        <w:rPr>
          <w:rFonts w:hint="eastAsia" w:hAnsi="宋体" w:cs="Courier New"/>
          <w:color w:val="auto"/>
          <w:highlight w:val="none"/>
        </w:rPr>
        <w:t>报价。满足招标文件全部实质性要求的</w:t>
      </w:r>
      <w:r>
        <w:rPr>
          <w:rFonts w:hint="eastAsia" w:hAnsi="宋体" w:cs="Courier New"/>
          <w:color w:val="auto"/>
          <w:highlight w:val="none"/>
          <w:lang w:eastAsia="zh-CN"/>
        </w:rPr>
        <w:t>供应商</w:t>
      </w:r>
      <w:r>
        <w:rPr>
          <w:rFonts w:hint="eastAsia" w:hAnsi="宋体" w:cs="Courier New"/>
          <w:color w:val="auto"/>
          <w:highlight w:val="none"/>
        </w:rPr>
        <w:t>最低评标价为</w:t>
      </w:r>
      <w:r>
        <w:rPr>
          <w:rFonts w:hint="eastAsia" w:hAnsi="宋体" w:cs="Courier New"/>
          <w:color w:val="auto"/>
          <w:highlight w:val="none"/>
          <w:lang w:val="en-US" w:eastAsia="zh-CN"/>
        </w:rPr>
        <w:t>磋商</w:t>
      </w:r>
      <w:r>
        <w:rPr>
          <w:rFonts w:hint="eastAsia" w:hAnsi="宋体" w:cs="Courier New"/>
          <w:color w:val="auto"/>
          <w:highlight w:val="none"/>
        </w:rPr>
        <w:t>基准价。</w:t>
      </w:r>
      <w:r>
        <w:rPr>
          <w:rFonts w:hint="eastAsia" w:ascii="Calibri" w:hAnsi="宋体" w:cs="Courier New"/>
          <w:color w:val="auto"/>
          <w:highlight w:val="none"/>
        </w:rPr>
        <w:t>评标价仅作评标时使用，</w:t>
      </w:r>
      <w:r>
        <w:rPr>
          <w:rFonts w:hint="eastAsia" w:ascii="Calibri" w:hAnsi="宋体" w:cs="Courier New"/>
          <w:color w:val="auto"/>
          <w:highlight w:val="none"/>
          <w:lang w:val="en-US" w:eastAsia="zh-CN"/>
        </w:rPr>
        <w:t>成交</w:t>
      </w:r>
      <w:r>
        <w:rPr>
          <w:rFonts w:hint="eastAsia" w:ascii="Calibri" w:hAnsi="宋体" w:cs="Courier New"/>
          <w:color w:val="auto"/>
          <w:highlight w:val="none"/>
        </w:rPr>
        <w:t>金额＝</w:t>
      </w:r>
      <w:r>
        <w:rPr>
          <w:rFonts w:hint="eastAsia" w:ascii="Calibri" w:hAnsi="宋体" w:cs="Courier New"/>
          <w:color w:val="auto"/>
          <w:highlight w:val="none"/>
          <w:lang w:val="en-US" w:eastAsia="zh-CN"/>
        </w:rPr>
        <w:t>磋商</w:t>
      </w:r>
      <w:r>
        <w:rPr>
          <w:rFonts w:hint="eastAsia" w:ascii="Calibri" w:hAnsi="宋体" w:cs="Courier New"/>
          <w:color w:val="auto"/>
          <w:highlight w:val="none"/>
        </w:rPr>
        <w:t>报价</w:t>
      </w:r>
      <w:r>
        <w:rPr>
          <w:rFonts w:hint="eastAsia" w:hAnsi="宋体" w:cs="Courier New"/>
          <w:color w:val="auto"/>
          <w:highlight w:val="none"/>
        </w:rPr>
        <w:t>。</w:t>
      </w:r>
      <w:bookmarkEnd w:id="131"/>
    </w:p>
    <w:p>
      <w:pPr>
        <w:widowControl/>
        <w:spacing w:line="440" w:lineRule="exact"/>
        <w:ind w:firstLine="282" w:firstLineChars="134"/>
        <w:rPr>
          <w:rFonts w:ascii="宋体" w:hAnsi="宋体" w:cs="宋体"/>
          <w:b/>
          <w:bCs/>
          <w:color w:val="auto"/>
          <w:spacing w:val="-12"/>
          <w:kern w:val="0"/>
          <w:szCs w:val="21"/>
          <w:highlight w:val="none"/>
        </w:rPr>
      </w:pPr>
      <w:bookmarkStart w:id="132" w:name="_Hlk150872387"/>
      <w:bookmarkStart w:id="133" w:name="_Hlk124258602"/>
      <w:r>
        <w:rPr>
          <w:rFonts w:hint="eastAsia" w:ascii="宋体" w:hAnsi="宋体" w:cs="宋体"/>
          <w:b/>
          <w:bCs/>
          <w:color w:val="auto"/>
          <w:kern w:val="0"/>
          <w:szCs w:val="21"/>
          <w:highlight w:val="none"/>
        </w:rPr>
        <w:t>（二）技术商务资信分</w:t>
      </w:r>
      <w:r>
        <w:rPr>
          <w:rFonts w:hint="eastAsia" w:ascii="宋体" w:hAnsi="宋体" w:cs="宋体"/>
          <w:b/>
          <w:bCs/>
          <w:color w:val="auto"/>
          <w:spacing w:val="-12"/>
          <w:kern w:val="0"/>
          <w:szCs w:val="21"/>
          <w:highlight w:val="none"/>
        </w:rPr>
        <w:t>（</w:t>
      </w:r>
      <w:r>
        <w:rPr>
          <w:rFonts w:ascii="宋体" w:hAnsi="宋体" w:cs="宋体"/>
          <w:b/>
          <w:bCs/>
          <w:color w:val="auto"/>
          <w:spacing w:val="-12"/>
          <w:kern w:val="0"/>
          <w:szCs w:val="21"/>
          <w:highlight w:val="none"/>
        </w:rPr>
        <w:t>90</w:t>
      </w:r>
      <w:r>
        <w:rPr>
          <w:rFonts w:hint="eastAsia" w:ascii="宋体" w:hAnsi="宋体" w:cs="宋体"/>
          <w:b/>
          <w:bCs/>
          <w:color w:val="auto"/>
          <w:spacing w:val="-12"/>
          <w:kern w:val="0"/>
          <w:szCs w:val="21"/>
          <w:highlight w:val="none"/>
        </w:rPr>
        <w:t>分）</w:t>
      </w:r>
    </w:p>
    <w:p>
      <w:pPr>
        <w:spacing w:line="440" w:lineRule="exact"/>
        <w:ind w:firstLine="284" w:firstLineChars="0"/>
        <w:rPr>
          <w:rFonts w:ascii="宋体" w:hAnsi="宋体" w:cs="宋体"/>
          <w:b/>
          <w:bCs/>
          <w:color w:val="auto"/>
          <w:highlight w:val="none"/>
        </w:rPr>
      </w:pPr>
      <w:r>
        <w:rPr>
          <w:rFonts w:hint="eastAsia" w:ascii="宋体" w:hAnsi="宋体" w:cs="宋体"/>
          <w:b/>
          <w:bCs/>
          <w:color w:val="auto"/>
          <w:highlight w:val="none"/>
        </w:rPr>
        <w:t>1</w:t>
      </w:r>
      <w:r>
        <w:rPr>
          <w:rFonts w:ascii="宋体" w:hAnsi="宋体" w:cs="宋体"/>
          <w:b/>
          <w:bCs/>
          <w:color w:val="auto"/>
          <w:highlight w:val="none"/>
        </w:rPr>
        <w:t>.</w:t>
      </w:r>
      <w:r>
        <w:rPr>
          <w:rFonts w:hint="eastAsia" w:ascii="宋体" w:hAnsi="宋体" w:cs="宋体"/>
          <w:b/>
          <w:bCs/>
          <w:color w:val="auto"/>
          <w:highlight w:val="none"/>
        </w:rPr>
        <w:t>技术分(</w:t>
      </w:r>
      <w:r>
        <w:rPr>
          <w:rFonts w:hint="eastAsia" w:ascii="宋体" w:hAnsi="宋体" w:cs="宋体"/>
          <w:b/>
          <w:bCs/>
          <w:color w:val="auto"/>
          <w:highlight w:val="none"/>
          <w:lang w:val="en-US" w:eastAsia="zh-CN"/>
        </w:rPr>
        <w:t>68</w:t>
      </w:r>
      <w:r>
        <w:rPr>
          <w:rFonts w:hint="eastAsia" w:ascii="宋体" w:hAnsi="宋体" w:cs="宋体"/>
          <w:b/>
          <w:bCs/>
          <w:color w:val="auto"/>
          <w:highlight w:val="none"/>
        </w:rPr>
        <w:t>分)</w:t>
      </w:r>
    </w:p>
    <w:p>
      <w:pPr>
        <w:spacing w:line="440" w:lineRule="exact"/>
        <w:ind w:firstLine="284" w:firstLineChars="0"/>
        <w:rPr>
          <w:rFonts w:hint="default"/>
          <w:color w:val="auto"/>
          <w:lang w:val="en-US" w:eastAsia="zh-CN"/>
        </w:rPr>
      </w:pPr>
      <w:r>
        <w:rPr>
          <w:rFonts w:ascii="宋体" w:hAnsi="宋体" w:cs="宋体"/>
          <w:b/>
          <w:bCs/>
          <w:color w:val="auto"/>
          <w:highlight w:val="none"/>
        </w:rPr>
        <w:t>1.1</w:t>
      </w:r>
      <w:r>
        <w:rPr>
          <w:rFonts w:hint="eastAsia" w:ascii="宋体" w:hAnsi="宋体" w:cs="宋体"/>
          <w:b/>
          <w:bCs/>
          <w:color w:val="auto"/>
          <w:highlight w:val="none"/>
        </w:rPr>
        <w:t>技术</w:t>
      </w:r>
      <w:r>
        <w:rPr>
          <w:rFonts w:hint="eastAsia" w:ascii="宋体" w:hAnsi="宋体" w:cs="宋体"/>
          <w:b/>
          <w:bCs/>
          <w:color w:val="auto"/>
          <w:highlight w:val="none"/>
          <w:lang w:val="en-US" w:eastAsia="zh-CN"/>
        </w:rPr>
        <w:t>方案分</w:t>
      </w:r>
      <w:r>
        <w:rPr>
          <w:rFonts w:hint="eastAsia" w:ascii="宋体" w:hAnsi="宋体" w:cs="宋体"/>
          <w:b/>
          <w:bCs/>
          <w:color w:val="auto"/>
          <w:highlight w:val="none"/>
        </w:rPr>
        <w:t>(</w:t>
      </w:r>
      <w:r>
        <w:rPr>
          <w:rFonts w:hint="eastAsia" w:ascii="宋体" w:hAnsi="宋体" w:cs="宋体"/>
          <w:b/>
          <w:bCs/>
          <w:color w:val="auto"/>
          <w:highlight w:val="none"/>
          <w:lang w:val="en-US" w:eastAsia="zh-CN"/>
        </w:rPr>
        <w:t>24</w:t>
      </w:r>
      <w:r>
        <w:rPr>
          <w:rFonts w:hint="eastAsia" w:ascii="宋体" w:hAnsi="宋体" w:cs="宋体"/>
          <w:b/>
          <w:bCs/>
          <w:color w:val="auto"/>
          <w:highlight w:val="none"/>
        </w:rPr>
        <w:t>分)</w:t>
      </w:r>
    </w:p>
    <w:p>
      <w:pPr>
        <w:spacing w:line="440" w:lineRule="exact"/>
        <w:ind w:firstLine="284" w:firstLineChars="0"/>
        <w:rPr>
          <w:rFonts w:hint="default" w:ascii="宋体" w:hAnsi="宋体" w:cs="宋体"/>
          <w:bCs/>
          <w:color w:val="auto"/>
          <w:kern w:val="0"/>
          <w:szCs w:val="21"/>
          <w:highlight w:val="none"/>
          <w:lang w:val="en-US" w:eastAsia="zh-CN"/>
        </w:rPr>
      </w:pPr>
      <w:r>
        <w:rPr>
          <w:rFonts w:hint="default" w:ascii="宋体" w:hAnsi="宋体" w:cs="宋体"/>
          <w:bCs/>
          <w:color w:val="auto"/>
          <w:kern w:val="0"/>
          <w:szCs w:val="21"/>
          <w:highlight w:val="none"/>
          <w:lang w:val="en-US" w:eastAsia="zh-CN"/>
        </w:rPr>
        <w:t>技术方案</w:t>
      </w:r>
      <w:r>
        <w:rPr>
          <w:rFonts w:hint="eastAsia" w:ascii="宋体" w:hAnsi="宋体" w:cs="宋体"/>
          <w:bCs/>
          <w:color w:val="auto"/>
          <w:kern w:val="0"/>
          <w:szCs w:val="21"/>
          <w:highlight w:val="none"/>
          <w:lang w:val="en-US" w:eastAsia="zh-CN"/>
        </w:rPr>
        <w:t>主要内容包含有：</w:t>
      </w:r>
      <w:r>
        <w:rPr>
          <w:rFonts w:hint="default" w:ascii="宋体" w:hAnsi="宋体" w:eastAsia="宋体" w:cs="宋体"/>
          <w:bCs/>
          <w:color w:val="auto"/>
          <w:kern w:val="0"/>
          <w:szCs w:val="21"/>
          <w:highlight w:val="none"/>
          <w:lang w:val="en-US" w:eastAsia="zh-CN"/>
        </w:rPr>
        <w:t>①</w:t>
      </w:r>
      <w:r>
        <w:rPr>
          <w:rFonts w:hint="default" w:ascii="宋体" w:hAnsi="宋体" w:cs="宋体"/>
          <w:bCs/>
          <w:color w:val="auto"/>
          <w:kern w:val="0"/>
          <w:szCs w:val="21"/>
          <w:highlight w:val="none"/>
          <w:lang w:val="en-US" w:eastAsia="zh-CN"/>
        </w:rPr>
        <w:t>基本满足采购文件，没有明显技术错误，达到要求的</w:t>
      </w:r>
      <w:r>
        <w:rPr>
          <w:rFonts w:hint="eastAsia" w:ascii="宋体" w:hAnsi="宋体" w:cs="宋体"/>
          <w:bCs/>
          <w:color w:val="auto"/>
          <w:kern w:val="0"/>
          <w:szCs w:val="21"/>
          <w:highlight w:val="none"/>
          <w:lang w:val="en-US" w:eastAsia="zh-CN"/>
        </w:rPr>
        <w:t>及</w:t>
      </w:r>
      <w:r>
        <w:rPr>
          <w:rFonts w:hint="default" w:ascii="宋体" w:hAnsi="宋体" w:cs="宋体"/>
          <w:bCs/>
          <w:color w:val="auto"/>
          <w:kern w:val="0"/>
          <w:szCs w:val="21"/>
          <w:highlight w:val="none"/>
          <w:lang w:val="en-US" w:eastAsia="zh-CN"/>
        </w:rPr>
        <w:t>提供有技术方案的</w:t>
      </w:r>
      <w:r>
        <w:rPr>
          <w:rFonts w:hint="eastAsia" w:ascii="宋体" w:hAnsi="宋体" w:cs="宋体"/>
          <w:bCs/>
          <w:color w:val="auto"/>
          <w:kern w:val="0"/>
          <w:szCs w:val="21"/>
          <w:highlight w:val="none"/>
          <w:lang w:val="en-US" w:eastAsia="zh-CN"/>
        </w:rPr>
        <w:t>；</w:t>
      </w:r>
      <w:r>
        <w:rPr>
          <w:rFonts w:hint="default" w:ascii="宋体" w:hAnsi="宋体" w:eastAsia="宋体" w:cs="宋体"/>
          <w:bCs/>
          <w:color w:val="auto"/>
          <w:kern w:val="0"/>
          <w:szCs w:val="21"/>
          <w:highlight w:val="none"/>
          <w:lang w:val="en-US" w:eastAsia="zh-CN"/>
        </w:rPr>
        <w:t>②</w:t>
      </w:r>
      <w:r>
        <w:rPr>
          <w:rFonts w:hint="default" w:ascii="宋体" w:hAnsi="宋体" w:cs="宋体"/>
          <w:bCs/>
          <w:color w:val="auto"/>
          <w:kern w:val="0"/>
          <w:szCs w:val="21"/>
          <w:highlight w:val="none"/>
          <w:lang w:val="en-US" w:eastAsia="zh-CN"/>
        </w:rPr>
        <w:t>有模型配套算力接入、DeepSeek软件定制化部署等系统技术方案和功能及实现方式的</w:t>
      </w:r>
      <w:r>
        <w:rPr>
          <w:rFonts w:hint="eastAsia" w:ascii="宋体" w:hAnsi="宋体" w:cs="宋体"/>
          <w:bCs/>
          <w:color w:val="auto"/>
          <w:kern w:val="0"/>
          <w:szCs w:val="21"/>
          <w:highlight w:val="none"/>
          <w:lang w:val="en-US" w:eastAsia="zh-CN"/>
        </w:rPr>
        <w:t>；</w:t>
      </w:r>
      <w:r>
        <w:rPr>
          <w:rFonts w:hint="default" w:ascii="宋体" w:hAnsi="宋体" w:eastAsia="宋体" w:cs="宋体"/>
          <w:bCs/>
          <w:color w:val="auto"/>
          <w:kern w:val="0"/>
          <w:szCs w:val="21"/>
          <w:highlight w:val="none"/>
          <w:lang w:val="en-US" w:eastAsia="zh-CN"/>
        </w:rPr>
        <w:t>③</w:t>
      </w:r>
      <w:r>
        <w:rPr>
          <w:rFonts w:hint="eastAsia" w:ascii="宋体" w:hAnsi="宋体" w:cs="宋体"/>
          <w:bCs/>
          <w:color w:val="auto"/>
          <w:kern w:val="0"/>
          <w:szCs w:val="21"/>
          <w:highlight w:val="none"/>
          <w:lang w:val="en-US" w:eastAsia="zh-CN"/>
        </w:rPr>
        <w:t>能</w:t>
      </w:r>
      <w:r>
        <w:rPr>
          <w:rFonts w:hint="default" w:ascii="宋体" w:hAnsi="宋体" w:cs="宋体"/>
          <w:bCs/>
          <w:color w:val="auto"/>
          <w:kern w:val="0"/>
          <w:szCs w:val="21"/>
          <w:highlight w:val="none"/>
          <w:lang w:val="en-US" w:eastAsia="zh-CN"/>
        </w:rPr>
        <w:t>够根据钦州市人工智能发展情况分析，并提供符合人工智能医疗领域应用场景、定制化大模型系统设计和建设等方案，方案符合采购人的实际状况的</w:t>
      </w:r>
      <w:r>
        <w:rPr>
          <w:rFonts w:hint="eastAsia" w:ascii="宋体" w:hAnsi="宋体" w:cs="宋体"/>
          <w:bCs/>
          <w:color w:val="auto"/>
          <w:kern w:val="0"/>
          <w:szCs w:val="21"/>
          <w:highlight w:val="none"/>
          <w:lang w:val="en-US" w:eastAsia="zh-CN"/>
        </w:rPr>
        <w:t>，每项</w:t>
      </w:r>
      <w:r>
        <w:rPr>
          <w:rFonts w:hint="default" w:ascii="宋体" w:hAnsi="宋体" w:cs="宋体"/>
          <w:bCs/>
          <w:color w:val="auto"/>
          <w:kern w:val="0"/>
          <w:szCs w:val="21"/>
          <w:highlight w:val="none"/>
          <w:lang w:val="en-US" w:eastAsia="zh-CN"/>
        </w:rPr>
        <w:t>得8分</w:t>
      </w:r>
      <w:r>
        <w:rPr>
          <w:rFonts w:hint="eastAsia" w:ascii="宋体" w:hAnsi="宋体" w:cs="宋体"/>
          <w:bCs/>
          <w:color w:val="auto"/>
          <w:kern w:val="0"/>
          <w:szCs w:val="21"/>
          <w:highlight w:val="none"/>
          <w:lang w:val="en-US" w:eastAsia="zh-CN"/>
        </w:rPr>
        <w:t>，满分24分。</w:t>
      </w:r>
    </w:p>
    <w:p>
      <w:pPr>
        <w:spacing w:line="440" w:lineRule="exact"/>
        <w:ind w:firstLine="284" w:firstLineChars="0"/>
        <w:jc w:val="left"/>
        <w:rPr>
          <w:rFonts w:hint="default" w:ascii="宋体" w:hAnsi="宋体" w:eastAsia="宋体"/>
          <w:color w:val="auto"/>
          <w:highlight w:val="none"/>
          <w:lang w:val="en-US" w:eastAsia="zh-CN"/>
        </w:rPr>
      </w:pPr>
      <w:r>
        <w:rPr>
          <w:rFonts w:hint="eastAsia" w:ascii="宋体" w:cs="Courier New"/>
          <w:b/>
          <w:color w:val="auto"/>
          <w:szCs w:val="21"/>
          <w:highlight w:val="none"/>
        </w:rPr>
        <w:t>1</w:t>
      </w:r>
      <w:r>
        <w:rPr>
          <w:rFonts w:ascii="宋体" w:cs="Courier New"/>
          <w:b/>
          <w:color w:val="auto"/>
          <w:szCs w:val="21"/>
          <w:highlight w:val="none"/>
        </w:rPr>
        <w:t>.2</w:t>
      </w:r>
      <w:bookmarkStart w:id="134" w:name="_Hlk150872328"/>
      <w:r>
        <w:rPr>
          <w:rFonts w:hint="eastAsia" w:ascii="宋体" w:cs="Courier New"/>
          <w:b/>
          <w:color w:val="auto"/>
          <w:szCs w:val="21"/>
          <w:highlight w:val="none"/>
        </w:rPr>
        <w:t>项目实施</w:t>
      </w:r>
      <w:r>
        <w:rPr>
          <w:rFonts w:ascii="宋体" w:cs="Courier New"/>
          <w:b/>
          <w:color w:val="auto"/>
          <w:szCs w:val="21"/>
          <w:highlight w:val="none"/>
        </w:rPr>
        <w:t>方案</w:t>
      </w:r>
      <w:bookmarkEnd w:id="134"/>
      <w:r>
        <w:rPr>
          <w:rFonts w:ascii="宋体" w:cs="Courier New"/>
          <w:b/>
          <w:color w:val="auto"/>
          <w:szCs w:val="21"/>
          <w:highlight w:val="none"/>
        </w:rPr>
        <w:t>分（</w:t>
      </w:r>
      <w:r>
        <w:rPr>
          <w:rFonts w:hint="eastAsia" w:ascii="宋体" w:cs="Courier New"/>
          <w:b/>
          <w:color w:val="auto"/>
          <w:szCs w:val="21"/>
          <w:highlight w:val="none"/>
          <w:lang w:val="en-US" w:eastAsia="zh-CN"/>
        </w:rPr>
        <w:t>20</w:t>
      </w:r>
      <w:r>
        <w:rPr>
          <w:rFonts w:ascii="宋体" w:cs="Courier New"/>
          <w:b/>
          <w:color w:val="auto"/>
          <w:szCs w:val="21"/>
          <w:highlight w:val="none"/>
        </w:rPr>
        <w:t>分）</w:t>
      </w:r>
    </w:p>
    <w:p>
      <w:pPr>
        <w:spacing w:line="440" w:lineRule="exact"/>
        <w:ind w:firstLine="284" w:firstLineChars="0"/>
        <w:jc w:val="left"/>
        <w:rPr>
          <w:color w:val="auto"/>
        </w:rPr>
      </w:pPr>
      <w:r>
        <w:rPr>
          <w:rFonts w:hint="eastAsia" w:ascii="宋体" w:hAnsi="宋体" w:cs="宋体"/>
          <w:bCs/>
          <w:color w:val="auto"/>
          <w:kern w:val="0"/>
          <w:szCs w:val="21"/>
          <w:highlight w:val="none"/>
        </w:rPr>
        <w:t>由磋商小组各成员对供应商提供的</w:t>
      </w:r>
      <w:r>
        <w:rPr>
          <w:rFonts w:hint="eastAsia" w:ascii="宋体" w:hAnsi="宋体" w:cs="宋体"/>
          <w:bCs/>
          <w:color w:val="auto"/>
          <w:kern w:val="0"/>
          <w:szCs w:val="21"/>
          <w:highlight w:val="none"/>
          <w:lang w:val="en-US" w:eastAsia="zh-CN"/>
        </w:rPr>
        <w:t>项目实施</w:t>
      </w:r>
      <w:r>
        <w:rPr>
          <w:rFonts w:hint="eastAsia" w:ascii="宋体" w:hAnsi="宋体" w:cs="宋体"/>
          <w:bCs/>
          <w:color w:val="auto"/>
          <w:kern w:val="0"/>
          <w:szCs w:val="21"/>
          <w:highlight w:val="none"/>
        </w:rPr>
        <w:t>方案按以下规则进行评分：</w:t>
      </w:r>
    </w:p>
    <w:p>
      <w:pPr>
        <w:spacing w:line="440" w:lineRule="exact"/>
        <w:ind w:firstLine="284" w:firstLineChars="0"/>
        <w:rPr>
          <w:rFonts w:hint="eastAsia" w:ascii="宋体" w:hAnsi="宋体" w:eastAsia="宋体" w:cs="宋体"/>
          <w:color w:val="auto"/>
        </w:rPr>
      </w:pPr>
      <w:r>
        <w:rPr>
          <w:rFonts w:hint="eastAsia" w:ascii="宋体" w:hAnsi="宋体" w:eastAsia="宋体" w:cs="宋体"/>
          <w:bCs/>
          <w:color w:val="auto"/>
          <w:kern w:val="0"/>
          <w:szCs w:val="21"/>
          <w:highlight w:val="none"/>
          <w:lang w:val="en-US" w:eastAsia="zh-CN"/>
        </w:rPr>
        <w:t>实施方案①基本满足采购文件，没有明显错误，达到要求的和提供有组织实施方案的；②有实施进度计划的；③有工期保证措施的；④有安全控制措施的；⑤有实施质量控制保证方案和质量管理程序的，每项得4分，满分20分。</w:t>
      </w:r>
    </w:p>
    <w:p>
      <w:pPr>
        <w:spacing w:line="440" w:lineRule="exact"/>
        <w:ind w:firstLine="284" w:firstLineChars="0"/>
        <w:rPr>
          <w:rFonts w:hint="eastAsia" w:ascii="宋体" w:hAnsi="宋体" w:cs="宋体"/>
          <w:b/>
          <w:bCs/>
          <w:color w:val="auto"/>
          <w:highlight w:val="none"/>
        </w:rPr>
      </w:pPr>
      <w:r>
        <w:rPr>
          <w:rFonts w:ascii="宋体" w:hAnsi="宋体" w:cs="宋体"/>
          <w:b/>
          <w:bCs/>
          <w:color w:val="auto"/>
          <w:highlight w:val="none"/>
        </w:rPr>
        <w:t>1.3</w:t>
      </w:r>
      <w:r>
        <w:rPr>
          <w:rFonts w:hint="eastAsia" w:ascii="宋体" w:hAnsi="宋体" w:cs="宋体"/>
          <w:b/>
          <w:bCs/>
          <w:color w:val="auto"/>
          <w:highlight w:val="none"/>
        </w:rPr>
        <w:t>售后、运维服务分(</w:t>
      </w:r>
      <w:r>
        <w:rPr>
          <w:rFonts w:ascii="宋体" w:hAnsi="宋体" w:cs="宋体"/>
          <w:b/>
          <w:bCs/>
          <w:color w:val="auto"/>
          <w:highlight w:val="none"/>
        </w:rPr>
        <w:t>2</w:t>
      </w:r>
      <w:r>
        <w:rPr>
          <w:rFonts w:hint="eastAsia" w:ascii="宋体" w:hAnsi="宋体" w:cs="宋体"/>
          <w:b/>
          <w:bCs/>
          <w:color w:val="auto"/>
          <w:highlight w:val="none"/>
          <w:lang w:val="en-US" w:eastAsia="zh-CN"/>
        </w:rPr>
        <w:t>4</w:t>
      </w:r>
      <w:r>
        <w:rPr>
          <w:rFonts w:hint="eastAsia" w:ascii="宋体" w:hAnsi="宋体" w:cs="宋体"/>
          <w:b/>
          <w:bCs/>
          <w:color w:val="auto"/>
          <w:highlight w:val="none"/>
        </w:rPr>
        <w:t>分)</w:t>
      </w:r>
    </w:p>
    <w:p>
      <w:pPr>
        <w:spacing w:line="440" w:lineRule="exact"/>
        <w:ind w:firstLine="284" w:firstLineChars="0"/>
        <w:rPr>
          <w:color w:val="auto"/>
        </w:rPr>
      </w:pPr>
      <w:r>
        <w:rPr>
          <w:rFonts w:hint="eastAsia" w:ascii="宋体" w:hAnsi="宋体" w:cs="Arial"/>
          <w:bCs/>
          <w:color w:val="auto"/>
          <w:szCs w:val="21"/>
          <w:highlight w:val="none"/>
        </w:rPr>
        <w:t>由</w:t>
      </w:r>
      <w:r>
        <w:rPr>
          <w:rFonts w:hint="eastAsia" w:ascii="宋体" w:hAnsi="宋体" w:cs="Arial"/>
          <w:bCs/>
          <w:color w:val="auto"/>
          <w:szCs w:val="21"/>
          <w:highlight w:val="none"/>
          <w:lang w:val="en-US" w:eastAsia="zh-CN"/>
        </w:rPr>
        <w:t>磋商小组</w:t>
      </w:r>
      <w:r>
        <w:rPr>
          <w:rFonts w:hint="eastAsia" w:ascii="宋体" w:hAnsi="宋体" w:cs="Arial"/>
          <w:bCs/>
          <w:color w:val="auto"/>
          <w:szCs w:val="21"/>
          <w:highlight w:val="none"/>
        </w:rPr>
        <w:t>各成员会对</w:t>
      </w:r>
      <w:r>
        <w:rPr>
          <w:rFonts w:hint="eastAsia" w:ascii="宋体" w:hAnsi="宋体" w:cs="Arial"/>
          <w:bCs/>
          <w:color w:val="auto"/>
          <w:szCs w:val="21"/>
          <w:highlight w:val="none"/>
          <w:lang w:val="en-US" w:eastAsia="zh-CN"/>
        </w:rPr>
        <w:t>供应商</w:t>
      </w:r>
      <w:r>
        <w:rPr>
          <w:rFonts w:hint="eastAsia" w:ascii="宋体" w:hAnsi="宋体" w:cs="Arial"/>
          <w:bCs/>
          <w:color w:val="auto"/>
          <w:szCs w:val="21"/>
          <w:highlight w:val="none"/>
        </w:rPr>
        <w:t>提供的运营维护保障服务方案按以下规则进行评分：</w:t>
      </w:r>
    </w:p>
    <w:p>
      <w:pPr>
        <w:spacing w:line="440" w:lineRule="exact"/>
        <w:ind w:firstLine="493" w:firstLineChars="235"/>
        <w:rPr>
          <w:rFonts w:hint="eastAsia" w:ascii="宋体" w:hAnsi="宋体" w:cs="宋体"/>
          <w:bCs/>
          <w:color w:val="auto"/>
          <w:kern w:val="0"/>
          <w:szCs w:val="21"/>
          <w:highlight w:val="none"/>
          <w:lang w:val="en-US" w:eastAsia="zh-CN"/>
        </w:rPr>
      </w:pPr>
      <w:r>
        <w:rPr>
          <w:rFonts w:hint="default"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lang w:val="en-US" w:eastAsia="zh-CN"/>
        </w:rPr>
        <w:t>.1运营维护保障服务方案基本满足采购文件，提供有运维服务方案的，</w:t>
      </w:r>
      <w:r>
        <w:rPr>
          <w:rFonts w:hint="default" w:ascii="宋体" w:hAnsi="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6</w:t>
      </w:r>
      <w:r>
        <w:rPr>
          <w:rFonts w:hint="default" w:ascii="宋体" w:hAnsi="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w:t>
      </w:r>
    </w:p>
    <w:p>
      <w:pPr>
        <w:spacing w:line="440" w:lineRule="exact"/>
        <w:ind w:firstLine="493" w:firstLineChars="235"/>
        <w:rPr>
          <w:rFonts w:hint="default" w:ascii="宋体" w:hAnsi="宋体" w:cs="宋体"/>
          <w:bCs/>
          <w:color w:val="auto"/>
          <w:kern w:val="0"/>
          <w:szCs w:val="21"/>
          <w:highlight w:val="none"/>
          <w:lang w:val="en-US" w:eastAsia="zh-CN"/>
        </w:rPr>
      </w:pPr>
      <w:r>
        <w:rPr>
          <w:rFonts w:hint="default"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lang w:val="en-US" w:eastAsia="zh-CN"/>
        </w:rPr>
        <w:t>.2运营维护保障服务方案有项目售后维护和应急保障方案的，</w:t>
      </w:r>
      <w:r>
        <w:rPr>
          <w:rFonts w:hint="default" w:ascii="宋体" w:hAnsi="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6</w:t>
      </w:r>
      <w:r>
        <w:rPr>
          <w:rFonts w:hint="default" w:ascii="宋体" w:hAnsi="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w:t>
      </w:r>
    </w:p>
    <w:p>
      <w:pPr>
        <w:spacing w:line="440" w:lineRule="exact"/>
        <w:ind w:firstLine="493" w:firstLineChars="235"/>
        <w:rPr>
          <w:rFonts w:hint="eastAsia" w:ascii="宋体" w:hAnsi="宋体" w:cs="宋体"/>
          <w:bCs/>
          <w:color w:val="auto"/>
          <w:kern w:val="0"/>
          <w:szCs w:val="21"/>
          <w:highlight w:val="none"/>
          <w:lang w:val="en-US" w:eastAsia="zh-CN"/>
        </w:rPr>
      </w:pPr>
      <w:r>
        <w:rPr>
          <w:rFonts w:hint="default"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lang w:val="en-US" w:eastAsia="zh-CN"/>
        </w:rPr>
        <w:t>.3方案提供故障处理流程、维护保障流程及组织架构，提供免费服务电话和售后服务承诺且描述了项目运维服务和应急保障方案的方法以及实现方式的，</w:t>
      </w:r>
      <w:r>
        <w:rPr>
          <w:rFonts w:hint="default" w:ascii="宋体" w:hAnsi="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6</w:t>
      </w:r>
      <w:r>
        <w:rPr>
          <w:rFonts w:hint="default" w:ascii="宋体" w:hAnsi="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w:t>
      </w:r>
    </w:p>
    <w:p>
      <w:pPr>
        <w:spacing w:line="440" w:lineRule="exact"/>
        <w:ind w:firstLine="493" w:firstLineChars="235"/>
        <w:rPr>
          <w:rFonts w:hint="eastAsia"/>
          <w:color w:val="auto"/>
        </w:rPr>
      </w:pPr>
      <w:r>
        <w:rPr>
          <w:rFonts w:hint="default"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lang w:val="en-US" w:eastAsia="zh-CN"/>
        </w:rPr>
        <w:t>.4运维服务方案响应时间20分钟内，整体故障处理时长在12个小时内的，</w:t>
      </w:r>
      <w:r>
        <w:rPr>
          <w:rFonts w:hint="default" w:ascii="宋体" w:hAnsi="宋体" w:cs="宋体"/>
          <w:bCs/>
          <w:color w:val="auto"/>
          <w:kern w:val="0"/>
          <w:szCs w:val="21"/>
          <w:highlight w:val="none"/>
          <w:lang w:val="en-US" w:eastAsia="zh-CN"/>
        </w:rPr>
        <w:t>得</w:t>
      </w:r>
      <w:r>
        <w:rPr>
          <w:rFonts w:hint="eastAsia" w:ascii="宋体" w:hAnsi="宋体" w:cs="宋体"/>
          <w:bCs/>
          <w:color w:val="auto"/>
          <w:kern w:val="0"/>
          <w:szCs w:val="21"/>
          <w:highlight w:val="none"/>
          <w:lang w:val="en-US" w:eastAsia="zh-CN"/>
        </w:rPr>
        <w:t>6</w:t>
      </w:r>
      <w:r>
        <w:rPr>
          <w:rFonts w:hint="default" w:ascii="宋体" w:hAnsi="宋体" w:cs="宋体"/>
          <w:bCs/>
          <w:color w:val="auto"/>
          <w:kern w:val="0"/>
          <w:szCs w:val="21"/>
          <w:highlight w:val="none"/>
          <w:lang w:val="en-US" w:eastAsia="zh-CN"/>
        </w:rPr>
        <w:t>分</w:t>
      </w:r>
      <w:r>
        <w:rPr>
          <w:rFonts w:hint="eastAsia" w:ascii="宋体" w:hAnsi="宋体" w:cs="宋体"/>
          <w:bCs/>
          <w:color w:val="auto"/>
          <w:kern w:val="0"/>
          <w:szCs w:val="21"/>
          <w:highlight w:val="none"/>
          <w:lang w:val="en-US" w:eastAsia="zh-CN"/>
        </w:rPr>
        <w:t>。</w:t>
      </w:r>
    </w:p>
    <w:p>
      <w:pPr>
        <w:spacing w:line="440" w:lineRule="exact"/>
        <w:ind w:firstLine="284" w:firstLineChars="0"/>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highlight w:val="none"/>
        </w:rPr>
        <w:t>商务资信分(</w:t>
      </w:r>
      <w:r>
        <w:rPr>
          <w:rFonts w:hint="eastAsia" w:ascii="宋体" w:hAnsi="宋体" w:cs="宋体"/>
          <w:b/>
          <w:bCs/>
          <w:color w:val="auto"/>
          <w:highlight w:val="none"/>
          <w:lang w:val="en-US" w:eastAsia="zh-CN"/>
        </w:rPr>
        <w:t>22</w:t>
      </w:r>
      <w:r>
        <w:rPr>
          <w:rFonts w:hint="eastAsia" w:ascii="宋体" w:hAnsi="宋体" w:cs="宋体"/>
          <w:b/>
          <w:bCs/>
          <w:color w:val="auto"/>
          <w:highlight w:val="none"/>
        </w:rPr>
        <w:t>分)</w:t>
      </w:r>
    </w:p>
    <w:p>
      <w:pPr>
        <w:widowControl/>
        <w:spacing w:line="500" w:lineRule="exact"/>
        <w:ind w:firstLine="420" w:firstLineChars="20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eastAsia="zh-CN"/>
        </w:rPr>
        <w:t>2.1</w:t>
      </w:r>
      <w:r>
        <w:rPr>
          <w:rFonts w:hint="eastAsia" w:ascii="宋体" w:hAnsi="宋体" w:cs="Courier New"/>
          <w:color w:val="auto"/>
          <w:szCs w:val="21"/>
          <w:highlight w:val="none"/>
          <w:lang w:val="en-US" w:eastAsia="zh-CN"/>
        </w:rPr>
        <w:t>执行能力分(满分15分)</w:t>
      </w:r>
    </w:p>
    <w:p>
      <w:pPr>
        <w:widowControl/>
        <w:numPr>
          <w:ilvl w:val="0"/>
          <w:numId w:val="5"/>
        </w:numPr>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拟投入的项目负责人1人，具有信息系统项目管理师证书或系统架构设计师证书的或系统分析师证书的或人工智能高级工程师证书</w:t>
      </w:r>
      <w:r>
        <w:rPr>
          <w:rFonts w:hint="eastAsia" w:ascii="宋体" w:hAnsi="宋体" w:cs="Courier New"/>
          <w:color w:val="auto"/>
          <w:szCs w:val="21"/>
          <w:highlight w:val="none"/>
          <w:lang w:val="en-US" w:eastAsia="zh-CN"/>
        </w:rPr>
        <w:t>等</w:t>
      </w:r>
      <w:r>
        <w:rPr>
          <w:rFonts w:hint="eastAsia" w:ascii="宋体" w:hAnsi="宋体" w:cs="Courier New"/>
          <w:color w:val="auto"/>
          <w:szCs w:val="21"/>
          <w:highlight w:val="none"/>
          <w:lang w:eastAsia="zh-CN"/>
        </w:rPr>
        <w:t>与本项目相关专业的高级证书，每提供有1个证书的得1分，满分4分。</w:t>
      </w:r>
    </w:p>
    <w:p>
      <w:pPr>
        <w:widowControl/>
        <w:numPr>
          <w:ilvl w:val="0"/>
          <w:numId w:val="6"/>
        </w:numPr>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拟投入技术负责人1人，具有信息系统项目管理师证书或注册信息安全专业人员(CISP)认证证书或大数据高级工程师</w:t>
      </w:r>
      <w:r>
        <w:rPr>
          <w:rFonts w:hint="eastAsia" w:ascii="宋体" w:hAnsi="宋体" w:cs="Courier New"/>
          <w:color w:val="auto"/>
          <w:szCs w:val="21"/>
          <w:highlight w:val="none"/>
          <w:lang w:val="en-US" w:eastAsia="zh-CN"/>
        </w:rPr>
        <w:t>等</w:t>
      </w:r>
      <w:r>
        <w:rPr>
          <w:rFonts w:hint="eastAsia" w:ascii="宋体" w:hAnsi="宋体" w:cs="Courier New"/>
          <w:color w:val="auto"/>
          <w:szCs w:val="21"/>
          <w:highlight w:val="none"/>
          <w:lang w:eastAsia="zh-CN"/>
        </w:rPr>
        <w:t>与本项目相关专业的高级证书，每提供有1个证书的得1分，满分3分。</w:t>
      </w:r>
    </w:p>
    <w:p>
      <w:pPr>
        <w:widowControl/>
        <w:numPr>
          <w:ilvl w:val="0"/>
          <w:numId w:val="6"/>
        </w:numPr>
        <w:spacing w:line="500" w:lineRule="exact"/>
        <w:ind w:left="0" w:leftChars="0"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拟投入的实施团队人员(除项目负责人、技术负责人外)持有信息系统项目管理或通信工程中级及以上职称证书，或取得全国软考类与本项目相关专业中级及以上资格证书的，每1个证书得</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分，满分</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lang w:eastAsia="zh-CN"/>
        </w:rPr>
        <w:t>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(4)拟投入的实施团队其他人员(除项目负责人、技术负责人外)(满分</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lang w:eastAsia="zh-CN"/>
        </w:rPr>
        <w:t>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实施团队人员在</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lang w:eastAsia="zh-CN"/>
        </w:rPr>
        <w:t>人以上(含</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lang w:eastAsia="zh-CN"/>
        </w:rPr>
        <w:t>人)，得1分；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实施团队人员在</w:t>
      </w:r>
      <w:r>
        <w:rPr>
          <w:rFonts w:hint="eastAsia" w:ascii="宋体" w:hAnsi="宋体" w:cs="Courier New"/>
          <w:color w:val="auto"/>
          <w:szCs w:val="21"/>
          <w:highlight w:val="none"/>
          <w:lang w:val="en-US" w:eastAsia="zh-CN"/>
        </w:rPr>
        <w:t>6</w:t>
      </w:r>
      <w:r>
        <w:rPr>
          <w:rFonts w:hint="eastAsia" w:ascii="宋体" w:hAnsi="宋体" w:cs="Courier New"/>
          <w:color w:val="auto"/>
          <w:szCs w:val="21"/>
          <w:highlight w:val="none"/>
          <w:lang w:eastAsia="zh-CN"/>
        </w:rPr>
        <w:t>(含</w:t>
      </w:r>
      <w:r>
        <w:rPr>
          <w:rFonts w:hint="eastAsia" w:ascii="宋体" w:hAnsi="宋体" w:cs="Courier New"/>
          <w:color w:val="auto"/>
          <w:szCs w:val="21"/>
          <w:highlight w:val="none"/>
          <w:lang w:val="en-US" w:eastAsia="zh-CN"/>
        </w:rPr>
        <w:t>6</w:t>
      </w:r>
      <w:r>
        <w:rPr>
          <w:rFonts w:hint="eastAsia" w:ascii="宋体" w:hAnsi="宋体" w:cs="Courier New"/>
          <w:color w:val="auto"/>
          <w:szCs w:val="21"/>
          <w:highlight w:val="none"/>
          <w:lang w:eastAsia="zh-CN"/>
        </w:rPr>
        <w:t>人)以上得</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lang w:eastAsia="zh-CN"/>
        </w:rPr>
        <w:t>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实施团队人员在</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lang w:eastAsia="zh-CN"/>
        </w:rPr>
        <w:t>人以上(含</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lang w:eastAsia="zh-CN"/>
        </w:rPr>
        <w:t>人)得</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lang w:eastAsia="zh-CN"/>
        </w:rPr>
        <w:t>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注：以上拟投入的人员在响应文件中提供证书复印件并加盖供应商单位电子公章。</w:t>
      </w:r>
    </w:p>
    <w:p>
      <w:pPr>
        <w:widowControl/>
        <w:spacing w:line="500" w:lineRule="exact"/>
        <w:ind w:firstLine="420" w:firstLineChars="20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eastAsia="zh-CN"/>
        </w:rPr>
        <w:t>2.</w:t>
      </w:r>
      <w:r>
        <w:rPr>
          <w:rFonts w:hint="eastAsia" w:ascii="宋体" w:hAnsi="宋体" w:cs="Courier New"/>
          <w:color w:val="auto"/>
          <w:szCs w:val="21"/>
          <w:highlight w:val="none"/>
          <w:lang w:val="en-US" w:eastAsia="zh-CN"/>
        </w:rPr>
        <w:t>2综合实力(满分7分)</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（1）供应商具有信息系统建设和服务能力等级证书的，得</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分。(须提供由国家确定的认证机构出具的处于有效期之内的认证证书)</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(2)供应商具有数据管理能力成熟度认证证书3级及以下的，得</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分；4级及以上的得</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分。本项满分</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分。(须提供由国家确定的认证机构出具的处于有效期之内的认证证书)。</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(3)供应商具有ITSS信息技术服务标准（数据中心）符合性三级及以下证书的，得</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分；具有ITSS信息技术服务标准（数据中心）符合性二级及以上证书，得</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分。本项满分</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分。(须提供由国家确定的认证机构出具的处于有效期之内的认证证书)。</w:t>
      </w:r>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(4)</w:t>
      </w:r>
      <w:bookmarkStart w:id="161" w:name="_GoBack"/>
      <w:r>
        <w:rPr>
          <w:rFonts w:hint="eastAsia" w:ascii="宋体" w:hAnsi="宋体" w:cs="Courier New"/>
          <w:color w:val="auto"/>
          <w:szCs w:val="21"/>
          <w:highlight w:val="none"/>
          <w:lang w:eastAsia="zh-CN"/>
        </w:rPr>
        <w:t>供应商获得信息安全管理体系认证、信息技术服务管理体系认证等相关认证证书,每提供一个证书得1分。(满分2分)</w:t>
      </w:r>
      <w:bookmarkEnd w:id="161"/>
    </w:p>
    <w:p>
      <w:pPr>
        <w:widowControl/>
        <w:spacing w:line="500" w:lineRule="exact"/>
        <w:ind w:firstLine="420" w:firstLineChars="20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eastAsia="zh-CN"/>
        </w:rPr>
        <w:t>注：若投标人为分支机构，使用其上级公司 (直接管理关系或为法人单位) 相关资质 (如人员资格证书、企业/单位认证证书、荣誉或奖项、财务状况证明等)，须提供上级公司针对本项目相关授权或许可证明文件扫描件，否则视为未提供；</w:t>
      </w:r>
    </w:p>
    <w:bookmarkEnd w:id="132"/>
    <w:bookmarkEnd w:id="133"/>
    <w:p>
      <w:pPr>
        <w:spacing w:line="460" w:lineRule="exact"/>
        <w:rPr>
          <w:color w:val="auto"/>
          <w:highlight w:val="none"/>
        </w:rPr>
      </w:pPr>
      <w:r>
        <w:rPr>
          <w:rFonts w:hint="eastAsia"/>
          <w:color w:val="auto"/>
          <w:highlight w:val="none"/>
        </w:rPr>
        <w:t>三、总得分=磋商报价得分+商务技术分</w:t>
      </w:r>
    </w:p>
    <w:p>
      <w:pPr>
        <w:pStyle w:val="23"/>
        <w:spacing w:line="460" w:lineRule="exact"/>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ascii="方正小标宋_GBK" w:eastAsia="方正小标宋_GBK"/>
          <w:color w:val="auto"/>
          <w:highlight w:val="none"/>
        </w:rPr>
      </w:pPr>
      <w:bookmarkStart w:id="135" w:name="_Toc92355027"/>
      <w:r>
        <w:rPr>
          <w:rFonts w:hint="eastAsia" w:ascii="方正小标宋_GBK" w:eastAsia="方正小标宋_GBK"/>
          <w:color w:val="auto"/>
          <w:highlight w:val="none"/>
        </w:rPr>
        <w:t>第五章  合同文本</w:t>
      </w:r>
      <w:bookmarkEnd w:id="135"/>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3"/>
        <w:spacing w:line="340" w:lineRule="exact"/>
        <w:rPr>
          <w:rFonts w:hAnsi="宋体"/>
          <w:b/>
          <w:color w:val="auto"/>
          <w:highlight w:val="none"/>
        </w:rPr>
      </w:pPr>
      <w:r>
        <w:rPr>
          <w:rFonts w:hint="eastAsia" w:hAnsi="宋体"/>
          <w:b/>
          <w:color w:val="auto"/>
          <w:highlight w:val="none"/>
        </w:rPr>
        <w:t>说明：</w:t>
      </w:r>
    </w:p>
    <w:p>
      <w:pPr>
        <w:pStyle w:val="23"/>
        <w:spacing w:line="340" w:lineRule="exact"/>
        <w:rPr>
          <w:rFonts w:hAnsi="宋体"/>
          <w:b/>
          <w:color w:val="auto"/>
          <w:highlight w:val="none"/>
        </w:rPr>
      </w:pPr>
      <w:r>
        <w:rPr>
          <w:rFonts w:hint="eastAsia" w:hAnsi="宋体"/>
          <w:b/>
          <w:color w:val="auto"/>
          <w:highlight w:val="none"/>
        </w:rPr>
        <w:t>1.本合同书仅供签订正式合同时参考用。</w:t>
      </w:r>
    </w:p>
    <w:p>
      <w:pPr>
        <w:pStyle w:val="23"/>
        <w:spacing w:line="340" w:lineRule="exact"/>
        <w:rPr>
          <w:rFonts w:hAnsi="宋体"/>
          <w:b/>
          <w:color w:val="auto"/>
          <w:highlight w:val="none"/>
        </w:rPr>
      </w:pPr>
      <w:r>
        <w:rPr>
          <w:rFonts w:hint="eastAsia" w:hAnsi="宋体"/>
          <w:b/>
          <w:color w:val="auto"/>
          <w:highlight w:val="none"/>
        </w:rPr>
        <w:t>2.合同签订双方可根据项目的具体要求进行修订，但合同条款不得与采购文件和成交供应商响应文件有实质性偏离。</w:t>
      </w:r>
    </w:p>
    <w:p>
      <w:pPr>
        <w:pStyle w:val="23"/>
        <w:spacing w:line="340" w:lineRule="exact"/>
        <w:rPr>
          <w:rFonts w:hAnsi="宋体"/>
          <w:b/>
          <w:color w:val="auto"/>
          <w:highlight w:val="none"/>
        </w:rPr>
      </w:pPr>
    </w:p>
    <w:p>
      <w:pPr>
        <w:pStyle w:val="23"/>
        <w:spacing w:line="340" w:lineRule="exact"/>
        <w:rPr>
          <w:rFonts w:hAnsi="宋体"/>
          <w:b/>
          <w:color w:val="auto"/>
          <w:highlight w:val="none"/>
        </w:rPr>
      </w:pPr>
    </w:p>
    <w:p>
      <w:pPr>
        <w:spacing w:line="360" w:lineRule="exact"/>
        <w:jc w:val="center"/>
        <w:rPr>
          <w:rFonts w:ascii="宋体" w:hAnsi="宋体"/>
          <w:color w:val="auto"/>
          <w:kern w:val="0"/>
          <w:highlight w:val="none"/>
        </w:rPr>
      </w:pPr>
      <w:r>
        <w:rPr>
          <w:rFonts w:hint="eastAsia" w:ascii="宋体" w:hAnsi="宋体"/>
          <w:color w:val="auto"/>
          <w:kern w:val="0"/>
          <w:highlight w:val="none"/>
        </w:rPr>
        <w:t>（如本合同格式不适用，采购人与成交人可协商拟定合同，但不得实质性改变成交人响应文件中</w:t>
      </w:r>
    </w:p>
    <w:p>
      <w:pPr>
        <w:spacing w:line="360" w:lineRule="exact"/>
        <w:rPr>
          <w:rFonts w:hint="eastAsia" w:ascii="宋体" w:hAnsi="宋体"/>
          <w:color w:val="auto"/>
          <w:kern w:val="0"/>
          <w:highlight w:val="none"/>
        </w:rPr>
      </w:pPr>
      <w:r>
        <w:rPr>
          <w:rFonts w:hint="eastAsia" w:ascii="宋体" w:hAnsi="宋体"/>
          <w:color w:val="auto"/>
          <w:kern w:val="0"/>
          <w:highlight w:val="none"/>
        </w:rPr>
        <w:t>的响应内容）</w:t>
      </w:r>
    </w:p>
    <w:p>
      <w:pPr>
        <w:pStyle w:val="23"/>
        <w:spacing w:line="500" w:lineRule="exact"/>
        <w:jc w:val="center"/>
        <w:rPr>
          <w:rFonts w:hint="eastAsia" w:ascii="方正小标宋_GBK" w:hAnsi="宋体" w:eastAsia="方正小标宋_GBK"/>
          <w:color w:val="auto"/>
          <w:sz w:val="48"/>
          <w:szCs w:val="48"/>
        </w:rPr>
      </w:pPr>
    </w:p>
    <w:p>
      <w:pPr>
        <w:pStyle w:val="23"/>
        <w:spacing w:line="500" w:lineRule="exact"/>
        <w:jc w:val="center"/>
        <w:rPr>
          <w:rFonts w:ascii="方正小标宋_GBK" w:hAnsi="宋体" w:eastAsia="方正小标宋_GBK"/>
          <w:color w:val="auto"/>
          <w:sz w:val="48"/>
          <w:szCs w:val="48"/>
        </w:rPr>
      </w:pPr>
      <w:r>
        <w:rPr>
          <w:rFonts w:hint="eastAsia" w:ascii="方正小标宋_GBK" w:hAnsi="宋体" w:eastAsia="方正小标宋_GBK"/>
          <w:color w:val="auto"/>
          <w:sz w:val="48"/>
          <w:szCs w:val="48"/>
        </w:rPr>
        <w:t>钦州市政府采购合同</w:t>
      </w:r>
    </w:p>
    <w:p>
      <w:pPr>
        <w:snapToGrid w:val="0"/>
        <w:rPr>
          <w:rFonts w:ascii="宋体" w:hAnsi="宋体"/>
          <w:color w:val="auto"/>
          <w:szCs w:val="21"/>
        </w:rPr>
      </w:pPr>
    </w:p>
    <w:p>
      <w:pPr>
        <w:snapToGrid w:val="0"/>
        <w:spacing w:line="440" w:lineRule="exact"/>
        <w:ind w:right="-61" w:firstLine="420"/>
        <w:rPr>
          <w:rFonts w:ascii="宋体" w:hAnsi="宋体"/>
          <w:bCs/>
          <w:color w:val="auto"/>
          <w:szCs w:val="21"/>
          <w:u w:val="single"/>
        </w:rPr>
      </w:pPr>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bCs/>
          <w:color w:val="auto"/>
          <w:szCs w:val="21"/>
        </w:rPr>
        <w:t>合同编号：</w:t>
      </w:r>
      <w:r>
        <w:rPr>
          <w:rFonts w:hint="eastAsia" w:ascii="宋体" w:hAnsi="宋体"/>
          <w:bCs/>
          <w:color w:val="auto"/>
          <w:szCs w:val="21"/>
          <w:u w:val="single"/>
        </w:rPr>
        <w:t xml:space="preserve"> </w:t>
      </w:r>
      <w:r>
        <w:rPr>
          <w:rFonts w:ascii="宋体" w:hAnsi="宋体"/>
          <w:bCs/>
          <w:color w:val="auto"/>
          <w:szCs w:val="21"/>
          <w:u w:val="single"/>
        </w:rPr>
        <w:t xml:space="preserve">                  </w:t>
      </w:r>
    </w:p>
    <w:p>
      <w:pPr>
        <w:snapToGrid w:val="0"/>
        <w:spacing w:line="320" w:lineRule="atLeast"/>
        <w:rPr>
          <w:rFonts w:ascii="宋体" w:hAnsi="宋体"/>
          <w:color w:val="auto"/>
          <w:szCs w:val="21"/>
        </w:rPr>
      </w:pPr>
    </w:p>
    <w:p>
      <w:pPr>
        <w:snapToGrid w:val="0"/>
        <w:spacing w:line="400" w:lineRule="exact"/>
        <w:ind w:firstLine="420"/>
        <w:rPr>
          <w:rFonts w:ascii="宋体" w:hAnsi="宋体"/>
          <w:color w:val="auto"/>
          <w:szCs w:val="21"/>
          <w:u w:val="single"/>
        </w:rPr>
      </w:pPr>
      <w:r>
        <w:rPr>
          <w:rFonts w:hint="eastAsia" w:ascii="宋体" w:hAnsi="宋体"/>
          <w:color w:val="auto"/>
          <w:szCs w:val="21"/>
        </w:rPr>
        <w:t>采购单位（甲方）</w:t>
      </w:r>
      <w:r>
        <w:rPr>
          <w:rFonts w:hint="eastAsia" w:ascii="宋体" w:hAnsi="宋体"/>
          <w:color w:val="auto"/>
          <w:szCs w:val="21"/>
          <w:u w:val="single"/>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采购计划号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napToGrid w:val="0"/>
        <w:spacing w:line="400" w:lineRule="exact"/>
        <w:ind w:firstLine="420"/>
        <w:rPr>
          <w:rFonts w:ascii="宋体" w:hAnsi="宋体"/>
          <w:color w:val="auto"/>
          <w:szCs w:val="21"/>
          <w:u w:val="single"/>
        </w:rPr>
      </w:pPr>
      <w:r>
        <w:rPr>
          <w:rFonts w:hint="eastAsia" w:ascii="宋体" w:hAnsi="宋体"/>
          <w:color w:val="auto"/>
          <w:szCs w:val="21"/>
        </w:rPr>
        <w:t>供</w:t>
      </w:r>
      <w:r>
        <w:rPr>
          <w:rFonts w:ascii="宋体" w:hAnsi="宋体"/>
          <w:color w:val="auto"/>
          <w:szCs w:val="21"/>
        </w:rPr>
        <w:t xml:space="preserve"> </w:t>
      </w:r>
      <w:r>
        <w:rPr>
          <w:rFonts w:hint="eastAsia" w:ascii="宋体" w:hAnsi="宋体"/>
          <w:color w:val="auto"/>
          <w:szCs w:val="21"/>
        </w:rPr>
        <w:t>应 商（乙方）</w:t>
      </w:r>
      <w:r>
        <w:rPr>
          <w:rFonts w:hint="eastAsia" w:ascii="宋体" w:hAnsi="宋体"/>
          <w:color w:val="auto"/>
          <w:szCs w:val="21"/>
          <w:u w:val="single"/>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项目名称编号</w:t>
      </w:r>
      <w:r>
        <w:rPr>
          <w:rFonts w:hint="eastAsia" w:ascii="宋体" w:hAnsi="宋体"/>
          <w:color w:val="auto"/>
          <w:szCs w:val="21"/>
          <w:u w:val="single"/>
        </w:rPr>
        <w:t xml:space="preserve">                     </w:t>
      </w:r>
    </w:p>
    <w:p>
      <w:pPr>
        <w:snapToGrid w:val="0"/>
        <w:spacing w:line="400" w:lineRule="exact"/>
        <w:rPr>
          <w:rFonts w:ascii="宋体" w:hAnsi="宋体"/>
          <w:color w:val="auto"/>
          <w:szCs w:val="21"/>
        </w:rPr>
      </w:pPr>
    </w:p>
    <w:p>
      <w:pPr>
        <w:snapToGrid w:val="0"/>
        <w:spacing w:line="440" w:lineRule="exact"/>
        <w:ind w:firstLine="420"/>
        <w:rPr>
          <w:rFonts w:ascii="宋体" w:hAnsi="宋体"/>
          <w:color w:val="auto"/>
          <w:szCs w:val="21"/>
        </w:rPr>
      </w:pPr>
      <w:r>
        <w:rPr>
          <w:rFonts w:hint="eastAsia" w:ascii="宋体" w:hAnsi="宋体"/>
          <w:color w:val="auto"/>
          <w:szCs w:val="21"/>
        </w:rPr>
        <w:t>根据《中华人民共和国政府采购法》《中华人民共和国民法典合同编》等法律、法规规定，按照招标/采购文件的要求和乙方投标/响应文件承诺，甲乙双方签订本合同。</w:t>
      </w:r>
    </w:p>
    <w:p>
      <w:pPr>
        <w:snapToGrid w:val="0"/>
        <w:spacing w:line="440" w:lineRule="exact"/>
        <w:rPr>
          <w:rFonts w:ascii="宋体" w:hAnsi="宋体"/>
          <w:b/>
          <w:color w:val="auto"/>
          <w:szCs w:val="21"/>
        </w:rPr>
      </w:pPr>
      <w:r>
        <w:rPr>
          <w:rFonts w:hint="eastAsia" w:ascii="宋体" w:hAnsi="宋体"/>
          <w:b/>
          <w:color w:val="auto"/>
          <w:szCs w:val="21"/>
        </w:rPr>
        <w:t>第一条　合同标的</w:t>
      </w:r>
    </w:p>
    <w:p>
      <w:pPr>
        <w:snapToGrid w:val="0"/>
        <w:spacing w:line="440" w:lineRule="exact"/>
        <w:ind w:firstLine="420"/>
        <w:rPr>
          <w:rFonts w:ascii="宋体" w:hAnsi="宋体"/>
          <w:color w:val="auto"/>
          <w:szCs w:val="21"/>
        </w:rPr>
      </w:pPr>
      <w:r>
        <w:rPr>
          <w:rFonts w:hint="eastAsia" w:ascii="宋体" w:hAnsi="宋体"/>
          <w:color w:val="auto"/>
          <w:szCs w:val="21"/>
        </w:rPr>
        <w:t>1.标的</w:t>
      </w:r>
    </w:p>
    <w:tbl>
      <w:tblPr>
        <w:tblStyle w:val="36"/>
        <w:tblW w:w="9356" w:type="dxa"/>
        <w:tblInd w:w="137" w:type="dxa"/>
        <w:tblLayout w:type="fixed"/>
        <w:tblCellMar>
          <w:top w:w="0" w:type="dxa"/>
          <w:left w:w="108" w:type="dxa"/>
          <w:bottom w:w="0" w:type="dxa"/>
          <w:right w:w="108" w:type="dxa"/>
        </w:tblCellMar>
      </w:tblPr>
      <w:tblGrid>
        <w:gridCol w:w="709"/>
        <w:gridCol w:w="1134"/>
        <w:gridCol w:w="1276"/>
        <w:gridCol w:w="1134"/>
        <w:gridCol w:w="1701"/>
        <w:gridCol w:w="708"/>
        <w:gridCol w:w="1134"/>
        <w:gridCol w:w="1560"/>
      </w:tblGrid>
      <w:tr>
        <w:tblPrEx>
          <w:tblCellMar>
            <w:top w:w="0" w:type="dxa"/>
            <w:left w:w="108" w:type="dxa"/>
            <w:bottom w:w="0" w:type="dxa"/>
            <w:right w:w="108" w:type="dxa"/>
          </w:tblCellMar>
        </w:tblPrEx>
        <w:trPr>
          <w:trHeight w:val="6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序号</w:t>
            </w:r>
          </w:p>
        </w:tc>
        <w:tc>
          <w:tcPr>
            <w:tcW w:w="1134"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标的名称</w:t>
            </w:r>
          </w:p>
        </w:tc>
        <w:tc>
          <w:tcPr>
            <w:tcW w:w="1276" w:type="dxa"/>
            <w:tcBorders>
              <w:top w:val="single" w:color="000000" w:sz="4" w:space="0"/>
              <w:left w:val="nil"/>
              <w:bottom w:val="single" w:color="000000" w:sz="4" w:space="0"/>
              <w:right w:val="single" w:color="auto"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品牌、型号规格</w:t>
            </w: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生产厂家</w:t>
            </w:r>
          </w:p>
        </w:tc>
        <w:tc>
          <w:tcPr>
            <w:tcW w:w="1701"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szCs w:val="21"/>
              </w:rPr>
              <w:t>技术参数及性能(配置</w:t>
            </w:r>
            <w:r>
              <w:rPr>
                <w:rFonts w:ascii="宋体" w:hAnsi="宋体"/>
                <w:color w:val="auto"/>
                <w:szCs w:val="21"/>
              </w:rPr>
              <w:t>)</w:t>
            </w:r>
          </w:p>
        </w:tc>
        <w:tc>
          <w:tcPr>
            <w:tcW w:w="708"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数量</w:t>
            </w:r>
          </w:p>
          <w:p>
            <w:pPr>
              <w:widowControl/>
              <w:spacing w:line="320" w:lineRule="atLeast"/>
              <w:jc w:val="center"/>
              <w:rPr>
                <w:rFonts w:ascii="宋体" w:hAnsi="宋体"/>
                <w:color w:val="auto"/>
                <w:kern w:val="0"/>
                <w:szCs w:val="21"/>
              </w:rPr>
            </w:pPr>
            <w:r>
              <w:rPr>
                <w:rFonts w:hint="eastAsia" w:ascii="宋体" w:hAnsi="宋体"/>
                <w:color w:val="auto"/>
                <w:kern w:val="0"/>
                <w:szCs w:val="21"/>
              </w:rPr>
              <w:fldChar w:fldCharType="begin"/>
            </w:r>
            <w:r>
              <w:rPr>
                <w:rFonts w:hint="eastAsia" w:ascii="宋体" w:hAnsi="宋体"/>
                <w:color w:val="auto"/>
                <w:kern w:val="0"/>
                <w:szCs w:val="21"/>
              </w:rPr>
              <w:instrText xml:space="preserve"> = 1 \* GB3 </w:instrText>
            </w:r>
            <w:r>
              <w:rPr>
                <w:rFonts w:hint="eastAsia" w:ascii="宋体" w:hAnsi="宋体"/>
                <w:color w:val="auto"/>
                <w:kern w:val="0"/>
                <w:szCs w:val="21"/>
              </w:rPr>
              <w:fldChar w:fldCharType="separate"/>
            </w:r>
            <w:r>
              <w:rPr>
                <w:rFonts w:hint="eastAsia" w:ascii="宋体" w:hAnsi="宋体"/>
                <w:color w:val="auto"/>
                <w:kern w:val="0"/>
                <w:szCs w:val="21"/>
              </w:rPr>
              <w:t>①</w:t>
            </w:r>
            <w:r>
              <w:rPr>
                <w:rFonts w:hint="eastAsia" w:ascii="宋体" w:hAnsi="宋体"/>
                <w:color w:val="auto"/>
                <w:kern w:val="0"/>
                <w:szCs w:val="21"/>
              </w:rPr>
              <w:fldChar w:fldCharType="end"/>
            </w:r>
          </w:p>
        </w:tc>
        <w:tc>
          <w:tcPr>
            <w:tcW w:w="1134"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单价(元</w:t>
            </w:r>
            <w:r>
              <w:rPr>
                <w:rFonts w:ascii="宋体" w:hAnsi="宋体"/>
                <w:color w:val="auto"/>
                <w:kern w:val="0"/>
                <w:szCs w:val="21"/>
              </w:rPr>
              <w:t>)</w:t>
            </w:r>
            <w:r>
              <w:rPr>
                <w:rFonts w:hint="eastAsia" w:ascii="宋体" w:hAnsi="宋体"/>
                <w:color w:val="auto"/>
                <w:kern w:val="0"/>
                <w:szCs w:val="21"/>
              </w:rPr>
              <w:fldChar w:fldCharType="begin"/>
            </w:r>
            <w:r>
              <w:rPr>
                <w:rFonts w:hint="eastAsia" w:ascii="宋体" w:hAnsi="宋体"/>
                <w:color w:val="auto"/>
                <w:kern w:val="0"/>
                <w:szCs w:val="21"/>
              </w:rPr>
              <w:instrText xml:space="preserve"> = 2 \* GB3 </w:instrText>
            </w:r>
            <w:r>
              <w:rPr>
                <w:rFonts w:hint="eastAsia" w:ascii="宋体" w:hAnsi="宋体"/>
                <w:color w:val="auto"/>
                <w:kern w:val="0"/>
                <w:szCs w:val="21"/>
              </w:rPr>
              <w:fldChar w:fldCharType="separate"/>
            </w:r>
            <w:r>
              <w:rPr>
                <w:rFonts w:hint="eastAsia" w:ascii="宋体" w:hAnsi="宋体"/>
                <w:color w:val="auto"/>
                <w:kern w:val="0"/>
                <w:szCs w:val="21"/>
              </w:rPr>
              <w:t>②</w:t>
            </w:r>
            <w:r>
              <w:rPr>
                <w:rFonts w:hint="eastAsia" w:ascii="宋体" w:hAnsi="宋体"/>
                <w:color w:val="auto"/>
                <w:kern w:val="0"/>
                <w:szCs w:val="21"/>
              </w:rPr>
              <w:fldChar w:fldCharType="end"/>
            </w:r>
          </w:p>
        </w:tc>
        <w:tc>
          <w:tcPr>
            <w:tcW w:w="1560" w:type="dxa"/>
            <w:tcBorders>
              <w:top w:val="single" w:color="000000" w:sz="4" w:space="0"/>
              <w:left w:val="nil"/>
              <w:bottom w:val="single" w:color="000000" w:sz="4" w:space="0"/>
              <w:right w:val="single" w:color="000000" w:sz="4" w:space="0"/>
            </w:tcBorders>
            <w:vAlign w:val="center"/>
          </w:tcPr>
          <w:p>
            <w:pPr>
              <w:widowControl/>
              <w:spacing w:line="320" w:lineRule="atLeast"/>
              <w:jc w:val="center"/>
              <w:rPr>
                <w:rFonts w:ascii="宋体" w:hAnsi="宋体"/>
                <w:color w:val="auto"/>
                <w:kern w:val="0"/>
                <w:szCs w:val="21"/>
              </w:rPr>
            </w:pPr>
            <w:r>
              <w:rPr>
                <w:rFonts w:hint="eastAsia" w:ascii="宋体" w:hAnsi="宋体"/>
                <w:color w:val="auto"/>
                <w:kern w:val="0"/>
                <w:szCs w:val="21"/>
              </w:rPr>
              <w:t>单项合价(元</w:t>
            </w:r>
            <w:r>
              <w:rPr>
                <w:rFonts w:ascii="宋体" w:hAnsi="宋体"/>
                <w:color w:val="auto"/>
                <w:kern w:val="0"/>
                <w:szCs w:val="21"/>
              </w:rPr>
              <w:t>)</w:t>
            </w:r>
          </w:p>
          <w:p>
            <w:pPr>
              <w:widowControl/>
              <w:spacing w:line="320" w:lineRule="atLeast"/>
              <w:jc w:val="center"/>
              <w:rPr>
                <w:rFonts w:ascii="宋体" w:hAnsi="宋体"/>
                <w:color w:val="auto"/>
                <w:kern w:val="0"/>
                <w:szCs w:val="21"/>
              </w:rPr>
            </w:pPr>
            <w:r>
              <w:rPr>
                <w:rFonts w:hint="eastAsia" w:ascii="宋体" w:hAnsi="宋体"/>
                <w:color w:val="auto"/>
                <w:szCs w:val="21"/>
              </w:rPr>
              <w:t>③=</w:t>
            </w:r>
            <w:r>
              <w:rPr>
                <w:rFonts w:hint="eastAsia" w:ascii="宋体" w:hAnsi="宋体"/>
                <w:color w:val="auto"/>
                <w:kern w:val="0"/>
                <w:szCs w:val="21"/>
              </w:rPr>
              <w:fldChar w:fldCharType="begin"/>
            </w:r>
            <w:r>
              <w:rPr>
                <w:rFonts w:hint="eastAsia" w:ascii="宋体" w:hAnsi="宋体"/>
                <w:color w:val="auto"/>
                <w:kern w:val="0"/>
                <w:szCs w:val="21"/>
              </w:rPr>
              <w:instrText xml:space="preserve"> = 1 \* GB3 </w:instrText>
            </w:r>
            <w:r>
              <w:rPr>
                <w:rFonts w:hint="eastAsia" w:ascii="宋体" w:hAnsi="宋体"/>
                <w:color w:val="auto"/>
                <w:kern w:val="0"/>
                <w:szCs w:val="21"/>
              </w:rPr>
              <w:fldChar w:fldCharType="separate"/>
            </w:r>
            <w:r>
              <w:rPr>
                <w:rFonts w:hint="eastAsia" w:ascii="宋体" w:hAnsi="宋体"/>
                <w:color w:val="auto"/>
                <w:kern w:val="0"/>
                <w:szCs w:val="21"/>
              </w:rPr>
              <w:t>①</w:t>
            </w:r>
            <w:r>
              <w:rPr>
                <w:rFonts w:hint="eastAsia" w:ascii="宋体" w:hAnsi="宋体"/>
                <w:color w:val="auto"/>
                <w:kern w:val="0"/>
                <w:szCs w:val="21"/>
              </w:rPr>
              <w:fldChar w:fldCharType="end"/>
            </w:r>
            <w:r>
              <w:rPr>
                <w:rFonts w:hint="eastAsia" w:ascii="宋体" w:hAnsi="宋体"/>
                <w:color w:val="auto"/>
                <w:kern w:val="0"/>
                <w:szCs w:val="21"/>
              </w:rPr>
              <w:t>×</w:t>
            </w:r>
            <w:r>
              <w:rPr>
                <w:rFonts w:hint="eastAsia" w:ascii="宋体" w:hAnsi="宋体"/>
                <w:color w:val="auto"/>
                <w:kern w:val="0"/>
                <w:szCs w:val="21"/>
              </w:rPr>
              <w:fldChar w:fldCharType="begin"/>
            </w:r>
            <w:r>
              <w:rPr>
                <w:rFonts w:hint="eastAsia" w:ascii="宋体" w:hAnsi="宋体"/>
                <w:color w:val="auto"/>
                <w:kern w:val="0"/>
                <w:szCs w:val="21"/>
              </w:rPr>
              <w:instrText xml:space="preserve"> = 2 \* GB3 </w:instrText>
            </w:r>
            <w:r>
              <w:rPr>
                <w:rFonts w:hint="eastAsia" w:ascii="宋体" w:hAnsi="宋体"/>
                <w:color w:val="auto"/>
                <w:kern w:val="0"/>
                <w:szCs w:val="21"/>
              </w:rPr>
              <w:fldChar w:fldCharType="separate"/>
            </w:r>
            <w:r>
              <w:rPr>
                <w:rFonts w:hint="eastAsia" w:ascii="宋体" w:hAnsi="宋体"/>
                <w:color w:val="auto"/>
                <w:kern w:val="0"/>
                <w:szCs w:val="21"/>
              </w:rPr>
              <w:t>②</w:t>
            </w:r>
            <w:r>
              <w:rPr>
                <w:rFonts w:hint="eastAsia" w:ascii="宋体" w:hAnsi="宋体"/>
                <w:color w:val="auto"/>
                <w:kern w:val="0"/>
                <w:szCs w:val="21"/>
              </w:rPr>
              <w:fldChar w:fldCharType="end"/>
            </w: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r>
              <w:rPr>
                <w:rFonts w:hint="eastAsia" w:ascii="宋体" w:hAnsi="宋体"/>
                <w:color w:val="auto"/>
                <w:kern w:val="0"/>
                <w:szCs w:val="21"/>
              </w:rPr>
              <w:t>1</w:t>
            </w: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jc w:val="center"/>
              <w:rPr>
                <w:rFonts w:ascii="宋体" w:hAnsi="宋体"/>
                <w:b/>
                <w:color w:val="auto"/>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b/>
                <w:color w:val="auto"/>
                <w:szCs w:val="21"/>
              </w:rPr>
            </w:pPr>
          </w:p>
        </w:tc>
        <w:tc>
          <w:tcPr>
            <w:tcW w:w="1701" w:type="dxa"/>
            <w:tcBorders>
              <w:top w:val="single" w:color="000000" w:sz="4" w:space="0"/>
              <w:left w:val="nil"/>
              <w:bottom w:val="single" w:color="000000" w:sz="4" w:space="0"/>
              <w:right w:val="single" w:color="000000" w:sz="4" w:space="0"/>
            </w:tcBorders>
            <w:vAlign w:val="center"/>
          </w:tcPr>
          <w:p>
            <w:pPr>
              <w:jc w:val="center"/>
              <w:rPr>
                <w:rFonts w:ascii="宋体" w:hAnsi="宋体"/>
                <w:b/>
                <w:color w:val="auto"/>
                <w:szCs w:val="21"/>
              </w:rPr>
            </w:pPr>
          </w:p>
        </w:tc>
        <w:tc>
          <w:tcPr>
            <w:tcW w:w="708"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auto"/>
                <w:szCs w:val="21"/>
              </w:rPr>
            </w:pPr>
          </w:p>
        </w:tc>
        <w:tc>
          <w:tcPr>
            <w:tcW w:w="113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b/>
                <w:bCs/>
                <w:color w:val="auto"/>
                <w:kern w:val="0"/>
                <w:szCs w:val="21"/>
              </w:rPr>
            </w:pP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r>
              <w:rPr>
                <w:rFonts w:hint="eastAsia" w:ascii="宋体" w:hAnsi="宋体"/>
                <w:color w:val="auto"/>
                <w:kern w:val="0"/>
                <w:szCs w:val="21"/>
              </w:rPr>
              <w:t>2</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r>
      <w:tr>
        <w:tblPrEx>
          <w:tblCellMar>
            <w:top w:w="0" w:type="dxa"/>
            <w:left w:w="108" w:type="dxa"/>
            <w:bottom w:w="0" w:type="dxa"/>
            <w:right w:w="108" w:type="dxa"/>
          </w:tblCellMar>
        </w:tblPrEx>
        <w:trPr>
          <w:trHeight w:val="46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r>
              <w:rPr>
                <w:rFonts w:hint="eastAsia" w:ascii="宋体" w:hAnsi="宋体"/>
                <w:color w:val="auto"/>
                <w:kern w:val="0"/>
                <w:szCs w:val="21"/>
              </w:rPr>
              <w:t>…</w:t>
            </w: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276" w:type="dxa"/>
            <w:tcBorders>
              <w:top w:val="single" w:color="000000" w:sz="4" w:space="0"/>
              <w:left w:val="nil"/>
              <w:bottom w:val="single" w:color="000000" w:sz="4" w:space="0"/>
              <w:right w:val="single" w:color="auto"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70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c>
          <w:tcPr>
            <w:tcW w:w="156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宋体" w:hAnsi="宋体"/>
                <w:color w:val="auto"/>
                <w:kern w:val="0"/>
                <w:szCs w:val="21"/>
              </w:rPr>
            </w:pPr>
          </w:p>
        </w:tc>
      </w:tr>
    </w:tbl>
    <w:p>
      <w:pPr>
        <w:snapToGrid w:val="0"/>
        <w:spacing w:line="440" w:lineRule="exact"/>
        <w:ind w:right="420" w:firstLine="420"/>
        <w:rPr>
          <w:rFonts w:ascii="宋体" w:hAnsi="宋体"/>
          <w:color w:val="auto"/>
          <w:szCs w:val="21"/>
        </w:rPr>
      </w:pPr>
      <w:r>
        <w:rPr>
          <w:rFonts w:hint="eastAsia" w:ascii="宋体" w:hAnsi="宋体"/>
          <w:color w:val="auto"/>
          <w:szCs w:val="21"/>
        </w:rPr>
        <w:t>2.合同合计金额</w:t>
      </w:r>
      <w:r>
        <w:rPr>
          <w:rFonts w:hint="eastAsia" w:ascii="宋体" w:hAnsi="宋体"/>
          <w:bCs/>
          <w:color w:val="auto"/>
          <w:szCs w:val="21"/>
        </w:rPr>
        <w:t>包括本项目设备、线路租赁、服务事项、设备附件、备品备件、专用工具、设备安装辅材、施工辅材、包装、运输、装卸、保险等各种费用以及安装、调试、税金、售后服务、技术培训费、更新升级、软件费及其他所有成本费用。</w:t>
      </w:r>
    </w:p>
    <w:p>
      <w:pPr>
        <w:snapToGrid w:val="0"/>
        <w:spacing w:line="440" w:lineRule="exact"/>
        <w:rPr>
          <w:rFonts w:ascii="宋体" w:hAnsi="宋体"/>
          <w:color w:val="auto"/>
          <w:szCs w:val="21"/>
        </w:rPr>
      </w:pPr>
      <w:r>
        <w:rPr>
          <w:rFonts w:hint="eastAsia" w:ascii="宋体" w:hAnsi="宋体"/>
          <w:b/>
          <w:color w:val="auto"/>
          <w:szCs w:val="21"/>
        </w:rPr>
        <w:t>第二条　质量保证</w:t>
      </w:r>
    </w:p>
    <w:p>
      <w:pPr>
        <w:snapToGrid w:val="0"/>
        <w:spacing w:line="440" w:lineRule="exact"/>
        <w:ind w:firstLine="420"/>
        <w:rPr>
          <w:rFonts w:ascii="宋体" w:hAnsi="宋体"/>
          <w:color w:val="auto"/>
          <w:szCs w:val="21"/>
        </w:rPr>
      </w:pPr>
      <w:r>
        <w:rPr>
          <w:rFonts w:hint="eastAsia" w:ascii="宋体" w:hAnsi="宋体"/>
          <w:color w:val="auto"/>
          <w:szCs w:val="21"/>
        </w:rPr>
        <w:t>1.乙方应按招标/采购文件要求的货物性能、技术要求、质量标准向甲方提供未经使用的全新产品。</w:t>
      </w:r>
    </w:p>
    <w:p>
      <w:pPr>
        <w:snapToGrid w:val="0"/>
        <w:spacing w:line="440" w:lineRule="exact"/>
        <w:ind w:firstLine="420"/>
        <w:rPr>
          <w:rFonts w:ascii="宋体" w:hAnsi="宋体"/>
          <w:color w:val="auto"/>
          <w:szCs w:val="21"/>
        </w:rPr>
      </w:pPr>
      <w:r>
        <w:rPr>
          <w:rFonts w:hint="eastAsia" w:ascii="宋体" w:hAnsi="宋体"/>
          <w:color w:val="auto"/>
          <w:szCs w:val="21"/>
        </w:rPr>
        <w:t>2.乙方所提供的货物型号、技术规格、技术参数、服务等质量必须与投标/响应文件承诺相一致。</w:t>
      </w:r>
    </w:p>
    <w:p>
      <w:pPr>
        <w:snapToGrid w:val="0"/>
        <w:spacing w:line="440" w:lineRule="exact"/>
        <w:ind w:firstLine="420"/>
        <w:rPr>
          <w:rFonts w:ascii="宋体" w:hAnsi="宋体"/>
          <w:color w:val="auto"/>
          <w:szCs w:val="21"/>
          <w:u w:val="single"/>
        </w:rPr>
      </w:pPr>
      <w:r>
        <w:rPr>
          <w:rFonts w:hint="eastAsia" w:ascii="宋体" w:hAnsi="宋体"/>
          <w:color w:val="auto"/>
          <w:szCs w:val="21"/>
        </w:rPr>
        <w:t>3.乙方所提供的货物在正常安装、使用和保养条件下，其使用寿命期内各项指标均应达到质量要求。</w:t>
      </w:r>
    </w:p>
    <w:p>
      <w:pPr>
        <w:snapToGrid w:val="0"/>
        <w:spacing w:line="440" w:lineRule="exact"/>
        <w:rPr>
          <w:rFonts w:ascii="宋体" w:hAnsi="宋体"/>
          <w:color w:val="auto"/>
          <w:szCs w:val="21"/>
        </w:rPr>
      </w:pPr>
      <w:r>
        <w:rPr>
          <w:rFonts w:hint="eastAsia" w:ascii="宋体" w:hAnsi="宋体"/>
          <w:b/>
          <w:color w:val="auto"/>
          <w:szCs w:val="21"/>
        </w:rPr>
        <w:t>第三条　权力保证</w:t>
      </w:r>
    </w:p>
    <w:p>
      <w:pPr>
        <w:snapToGrid w:val="0"/>
        <w:spacing w:line="440" w:lineRule="exact"/>
        <w:ind w:firstLine="420"/>
        <w:rPr>
          <w:rFonts w:ascii="宋体" w:hAnsi="宋体"/>
          <w:color w:val="auto"/>
          <w:szCs w:val="21"/>
        </w:rPr>
      </w:pPr>
      <w:r>
        <w:rPr>
          <w:rFonts w:hint="eastAsia" w:ascii="宋体" w:hAnsi="宋体"/>
          <w:color w:val="auto"/>
          <w:szCs w:val="21"/>
        </w:rPr>
        <w:t>1.乙方应保证所提供货物在使用时不会侵犯任何第三方的专利权、商标权、工业设计权或其他权利。</w:t>
      </w:r>
    </w:p>
    <w:p>
      <w:pPr>
        <w:snapToGrid w:val="0"/>
        <w:spacing w:line="440" w:lineRule="exact"/>
        <w:ind w:firstLine="420"/>
        <w:rPr>
          <w:rFonts w:ascii="宋体" w:hAnsi="宋体"/>
          <w:color w:val="auto"/>
          <w:szCs w:val="21"/>
        </w:rPr>
      </w:pPr>
      <w:r>
        <w:rPr>
          <w:rFonts w:hint="eastAsia" w:ascii="宋体" w:hAnsi="宋体"/>
          <w:color w:val="auto"/>
          <w:szCs w:val="21"/>
        </w:rPr>
        <w:t>2.乙方应按招标/采购文件规定的时间向甲方提供使用货物的有关技术资料。</w:t>
      </w:r>
    </w:p>
    <w:p>
      <w:pPr>
        <w:snapToGrid w:val="0"/>
        <w:spacing w:line="440" w:lineRule="exact"/>
        <w:ind w:firstLine="420"/>
        <w:rPr>
          <w:rFonts w:ascii="宋体" w:hAnsi="宋体"/>
          <w:color w:val="auto"/>
          <w:szCs w:val="21"/>
        </w:rPr>
      </w:pPr>
      <w:r>
        <w:rPr>
          <w:rFonts w:hint="eastAsia" w:ascii="宋体" w:hAnsi="宋体"/>
          <w:color w:val="auto"/>
          <w:szCs w:val="21"/>
        </w:rPr>
        <w:t>3.乙方保证所交付的货物的所有权完全属于乙方且无任何抵押、质押、查封等产权瑕疵。</w:t>
      </w:r>
    </w:p>
    <w:p>
      <w:pPr>
        <w:snapToGrid w:val="0"/>
        <w:spacing w:before="120" w:after="120" w:line="360" w:lineRule="exact"/>
        <w:ind w:firstLine="42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未取得甲方同意，乙方不得将本合同或相关条文、规格、计划、图纸、样品等资料提供给与履行本合同无关的任何人。如需向履行本合同有关人员提供的，应限于履行合同的必需范围并注意保密。</w:t>
      </w:r>
    </w:p>
    <w:p>
      <w:pPr>
        <w:snapToGrid w:val="0"/>
        <w:spacing w:line="440" w:lineRule="exact"/>
        <w:rPr>
          <w:rFonts w:ascii="宋体" w:hAnsi="宋体"/>
          <w:b/>
          <w:color w:val="auto"/>
          <w:szCs w:val="21"/>
        </w:rPr>
      </w:pPr>
      <w:r>
        <w:rPr>
          <w:rFonts w:hint="eastAsia" w:ascii="宋体" w:hAnsi="宋体"/>
          <w:b/>
          <w:color w:val="auto"/>
          <w:szCs w:val="21"/>
        </w:rPr>
        <w:t>第四条　包装和运输</w:t>
      </w:r>
    </w:p>
    <w:p>
      <w:pPr>
        <w:spacing w:line="440" w:lineRule="exact"/>
        <w:ind w:firstLine="420"/>
        <w:rPr>
          <w:rFonts w:ascii="宋体" w:hAnsi="宋体"/>
          <w:color w:val="auto"/>
        </w:rPr>
      </w:pPr>
      <w:r>
        <w:rPr>
          <w:rFonts w:hint="eastAsia" w:ascii="宋体" w:hAnsi="宋体"/>
          <w:color w:val="auto"/>
        </w:rPr>
        <w:t>1.乙方应在货物发运前对其进行满足运输距离、防潮、防震、防锈和防破损装卸等要求包装，以保证货物安全运达甲方指定地点。</w:t>
      </w:r>
    </w:p>
    <w:p>
      <w:pPr>
        <w:spacing w:line="440" w:lineRule="exact"/>
        <w:ind w:firstLine="420"/>
        <w:rPr>
          <w:rFonts w:ascii="宋体" w:hAnsi="宋体"/>
          <w:color w:val="auto"/>
        </w:rPr>
      </w:pPr>
      <w:r>
        <w:rPr>
          <w:rFonts w:hint="eastAsia" w:ascii="宋体" w:hAnsi="宋体"/>
          <w:color w:val="auto"/>
        </w:rPr>
        <w:t>2.使用说明书、质量检验证明书、随配附件和工具以及清单一并附于货物内。</w:t>
      </w:r>
    </w:p>
    <w:p>
      <w:pPr>
        <w:spacing w:line="440" w:lineRule="exact"/>
        <w:ind w:firstLine="420"/>
        <w:rPr>
          <w:rFonts w:ascii="宋体" w:hAnsi="宋体"/>
          <w:color w:val="auto"/>
        </w:rPr>
      </w:pPr>
      <w:r>
        <w:rPr>
          <w:rFonts w:hint="eastAsia" w:ascii="宋体" w:hAnsi="宋体"/>
          <w:color w:val="auto"/>
        </w:rPr>
        <w:t>3.乙方在货物发运手续办理完毕后二十四小时内或货到甲方四十八小时前通知甲方，以准备接货。</w:t>
      </w:r>
    </w:p>
    <w:p>
      <w:pPr>
        <w:spacing w:line="440" w:lineRule="exact"/>
        <w:ind w:firstLine="420"/>
        <w:rPr>
          <w:rFonts w:ascii="宋体" w:hAnsi="宋体"/>
          <w:color w:val="auto"/>
        </w:rPr>
      </w:pPr>
      <w:r>
        <w:rPr>
          <w:rFonts w:hint="eastAsia" w:ascii="宋体" w:hAnsi="宋体"/>
          <w:color w:val="auto"/>
        </w:rPr>
        <w:t>4.货物在交付甲方前发生的风险均由乙方负责。</w:t>
      </w:r>
    </w:p>
    <w:p>
      <w:pPr>
        <w:spacing w:line="440" w:lineRule="exact"/>
        <w:ind w:firstLine="420"/>
        <w:rPr>
          <w:rFonts w:ascii="宋体" w:hAnsi="宋体"/>
          <w:color w:val="auto"/>
        </w:rPr>
      </w:pPr>
      <w:r>
        <w:rPr>
          <w:rFonts w:hint="eastAsia" w:ascii="宋体" w:hAnsi="宋体"/>
          <w:color w:val="auto"/>
        </w:rPr>
        <w:t>5.货物在规定的交付期限内由乙方送达甲方指定的地点视为交付，乙方同时须通知甲方货物已送达。</w:t>
      </w:r>
    </w:p>
    <w:p>
      <w:pPr>
        <w:spacing w:line="440" w:lineRule="exact"/>
        <w:ind w:firstLine="420"/>
        <w:rPr>
          <w:rFonts w:ascii="宋体" w:hAnsi="宋体"/>
          <w:color w:val="auto"/>
        </w:rPr>
      </w:pPr>
      <w:r>
        <w:rPr>
          <w:rFonts w:hint="eastAsia" w:ascii="宋体" w:hAnsi="宋体"/>
          <w:color w:val="auto"/>
        </w:rPr>
        <w:t>6.乙方负责将货物安全运送到甲方指定地点，不另收任何费用。</w:t>
      </w:r>
    </w:p>
    <w:p>
      <w:pPr>
        <w:snapToGrid w:val="0"/>
        <w:spacing w:line="440" w:lineRule="exact"/>
        <w:rPr>
          <w:rFonts w:ascii="宋体" w:hAnsi="宋体"/>
          <w:color w:val="auto"/>
          <w:szCs w:val="21"/>
        </w:rPr>
      </w:pPr>
      <w:r>
        <w:rPr>
          <w:rFonts w:hint="eastAsia" w:ascii="宋体" w:hAnsi="宋体"/>
          <w:b/>
          <w:color w:val="auto"/>
          <w:szCs w:val="21"/>
        </w:rPr>
        <w:t>第五条　交付、调试和验收</w:t>
      </w:r>
    </w:p>
    <w:p>
      <w:pPr>
        <w:snapToGrid w:val="0"/>
        <w:spacing w:line="440" w:lineRule="exact"/>
        <w:ind w:firstLine="420"/>
        <w:rPr>
          <w:rFonts w:ascii="宋体" w:hAnsi="宋体"/>
          <w:color w:val="auto"/>
          <w:szCs w:val="21"/>
        </w:rPr>
      </w:pPr>
      <w:r>
        <w:rPr>
          <w:rFonts w:hint="eastAsia" w:ascii="宋体" w:hAnsi="宋体"/>
          <w:color w:val="auto"/>
          <w:szCs w:val="21"/>
        </w:rPr>
        <w:t>1.</w:t>
      </w:r>
      <w:r>
        <w:rPr>
          <w:rFonts w:hint="eastAsia" w:ascii="宋体" w:hAnsi="宋体"/>
          <w:color w:val="auto"/>
        </w:rPr>
        <w:t>交付使用时间：自签订合同之日起</w:t>
      </w:r>
      <w:r>
        <w:rPr>
          <w:rFonts w:hint="eastAsia" w:ascii="宋体" w:hAnsi="宋体"/>
          <w:color w:val="auto"/>
          <w:u w:val="single"/>
        </w:rPr>
        <w:t xml:space="preserve">      </w:t>
      </w:r>
      <w:r>
        <w:rPr>
          <w:rFonts w:hint="eastAsia" w:ascii="宋体" w:hAnsi="宋体"/>
          <w:color w:val="auto"/>
        </w:rPr>
        <w:t>日内，服务时间</w:t>
      </w:r>
      <w:r>
        <w:rPr>
          <w:rFonts w:hint="eastAsia" w:ascii="宋体" w:hAnsi="宋体"/>
          <w:color w:val="auto"/>
          <w:u w:val="single"/>
        </w:rPr>
        <w:t xml:space="preserve">         </w:t>
      </w:r>
      <w:r>
        <w:rPr>
          <w:rFonts w:hint="eastAsia" w:ascii="宋体" w:hAnsi="宋体"/>
          <w:color w:val="auto"/>
        </w:rPr>
        <w:t>年；交货地点：</w:t>
      </w:r>
      <w:r>
        <w:rPr>
          <w:rFonts w:hint="eastAsia" w:ascii="宋体" w:hAnsi="宋体"/>
          <w:color w:val="auto"/>
          <w:u w:val="single"/>
        </w:rPr>
        <w:t xml:space="preserve">          </w:t>
      </w:r>
      <w:r>
        <w:rPr>
          <w:rFonts w:hint="eastAsia" w:ascii="宋体" w:hAnsi="宋体"/>
          <w:color w:val="auto"/>
          <w:szCs w:val="21"/>
        </w:rPr>
        <w:t>。</w:t>
      </w:r>
    </w:p>
    <w:p>
      <w:pPr>
        <w:snapToGrid w:val="0"/>
        <w:spacing w:line="440" w:lineRule="exact"/>
        <w:ind w:firstLine="420"/>
        <w:rPr>
          <w:rFonts w:ascii="宋体" w:hAnsi="宋体"/>
          <w:color w:val="auto"/>
          <w:szCs w:val="21"/>
        </w:rPr>
      </w:pPr>
      <w:r>
        <w:rPr>
          <w:rFonts w:hint="eastAsia" w:ascii="宋体" w:hAnsi="宋体"/>
          <w:color w:val="auto"/>
          <w:szCs w:val="21"/>
        </w:rPr>
        <w:t>2.乙方提供不符投标/响应文件承诺和本合同规定的货物，甲方有权拒绝接受。</w:t>
      </w:r>
    </w:p>
    <w:p>
      <w:pPr>
        <w:snapToGrid w:val="0"/>
        <w:spacing w:line="440" w:lineRule="exact"/>
        <w:ind w:firstLine="420"/>
        <w:rPr>
          <w:rFonts w:ascii="宋体" w:hAnsi="宋体"/>
          <w:color w:val="auto"/>
          <w:szCs w:val="21"/>
        </w:rPr>
      </w:pPr>
      <w:r>
        <w:rPr>
          <w:rFonts w:hint="eastAsia" w:ascii="宋体" w:hAnsi="宋体"/>
          <w:color w:val="auto"/>
          <w:szCs w:val="21"/>
        </w:rPr>
        <w:t>3.乙方应将所提供货物的装箱清单、用户手册、原厂保修卡、随机资料、工具和备品、备件等交付给甲方，如有缺失应及时补齐，否则视为逾期交货。</w:t>
      </w:r>
    </w:p>
    <w:p>
      <w:pPr>
        <w:pStyle w:val="23"/>
        <w:spacing w:line="440" w:lineRule="exact"/>
        <w:ind w:firstLine="420"/>
        <w:rPr>
          <w:rFonts w:hAnsi="宋体"/>
          <w:color w:val="auto"/>
        </w:rPr>
      </w:pPr>
      <w:r>
        <w:rPr>
          <w:rFonts w:hint="eastAsia" w:hAnsi="宋体"/>
          <w:color w:val="auto"/>
        </w:rPr>
        <w:t>4.乙方交货前应对产品全面检查和对验收文件进行整理列出清单，作为甲方收货验收和使用的技术条件依据，检验的结果应随货物交甲方。</w:t>
      </w:r>
    </w:p>
    <w:p>
      <w:pPr>
        <w:pStyle w:val="23"/>
        <w:spacing w:line="440" w:lineRule="exact"/>
        <w:ind w:firstLine="420"/>
        <w:rPr>
          <w:rFonts w:hAnsi="宋体"/>
          <w:color w:val="auto"/>
        </w:rPr>
      </w:pPr>
      <w:r>
        <w:rPr>
          <w:rFonts w:hint="eastAsia" w:hAnsi="宋体"/>
          <w:color w:val="auto"/>
        </w:rPr>
        <w:t>5.乙方将货物运达约定的交货地点后，甲方应在</w:t>
      </w:r>
      <w:r>
        <w:rPr>
          <w:rFonts w:hint="eastAsia" w:hAnsi="宋体"/>
          <w:color w:val="auto"/>
          <w:u w:val="single"/>
        </w:rPr>
        <w:t xml:space="preserve">   </w:t>
      </w:r>
      <w:r>
        <w:rPr>
          <w:rFonts w:hint="eastAsia" w:hAnsi="宋体"/>
          <w:color w:val="auto"/>
        </w:rPr>
        <w:t>个工作日内对乙方提交的货物依据招标</w:t>
      </w:r>
      <w:r>
        <w:rPr>
          <w:rFonts w:hAnsi="宋体"/>
          <w:color w:val="auto"/>
        </w:rPr>
        <w:t>/</w:t>
      </w:r>
      <w:r>
        <w:rPr>
          <w:rFonts w:hint="eastAsia" w:hAnsi="宋体"/>
          <w:color w:val="auto"/>
        </w:rPr>
        <w:t>采购文件的要求、投标/响应文件的承诺和国家标准或行业标准进行现场检验。对外观、说明书符合要求的，给予签收；对不符合要求或有质量问题的货物不予签收，可立即要求退换，乙方不得拒绝和延误。</w:t>
      </w:r>
    </w:p>
    <w:p>
      <w:pPr>
        <w:pStyle w:val="23"/>
        <w:spacing w:line="440" w:lineRule="exact"/>
        <w:ind w:firstLine="420"/>
        <w:rPr>
          <w:rFonts w:hAnsi="宋体"/>
          <w:color w:val="auto"/>
        </w:rPr>
      </w:pPr>
      <w:r>
        <w:rPr>
          <w:rFonts w:hint="eastAsia" w:hAnsi="宋体"/>
          <w:color w:val="auto"/>
        </w:rPr>
        <w:t>6.甲方对乙方提供的货物在使用前进行调试时，乙方需负责安装并培训甲方的使用操作人员，并协助甲方调试，直到符合技术要求，甲方才做最终验收。对于技术复杂的货物，甲方可请国家认可的专业检测机构参与验收，并由其出具质量检测报告，相关费用由甲方承担。</w:t>
      </w:r>
    </w:p>
    <w:p>
      <w:pPr>
        <w:pStyle w:val="23"/>
        <w:spacing w:line="440" w:lineRule="exact"/>
        <w:ind w:firstLine="420"/>
        <w:rPr>
          <w:rFonts w:hAnsi="宋体"/>
          <w:color w:val="auto"/>
        </w:rPr>
      </w:pPr>
      <w:r>
        <w:rPr>
          <w:rFonts w:hint="eastAsia" w:hAnsi="宋体"/>
          <w:color w:val="auto"/>
        </w:rPr>
        <w:t>7.甲方对乙方所交货物依照投标/响应文件上的技术规格承诺和国家（设备制造国）有关标准进行现场验收，性能达到技术要求的，给予签收。验收不合格的不予签收，后果由乙方负责。</w:t>
      </w:r>
    </w:p>
    <w:p>
      <w:pPr>
        <w:pStyle w:val="23"/>
        <w:spacing w:line="440" w:lineRule="exact"/>
        <w:ind w:firstLine="420"/>
        <w:rPr>
          <w:rFonts w:hAnsi="宋体"/>
          <w:color w:val="auto"/>
        </w:rPr>
      </w:pPr>
      <w:r>
        <w:rPr>
          <w:rFonts w:hint="eastAsia" w:hAnsi="宋体"/>
          <w:color w:val="auto"/>
        </w:rPr>
        <w:t>8.甲方应在货到指定地点安装调试完毕之日起</w:t>
      </w:r>
      <w:r>
        <w:rPr>
          <w:rFonts w:hint="eastAsia" w:hAnsi="宋体"/>
          <w:color w:val="auto"/>
          <w:u w:val="single"/>
        </w:rPr>
        <w:t xml:space="preserve">    </w:t>
      </w:r>
      <w:r>
        <w:rPr>
          <w:rFonts w:hint="eastAsia" w:hAnsi="宋体"/>
          <w:color w:val="auto"/>
        </w:rPr>
        <w:t>个工作日内验收完毕，验收时乙方必须在现场，并作出验收结果报告并由甲方加盖公章，甲乙双方各执一份。</w:t>
      </w:r>
    </w:p>
    <w:p>
      <w:pPr>
        <w:snapToGrid w:val="0"/>
        <w:spacing w:line="440" w:lineRule="exact"/>
        <w:rPr>
          <w:rFonts w:ascii="宋体" w:hAnsi="宋体"/>
          <w:b/>
          <w:color w:val="auto"/>
          <w:szCs w:val="21"/>
        </w:rPr>
      </w:pPr>
      <w:r>
        <w:rPr>
          <w:rFonts w:hint="eastAsia" w:ascii="宋体" w:hAnsi="宋体"/>
          <w:b/>
          <w:color w:val="auto"/>
          <w:szCs w:val="21"/>
        </w:rPr>
        <w:t>第六条　安装和培训</w:t>
      </w:r>
    </w:p>
    <w:p>
      <w:pPr>
        <w:snapToGrid w:val="0"/>
        <w:spacing w:line="440" w:lineRule="exact"/>
        <w:ind w:firstLine="420"/>
        <w:rPr>
          <w:rFonts w:ascii="宋体" w:hAnsi="宋体"/>
          <w:color w:val="auto"/>
          <w:szCs w:val="21"/>
        </w:rPr>
      </w:pPr>
      <w:r>
        <w:rPr>
          <w:rFonts w:hint="eastAsia" w:ascii="宋体" w:hAnsi="宋体"/>
          <w:color w:val="auto"/>
          <w:szCs w:val="21"/>
        </w:rPr>
        <w:t>1.甲方应提供必要安装条件（如场地、电源、水源等）。</w:t>
      </w:r>
    </w:p>
    <w:p>
      <w:pPr>
        <w:snapToGrid w:val="0"/>
        <w:spacing w:line="440" w:lineRule="exact"/>
        <w:ind w:firstLine="420"/>
        <w:rPr>
          <w:rFonts w:ascii="宋体" w:hAnsi="宋体"/>
          <w:color w:val="auto"/>
          <w:szCs w:val="21"/>
          <w:u w:val="single"/>
        </w:rPr>
      </w:pPr>
      <w:r>
        <w:rPr>
          <w:rFonts w:hint="eastAsia" w:ascii="宋体" w:hAnsi="宋体"/>
          <w:color w:val="auto"/>
          <w:szCs w:val="21"/>
        </w:rPr>
        <w:t>2.乙方负责甲方有关人员的培训。培训时间、地点：</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snapToGrid w:val="0"/>
        <w:spacing w:line="440" w:lineRule="exact"/>
        <w:rPr>
          <w:rFonts w:ascii="宋体" w:hAnsi="宋体"/>
          <w:color w:val="auto"/>
          <w:szCs w:val="21"/>
        </w:rPr>
      </w:pPr>
      <w:r>
        <w:rPr>
          <w:rFonts w:hint="eastAsia" w:ascii="宋体" w:hAnsi="宋体"/>
          <w:b/>
          <w:color w:val="auto"/>
          <w:szCs w:val="21"/>
        </w:rPr>
        <w:t>第七条　付款方式</w:t>
      </w:r>
    </w:p>
    <w:p>
      <w:pPr>
        <w:snapToGrid w:val="0"/>
        <w:spacing w:line="440" w:lineRule="exact"/>
        <w:ind w:firstLine="420"/>
        <w:rPr>
          <w:rFonts w:ascii="宋体" w:hAnsi="宋体"/>
          <w:color w:val="auto"/>
          <w:szCs w:val="21"/>
        </w:rPr>
      </w:pPr>
      <w:r>
        <w:rPr>
          <w:rFonts w:hint="eastAsia" w:ascii="宋体" w:hAnsi="宋体"/>
          <w:bCs/>
          <w:color w:val="auto"/>
        </w:rPr>
        <w:t>1.</w:t>
      </w:r>
      <w:r>
        <w:rPr>
          <w:rFonts w:hint="eastAsia" w:ascii="宋体" w:hAnsi="宋体"/>
          <w:color w:val="auto"/>
          <w:szCs w:val="21"/>
        </w:rPr>
        <w:t>资金性质：财政性资金。</w:t>
      </w:r>
    </w:p>
    <w:p>
      <w:pPr>
        <w:snapToGrid w:val="0"/>
        <w:spacing w:line="440" w:lineRule="exact"/>
        <w:ind w:firstLine="420"/>
        <w:rPr>
          <w:color w:val="auto"/>
        </w:rPr>
      </w:pPr>
      <w:bookmarkStart w:id="136" w:name="_Toc418690610"/>
      <w:bookmarkStart w:id="137" w:name="_Toc383674404"/>
      <w:bookmarkStart w:id="138" w:name="_Toc354473010"/>
      <w:bookmarkStart w:id="139" w:name="_Toc354474063"/>
      <w:bookmarkStart w:id="140" w:name="_Toc354474012"/>
      <w:bookmarkStart w:id="141" w:name="_Toc355766963"/>
      <w:bookmarkStart w:id="142" w:name="_Toc356222451"/>
      <w:r>
        <w:rPr>
          <w:rFonts w:hint="eastAsia" w:ascii="宋体" w:hAnsi="宋体"/>
          <w:color w:val="auto"/>
          <w:szCs w:val="21"/>
        </w:rPr>
        <w:t>2.付款方式：</w:t>
      </w:r>
      <w:bookmarkEnd w:id="136"/>
      <w:bookmarkEnd w:id="137"/>
      <w:bookmarkEnd w:id="138"/>
      <w:bookmarkEnd w:id="139"/>
      <w:bookmarkEnd w:id="140"/>
      <w:bookmarkEnd w:id="141"/>
      <w:bookmarkEnd w:id="142"/>
      <w:r>
        <w:rPr>
          <w:rFonts w:hint="eastAsia"/>
          <w:color w:val="auto"/>
          <w:u w:val="single"/>
        </w:rPr>
        <w:t xml:space="preserve">                                                                         </w:t>
      </w:r>
      <w:r>
        <w:rPr>
          <w:rFonts w:hint="eastAsia"/>
          <w:color w:val="auto"/>
        </w:rPr>
        <w:t>。</w:t>
      </w:r>
    </w:p>
    <w:p>
      <w:pPr>
        <w:snapToGrid w:val="0"/>
        <w:spacing w:line="440" w:lineRule="exact"/>
        <w:rPr>
          <w:rFonts w:ascii="宋体" w:hAnsi="宋体"/>
          <w:b/>
          <w:color w:val="auto"/>
          <w:szCs w:val="21"/>
        </w:rPr>
      </w:pPr>
      <w:r>
        <w:rPr>
          <w:rFonts w:hint="eastAsia" w:ascii="宋体" w:hAnsi="宋体"/>
          <w:b/>
          <w:color w:val="auto"/>
          <w:szCs w:val="21"/>
        </w:rPr>
        <w:t>第八条  税费本合同执行中相关的一切税费均由乙方负担。</w:t>
      </w:r>
    </w:p>
    <w:p>
      <w:pPr>
        <w:snapToGrid w:val="0"/>
        <w:spacing w:line="440" w:lineRule="exact"/>
        <w:rPr>
          <w:rFonts w:ascii="宋体" w:hAnsi="宋体"/>
          <w:b/>
          <w:color w:val="auto"/>
          <w:szCs w:val="21"/>
        </w:rPr>
      </w:pPr>
      <w:r>
        <w:rPr>
          <w:rFonts w:hint="eastAsia" w:ascii="宋体" w:hAnsi="宋体"/>
          <w:b/>
          <w:color w:val="auto"/>
          <w:szCs w:val="21"/>
        </w:rPr>
        <w:t>第九条  售后服务及保修期</w:t>
      </w:r>
    </w:p>
    <w:p>
      <w:pPr>
        <w:snapToGrid w:val="0"/>
        <w:spacing w:line="440" w:lineRule="exact"/>
        <w:ind w:firstLine="420"/>
        <w:rPr>
          <w:rFonts w:ascii="宋体" w:hAnsi="宋体"/>
          <w:color w:val="auto"/>
          <w:szCs w:val="21"/>
        </w:rPr>
      </w:pPr>
      <w:r>
        <w:rPr>
          <w:rFonts w:hint="eastAsia" w:ascii="宋体" w:hAnsi="宋体"/>
          <w:color w:val="auto"/>
          <w:szCs w:val="21"/>
        </w:rPr>
        <w:t>1.乙方应按照国家有关法律法规和“三包”规定以及本合同所附的《服务承诺》，为甲方提供售后服务。</w:t>
      </w:r>
    </w:p>
    <w:p>
      <w:pPr>
        <w:snapToGrid w:val="0"/>
        <w:spacing w:line="440" w:lineRule="exact"/>
        <w:ind w:firstLine="420"/>
        <w:rPr>
          <w:rFonts w:ascii="宋体" w:hAnsi="宋体"/>
          <w:color w:val="auto"/>
          <w:szCs w:val="21"/>
          <w:u w:val="single"/>
        </w:rPr>
      </w:pPr>
      <w:r>
        <w:rPr>
          <w:rFonts w:hint="eastAsia" w:ascii="宋体" w:hAnsi="宋体"/>
          <w:color w:val="auto"/>
          <w:szCs w:val="21"/>
        </w:rPr>
        <w:t>2.货物保修期：</w:t>
      </w:r>
      <w:r>
        <w:rPr>
          <w:rFonts w:hint="eastAsia" w:ascii="宋体" w:hAnsi="宋体"/>
          <w:color w:val="auto"/>
          <w:szCs w:val="21"/>
          <w:u w:val="single"/>
        </w:rPr>
        <w:t xml:space="preserve">                                          </w:t>
      </w:r>
      <w:r>
        <w:rPr>
          <w:rFonts w:hint="eastAsia" w:ascii="宋体" w:hAnsi="宋体"/>
          <w:color w:val="auto"/>
          <w:szCs w:val="21"/>
        </w:rPr>
        <w:t>。</w:t>
      </w:r>
    </w:p>
    <w:p>
      <w:pPr>
        <w:snapToGrid w:val="0"/>
        <w:spacing w:line="440" w:lineRule="exact"/>
        <w:ind w:firstLine="420"/>
        <w:rPr>
          <w:rFonts w:ascii="宋体" w:hAnsi="宋体"/>
          <w:color w:val="auto"/>
          <w:szCs w:val="21"/>
        </w:rPr>
      </w:pPr>
      <w:r>
        <w:rPr>
          <w:rFonts w:hint="eastAsia" w:ascii="宋体" w:hAnsi="宋体"/>
          <w:color w:val="auto"/>
          <w:szCs w:val="21"/>
        </w:rPr>
        <w:t>3.</w:t>
      </w:r>
      <w:r>
        <w:rPr>
          <w:rFonts w:hint="eastAsia" w:ascii="宋体" w:hAnsi="宋体"/>
          <w:color w:val="auto"/>
        </w:rPr>
        <w:t>乙方提供的货物质量保证期按验收合格之日起计。在保证期内因货物本身的质量问题发生故障，乙方应负责免费修理和更换零部件。对达不到技术要求者，根据实际情况，经双方协商，可按以下办法处理</w:t>
      </w:r>
      <w:r>
        <w:rPr>
          <w:rFonts w:hint="eastAsia" w:ascii="宋体" w:hAnsi="宋体"/>
          <w:color w:val="auto"/>
          <w:szCs w:val="21"/>
        </w:rPr>
        <w:t>：</w:t>
      </w:r>
    </w:p>
    <w:p>
      <w:pPr>
        <w:snapToGrid w:val="0"/>
        <w:spacing w:line="440" w:lineRule="exact"/>
        <w:ind w:firstLine="420"/>
        <w:rPr>
          <w:rFonts w:ascii="宋体" w:hAnsi="宋体"/>
          <w:color w:val="auto"/>
        </w:rPr>
      </w:pPr>
      <w:r>
        <w:rPr>
          <w:rFonts w:hint="eastAsia" w:ascii="宋体" w:hAnsi="宋体"/>
          <w:color w:val="auto"/>
        </w:rPr>
        <w:t>⑴更换：由乙方承担所发生的全部费用。</w:t>
      </w:r>
    </w:p>
    <w:p>
      <w:pPr>
        <w:snapToGrid w:val="0"/>
        <w:spacing w:line="440" w:lineRule="exact"/>
        <w:ind w:firstLine="420"/>
        <w:rPr>
          <w:rFonts w:ascii="宋体" w:hAnsi="宋体"/>
          <w:color w:val="auto"/>
        </w:rPr>
      </w:pPr>
      <w:r>
        <w:rPr>
          <w:rFonts w:hint="eastAsia" w:ascii="宋体" w:hAnsi="宋体"/>
          <w:color w:val="auto"/>
        </w:rPr>
        <w:t>⑵贬值处理：由甲乙双方合议定价。</w:t>
      </w:r>
    </w:p>
    <w:p>
      <w:pPr>
        <w:snapToGrid w:val="0"/>
        <w:spacing w:line="440" w:lineRule="exact"/>
        <w:ind w:firstLine="420"/>
        <w:rPr>
          <w:rFonts w:ascii="宋体" w:hAnsi="宋体"/>
          <w:color w:val="auto"/>
        </w:rPr>
      </w:pPr>
      <w:r>
        <w:rPr>
          <w:rFonts w:hint="eastAsia" w:ascii="宋体" w:hAnsi="宋体"/>
          <w:color w:val="auto"/>
        </w:rPr>
        <w:t>⑶退货处理：乙方应退还甲方支付的合同款，同时应承担该货物的直接费用（运输、保险、检验、货款利息及银行手续费等）。</w:t>
      </w:r>
    </w:p>
    <w:p>
      <w:pPr>
        <w:snapToGrid w:val="0"/>
        <w:spacing w:line="440" w:lineRule="exact"/>
        <w:ind w:firstLine="420"/>
        <w:rPr>
          <w:rFonts w:ascii="宋体" w:hAnsi="宋体"/>
          <w:color w:val="auto"/>
        </w:rPr>
      </w:pPr>
      <w:r>
        <w:rPr>
          <w:rFonts w:hint="eastAsia" w:ascii="宋体" w:hAnsi="宋体"/>
          <w:color w:val="auto"/>
        </w:rPr>
        <w:t>4.如在使用过程中发生质量问题，乙方在接到甲方通知后在</w:t>
      </w:r>
      <w:r>
        <w:rPr>
          <w:rFonts w:hint="eastAsia" w:ascii="宋体" w:hAnsi="宋体"/>
          <w:color w:val="auto"/>
          <w:u w:val="single"/>
        </w:rPr>
        <w:t xml:space="preserve">    </w:t>
      </w:r>
      <w:r>
        <w:rPr>
          <w:rFonts w:hint="eastAsia" w:ascii="宋体" w:hAnsi="宋体"/>
          <w:color w:val="auto"/>
        </w:rPr>
        <w:t>小时内到达甲方现场。</w:t>
      </w:r>
    </w:p>
    <w:p>
      <w:pPr>
        <w:snapToGrid w:val="0"/>
        <w:spacing w:line="440" w:lineRule="exact"/>
        <w:ind w:firstLine="420"/>
        <w:rPr>
          <w:rFonts w:ascii="宋体" w:hAnsi="宋体"/>
          <w:color w:val="auto"/>
        </w:rPr>
      </w:pPr>
      <w:r>
        <w:rPr>
          <w:rFonts w:hint="eastAsia" w:ascii="宋体" w:hAnsi="宋体"/>
          <w:color w:val="auto"/>
        </w:rPr>
        <w:t>5.在质保期内，乙方应对货物出现的质量及安全问题负责处理解决并承担一切费用。</w:t>
      </w:r>
    </w:p>
    <w:p>
      <w:pPr>
        <w:snapToGrid w:val="0"/>
        <w:spacing w:line="440" w:lineRule="exact"/>
        <w:ind w:firstLine="420"/>
        <w:rPr>
          <w:rFonts w:ascii="宋体" w:hAnsi="宋体"/>
          <w:color w:val="auto"/>
        </w:rPr>
      </w:pPr>
      <w:r>
        <w:rPr>
          <w:rFonts w:hint="eastAsia" w:ascii="宋体" w:hAnsi="宋体"/>
          <w:color w:val="auto"/>
        </w:rPr>
        <w:t>6.货物因人为因素出现的故障不在免费保修范围内。超过保修期的机器设备，终生维修，维修时只收部件成本费。在保修期内，乙方必须每年进行不少于一次现场巡检并向甲方提供书面巡检报告；在接到报修电话后</w:t>
      </w:r>
      <w:r>
        <w:rPr>
          <w:rFonts w:ascii="宋体" w:hAnsi="宋体"/>
          <w:color w:val="auto"/>
        </w:rPr>
        <w:t>2</w:t>
      </w:r>
      <w:r>
        <w:rPr>
          <w:rFonts w:hint="eastAsia" w:ascii="宋体" w:hAnsi="宋体"/>
          <w:color w:val="auto"/>
        </w:rPr>
        <w:t>个小时内派出技术工程师上门服务，24小时内维修好，并承担一切费用。若24小时内无法维修好的设备，乙方必须免费提供不低于故障设备规格型号档次的备用设备，直到故障设备修复，乙方对所有设备实行终身维护，保修期外发生维修只收材料成本费。</w:t>
      </w:r>
    </w:p>
    <w:p>
      <w:pPr>
        <w:snapToGrid w:val="0"/>
        <w:spacing w:line="440" w:lineRule="exact"/>
        <w:ind w:firstLine="420"/>
        <w:rPr>
          <w:rFonts w:ascii="宋体" w:hAnsi="宋体"/>
          <w:color w:val="auto"/>
          <w:szCs w:val="21"/>
          <w:u w:val="single"/>
        </w:rPr>
      </w:pPr>
      <w:r>
        <w:rPr>
          <w:rFonts w:hint="eastAsia" w:ascii="宋体" w:hAnsi="宋体"/>
          <w:color w:val="auto"/>
        </w:rPr>
        <w:t>7.乙方提供的服务承诺和售后服务及保修期责任等其它具体约定事项。（见合同附件）</w:t>
      </w:r>
    </w:p>
    <w:p>
      <w:pPr>
        <w:snapToGrid w:val="0"/>
        <w:spacing w:line="440" w:lineRule="exact"/>
        <w:rPr>
          <w:rFonts w:ascii="宋体" w:hAnsi="宋体"/>
          <w:b/>
          <w:color w:val="auto"/>
          <w:szCs w:val="21"/>
        </w:rPr>
      </w:pPr>
      <w:r>
        <w:rPr>
          <w:rFonts w:hint="eastAsia" w:ascii="宋体" w:hAnsi="宋体"/>
          <w:b/>
          <w:color w:val="auto"/>
          <w:szCs w:val="21"/>
        </w:rPr>
        <w:t>第十条 违约责任</w:t>
      </w:r>
    </w:p>
    <w:p>
      <w:pPr>
        <w:pStyle w:val="23"/>
        <w:spacing w:before="120" w:after="120" w:line="440" w:lineRule="exact"/>
        <w:ind w:firstLine="411" w:firstLineChars="196"/>
        <w:rPr>
          <w:rFonts w:hAnsi="宋体"/>
          <w:color w:val="auto"/>
        </w:rPr>
      </w:pPr>
      <w:r>
        <w:rPr>
          <w:rFonts w:hint="eastAsia" w:hAnsi="宋体"/>
          <w:color w:val="auto"/>
        </w:rPr>
        <w:t>1.乙方所提供的货物规格、技术标准、材料等质量不合格的，应及时更换，更换不及时的按逾期交货处罚；因质量问题甲方不同意接收的或特殊情况甲方同意接收的，乙方应向甲方支付本合同总价款</w:t>
      </w:r>
      <w:r>
        <w:rPr>
          <w:rFonts w:hAnsi="宋体"/>
          <w:color w:val="auto"/>
          <w:u w:val="single"/>
        </w:rPr>
        <w:t xml:space="preserve">  </w:t>
      </w:r>
      <w:r>
        <w:rPr>
          <w:rFonts w:hint="eastAsia" w:hAnsi="宋体"/>
          <w:color w:val="auto"/>
        </w:rPr>
        <w:t>%违约金并赔偿甲方经济损失。</w:t>
      </w:r>
    </w:p>
    <w:p>
      <w:pPr>
        <w:pStyle w:val="23"/>
        <w:spacing w:before="120" w:after="120" w:line="440" w:lineRule="exact"/>
        <w:ind w:firstLine="411" w:firstLineChars="196"/>
        <w:rPr>
          <w:rFonts w:hAnsi="宋体"/>
          <w:bCs/>
          <w:color w:val="auto"/>
        </w:rPr>
      </w:pPr>
      <w:r>
        <w:rPr>
          <w:rFonts w:hint="eastAsia" w:hAnsi="宋体"/>
          <w:color w:val="auto"/>
        </w:rPr>
        <w:t>2.</w:t>
      </w:r>
      <w:r>
        <w:rPr>
          <w:rFonts w:hint="eastAsia" w:hAnsi="宋体"/>
          <w:bCs/>
          <w:color w:val="auto"/>
        </w:rPr>
        <w:t>乙方提供的产品与服务与投标/响应文件中的承诺不符的，甲方有权解除合同。</w:t>
      </w:r>
    </w:p>
    <w:p>
      <w:pPr>
        <w:pStyle w:val="23"/>
        <w:spacing w:before="120" w:after="120" w:line="440" w:lineRule="exact"/>
        <w:ind w:firstLine="411" w:firstLineChars="196"/>
        <w:rPr>
          <w:rFonts w:hAnsi="宋体"/>
          <w:color w:val="auto"/>
        </w:rPr>
      </w:pPr>
      <w:r>
        <w:rPr>
          <w:rFonts w:hint="eastAsia" w:hAnsi="宋体"/>
          <w:color w:val="auto"/>
        </w:rPr>
        <w:t>3.乙方提供的货物如侵犯了第三方合法权益而引发的任何纠纷或诉讼，均由乙方负责交涉并承担全部责任。</w:t>
      </w:r>
    </w:p>
    <w:p>
      <w:pPr>
        <w:pStyle w:val="23"/>
        <w:spacing w:before="120" w:after="120" w:line="440" w:lineRule="exact"/>
        <w:ind w:firstLine="411" w:firstLineChars="196"/>
        <w:rPr>
          <w:rFonts w:hAnsi="宋体"/>
          <w:color w:val="auto"/>
        </w:rPr>
      </w:pPr>
      <w:r>
        <w:rPr>
          <w:rFonts w:hint="eastAsia" w:hAnsi="宋体"/>
          <w:color w:val="auto"/>
        </w:rPr>
        <w:t>4.因包装、运输引起的货物损坏，按质量不合格处罚。</w:t>
      </w:r>
    </w:p>
    <w:p>
      <w:pPr>
        <w:pStyle w:val="23"/>
        <w:spacing w:before="120" w:after="120" w:line="440" w:lineRule="exact"/>
        <w:ind w:firstLine="411" w:firstLineChars="196"/>
        <w:rPr>
          <w:rFonts w:hAnsi="宋体"/>
          <w:color w:val="auto"/>
        </w:rPr>
      </w:pPr>
      <w:r>
        <w:rPr>
          <w:rFonts w:hint="eastAsia" w:hAnsi="宋体"/>
          <w:color w:val="auto"/>
        </w:rPr>
        <w:t>5.甲方无故延期接收货物的，每天向乙方偿付延期货款额3‰违约金，但滞纳金累计不得超过延期货款额的5%。乙方逾期交货的，每天向甲方偿付违约货款的3‰违约金。超过</w:t>
      </w:r>
      <w:r>
        <w:rPr>
          <w:rFonts w:hint="eastAsia" w:hAnsi="宋体"/>
          <w:color w:val="auto"/>
          <w:u w:val="single"/>
        </w:rPr>
        <w:t>10</w:t>
      </w:r>
      <w:r>
        <w:rPr>
          <w:rFonts w:hint="eastAsia" w:hAnsi="宋体"/>
          <w:color w:val="auto"/>
        </w:rPr>
        <w:t>天对方有权解除合同。</w:t>
      </w:r>
    </w:p>
    <w:p>
      <w:pPr>
        <w:pStyle w:val="23"/>
        <w:spacing w:before="120" w:after="120" w:line="440" w:lineRule="exact"/>
        <w:ind w:firstLine="411" w:firstLineChars="196"/>
        <w:rPr>
          <w:rFonts w:hAnsi="宋体"/>
          <w:color w:val="auto"/>
        </w:rPr>
      </w:pPr>
      <w:r>
        <w:rPr>
          <w:rFonts w:hint="eastAsia" w:hAnsi="宋体"/>
          <w:color w:val="auto"/>
        </w:rPr>
        <w:t>6.乙方未按本合同和投标/响应文件中规定的服务承诺提供售后服务的，乙方应按本合同总价款</w:t>
      </w:r>
      <w:r>
        <w:rPr>
          <w:rFonts w:hAnsi="宋体"/>
          <w:color w:val="auto"/>
          <w:u w:val="single"/>
        </w:rPr>
        <w:t xml:space="preserve">  </w:t>
      </w:r>
      <w:r>
        <w:rPr>
          <w:rFonts w:hint="eastAsia" w:hAnsi="宋体"/>
          <w:color w:val="auto"/>
        </w:rPr>
        <w:t>%向甲方支付违约金。</w:t>
      </w:r>
    </w:p>
    <w:p>
      <w:pPr>
        <w:pStyle w:val="23"/>
        <w:spacing w:before="120" w:after="120" w:line="440" w:lineRule="exact"/>
        <w:ind w:firstLine="411" w:firstLineChars="196"/>
        <w:rPr>
          <w:rFonts w:hAnsi="宋体"/>
          <w:color w:val="auto"/>
        </w:rPr>
      </w:pPr>
      <w:r>
        <w:rPr>
          <w:rFonts w:hAnsi="宋体"/>
          <w:color w:val="auto"/>
        </w:rPr>
        <w:t>7</w:t>
      </w:r>
      <w:r>
        <w:rPr>
          <w:rFonts w:hint="eastAsia" w:hAnsi="宋体"/>
          <w:color w:val="auto"/>
        </w:rPr>
        <w:t>.其它违约行为按本合同总价款5%收取违约金并赔偿经济损失。</w:t>
      </w:r>
    </w:p>
    <w:p>
      <w:pPr>
        <w:pStyle w:val="23"/>
        <w:snapToGrid w:val="0"/>
        <w:spacing w:before="120" w:after="120" w:line="440" w:lineRule="exact"/>
        <w:rPr>
          <w:rFonts w:hAnsi="宋体"/>
          <w:b/>
          <w:color w:val="auto"/>
        </w:rPr>
      </w:pPr>
      <w:r>
        <w:rPr>
          <w:rFonts w:hint="eastAsia" w:hAnsi="宋体"/>
          <w:b/>
          <w:color w:val="auto"/>
        </w:rPr>
        <w:t>第十一条  不可抗力事件处理</w:t>
      </w:r>
    </w:p>
    <w:p>
      <w:pPr>
        <w:pStyle w:val="23"/>
        <w:snapToGrid w:val="0"/>
        <w:spacing w:before="120" w:after="120" w:line="440" w:lineRule="exact"/>
        <w:ind w:firstLine="420"/>
        <w:rPr>
          <w:rFonts w:hAnsi="宋体"/>
          <w:color w:val="auto"/>
        </w:rPr>
      </w:pPr>
      <w:r>
        <w:rPr>
          <w:rFonts w:hint="eastAsia" w:hAnsi="宋体"/>
          <w:color w:val="auto"/>
        </w:rPr>
        <w:t>1.在合同有效期内，任何一方因不可抗力事件导致不能履行合同，则合同履行期可延长，其延长期与不可抗力影响期相同。</w:t>
      </w:r>
    </w:p>
    <w:p>
      <w:pPr>
        <w:pStyle w:val="23"/>
        <w:snapToGrid w:val="0"/>
        <w:spacing w:before="120" w:after="120" w:line="440" w:lineRule="exact"/>
        <w:ind w:firstLine="420"/>
        <w:rPr>
          <w:rFonts w:hAnsi="宋体"/>
          <w:color w:val="auto"/>
        </w:rPr>
      </w:pPr>
      <w:r>
        <w:rPr>
          <w:rFonts w:hint="eastAsia" w:hAnsi="宋体"/>
          <w:color w:val="auto"/>
        </w:rPr>
        <w:t>2.不可抗力事件发生后，应立即通知对方，并寄送有关权威机构出具的证明。</w:t>
      </w:r>
    </w:p>
    <w:p>
      <w:pPr>
        <w:pStyle w:val="23"/>
        <w:snapToGrid w:val="0"/>
        <w:spacing w:before="120" w:after="120" w:line="440" w:lineRule="exact"/>
        <w:ind w:firstLine="420"/>
        <w:rPr>
          <w:rFonts w:hAnsi="宋体"/>
          <w:color w:val="auto"/>
        </w:rPr>
      </w:pPr>
      <w:r>
        <w:rPr>
          <w:rFonts w:hint="eastAsia" w:hAnsi="宋体"/>
          <w:color w:val="auto"/>
        </w:rPr>
        <w:t>3.不可抗力事件延续一百二十天以上，双方应通过友好协商，确定是否继续履行合同。</w:t>
      </w:r>
    </w:p>
    <w:p>
      <w:pPr>
        <w:snapToGrid w:val="0"/>
        <w:spacing w:line="440" w:lineRule="exact"/>
        <w:rPr>
          <w:rFonts w:ascii="宋体" w:hAnsi="宋体"/>
          <w:color w:val="auto"/>
          <w:szCs w:val="21"/>
        </w:rPr>
      </w:pPr>
      <w:r>
        <w:rPr>
          <w:rFonts w:hint="eastAsia" w:ascii="宋体" w:hAnsi="宋体"/>
          <w:b/>
          <w:color w:val="auto"/>
          <w:szCs w:val="21"/>
        </w:rPr>
        <w:t>第十</w:t>
      </w:r>
      <w:r>
        <w:rPr>
          <w:rFonts w:hint="eastAsia" w:hAnsi="宋体"/>
          <w:b/>
          <w:color w:val="auto"/>
        </w:rPr>
        <w:t>二</w:t>
      </w:r>
      <w:r>
        <w:rPr>
          <w:rFonts w:hint="eastAsia" w:ascii="宋体" w:hAnsi="宋体"/>
          <w:b/>
          <w:color w:val="auto"/>
          <w:szCs w:val="21"/>
        </w:rPr>
        <w:t>条  合同争议解决</w:t>
      </w:r>
    </w:p>
    <w:p>
      <w:pPr>
        <w:snapToGrid w:val="0"/>
        <w:spacing w:line="440" w:lineRule="exact"/>
        <w:ind w:firstLine="420"/>
        <w:rPr>
          <w:rFonts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pPr>
        <w:snapToGrid w:val="0"/>
        <w:spacing w:line="440" w:lineRule="exact"/>
        <w:ind w:firstLine="420"/>
        <w:rPr>
          <w:rFonts w:ascii="宋体" w:hAnsi="宋体"/>
          <w:color w:val="auto"/>
          <w:szCs w:val="21"/>
        </w:rPr>
      </w:pPr>
      <w:r>
        <w:rPr>
          <w:rFonts w:hint="eastAsia" w:ascii="宋体" w:hAnsi="宋体"/>
          <w:color w:val="auto"/>
          <w:szCs w:val="21"/>
        </w:rPr>
        <w:t>2.因履行本合同引起的或与本合同有关的争议，甲乙双方应首先通过友好协商解决，如果协商不能解决，可向仲裁委员会申请仲裁或向人民法院提起诉讼。</w:t>
      </w:r>
    </w:p>
    <w:p>
      <w:pPr>
        <w:snapToGrid w:val="0"/>
        <w:spacing w:line="440" w:lineRule="exact"/>
        <w:ind w:firstLine="420"/>
        <w:rPr>
          <w:rFonts w:ascii="宋体" w:hAnsi="宋体"/>
          <w:color w:val="auto"/>
          <w:szCs w:val="21"/>
        </w:rPr>
      </w:pPr>
      <w:r>
        <w:rPr>
          <w:rFonts w:hint="eastAsia" w:ascii="宋体" w:hAnsi="宋体"/>
          <w:color w:val="auto"/>
          <w:szCs w:val="21"/>
        </w:rPr>
        <w:t>3.诉讼期间，本合同继续履行。</w:t>
      </w:r>
    </w:p>
    <w:p>
      <w:pPr>
        <w:snapToGrid w:val="0"/>
        <w:spacing w:line="440" w:lineRule="exact"/>
        <w:rPr>
          <w:rFonts w:hAnsi="宋体"/>
          <w:b/>
          <w:color w:val="auto"/>
        </w:rPr>
      </w:pPr>
      <w:r>
        <w:rPr>
          <w:rFonts w:hint="eastAsia" w:hAnsi="宋体"/>
          <w:b/>
          <w:color w:val="auto"/>
        </w:rPr>
        <w:t>第十</w:t>
      </w:r>
      <w:r>
        <w:rPr>
          <w:rFonts w:hint="eastAsia" w:ascii="宋体" w:hAnsi="宋体"/>
          <w:b/>
          <w:color w:val="auto"/>
          <w:szCs w:val="21"/>
        </w:rPr>
        <w:t>三</w:t>
      </w:r>
      <w:r>
        <w:rPr>
          <w:rFonts w:hint="eastAsia" w:hAnsi="宋体"/>
          <w:b/>
          <w:color w:val="auto"/>
        </w:rPr>
        <w:t>条  合同生效及其它</w:t>
      </w:r>
    </w:p>
    <w:p>
      <w:pPr>
        <w:snapToGrid w:val="0"/>
        <w:spacing w:line="440" w:lineRule="exact"/>
        <w:ind w:firstLine="420"/>
        <w:rPr>
          <w:rFonts w:hAnsi="宋体"/>
          <w:color w:val="auto"/>
        </w:rPr>
      </w:pPr>
      <w:r>
        <w:rPr>
          <w:rFonts w:hint="eastAsia" w:hAnsi="宋体"/>
          <w:color w:val="auto"/>
        </w:rPr>
        <w:t>1.合同经双方法定代表人(负责人)或授权代表签名并加盖公章后生效。</w:t>
      </w:r>
    </w:p>
    <w:p>
      <w:pPr>
        <w:snapToGrid w:val="0"/>
        <w:spacing w:line="440" w:lineRule="exact"/>
        <w:ind w:firstLine="420"/>
        <w:rPr>
          <w:rFonts w:ascii="宋体" w:hAnsi="宋体"/>
          <w:color w:val="auto"/>
          <w:szCs w:val="21"/>
        </w:rPr>
      </w:pPr>
      <w:r>
        <w:rPr>
          <w:rFonts w:hint="eastAsia" w:hAnsi="宋体"/>
          <w:color w:val="auto"/>
        </w:rPr>
        <w:t>2.本合同未尽事宜，遵照《中华人民共和国民法典合同编》有关条文执行。</w:t>
      </w:r>
    </w:p>
    <w:p>
      <w:pPr>
        <w:snapToGrid w:val="0"/>
        <w:spacing w:line="440" w:lineRule="exact"/>
        <w:rPr>
          <w:rFonts w:ascii="宋体" w:hAnsi="宋体"/>
          <w:b/>
          <w:color w:val="auto"/>
          <w:szCs w:val="21"/>
        </w:rPr>
      </w:pPr>
      <w:r>
        <w:rPr>
          <w:rFonts w:hint="eastAsia" w:ascii="宋体" w:hAnsi="宋体"/>
          <w:b/>
          <w:color w:val="auto"/>
          <w:szCs w:val="21"/>
        </w:rPr>
        <w:t>第十</w:t>
      </w:r>
      <w:r>
        <w:rPr>
          <w:rFonts w:hint="eastAsia" w:hAnsi="宋体"/>
          <w:b/>
          <w:color w:val="auto"/>
        </w:rPr>
        <w:t>四</w:t>
      </w:r>
      <w:r>
        <w:rPr>
          <w:rFonts w:hint="eastAsia" w:ascii="宋体" w:hAnsi="宋体"/>
          <w:b/>
          <w:color w:val="auto"/>
          <w:szCs w:val="21"/>
        </w:rPr>
        <w:t>条　合同的变更、终止与转让</w:t>
      </w:r>
    </w:p>
    <w:p>
      <w:pPr>
        <w:snapToGrid w:val="0"/>
        <w:spacing w:line="440" w:lineRule="exact"/>
        <w:ind w:firstLine="420"/>
        <w:rPr>
          <w:rFonts w:ascii="宋体" w:hAnsi="宋体"/>
          <w:color w:val="auto"/>
          <w:szCs w:val="21"/>
        </w:rPr>
      </w:pPr>
      <w:r>
        <w:rPr>
          <w:rFonts w:hint="eastAsia" w:ascii="宋体" w:hAnsi="宋体"/>
          <w:color w:val="auto"/>
          <w:szCs w:val="21"/>
        </w:rPr>
        <w:t>1.除《中华人民共和国政府采购法》第五十条规定的情形外，本合同一经签订，甲乙双方不得擅自变更、中止或终止。</w:t>
      </w:r>
    </w:p>
    <w:p>
      <w:pPr>
        <w:pStyle w:val="23"/>
        <w:snapToGrid w:val="0"/>
        <w:spacing w:before="120" w:after="120" w:line="440" w:lineRule="exact"/>
        <w:ind w:firstLine="411" w:firstLineChars="196"/>
        <w:rPr>
          <w:rFonts w:hAnsi="宋体"/>
          <w:b/>
          <w:color w:val="auto"/>
        </w:rPr>
      </w:pPr>
      <w:r>
        <w:rPr>
          <w:rFonts w:hint="eastAsia" w:hAnsi="宋体"/>
          <w:color w:val="auto"/>
        </w:rPr>
        <w:t>2.乙方不得擅自转让（无进口资格的供应商委托进口货物除外）其应履行的合同义务。</w:t>
      </w:r>
    </w:p>
    <w:p>
      <w:pPr>
        <w:snapToGrid w:val="0"/>
        <w:spacing w:line="440" w:lineRule="exact"/>
        <w:rPr>
          <w:rFonts w:ascii="宋体" w:hAnsi="宋体"/>
          <w:b/>
          <w:color w:val="auto"/>
          <w:szCs w:val="21"/>
        </w:rPr>
      </w:pPr>
      <w:r>
        <w:rPr>
          <w:rFonts w:hint="eastAsia" w:ascii="宋体" w:hAnsi="宋体"/>
          <w:b/>
          <w:color w:val="auto"/>
          <w:szCs w:val="21"/>
        </w:rPr>
        <w:t>第十</w:t>
      </w:r>
      <w:r>
        <w:rPr>
          <w:rFonts w:hint="eastAsia" w:hAnsi="宋体"/>
          <w:b/>
          <w:color w:val="auto"/>
        </w:rPr>
        <w:t>五</w:t>
      </w:r>
      <w:r>
        <w:rPr>
          <w:rFonts w:hint="eastAsia" w:ascii="宋体" w:hAnsi="宋体"/>
          <w:b/>
          <w:color w:val="auto"/>
          <w:szCs w:val="21"/>
        </w:rPr>
        <w:t>条　签订本合同依据</w:t>
      </w:r>
    </w:p>
    <w:p>
      <w:pPr>
        <w:snapToGrid w:val="0"/>
        <w:spacing w:line="440" w:lineRule="exact"/>
        <w:ind w:firstLine="420"/>
        <w:rPr>
          <w:rFonts w:ascii="宋体" w:hAnsi="宋体"/>
          <w:color w:val="auto"/>
          <w:szCs w:val="21"/>
        </w:rPr>
      </w:pPr>
      <w:r>
        <w:rPr>
          <w:rFonts w:hint="eastAsia" w:ascii="宋体" w:hAnsi="宋体"/>
          <w:color w:val="auto"/>
          <w:szCs w:val="21"/>
        </w:rPr>
        <w:t>1.招标/采购文件；</w:t>
      </w:r>
    </w:p>
    <w:p>
      <w:pPr>
        <w:snapToGrid w:val="0"/>
        <w:spacing w:line="440" w:lineRule="exact"/>
        <w:ind w:firstLine="420"/>
        <w:rPr>
          <w:rFonts w:ascii="宋体" w:hAnsi="宋体"/>
          <w:color w:val="auto"/>
          <w:szCs w:val="21"/>
        </w:rPr>
      </w:pPr>
      <w:r>
        <w:rPr>
          <w:rFonts w:hint="eastAsia" w:ascii="宋体" w:hAnsi="宋体"/>
          <w:color w:val="auto"/>
          <w:szCs w:val="21"/>
        </w:rPr>
        <w:t>2.中标/成交人投标/响应文件；</w:t>
      </w:r>
    </w:p>
    <w:p>
      <w:pPr>
        <w:snapToGrid w:val="0"/>
        <w:spacing w:line="440" w:lineRule="exact"/>
        <w:ind w:firstLine="420"/>
        <w:rPr>
          <w:rFonts w:ascii="宋体" w:hAnsi="宋体"/>
          <w:color w:val="auto"/>
          <w:szCs w:val="21"/>
        </w:rPr>
      </w:pPr>
      <w:r>
        <w:rPr>
          <w:rFonts w:hint="eastAsia" w:ascii="宋体" w:hAnsi="宋体"/>
          <w:color w:val="auto"/>
          <w:szCs w:val="21"/>
        </w:rPr>
        <w:t>3.中标/成交通知书。</w:t>
      </w:r>
    </w:p>
    <w:p>
      <w:pPr>
        <w:snapToGrid w:val="0"/>
        <w:spacing w:line="440" w:lineRule="exact"/>
        <w:rPr>
          <w:rFonts w:ascii="宋体" w:hAnsi="宋体"/>
          <w:color w:val="auto"/>
          <w:szCs w:val="21"/>
        </w:rPr>
      </w:pPr>
      <w:r>
        <w:rPr>
          <w:rFonts w:hint="eastAsia" w:ascii="宋体" w:hAnsi="宋体"/>
          <w:b/>
          <w:color w:val="auto"/>
          <w:szCs w:val="21"/>
        </w:rPr>
        <w:t>第十</w:t>
      </w:r>
      <w:r>
        <w:rPr>
          <w:rFonts w:hint="eastAsia" w:hAnsi="宋体"/>
          <w:b/>
          <w:color w:val="auto"/>
        </w:rPr>
        <w:t>六</w:t>
      </w:r>
      <w:r>
        <w:rPr>
          <w:rFonts w:hint="eastAsia" w:ascii="宋体" w:hAnsi="宋体"/>
          <w:b/>
          <w:color w:val="auto"/>
          <w:szCs w:val="21"/>
        </w:rPr>
        <w:t>条　</w:t>
      </w:r>
      <w:r>
        <w:rPr>
          <w:rFonts w:hint="eastAsia" w:ascii="宋体" w:hAnsi="宋体"/>
          <w:color w:val="auto"/>
          <w:szCs w:val="21"/>
        </w:rPr>
        <w:t>本合同一式叁份，具有同等法律效力，甲乙双方各一份、钦州市政府采购中心各一份（可根据需要另增加）。</w:t>
      </w:r>
    </w:p>
    <w:p>
      <w:pPr>
        <w:rPr>
          <w:color w:val="auto"/>
        </w:rPr>
      </w:pPr>
      <w:r>
        <w:rPr>
          <w:color w:val="auto"/>
        </w:rPr>
        <w:br w:type="page"/>
      </w:r>
    </w:p>
    <w:p>
      <w:pPr>
        <w:rPr>
          <w:color w:val="auto"/>
        </w:rPr>
      </w:pPr>
    </w:p>
    <w:tbl>
      <w:tblPr>
        <w:tblStyle w:val="36"/>
        <w:tblpPr w:leftFromText="180" w:rightFromText="180" w:vertAnchor="page" w:horzAnchor="margin" w:tblpY="16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Cs w:val="21"/>
              </w:rPr>
            </w:pPr>
            <w:r>
              <w:rPr>
                <w:rFonts w:hint="eastAsia" w:ascii="宋体" w:hAnsi="宋体"/>
                <w:color w:val="auto"/>
                <w:szCs w:val="21"/>
              </w:rPr>
              <w:t>甲方（盖章）</w:t>
            </w:r>
          </w:p>
          <w:p>
            <w:pPr>
              <w:snapToGrid w:val="0"/>
              <w:spacing w:line="320" w:lineRule="exact"/>
              <w:jc w:val="right"/>
              <w:rPr>
                <w:rFonts w:ascii="宋体" w:hAnsi="宋体"/>
                <w:color w:val="auto"/>
                <w:szCs w:val="21"/>
              </w:rPr>
            </w:pPr>
          </w:p>
          <w:p>
            <w:pPr>
              <w:snapToGrid w:val="0"/>
              <w:spacing w:line="320" w:lineRule="exact"/>
              <w:jc w:val="right"/>
              <w:rPr>
                <w:rFonts w:ascii="宋体" w:hAnsi="宋体"/>
                <w:color w:val="auto"/>
                <w:szCs w:val="21"/>
              </w:rPr>
            </w:pPr>
            <w:r>
              <w:rPr>
                <w:rFonts w:hint="eastAsia" w:ascii="宋体" w:hAnsi="宋体"/>
                <w:color w:val="auto"/>
                <w:szCs w:val="21"/>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35" w:firstLineChars="17"/>
              <w:rPr>
                <w:rFonts w:ascii="宋体" w:hAnsi="宋体"/>
                <w:color w:val="auto"/>
                <w:szCs w:val="21"/>
              </w:rPr>
            </w:pPr>
            <w:r>
              <w:rPr>
                <w:rFonts w:hint="eastAsia" w:ascii="宋体" w:hAnsi="宋体"/>
                <w:color w:val="auto"/>
                <w:szCs w:val="21"/>
              </w:rPr>
              <w:t>乙方（盖章）</w:t>
            </w:r>
          </w:p>
          <w:p>
            <w:pPr>
              <w:snapToGrid w:val="0"/>
              <w:spacing w:line="320" w:lineRule="exact"/>
              <w:ind w:firstLine="35" w:firstLineChars="17"/>
              <w:jc w:val="right"/>
              <w:rPr>
                <w:rFonts w:ascii="宋体" w:hAnsi="宋体"/>
                <w:color w:val="auto"/>
                <w:szCs w:val="21"/>
              </w:rPr>
            </w:pPr>
            <w:r>
              <w:rPr>
                <w:rFonts w:hint="eastAsia" w:ascii="宋体" w:hAnsi="宋体"/>
                <w:color w:val="auto"/>
                <w:szCs w:val="21"/>
              </w:rPr>
              <w:t xml:space="preserve"> </w:t>
            </w:r>
          </w:p>
          <w:p>
            <w:pPr>
              <w:snapToGrid w:val="0"/>
              <w:spacing w:line="320" w:lineRule="exact"/>
              <w:ind w:firstLine="35" w:firstLineChars="17"/>
              <w:jc w:val="right"/>
              <w:rPr>
                <w:rFonts w:ascii="宋体" w:hAnsi="宋体"/>
                <w:color w:val="auto"/>
                <w:szCs w:val="21"/>
              </w:rPr>
            </w:pP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单位地址：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法定代表人(负责人)：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rPr>
                <w:rFonts w:ascii="宋体" w:hAnsi="宋体"/>
                <w:color w:val="auto"/>
                <w:szCs w:val="21"/>
              </w:rPr>
            </w:pPr>
            <w:r>
              <w:rPr>
                <w:rFonts w:hint="eastAsia" w:ascii="宋体" w:hAnsi="宋体"/>
                <w:color w:val="auto"/>
                <w:szCs w:val="21"/>
              </w:rPr>
              <w:t>经办人：</w:t>
            </w:r>
          </w:p>
        </w:tc>
      </w:tr>
    </w:tbl>
    <w:p>
      <w:pPr>
        <w:widowControl/>
        <w:jc w:val="left"/>
        <w:rPr>
          <w:rFonts w:ascii="宋体" w:hAnsi="宋体"/>
          <w:color w:val="auto"/>
          <w:kern w:val="0"/>
          <w:szCs w:val="21"/>
        </w:rPr>
      </w:pPr>
    </w:p>
    <w:p>
      <w:pPr>
        <w:widowControl/>
        <w:jc w:val="left"/>
        <w:rPr>
          <w:rFonts w:ascii="宋体" w:hAnsi="宋体"/>
          <w:color w:val="auto"/>
          <w:kern w:val="0"/>
          <w:szCs w:val="21"/>
        </w:rPr>
      </w:pPr>
      <w:r>
        <w:rPr>
          <w:rFonts w:ascii="宋体" w:hAnsi="宋体"/>
          <w:color w:val="auto"/>
          <w:kern w:val="0"/>
          <w:szCs w:val="21"/>
        </w:rPr>
        <w:br w:type="page"/>
      </w:r>
    </w:p>
    <w:p>
      <w:pPr>
        <w:widowControl/>
        <w:spacing w:line="360" w:lineRule="auto"/>
        <w:ind w:firstLine="562"/>
        <w:jc w:val="center"/>
        <w:rPr>
          <w:rFonts w:ascii="宋体" w:hAnsi="宋体"/>
          <w:b/>
          <w:bCs/>
          <w:color w:val="auto"/>
          <w:kern w:val="0"/>
          <w:sz w:val="28"/>
          <w:szCs w:val="28"/>
        </w:rPr>
      </w:pPr>
      <w:r>
        <w:rPr>
          <w:rFonts w:hint="eastAsia" w:ascii="宋体" w:hAnsi="宋体"/>
          <w:b/>
          <w:bCs/>
          <w:color w:val="auto"/>
          <w:kern w:val="0"/>
          <w:sz w:val="28"/>
          <w:szCs w:val="28"/>
        </w:rPr>
        <w:t>合 同 附 件</w:t>
      </w:r>
    </w:p>
    <w:tbl>
      <w:tblPr>
        <w:tblStyle w:val="36"/>
        <w:tblW w:w="0" w:type="auto"/>
        <w:jc w:val="center"/>
        <w:tblLayout w:type="fixed"/>
        <w:tblCellMar>
          <w:top w:w="0" w:type="dxa"/>
          <w:left w:w="108" w:type="dxa"/>
          <w:bottom w:w="0" w:type="dxa"/>
          <w:right w:w="108" w:type="dxa"/>
        </w:tblCellMar>
      </w:tblPr>
      <w:tblGrid>
        <w:gridCol w:w="4640"/>
        <w:gridCol w:w="4720"/>
      </w:tblGrid>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ascii="宋体" w:hAnsi="宋体"/>
                <w:color w:val="auto"/>
                <w:kern w:val="0"/>
                <w:szCs w:val="21"/>
              </w:rPr>
            </w:pPr>
            <w:r>
              <w:rPr>
                <w:rFonts w:hint="eastAsia" w:ascii="宋体" w:hAnsi="宋体"/>
                <w:color w:val="auto"/>
                <w:kern w:val="0"/>
                <w:szCs w:val="21"/>
              </w:rPr>
              <w:t>1.供应商承诺具体事项：</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ascii="宋体" w:hAnsi="宋体"/>
                <w:color w:val="auto"/>
                <w:kern w:val="0"/>
                <w:szCs w:val="21"/>
              </w:rPr>
            </w:pPr>
            <w:r>
              <w:rPr>
                <w:rFonts w:hint="eastAsia" w:ascii="宋体" w:hAnsi="宋体"/>
                <w:color w:val="auto"/>
                <w:kern w:val="0"/>
                <w:szCs w:val="21"/>
              </w:rPr>
              <w:t>2.售后服务具体事项：</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ascii="宋体" w:hAnsi="宋体"/>
                <w:color w:val="auto"/>
                <w:kern w:val="0"/>
                <w:szCs w:val="21"/>
              </w:rPr>
            </w:pPr>
            <w:r>
              <w:rPr>
                <w:rFonts w:hint="eastAsia" w:ascii="宋体" w:hAnsi="宋体"/>
                <w:color w:val="auto"/>
                <w:kern w:val="0"/>
                <w:szCs w:val="21"/>
              </w:rPr>
              <w:t>3.保修期责任：</w:t>
            </w:r>
          </w:p>
        </w:tc>
      </w:tr>
      <w:tr>
        <w:tblPrEx>
          <w:tblCellMar>
            <w:top w:w="0" w:type="dxa"/>
            <w:left w:w="108" w:type="dxa"/>
            <w:bottom w:w="0" w:type="dxa"/>
            <w:right w:w="108" w:type="dxa"/>
          </w:tblCellMar>
        </w:tblPrEx>
        <w:trPr>
          <w:trHeight w:val="1701" w:hRule="atLeast"/>
          <w:jc w:val="center"/>
        </w:trPr>
        <w:tc>
          <w:tcPr>
            <w:tcW w:w="9360" w:type="dxa"/>
            <w:gridSpan w:val="2"/>
            <w:tcBorders>
              <w:top w:val="single" w:color="000000" w:sz="4" w:space="0"/>
              <w:left w:val="single" w:color="000000" w:sz="4" w:space="0"/>
              <w:bottom w:val="nil"/>
              <w:right w:val="single" w:color="000000" w:sz="4" w:space="0"/>
            </w:tcBorders>
          </w:tcPr>
          <w:p>
            <w:pPr>
              <w:widowControl/>
              <w:rPr>
                <w:rFonts w:ascii="宋体" w:hAnsi="宋体"/>
                <w:color w:val="auto"/>
                <w:kern w:val="0"/>
                <w:szCs w:val="21"/>
              </w:rPr>
            </w:pPr>
            <w:r>
              <w:rPr>
                <w:rFonts w:hint="eastAsia" w:ascii="宋体" w:hAnsi="宋体"/>
                <w:color w:val="auto"/>
                <w:kern w:val="0"/>
                <w:szCs w:val="21"/>
              </w:rPr>
              <w:t>4.其他具体事项：</w:t>
            </w:r>
          </w:p>
        </w:tc>
      </w:tr>
      <w:tr>
        <w:tblPrEx>
          <w:tblCellMar>
            <w:top w:w="0" w:type="dxa"/>
            <w:left w:w="108" w:type="dxa"/>
            <w:bottom w:w="0" w:type="dxa"/>
            <w:right w:w="108" w:type="dxa"/>
          </w:tblCellMar>
        </w:tblPrEx>
        <w:trPr>
          <w:trHeight w:val="2224" w:hRule="atLeast"/>
          <w:jc w:val="center"/>
        </w:trPr>
        <w:tc>
          <w:tcPr>
            <w:tcW w:w="4640" w:type="dxa"/>
            <w:tcBorders>
              <w:top w:val="single" w:color="000000" w:sz="4" w:space="0"/>
              <w:left w:val="single" w:color="000000" w:sz="4" w:space="0"/>
              <w:bottom w:val="single" w:color="000000" w:sz="4" w:space="0"/>
              <w:right w:val="single" w:color="000000" w:sz="4" w:space="0"/>
            </w:tcBorders>
          </w:tcPr>
          <w:p>
            <w:pPr>
              <w:widowControl/>
              <w:rPr>
                <w:rFonts w:ascii="宋体" w:hAnsi="宋体"/>
                <w:color w:val="auto"/>
                <w:kern w:val="0"/>
                <w:szCs w:val="21"/>
              </w:rPr>
            </w:pPr>
            <w:r>
              <w:rPr>
                <w:rFonts w:hint="eastAsia" w:ascii="宋体" w:hAnsi="宋体"/>
                <w:color w:val="auto"/>
                <w:kern w:val="0"/>
                <w:szCs w:val="21"/>
              </w:rPr>
              <w:t>甲方（章）</w:t>
            </w:r>
          </w:p>
          <w:p>
            <w:pPr>
              <w:widowControl/>
              <w:rPr>
                <w:rFonts w:ascii="宋体" w:hAnsi="宋体"/>
                <w:color w:val="auto"/>
                <w:kern w:val="0"/>
                <w:szCs w:val="21"/>
              </w:rPr>
            </w:pPr>
          </w:p>
          <w:p>
            <w:pPr>
              <w:widowControl/>
              <w:rPr>
                <w:rFonts w:ascii="宋体" w:hAnsi="宋体"/>
                <w:color w:val="auto"/>
                <w:kern w:val="0"/>
                <w:szCs w:val="21"/>
              </w:rPr>
            </w:pPr>
          </w:p>
          <w:p>
            <w:pPr>
              <w:widowControl/>
              <w:rPr>
                <w:rFonts w:ascii="宋体" w:hAnsi="宋体"/>
                <w:color w:val="auto"/>
                <w:kern w:val="0"/>
                <w:szCs w:val="21"/>
              </w:rPr>
            </w:pPr>
          </w:p>
          <w:p>
            <w:pPr>
              <w:widowControl/>
              <w:ind w:left="1800"/>
              <w:rPr>
                <w:rFonts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r>
              <w:rPr>
                <w:rFonts w:hint="eastAsia" w:ascii="宋体" w:hAnsi="宋体"/>
                <w:color w:val="auto"/>
                <w:kern w:val="0"/>
                <w:szCs w:val="21"/>
              </w:rPr>
              <w:t>年   月   日</w:t>
            </w:r>
          </w:p>
        </w:tc>
        <w:tc>
          <w:tcPr>
            <w:tcW w:w="4720" w:type="dxa"/>
            <w:tcBorders>
              <w:top w:val="single" w:color="000000" w:sz="4" w:space="0"/>
              <w:left w:val="nil"/>
              <w:bottom w:val="single" w:color="000000" w:sz="4" w:space="0"/>
              <w:right w:val="single" w:color="000000" w:sz="4" w:space="0"/>
            </w:tcBorders>
          </w:tcPr>
          <w:p>
            <w:pPr>
              <w:widowControl/>
              <w:ind w:firstLine="27" w:firstLineChars="13"/>
              <w:rPr>
                <w:rFonts w:ascii="宋体" w:hAnsi="宋体"/>
                <w:color w:val="auto"/>
                <w:kern w:val="0"/>
                <w:szCs w:val="21"/>
              </w:rPr>
            </w:pPr>
            <w:r>
              <w:rPr>
                <w:rFonts w:hint="eastAsia" w:ascii="宋体" w:hAnsi="宋体"/>
                <w:color w:val="auto"/>
                <w:kern w:val="0"/>
                <w:szCs w:val="21"/>
              </w:rPr>
              <w:t>乙方（章）</w:t>
            </w:r>
          </w:p>
          <w:p>
            <w:pPr>
              <w:widowControl/>
              <w:ind w:firstLine="27" w:firstLineChars="13"/>
              <w:rPr>
                <w:rFonts w:ascii="宋体" w:hAnsi="宋体"/>
                <w:color w:val="auto"/>
                <w:kern w:val="0"/>
                <w:szCs w:val="21"/>
              </w:rPr>
            </w:pPr>
          </w:p>
          <w:p>
            <w:pPr>
              <w:widowControl/>
              <w:ind w:firstLine="27" w:firstLineChars="13"/>
              <w:rPr>
                <w:rFonts w:ascii="宋体" w:hAnsi="宋体"/>
                <w:color w:val="auto"/>
                <w:kern w:val="0"/>
                <w:szCs w:val="21"/>
              </w:rPr>
            </w:pPr>
          </w:p>
          <w:p>
            <w:pPr>
              <w:widowControl/>
              <w:ind w:firstLine="27" w:firstLineChars="13"/>
              <w:rPr>
                <w:rFonts w:ascii="宋体" w:hAnsi="宋体"/>
                <w:color w:val="auto"/>
                <w:kern w:val="0"/>
                <w:szCs w:val="21"/>
              </w:rPr>
            </w:pPr>
          </w:p>
          <w:p>
            <w:pPr>
              <w:widowControl/>
              <w:ind w:left="1800" w:firstLine="27" w:firstLineChars="13"/>
              <w:rPr>
                <w:rFonts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r>
              <w:rPr>
                <w:rFonts w:hint="eastAsia" w:ascii="宋体" w:hAnsi="宋体"/>
                <w:color w:val="auto"/>
                <w:kern w:val="0"/>
                <w:szCs w:val="21"/>
              </w:rPr>
              <w:t xml:space="preserve"> 年   月   日</w:t>
            </w:r>
          </w:p>
        </w:tc>
      </w:tr>
    </w:tbl>
    <w:p>
      <w:pPr>
        <w:widowControl/>
        <w:ind w:firstLine="210" w:firstLineChars="100"/>
        <w:rPr>
          <w:rFonts w:ascii="宋体" w:hAnsi="宋体"/>
          <w:color w:val="auto"/>
          <w:kern w:val="0"/>
          <w:szCs w:val="21"/>
        </w:rPr>
      </w:pPr>
      <w:r>
        <w:rPr>
          <w:rFonts w:hint="eastAsia" w:ascii="宋体" w:hAnsi="宋体"/>
          <w:color w:val="auto"/>
          <w:kern w:val="0"/>
          <w:szCs w:val="21"/>
        </w:rPr>
        <w:t>注：售后服务事项填不下时可另加附页</w:t>
      </w:r>
    </w:p>
    <w:p>
      <w:pPr>
        <w:widowControl/>
        <w:jc w:val="left"/>
        <w:rPr>
          <w:rFonts w:hint="eastAsia" w:ascii="宋体" w:hAnsi="宋体"/>
          <w:bCs/>
          <w:color w:val="auto"/>
          <w:szCs w:val="21"/>
          <w:highlight w:val="none"/>
        </w:rPr>
      </w:pPr>
      <w:r>
        <w:rPr>
          <w:color w:val="auto"/>
        </w:rPr>
        <w:br w:type="page"/>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方正小标宋_GBK" w:eastAsia="方正小标宋_GBK"/>
          <w:color w:val="auto"/>
          <w:highlight w:val="none"/>
        </w:rPr>
      </w:pPr>
      <w:bookmarkStart w:id="143" w:name="_Toc92355028"/>
      <w:bookmarkStart w:id="144" w:name="_Toc397585460"/>
      <w:r>
        <w:rPr>
          <w:rFonts w:hint="eastAsia" w:ascii="方正小标宋_GBK" w:hAnsi="方正小标宋_GBK" w:eastAsia="方正小标宋_GBK"/>
          <w:color w:val="auto"/>
          <w:highlight w:val="none"/>
        </w:rPr>
        <w:t>第六章  响应文件格式</w:t>
      </w:r>
      <w:bookmarkEnd w:id="143"/>
      <w:bookmarkEnd w:id="144"/>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45"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46"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46"/>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6"/>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47"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7"/>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48"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48"/>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49" w:name="_Hlk60836554"/>
      <w:r>
        <w:rPr>
          <w:rFonts w:hint="eastAsia" w:ascii="宋体" w:hAnsi="宋体"/>
          <w:bCs/>
          <w:color w:val="auto"/>
          <w:szCs w:val="21"/>
          <w:highlight w:val="none"/>
        </w:rPr>
        <w:t>（财库﹝2020﹞46号）</w:t>
      </w:r>
      <w:bookmarkEnd w:id="149"/>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50" w:name="_Hlk108682836"/>
      <w:r>
        <w:rPr>
          <w:rFonts w:hint="eastAsia" w:ascii="宋体" w:hAnsi="宋体"/>
          <w:bCs/>
          <w:color w:val="auto"/>
          <w:szCs w:val="21"/>
          <w:highlight w:val="none"/>
        </w:rPr>
        <w:t>服务全部由符合政策要求的中小企业承接</w:t>
      </w:r>
      <w:bookmarkEnd w:id="150"/>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51"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51"/>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52"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52"/>
      <w:r>
        <w:rPr>
          <w:rFonts w:hint="eastAsia" w:hAnsi="宋体"/>
          <w:bCs/>
          <w:color w:val="auto"/>
          <w:sz w:val="18"/>
          <w:szCs w:val="18"/>
          <w:highlight w:val="none"/>
        </w:rPr>
        <w:t>上一年度数据，无上一年度数据的新成立企业可不填报。</w:t>
      </w:r>
      <w:bookmarkEnd w:id="145"/>
    </w:p>
    <w:p>
      <w:pPr>
        <w:pStyle w:val="6"/>
        <w:rPr>
          <w:color w:val="auto"/>
          <w:highlight w:val="none"/>
        </w:rPr>
      </w:pPr>
      <w:r>
        <w:rPr>
          <w:color w:val="auto"/>
          <w:highlight w:val="none"/>
        </w:rPr>
        <w:br w:type="page"/>
      </w:r>
    </w:p>
    <w:tbl>
      <w:tblPr>
        <w:tblStyle w:val="36"/>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53"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54"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54"/>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53"/>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55"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55"/>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56" w:name="_Hlk92702324"/>
      <w:r>
        <w:rPr>
          <w:rFonts w:hint="eastAsia" w:ascii="仿宋" w:hAnsi="仿宋" w:eastAsia="仿宋" w:cs="黑体"/>
          <w:b/>
          <w:color w:val="auto"/>
          <w:sz w:val="32"/>
          <w:szCs w:val="32"/>
          <w:highlight w:val="none"/>
        </w:rPr>
        <w:t>磋 商 函</w:t>
      </w:r>
      <w:bookmarkEnd w:id="156"/>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7"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7"/>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58"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58"/>
      <w:bookmarkStart w:id="159"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59"/>
    </w:p>
    <w:p>
      <w:pPr>
        <w:rPr>
          <w:color w:val="auto"/>
          <w:highlight w:val="none"/>
        </w:rPr>
      </w:pPr>
    </w:p>
    <w:p>
      <w:pPr>
        <w:pStyle w:val="23"/>
        <w:spacing w:line="440" w:lineRule="exact"/>
        <w:ind w:firstLine="840"/>
        <w:jc w:val="center"/>
        <w:rPr>
          <w:rFonts w:hint="eastAsia" w:ascii="仿宋" w:hAnsi="仿宋" w:eastAsia="仿宋"/>
          <w:color w:val="auto"/>
        </w:rPr>
      </w:pPr>
      <w:r>
        <w:rPr>
          <w:rFonts w:hint="eastAsia" w:ascii="仿宋" w:hAnsi="仿宋" w:eastAsia="仿宋" w:cs="黑体"/>
          <w:b/>
          <w:color w:val="auto"/>
          <w:sz w:val="32"/>
          <w:szCs w:val="32"/>
        </w:rPr>
        <w:t>技术响应表</w:t>
      </w:r>
      <w:r>
        <w:rPr>
          <w:rFonts w:hint="eastAsia" w:ascii="仿宋" w:hAnsi="仿宋" w:eastAsia="仿宋"/>
          <w:color w:val="auto"/>
          <w:sz w:val="24"/>
          <w:szCs w:val="24"/>
        </w:rPr>
        <w:t>(格式</w:t>
      </w:r>
      <w:r>
        <w:rPr>
          <w:rFonts w:ascii="仿宋" w:hAnsi="仿宋" w:eastAsia="仿宋"/>
          <w:color w:val="auto"/>
          <w:sz w:val="24"/>
          <w:szCs w:val="24"/>
        </w:rPr>
        <w:t>)</w:t>
      </w:r>
    </w:p>
    <w:p>
      <w:pPr>
        <w:rPr>
          <w:color w:val="auto"/>
        </w:rPr>
      </w:pPr>
    </w:p>
    <w:p>
      <w:pPr>
        <w:rPr>
          <w:color w:val="auto"/>
        </w:rPr>
      </w:pPr>
      <w:r>
        <w:rPr>
          <w:rFonts w:hint="eastAsia"/>
          <w:color w:val="auto"/>
        </w:rPr>
        <w:t>采购项目编号：</w:t>
      </w:r>
      <w:r>
        <w:rPr>
          <w:rFonts w:hint="eastAsia"/>
          <w:color w:val="auto"/>
          <w:u w:val="single"/>
        </w:rPr>
        <w:t xml:space="preserve">                 </w:t>
      </w:r>
    </w:p>
    <w:p>
      <w:pPr>
        <w:rPr>
          <w:color w:val="auto"/>
        </w:rPr>
      </w:pPr>
      <w:r>
        <w:rPr>
          <w:rFonts w:hint="eastAsia"/>
          <w:color w:val="auto"/>
        </w:rPr>
        <w:t>采购项目名称：</w:t>
      </w:r>
      <w:r>
        <w:rPr>
          <w:rFonts w:hint="eastAsia"/>
          <w:color w:val="auto"/>
          <w:u w:val="single"/>
        </w:rPr>
        <w:t xml:space="preserve">                 </w:t>
      </w:r>
    </w:p>
    <w:tbl>
      <w:tblPr>
        <w:tblStyle w:val="36"/>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rPr>
                <w:color w:val="auto"/>
              </w:rPr>
            </w:pPr>
            <w:r>
              <w:rPr>
                <w:rFonts w:hint="eastAsia"/>
                <w:color w:val="auto"/>
              </w:rPr>
              <w:t>序号</w:t>
            </w:r>
          </w:p>
        </w:tc>
        <w:tc>
          <w:tcPr>
            <w:tcW w:w="1480" w:type="dxa"/>
            <w:vAlign w:val="center"/>
          </w:tcPr>
          <w:p>
            <w:pPr>
              <w:jc w:val="center"/>
              <w:rPr>
                <w:color w:val="auto"/>
              </w:rPr>
            </w:pPr>
            <w:r>
              <w:rPr>
                <w:rFonts w:hint="eastAsia"/>
                <w:color w:val="auto"/>
              </w:rPr>
              <w:t>标的名称</w:t>
            </w:r>
          </w:p>
        </w:tc>
        <w:tc>
          <w:tcPr>
            <w:tcW w:w="2835" w:type="dxa"/>
            <w:vAlign w:val="center"/>
          </w:tcPr>
          <w:p>
            <w:pPr>
              <w:jc w:val="center"/>
              <w:rPr>
                <w:color w:val="auto"/>
              </w:rPr>
            </w:pPr>
            <w:r>
              <w:rPr>
                <w:rFonts w:hint="eastAsia"/>
                <w:color w:val="auto"/>
              </w:rPr>
              <w:t>竞争性</w:t>
            </w:r>
            <w:r>
              <w:rPr>
                <w:rFonts w:hint="eastAsia"/>
                <w:color w:val="auto"/>
                <w:lang w:val="en-US" w:eastAsia="zh-CN"/>
              </w:rPr>
              <w:t>磋商</w:t>
            </w:r>
            <w:r>
              <w:rPr>
                <w:rFonts w:hint="eastAsia"/>
                <w:color w:val="auto"/>
              </w:rPr>
              <w:t>采购文件要求</w:t>
            </w:r>
          </w:p>
        </w:tc>
        <w:tc>
          <w:tcPr>
            <w:tcW w:w="2268" w:type="dxa"/>
            <w:vAlign w:val="center"/>
          </w:tcPr>
          <w:p>
            <w:pPr>
              <w:jc w:val="center"/>
              <w:rPr>
                <w:color w:val="auto"/>
              </w:rPr>
            </w:pPr>
            <w:r>
              <w:rPr>
                <w:rFonts w:hint="eastAsia"/>
                <w:color w:val="auto"/>
              </w:rPr>
              <w:t>响应文件具体响应</w:t>
            </w:r>
          </w:p>
        </w:tc>
        <w:tc>
          <w:tcPr>
            <w:tcW w:w="1418" w:type="dxa"/>
            <w:vAlign w:val="center"/>
          </w:tcPr>
          <w:p>
            <w:pPr>
              <w:jc w:val="center"/>
              <w:rPr>
                <w:color w:val="auto"/>
              </w:rPr>
            </w:pPr>
            <w:r>
              <w:rPr>
                <w:rFonts w:hint="eastAsia"/>
                <w:color w:val="auto"/>
              </w:rPr>
              <w:t>响应/偏离</w:t>
            </w:r>
          </w:p>
        </w:tc>
        <w:tc>
          <w:tcPr>
            <w:tcW w:w="709" w:type="dxa"/>
            <w:vAlign w:val="center"/>
          </w:tcPr>
          <w:p>
            <w:pPr>
              <w:jc w:val="center"/>
              <w:rPr>
                <w:color w:val="auto"/>
              </w:rPr>
            </w:pPr>
            <w:r>
              <w:rPr>
                <w:rFonts w:hint="eastAsia"/>
                <w:color w:val="auto"/>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1</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vAlign w:val="center"/>
          </w:tcPr>
          <w:p>
            <w:pPr>
              <w:rPr>
                <w:color w:val="auto"/>
              </w:rPr>
            </w:pPr>
          </w:p>
        </w:tc>
        <w:tc>
          <w:tcPr>
            <w:tcW w:w="70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2</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vAlign w:val="center"/>
          </w:tcPr>
          <w:p>
            <w:pPr>
              <w:rPr>
                <w:color w:val="auto"/>
              </w:rPr>
            </w:pPr>
          </w:p>
        </w:tc>
        <w:tc>
          <w:tcPr>
            <w:tcW w:w="70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3</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vAlign w:val="center"/>
          </w:tcPr>
          <w:p>
            <w:pPr>
              <w:rPr>
                <w:color w:val="auto"/>
              </w:rPr>
            </w:pPr>
          </w:p>
        </w:tc>
        <w:tc>
          <w:tcPr>
            <w:tcW w:w="70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4</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vAlign w:val="center"/>
          </w:tcPr>
          <w:p>
            <w:pPr>
              <w:rPr>
                <w:color w:val="auto"/>
              </w:rPr>
            </w:pPr>
          </w:p>
        </w:tc>
        <w:tc>
          <w:tcPr>
            <w:tcW w:w="70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5</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vAlign w:val="center"/>
          </w:tcPr>
          <w:p>
            <w:pPr>
              <w:rPr>
                <w:color w:val="auto"/>
              </w:rPr>
            </w:pPr>
          </w:p>
        </w:tc>
        <w:tc>
          <w:tcPr>
            <w:tcW w:w="70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rPr>
                <w:color w:val="auto"/>
              </w:rPr>
            </w:pPr>
            <w:r>
              <w:rPr>
                <w:rFonts w:hint="eastAsia"/>
                <w:color w:val="auto"/>
              </w:rPr>
              <w:t>…</w:t>
            </w:r>
          </w:p>
        </w:tc>
        <w:tc>
          <w:tcPr>
            <w:tcW w:w="1480" w:type="dxa"/>
            <w:vAlign w:val="center"/>
          </w:tcPr>
          <w:p>
            <w:pPr>
              <w:rPr>
                <w:color w:val="auto"/>
              </w:rPr>
            </w:pPr>
          </w:p>
        </w:tc>
        <w:tc>
          <w:tcPr>
            <w:tcW w:w="2835" w:type="dxa"/>
            <w:vAlign w:val="center"/>
          </w:tcPr>
          <w:p>
            <w:pPr>
              <w:rPr>
                <w:color w:val="auto"/>
              </w:rPr>
            </w:pPr>
          </w:p>
        </w:tc>
        <w:tc>
          <w:tcPr>
            <w:tcW w:w="2268" w:type="dxa"/>
            <w:vAlign w:val="center"/>
          </w:tcPr>
          <w:p>
            <w:pPr>
              <w:rPr>
                <w:color w:val="auto"/>
              </w:rPr>
            </w:pPr>
          </w:p>
        </w:tc>
        <w:tc>
          <w:tcPr>
            <w:tcW w:w="1418" w:type="dxa"/>
            <w:tcBorders>
              <w:right w:val="single" w:color="auto" w:sz="4" w:space="0"/>
            </w:tcBorders>
            <w:vAlign w:val="center"/>
          </w:tcPr>
          <w:p>
            <w:pPr>
              <w:rPr>
                <w:color w:val="auto"/>
              </w:rPr>
            </w:pPr>
          </w:p>
        </w:tc>
        <w:tc>
          <w:tcPr>
            <w:tcW w:w="709" w:type="dxa"/>
            <w:tcBorders>
              <w:left w:val="single" w:color="auto" w:sz="4" w:space="0"/>
            </w:tcBorders>
            <w:vAlign w:val="center"/>
          </w:tcPr>
          <w:p>
            <w:pPr>
              <w:rPr>
                <w:color w:val="auto"/>
              </w:rPr>
            </w:pPr>
          </w:p>
        </w:tc>
      </w:tr>
    </w:tbl>
    <w:p>
      <w:pPr>
        <w:pStyle w:val="20"/>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w:t>
      </w:r>
      <w:r>
        <w:rPr>
          <w:rFonts w:hint="eastAsia" w:ascii="宋体" w:hAnsi="宋体" w:eastAsia="宋体"/>
          <w:color w:val="auto"/>
          <w:sz w:val="21"/>
          <w:szCs w:val="21"/>
          <w:lang w:val="en-US" w:eastAsia="zh-CN"/>
        </w:rPr>
        <w:t>磋商</w:t>
      </w:r>
      <w:r>
        <w:rPr>
          <w:rFonts w:hint="eastAsia" w:ascii="宋体" w:hAnsi="宋体" w:eastAsia="宋体"/>
          <w:color w:val="auto"/>
          <w:sz w:val="21"/>
          <w:szCs w:val="21"/>
        </w:rPr>
        <w:t>采购文件第二章《项目需求》，逐条说明所提供货物和服务对项目需求中货物的</w:t>
      </w:r>
      <w:bookmarkStart w:id="160" w:name="_Hlk92703260"/>
      <w:r>
        <w:rPr>
          <w:rFonts w:hint="eastAsia" w:ascii="宋体" w:hAnsi="宋体" w:eastAsia="宋体"/>
          <w:color w:val="auto"/>
          <w:sz w:val="21"/>
          <w:szCs w:val="21"/>
        </w:rPr>
        <w:t>技术参数及其性能（规格）</w:t>
      </w:r>
      <w:bookmarkEnd w:id="160"/>
      <w:r>
        <w:rPr>
          <w:rFonts w:hint="eastAsia" w:ascii="宋体" w:hAnsi="宋体" w:eastAsia="宋体"/>
          <w:color w:val="auto"/>
          <w:sz w:val="21"/>
          <w:szCs w:val="21"/>
        </w:rPr>
        <w:t>及服务要求作出的响应，并申明偏离情况。对有具体参数要求的指标，供应商须提供所供设备</w:t>
      </w:r>
      <w:r>
        <w:rPr>
          <w:rFonts w:hint="eastAsia" w:ascii="宋体" w:hAnsi="宋体" w:eastAsia="宋体"/>
          <w:color w:val="auto"/>
          <w:sz w:val="21"/>
          <w:szCs w:val="21"/>
          <w:lang w:val="en-US" w:eastAsia="zh-CN"/>
        </w:rPr>
        <w:t>或服务</w:t>
      </w:r>
      <w:r>
        <w:rPr>
          <w:rFonts w:hint="eastAsia" w:ascii="宋体" w:hAnsi="宋体" w:eastAsia="宋体"/>
          <w:color w:val="auto"/>
          <w:sz w:val="21"/>
          <w:szCs w:val="21"/>
        </w:rPr>
        <w:t>的具体技术参数及其性能（规格）。</w:t>
      </w:r>
    </w:p>
    <w:p>
      <w:pPr>
        <w:pStyle w:val="20"/>
        <w:spacing w:line="300" w:lineRule="auto"/>
        <w:ind w:firstLine="0" w:firstLineChars="0"/>
        <w:rPr>
          <w:rFonts w:hint="eastAsia" w:ascii="宋体" w:hAnsi="宋体" w:eastAsia="宋体"/>
          <w:color w:val="auto"/>
          <w:sz w:val="21"/>
          <w:szCs w:val="21"/>
        </w:rPr>
      </w:pPr>
    </w:p>
    <w:p>
      <w:pPr>
        <w:pStyle w:val="23"/>
        <w:spacing w:line="300" w:lineRule="auto"/>
        <w:rPr>
          <w:rFonts w:hint="eastAsia" w:hAnsi="宋体"/>
          <w:color w:val="auto"/>
        </w:rPr>
      </w:pPr>
    </w:p>
    <w:p>
      <w:pPr>
        <w:pStyle w:val="23"/>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pStyle w:val="23"/>
        <w:spacing w:line="300" w:lineRule="auto"/>
        <w:ind w:firstLine="5880" w:firstLineChars="2800"/>
        <w:rPr>
          <w:rFonts w:hint="eastAsia" w:hAnsi="宋体"/>
          <w:color w:val="auto"/>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pStyle w:val="2"/>
        <w:rPr>
          <w:color w:val="auto"/>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01"/>
        <w:gridCol w:w="2003"/>
        <w:gridCol w:w="119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60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2003" w:type="dxa"/>
            <w:vAlign w:val="center"/>
          </w:tcPr>
          <w:p>
            <w:pPr>
              <w:autoSpaceDE w:val="0"/>
              <w:autoSpaceDN w:val="0"/>
              <w:adjustRightInd w:val="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性别</w:t>
            </w:r>
          </w:p>
        </w:tc>
        <w:tc>
          <w:tcPr>
            <w:tcW w:w="119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402"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601" w:type="dxa"/>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w:t>
      </w:r>
      <w:r>
        <w:rPr>
          <w:rFonts w:hint="eastAsia" w:ascii="宋体" w:hAnsi="宋体"/>
          <w:bCs/>
          <w:color w:val="auto"/>
          <w:highlight w:val="none"/>
          <w:lang w:val="en-US" w:eastAsia="zh-CN"/>
        </w:rPr>
        <w:t>性别、</w:t>
      </w:r>
      <w:r>
        <w:rPr>
          <w:rFonts w:hint="eastAsia" w:ascii="宋体" w:hAnsi="宋体"/>
          <w:bCs/>
          <w:color w:val="auto"/>
          <w:highlight w:val="none"/>
        </w:rPr>
        <w:t>岗位、职称等证明材料。</w:t>
      </w: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99"/>
        <w:rPr>
          <w:rFonts w:hint="eastAsia" w:ascii="宋体" w:hAnsi="宋体" w:cs="宋体"/>
          <w:color w:val="auto"/>
          <w:sz w:val="21"/>
          <w:szCs w:val="21"/>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snapToGrid w:val="0"/>
        <w:spacing w:before="50" w:line="400" w:lineRule="exact"/>
        <w:ind w:firstLine="420" w:firstLineChars="200"/>
        <w:jc w:val="left"/>
        <w:rPr>
          <w:rFonts w:hint="eastAsia" w:ascii="宋体" w:hAnsi="宋体" w:cs="宋体"/>
          <w:color w:val="auto"/>
          <w:szCs w:val="21"/>
          <w:highlight w:val="none"/>
        </w:rPr>
      </w:pPr>
    </w:p>
    <w:tbl>
      <w:tblPr>
        <w:tblStyle w:val="36"/>
        <w:tblW w:w="83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6"/>
        <w:gridCol w:w="1233"/>
        <w:gridCol w:w="1029"/>
        <w:gridCol w:w="1477"/>
        <w:gridCol w:w="1295"/>
        <w:gridCol w:w="934"/>
        <w:gridCol w:w="1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6"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23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名称</w:t>
            </w:r>
          </w:p>
        </w:tc>
        <w:tc>
          <w:tcPr>
            <w:tcW w:w="1029"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品牌及型号</w:t>
            </w:r>
          </w:p>
        </w:tc>
        <w:tc>
          <w:tcPr>
            <w:tcW w:w="1477" w:type="dxa"/>
            <w:vAlign w:val="center"/>
          </w:tcPr>
          <w:p>
            <w:pPr>
              <w:adjustRightInd w:val="0"/>
              <w:snapToGrid w:val="0"/>
              <w:jc w:val="center"/>
              <w:rPr>
                <w:rFonts w:hint="eastAsia" w:ascii="宋体" w:hAnsi="宋体" w:cs="宋体"/>
                <w:b/>
                <w:color w:val="auto"/>
                <w:szCs w:val="21"/>
                <w:highlight w:val="none"/>
              </w:rPr>
            </w:pPr>
            <w:r>
              <w:rPr>
                <w:rFonts w:hint="eastAsia" w:ascii="宋体" w:hAnsi="宋体" w:cs="宋体"/>
                <w:bCs/>
                <w:color w:val="auto"/>
                <w:szCs w:val="21"/>
                <w:highlight w:val="none"/>
              </w:rPr>
              <w:t>主要技术性能、参数</w:t>
            </w:r>
          </w:p>
        </w:tc>
        <w:tc>
          <w:tcPr>
            <w:tcW w:w="1295"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生产厂家</w:t>
            </w:r>
          </w:p>
        </w:tc>
        <w:tc>
          <w:tcPr>
            <w:tcW w:w="934"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144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用途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 w:hRule="atLeast"/>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6"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233" w:type="dxa"/>
            <w:vAlign w:val="center"/>
          </w:tcPr>
          <w:p>
            <w:pPr>
              <w:spacing w:line="480" w:lineRule="auto"/>
              <w:jc w:val="center"/>
              <w:rPr>
                <w:rFonts w:hint="eastAsia" w:ascii="宋体" w:hAnsi="宋体" w:cs="宋体"/>
                <w:bCs/>
                <w:color w:val="auto"/>
                <w:szCs w:val="21"/>
                <w:highlight w:val="none"/>
              </w:rPr>
            </w:pPr>
          </w:p>
        </w:tc>
        <w:tc>
          <w:tcPr>
            <w:tcW w:w="1029" w:type="dxa"/>
            <w:vAlign w:val="center"/>
          </w:tcPr>
          <w:p>
            <w:pPr>
              <w:spacing w:line="480" w:lineRule="auto"/>
              <w:jc w:val="center"/>
              <w:rPr>
                <w:rFonts w:hint="eastAsia" w:ascii="宋体" w:hAnsi="宋体" w:cs="宋体"/>
                <w:bCs/>
                <w:color w:val="auto"/>
                <w:szCs w:val="21"/>
                <w:highlight w:val="none"/>
              </w:rPr>
            </w:pPr>
          </w:p>
        </w:tc>
        <w:tc>
          <w:tcPr>
            <w:tcW w:w="1477" w:type="dxa"/>
            <w:vAlign w:val="center"/>
          </w:tcPr>
          <w:p>
            <w:pPr>
              <w:spacing w:line="480" w:lineRule="auto"/>
              <w:jc w:val="center"/>
              <w:rPr>
                <w:rFonts w:hint="eastAsia" w:ascii="宋体" w:hAnsi="宋体" w:cs="宋体"/>
                <w:bCs/>
                <w:color w:val="auto"/>
                <w:szCs w:val="21"/>
                <w:highlight w:val="none"/>
              </w:rPr>
            </w:pPr>
          </w:p>
        </w:tc>
        <w:tc>
          <w:tcPr>
            <w:tcW w:w="1295" w:type="dxa"/>
            <w:vAlign w:val="center"/>
          </w:tcPr>
          <w:p>
            <w:pPr>
              <w:spacing w:line="480" w:lineRule="auto"/>
              <w:jc w:val="center"/>
              <w:rPr>
                <w:rFonts w:hint="eastAsia" w:ascii="宋体" w:hAnsi="宋体" w:cs="宋体"/>
                <w:bCs/>
                <w:color w:val="auto"/>
                <w:szCs w:val="21"/>
                <w:highlight w:val="none"/>
              </w:rPr>
            </w:pPr>
          </w:p>
        </w:tc>
        <w:tc>
          <w:tcPr>
            <w:tcW w:w="934" w:type="dxa"/>
            <w:vAlign w:val="center"/>
          </w:tcPr>
          <w:p>
            <w:pPr>
              <w:spacing w:line="480" w:lineRule="auto"/>
              <w:jc w:val="center"/>
              <w:rPr>
                <w:rFonts w:hint="eastAsia" w:ascii="宋体" w:hAnsi="宋体" w:cs="宋体"/>
                <w:bCs/>
                <w:color w:val="auto"/>
                <w:szCs w:val="21"/>
                <w:highlight w:val="none"/>
              </w:rPr>
            </w:pPr>
          </w:p>
        </w:tc>
        <w:tc>
          <w:tcPr>
            <w:tcW w:w="1443" w:type="dxa"/>
          </w:tcPr>
          <w:p>
            <w:pPr>
              <w:spacing w:line="480" w:lineRule="auto"/>
              <w:jc w:val="center"/>
              <w:rPr>
                <w:rFonts w:hint="eastAsia" w:ascii="宋体" w:hAnsi="宋体" w:cs="宋体"/>
                <w:bCs/>
                <w:color w:val="auto"/>
                <w:szCs w:val="21"/>
                <w:highlight w:val="none"/>
              </w:rPr>
            </w:pPr>
          </w:p>
        </w:tc>
      </w:tr>
    </w:tbl>
    <w:p>
      <w:pPr>
        <w:snapToGrid w:val="0"/>
        <w:spacing w:before="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注：1.由供应商根据本项目采购需求填写；</w:t>
      </w:r>
    </w:p>
    <w:p>
      <w:pPr>
        <w:snapToGrid w:val="0"/>
        <w:spacing w:before="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2.如本表不适用，供应商可自行制表填写。</w:t>
      </w:r>
    </w:p>
    <w:p>
      <w:pPr>
        <w:rPr>
          <w:color w:val="auto"/>
          <w:highlight w:val="none"/>
        </w:rPr>
      </w:pPr>
    </w:p>
    <w:p>
      <w:pPr>
        <w:rPr>
          <w:color w:val="auto"/>
          <w:highlight w:val="none"/>
        </w:rPr>
      </w:pPr>
    </w:p>
    <w:p>
      <w:pPr>
        <w:spacing w:line="400" w:lineRule="exact"/>
        <w:ind w:left="6092" w:leftChars="2498" w:right="592" w:rightChars="282" w:hanging="846" w:hangingChars="403"/>
        <w:jc w:val="left"/>
        <w:rPr>
          <w:rFonts w:hint="eastAsia" w:ascii="宋体" w:hAnsi="宋体"/>
          <w:bCs/>
          <w:color w:val="auto"/>
          <w:highlight w:val="none"/>
        </w:rPr>
      </w:pPr>
      <w:r>
        <w:rPr>
          <w:rFonts w:hint="eastAsia" w:ascii="宋体" w:hAnsi="宋体" w:cs="宋体"/>
          <w:color w:val="auto"/>
          <w:szCs w:val="21"/>
          <w:highlight w:val="none"/>
        </w:rPr>
        <w:t xml:space="preserve">        </w:t>
      </w:r>
      <w:bookmarkEnd w:id="50"/>
      <w:bookmarkEnd w:id="51"/>
      <w:bookmarkEnd w:id="52"/>
      <w:bookmarkEnd w:id="53"/>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20" w:lineRule="exact"/>
        <w:ind w:left="-2" w:leftChars="-1" w:right="-817" w:rightChars="-389" w:firstLine="4305" w:firstLineChars="2050"/>
        <w:rPr>
          <w:color w:val="auto"/>
          <w:highlight w:val="none"/>
        </w:rPr>
      </w:pPr>
    </w:p>
    <w:p>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业绩情况一览表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6"/>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8"/>
        <w:gridCol w:w="2948"/>
        <w:gridCol w:w="3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甲方名称</w:t>
            </w: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bl>
    <w:p>
      <w:pPr>
        <w:spacing w:line="340" w:lineRule="exact"/>
        <w:ind w:firstLine="422" w:firstLineChars="200"/>
        <w:rPr>
          <w:b/>
          <w:color w:val="auto"/>
          <w:szCs w:val="21"/>
          <w:highlight w:val="none"/>
        </w:rPr>
      </w:pPr>
      <w:r>
        <w:rPr>
          <w:rFonts w:hint="eastAsia"/>
          <w:b/>
          <w:color w:val="auto"/>
          <w:szCs w:val="21"/>
          <w:highlight w:val="none"/>
        </w:rPr>
        <w:t>注：</w:t>
      </w:r>
      <w:r>
        <w:rPr>
          <w:rFonts w:hint="eastAsia"/>
          <w:color w:val="auto"/>
          <w:szCs w:val="21"/>
          <w:highlight w:val="none"/>
        </w:rPr>
        <w:t>业绩证明指</w:t>
      </w:r>
      <w:r>
        <w:rPr>
          <w:rFonts w:hint="eastAsia" w:ascii="宋体" w:hAnsi="宋体" w:cs="仿宋_GB2312"/>
          <w:color w:val="auto"/>
          <w:szCs w:val="21"/>
          <w:highlight w:val="none"/>
        </w:rPr>
        <w:t>供应商</w:t>
      </w:r>
      <w:r>
        <w:rPr>
          <w:rFonts w:ascii="宋体" w:hAnsi="宋体" w:cs="仿宋_GB2312"/>
          <w:color w:val="auto"/>
          <w:szCs w:val="21"/>
          <w:highlight w:val="none"/>
        </w:rPr>
        <w:t>自</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r>
        <w:rPr>
          <w:rFonts w:ascii="宋体" w:hAnsi="宋体" w:cs="仿宋_GB2312"/>
          <w:color w:val="auto"/>
          <w:szCs w:val="21"/>
          <w:highlight w:val="none"/>
        </w:rPr>
        <w:t>以来</w:t>
      </w:r>
      <w:r>
        <w:rPr>
          <w:rFonts w:hint="eastAsia" w:ascii="宋体" w:hAnsi="宋体" w:cs="仿宋_GB2312"/>
          <w:color w:val="auto"/>
          <w:szCs w:val="21"/>
          <w:highlight w:val="none"/>
        </w:rPr>
        <w:t>的同类项目证明材料</w:t>
      </w:r>
      <w:r>
        <w:rPr>
          <w:rFonts w:hint="eastAsia"/>
          <w:bCs/>
          <w:color w:val="auto"/>
          <w:szCs w:val="21"/>
          <w:highlight w:val="none"/>
        </w:rPr>
        <w:t>。</w:t>
      </w:r>
    </w:p>
    <w:p>
      <w:pPr>
        <w:rPr>
          <w:color w:val="auto"/>
          <w:highlight w:val="none"/>
        </w:rPr>
      </w:pPr>
    </w:p>
    <w:p>
      <w:pPr>
        <w:rPr>
          <w:color w:val="auto"/>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50" w:lineRule="exact"/>
        <w:ind w:right="-817" w:rightChars="-389"/>
        <w:rPr>
          <w:color w:val="auto"/>
          <w:highlight w:val="none"/>
        </w:rPr>
      </w:pPr>
      <w:r>
        <w:rPr>
          <w:color w:val="auto"/>
          <w:highlight w:val="none"/>
        </w:rPr>
        <w:br w:type="page"/>
      </w:r>
    </w:p>
    <w:p>
      <w:pPr>
        <w:spacing w:line="320" w:lineRule="exact"/>
        <w:jc w:val="left"/>
        <w:rPr>
          <w:color w:val="auto"/>
          <w:highlight w:val="none"/>
        </w:rPr>
      </w:pP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6"/>
          <w:jc w:val="center"/>
        </w:pPr>
        <w:r>
          <w:fldChar w:fldCharType="begin"/>
        </w:r>
        <w:r>
          <w:instrText xml:space="preserve">PAGE   \* MERGEFORMAT</w:instrText>
        </w:r>
        <w:r>
          <w:fldChar w:fldCharType="separate"/>
        </w:r>
        <w:r>
          <w:t>2</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rPr>
      <w:t xml:space="preserve">钦州市政府采购中心               </w:t>
    </w:r>
    <w:r>
      <w:t xml:space="preserve"> </w:t>
    </w:r>
    <w:r>
      <w:rPr>
        <w:rFonts w:hint="eastAsia"/>
        <w:lang w:eastAsia="zh-CN"/>
      </w:rPr>
      <w:t>钦州市DeepSeek大模型部署、AI智能应用及配套技术服务</w:t>
    </w:r>
    <w:r>
      <w:rPr>
        <w:rFonts w:hint="eastAsia"/>
      </w:rPr>
      <w:t>(</w:t>
    </w:r>
    <w:r>
      <w:rPr>
        <w:rFonts w:hint="eastAsia"/>
        <w:lang w:eastAsia="zh-CN"/>
      </w:rPr>
      <w:t>QZZC2025-C3-990307-QZSZ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8"/>
      <w:suff w:val="nothing"/>
      <w:lvlText w:val=""/>
      <w:lvlJc w:val="left"/>
      <w:pPr>
        <w:ind w:left="142" w:firstLine="0"/>
      </w:pPr>
      <w:rPr>
        <w:rFonts w:hint="eastAsia"/>
      </w:rPr>
    </w:lvl>
    <w:lvl w:ilvl="5" w:tentative="0">
      <w:start w:val="1"/>
      <w:numFmt w:val="none"/>
      <w:pStyle w:val="10"/>
      <w:suff w:val="nothing"/>
      <w:lvlText w:val=""/>
      <w:lvlJc w:val="left"/>
      <w:pPr>
        <w:ind w:left="142" w:firstLine="0"/>
      </w:pPr>
      <w:rPr>
        <w:rFonts w:hint="eastAsia"/>
      </w:rPr>
    </w:lvl>
    <w:lvl w:ilvl="6" w:tentative="0">
      <w:start w:val="1"/>
      <w:numFmt w:val="none"/>
      <w:pStyle w:val="11"/>
      <w:suff w:val="nothing"/>
      <w:lvlText w:val=""/>
      <w:lvlJc w:val="left"/>
      <w:pPr>
        <w:ind w:left="142" w:firstLine="0"/>
      </w:pPr>
      <w:rPr>
        <w:rFonts w:hint="eastAsia"/>
      </w:rPr>
    </w:lvl>
    <w:lvl w:ilvl="7" w:tentative="0">
      <w:start w:val="1"/>
      <w:numFmt w:val="none"/>
      <w:pStyle w:val="12"/>
      <w:suff w:val="nothing"/>
      <w:lvlText w:val=""/>
      <w:lvlJc w:val="left"/>
      <w:pPr>
        <w:ind w:left="142" w:firstLine="0"/>
      </w:pPr>
      <w:rPr>
        <w:rFonts w:hint="eastAsia"/>
      </w:rPr>
    </w:lvl>
    <w:lvl w:ilvl="8" w:tentative="0">
      <w:start w:val="1"/>
      <w:numFmt w:val="none"/>
      <w:pStyle w:val="13"/>
      <w:suff w:val="nothing"/>
      <w:lvlText w:val=""/>
      <w:lvlJc w:val="left"/>
      <w:pPr>
        <w:ind w:left="142" w:firstLine="0"/>
      </w:pPr>
      <w:rPr>
        <w:rFonts w:hint="eastAsia"/>
      </w:rPr>
    </w:lvl>
  </w:abstractNum>
  <w:abstractNum w:abstractNumId="2">
    <w:nsid w:val="37F98F05"/>
    <w:multiLevelType w:val="singleLevel"/>
    <w:tmpl w:val="37F98F05"/>
    <w:lvl w:ilvl="0" w:tentative="0">
      <w:start w:val="2"/>
      <w:numFmt w:val="decimal"/>
      <w:lvlText w:val="(%1)"/>
      <w:lvlJc w:val="left"/>
      <w:pPr>
        <w:tabs>
          <w:tab w:val="left" w:pos="312"/>
        </w:tabs>
      </w:pPr>
    </w:lvl>
  </w:abstractNum>
  <w:abstractNum w:abstractNumId="3">
    <w:nsid w:val="42F05C04"/>
    <w:multiLevelType w:val="singleLevel"/>
    <w:tmpl w:val="42F05C04"/>
    <w:lvl w:ilvl="0" w:tentative="0">
      <w:start w:val="1"/>
      <w:numFmt w:val="decimal"/>
      <w:lvlText w:val="%1."/>
      <w:lvlJc w:val="left"/>
      <w:pPr>
        <w:tabs>
          <w:tab w:val="left" w:pos="312"/>
        </w:tabs>
      </w:pPr>
    </w:lvl>
  </w:abstractNum>
  <w:abstractNum w:abstractNumId="4">
    <w:nsid w:val="49B796B5"/>
    <w:multiLevelType w:val="singleLevel"/>
    <w:tmpl w:val="49B796B5"/>
    <w:lvl w:ilvl="0" w:tentative="0">
      <w:start w:val="1"/>
      <w:numFmt w:val="decimal"/>
      <w:suff w:val="nothing"/>
      <w:lvlText w:val="（%1）"/>
      <w:lvlJc w:val="left"/>
    </w:lvl>
  </w:abstractNum>
  <w:abstractNum w:abstractNumId="5">
    <w:nsid w:val="7A366E8E"/>
    <w:multiLevelType w:val="singleLevel"/>
    <w:tmpl w:val="7A366E8E"/>
    <w:lvl w:ilvl="0" w:tentative="0">
      <w:start w:val="1"/>
      <w:numFmt w:val="decimal"/>
      <w:lvlText w:val="%1."/>
      <w:lvlJc w:val="left"/>
      <w:pPr>
        <w:tabs>
          <w:tab w:val="left" w:pos="312"/>
        </w:tabs>
        <w:ind w:left="105" w:leftChars="0" w:firstLine="0" w:firstLineChars="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13141D"/>
    <w:rsid w:val="02222CAB"/>
    <w:rsid w:val="02491AB4"/>
    <w:rsid w:val="0256548E"/>
    <w:rsid w:val="027345B1"/>
    <w:rsid w:val="02890D36"/>
    <w:rsid w:val="029370C7"/>
    <w:rsid w:val="029B0E51"/>
    <w:rsid w:val="02BD75DA"/>
    <w:rsid w:val="02D7069C"/>
    <w:rsid w:val="02FF41F8"/>
    <w:rsid w:val="0314419D"/>
    <w:rsid w:val="038D713D"/>
    <w:rsid w:val="03AF786B"/>
    <w:rsid w:val="03D12F2D"/>
    <w:rsid w:val="03F86B1C"/>
    <w:rsid w:val="04602913"/>
    <w:rsid w:val="04E24159"/>
    <w:rsid w:val="04E81B1A"/>
    <w:rsid w:val="05097AD0"/>
    <w:rsid w:val="050A7344"/>
    <w:rsid w:val="05CC0E93"/>
    <w:rsid w:val="06443FD4"/>
    <w:rsid w:val="068273C6"/>
    <w:rsid w:val="06AF2ACB"/>
    <w:rsid w:val="06CB5095"/>
    <w:rsid w:val="06F47713"/>
    <w:rsid w:val="071C5217"/>
    <w:rsid w:val="07277E4A"/>
    <w:rsid w:val="0748600C"/>
    <w:rsid w:val="08073E22"/>
    <w:rsid w:val="083420ED"/>
    <w:rsid w:val="084A7A59"/>
    <w:rsid w:val="08822685"/>
    <w:rsid w:val="08B0222D"/>
    <w:rsid w:val="08C41BCC"/>
    <w:rsid w:val="08FA104A"/>
    <w:rsid w:val="08FA57C7"/>
    <w:rsid w:val="0983332C"/>
    <w:rsid w:val="09863BAB"/>
    <w:rsid w:val="09AA1547"/>
    <w:rsid w:val="09AA4D5C"/>
    <w:rsid w:val="09B63701"/>
    <w:rsid w:val="09E85885"/>
    <w:rsid w:val="0A20501F"/>
    <w:rsid w:val="0A344626"/>
    <w:rsid w:val="0A765FB8"/>
    <w:rsid w:val="0A814349"/>
    <w:rsid w:val="0AED6133"/>
    <w:rsid w:val="0AF8308E"/>
    <w:rsid w:val="0BB04180"/>
    <w:rsid w:val="0BC22AFC"/>
    <w:rsid w:val="0BCF2858"/>
    <w:rsid w:val="0BD55995"/>
    <w:rsid w:val="0BF91683"/>
    <w:rsid w:val="0C006EB6"/>
    <w:rsid w:val="0C483CB5"/>
    <w:rsid w:val="0C5F0057"/>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10036F74"/>
    <w:rsid w:val="101500B2"/>
    <w:rsid w:val="10507C42"/>
    <w:rsid w:val="105A7962"/>
    <w:rsid w:val="109C3C4F"/>
    <w:rsid w:val="10E36DA6"/>
    <w:rsid w:val="114F5A7F"/>
    <w:rsid w:val="11513D10"/>
    <w:rsid w:val="115C57C9"/>
    <w:rsid w:val="11692E07"/>
    <w:rsid w:val="116A4DD1"/>
    <w:rsid w:val="117143B2"/>
    <w:rsid w:val="117F087D"/>
    <w:rsid w:val="11AE4CBE"/>
    <w:rsid w:val="11C40985"/>
    <w:rsid w:val="11F62C07"/>
    <w:rsid w:val="11FA08A7"/>
    <w:rsid w:val="124F3295"/>
    <w:rsid w:val="12D44BF8"/>
    <w:rsid w:val="13737B75"/>
    <w:rsid w:val="138403CC"/>
    <w:rsid w:val="13B43E61"/>
    <w:rsid w:val="13CE5AEB"/>
    <w:rsid w:val="13DD5026"/>
    <w:rsid w:val="13F84916"/>
    <w:rsid w:val="147719A1"/>
    <w:rsid w:val="14891625"/>
    <w:rsid w:val="148C1946"/>
    <w:rsid w:val="14B8240A"/>
    <w:rsid w:val="1527796B"/>
    <w:rsid w:val="154C7218"/>
    <w:rsid w:val="15677C26"/>
    <w:rsid w:val="16323F16"/>
    <w:rsid w:val="165A3666"/>
    <w:rsid w:val="167F30CD"/>
    <w:rsid w:val="16826719"/>
    <w:rsid w:val="16E80C72"/>
    <w:rsid w:val="17016D2B"/>
    <w:rsid w:val="172A3039"/>
    <w:rsid w:val="17707100"/>
    <w:rsid w:val="17853822"/>
    <w:rsid w:val="17E06C0C"/>
    <w:rsid w:val="183343B1"/>
    <w:rsid w:val="18947263"/>
    <w:rsid w:val="18992D98"/>
    <w:rsid w:val="18B01F9D"/>
    <w:rsid w:val="18BF3C55"/>
    <w:rsid w:val="18D47700"/>
    <w:rsid w:val="196C5A40"/>
    <w:rsid w:val="198463D0"/>
    <w:rsid w:val="19BE215E"/>
    <w:rsid w:val="19BE3F0C"/>
    <w:rsid w:val="19C2556A"/>
    <w:rsid w:val="19C41B53"/>
    <w:rsid w:val="1A1A2CBB"/>
    <w:rsid w:val="1A2608F3"/>
    <w:rsid w:val="1A2C356C"/>
    <w:rsid w:val="1A336B23"/>
    <w:rsid w:val="1A6A51B6"/>
    <w:rsid w:val="1B1C0EEA"/>
    <w:rsid w:val="1B7A20B5"/>
    <w:rsid w:val="1B8A05B1"/>
    <w:rsid w:val="1B9C202B"/>
    <w:rsid w:val="1BAF1D5E"/>
    <w:rsid w:val="1BCD57AB"/>
    <w:rsid w:val="1C0E1A98"/>
    <w:rsid w:val="1C444B9D"/>
    <w:rsid w:val="1C490289"/>
    <w:rsid w:val="1C5E5533"/>
    <w:rsid w:val="1C6F4FB4"/>
    <w:rsid w:val="1C885017"/>
    <w:rsid w:val="1CA6768D"/>
    <w:rsid w:val="1CB331B1"/>
    <w:rsid w:val="1CB735C0"/>
    <w:rsid w:val="1CDB5968"/>
    <w:rsid w:val="1CDC20BC"/>
    <w:rsid w:val="1CE70364"/>
    <w:rsid w:val="1D1F6145"/>
    <w:rsid w:val="1D4F1A4B"/>
    <w:rsid w:val="1D540E0F"/>
    <w:rsid w:val="1D54432D"/>
    <w:rsid w:val="1D9425D3"/>
    <w:rsid w:val="1DB60C13"/>
    <w:rsid w:val="1E2D620F"/>
    <w:rsid w:val="1E422931"/>
    <w:rsid w:val="1E8F7C25"/>
    <w:rsid w:val="1EB65B04"/>
    <w:rsid w:val="1F5E4382"/>
    <w:rsid w:val="1F8F2FC4"/>
    <w:rsid w:val="1FA31BDA"/>
    <w:rsid w:val="1FF24910"/>
    <w:rsid w:val="20174376"/>
    <w:rsid w:val="20325EC0"/>
    <w:rsid w:val="203B0065"/>
    <w:rsid w:val="20621846"/>
    <w:rsid w:val="208244E5"/>
    <w:rsid w:val="210F451A"/>
    <w:rsid w:val="212154AC"/>
    <w:rsid w:val="215A09BE"/>
    <w:rsid w:val="21BD09EA"/>
    <w:rsid w:val="21C734F7"/>
    <w:rsid w:val="21D2510C"/>
    <w:rsid w:val="22B60C01"/>
    <w:rsid w:val="231879A1"/>
    <w:rsid w:val="239A46F7"/>
    <w:rsid w:val="239D141A"/>
    <w:rsid w:val="23C15E1B"/>
    <w:rsid w:val="23CB7951"/>
    <w:rsid w:val="24005895"/>
    <w:rsid w:val="24030E99"/>
    <w:rsid w:val="2411343C"/>
    <w:rsid w:val="24170DE9"/>
    <w:rsid w:val="24213A15"/>
    <w:rsid w:val="249B1639"/>
    <w:rsid w:val="249F6523"/>
    <w:rsid w:val="250839C8"/>
    <w:rsid w:val="25B84A72"/>
    <w:rsid w:val="25C44DD5"/>
    <w:rsid w:val="26062EC3"/>
    <w:rsid w:val="2699467B"/>
    <w:rsid w:val="26B50755"/>
    <w:rsid w:val="26C1503C"/>
    <w:rsid w:val="26CA35AD"/>
    <w:rsid w:val="26D11723"/>
    <w:rsid w:val="27541A0C"/>
    <w:rsid w:val="27C351B9"/>
    <w:rsid w:val="27CC3C98"/>
    <w:rsid w:val="27DC6979"/>
    <w:rsid w:val="2816462F"/>
    <w:rsid w:val="28B1694E"/>
    <w:rsid w:val="28BC0562"/>
    <w:rsid w:val="28D4148C"/>
    <w:rsid w:val="2939535D"/>
    <w:rsid w:val="29437F8A"/>
    <w:rsid w:val="29747D10"/>
    <w:rsid w:val="29787C34"/>
    <w:rsid w:val="29EE3795"/>
    <w:rsid w:val="2A2D713F"/>
    <w:rsid w:val="2A423861"/>
    <w:rsid w:val="2A63541A"/>
    <w:rsid w:val="2A8F5EDF"/>
    <w:rsid w:val="2AA84B6D"/>
    <w:rsid w:val="2ABF0192"/>
    <w:rsid w:val="2AFB6893"/>
    <w:rsid w:val="2B844FB6"/>
    <w:rsid w:val="2B9176D3"/>
    <w:rsid w:val="2B937D0B"/>
    <w:rsid w:val="2BE90905"/>
    <w:rsid w:val="2C0C6D59"/>
    <w:rsid w:val="2C901D59"/>
    <w:rsid w:val="2D4B38B1"/>
    <w:rsid w:val="2DA55B88"/>
    <w:rsid w:val="2E1E06B9"/>
    <w:rsid w:val="2E786928"/>
    <w:rsid w:val="2EB61B31"/>
    <w:rsid w:val="2EE251D7"/>
    <w:rsid w:val="2EF8259B"/>
    <w:rsid w:val="2EFC30B5"/>
    <w:rsid w:val="2F064E19"/>
    <w:rsid w:val="2F2954D5"/>
    <w:rsid w:val="2F5F095E"/>
    <w:rsid w:val="2F665BC2"/>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F2079F"/>
    <w:rsid w:val="32DE1F01"/>
    <w:rsid w:val="32FD283D"/>
    <w:rsid w:val="331630E9"/>
    <w:rsid w:val="33577CFD"/>
    <w:rsid w:val="335F6FD7"/>
    <w:rsid w:val="34087045"/>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CB5D1A"/>
    <w:rsid w:val="37F15055"/>
    <w:rsid w:val="3859271F"/>
    <w:rsid w:val="38673C95"/>
    <w:rsid w:val="38733E42"/>
    <w:rsid w:val="38C2712E"/>
    <w:rsid w:val="38E2156D"/>
    <w:rsid w:val="394F0285"/>
    <w:rsid w:val="39A62C24"/>
    <w:rsid w:val="39DF7ECE"/>
    <w:rsid w:val="3A0A0D7C"/>
    <w:rsid w:val="3A29797A"/>
    <w:rsid w:val="3A3E409C"/>
    <w:rsid w:val="3A5B7D04"/>
    <w:rsid w:val="3A8221F6"/>
    <w:rsid w:val="3A993EAE"/>
    <w:rsid w:val="3AAC1E33"/>
    <w:rsid w:val="3ABB3E24"/>
    <w:rsid w:val="3AC53AEC"/>
    <w:rsid w:val="3AF22BC1"/>
    <w:rsid w:val="3AFB781A"/>
    <w:rsid w:val="3B1D351E"/>
    <w:rsid w:val="3B2575DE"/>
    <w:rsid w:val="3B2714BA"/>
    <w:rsid w:val="3B365BA1"/>
    <w:rsid w:val="3B60677A"/>
    <w:rsid w:val="3B941916"/>
    <w:rsid w:val="3BAC19BF"/>
    <w:rsid w:val="3C682428"/>
    <w:rsid w:val="3D3222CC"/>
    <w:rsid w:val="3D417B8C"/>
    <w:rsid w:val="3D4402AC"/>
    <w:rsid w:val="3D4C5F1D"/>
    <w:rsid w:val="3D803103"/>
    <w:rsid w:val="3D8D7280"/>
    <w:rsid w:val="3DDA0A65"/>
    <w:rsid w:val="3DFF671E"/>
    <w:rsid w:val="3E157CEF"/>
    <w:rsid w:val="3E1A5671"/>
    <w:rsid w:val="3E3F4B8A"/>
    <w:rsid w:val="3E3F7E22"/>
    <w:rsid w:val="3E481E73"/>
    <w:rsid w:val="3E546A69"/>
    <w:rsid w:val="3E667CEF"/>
    <w:rsid w:val="3EAB41B0"/>
    <w:rsid w:val="3ED34AA0"/>
    <w:rsid w:val="3EF73899"/>
    <w:rsid w:val="3F2A54AE"/>
    <w:rsid w:val="3F6E789D"/>
    <w:rsid w:val="3F747F0C"/>
    <w:rsid w:val="3FE04FF8"/>
    <w:rsid w:val="3FED2FEE"/>
    <w:rsid w:val="40B118C6"/>
    <w:rsid w:val="40EB11DB"/>
    <w:rsid w:val="412874F2"/>
    <w:rsid w:val="412C5A7C"/>
    <w:rsid w:val="41BD0482"/>
    <w:rsid w:val="41C73BAC"/>
    <w:rsid w:val="41FF0A9A"/>
    <w:rsid w:val="42014C57"/>
    <w:rsid w:val="42161379"/>
    <w:rsid w:val="42323CE4"/>
    <w:rsid w:val="424B1F31"/>
    <w:rsid w:val="42703746"/>
    <w:rsid w:val="429F227D"/>
    <w:rsid w:val="42AF6075"/>
    <w:rsid w:val="42CF43AB"/>
    <w:rsid w:val="42ED4D97"/>
    <w:rsid w:val="42EE6E5E"/>
    <w:rsid w:val="43204EC2"/>
    <w:rsid w:val="436E046A"/>
    <w:rsid w:val="438576C5"/>
    <w:rsid w:val="43AD2778"/>
    <w:rsid w:val="43C845C3"/>
    <w:rsid w:val="43E837B0"/>
    <w:rsid w:val="43FE2FD4"/>
    <w:rsid w:val="44374DE9"/>
    <w:rsid w:val="449B73E9"/>
    <w:rsid w:val="45123FBD"/>
    <w:rsid w:val="45336CAD"/>
    <w:rsid w:val="455C6204"/>
    <w:rsid w:val="45CF5A88"/>
    <w:rsid w:val="45D264C6"/>
    <w:rsid w:val="45E05E02"/>
    <w:rsid w:val="46737A24"/>
    <w:rsid w:val="46885E2A"/>
    <w:rsid w:val="46B207D1"/>
    <w:rsid w:val="46CA0433"/>
    <w:rsid w:val="47833F1C"/>
    <w:rsid w:val="47865EBD"/>
    <w:rsid w:val="48270D4B"/>
    <w:rsid w:val="48516FB5"/>
    <w:rsid w:val="48AF2AEE"/>
    <w:rsid w:val="48B459D5"/>
    <w:rsid w:val="48FF5A97"/>
    <w:rsid w:val="49452A17"/>
    <w:rsid w:val="49497D40"/>
    <w:rsid w:val="498875C7"/>
    <w:rsid w:val="49B303BC"/>
    <w:rsid w:val="4A8561FD"/>
    <w:rsid w:val="4A9216E3"/>
    <w:rsid w:val="4AC37719"/>
    <w:rsid w:val="4AE820F1"/>
    <w:rsid w:val="4B4D6D1A"/>
    <w:rsid w:val="4BC845F3"/>
    <w:rsid w:val="4BCA036B"/>
    <w:rsid w:val="4C2F6420"/>
    <w:rsid w:val="4C520360"/>
    <w:rsid w:val="4C662717"/>
    <w:rsid w:val="4CB13567"/>
    <w:rsid w:val="4D037E68"/>
    <w:rsid w:val="4D10647F"/>
    <w:rsid w:val="4D5A571F"/>
    <w:rsid w:val="4E2D4BE1"/>
    <w:rsid w:val="4E3F66C2"/>
    <w:rsid w:val="4E634927"/>
    <w:rsid w:val="4E782796"/>
    <w:rsid w:val="4E9E6D0A"/>
    <w:rsid w:val="4EFB3A84"/>
    <w:rsid w:val="4F105D44"/>
    <w:rsid w:val="4F355850"/>
    <w:rsid w:val="4F5C4B3F"/>
    <w:rsid w:val="4F5D14F6"/>
    <w:rsid w:val="4F805B5F"/>
    <w:rsid w:val="4F8B14B0"/>
    <w:rsid w:val="4FB671CF"/>
    <w:rsid w:val="4FEE276A"/>
    <w:rsid w:val="4FF37764"/>
    <w:rsid w:val="4FFD7F4B"/>
    <w:rsid w:val="501F5F01"/>
    <w:rsid w:val="506D2760"/>
    <w:rsid w:val="50787F32"/>
    <w:rsid w:val="50BF05A8"/>
    <w:rsid w:val="515801C7"/>
    <w:rsid w:val="51E152C2"/>
    <w:rsid w:val="51E504F4"/>
    <w:rsid w:val="52077FA0"/>
    <w:rsid w:val="52495986"/>
    <w:rsid w:val="52846D9A"/>
    <w:rsid w:val="528F2655"/>
    <w:rsid w:val="52F61E27"/>
    <w:rsid w:val="533F163E"/>
    <w:rsid w:val="53661218"/>
    <w:rsid w:val="53691AF8"/>
    <w:rsid w:val="53EB4DFF"/>
    <w:rsid w:val="53F02939"/>
    <w:rsid w:val="545A6004"/>
    <w:rsid w:val="545C6276"/>
    <w:rsid w:val="54C939AE"/>
    <w:rsid w:val="54DD6AF9"/>
    <w:rsid w:val="552542AB"/>
    <w:rsid w:val="553B7BE4"/>
    <w:rsid w:val="55546EF7"/>
    <w:rsid w:val="556C60B3"/>
    <w:rsid w:val="557E5D22"/>
    <w:rsid w:val="55943798"/>
    <w:rsid w:val="55A35789"/>
    <w:rsid w:val="55AF412E"/>
    <w:rsid w:val="561A74D1"/>
    <w:rsid w:val="56A417B8"/>
    <w:rsid w:val="57283E0B"/>
    <w:rsid w:val="574A1DC1"/>
    <w:rsid w:val="57C00B06"/>
    <w:rsid w:val="57C546E0"/>
    <w:rsid w:val="57CC0FC7"/>
    <w:rsid w:val="58021570"/>
    <w:rsid w:val="580E5197"/>
    <w:rsid w:val="5831455A"/>
    <w:rsid w:val="58485292"/>
    <w:rsid w:val="5863030F"/>
    <w:rsid w:val="5906339C"/>
    <w:rsid w:val="592616D2"/>
    <w:rsid w:val="59341B00"/>
    <w:rsid w:val="594971F2"/>
    <w:rsid w:val="59DE0E81"/>
    <w:rsid w:val="59F55223"/>
    <w:rsid w:val="59FF35B4"/>
    <w:rsid w:val="5A166E71"/>
    <w:rsid w:val="5AC71F19"/>
    <w:rsid w:val="5ADA201D"/>
    <w:rsid w:val="5AE470AA"/>
    <w:rsid w:val="5B242EC8"/>
    <w:rsid w:val="5B301727"/>
    <w:rsid w:val="5B5A5DEF"/>
    <w:rsid w:val="5BC56904"/>
    <w:rsid w:val="5BDE576D"/>
    <w:rsid w:val="5C0A6E8C"/>
    <w:rsid w:val="5C7659A5"/>
    <w:rsid w:val="5CC1326B"/>
    <w:rsid w:val="5CC929ED"/>
    <w:rsid w:val="5CEC2D02"/>
    <w:rsid w:val="5D215911"/>
    <w:rsid w:val="5D2353DA"/>
    <w:rsid w:val="5D3A4C25"/>
    <w:rsid w:val="5D44739C"/>
    <w:rsid w:val="5D4B2D1B"/>
    <w:rsid w:val="5D541157"/>
    <w:rsid w:val="5DA36C6E"/>
    <w:rsid w:val="5DAD189A"/>
    <w:rsid w:val="5DB744C7"/>
    <w:rsid w:val="5E0D40E7"/>
    <w:rsid w:val="5E8E6FD6"/>
    <w:rsid w:val="5EA9085C"/>
    <w:rsid w:val="5EBC3A41"/>
    <w:rsid w:val="5EC24ED2"/>
    <w:rsid w:val="5EC65064"/>
    <w:rsid w:val="5ED864A3"/>
    <w:rsid w:val="5F074FDA"/>
    <w:rsid w:val="5F304531"/>
    <w:rsid w:val="5F6D531F"/>
    <w:rsid w:val="5F9167D9"/>
    <w:rsid w:val="5FAE2505"/>
    <w:rsid w:val="5FD66420"/>
    <w:rsid w:val="5FE00EBE"/>
    <w:rsid w:val="5FE33352"/>
    <w:rsid w:val="5FE377F5"/>
    <w:rsid w:val="5FE5531C"/>
    <w:rsid w:val="60056797"/>
    <w:rsid w:val="60F8107F"/>
    <w:rsid w:val="61094D40"/>
    <w:rsid w:val="614172DE"/>
    <w:rsid w:val="6160574F"/>
    <w:rsid w:val="61F23D20"/>
    <w:rsid w:val="61F42ED5"/>
    <w:rsid w:val="621E68C3"/>
    <w:rsid w:val="62CC4571"/>
    <w:rsid w:val="62E35058"/>
    <w:rsid w:val="631A52DC"/>
    <w:rsid w:val="63411AEC"/>
    <w:rsid w:val="634405AB"/>
    <w:rsid w:val="636A546F"/>
    <w:rsid w:val="64405703"/>
    <w:rsid w:val="64D6561C"/>
    <w:rsid w:val="6511265D"/>
    <w:rsid w:val="651C4271"/>
    <w:rsid w:val="652C7549"/>
    <w:rsid w:val="655D7702"/>
    <w:rsid w:val="65767F1F"/>
    <w:rsid w:val="65A74E21"/>
    <w:rsid w:val="65A93AD5"/>
    <w:rsid w:val="662A3DB5"/>
    <w:rsid w:val="662B3EC2"/>
    <w:rsid w:val="663366B5"/>
    <w:rsid w:val="664D59C9"/>
    <w:rsid w:val="6656236E"/>
    <w:rsid w:val="666D45DE"/>
    <w:rsid w:val="66754F1F"/>
    <w:rsid w:val="66B25BAB"/>
    <w:rsid w:val="67796A91"/>
    <w:rsid w:val="67CC4F63"/>
    <w:rsid w:val="6808013C"/>
    <w:rsid w:val="681E586F"/>
    <w:rsid w:val="68490BA5"/>
    <w:rsid w:val="68686AEA"/>
    <w:rsid w:val="6872092B"/>
    <w:rsid w:val="687234C5"/>
    <w:rsid w:val="68A320F0"/>
    <w:rsid w:val="68C10A03"/>
    <w:rsid w:val="68E54CA7"/>
    <w:rsid w:val="691702F9"/>
    <w:rsid w:val="692E7F1E"/>
    <w:rsid w:val="69430A4C"/>
    <w:rsid w:val="69584DB0"/>
    <w:rsid w:val="697D0373"/>
    <w:rsid w:val="69847A9A"/>
    <w:rsid w:val="6997407C"/>
    <w:rsid w:val="6A242849"/>
    <w:rsid w:val="6A753740"/>
    <w:rsid w:val="6A7C5CBA"/>
    <w:rsid w:val="6ADF78E5"/>
    <w:rsid w:val="6B032AFA"/>
    <w:rsid w:val="6B0B3C2C"/>
    <w:rsid w:val="6B7874F8"/>
    <w:rsid w:val="6B8D0D02"/>
    <w:rsid w:val="6BA51E03"/>
    <w:rsid w:val="6BD6020E"/>
    <w:rsid w:val="6C0818DE"/>
    <w:rsid w:val="6C335661"/>
    <w:rsid w:val="6C5775A1"/>
    <w:rsid w:val="6C584782"/>
    <w:rsid w:val="6C6B6BA9"/>
    <w:rsid w:val="6C7C2B89"/>
    <w:rsid w:val="6CB30AE5"/>
    <w:rsid w:val="6CD57AA8"/>
    <w:rsid w:val="6D5A0320"/>
    <w:rsid w:val="6D5D0BE7"/>
    <w:rsid w:val="6D8C1586"/>
    <w:rsid w:val="6E6F5BB6"/>
    <w:rsid w:val="6E92338D"/>
    <w:rsid w:val="6E9543B1"/>
    <w:rsid w:val="6E957F0D"/>
    <w:rsid w:val="6EA50F15"/>
    <w:rsid w:val="6EB215D3"/>
    <w:rsid w:val="6EE82732"/>
    <w:rsid w:val="6F1218C9"/>
    <w:rsid w:val="6F143527"/>
    <w:rsid w:val="6F35142D"/>
    <w:rsid w:val="6F392F8E"/>
    <w:rsid w:val="6F685621"/>
    <w:rsid w:val="6FE0340A"/>
    <w:rsid w:val="6FE10C9C"/>
    <w:rsid w:val="70257F20"/>
    <w:rsid w:val="70375E28"/>
    <w:rsid w:val="703F45D4"/>
    <w:rsid w:val="70593DDE"/>
    <w:rsid w:val="707D334E"/>
    <w:rsid w:val="70DF5DB7"/>
    <w:rsid w:val="70F55A58"/>
    <w:rsid w:val="70FD17B6"/>
    <w:rsid w:val="714F4CEB"/>
    <w:rsid w:val="71883D59"/>
    <w:rsid w:val="72111FA0"/>
    <w:rsid w:val="72401A80"/>
    <w:rsid w:val="72465CF0"/>
    <w:rsid w:val="7261486E"/>
    <w:rsid w:val="726D505F"/>
    <w:rsid w:val="728A58AF"/>
    <w:rsid w:val="7298562B"/>
    <w:rsid w:val="729A4E44"/>
    <w:rsid w:val="72BC63B0"/>
    <w:rsid w:val="72D46DF2"/>
    <w:rsid w:val="73047240"/>
    <w:rsid w:val="73331C5E"/>
    <w:rsid w:val="737361D7"/>
    <w:rsid w:val="73BC5F3C"/>
    <w:rsid w:val="73D96AEE"/>
    <w:rsid w:val="74125278"/>
    <w:rsid w:val="744A3547"/>
    <w:rsid w:val="7474619D"/>
    <w:rsid w:val="748563E6"/>
    <w:rsid w:val="74B3733F"/>
    <w:rsid w:val="74D13C69"/>
    <w:rsid w:val="74FC0CE6"/>
    <w:rsid w:val="75435570"/>
    <w:rsid w:val="75AC2D9D"/>
    <w:rsid w:val="762F0AE4"/>
    <w:rsid w:val="765E373E"/>
    <w:rsid w:val="768D3BBF"/>
    <w:rsid w:val="76912AA8"/>
    <w:rsid w:val="76936197"/>
    <w:rsid w:val="76FA22C3"/>
    <w:rsid w:val="77000D51"/>
    <w:rsid w:val="770943E5"/>
    <w:rsid w:val="775B41FB"/>
    <w:rsid w:val="77B75398"/>
    <w:rsid w:val="77B92EBE"/>
    <w:rsid w:val="786E0F20"/>
    <w:rsid w:val="78827754"/>
    <w:rsid w:val="788F00C3"/>
    <w:rsid w:val="78A53442"/>
    <w:rsid w:val="79004B1D"/>
    <w:rsid w:val="79AE6327"/>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813419"/>
    <w:rsid w:val="7E867872"/>
    <w:rsid w:val="7F0204F0"/>
    <w:rsid w:val="7F106C3A"/>
    <w:rsid w:val="7F3E28F1"/>
    <w:rsid w:val="7FBE4DEA"/>
    <w:rsid w:val="7FD22FF6"/>
    <w:rsid w:val="7FE42AA2"/>
    <w:rsid w:val="7FE9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2"/>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58"/>
    <w:qFormat/>
    <w:uiPriority w:val="9"/>
    <w:pPr>
      <w:keepNext/>
      <w:keepLines/>
      <w:spacing w:before="260" w:after="260" w:line="416" w:lineRule="auto"/>
      <w:outlineLvl w:val="2"/>
    </w:pPr>
    <w:rPr>
      <w:b/>
      <w:bCs/>
      <w:sz w:val="32"/>
      <w:szCs w:val="32"/>
    </w:rPr>
  </w:style>
  <w:style w:type="paragraph" w:styleId="7">
    <w:name w:val="heading 4"/>
    <w:basedOn w:val="1"/>
    <w:next w:val="1"/>
    <w:link w:val="1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126"/>
    <w:qFormat/>
    <w:uiPriority w:val="9"/>
    <w:pPr>
      <w:keepNext/>
      <w:keepLines/>
      <w:numPr>
        <w:ilvl w:val="4"/>
        <w:numId w:val="1"/>
      </w:numPr>
      <w:spacing w:before="280" w:after="290" w:line="376" w:lineRule="auto"/>
      <w:outlineLvl w:val="4"/>
    </w:pPr>
    <w:rPr>
      <w:b/>
      <w:sz w:val="28"/>
    </w:rPr>
  </w:style>
  <w:style w:type="paragraph" w:styleId="10">
    <w:name w:val="heading 6"/>
    <w:basedOn w:val="1"/>
    <w:next w:val="9"/>
    <w:link w:val="127"/>
    <w:qFormat/>
    <w:uiPriority w:val="9"/>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28"/>
    <w:qFormat/>
    <w:uiPriority w:val="9"/>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0"/>
    <w:qFormat/>
    <w:uiPriority w:val="9"/>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Date"/>
    <w:basedOn w:val="1"/>
    <w:next w:val="1"/>
    <w:qFormat/>
    <w:uiPriority w:val="0"/>
    <w:pPr>
      <w:ind w:left="100" w:leftChars="2500"/>
    </w:pPr>
    <w:rPr>
      <w:rFonts w:ascii="宋体" w:hAnsi="Courier New" w:cs="Courier New"/>
      <w:szCs w:val="21"/>
    </w:rPr>
  </w:style>
  <w:style w:type="paragraph" w:styleId="9">
    <w:name w:val="Normal Indent"/>
    <w:basedOn w:val="1"/>
    <w:link w:val="56"/>
    <w:qFormat/>
    <w:uiPriority w:val="0"/>
    <w:pPr>
      <w:ind w:firstLine="420"/>
    </w:pPr>
    <w:rPr>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35"/>
    <w:pPr>
      <w:spacing w:before="152" w:after="160"/>
    </w:pPr>
    <w:rPr>
      <w:rFonts w:ascii="Arial" w:hAnsi="Arial" w:eastAsia="黑体" w:cs="Arial"/>
      <w:sz w:val="20"/>
      <w:szCs w:val="20"/>
    </w:rPr>
  </w:style>
  <w:style w:type="paragraph" w:styleId="16">
    <w:name w:val="Document Map"/>
    <w:basedOn w:val="1"/>
    <w:link w:val="132"/>
    <w:qFormat/>
    <w:uiPriority w:val="99"/>
    <w:pPr>
      <w:shd w:val="clear" w:color="auto" w:fill="000080"/>
    </w:pPr>
  </w:style>
  <w:style w:type="paragraph" w:styleId="17">
    <w:name w:val="annotation text"/>
    <w:basedOn w:val="1"/>
    <w:link w:val="72"/>
    <w:qFormat/>
    <w:uiPriority w:val="99"/>
    <w:pPr>
      <w:jc w:val="left"/>
    </w:pPr>
  </w:style>
  <w:style w:type="paragraph" w:styleId="18">
    <w:name w:val="Body Text 3"/>
    <w:basedOn w:val="1"/>
    <w:qFormat/>
    <w:uiPriority w:val="0"/>
    <w:pPr>
      <w:spacing w:line="500" w:lineRule="exact"/>
    </w:pPr>
    <w:rPr>
      <w:b/>
      <w:bCs/>
      <w:sz w:val="24"/>
    </w:rPr>
  </w:style>
  <w:style w:type="paragraph" w:styleId="19">
    <w:name w:val="Body Text"/>
    <w:basedOn w:val="1"/>
    <w:next w:val="2"/>
    <w:link w:val="133"/>
    <w:qFormat/>
    <w:uiPriority w:val="0"/>
    <w:pPr>
      <w:spacing w:line="380" w:lineRule="exact"/>
    </w:pPr>
    <w:rPr>
      <w:sz w:val="24"/>
    </w:rPr>
  </w:style>
  <w:style w:type="paragraph" w:styleId="20">
    <w:name w:val="Body Text Indent"/>
    <w:basedOn w:val="1"/>
    <w:link w:val="65"/>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2"/>
    <w:qFormat/>
    <w:uiPriority w:val="0"/>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1"/>
    <w:qFormat/>
    <w:uiPriority w:val="99"/>
    <w:rPr>
      <w:sz w:val="18"/>
      <w:szCs w:val="18"/>
      <w:lang w:val="zh-CN"/>
    </w:rPr>
  </w:style>
  <w:style w:type="paragraph" w:styleId="26">
    <w:name w:val="footer"/>
    <w:basedOn w:val="1"/>
    <w:link w:val="67"/>
    <w:qFormat/>
    <w:uiPriority w:val="99"/>
    <w:pPr>
      <w:tabs>
        <w:tab w:val="center" w:pos="4153"/>
        <w:tab w:val="right" w:pos="8306"/>
      </w:tabs>
      <w:snapToGrid w:val="0"/>
      <w:jc w:val="left"/>
    </w:pPr>
    <w:rPr>
      <w:sz w:val="18"/>
      <w:szCs w:val="18"/>
      <w:lang w:val="zh-CN"/>
    </w:rPr>
  </w:style>
  <w:style w:type="paragraph" w:styleId="27">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0"/>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7"/>
    <w:next w:val="17"/>
    <w:link w:val="83"/>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Emphasis"/>
    <w:qFormat/>
    <w:uiPriority w:val="0"/>
    <w:rPr>
      <w:rFonts w:ascii="Times New Roman" w:hAnsi="Times New Roman" w:eastAsia="宋体" w:cs="Times New Roman"/>
      <w:color w:val="CC0033"/>
    </w:rPr>
  </w:style>
  <w:style w:type="character" w:styleId="43">
    <w:name w:val="Hyperlink"/>
    <w:qFormat/>
    <w:uiPriority w:val="99"/>
    <w:rPr>
      <w:rFonts w:ascii="Times New Roman" w:hAnsi="Times New Roman" w:eastAsia="宋体" w:cs="Times New Roman"/>
      <w:color w:val="0000FF"/>
      <w:u w:val="single"/>
    </w:rPr>
  </w:style>
  <w:style w:type="character" w:styleId="44">
    <w:name w:val="annotation reference"/>
    <w:qFormat/>
    <w:uiPriority w:val="0"/>
    <w:rPr>
      <w:rFonts w:ascii="Times New Roman" w:hAnsi="Times New Roman" w:eastAsia="宋体" w:cs="Times New Roman"/>
      <w:sz w:val="21"/>
      <w:szCs w:val="21"/>
    </w:rPr>
  </w:style>
  <w:style w:type="character" w:customStyle="1" w:styleId="45">
    <w:name w:val="font21"/>
    <w:qFormat/>
    <w:uiPriority w:val="0"/>
    <w:rPr>
      <w:rFonts w:hint="eastAsia" w:ascii="宋体" w:hAnsi="宋体" w:eastAsia="宋体" w:cs="宋体"/>
      <w:color w:val="000000"/>
      <w:sz w:val="20"/>
      <w:szCs w:val="20"/>
    </w:rPr>
  </w:style>
  <w:style w:type="character" w:customStyle="1" w:styleId="46">
    <w:name w:val="st1"/>
    <w:qFormat/>
    <w:uiPriority w:val="0"/>
    <w:rPr>
      <w:rFonts w:ascii="Times New Roman" w:hAnsi="Times New Roman" w:eastAsia="宋体" w:cs="Times New Roman"/>
    </w:rPr>
  </w:style>
  <w:style w:type="character" w:customStyle="1" w:styleId="47">
    <w:name w:val="标题 1 字符"/>
    <w:link w:val="4"/>
    <w:qFormat/>
    <w:uiPriority w:val="9"/>
    <w:rPr>
      <w:rFonts w:ascii="Times New Roman" w:hAnsi="Times New Roman" w:eastAsia="仿宋_GB2312" w:cs="Times New Roman"/>
      <w:b/>
      <w:bCs/>
      <w:kern w:val="44"/>
      <w:sz w:val="44"/>
      <w:szCs w:val="44"/>
      <w:lang w:val="en-US" w:eastAsia="zh-CN" w:bidi="ar-SA"/>
    </w:rPr>
  </w:style>
  <w:style w:type="character" w:customStyle="1" w:styleId="48">
    <w:name w:val="ca-2"/>
    <w:qFormat/>
    <w:uiPriority w:val="0"/>
    <w:rPr>
      <w:rFonts w:ascii="Times New Roman" w:hAnsi="Times New Roman" w:eastAsia="宋体" w:cs="Times New Roman"/>
    </w:rPr>
  </w:style>
  <w:style w:type="character" w:customStyle="1" w:styleId="49">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0">
    <w:name w:val="1ji Char"/>
    <w:link w:val="51"/>
    <w:qFormat/>
    <w:uiPriority w:val="0"/>
    <w:rPr>
      <w:rFonts w:ascii="宋体" w:hAnsi="宋体" w:eastAsia="仿宋_GB2312" w:cs="Times New Roman"/>
      <w:b/>
      <w:bCs/>
      <w:kern w:val="44"/>
      <w:sz w:val="36"/>
      <w:szCs w:val="44"/>
      <w:lang w:val="en-US" w:eastAsia="zh-CN" w:bidi="ar-SA"/>
    </w:rPr>
  </w:style>
  <w:style w:type="paragraph" w:customStyle="1" w:styleId="51">
    <w:name w:val="1ji"/>
    <w:basedOn w:val="4"/>
    <w:link w:val="50"/>
    <w:qFormat/>
    <w:uiPriority w:val="0"/>
    <w:pPr>
      <w:keepLines w:val="0"/>
      <w:widowControl/>
      <w:spacing w:before="0" w:after="0" w:line="240" w:lineRule="auto"/>
    </w:pPr>
    <w:rPr>
      <w:rFonts w:ascii="宋体" w:hAnsi="宋体"/>
      <w:sz w:val="36"/>
    </w:rPr>
  </w:style>
  <w:style w:type="character" w:customStyle="1" w:styleId="52">
    <w:name w:val="纯文本 字符"/>
    <w:link w:val="23"/>
    <w:qFormat/>
    <w:uiPriority w:val="0"/>
    <w:rPr>
      <w:rFonts w:ascii="宋体" w:hAnsi="Courier New" w:eastAsia="宋体" w:cs="Courier New"/>
      <w:kern w:val="2"/>
      <w:sz w:val="21"/>
      <w:szCs w:val="21"/>
      <w:lang w:val="en-US" w:eastAsia="zh-CN" w:bidi="ar-SA"/>
    </w:rPr>
  </w:style>
  <w:style w:type="character" w:customStyle="1" w:styleId="53">
    <w:name w:val="font41"/>
    <w:qFormat/>
    <w:uiPriority w:val="0"/>
    <w:rPr>
      <w:rFonts w:hint="default" w:ascii="Times New Roman" w:hAnsi="Times New Roman" w:eastAsia="宋体" w:cs="Times New Roman"/>
      <w:color w:val="000000"/>
      <w:sz w:val="20"/>
      <w:szCs w:val="20"/>
    </w:rPr>
  </w:style>
  <w:style w:type="character" w:customStyle="1" w:styleId="54">
    <w:name w:val="font31"/>
    <w:qFormat/>
    <w:uiPriority w:val="0"/>
    <w:rPr>
      <w:rFonts w:hint="default" w:ascii="Times New Roman" w:hAnsi="Times New Roman" w:eastAsia="宋体" w:cs="Times New Roman"/>
      <w:color w:val="000000"/>
      <w:sz w:val="20"/>
      <w:szCs w:val="20"/>
    </w:rPr>
  </w:style>
  <w:style w:type="character" w:customStyle="1" w:styleId="55">
    <w:name w:val="apple-style-span"/>
    <w:qFormat/>
    <w:uiPriority w:val="0"/>
    <w:rPr>
      <w:rFonts w:ascii="Times New Roman" w:hAnsi="Times New Roman" w:eastAsia="宋体" w:cs="Times New Roman"/>
    </w:rPr>
  </w:style>
  <w:style w:type="character" w:customStyle="1" w:styleId="56">
    <w:name w:val="正文缩进 字符"/>
    <w:link w:val="9"/>
    <w:qFormat/>
    <w:uiPriority w:val="0"/>
    <w:rPr>
      <w:rFonts w:ascii="Times New Roman" w:hAnsi="Times New Roman" w:eastAsia="宋体" w:cs="Times New Roman"/>
      <w:kern w:val="2"/>
      <w:sz w:val="21"/>
      <w:lang w:val="en-US" w:eastAsia="zh-CN" w:bidi="ar-SA"/>
    </w:rPr>
  </w:style>
  <w:style w:type="character" w:customStyle="1" w:styleId="57">
    <w:name w:val="font51"/>
    <w:qFormat/>
    <w:uiPriority w:val="0"/>
    <w:rPr>
      <w:rFonts w:hint="default" w:ascii="Times New Roman" w:hAnsi="Times New Roman" w:eastAsia="宋体" w:cs="Times New Roman"/>
      <w:color w:val="000000"/>
      <w:sz w:val="20"/>
      <w:szCs w:val="20"/>
    </w:rPr>
  </w:style>
  <w:style w:type="character" w:customStyle="1" w:styleId="58">
    <w:name w:val="标题 3 字符"/>
    <w:link w:val="6"/>
    <w:qFormat/>
    <w:uiPriority w:val="9"/>
    <w:rPr>
      <w:rFonts w:ascii="Times New Roman" w:hAnsi="Times New Roman" w:eastAsia="宋体" w:cs="Times New Roman"/>
      <w:b/>
      <w:bCs/>
      <w:kern w:val="2"/>
      <w:sz w:val="32"/>
      <w:szCs w:val="32"/>
      <w:lang w:val="en-US" w:eastAsia="zh-CN" w:bidi="ar-SA"/>
    </w:rPr>
  </w:style>
  <w:style w:type="character" w:customStyle="1" w:styleId="59">
    <w:name w:val="apple-converted-space"/>
    <w:qFormat/>
    <w:uiPriority w:val="0"/>
    <w:rPr>
      <w:rFonts w:ascii="Times New Roman" w:hAnsi="Times New Roman" w:eastAsia="宋体" w:cs="Times New Roman"/>
    </w:rPr>
  </w:style>
  <w:style w:type="character" w:customStyle="1" w:styleId="60">
    <w:name w:val="Header Char"/>
    <w:qFormat/>
    <w:uiPriority w:val="0"/>
    <w:rPr>
      <w:rFonts w:ascii="Calibri" w:hAnsi="Calibri" w:eastAsia="宋体" w:cs="Times New Roman"/>
      <w:kern w:val="2"/>
      <w:sz w:val="18"/>
      <w:szCs w:val="18"/>
      <w:lang w:val="en-US" w:eastAsia="zh-CN" w:bidi="ar-SA"/>
    </w:rPr>
  </w:style>
  <w:style w:type="character" w:customStyle="1" w:styleId="61">
    <w:name w:val="Footer Char"/>
    <w:qFormat/>
    <w:uiPriority w:val="0"/>
    <w:rPr>
      <w:rFonts w:ascii="Calibri" w:hAnsi="Calibri" w:eastAsia="宋体" w:cs="Times New Roman"/>
      <w:kern w:val="2"/>
      <w:sz w:val="18"/>
      <w:szCs w:val="18"/>
      <w:lang w:val="en-US" w:eastAsia="zh-CN" w:bidi="ar-SA"/>
    </w:rPr>
  </w:style>
  <w:style w:type="character" w:customStyle="1" w:styleId="62">
    <w:name w:val="Plain Text Char"/>
    <w:qFormat/>
    <w:uiPriority w:val="0"/>
    <w:rPr>
      <w:rFonts w:ascii="宋体" w:hAnsi="Courier New" w:eastAsia="宋体" w:cs="Times New Roman"/>
      <w:lang w:bidi="ar-SA"/>
    </w:rPr>
  </w:style>
  <w:style w:type="character" w:customStyle="1" w:styleId="63">
    <w:name w:val="普通文字 Char Char3"/>
    <w:qFormat/>
    <w:uiPriority w:val="0"/>
    <w:rPr>
      <w:rFonts w:ascii="宋体" w:hAnsi="Times New Roman" w:eastAsia="宋体" w:cs="Courier New"/>
      <w:kern w:val="2"/>
      <w:sz w:val="21"/>
      <w:szCs w:val="21"/>
      <w:lang w:val="en-US" w:eastAsia="zh-CN" w:bidi="ar-SA"/>
    </w:rPr>
  </w:style>
  <w:style w:type="character" w:customStyle="1" w:styleId="64">
    <w:name w:val="样式 正文 +"/>
    <w:qFormat/>
    <w:uiPriority w:val="0"/>
    <w:rPr>
      <w:rFonts w:ascii="Times New Roman" w:hAnsi="Times New Roman" w:eastAsia="宋体" w:cs="Times New Roman"/>
      <w:kern w:val="0"/>
      <w:sz w:val="28"/>
    </w:rPr>
  </w:style>
  <w:style w:type="character" w:customStyle="1" w:styleId="65">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6">
    <w:name w:val="普通文字 Char Char2"/>
    <w:qFormat/>
    <w:uiPriority w:val="0"/>
    <w:rPr>
      <w:rFonts w:ascii="宋体" w:hAnsi="Courier New" w:eastAsia="宋体" w:cs="Times New Roman"/>
      <w:kern w:val="2"/>
      <w:sz w:val="21"/>
      <w:lang w:val="en-US" w:eastAsia="zh-CN" w:bidi="ar-SA"/>
    </w:rPr>
  </w:style>
  <w:style w:type="character" w:customStyle="1" w:styleId="67">
    <w:name w:val="页脚 字符"/>
    <w:link w:val="26"/>
    <w:qFormat/>
    <w:uiPriority w:val="99"/>
    <w:rPr>
      <w:rFonts w:ascii="Times New Roman" w:hAnsi="Times New Roman" w:eastAsia="宋体" w:cs="Times New Roman"/>
      <w:kern w:val="2"/>
      <w:sz w:val="18"/>
      <w:szCs w:val="18"/>
    </w:rPr>
  </w:style>
  <w:style w:type="character" w:customStyle="1" w:styleId="68">
    <w:name w:val="样式 宋体 小四"/>
    <w:qFormat/>
    <w:uiPriority w:val="0"/>
    <w:rPr>
      <w:rFonts w:ascii="宋体" w:hAnsi="宋体" w:eastAsia="宋体" w:cs="Times New Roman"/>
      <w:sz w:val="24"/>
    </w:rPr>
  </w:style>
  <w:style w:type="character" w:customStyle="1" w:styleId="69">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0">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1">
    <w:name w:val="批注框文本 字符"/>
    <w:link w:val="25"/>
    <w:qFormat/>
    <w:uiPriority w:val="99"/>
    <w:rPr>
      <w:rFonts w:ascii="Times New Roman" w:hAnsi="Times New Roman" w:eastAsia="宋体" w:cs="Times New Roman"/>
      <w:kern w:val="2"/>
      <w:sz w:val="18"/>
      <w:szCs w:val="18"/>
    </w:rPr>
  </w:style>
  <w:style w:type="character" w:customStyle="1" w:styleId="72">
    <w:name w:val="批注文字 字符"/>
    <w:link w:val="17"/>
    <w:qFormat/>
    <w:uiPriority w:val="99"/>
    <w:rPr>
      <w:rFonts w:ascii="Times New Roman" w:hAnsi="Times New Roman" w:eastAsia="宋体" w:cs="Times New Roman"/>
      <w:kern w:val="2"/>
      <w:sz w:val="21"/>
      <w:szCs w:val="24"/>
      <w:lang w:val="en-US" w:eastAsia="zh-CN" w:bidi="ar-SA"/>
    </w:rPr>
  </w:style>
  <w:style w:type="character" w:customStyle="1" w:styleId="73">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4">
    <w:name w:val="ca-1"/>
    <w:qFormat/>
    <w:uiPriority w:val="0"/>
    <w:rPr>
      <w:rFonts w:ascii="Times New Roman" w:hAnsi="Times New Roman" w:eastAsia="宋体" w:cs="Times New Roman"/>
    </w:rPr>
  </w:style>
  <w:style w:type="character" w:customStyle="1" w:styleId="75">
    <w:name w:val="正文360首行缩进 Char"/>
    <w:link w:val="76"/>
    <w:qFormat/>
    <w:uiPriority w:val="0"/>
    <w:rPr>
      <w:rFonts w:ascii="Times New Roman" w:hAnsi="Times New Roman" w:eastAsia="宋体" w:cs="Times New Roman"/>
      <w:sz w:val="24"/>
      <w:szCs w:val="24"/>
    </w:rPr>
  </w:style>
  <w:style w:type="paragraph" w:customStyle="1" w:styleId="76">
    <w:name w:val="正文360首行缩进"/>
    <w:basedOn w:val="1"/>
    <w:link w:val="75"/>
    <w:qFormat/>
    <w:uiPriority w:val="0"/>
    <w:pPr>
      <w:widowControl/>
      <w:spacing w:before="120" w:line="300" w:lineRule="auto"/>
      <w:ind w:firstLine="200"/>
      <w:jc w:val="left"/>
    </w:pPr>
    <w:rPr>
      <w:kern w:val="0"/>
      <w:sz w:val="24"/>
    </w:rPr>
  </w:style>
  <w:style w:type="character" w:customStyle="1" w:styleId="77">
    <w:name w:val="List Paragraph Char"/>
    <w:link w:val="78"/>
    <w:qFormat/>
    <w:locked/>
    <w:uiPriority w:val="0"/>
    <w:rPr>
      <w:rFonts w:ascii="宋体" w:hAnsi="宋体" w:cs="宋体"/>
      <w:sz w:val="24"/>
      <w:szCs w:val="24"/>
    </w:rPr>
  </w:style>
  <w:style w:type="paragraph" w:customStyle="1" w:styleId="78">
    <w:name w:val="列表段落1"/>
    <w:basedOn w:val="1"/>
    <w:link w:val="77"/>
    <w:qFormat/>
    <w:uiPriority w:val="0"/>
    <w:pPr>
      <w:widowControl/>
      <w:ind w:firstLine="420" w:firstLineChars="200"/>
      <w:jc w:val="left"/>
    </w:pPr>
    <w:rPr>
      <w:rFonts w:ascii="宋体" w:hAnsi="宋体"/>
      <w:kern w:val="0"/>
      <w:sz w:val="24"/>
      <w:lang w:val="zh-CN"/>
    </w:rPr>
  </w:style>
  <w:style w:type="character" w:customStyle="1" w:styleId="79">
    <w:name w:val="yyii"/>
    <w:qFormat/>
    <w:uiPriority w:val="0"/>
    <w:rPr>
      <w:rFonts w:ascii="Times New Roman" w:hAnsi="Times New Roman" w:eastAsia="宋体" w:cs="Times New Roman"/>
    </w:rPr>
  </w:style>
  <w:style w:type="character" w:customStyle="1" w:styleId="80">
    <w:name w:val="纯文本 Char1"/>
    <w:qFormat/>
    <w:uiPriority w:val="0"/>
    <w:rPr>
      <w:rFonts w:ascii="宋体" w:hAnsi="Courier New" w:eastAsia="宋体" w:cs="Times New Roman"/>
      <w:kern w:val="2"/>
      <w:sz w:val="21"/>
    </w:rPr>
  </w:style>
  <w:style w:type="character" w:customStyle="1" w:styleId="81">
    <w:name w:val="标题 1 Char1"/>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9"/>
    <w:rPr>
      <w:rFonts w:ascii="Arial" w:hAnsi="Arial" w:eastAsia="黑体"/>
      <w:b/>
      <w:bCs/>
      <w:kern w:val="2"/>
      <w:sz w:val="24"/>
      <w:szCs w:val="32"/>
    </w:rPr>
  </w:style>
  <w:style w:type="character" w:customStyle="1" w:styleId="83">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4">
    <w:name w:val="目录 11"/>
    <w:basedOn w:val="1"/>
    <w:next w:val="1"/>
    <w:qFormat/>
    <w:uiPriority w:val="39"/>
  </w:style>
  <w:style w:type="paragraph" w:customStyle="1" w:styleId="85">
    <w:name w:val="目录 21"/>
    <w:basedOn w:val="1"/>
    <w:next w:val="1"/>
    <w:qFormat/>
    <w:uiPriority w:val="39"/>
    <w:pPr>
      <w:tabs>
        <w:tab w:val="right" w:leader="dot" w:pos="9402"/>
      </w:tabs>
      <w:ind w:left="718" w:leftChars="200" w:hanging="298" w:hangingChars="142"/>
    </w:pPr>
  </w:style>
  <w:style w:type="paragraph" w:customStyle="1" w:styleId="86">
    <w:name w:val="目录 31"/>
    <w:basedOn w:val="1"/>
    <w:next w:val="1"/>
    <w:qFormat/>
    <w:uiPriority w:val="39"/>
    <w:pPr>
      <w:ind w:left="840" w:leftChars="400"/>
    </w:pPr>
  </w:style>
  <w:style w:type="paragraph" w:customStyle="1" w:styleId="87">
    <w:name w:val="正文首行缩进1"/>
    <w:basedOn w:val="19"/>
    <w:qFormat/>
    <w:uiPriority w:val="0"/>
    <w:pPr>
      <w:spacing w:after="120" w:line="240" w:lineRule="auto"/>
      <w:ind w:firstLine="420" w:firstLineChars="100"/>
    </w:pPr>
    <w:rPr>
      <w:sz w:val="21"/>
    </w:rPr>
  </w:style>
  <w:style w:type="paragraph" w:customStyle="1" w:styleId="88">
    <w:name w:val="Char Char1 Char Char Char Char"/>
    <w:basedOn w:val="16"/>
    <w:qFormat/>
    <w:uiPriority w:val="0"/>
    <w:rPr>
      <w:rFonts w:ascii="Tahoma" w:hAnsi="Tahoma"/>
      <w:sz w:val="24"/>
    </w:rPr>
  </w:style>
  <w:style w:type="paragraph" w:customStyle="1" w:styleId="89">
    <w:name w:val="列出段落1"/>
    <w:basedOn w:val="1"/>
    <w:qFormat/>
    <w:uiPriority w:val="99"/>
    <w:pPr>
      <w:ind w:firstLine="420" w:firstLineChars="200"/>
    </w:pPr>
    <w:rPr>
      <w:rFonts w:ascii="Calibri" w:hAnsi="Calibri"/>
    </w:rPr>
  </w:style>
  <w:style w:type="paragraph" w:customStyle="1" w:styleId="90">
    <w:name w:val="Char Char Char1 Char"/>
    <w:basedOn w:val="16"/>
    <w:qFormat/>
    <w:uiPriority w:val="0"/>
  </w:style>
  <w:style w:type="paragraph" w:customStyle="1" w:styleId="91">
    <w:name w:val="pa-5"/>
    <w:basedOn w:val="1"/>
    <w:qFormat/>
    <w:uiPriority w:val="0"/>
    <w:pPr>
      <w:widowControl/>
      <w:spacing w:before="150" w:after="150"/>
      <w:jc w:val="left"/>
    </w:pPr>
    <w:rPr>
      <w:rFonts w:ascii="宋体" w:hAnsi="宋体" w:cs="宋体"/>
      <w:kern w:val="0"/>
      <w:sz w:val="24"/>
    </w:rPr>
  </w:style>
  <w:style w:type="paragraph" w:customStyle="1" w:styleId="92">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3">
    <w:name w:val="Char Char1 Char Char Char Char1"/>
    <w:basedOn w:val="16"/>
    <w:qFormat/>
    <w:uiPriority w:val="0"/>
    <w:rPr>
      <w:rFonts w:ascii="Tahoma" w:hAnsi="Tahoma"/>
      <w:sz w:val="24"/>
    </w:rPr>
  </w:style>
  <w:style w:type="paragraph" w:customStyle="1" w:styleId="94">
    <w:name w:val="_Style 35"/>
    <w:basedOn w:val="16"/>
    <w:qFormat/>
    <w:uiPriority w:val="0"/>
    <w:pPr>
      <w:widowControl/>
      <w:ind w:firstLine="454"/>
      <w:jc w:val="left"/>
    </w:pPr>
  </w:style>
  <w:style w:type="paragraph" w:customStyle="1" w:styleId="95">
    <w:name w:val="5 Char Char Char Char Char Char Char Char Char Char"/>
    <w:basedOn w:val="1"/>
    <w:qFormat/>
    <w:uiPriority w:val="0"/>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7">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8">
    <w:name w:val="默认段落字体 Para Char"/>
    <w:basedOn w:val="1"/>
    <w:qFormat/>
    <w:uiPriority w:val="0"/>
    <w:rPr>
      <w:szCs w:val="20"/>
    </w:rPr>
  </w:style>
  <w:style w:type="paragraph" w:customStyle="1" w:styleId="99">
    <w:name w:val="表格文字"/>
    <w:basedOn w:val="1"/>
    <w:qFormat/>
    <w:uiPriority w:val="0"/>
    <w:pPr>
      <w:spacing w:before="25" w:after="25"/>
      <w:jc w:val="left"/>
    </w:pPr>
    <w:rPr>
      <w:bCs/>
      <w:spacing w:val="10"/>
      <w:kern w:val="0"/>
      <w:sz w:val="24"/>
    </w:rPr>
  </w:style>
  <w:style w:type="paragraph" w:customStyle="1" w:styleId="100">
    <w:name w:val="_Style 7"/>
    <w:basedOn w:val="16"/>
    <w:qFormat/>
    <w:uiPriority w:val="0"/>
  </w:style>
  <w:style w:type="paragraph" w:customStyle="1" w:styleId="10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4">
    <w:name w:val="样式 小四 行距: 1.5 倍行距"/>
    <w:basedOn w:val="1"/>
    <w:qFormat/>
    <w:uiPriority w:val="0"/>
    <w:pPr>
      <w:spacing w:line="360" w:lineRule="auto"/>
      <w:ind w:firstLine="480" w:firstLineChars="200"/>
    </w:pPr>
    <w:rPr>
      <w:rFonts w:cs="宋体"/>
      <w:sz w:val="24"/>
      <w:szCs w:val="20"/>
    </w:rPr>
  </w:style>
  <w:style w:type="paragraph" w:customStyle="1" w:styleId="105">
    <w:name w:val="p0"/>
    <w:basedOn w:val="1"/>
    <w:qFormat/>
    <w:uiPriority w:val="0"/>
    <w:pPr>
      <w:widowControl/>
    </w:pPr>
    <w:rPr>
      <w:rFonts w:ascii="宋体" w:hAnsi="宋体" w:cs="宋体"/>
      <w:kern w:val="0"/>
      <w:szCs w:val="21"/>
    </w:rPr>
  </w:style>
  <w:style w:type="paragraph" w:customStyle="1" w:styleId="106">
    <w:name w:val="Char Char Char Char Char Char Char Char Char Char Char Char"/>
    <w:basedOn w:val="1"/>
    <w:qFormat/>
    <w:uiPriority w:val="0"/>
    <w:pPr>
      <w:widowControl/>
      <w:spacing w:after="160" w:line="240" w:lineRule="exact"/>
      <w:jc w:val="left"/>
    </w:pPr>
  </w:style>
  <w:style w:type="paragraph" w:customStyle="1" w:styleId="107">
    <w:name w:val="Char Char Char1 Char1"/>
    <w:basedOn w:val="1"/>
    <w:qFormat/>
    <w:uiPriority w:val="0"/>
    <w:rPr>
      <w:rFonts w:ascii="Calibri" w:hAnsi="Calibri"/>
      <w:szCs w:val="22"/>
    </w:rPr>
  </w:style>
  <w:style w:type="paragraph" w:customStyle="1" w:styleId="108">
    <w:name w:val="Char Char Char Char Char Char Char"/>
    <w:basedOn w:val="1"/>
    <w:qFormat/>
    <w:uiPriority w:val="0"/>
  </w:style>
  <w:style w:type="paragraph" w:customStyle="1" w:styleId="109">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0">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1">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3">
    <w:name w:val="Char"/>
    <w:basedOn w:val="16"/>
    <w:qFormat/>
    <w:uiPriority w:val="0"/>
    <w:pPr>
      <w:widowControl/>
      <w:ind w:firstLine="454"/>
      <w:jc w:val="left"/>
    </w:pPr>
    <w:rPr>
      <w:rFonts w:ascii="Tahoma" w:hAnsi="Tahoma" w:cs="宋体"/>
      <w:kern w:val="0"/>
      <w:sz w:val="24"/>
      <w:szCs w:val="20"/>
    </w:rPr>
  </w:style>
  <w:style w:type="paragraph" w:customStyle="1" w:styleId="114">
    <w:name w:val="Char1"/>
    <w:basedOn w:val="16"/>
    <w:qFormat/>
    <w:uiPriority w:val="0"/>
    <w:pPr>
      <w:widowControl/>
      <w:ind w:firstLine="454"/>
      <w:jc w:val="left"/>
    </w:pPr>
    <w:rPr>
      <w:rFonts w:ascii="Tahoma" w:hAnsi="Tahoma" w:cs="宋体"/>
      <w:kern w:val="0"/>
      <w:sz w:val="24"/>
      <w:szCs w:val="20"/>
    </w:rPr>
  </w:style>
  <w:style w:type="paragraph" w:customStyle="1" w:styleId="115">
    <w:name w:val="1"/>
    <w:basedOn w:val="1"/>
    <w:next w:val="23"/>
    <w:qFormat/>
    <w:uiPriority w:val="0"/>
    <w:rPr>
      <w:rFonts w:ascii="宋体" w:hAnsi="Courier New"/>
      <w:szCs w:val="20"/>
    </w:rPr>
  </w:style>
  <w:style w:type="paragraph" w:customStyle="1" w:styleId="116">
    <w:name w:val="_Style 2"/>
    <w:basedOn w:val="1"/>
    <w:qFormat/>
    <w:uiPriority w:val="0"/>
    <w:pPr>
      <w:ind w:firstLine="420" w:firstLineChars="200"/>
    </w:pPr>
  </w:style>
  <w:style w:type="paragraph" w:customStyle="1" w:styleId="117">
    <w:name w:val="正文段"/>
    <w:basedOn w:val="1"/>
    <w:qFormat/>
    <w:uiPriority w:val="0"/>
    <w:pPr>
      <w:widowControl/>
      <w:snapToGrid w:val="0"/>
      <w:spacing w:after="156" w:afterLines="50"/>
      <w:ind w:firstLine="200" w:firstLineChars="200"/>
    </w:pPr>
    <w:rPr>
      <w:kern w:val="0"/>
      <w:sz w:val="24"/>
      <w:szCs w:val="20"/>
    </w:rPr>
  </w:style>
  <w:style w:type="paragraph" w:customStyle="1" w:styleId="118">
    <w:name w:val="列出段落"/>
    <w:basedOn w:val="1"/>
    <w:qFormat/>
    <w:uiPriority w:val="34"/>
    <w:pPr>
      <w:ind w:firstLine="420" w:firstLineChars="200"/>
    </w:pPr>
    <w:rPr>
      <w:rFonts w:ascii="Calibri" w:hAnsi="Calibri"/>
      <w:szCs w:val="22"/>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未处理的提及1"/>
    <w:basedOn w:val="38"/>
    <w:unhideWhenUsed/>
    <w:qFormat/>
    <w:uiPriority w:val="99"/>
    <w:rPr>
      <w:color w:val="605E5C"/>
      <w:shd w:val="clear" w:color="auto" w:fill="E1DFDD"/>
    </w:rPr>
  </w:style>
  <w:style w:type="character" w:customStyle="1" w:styleId="121">
    <w:name w:val="font81"/>
    <w:basedOn w:val="38"/>
    <w:qFormat/>
    <w:uiPriority w:val="0"/>
    <w:rPr>
      <w:rFonts w:hint="eastAsia" w:ascii="宋体" w:hAnsi="宋体" w:eastAsia="宋体" w:cs="宋体"/>
      <w:color w:val="000000"/>
      <w:sz w:val="18"/>
      <w:szCs w:val="18"/>
      <w:u w:val="none"/>
    </w:rPr>
  </w:style>
  <w:style w:type="paragraph" w:customStyle="1" w:styleId="122">
    <w:name w:val="列表段落2"/>
    <w:basedOn w:val="1"/>
    <w:qFormat/>
    <w:uiPriority w:val="34"/>
    <w:pPr>
      <w:ind w:firstLine="420" w:firstLineChars="200"/>
    </w:pPr>
  </w:style>
  <w:style w:type="character" w:customStyle="1" w:styleId="123">
    <w:name w:val="未处理的提及2"/>
    <w:basedOn w:val="38"/>
    <w:unhideWhenUsed/>
    <w:qFormat/>
    <w:uiPriority w:val="99"/>
    <w:rPr>
      <w:color w:val="605E5C"/>
      <w:shd w:val="clear" w:color="auto" w:fill="E1DFDD"/>
    </w:rPr>
  </w:style>
  <w:style w:type="character" w:customStyle="1" w:styleId="124">
    <w:name w:val="纯文本 字符1"/>
    <w:qFormat/>
    <w:uiPriority w:val="0"/>
    <w:rPr>
      <w:rFonts w:ascii="宋体" w:hAnsi="Courier New" w:eastAsia="宋体" w:cs="Courier New"/>
      <w:kern w:val="2"/>
      <w:sz w:val="21"/>
      <w:szCs w:val="21"/>
      <w:lang w:val="en-US" w:eastAsia="zh-CN" w:bidi="ar-SA"/>
    </w:rPr>
  </w:style>
  <w:style w:type="character" w:customStyle="1" w:styleId="125">
    <w:name w:val="标题 4 字符"/>
    <w:basedOn w:val="38"/>
    <w:link w:val="7"/>
    <w:qFormat/>
    <w:uiPriority w:val="9"/>
    <w:rPr>
      <w:rFonts w:asciiTheme="majorHAnsi" w:hAnsiTheme="majorHAnsi" w:eastAsiaTheme="majorEastAsia" w:cstheme="majorBidi"/>
      <w:b/>
      <w:bCs/>
      <w:kern w:val="2"/>
      <w:sz w:val="28"/>
      <w:szCs w:val="28"/>
    </w:rPr>
  </w:style>
  <w:style w:type="character" w:customStyle="1" w:styleId="126">
    <w:name w:val="标题 5 字符"/>
    <w:basedOn w:val="38"/>
    <w:link w:val="8"/>
    <w:qFormat/>
    <w:uiPriority w:val="9"/>
    <w:rPr>
      <w:b/>
      <w:kern w:val="2"/>
      <w:sz w:val="28"/>
      <w:szCs w:val="24"/>
    </w:rPr>
  </w:style>
  <w:style w:type="character" w:customStyle="1" w:styleId="127">
    <w:name w:val="标题 6 字符"/>
    <w:basedOn w:val="38"/>
    <w:link w:val="10"/>
    <w:qFormat/>
    <w:uiPriority w:val="9"/>
    <w:rPr>
      <w:rFonts w:ascii="Arial" w:hAnsi="Arial" w:eastAsia="黑体"/>
      <w:b/>
      <w:kern w:val="2"/>
      <w:sz w:val="24"/>
      <w:szCs w:val="24"/>
    </w:rPr>
  </w:style>
  <w:style w:type="character" w:customStyle="1" w:styleId="128">
    <w:name w:val="标题 7 字符"/>
    <w:basedOn w:val="38"/>
    <w:link w:val="11"/>
    <w:qFormat/>
    <w:uiPriority w:val="9"/>
    <w:rPr>
      <w:b/>
      <w:kern w:val="2"/>
      <w:sz w:val="24"/>
      <w:szCs w:val="24"/>
    </w:rPr>
  </w:style>
  <w:style w:type="character" w:customStyle="1" w:styleId="129">
    <w:name w:val="标题 8 字符"/>
    <w:basedOn w:val="38"/>
    <w:link w:val="12"/>
    <w:qFormat/>
    <w:uiPriority w:val="9"/>
    <w:rPr>
      <w:rFonts w:ascii="Arial" w:hAnsi="Arial" w:eastAsia="黑体"/>
      <w:kern w:val="2"/>
      <w:sz w:val="24"/>
      <w:szCs w:val="24"/>
    </w:rPr>
  </w:style>
  <w:style w:type="character" w:customStyle="1" w:styleId="130">
    <w:name w:val="标题 9 字符"/>
    <w:basedOn w:val="38"/>
    <w:link w:val="13"/>
    <w:qFormat/>
    <w:uiPriority w:val="9"/>
    <w:rPr>
      <w:rFonts w:ascii="Arial" w:hAnsi="Arial" w:eastAsia="黑体"/>
      <w:kern w:val="2"/>
      <w:sz w:val="21"/>
      <w:szCs w:val="24"/>
    </w:rPr>
  </w:style>
  <w:style w:type="paragraph" w:customStyle="1" w:styleId="131">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2">
    <w:name w:val="文档结构图 字符"/>
    <w:basedOn w:val="38"/>
    <w:link w:val="16"/>
    <w:qFormat/>
    <w:uiPriority w:val="99"/>
    <w:rPr>
      <w:kern w:val="2"/>
      <w:sz w:val="21"/>
      <w:szCs w:val="24"/>
      <w:shd w:val="clear" w:color="auto" w:fill="000080"/>
    </w:rPr>
  </w:style>
  <w:style w:type="character" w:customStyle="1" w:styleId="133">
    <w:name w:val="正文文本 字符"/>
    <w:basedOn w:val="38"/>
    <w:link w:val="19"/>
    <w:qFormat/>
    <w:uiPriority w:val="0"/>
    <w:rPr>
      <w:kern w:val="2"/>
      <w:sz w:val="24"/>
      <w:szCs w:val="24"/>
    </w:rPr>
  </w:style>
  <w:style w:type="paragraph" w:customStyle="1" w:styleId="134">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5">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6">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7">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38">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39">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0">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1">
    <w:name w:val="网格型1"/>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正文文本 Char1"/>
    <w:basedOn w:val="38"/>
    <w:semiHidden/>
    <w:qFormat/>
    <w:uiPriority w:val="99"/>
    <w:rPr>
      <w:sz w:val="24"/>
    </w:rPr>
  </w:style>
  <w:style w:type="paragraph" w:customStyle="1" w:styleId="143">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4">
    <w:name w:val="占位符文本1"/>
    <w:semiHidden/>
    <w:qFormat/>
    <w:uiPriority w:val="99"/>
    <w:rPr>
      <w:color w:val="808080"/>
    </w:rPr>
  </w:style>
  <w:style w:type="paragraph" w:customStyle="1" w:styleId="145">
    <w:name w:val="WPSOffice手动目录 1"/>
    <w:qFormat/>
    <w:uiPriority w:val="0"/>
    <w:rPr>
      <w:rFonts w:ascii="Times New Roman" w:hAnsi="Times New Roman" w:eastAsia="宋体" w:cs="Times New Roman"/>
      <w:lang w:val="en-US" w:eastAsia="zh-CN" w:bidi="ar-SA"/>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48">
    <w:name w:val="font01"/>
    <w:basedOn w:val="38"/>
    <w:qFormat/>
    <w:uiPriority w:val="0"/>
    <w:rPr>
      <w:rFonts w:hint="eastAsia" w:ascii="宋体" w:hAnsi="宋体" w:eastAsia="宋体" w:cs="宋体"/>
      <w:color w:val="000000"/>
      <w:sz w:val="24"/>
      <w:szCs w:val="24"/>
      <w:u w:val="none"/>
    </w:rPr>
  </w:style>
  <w:style w:type="paragraph" w:customStyle="1" w:styleId="149">
    <w:name w:val="TOC 标题1"/>
    <w:basedOn w:val="4"/>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0">
    <w:name w:val="List Paragraph"/>
    <w:basedOn w:val="1"/>
    <w:qFormat/>
    <w:uiPriority w:val="99"/>
    <w:pPr>
      <w:ind w:firstLine="420" w:firstLineChars="200"/>
    </w:pPr>
  </w:style>
  <w:style w:type="character" w:customStyle="1" w:styleId="151">
    <w:name w:val="Unresolved Mention"/>
    <w:basedOn w:val="38"/>
    <w:semiHidden/>
    <w:unhideWhenUsed/>
    <w:qFormat/>
    <w:uiPriority w:val="99"/>
    <w:rPr>
      <w:color w:val="605E5C"/>
      <w:shd w:val="clear" w:color="auto" w:fill="E1DFDD"/>
    </w:rPr>
  </w:style>
  <w:style w:type="character" w:customStyle="1" w:styleId="152">
    <w:name w:val="font11"/>
    <w:basedOn w:val="3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58</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2025-10-30T08:42:00Z</cp:lastPrinted>
  <dcterms:modified xsi:type="dcterms:W3CDTF">2025-10-31T02:47:44Z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7CA702868B884FECA6C2C14F8331C51B</vt:lpwstr>
  </property>
  <property fmtid="{D5CDD505-2E9C-101B-9397-08002B2CF9AE}" pid="4" name="KSOTemplateDocerSaveRecord">
    <vt:lpwstr>eyJoZGlkIjoiZTE3NjFiNWQzNWNhNmIzYjU1ODQ0NzE4OTUyMWI0YjEiLCJ1c2VySWQiOiI2NTY4NTEwODEifQ==</vt:lpwstr>
  </property>
</Properties>
</file>