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0" w:name="_Hlk92961273"/>
      <w:bookmarkEnd w:id="0"/>
    </w:p>
    <w:p>
      <w:pPr>
        <w:rPr>
          <w:color w:val="auto"/>
          <w:highlight w:val="none"/>
        </w:rPr>
      </w:pPr>
    </w:p>
    <w:p>
      <w:pPr>
        <w:rPr>
          <w:color w:val="auto"/>
          <w:highlight w:val="none"/>
        </w:rPr>
      </w:pPr>
    </w:p>
    <w:p>
      <w:pPr>
        <w:rPr>
          <w:color w:val="auto"/>
          <w:highlight w:val="none"/>
        </w:rPr>
      </w:pPr>
    </w:p>
    <w:p>
      <w:pPr>
        <w:spacing w:before="156" w:beforeLines="50" w:line="780" w:lineRule="exact"/>
        <w:jc w:val="center"/>
        <w:rPr>
          <w:rFonts w:hint="eastAsia" w:ascii="方正小标宋_GBK" w:hAnsi="黑体" w:eastAsia="方正小标宋_GBK"/>
          <w:b/>
          <w:color w:val="auto"/>
          <w:sz w:val="84"/>
          <w:szCs w:val="84"/>
          <w:highlight w:val="none"/>
        </w:rPr>
      </w:pPr>
      <w:r>
        <w:rPr>
          <w:rFonts w:hint="eastAsia" w:ascii="方正小标宋_GBK" w:hAnsi="黑体" w:eastAsia="方正小标宋_GBK"/>
          <w:b/>
          <w:color w:val="auto"/>
          <w:sz w:val="84"/>
          <w:szCs w:val="84"/>
          <w:highlight w:val="none"/>
        </w:rPr>
        <w:t>竞争性磋商采购文件</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500" w:lineRule="exact"/>
        <w:ind w:left="3200" w:hanging="3200" w:hangingChars="1000"/>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项目名称:</w:t>
      </w:r>
      <w:r>
        <w:rPr>
          <w:rFonts w:hint="eastAsia" w:ascii="方正小标宋_GBK" w:hAnsi="微软雅黑" w:eastAsia="方正小标宋_GBK"/>
          <w:color w:val="auto"/>
          <w:sz w:val="32"/>
          <w:szCs w:val="32"/>
          <w:highlight w:val="none"/>
          <w:lang w:eastAsia="zh-CN"/>
        </w:rPr>
        <w:t>钦州市人工智能＋智慧监管大数据分析平台项目</w:t>
      </w:r>
    </w:p>
    <w:p>
      <w:pPr>
        <w:spacing w:line="500" w:lineRule="exact"/>
        <w:rPr>
          <w:rFonts w:hint="eastAsia" w:ascii="方正小标宋_GBK" w:hAnsi="微软雅黑" w:eastAsia="方正小标宋_GBK"/>
          <w:color w:val="auto"/>
          <w:sz w:val="32"/>
          <w:szCs w:val="32"/>
          <w:highlight w:val="none"/>
          <w:lang w:eastAsia="zh-CN"/>
        </w:rPr>
      </w:pPr>
      <w:r>
        <w:rPr>
          <w:rFonts w:hint="eastAsia" w:ascii="方正小标宋_GBK" w:hAnsi="微软雅黑" w:eastAsia="方正小标宋_GBK"/>
          <w:color w:val="auto"/>
          <w:sz w:val="32"/>
          <w:szCs w:val="32"/>
          <w:highlight w:val="none"/>
        </w:rPr>
        <w:t xml:space="preserve"> </w:t>
      </w:r>
      <w:r>
        <w:rPr>
          <w:rFonts w:ascii="方正小标宋_GBK" w:hAnsi="微软雅黑" w:eastAsia="方正小标宋_GBK"/>
          <w:color w:val="auto"/>
          <w:sz w:val="32"/>
          <w:szCs w:val="32"/>
          <w:highlight w:val="none"/>
        </w:rPr>
        <w:t xml:space="preserve">          </w:t>
      </w:r>
      <w:r>
        <w:rPr>
          <w:rFonts w:hint="eastAsia" w:ascii="方正小标宋_GBK" w:hAnsi="微软雅黑" w:eastAsia="方正小标宋_GBK"/>
          <w:color w:val="auto"/>
          <w:sz w:val="32"/>
          <w:szCs w:val="32"/>
          <w:highlight w:val="none"/>
        </w:rPr>
        <w:t>项目编号:</w:t>
      </w:r>
      <w:r>
        <w:rPr>
          <w:rFonts w:hint="eastAsia" w:ascii="方正小标宋_GBK" w:hAnsi="微软雅黑" w:eastAsia="方正小标宋_GBK"/>
          <w:color w:val="auto"/>
          <w:sz w:val="32"/>
          <w:szCs w:val="32"/>
          <w:highlight w:val="none"/>
          <w:lang w:eastAsia="zh-CN"/>
        </w:rPr>
        <w:t>QZZC2025-C3-990277-QZSZ</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60" w:lineRule="exact"/>
        <w:jc w:val="center"/>
        <w:rPr>
          <w:rFonts w:hint="eastAsia" w:ascii="方正小标宋_GBK" w:hAnsi="微软雅黑" w:eastAsia="方正小标宋_GBK"/>
          <w:color w:val="auto"/>
          <w:sz w:val="32"/>
          <w:szCs w:val="32"/>
          <w:highlight w:val="none"/>
        </w:rPr>
      </w:pPr>
      <w:r>
        <w:rPr>
          <w:rFonts w:hint="eastAsia" w:ascii="方正小标宋_GBK" w:hAnsi="微软雅黑" w:eastAsia="方正小标宋_GBK"/>
          <w:color w:val="auto"/>
          <w:sz w:val="32"/>
          <w:szCs w:val="32"/>
          <w:highlight w:val="none"/>
        </w:rPr>
        <w:t>钦州市政府采购中心</w:t>
      </w:r>
    </w:p>
    <w:p>
      <w:pPr>
        <w:tabs>
          <w:tab w:val="left" w:pos="360"/>
        </w:tabs>
        <w:spacing w:line="440" w:lineRule="exact"/>
        <w:jc w:val="center"/>
        <w:rPr>
          <w:rFonts w:hint="eastAsia" w:ascii="仿宋_GB2312" w:hAnsi="宋体" w:eastAsia="仿宋_GB2312"/>
          <w:color w:val="auto"/>
          <w:sz w:val="32"/>
          <w:szCs w:val="32"/>
          <w:highlight w:val="none"/>
        </w:rPr>
      </w:pPr>
      <w:r>
        <w:rPr>
          <w:rFonts w:hint="eastAsia" w:ascii="方正小标宋_GBK" w:hAnsi="微软雅黑" w:eastAsia="方正小标宋_GBK"/>
          <w:color w:val="auto"/>
          <w:sz w:val="32"/>
          <w:szCs w:val="32"/>
          <w:highlight w:val="none"/>
        </w:rPr>
        <w:t>202</w:t>
      </w:r>
      <w:r>
        <w:rPr>
          <w:rFonts w:hint="eastAsia" w:ascii="方正小标宋_GBK" w:hAnsi="微软雅黑" w:eastAsia="方正小标宋_GBK"/>
          <w:color w:val="auto"/>
          <w:sz w:val="32"/>
          <w:szCs w:val="32"/>
          <w:highlight w:val="none"/>
          <w:lang w:val="en-US" w:eastAsia="zh-CN"/>
        </w:rPr>
        <w:t>5</w:t>
      </w:r>
      <w:r>
        <w:rPr>
          <w:rFonts w:hint="eastAsia" w:ascii="方正小标宋_GBK" w:hAnsi="微软雅黑" w:eastAsia="方正小标宋_GBK"/>
          <w:color w:val="auto"/>
          <w:sz w:val="32"/>
          <w:szCs w:val="32"/>
          <w:highlight w:val="none"/>
        </w:rPr>
        <w:t>年</w:t>
      </w:r>
      <w:r>
        <w:rPr>
          <w:rFonts w:hint="eastAsia" w:ascii="方正小标宋_GBK" w:hAnsi="微软雅黑" w:eastAsia="方正小标宋_GBK"/>
          <w:color w:val="auto"/>
          <w:sz w:val="32"/>
          <w:szCs w:val="32"/>
          <w:highlight w:val="none"/>
          <w:lang w:val="en-US" w:eastAsia="zh-CN"/>
        </w:rPr>
        <w:t>10</w:t>
      </w:r>
      <w:r>
        <w:rPr>
          <w:rFonts w:hint="eastAsia" w:ascii="方正小标宋_GBK" w:hAnsi="微软雅黑" w:eastAsia="方正小标宋_GBK"/>
          <w:color w:val="auto"/>
          <w:sz w:val="32"/>
          <w:szCs w:val="32"/>
          <w:highlight w:val="none"/>
        </w:rPr>
        <w:t>月</w:t>
      </w:r>
    </w:p>
    <w:p>
      <w:pPr>
        <w:rPr>
          <w:color w:val="auto"/>
          <w:highlight w:val="none"/>
        </w:rPr>
      </w:pPr>
    </w:p>
    <w:p>
      <w:pPr>
        <w:rPr>
          <w:color w:val="auto"/>
          <w:highlight w:val="none"/>
        </w:rPr>
      </w:pPr>
    </w:p>
    <w:p>
      <w:pPr>
        <w:spacing w:line="640" w:lineRule="exact"/>
        <w:jc w:val="center"/>
        <w:rPr>
          <w:rFonts w:hint="eastAsia" w:ascii="方正小标宋_GBK" w:hAnsi="宋体" w:eastAsia="方正小标宋_GBK"/>
          <w:b/>
          <w:color w:val="auto"/>
          <w:sz w:val="32"/>
          <w:szCs w:val="32"/>
          <w:highlight w:val="none"/>
        </w:rPr>
      </w:pPr>
      <w:r>
        <w:rPr>
          <w:rFonts w:hint="eastAsia" w:ascii="方正小标宋_GBK" w:hAnsi="宋体" w:eastAsia="方正小标宋_GBK"/>
          <w:b/>
          <w:color w:val="auto"/>
          <w:sz w:val="44"/>
          <w:szCs w:val="44"/>
          <w:highlight w:val="none"/>
        </w:rPr>
        <w:t>目   录</w:t>
      </w:r>
    </w:p>
    <w:p>
      <w:pPr>
        <w:rPr>
          <w:color w:val="auto"/>
          <w:highlight w:val="none"/>
        </w:rPr>
      </w:pPr>
    </w:p>
    <w:p>
      <w:pPr>
        <w:pStyle w:val="27"/>
        <w:tabs>
          <w:tab w:val="right" w:leader="dot" w:pos="9514"/>
        </w:tabs>
        <w:spacing w:line="1000" w:lineRule="exact"/>
        <w:rPr>
          <w:rFonts w:hint="eastAsia" w:asciiTheme="minorHAnsi" w:hAnsiTheme="minorHAnsi" w:eastAsiaTheme="minorEastAsia" w:cstheme="minorBidi"/>
          <w:color w:val="auto"/>
          <w:sz w:val="28"/>
          <w:szCs w:val="28"/>
          <w:highlight w:val="none"/>
        </w:rPr>
      </w:pPr>
      <w:bookmarkStart w:id="1" w:name="_Toc354479497"/>
      <w:r>
        <w:rPr>
          <w:rFonts w:hint="eastAsia" w:ascii="方正小标宋_GBK" w:hAnsi="仿宋" w:eastAsia="方正小标宋_GBK"/>
          <w:b/>
          <w:color w:val="auto"/>
          <w:sz w:val="28"/>
          <w:szCs w:val="28"/>
          <w:highlight w:val="none"/>
        </w:rPr>
        <w:fldChar w:fldCharType="begin"/>
      </w:r>
      <w:r>
        <w:rPr>
          <w:rFonts w:hint="eastAsia" w:ascii="方正小标宋_GBK" w:hAnsi="仿宋" w:eastAsia="方正小标宋_GBK"/>
          <w:b/>
          <w:color w:val="auto"/>
          <w:sz w:val="28"/>
          <w:szCs w:val="28"/>
          <w:highlight w:val="none"/>
        </w:rPr>
        <w:instrText xml:space="preserve"> TOC \o "1-1" \h \z \u </w:instrText>
      </w:r>
      <w:r>
        <w:rPr>
          <w:rFonts w:hint="eastAsia" w:ascii="方正小标宋_GBK" w:hAnsi="仿宋" w:eastAsia="方正小标宋_GBK"/>
          <w:b/>
          <w:color w:val="auto"/>
          <w:sz w:val="28"/>
          <w:szCs w:val="28"/>
          <w:highlight w:val="none"/>
        </w:rPr>
        <w:fldChar w:fldCharType="separate"/>
      </w:r>
      <w:r>
        <w:rPr>
          <w:color w:val="auto"/>
          <w:highlight w:val="none"/>
        </w:rPr>
        <w:fldChar w:fldCharType="begin"/>
      </w:r>
      <w:r>
        <w:rPr>
          <w:color w:val="auto"/>
          <w:highlight w:val="none"/>
        </w:rPr>
        <w:instrText xml:space="preserve"> HYPERLINK \l "_Toc92355023" </w:instrText>
      </w:r>
      <w:r>
        <w:rPr>
          <w:color w:val="auto"/>
          <w:highlight w:val="none"/>
        </w:rPr>
        <w:fldChar w:fldCharType="separate"/>
      </w:r>
      <w:r>
        <w:rPr>
          <w:rStyle w:val="42"/>
          <w:rFonts w:ascii="方正小标宋_GBK" w:hAnsi="宋体" w:eastAsia="方正小标宋_GBK"/>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_Toc92355023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pPr>
        <w:pStyle w:val="27"/>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"_Toc92355024" </w:instrText>
      </w:r>
      <w:r>
        <w:rPr>
          <w:color w:val="auto"/>
          <w:highlight w:val="none"/>
        </w:rPr>
        <w:fldChar w:fldCharType="separate"/>
      </w:r>
      <w:r>
        <w:rPr>
          <w:rStyle w:val="42"/>
          <w:rFonts w:ascii="方正小标宋_GBK" w:hAnsi="宋体" w:eastAsia="方正小标宋_GBK"/>
          <w:color w:val="auto"/>
          <w:sz w:val="28"/>
          <w:szCs w:val="28"/>
          <w:highlight w:val="none"/>
        </w:rPr>
        <w:t>第二章  项目需求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_Toc92355024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color w:val="auto"/>
          <w:sz w:val="28"/>
          <w:szCs w:val="28"/>
          <w:highlight w:val="none"/>
        </w:rPr>
        <w:fldChar w:fldCharType="end"/>
      </w:r>
    </w:p>
    <w:p>
      <w:pPr>
        <w:pStyle w:val="27"/>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"_Toc92355025" </w:instrText>
      </w:r>
      <w:r>
        <w:rPr>
          <w:color w:val="auto"/>
          <w:highlight w:val="none"/>
        </w:rPr>
        <w:fldChar w:fldCharType="separate"/>
      </w:r>
      <w:r>
        <w:rPr>
          <w:rStyle w:val="42"/>
          <w:rFonts w:ascii="方正小标宋简体" w:eastAsia="方正小标宋简体"/>
          <w:color w:val="auto"/>
          <w:sz w:val="28"/>
          <w:szCs w:val="28"/>
          <w:highlight w:val="none"/>
        </w:rPr>
        <w:t>第三章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_Toc92355025 \h </w:instrText>
      </w:r>
      <w:r>
        <w:rPr>
          <w:color w:val="auto"/>
          <w:sz w:val="28"/>
          <w:szCs w:val="28"/>
          <w:highlight w:val="none"/>
        </w:rPr>
        <w:fldChar w:fldCharType="separate"/>
      </w:r>
      <w:r>
        <w:rPr>
          <w:color w:val="auto"/>
          <w:sz w:val="28"/>
          <w:szCs w:val="28"/>
          <w:highlight w:val="none"/>
        </w:rPr>
        <w:t>14</w:t>
      </w:r>
      <w:r>
        <w:rPr>
          <w:color w:val="auto"/>
          <w:sz w:val="28"/>
          <w:szCs w:val="28"/>
          <w:highlight w:val="none"/>
        </w:rPr>
        <w:fldChar w:fldCharType="end"/>
      </w:r>
      <w:r>
        <w:rPr>
          <w:color w:val="auto"/>
          <w:sz w:val="28"/>
          <w:szCs w:val="28"/>
          <w:highlight w:val="none"/>
        </w:rPr>
        <w:fldChar w:fldCharType="end"/>
      </w:r>
    </w:p>
    <w:p>
      <w:pPr>
        <w:pStyle w:val="27"/>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"_Toc92355026" </w:instrText>
      </w:r>
      <w:r>
        <w:rPr>
          <w:color w:val="auto"/>
          <w:highlight w:val="none"/>
        </w:rPr>
        <w:fldChar w:fldCharType="separate"/>
      </w:r>
      <w:r>
        <w:rPr>
          <w:rStyle w:val="42"/>
          <w:rFonts w:ascii="方正小标宋_GBK" w:hAnsi="宋体" w:eastAsia="方正小标宋_GBK"/>
          <w:color w:val="auto"/>
          <w:sz w:val="28"/>
          <w:szCs w:val="28"/>
          <w:highlight w:val="none"/>
        </w:rPr>
        <w:t>第四章  评定标准及推荐原则</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_Toc92355026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color w:val="auto"/>
          <w:sz w:val="28"/>
          <w:szCs w:val="28"/>
          <w:highlight w:val="none"/>
        </w:rPr>
        <w:fldChar w:fldCharType="end"/>
      </w:r>
    </w:p>
    <w:p>
      <w:pPr>
        <w:pStyle w:val="27"/>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"_Toc92355027" </w:instrText>
      </w:r>
      <w:r>
        <w:rPr>
          <w:color w:val="auto"/>
          <w:highlight w:val="none"/>
        </w:rPr>
        <w:fldChar w:fldCharType="separate"/>
      </w:r>
      <w:r>
        <w:rPr>
          <w:rStyle w:val="42"/>
          <w:rFonts w:ascii="方正小标宋_GBK" w:eastAsia="方正小标宋_GBK"/>
          <w:color w:val="auto"/>
          <w:sz w:val="28"/>
          <w:szCs w:val="28"/>
          <w:highlight w:val="none"/>
        </w:rPr>
        <w:t>第五章  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_Toc92355027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color w:val="auto"/>
          <w:sz w:val="28"/>
          <w:szCs w:val="28"/>
          <w:highlight w:val="none"/>
        </w:rPr>
        <w:fldChar w:fldCharType="end"/>
      </w:r>
    </w:p>
    <w:p>
      <w:pPr>
        <w:pStyle w:val="27"/>
        <w:tabs>
          <w:tab w:val="right" w:leader="dot" w:pos="9514"/>
        </w:tabs>
        <w:spacing w:line="1000" w:lineRule="exact"/>
        <w:rPr>
          <w:rFonts w:hint="eastAsia" w:asciiTheme="minorHAnsi" w:hAnsiTheme="minorHAnsi" w:eastAsiaTheme="minorEastAsia" w:cstheme="minorBidi"/>
          <w:color w:val="auto"/>
          <w:sz w:val="28"/>
          <w:szCs w:val="28"/>
          <w:highlight w:val="none"/>
        </w:rPr>
      </w:pPr>
      <w:r>
        <w:rPr>
          <w:color w:val="auto"/>
          <w:highlight w:val="none"/>
        </w:rPr>
        <w:fldChar w:fldCharType="begin"/>
      </w:r>
      <w:r>
        <w:rPr>
          <w:color w:val="auto"/>
          <w:highlight w:val="none"/>
        </w:rPr>
        <w:instrText xml:space="preserve"> HYPERLINK \l "_Toc92355028" </w:instrText>
      </w:r>
      <w:r>
        <w:rPr>
          <w:color w:val="auto"/>
          <w:highlight w:val="none"/>
        </w:rPr>
        <w:fldChar w:fldCharType="separate"/>
      </w:r>
      <w:r>
        <w:rPr>
          <w:rStyle w:val="42"/>
          <w:rFonts w:ascii="方正小标宋_GBK" w:hAnsi="方正小标宋_GBK" w:eastAsia="方正小标宋_GBK"/>
          <w:color w:val="auto"/>
          <w:sz w:val="28"/>
          <w:szCs w:val="28"/>
          <w:highlight w:val="none"/>
        </w:rPr>
        <w:t>第六章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_Toc92355028 \h </w:instrText>
      </w:r>
      <w:r>
        <w:rPr>
          <w:color w:val="auto"/>
          <w:sz w:val="28"/>
          <w:szCs w:val="28"/>
          <w:highlight w:val="none"/>
        </w:rPr>
        <w:fldChar w:fldCharType="separate"/>
      </w:r>
      <w:r>
        <w:rPr>
          <w:color w:val="auto"/>
          <w:sz w:val="28"/>
          <w:szCs w:val="28"/>
          <w:highlight w:val="none"/>
        </w:rPr>
        <w:t>34</w:t>
      </w:r>
      <w:r>
        <w:rPr>
          <w:color w:val="auto"/>
          <w:sz w:val="28"/>
          <w:szCs w:val="28"/>
          <w:highlight w:val="none"/>
        </w:rPr>
        <w:fldChar w:fldCharType="end"/>
      </w:r>
      <w:r>
        <w:rPr>
          <w:color w:val="auto"/>
          <w:sz w:val="28"/>
          <w:szCs w:val="28"/>
          <w:highlight w:val="none"/>
        </w:rPr>
        <w:fldChar w:fldCharType="end"/>
      </w:r>
    </w:p>
    <w:p>
      <w:pPr>
        <w:rPr>
          <w:color w:val="auto"/>
          <w:highlight w:val="none"/>
        </w:rPr>
        <w:sectPr>
          <w:footerReference r:id="rId4" w:type="first"/>
          <w:footerReference r:id="rId3" w:type="default"/>
          <w:pgSz w:w="11906" w:h="16838"/>
          <w:pgMar w:top="936" w:right="1191" w:bottom="936" w:left="1191" w:header="851" w:footer="992" w:gutter="0"/>
          <w:pgNumType w:start="1"/>
          <w:cols w:space="720" w:num="1"/>
          <w:docGrid w:type="lines" w:linePitch="312" w:charSpace="0"/>
        </w:sectPr>
      </w:pPr>
      <w:r>
        <w:rPr>
          <w:rFonts w:hint="eastAsia"/>
          <w:color w:val="auto"/>
          <w:highlight w:val="none"/>
        </w:rPr>
        <w:fldChar w:fldCharType="end"/>
      </w:r>
    </w:p>
    <w:p>
      <w:pPr>
        <w:rPr>
          <w:color w:val="auto"/>
          <w:highlight w:val="none"/>
        </w:rPr>
      </w:pPr>
    </w:p>
    <w:p>
      <w:pPr>
        <w:widowControl/>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宋体" w:eastAsia="方正小标宋_GBK"/>
          <w:color w:val="auto"/>
          <w:highlight w:val="none"/>
        </w:rPr>
      </w:pPr>
      <w:bookmarkStart w:id="2" w:name="_Toc92355023"/>
      <w:r>
        <w:rPr>
          <w:rFonts w:hint="eastAsia" w:ascii="方正小标宋_GBK" w:hAnsi="宋体" w:eastAsia="方正小标宋_GBK"/>
          <w:color w:val="auto"/>
          <w:highlight w:val="none"/>
        </w:rPr>
        <w:t>第一章  竞争性磋商公告</w:t>
      </w:r>
      <w:bookmarkEnd w:id="1"/>
      <w:bookmarkEnd w:id="2"/>
    </w:p>
    <w:p>
      <w:pPr>
        <w:spacing w:line="600" w:lineRule="exact"/>
        <w:jc w:val="center"/>
        <w:rPr>
          <w:rFonts w:hint="eastAsia" w:ascii="黑体" w:hAnsi="宋体" w:eastAsia="黑体"/>
          <w:b/>
          <w:color w:val="auto"/>
          <w:sz w:val="32"/>
          <w:szCs w:val="32"/>
          <w:highlight w:val="none"/>
        </w:rPr>
      </w:pPr>
      <w:r>
        <w:rPr>
          <w:rFonts w:ascii="黑体" w:hAnsi="宋体" w:eastAsia="黑体"/>
          <w:b/>
          <w:color w:val="auto"/>
          <w:sz w:val="32"/>
          <w:szCs w:val="32"/>
          <w:highlight w:val="none"/>
        </w:rPr>
        <w:br w:type="page"/>
      </w:r>
    </w:p>
    <w:p>
      <w:pPr>
        <w:rPr>
          <w:color w:val="auto"/>
          <w:highlight w:val="none"/>
        </w:rPr>
      </w:pPr>
    </w:p>
    <w:p>
      <w:pPr>
        <w:spacing w:line="600" w:lineRule="exact"/>
        <w:jc w:val="center"/>
        <w:rPr>
          <w:rFonts w:hint="eastAsia" w:ascii="方正小标宋_GBK" w:hAnsi="宋体" w:eastAsia="方正小标宋_GBK"/>
          <w:b/>
          <w:color w:val="auto"/>
          <w:sz w:val="34"/>
          <w:szCs w:val="34"/>
          <w:highlight w:val="none"/>
        </w:rPr>
      </w:pPr>
      <w:r>
        <w:rPr>
          <w:rFonts w:hint="eastAsia" w:ascii="方正小标宋_GBK" w:hAnsi="宋体" w:eastAsia="方正小标宋_GBK"/>
          <w:b/>
          <w:color w:val="auto"/>
          <w:sz w:val="34"/>
          <w:szCs w:val="34"/>
          <w:highlight w:val="none"/>
        </w:rPr>
        <w:t>钦州市政府采购中心关于</w:t>
      </w:r>
      <w:r>
        <w:rPr>
          <w:rFonts w:hint="eastAsia" w:ascii="方正小标宋_GBK" w:hAnsi="宋体" w:eastAsia="方正小标宋_GBK"/>
          <w:b/>
          <w:color w:val="auto"/>
          <w:sz w:val="34"/>
          <w:szCs w:val="34"/>
          <w:highlight w:val="none"/>
          <w:lang w:eastAsia="zh-CN"/>
        </w:rPr>
        <w:t>钦州市人工智能＋智慧监管大数据分析平台项目</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lang w:eastAsia="zh-CN"/>
        </w:rPr>
        <w:t>QZZC2025-C3-990277-QZSZ</w:t>
      </w:r>
      <w:r>
        <w:rPr>
          <w:rFonts w:ascii="方正小标宋_GBK" w:hAnsi="宋体" w:eastAsia="方正小标宋_GBK"/>
          <w:b/>
          <w:color w:val="auto"/>
          <w:sz w:val="34"/>
          <w:szCs w:val="34"/>
          <w:highlight w:val="none"/>
        </w:rPr>
        <w:t>)</w:t>
      </w:r>
      <w:r>
        <w:rPr>
          <w:rFonts w:hint="eastAsia" w:ascii="方正小标宋_GBK" w:hAnsi="宋体" w:eastAsia="方正小标宋_GBK"/>
          <w:b/>
          <w:color w:val="auto"/>
          <w:sz w:val="34"/>
          <w:szCs w:val="34"/>
          <w:highlight w:val="none"/>
        </w:rPr>
        <w:t>的竞争性磋商公告</w:t>
      </w:r>
    </w:p>
    <w:p>
      <w:pPr>
        <w:pBdr>
          <w:top w:val="single" w:color="auto" w:sz="4" w:space="0"/>
          <w:left w:val="single" w:color="auto" w:sz="4" w:space="4"/>
          <w:bottom w:val="single" w:color="auto" w:sz="4" w:space="1"/>
          <w:right w:val="single" w:color="auto" w:sz="4" w:space="4"/>
        </w:pBdr>
        <w:spacing w:line="400" w:lineRule="exact"/>
        <w:rPr>
          <w:rFonts w:hint="eastAsia" w:ascii="方正小标宋简体" w:hAnsi="宋体" w:eastAsia="方正小标宋简体"/>
          <w:b/>
          <w:color w:val="auto"/>
          <w:sz w:val="32"/>
          <w:szCs w:val="32"/>
          <w:highlight w:val="none"/>
        </w:rPr>
      </w:pPr>
      <w:bookmarkStart w:id="3" w:name="_Toc38370138"/>
      <w:r>
        <w:rPr>
          <w:rFonts w:hint="eastAsia" w:ascii="宋体" w:hAnsi="宋体"/>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钦州市人工智能＋智慧监管大数据分析平台项目</w:t>
      </w:r>
      <w:r>
        <w:rPr>
          <w:rFonts w:hint="eastAsia" w:ascii="宋体" w:hAnsi="宋体"/>
          <w:color w:val="auto"/>
          <w:szCs w:val="21"/>
          <w:highlight w:val="none"/>
        </w:rPr>
        <w:t>项目的潜在供应商应在广西政府采购云平台（https://www.gcy.zfcg.gxzf.gov.cn/）获取采购文件，并于202</w:t>
      </w:r>
      <w:r>
        <w:rPr>
          <w:rFonts w:hint="eastAsia" w:ascii="宋体" w:hAnsi="宋体"/>
          <w:color w:val="auto"/>
          <w:szCs w:val="21"/>
          <w:highlight w:val="none"/>
          <w:lang w:val="en-US" w:eastAsia="zh-CN"/>
        </w:rPr>
        <w:t>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28</w:t>
      </w:r>
      <w:r>
        <w:rPr>
          <w:rFonts w:hint="eastAsia" w:ascii="宋体" w:hAnsi="宋体"/>
          <w:bCs/>
          <w:color w:val="auto"/>
          <w:szCs w:val="21"/>
          <w:highlight w:val="none"/>
        </w:rPr>
        <w:t>日</w:t>
      </w:r>
      <w:r>
        <w:rPr>
          <w:color w:val="auto"/>
          <w:highlight w:val="none"/>
        </w:rPr>
        <w:t>09:30</w:t>
      </w:r>
      <w:r>
        <w:rPr>
          <w:rFonts w:hint="eastAsia" w:ascii="宋体" w:hAnsi="宋体"/>
          <w:bCs/>
          <w:color w:val="auto"/>
          <w:szCs w:val="21"/>
          <w:highlight w:val="none"/>
        </w:rPr>
        <w:t>（北京时间）前提交响应</w:t>
      </w:r>
      <w:r>
        <w:rPr>
          <w:rFonts w:ascii="宋体" w:hAnsi="宋体"/>
          <w:bCs/>
          <w:color w:val="auto"/>
          <w:szCs w:val="21"/>
          <w:highlight w:val="none"/>
        </w:rPr>
        <w:t>文件</w:t>
      </w:r>
      <w:r>
        <w:rPr>
          <w:rFonts w:hint="eastAsia" w:ascii="宋体" w:hAnsi="宋体"/>
          <w:color w:val="auto"/>
          <w:szCs w:val="21"/>
          <w:highlight w:val="none"/>
        </w:rPr>
        <w:t>。</w:t>
      </w:r>
    </w:p>
    <w:bookmarkEnd w:id="3"/>
    <w:p>
      <w:pPr>
        <w:spacing w:line="400" w:lineRule="exact"/>
        <w:rPr>
          <w:b/>
          <w:color w:val="auto"/>
          <w:highlight w:val="none"/>
        </w:rPr>
      </w:pPr>
      <w:bookmarkStart w:id="4" w:name="_Toc35393790"/>
      <w:bookmarkStart w:id="5" w:name="_Toc35393621"/>
      <w:bookmarkStart w:id="6" w:name="_Toc28359079"/>
      <w:bookmarkStart w:id="7" w:name="_Toc28359002"/>
      <w:bookmarkStart w:id="8" w:name="_Hlk24379207"/>
      <w:bookmarkStart w:id="9" w:name="_Toc38370146"/>
      <w:r>
        <w:rPr>
          <w:rFonts w:hint="eastAsia"/>
          <w:b/>
          <w:color w:val="auto"/>
          <w:highlight w:val="none"/>
        </w:rPr>
        <w:t>一、项目基本情况</w:t>
      </w:r>
      <w:bookmarkEnd w:id="4"/>
      <w:bookmarkEnd w:id="5"/>
      <w:bookmarkEnd w:id="6"/>
      <w:bookmarkEnd w:id="7"/>
    </w:p>
    <w:p>
      <w:pPr>
        <w:spacing w:line="400" w:lineRule="exact"/>
        <w:ind w:firstLine="420"/>
        <w:rPr>
          <w:rFonts w:hint="eastAsia" w:eastAsia="宋体"/>
          <w:color w:val="auto"/>
          <w:highlight w:val="none"/>
          <w:lang w:eastAsia="zh-CN"/>
        </w:rPr>
      </w:pPr>
      <w:r>
        <w:rPr>
          <w:rFonts w:hint="eastAsia"/>
          <w:color w:val="auto"/>
          <w:highlight w:val="none"/>
        </w:rPr>
        <w:t>项目编号：</w:t>
      </w:r>
      <w:r>
        <w:rPr>
          <w:rFonts w:hint="eastAsia" w:ascii="宋体" w:hAnsi="宋体"/>
          <w:bCs/>
          <w:color w:val="auto"/>
          <w:highlight w:val="none"/>
          <w:lang w:eastAsia="zh-CN"/>
        </w:rPr>
        <w:t>QZZC2025-C3-990277-QZSZ</w:t>
      </w:r>
    </w:p>
    <w:p>
      <w:pPr>
        <w:spacing w:line="400" w:lineRule="exact"/>
        <w:ind w:firstLine="420"/>
        <w:rPr>
          <w:rFonts w:hint="eastAsia" w:eastAsia="宋体"/>
          <w:color w:val="auto"/>
          <w:highlight w:val="none"/>
          <w:lang w:eastAsia="zh-CN"/>
        </w:rPr>
      </w:pPr>
      <w:r>
        <w:rPr>
          <w:rFonts w:hint="eastAsia"/>
          <w:color w:val="auto"/>
          <w:highlight w:val="none"/>
        </w:rPr>
        <w:t>项目名称：</w:t>
      </w:r>
      <w:r>
        <w:rPr>
          <w:rFonts w:hint="eastAsia"/>
          <w:color w:val="auto"/>
          <w:highlight w:val="none"/>
          <w:lang w:eastAsia="zh-CN"/>
        </w:rPr>
        <w:t>钦州市人工智能＋智慧监管大数据分析平台项目</w:t>
      </w:r>
    </w:p>
    <w:bookmarkEnd w:id="8"/>
    <w:p>
      <w:pPr>
        <w:spacing w:line="400" w:lineRule="exact"/>
        <w:ind w:firstLine="420"/>
        <w:rPr>
          <w:rFonts w:hint="eastAsia" w:eastAsia="宋体"/>
          <w:color w:val="auto"/>
          <w:highlight w:val="none"/>
          <w:lang w:eastAsia="zh-CN"/>
        </w:rPr>
      </w:pPr>
      <w:r>
        <w:rPr>
          <w:rFonts w:hint="eastAsia"/>
          <w:color w:val="auto"/>
          <w:highlight w:val="none"/>
        </w:rPr>
        <w:t>预算总金额(元</w:t>
      </w:r>
      <w:r>
        <w:rPr>
          <w:color w:val="auto"/>
          <w:highlight w:val="none"/>
        </w:rPr>
        <w:t>)</w:t>
      </w:r>
      <w:r>
        <w:rPr>
          <w:rFonts w:hint="eastAsia"/>
          <w:color w:val="auto"/>
          <w:highlight w:val="none"/>
        </w:rPr>
        <w:t>：</w:t>
      </w:r>
      <w:r>
        <w:rPr>
          <w:rFonts w:hint="eastAsia"/>
          <w:color w:val="auto"/>
          <w:highlight w:val="none"/>
          <w:lang w:eastAsia="zh-CN"/>
        </w:rPr>
        <w:t>2,601,368.00</w:t>
      </w:r>
    </w:p>
    <w:p>
      <w:pPr>
        <w:spacing w:line="400" w:lineRule="exact"/>
        <w:ind w:firstLine="420"/>
        <w:rPr>
          <w:color w:val="auto"/>
          <w:highlight w:val="none"/>
        </w:rPr>
      </w:pPr>
      <w:r>
        <w:rPr>
          <w:rFonts w:hint="eastAsia"/>
          <w:color w:val="auto"/>
          <w:highlight w:val="none"/>
        </w:rPr>
        <w:t>采购需求：</w:t>
      </w:r>
    </w:p>
    <w:p>
      <w:pPr>
        <w:spacing w:line="400" w:lineRule="exact"/>
        <w:ind w:firstLine="420"/>
        <w:rPr>
          <w:color w:val="auto"/>
          <w:highlight w:val="none"/>
        </w:rPr>
      </w:pPr>
    </w:p>
    <w:p>
      <w:pPr>
        <w:spacing w:line="400" w:lineRule="exact"/>
        <w:ind w:firstLine="420"/>
        <w:rPr>
          <w:rFonts w:hint="eastAsia" w:eastAsia="宋体"/>
          <w:bCs/>
          <w:color w:val="auto"/>
          <w:highlight w:val="none"/>
          <w:lang w:eastAsia="zh-CN"/>
        </w:rPr>
      </w:pPr>
      <w:r>
        <w:rPr>
          <w:rFonts w:hint="eastAsia"/>
          <w:color w:val="auto"/>
          <w:highlight w:val="none"/>
        </w:rPr>
        <w:t>标项名称：</w:t>
      </w:r>
      <w:r>
        <w:rPr>
          <w:rFonts w:hint="eastAsia"/>
          <w:color w:val="auto"/>
          <w:highlight w:val="none"/>
          <w:lang w:eastAsia="zh-CN"/>
        </w:rPr>
        <w:t>钦州市人工智能＋智慧监管大数据分析平台项目</w:t>
      </w:r>
    </w:p>
    <w:p>
      <w:pPr>
        <w:spacing w:line="400" w:lineRule="exact"/>
        <w:ind w:firstLine="420"/>
        <w:rPr>
          <w:color w:val="auto"/>
          <w:highlight w:val="none"/>
        </w:rPr>
      </w:pPr>
      <w:r>
        <w:rPr>
          <w:rFonts w:hint="eastAsia"/>
          <w:bCs/>
          <w:color w:val="auto"/>
          <w:highlight w:val="none"/>
        </w:rPr>
        <w:t>数量：</w:t>
      </w:r>
    </w:p>
    <w:p>
      <w:pPr>
        <w:spacing w:line="400" w:lineRule="exact"/>
        <w:ind w:firstLine="420"/>
        <w:rPr>
          <w:rFonts w:hint="eastAsia" w:eastAsia="宋体"/>
          <w:color w:val="auto"/>
          <w:highlight w:val="none"/>
          <w:lang w:eastAsia="zh-CN"/>
        </w:rPr>
      </w:pPr>
      <w:r>
        <w:rPr>
          <w:rFonts w:hint="eastAsia"/>
          <w:color w:val="auto"/>
          <w:highlight w:val="none"/>
        </w:rPr>
        <w:t>预算金额(元</w:t>
      </w:r>
      <w:r>
        <w:rPr>
          <w:color w:val="auto"/>
          <w:highlight w:val="none"/>
        </w:rPr>
        <w:t>)</w:t>
      </w:r>
      <w:r>
        <w:rPr>
          <w:rFonts w:hint="eastAsia"/>
          <w:color w:val="auto"/>
          <w:highlight w:val="none"/>
        </w:rPr>
        <w:t>：</w:t>
      </w:r>
      <w:r>
        <w:rPr>
          <w:rFonts w:hint="eastAsia"/>
          <w:color w:val="auto"/>
          <w:highlight w:val="none"/>
          <w:lang w:eastAsia="zh-CN"/>
        </w:rPr>
        <w:t>2,601,368.00</w:t>
      </w:r>
    </w:p>
    <w:p>
      <w:pPr>
        <w:spacing w:line="400" w:lineRule="exact"/>
        <w:ind w:firstLine="420"/>
        <w:rPr>
          <w:rFonts w:hint="default" w:eastAsia="宋体"/>
          <w:color w:val="auto"/>
          <w:highlight w:val="none"/>
          <w:lang w:val="en-US" w:eastAsia="zh-CN"/>
        </w:rPr>
      </w:pPr>
      <w:r>
        <w:rPr>
          <w:rFonts w:hint="eastAsia"/>
          <w:color w:val="auto"/>
          <w:highlight w:val="none"/>
        </w:rPr>
        <w:t>简要规格描述或项目基本概况介绍、用途：</w:t>
      </w:r>
      <w:r>
        <w:rPr>
          <w:rFonts w:hint="eastAsia"/>
          <w:color w:val="auto"/>
          <w:highlight w:val="none"/>
          <w:lang w:eastAsia="zh-CN"/>
        </w:rPr>
        <w:t>钦州市人工智能＋智慧监管大数据分析平台项目，</w:t>
      </w:r>
      <w:r>
        <w:rPr>
          <w:rFonts w:hint="eastAsia"/>
          <w:color w:val="auto"/>
          <w:highlight w:val="none"/>
          <w:lang w:val="en-US" w:eastAsia="zh-CN"/>
        </w:rPr>
        <w:t>详见采购文件。</w:t>
      </w:r>
    </w:p>
    <w:p>
      <w:pPr>
        <w:spacing w:line="400" w:lineRule="exact"/>
        <w:ind w:firstLine="420"/>
        <w:rPr>
          <w:color w:val="auto"/>
          <w:highlight w:val="none"/>
        </w:rPr>
      </w:pPr>
      <w:r>
        <w:rPr>
          <w:rFonts w:hint="eastAsia"/>
          <w:color w:val="auto"/>
          <w:highlight w:val="none"/>
        </w:rPr>
        <w:t>最高限价(如有</w:t>
      </w:r>
      <w:r>
        <w:rPr>
          <w:color w:val="auto"/>
          <w:highlight w:val="none"/>
        </w:rPr>
        <w:t>)</w:t>
      </w:r>
      <w:r>
        <w:rPr>
          <w:rFonts w:hint="eastAsia"/>
          <w:color w:val="auto"/>
          <w:highlight w:val="none"/>
        </w:rPr>
        <w:t>：</w:t>
      </w:r>
    </w:p>
    <w:p>
      <w:pPr>
        <w:spacing w:line="400" w:lineRule="exact"/>
        <w:ind w:firstLine="420"/>
        <w:rPr>
          <w:rFonts w:hint="eastAsia" w:ascii="宋体" w:hAnsi="宋体"/>
          <w:bCs/>
          <w:color w:val="auto"/>
          <w:szCs w:val="21"/>
          <w:highlight w:val="none"/>
          <w:u w:val="single"/>
          <w:lang w:eastAsia="zh-CN"/>
        </w:rPr>
      </w:pPr>
      <w:r>
        <w:rPr>
          <w:rFonts w:hint="eastAsia"/>
          <w:color w:val="auto"/>
          <w:highlight w:val="none"/>
        </w:rPr>
        <w:t>合同履行期限：</w:t>
      </w:r>
      <w:r>
        <w:rPr>
          <w:rFonts w:hint="eastAsia" w:ascii="宋体" w:hAnsi="宋体"/>
          <w:bCs/>
          <w:color w:val="auto"/>
          <w:szCs w:val="21"/>
          <w:highlight w:val="none"/>
          <w:u w:val="none"/>
        </w:rPr>
        <w:t>自签订合同之日起</w:t>
      </w:r>
      <w:r>
        <w:rPr>
          <w:rFonts w:hint="eastAsia" w:ascii="宋体" w:hAnsi="宋体"/>
          <w:bCs/>
          <w:color w:val="auto"/>
          <w:szCs w:val="21"/>
          <w:highlight w:val="none"/>
          <w:u w:val="none"/>
          <w:lang w:val="en-US" w:eastAsia="zh-CN"/>
        </w:rPr>
        <w:t>90日</w:t>
      </w:r>
      <w:r>
        <w:rPr>
          <w:rFonts w:hint="eastAsia" w:ascii="宋体" w:hAnsi="宋体"/>
          <w:bCs/>
          <w:color w:val="auto"/>
          <w:szCs w:val="21"/>
          <w:highlight w:val="none"/>
          <w:u w:val="none"/>
        </w:rPr>
        <w:t>内交付使用</w:t>
      </w:r>
      <w:r>
        <w:rPr>
          <w:rFonts w:hint="eastAsia" w:ascii="宋体" w:hAnsi="宋体"/>
          <w:bCs/>
          <w:color w:val="auto"/>
          <w:szCs w:val="21"/>
          <w:highlight w:val="none"/>
          <w:u w:val="none"/>
          <w:lang w:eastAsia="zh-CN"/>
        </w:rPr>
        <w:t>，</w:t>
      </w:r>
      <w:r>
        <w:rPr>
          <w:rFonts w:hint="eastAsia" w:ascii="宋体" w:hAnsi="宋体"/>
          <w:bCs/>
          <w:color w:val="auto"/>
          <w:szCs w:val="21"/>
          <w:highlight w:val="none"/>
          <w:u w:val="none"/>
          <w:lang w:val="en-US" w:eastAsia="zh-CN"/>
        </w:rPr>
        <w:t>项目服务期3年</w:t>
      </w:r>
      <w:r>
        <w:rPr>
          <w:rFonts w:hint="eastAsia" w:ascii="宋体" w:hAnsi="宋体"/>
          <w:bCs/>
          <w:color w:val="auto"/>
          <w:szCs w:val="21"/>
          <w:highlight w:val="none"/>
          <w:u w:val="none"/>
          <w:lang w:eastAsia="zh-CN"/>
        </w:rPr>
        <w:t>。</w:t>
      </w:r>
    </w:p>
    <w:p>
      <w:pPr>
        <w:spacing w:line="400" w:lineRule="exact"/>
        <w:ind w:firstLine="420"/>
        <w:rPr>
          <w:color w:val="auto"/>
          <w:highlight w:val="none"/>
        </w:rPr>
      </w:pPr>
      <w:r>
        <w:rPr>
          <w:rFonts w:hint="eastAsia"/>
          <w:color w:val="auto"/>
          <w:highlight w:val="none"/>
        </w:rPr>
        <w:t>本标项(否</w:t>
      </w:r>
      <w:r>
        <w:rPr>
          <w:color w:val="auto"/>
          <w:highlight w:val="none"/>
        </w:rPr>
        <w:t>)</w:t>
      </w:r>
      <w:r>
        <w:rPr>
          <w:rFonts w:hint="eastAsia"/>
          <w:color w:val="auto"/>
          <w:highlight w:val="none"/>
        </w:rPr>
        <w:t>接受联合体投标。</w:t>
      </w:r>
    </w:p>
    <w:p>
      <w:pPr>
        <w:spacing w:line="400" w:lineRule="exact"/>
        <w:ind w:firstLine="420"/>
        <w:rPr>
          <w:color w:val="auto"/>
          <w:highlight w:val="none"/>
        </w:rPr>
      </w:pPr>
      <w:r>
        <w:rPr>
          <w:rFonts w:hint="eastAsia"/>
          <w:color w:val="auto"/>
          <w:highlight w:val="none"/>
        </w:rPr>
        <w:t>备注：</w:t>
      </w:r>
    </w:p>
    <w:p>
      <w:pPr>
        <w:spacing w:line="400" w:lineRule="exact"/>
        <w:ind w:firstLine="420"/>
        <w:rPr>
          <w:color w:val="auto"/>
          <w:highlight w:val="none"/>
        </w:rPr>
      </w:pPr>
    </w:p>
    <w:p>
      <w:pPr>
        <w:spacing w:line="400" w:lineRule="exact"/>
        <w:rPr>
          <w:b/>
          <w:color w:val="auto"/>
          <w:highlight w:val="none"/>
        </w:rPr>
      </w:pPr>
      <w:bookmarkStart w:id="10" w:name="_Toc35393791"/>
      <w:bookmarkStart w:id="11" w:name="_Toc35393622"/>
      <w:bookmarkStart w:id="12" w:name="_Toc28359003"/>
      <w:bookmarkStart w:id="13" w:name="_Toc28359080"/>
      <w:r>
        <w:rPr>
          <w:rFonts w:hint="eastAsia"/>
          <w:b/>
          <w:color w:val="auto"/>
          <w:highlight w:val="none"/>
        </w:rPr>
        <w:t>二、申请人的资格要求：</w:t>
      </w:r>
      <w:bookmarkEnd w:id="10"/>
      <w:bookmarkEnd w:id="11"/>
      <w:bookmarkEnd w:id="12"/>
      <w:bookmarkEnd w:id="13"/>
      <w:bookmarkStart w:id="14" w:name="_Toc28359081"/>
      <w:bookmarkStart w:id="15" w:name="_Toc35393623"/>
      <w:bookmarkStart w:id="16" w:name="_Toc35393792"/>
      <w:bookmarkStart w:id="17" w:name="_Toc28359004"/>
    </w:p>
    <w:p>
      <w:pPr>
        <w:spacing w:line="400" w:lineRule="exact"/>
        <w:ind w:firstLine="420"/>
        <w:rPr>
          <w:b/>
          <w:color w:val="auto"/>
          <w:highlight w:val="none"/>
        </w:rPr>
      </w:pPr>
      <w:bookmarkStart w:id="18" w:name="_Hlk111714912"/>
      <w:r>
        <w:rPr>
          <w:rFonts w:hint="eastAsia"/>
          <w:color w:val="auto"/>
          <w:highlight w:val="none"/>
        </w:rPr>
        <w:t>1.满足《中华人民共和国政府采购法》第二十二条规定</w:t>
      </w:r>
    </w:p>
    <w:p>
      <w:pPr>
        <w:spacing w:line="400" w:lineRule="exact"/>
        <w:ind w:firstLine="420"/>
        <w:rPr>
          <w:rFonts w:hint="eastAsia" w:ascii="宋体" w:hAnsi="宋体" w:eastAsia="宋体"/>
          <w:color w:val="auto"/>
          <w:szCs w:val="21"/>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服务全部由符合政策要求的中小企业承接</w:t>
      </w:r>
    </w:p>
    <w:p>
      <w:pPr>
        <w:spacing w:line="400" w:lineRule="exact"/>
        <w:ind w:firstLine="435"/>
        <w:rPr>
          <w:color w:val="auto"/>
          <w:highlight w:val="none"/>
        </w:rPr>
      </w:pPr>
      <w:r>
        <w:rPr>
          <w:rFonts w:hint="eastAsia"/>
          <w:color w:val="auto"/>
          <w:highlight w:val="none"/>
        </w:rPr>
        <w:t>3.本项目的特定资格要求：无</w:t>
      </w:r>
    </w:p>
    <w:bookmarkEnd w:id="18"/>
    <w:p>
      <w:pPr>
        <w:spacing w:line="400" w:lineRule="exact"/>
        <w:rPr>
          <w:b/>
          <w:color w:val="auto"/>
          <w:highlight w:val="none"/>
        </w:rPr>
      </w:pPr>
      <w:r>
        <w:rPr>
          <w:rFonts w:hint="eastAsia"/>
          <w:b/>
          <w:color w:val="auto"/>
          <w:highlight w:val="none"/>
        </w:rPr>
        <w:t>三、获取采购文件</w:t>
      </w:r>
      <w:bookmarkEnd w:id="14"/>
      <w:bookmarkEnd w:id="15"/>
      <w:bookmarkEnd w:id="16"/>
      <w:bookmarkEnd w:id="17"/>
    </w:p>
    <w:p>
      <w:pPr>
        <w:spacing w:line="400" w:lineRule="exact"/>
        <w:ind w:firstLine="420"/>
        <w:jc w:val="left"/>
        <w:rPr>
          <w:color w:val="auto"/>
          <w:highlight w:val="none"/>
        </w:rPr>
      </w:pPr>
      <w:bookmarkStart w:id="19" w:name="_Toc38370141"/>
      <w:r>
        <w:rPr>
          <w:rFonts w:hint="eastAsia"/>
          <w:color w:val="auto"/>
          <w:highlight w:val="none"/>
        </w:rPr>
        <w:t>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10月14</w:t>
      </w:r>
      <w:r>
        <w:rPr>
          <w:rFonts w:hint="eastAsia"/>
          <w:color w:val="auto"/>
          <w:highlight w:val="none"/>
        </w:rPr>
        <w:t>日至202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10月21</w:t>
      </w:r>
      <w:r>
        <w:rPr>
          <w:rFonts w:hint="eastAsia"/>
          <w:color w:val="auto"/>
          <w:highlight w:val="none"/>
        </w:rPr>
        <w:t>日，每天上午00:00至12:00，下午12:00至23:59（北京时间，法定节假日除外）</w:t>
      </w:r>
    </w:p>
    <w:p>
      <w:pPr>
        <w:spacing w:line="400" w:lineRule="exact"/>
        <w:ind w:firstLine="420"/>
        <w:rPr>
          <w:color w:val="auto"/>
          <w:highlight w:val="none"/>
        </w:rPr>
      </w:pPr>
      <w:r>
        <w:rPr>
          <w:rFonts w:hint="eastAsia"/>
          <w:color w:val="auto"/>
          <w:highlight w:val="none"/>
        </w:rPr>
        <w:t>地点(网址</w:t>
      </w:r>
      <w:r>
        <w:rPr>
          <w:color w:val="auto"/>
          <w:highlight w:val="none"/>
        </w:rPr>
        <w:t>)</w:t>
      </w:r>
      <w:r>
        <w:rPr>
          <w:rFonts w:hint="eastAsia"/>
          <w:color w:val="auto"/>
          <w:highlight w:val="none"/>
        </w:rPr>
        <w:t>：</w:t>
      </w:r>
      <w:bookmarkStart w:id="20" w:name="_Hlk164066481"/>
      <w:bookmarkStart w:id="21" w:name="OLE_LINK4"/>
      <w:r>
        <w:rPr>
          <w:rFonts w:hint="eastAsia" w:ascii="宋体" w:hAnsi="宋体"/>
          <w:color w:val="auto"/>
          <w:szCs w:val="21"/>
          <w:highlight w:val="none"/>
        </w:rPr>
        <w:t>广西政府采购云平台（https://www.gcy.zfcg.gxzf.gov.cn/）</w:t>
      </w:r>
      <w:bookmarkEnd w:id="20"/>
      <w:bookmarkEnd w:id="21"/>
    </w:p>
    <w:p>
      <w:pPr>
        <w:spacing w:line="400" w:lineRule="exact"/>
        <w:ind w:firstLine="420"/>
        <w:rPr>
          <w:color w:val="auto"/>
          <w:highlight w:val="none"/>
        </w:rPr>
      </w:pPr>
      <w:r>
        <w:rPr>
          <w:rFonts w:hint="eastAsia"/>
          <w:color w:val="auto"/>
          <w:highlight w:val="none"/>
        </w:rPr>
        <w:t>方式：</w:t>
      </w:r>
      <w:bookmarkStart w:id="22" w:name="OLE_LINK5"/>
      <w:r>
        <w:rPr>
          <w:rFonts w:hint="eastAsia"/>
          <w:color w:val="auto"/>
          <w:highlight w:val="none"/>
        </w:rPr>
        <w:t>供应商登录广西政府采购云平台(以下称“政采云平台”)在线获取采购文件（进入“项目采购”应用选择项目，获取采购文件）</w:t>
      </w:r>
      <w:bookmarkEnd w:id="22"/>
    </w:p>
    <w:p>
      <w:pPr>
        <w:spacing w:line="400" w:lineRule="exact"/>
        <w:ind w:firstLine="420"/>
        <w:rPr>
          <w:color w:val="auto"/>
          <w:highlight w:val="none"/>
        </w:rPr>
      </w:pPr>
      <w:r>
        <w:rPr>
          <w:rFonts w:hint="eastAsia"/>
          <w:color w:val="auto"/>
          <w:highlight w:val="none"/>
        </w:rPr>
        <w:t>售价(元</w:t>
      </w:r>
      <w:r>
        <w:rPr>
          <w:color w:val="auto"/>
          <w:highlight w:val="none"/>
        </w:rPr>
        <w:t>)</w:t>
      </w:r>
      <w:r>
        <w:rPr>
          <w:rFonts w:hint="eastAsia"/>
          <w:color w:val="auto"/>
          <w:highlight w:val="none"/>
        </w:rPr>
        <w:t>：0</w:t>
      </w:r>
    </w:p>
    <w:p>
      <w:pPr>
        <w:spacing w:line="400" w:lineRule="exact"/>
        <w:rPr>
          <w:b/>
          <w:color w:val="auto"/>
          <w:highlight w:val="none"/>
        </w:rPr>
      </w:pPr>
      <w:r>
        <w:rPr>
          <w:rFonts w:hint="eastAsia"/>
          <w:b/>
          <w:bCs/>
          <w:color w:val="auto"/>
          <w:highlight w:val="none"/>
        </w:rPr>
        <w:t>四、</w:t>
      </w:r>
      <w:bookmarkEnd w:id="19"/>
      <w:bookmarkStart w:id="23" w:name="_Toc28359082"/>
      <w:bookmarkStart w:id="24" w:name="_Toc28359005"/>
      <w:bookmarkStart w:id="25" w:name="_Toc35393793"/>
      <w:bookmarkStart w:id="26" w:name="_Toc35393624"/>
      <w:r>
        <w:rPr>
          <w:rFonts w:hint="eastAsia"/>
          <w:b/>
          <w:color w:val="auto"/>
          <w:highlight w:val="none"/>
        </w:rPr>
        <w:t>响应文件</w:t>
      </w:r>
      <w:bookmarkEnd w:id="23"/>
      <w:bookmarkEnd w:id="24"/>
      <w:r>
        <w:rPr>
          <w:rFonts w:hint="eastAsia"/>
          <w:b/>
          <w:color w:val="auto"/>
          <w:highlight w:val="none"/>
        </w:rPr>
        <w:t>提交</w:t>
      </w:r>
      <w:bookmarkEnd w:id="25"/>
      <w:bookmarkEnd w:id="26"/>
    </w:p>
    <w:p>
      <w:pPr>
        <w:spacing w:line="400" w:lineRule="exact"/>
        <w:ind w:firstLine="420"/>
        <w:rPr>
          <w:color w:val="auto"/>
          <w:highlight w:val="none"/>
        </w:rPr>
      </w:pPr>
      <w:r>
        <w:rPr>
          <w:rFonts w:hint="eastAsia"/>
          <w:color w:val="auto"/>
          <w:highlight w:val="none"/>
        </w:rPr>
        <w:t>截止时间：202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10月28</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color w:val="auto"/>
          <w:highlight w:val="none"/>
        </w:rPr>
        <w:t>地点(网址）：</w:t>
      </w:r>
      <w:bookmarkStart w:id="27" w:name="OLE_LINK6"/>
      <w:r>
        <w:rPr>
          <w:rFonts w:hint="eastAsia" w:ascii="宋体" w:hAnsi="宋体" w:cs="Courier New"/>
          <w:color w:val="auto"/>
          <w:szCs w:val="21"/>
          <w:highlight w:val="none"/>
        </w:rPr>
        <w:t>政府采购云平台（</w:t>
      </w:r>
      <w:r>
        <w:rPr>
          <w:rFonts w:ascii="宋体" w:hAnsi="宋体" w:cs="Courier New"/>
          <w:color w:val="auto"/>
          <w:szCs w:val="21"/>
          <w:highlight w:val="none"/>
        </w:rPr>
        <w:t>https://www.gcy.zfcg.gxzf.gov.cn/</w:t>
      </w:r>
      <w:r>
        <w:rPr>
          <w:rFonts w:hint="eastAsia" w:ascii="宋体" w:hAnsi="宋体" w:cs="Courier New"/>
          <w:color w:val="auto"/>
          <w:szCs w:val="21"/>
          <w:highlight w:val="none"/>
        </w:rPr>
        <w:t>）</w:t>
      </w:r>
      <w:bookmarkEnd w:id="27"/>
    </w:p>
    <w:p>
      <w:pPr>
        <w:spacing w:line="400" w:lineRule="exact"/>
        <w:rPr>
          <w:rFonts w:hint="eastAsia" w:ascii="宋体" w:hAnsi="宋体" w:cs="Courier New"/>
          <w:b/>
          <w:bCs/>
          <w:color w:val="auto"/>
          <w:szCs w:val="21"/>
          <w:highlight w:val="none"/>
        </w:rPr>
      </w:pPr>
      <w:r>
        <w:rPr>
          <w:rFonts w:hint="eastAsia" w:ascii="宋体" w:hAnsi="宋体" w:cs="Courier New"/>
          <w:b/>
          <w:bCs/>
          <w:color w:val="auto"/>
          <w:szCs w:val="21"/>
          <w:highlight w:val="none"/>
        </w:rPr>
        <w:t>五、响应文件开启</w:t>
      </w:r>
    </w:p>
    <w:p>
      <w:pPr>
        <w:spacing w:line="400" w:lineRule="exact"/>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开启时间：</w:t>
      </w: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10月28</w:t>
      </w:r>
      <w:r>
        <w:rPr>
          <w:rFonts w:hint="eastAsia"/>
          <w:color w:val="auto"/>
          <w:highlight w:val="none"/>
        </w:rPr>
        <w:t>日</w:t>
      </w:r>
      <w:r>
        <w:rPr>
          <w:color w:val="auto"/>
          <w:highlight w:val="none"/>
        </w:rPr>
        <w:t>09:30</w:t>
      </w:r>
      <w:r>
        <w:rPr>
          <w:rFonts w:hint="eastAsia"/>
          <w:color w:val="auto"/>
          <w:highlight w:val="none"/>
        </w:rPr>
        <w:t>（北京时间）</w:t>
      </w:r>
    </w:p>
    <w:p>
      <w:pPr>
        <w:spacing w:line="400" w:lineRule="exact"/>
        <w:ind w:firstLine="420"/>
        <w:rPr>
          <w:rFonts w:hint="eastAsia" w:ascii="宋体" w:hAnsi="宋体" w:cs="Courier New"/>
          <w:color w:val="auto"/>
          <w:szCs w:val="21"/>
          <w:highlight w:val="none"/>
        </w:rPr>
      </w:pPr>
      <w:r>
        <w:rPr>
          <w:rFonts w:hint="eastAsia" w:ascii="宋体" w:hAnsi="宋体" w:cs="Courier New"/>
          <w:color w:val="auto"/>
          <w:szCs w:val="21"/>
          <w:highlight w:val="none"/>
        </w:rPr>
        <w:t>地点：</w:t>
      </w:r>
      <w:bookmarkStart w:id="28" w:name="_Toc35393625"/>
      <w:bookmarkStart w:id="29" w:name="_Toc28359007"/>
      <w:bookmarkStart w:id="30" w:name="_Toc28359084"/>
      <w:bookmarkStart w:id="31" w:name="_Toc35393794"/>
      <w:r>
        <w:rPr>
          <w:rFonts w:hint="eastAsia"/>
          <w:color w:val="auto"/>
          <w:highlight w:val="none"/>
        </w:rPr>
        <w:t>广西钦州市金海湾东大街8号市政务服务中心三楼开标室</w:t>
      </w:r>
    </w:p>
    <w:p>
      <w:pPr>
        <w:spacing w:line="400" w:lineRule="exact"/>
        <w:rPr>
          <w:b/>
          <w:color w:val="auto"/>
          <w:highlight w:val="none"/>
        </w:rPr>
      </w:pPr>
      <w:r>
        <w:rPr>
          <w:rFonts w:hint="eastAsia"/>
          <w:b/>
          <w:color w:val="auto"/>
          <w:highlight w:val="none"/>
        </w:rPr>
        <w:t>六、公告期限</w:t>
      </w:r>
      <w:bookmarkEnd w:id="28"/>
      <w:bookmarkEnd w:id="29"/>
      <w:bookmarkEnd w:id="30"/>
      <w:bookmarkEnd w:id="31"/>
    </w:p>
    <w:p>
      <w:pPr>
        <w:spacing w:line="400" w:lineRule="exact"/>
        <w:ind w:firstLine="420"/>
        <w:rPr>
          <w:color w:val="auto"/>
          <w:highlight w:val="none"/>
        </w:rPr>
      </w:pPr>
      <w:r>
        <w:rPr>
          <w:rFonts w:hint="eastAsia"/>
          <w:color w:val="auto"/>
          <w:highlight w:val="none"/>
        </w:rPr>
        <w:t>自本公告发布之日起</w:t>
      </w:r>
      <w:r>
        <w:rPr>
          <w:color w:val="auto"/>
          <w:highlight w:val="none"/>
        </w:rPr>
        <w:t>5</w:t>
      </w:r>
      <w:r>
        <w:rPr>
          <w:rFonts w:hint="eastAsia"/>
          <w:color w:val="auto"/>
          <w:highlight w:val="none"/>
        </w:rPr>
        <w:t>个工作日。</w:t>
      </w:r>
    </w:p>
    <w:p>
      <w:pPr>
        <w:spacing w:line="400" w:lineRule="exact"/>
        <w:rPr>
          <w:b/>
          <w:color w:val="auto"/>
          <w:highlight w:val="none"/>
        </w:rPr>
      </w:pPr>
      <w:bookmarkStart w:id="32" w:name="_Toc35393796"/>
      <w:bookmarkStart w:id="33" w:name="_Toc35393627"/>
      <w:bookmarkStart w:id="34" w:name="_Toc28359085"/>
      <w:bookmarkStart w:id="35" w:name="_Toc28359008"/>
      <w:r>
        <w:rPr>
          <w:rFonts w:hint="eastAsia"/>
          <w:b/>
          <w:color w:val="auto"/>
          <w:highlight w:val="none"/>
        </w:rPr>
        <w:t>七、其他补充事宜</w:t>
      </w:r>
    </w:p>
    <w:p>
      <w:pPr>
        <w:spacing w:line="400" w:lineRule="exact"/>
        <w:ind w:firstLine="420"/>
        <w:rPr>
          <w:b/>
          <w:color w:val="auto"/>
          <w:highlight w:val="none"/>
        </w:rPr>
      </w:pPr>
      <w:r>
        <w:rPr>
          <w:rFonts w:hint="eastAsia"/>
          <w:color w:val="auto"/>
          <w:highlight w:val="none"/>
          <w:lang w:val="en-US" w:eastAsia="zh-CN"/>
        </w:rPr>
        <w:t>1.</w:t>
      </w:r>
      <w:r>
        <w:rPr>
          <w:rFonts w:hint="eastAsia"/>
          <w:bCs/>
          <w:color w:val="auto"/>
          <w:highlight w:val="none"/>
        </w:rPr>
        <w:t>本项目需落实的政府采购政策</w:t>
      </w:r>
      <w:r>
        <w:rPr>
          <w:rFonts w:hint="eastAsia"/>
          <w:b/>
          <w:color w:val="auto"/>
          <w:highlight w:val="none"/>
        </w:rPr>
        <w:t>：</w:t>
      </w:r>
    </w:p>
    <w:p>
      <w:pPr>
        <w:spacing w:line="400" w:lineRule="exact"/>
        <w:ind w:firstLine="420"/>
        <w:rPr>
          <w:color w:val="auto"/>
          <w:highlight w:val="none"/>
        </w:rPr>
      </w:pPr>
      <w:r>
        <w:rPr>
          <w:rFonts w:hint="eastAsia"/>
          <w:color w:val="auto"/>
          <w:highlight w:val="none"/>
        </w:rPr>
        <w:t>(1)财政部 工业和信息化部关于印发《政府采购促进中小企业发展管理办法》的通知(财库﹝2020﹞46号)</w:t>
      </w:r>
    </w:p>
    <w:p>
      <w:pPr>
        <w:spacing w:line="400" w:lineRule="exact"/>
        <w:ind w:firstLine="420"/>
        <w:rPr>
          <w:color w:val="auto"/>
          <w:highlight w:val="none"/>
        </w:rPr>
      </w:pPr>
      <w:r>
        <w:rPr>
          <w:rFonts w:hint="eastAsia"/>
          <w:color w:val="auto"/>
          <w:highlight w:val="none"/>
        </w:rPr>
        <w:t>(2)财政部 司法部关于政府采购支持监狱企业发展有关问题的通知 (财库﹝2014﹞68号)</w:t>
      </w:r>
    </w:p>
    <w:p>
      <w:pPr>
        <w:spacing w:line="400" w:lineRule="exact"/>
        <w:ind w:firstLine="420"/>
        <w:rPr>
          <w:color w:val="auto"/>
          <w:highlight w:val="none"/>
        </w:rPr>
      </w:pPr>
      <w:r>
        <w:rPr>
          <w:rFonts w:hint="eastAsia"/>
          <w:color w:val="auto"/>
          <w:highlight w:val="none"/>
        </w:rPr>
        <w:t>(3)财政部 民政部 中国残疾人联合会关于促进残疾人就业政府采购政策的通知 (财库﹝2017﹞141号)</w:t>
      </w:r>
    </w:p>
    <w:p>
      <w:pPr>
        <w:spacing w:line="400" w:lineRule="exact"/>
        <w:ind w:firstLine="420"/>
        <w:rPr>
          <w:color w:val="auto"/>
          <w:highlight w:val="none"/>
        </w:rPr>
      </w:pPr>
      <w:r>
        <w:rPr>
          <w:rFonts w:hint="eastAsia"/>
          <w:color w:val="auto"/>
          <w:highlight w:val="none"/>
          <w:lang w:val="en-US" w:eastAsia="zh-CN"/>
        </w:rPr>
        <w:t>2</w:t>
      </w:r>
      <w:r>
        <w:rPr>
          <w:color w:val="auto"/>
          <w:highlight w:val="none"/>
        </w:rPr>
        <w:t>.</w:t>
      </w:r>
      <w:bookmarkStart w:id="36" w:name="_Hlk91598380"/>
      <w:r>
        <w:rPr>
          <w:rFonts w:hint="eastAsia"/>
          <w:color w:val="auto"/>
          <w:highlight w:val="none"/>
        </w:rPr>
        <w:t>全流程电子化</w:t>
      </w:r>
      <w:bookmarkEnd w:id="36"/>
      <w:r>
        <w:rPr>
          <w:rFonts w:hint="eastAsia"/>
          <w:color w:val="auto"/>
          <w:highlight w:val="none"/>
        </w:rPr>
        <w:t>要求：</w:t>
      </w:r>
    </w:p>
    <w:p>
      <w:pPr>
        <w:spacing w:line="400" w:lineRule="exact"/>
        <w:ind w:firstLine="420"/>
        <w:rPr>
          <w:color w:val="auto"/>
          <w:highlight w:val="none"/>
        </w:rPr>
      </w:pPr>
      <w:r>
        <w:rPr>
          <w:rFonts w:hint="eastAsia"/>
          <w:color w:val="auto"/>
          <w:highlight w:val="none"/>
        </w:rPr>
        <w:t>本项目为全流程电子化项目，供应商应做好参与全流程电子化交易的充分准备，熟悉掌握电子化采购项目操作指南</w:t>
      </w:r>
      <w:bookmarkStart w:id="37" w:name="_Hlk147760538"/>
      <w:r>
        <w:rPr>
          <w:rFonts w:hint="eastAsia"/>
          <w:color w:val="auto"/>
          <w:highlight w:val="none"/>
        </w:rPr>
        <w:t>(操作指南：</w:t>
      </w:r>
      <w:r>
        <w:rPr>
          <w:color w:val="auto"/>
          <w:highlight w:val="none"/>
        </w:rPr>
        <w:fldChar w:fldCharType="begin"/>
      </w:r>
      <w:r>
        <w:rPr>
          <w:color w:val="auto"/>
          <w:highlight w:val="none"/>
        </w:rPr>
        <w:instrText xml:space="preserve"> HYPERLINK "https://helpcenter.zcygov.cn/document/" \l "/document/dashboard?siteCode=beijing&amp;channel=dt" </w:instrText>
      </w:r>
      <w:r>
        <w:rPr>
          <w:color w:val="auto"/>
          <w:highlight w:val="none"/>
        </w:rPr>
        <w:fldChar w:fldCharType="separate"/>
      </w:r>
      <w:r>
        <w:rPr>
          <w:rStyle w:val="42"/>
          <w:rFonts w:hint="eastAsia"/>
          <w:color w:val="auto"/>
          <w:highlight w:val="none"/>
        </w:rPr>
        <w:t>政采云电子卖场首页右上角—服务中心—帮助文档—项目采购</w:t>
      </w:r>
      <w:r>
        <w:rPr>
          <w:rStyle w:val="42"/>
          <w:rFonts w:hint="eastAsia"/>
          <w:color w:val="auto"/>
          <w:highlight w:val="none"/>
        </w:rPr>
        <w:fldChar w:fldCharType="end"/>
      </w:r>
      <w:r>
        <w:rPr>
          <w:rFonts w:hint="eastAsia"/>
          <w:color w:val="auto"/>
          <w:highlight w:val="none"/>
        </w:rPr>
        <w:t>)，及时完成CA申领和绑定(操作指南：</w:t>
      </w:r>
      <w:r>
        <w:rPr>
          <w:color w:val="auto"/>
          <w:highlight w:val="none"/>
        </w:rPr>
        <w:fldChar w:fldCharType="begin"/>
      </w:r>
      <w:r>
        <w:rPr>
          <w:color w:val="auto"/>
          <w:highlight w:val="none"/>
        </w:rPr>
        <w:instrText xml:space="preserve"> HYPERLINK "https://helpcenter.zcygov.cn/document/" \l "/document/detail?siteCode=beijing&amp;manualId=795&amp;topicId=4081" </w:instrText>
      </w:r>
      <w:r>
        <w:rPr>
          <w:color w:val="auto"/>
          <w:highlight w:val="none"/>
        </w:rPr>
        <w:fldChar w:fldCharType="separate"/>
      </w:r>
      <w:r>
        <w:rPr>
          <w:rStyle w:val="42"/>
          <w:rFonts w:hint="eastAsia"/>
          <w:color w:val="auto"/>
          <w:highlight w:val="none"/>
        </w:rPr>
        <w:t>政采云电子卖场首页右上角—帮助文档—入驻与配置—CA管理</w:t>
      </w:r>
      <w:r>
        <w:rPr>
          <w:rStyle w:val="42"/>
          <w:rFonts w:hint="eastAsia"/>
          <w:color w:val="auto"/>
          <w:highlight w:val="none"/>
        </w:rPr>
        <w:fldChar w:fldCharType="end"/>
      </w:r>
      <w:r>
        <w:rPr>
          <w:rFonts w:hint="eastAsia"/>
          <w:color w:val="auto"/>
          <w:highlight w:val="none"/>
        </w:rPr>
        <w:t>；CA证书申领路径：</w:t>
      </w:r>
      <w:r>
        <w:rPr>
          <w:color w:val="auto"/>
          <w:highlight w:val="none"/>
        </w:rPr>
        <w:fldChar w:fldCharType="begin"/>
      </w:r>
      <w:r>
        <w:rPr>
          <w:color w:val="auto"/>
          <w:highlight w:val="none"/>
        </w:rPr>
        <w:instrText xml:space="preserve"> HYPERLINK "https://helpcenter.zcygov.cn/document/" \l "/document/detail?siteCode=beijing&amp;manualId=795&amp;topicId=4083" </w:instrText>
      </w:r>
      <w:r>
        <w:rPr>
          <w:color w:val="auto"/>
          <w:highlight w:val="none"/>
        </w:rPr>
        <w:fldChar w:fldCharType="separate"/>
      </w:r>
      <w:r>
        <w:rPr>
          <w:rStyle w:val="42"/>
          <w:rFonts w:hint="eastAsia"/>
          <w:color w:val="auto"/>
          <w:highlight w:val="none"/>
        </w:rPr>
        <w:t>政采云平台—我的工作台右上角—CA管理—CA证书申领</w:t>
      </w:r>
      <w:r>
        <w:rPr>
          <w:rStyle w:val="42"/>
          <w:rFonts w:hint="eastAsia"/>
          <w:color w:val="auto"/>
          <w:highlight w:val="none"/>
        </w:rPr>
        <w:fldChar w:fldCharType="end"/>
      </w:r>
      <w:r>
        <w:rPr>
          <w:rFonts w:hint="eastAsia"/>
          <w:color w:val="auto"/>
          <w:highlight w:val="none"/>
        </w:rPr>
        <w:t>)</w:t>
      </w:r>
      <w:bookmarkEnd w:id="37"/>
      <w:r>
        <w:rPr>
          <w:rFonts w:hint="eastAsia"/>
          <w:color w:val="auto"/>
          <w:highlight w:val="none"/>
        </w:rPr>
        <w:t>。因未注册入库、未办理CA数字证书、CA证书故障、操作不当等原因造成谈判失败等后果由供应商承担。</w:t>
      </w:r>
    </w:p>
    <w:p>
      <w:pPr>
        <w:spacing w:line="400" w:lineRule="exact"/>
        <w:ind w:firstLine="420"/>
        <w:rPr>
          <w:color w:val="auto"/>
          <w:highlight w:val="none"/>
        </w:rPr>
      </w:pPr>
      <w:r>
        <w:rPr>
          <w:color w:val="auto"/>
          <w:highlight w:val="none"/>
        </w:rPr>
        <w:t>(1)</w:t>
      </w:r>
      <w:r>
        <w:rPr>
          <w:rFonts w:hint="eastAsia"/>
          <w:color w:val="auto"/>
          <w:highlight w:val="none"/>
        </w:rPr>
        <w:t>依法获取采购文件：供应商须在获取采购文件时间内登录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Style w:val="42"/>
          <w:rFonts w:hint="eastAsia"/>
          <w:color w:val="auto"/>
          <w:highlight w:val="none"/>
        </w:rPr>
        <w:t>政府采购云平台</w:t>
      </w:r>
      <w:r>
        <w:rPr>
          <w:rStyle w:val="42"/>
          <w:rFonts w:hint="eastAsia"/>
          <w:color w:val="auto"/>
          <w:highlight w:val="none"/>
        </w:rPr>
        <w:fldChar w:fldCharType="end"/>
      </w:r>
      <w:r>
        <w:rPr>
          <w:rFonts w:hint="eastAsia"/>
          <w:color w:val="auto"/>
          <w:highlight w:val="none"/>
        </w:rPr>
        <w:t>申请下载采购文件才视作依法获取采购文件。</w:t>
      </w:r>
    </w:p>
    <w:p>
      <w:pPr>
        <w:spacing w:line="400" w:lineRule="exact"/>
        <w:ind w:firstLine="420"/>
        <w:rPr>
          <w:b/>
          <w:color w:val="auto"/>
          <w:highlight w:val="none"/>
        </w:rPr>
      </w:pPr>
      <w:r>
        <w:rPr>
          <w:rFonts w:hint="eastAsia"/>
          <w:color w:val="auto"/>
          <w:highlight w:val="none"/>
        </w:rPr>
        <w:t>(</w:t>
      </w:r>
      <w:r>
        <w:rPr>
          <w:color w:val="auto"/>
          <w:highlight w:val="none"/>
        </w:rPr>
        <w:t>2)</w:t>
      </w:r>
      <w:r>
        <w:rPr>
          <w:rFonts w:hint="eastAsia"/>
          <w:color w:val="auto"/>
          <w:highlight w:val="none"/>
        </w:rPr>
        <w:t>供应商应通过广西政府采购云平台客户端制作响应文件，供应商自行前往下载安装（</w:t>
      </w:r>
      <w:r>
        <w:rPr>
          <w:color w:val="auto"/>
          <w:highlight w:val="none"/>
        </w:rPr>
        <w:fldChar w:fldCharType="begin"/>
      </w:r>
      <w:r>
        <w:rPr>
          <w:color w:val="auto"/>
          <w:highlight w:val="none"/>
        </w:rPr>
        <w:instrText xml:space="preserve"> HYPERLINK "https://sitecdn.zcycdn.com/zcy-client/bidding-client-new/official/guangxi/GuangXiSetup.exe" </w:instrText>
      </w:r>
      <w:r>
        <w:rPr>
          <w:color w:val="auto"/>
          <w:highlight w:val="none"/>
        </w:rPr>
        <w:fldChar w:fldCharType="separate"/>
      </w:r>
      <w:r>
        <w:rPr>
          <w:rFonts w:hint="eastAsia"/>
          <w:color w:val="auto"/>
          <w:highlight w:val="none"/>
        </w:rPr>
        <w:t>客户端下载</w:t>
      </w:r>
      <w:r>
        <w:rPr>
          <w:rFonts w:hint="eastAsia"/>
          <w:color w:val="auto"/>
          <w:highlight w:val="none"/>
        </w:rPr>
        <w:fldChar w:fldCharType="end"/>
      </w:r>
      <w:r>
        <w:rPr>
          <w:rFonts w:hint="eastAsia"/>
          <w:color w:val="auto"/>
          <w:highlight w:val="none"/>
        </w:rPr>
        <w:t>）。</w:t>
      </w:r>
    </w:p>
    <w:p>
      <w:pPr>
        <w:spacing w:line="400" w:lineRule="exact"/>
        <w:ind w:firstLine="420"/>
        <w:rPr>
          <w:color w:val="auto"/>
          <w:highlight w:val="none"/>
        </w:rPr>
      </w:pPr>
      <w:r>
        <w:rPr>
          <w:rFonts w:hint="eastAsia"/>
          <w:color w:val="auto"/>
          <w:highlight w:val="none"/>
        </w:rPr>
        <w:t>(</w:t>
      </w:r>
      <w:r>
        <w:rPr>
          <w:color w:val="auto"/>
          <w:highlight w:val="none"/>
        </w:rPr>
        <w:t>3)</w:t>
      </w:r>
      <w:r>
        <w:rPr>
          <w:rFonts w:hint="eastAsia"/>
          <w:color w:val="auto"/>
          <w:highlight w:val="none"/>
        </w:rPr>
        <w:t>供应商须按照采购文件和政府采购云平台的要求进行编制、上传、加密、提交、解密响应文件，响应文件提交截止时间后，政府采购云平台自动提取全部响应文件，各供应商须在提交截止时间后30分钟内对已上传政府采购云平台的响应文件进行解密，参与本项目的全部供应商在规定的解密时限内解密完成或解密时限结束后，我中心开启响应文件；供应商在解密时限内未完成解密的，政府采购云平台默认为供应商放弃参与本项目。</w:t>
      </w:r>
    </w:p>
    <w:p>
      <w:pPr>
        <w:spacing w:line="400" w:lineRule="exact"/>
        <w:ind w:firstLine="420"/>
        <w:rPr>
          <w:b/>
          <w:color w:val="auto"/>
          <w:highlight w:val="none"/>
        </w:rPr>
      </w:pPr>
      <w:r>
        <w:rPr>
          <w:rFonts w:hint="eastAsia"/>
          <w:color w:val="auto"/>
          <w:highlight w:val="none"/>
        </w:rPr>
        <w:t>(</w:t>
      </w:r>
      <w:r>
        <w:rPr>
          <w:color w:val="auto"/>
          <w:highlight w:val="none"/>
        </w:rPr>
        <w:t>4)</w:t>
      </w:r>
      <w:r>
        <w:rPr>
          <w:rFonts w:hint="eastAsia"/>
          <w:color w:val="auto"/>
          <w:highlight w:val="none"/>
        </w:rPr>
        <w:t>供应商法定代表人或委托代理人须按时登录</w:t>
      </w:r>
      <w:bookmarkStart w:id="38" w:name="_Hlk90367388"/>
      <w:r>
        <w:rPr>
          <w:rFonts w:hint="eastAsia" w:ascii="宋体" w:hAnsi="宋体" w:cs="Courier New"/>
          <w:color w:val="auto"/>
          <w:szCs w:val="21"/>
          <w:highlight w:val="none"/>
        </w:rPr>
        <w:t>政采云远程开标大厅</w:t>
      </w:r>
      <w:bookmarkEnd w:id="38"/>
      <w:r>
        <w:rPr>
          <w:rFonts w:hint="eastAsia"/>
          <w:color w:val="auto"/>
          <w:highlight w:val="none"/>
        </w:rPr>
        <w:t>，保持全程在线并关注评审磋商进度，评审期间磋商小组提出澄清等要求时，供应商须在规定时间内进行应答，否则按采购文件或政采云平台的相关规定执行。</w:t>
      </w:r>
    </w:p>
    <w:p>
      <w:pPr>
        <w:spacing w:line="400" w:lineRule="exact"/>
        <w:ind w:firstLine="420"/>
        <w:rPr>
          <w:rFonts w:hint="eastAsia" w:hAnsi="宋体"/>
          <w:color w:val="auto"/>
          <w:highlight w:val="none"/>
        </w:rPr>
      </w:pPr>
      <w:r>
        <w:rPr>
          <w:rFonts w:hint="eastAsia"/>
          <w:color w:val="auto"/>
          <w:highlight w:val="none"/>
        </w:rPr>
        <w:t>(</w:t>
      </w:r>
      <w:r>
        <w:rPr>
          <w:color w:val="auto"/>
          <w:highlight w:val="none"/>
        </w:rPr>
        <w:t>5)</w:t>
      </w:r>
      <w:r>
        <w:rPr>
          <w:rFonts w:hint="eastAsia"/>
          <w:color w:val="auto"/>
          <w:highlight w:val="none"/>
        </w:rPr>
        <w:t>供应商参与磋商过程中涉及政府采购云平台的问题，请咨询政采云</w:t>
      </w:r>
      <w:r>
        <w:rPr>
          <w:rFonts w:hint="eastAsia" w:hAnsi="宋体"/>
          <w:color w:val="auto"/>
          <w:highlight w:val="none"/>
        </w:rPr>
        <w:t>技术支持热线：</w:t>
      </w:r>
      <w:r>
        <w:rPr>
          <w:rFonts w:hAnsi="宋体"/>
          <w:color w:val="auto"/>
          <w:highlight w:val="none"/>
        </w:rPr>
        <w:t>95763</w:t>
      </w:r>
      <w:r>
        <w:rPr>
          <w:rFonts w:hint="eastAsia"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lang w:val="en-US" w:eastAsia="zh-CN"/>
        </w:rPr>
        <w:t>3</w:t>
      </w:r>
      <w:r>
        <w:rPr>
          <w:rFonts w:hAnsi="宋体"/>
          <w:color w:val="auto"/>
          <w:highlight w:val="none"/>
        </w:rPr>
        <w:t>.</w:t>
      </w:r>
      <w:r>
        <w:rPr>
          <w:rFonts w:hint="eastAsia" w:hAnsi="宋体"/>
          <w:color w:val="auto"/>
          <w:highlight w:val="none"/>
        </w:rPr>
        <w:t>查询媒体：中国政府采购网、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2"/>
          <w:rFonts w:hint="eastAsia" w:hAnsi="宋体"/>
          <w:color w:val="auto"/>
          <w:highlight w:val="none"/>
          <w:u w:val="none"/>
        </w:rPr>
        <w:t>广西政府采购网</w:t>
      </w:r>
      <w:r>
        <w:rPr>
          <w:rStyle w:val="42"/>
          <w:rFonts w:hint="eastAsia" w:hAnsi="宋体"/>
          <w:color w:val="auto"/>
          <w:highlight w:val="none"/>
          <w:u w:val="none"/>
        </w:rPr>
        <w:fldChar w:fldCharType="end"/>
      </w:r>
      <w:r>
        <w:rPr>
          <w:rFonts w:hint="eastAsia" w:hAnsi="宋体"/>
          <w:color w:val="auto"/>
          <w:highlight w:val="none"/>
        </w:rPr>
        <w:t>。</w:t>
      </w:r>
    </w:p>
    <w:p>
      <w:pPr>
        <w:spacing w:line="400" w:lineRule="exact"/>
        <w:ind w:firstLine="420"/>
        <w:jc w:val="left"/>
        <w:rPr>
          <w:rFonts w:hint="eastAsia" w:hAnsi="宋体"/>
          <w:color w:val="auto"/>
          <w:highlight w:val="none"/>
        </w:rPr>
      </w:pPr>
      <w:bookmarkStart w:id="39" w:name="_Hlk107409555"/>
      <w:bookmarkStart w:id="40" w:name="_Hlk108515619"/>
      <w:r>
        <w:rPr>
          <w:rFonts w:hint="eastAsia" w:hAnsi="宋体"/>
          <w:color w:val="auto"/>
          <w:highlight w:val="none"/>
          <w:lang w:val="en-US" w:eastAsia="zh-CN"/>
        </w:rPr>
        <w:t>4</w:t>
      </w:r>
      <w:r>
        <w:rPr>
          <w:rFonts w:hAnsi="宋体"/>
          <w:color w:val="auto"/>
          <w:highlight w:val="none"/>
        </w:rPr>
        <w:t>.</w:t>
      </w:r>
      <w:r>
        <w:rPr>
          <w:rFonts w:hint="eastAsia" w:hAnsi="宋体"/>
          <w:color w:val="auto"/>
          <w:highlight w:val="none"/>
        </w:rPr>
        <w:t>钦州市政府采购中心联系方式：</w:t>
      </w:r>
    </w:p>
    <w:p>
      <w:pPr>
        <w:spacing w:line="400" w:lineRule="exact"/>
        <w:ind w:firstLine="420"/>
        <w:jc w:val="left"/>
        <w:rPr>
          <w:rFonts w:hint="eastAsia" w:hAnsi="宋体"/>
          <w:color w:val="auto"/>
          <w:highlight w:val="none"/>
        </w:rPr>
      </w:pPr>
      <w:r>
        <w:rPr>
          <w:rFonts w:hAnsi="宋体"/>
          <w:color w:val="auto"/>
          <w:highlight w:val="none"/>
        </w:rPr>
        <w:t>(1)</w:t>
      </w:r>
      <w:r>
        <w:rPr>
          <w:rFonts w:hint="eastAsia" w:hAnsi="宋体"/>
          <w:color w:val="auto"/>
          <w:highlight w:val="none"/>
        </w:rPr>
        <w:t>采购部(采购文件</w:t>
      </w:r>
      <w:r>
        <w:rPr>
          <w:rFonts w:hAnsi="宋体"/>
          <w:color w:val="auto"/>
          <w:highlight w:val="none"/>
        </w:rPr>
        <w:t>)</w:t>
      </w:r>
    </w:p>
    <w:p>
      <w:pPr>
        <w:spacing w:line="400" w:lineRule="exact"/>
        <w:ind w:firstLine="420"/>
        <w:jc w:val="left"/>
        <w:rPr>
          <w:rFonts w:hint="eastAsia" w:hAnsi="宋体"/>
          <w:color w:val="auto"/>
          <w:highlight w:val="none"/>
        </w:rPr>
      </w:pPr>
      <w:r>
        <w:rPr>
          <w:rFonts w:hint="eastAsia" w:hAnsi="宋体"/>
          <w:color w:val="auto"/>
          <w:highlight w:val="none"/>
        </w:rPr>
        <w:t>联系人：</w:t>
      </w:r>
      <w:r>
        <w:rPr>
          <w:rFonts w:hint="eastAsia" w:hAnsi="宋体"/>
          <w:color w:val="auto"/>
          <w:highlight w:val="none"/>
          <w:lang w:val="en-US" w:eastAsia="zh-CN"/>
        </w:rPr>
        <w:t>黄忠秀</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 xml:space="preserve"> 联系方式：0777-2886022</w:t>
      </w:r>
    </w:p>
    <w:p>
      <w:pPr>
        <w:spacing w:line="400" w:lineRule="exact"/>
        <w:ind w:firstLine="420"/>
        <w:jc w:val="left"/>
        <w:rPr>
          <w:rFonts w:hint="eastAsia" w:hAnsi="宋体"/>
          <w:color w:val="auto"/>
          <w:highlight w:val="none"/>
        </w:rPr>
      </w:pPr>
      <w:r>
        <w:rPr>
          <w:rFonts w:hint="eastAsia" w:hAnsi="宋体"/>
          <w:color w:val="auto"/>
          <w:highlight w:val="none"/>
        </w:rPr>
        <w:t>(</w:t>
      </w:r>
      <w:r>
        <w:rPr>
          <w:rFonts w:hAnsi="宋体"/>
          <w:color w:val="auto"/>
          <w:highlight w:val="none"/>
        </w:rPr>
        <w:t>2)</w:t>
      </w:r>
      <w:r>
        <w:rPr>
          <w:rFonts w:hint="eastAsia" w:hAnsi="宋体"/>
          <w:color w:val="auto"/>
          <w:highlight w:val="none"/>
        </w:rPr>
        <w:t>综合二部(评审、磋商、成交及合同管理)</w:t>
      </w:r>
    </w:p>
    <w:p>
      <w:pPr>
        <w:spacing w:line="400" w:lineRule="exact"/>
        <w:ind w:firstLine="420"/>
        <w:jc w:val="left"/>
        <w:rPr>
          <w:rFonts w:hint="eastAsia" w:hAnsi="宋体"/>
          <w:color w:val="auto"/>
          <w:highlight w:val="none"/>
        </w:rPr>
      </w:pPr>
      <w:r>
        <w:rPr>
          <w:rFonts w:hint="eastAsia" w:hAnsi="宋体"/>
          <w:color w:val="auto"/>
          <w:highlight w:val="none"/>
        </w:rPr>
        <w:t>联系人：陈侃</w:t>
      </w:r>
      <w:r>
        <w:rPr>
          <w:rFonts w:hint="eastAsia" w:hAnsi="宋体"/>
          <w:color w:val="auto"/>
          <w:highlight w:val="none"/>
          <w:lang w:eastAsia="zh-CN"/>
        </w:rPr>
        <w:t>、陈启梅</w:t>
      </w:r>
      <w:r>
        <w:rPr>
          <w:rFonts w:hint="eastAsia" w:hAnsi="宋体"/>
          <w:color w:val="auto"/>
          <w:highlight w:val="none"/>
        </w:rPr>
        <w:t xml:space="preserve"> </w:t>
      </w:r>
      <w:r>
        <w:rPr>
          <w:rFonts w:hAnsi="宋体"/>
          <w:color w:val="auto"/>
          <w:highlight w:val="none"/>
        </w:rPr>
        <w:t xml:space="preserve">  </w:t>
      </w:r>
      <w:r>
        <w:rPr>
          <w:rFonts w:hint="eastAsia" w:hAnsi="宋体"/>
          <w:color w:val="auto"/>
          <w:highlight w:val="none"/>
        </w:rPr>
        <w:t>联系方式：0777-2886006</w:t>
      </w:r>
      <w:bookmarkEnd w:id="39"/>
    </w:p>
    <w:bookmarkEnd w:id="40"/>
    <w:p>
      <w:pPr>
        <w:spacing w:line="400" w:lineRule="exact"/>
        <w:rPr>
          <w:b/>
          <w:color w:val="auto"/>
          <w:highlight w:val="none"/>
        </w:rPr>
      </w:pPr>
      <w:r>
        <w:rPr>
          <w:rFonts w:hint="eastAsia"/>
          <w:b/>
          <w:color w:val="auto"/>
          <w:highlight w:val="none"/>
        </w:rPr>
        <w:t>八、对本次采购项目提出询问，请按</w:t>
      </w:r>
      <w:r>
        <w:rPr>
          <w:b/>
          <w:color w:val="auto"/>
          <w:highlight w:val="none"/>
        </w:rPr>
        <w:t>以下方式</w:t>
      </w:r>
      <w:r>
        <w:rPr>
          <w:rFonts w:hint="eastAsia"/>
          <w:b/>
          <w:color w:val="auto"/>
          <w:highlight w:val="none"/>
        </w:rPr>
        <w:t>联系</w:t>
      </w:r>
      <w:bookmarkEnd w:id="32"/>
      <w:bookmarkEnd w:id="33"/>
      <w:bookmarkEnd w:id="34"/>
      <w:bookmarkEnd w:id="35"/>
    </w:p>
    <w:p>
      <w:pPr>
        <w:spacing w:line="400" w:lineRule="exact"/>
        <w:ind w:firstLine="420" w:firstLineChars="200"/>
        <w:rPr>
          <w:color w:val="auto"/>
          <w:highlight w:val="none"/>
        </w:rPr>
      </w:pPr>
      <w:r>
        <w:rPr>
          <w:rFonts w:hint="eastAsia"/>
          <w:color w:val="auto"/>
          <w:highlight w:val="none"/>
        </w:rPr>
        <w:t>1.采购人信息</w:t>
      </w:r>
      <w:bookmarkEnd w:id="9"/>
    </w:p>
    <w:p>
      <w:pPr>
        <w:spacing w:line="400" w:lineRule="exact"/>
        <w:ind w:firstLine="420" w:firstLineChars="200"/>
        <w:rPr>
          <w:rFonts w:hint="eastAsia"/>
          <w:color w:val="auto"/>
          <w:highlight w:val="none"/>
        </w:rPr>
      </w:pPr>
      <w:r>
        <w:rPr>
          <w:rFonts w:hint="eastAsia"/>
          <w:color w:val="auto"/>
          <w:highlight w:val="none"/>
        </w:rPr>
        <w:t>名称：钦州市市场监督管理局</w:t>
      </w:r>
    </w:p>
    <w:p>
      <w:pPr>
        <w:spacing w:line="400" w:lineRule="exact"/>
        <w:ind w:firstLine="420" w:firstLineChars="200"/>
        <w:rPr>
          <w:rFonts w:hint="eastAsia"/>
          <w:color w:val="auto"/>
          <w:highlight w:val="none"/>
        </w:rPr>
      </w:pPr>
      <w:r>
        <w:rPr>
          <w:rFonts w:hint="eastAsia"/>
          <w:color w:val="auto"/>
          <w:highlight w:val="none"/>
        </w:rPr>
        <w:t>地址：钦州市富民路32号三楼311</w:t>
      </w:r>
    </w:p>
    <w:p>
      <w:pPr>
        <w:spacing w:line="400" w:lineRule="exact"/>
        <w:ind w:firstLine="420" w:firstLineChars="200"/>
        <w:rPr>
          <w:rFonts w:hint="eastAsia"/>
          <w:color w:val="auto"/>
          <w:highlight w:val="none"/>
        </w:rPr>
      </w:pPr>
      <w:r>
        <w:rPr>
          <w:rFonts w:hint="eastAsia"/>
          <w:color w:val="auto"/>
          <w:highlight w:val="none"/>
        </w:rPr>
        <w:t>项目联系人：黄璐丹</w:t>
      </w:r>
    </w:p>
    <w:p>
      <w:pPr>
        <w:spacing w:line="400" w:lineRule="exact"/>
        <w:ind w:firstLine="420" w:firstLineChars="200"/>
        <w:rPr>
          <w:rFonts w:hint="eastAsia"/>
          <w:color w:val="auto"/>
          <w:highlight w:val="none"/>
        </w:rPr>
      </w:pPr>
      <w:r>
        <w:rPr>
          <w:rFonts w:hint="eastAsia"/>
          <w:color w:val="auto"/>
          <w:highlight w:val="none"/>
        </w:rPr>
        <w:t>联系方式：</w:t>
      </w:r>
      <w:bookmarkStart w:id="41" w:name="OLE_LINK8"/>
      <w:r>
        <w:rPr>
          <w:rFonts w:hint="eastAsia"/>
          <w:color w:val="auto"/>
          <w:highlight w:val="none"/>
        </w:rPr>
        <w:t>0777-2858098</w:t>
      </w:r>
      <w:bookmarkEnd w:id="41"/>
    </w:p>
    <w:p>
      <w:pPr>
        <w:spacing w:line="400" w:lineRule="exact"/>
        <w:ind w:firstLine="420" w:firstLineChars="200"/>
        <w:rPr>
          <w:color w:val="auto"/>
          <w:highlight w:val="none"/>
        </w:rPr>
      </w:pPr>
      <w:r>
        <w:rPr>
          <w:rFonts w:hint="eastAsia"/>
          <w:color w:val="auto"/>
          <w:highlight w:val="none"/>
        </w:rPr>
        <w:t>2.采购代理机构信息</w:t>
      </w:r>
    </w:p>
    <w:p>
      <w:pPr>
        <w:spacing w:line="400" w:lineRule="exact"/>
        <w:ind w:firstLine="420" w:firstLineChars="200"/>
        <w:rPr>
          <w:color w:val="auto"/>
          <w:highlight w:val="none"/>
        </w:rPr>
      </w:pPr>
      <w:r>
        <w:rPr>
          <w:rFonts w:hint="eastAsia"/>
          <w:color w:val="auto"/>
          <w:highlight w:val="none"/>
        </w:rPr>
        <w:t>名称：钦州市政府采购中心</w:t>
      </w:r>
    </w:p>
    <w:p>
      <w:pPr>
        <w:spacing w:line="400" w:lineRule="exact"/>
        <w:ind w:firstLine="420" w:firstLineChars="200"/>
        <w:rPr>
          <w:color w:val="auto"/>
          <w:highlight w:val="none"/>
        </w:rPr>
      </w:pPr>
      <w:r>
        <w:rPr>
          <w:rFonts w:hint="eastAsia"/>
          <w:color w:val="auto"/>
          <w:highlight w:val="none"/>
        </w:rPr>
        <w:t>地址：钦州市金海湾东大街8号</w:t>
      </w:r>
    </w:p>
    <w:p>
      <w:pPr>
        <w:spacing w:line="400" w:lineRule="exact"/>
        <w:ind w:firstLine="420" w:firstLineChars="200"/>
        <w:rPr>
          <w:rFonts w:hint="eastAsia" w:eastAsia="宋体"/>
          <w:color w:val="auto"/>
          <w:highlight w:val="none"/>
          <w:lang w:val="en-US" w:eastAsia="zh-CN"/>
        </w:rPr>
      </w:pPr>
      <w:r>
        <w:rPr>
          <w:rFonts w:hint="eastAsia"/>
          <w:color w:val="auto"/>
          <w:highlight w:val="none"/>
        </w:rPr>
        <w:t>项目联系人：</w:t>
      </w:r>
      <w:r>
        <w:rPr>
          <w:rFonts w:hint="eastAsia"/>
          <w:color w:val="auto"/>
          <w:highlight w:val="none"/>
          <w:lang w:val="en-US" w:eastAsia="zh-CN"/>
        </w:rPr>
        <w:t>黄忠秀、陈侃、陈启梅</w:t>
      </w:r>
    </w:p>
    <w:p>
      <w:pPr>
        <w:spacing w:line="400" w:lineRule="exact"/>
        <w:ind w:firstLine="420" w:firstLineChars="200"/>
        <w:rPr>
          <w:rFonts w:hint="default" w:eastAsia="宋体"/>
          <w:color w:val="auto"/>
          <w:highlight w:val="none"/>
          <w:lang w:val="en-US" w:eastAsia="zh-CN"/>
        </w:rPr>
      </w:pPr>
      <w:r>
        <w:rPr>
          <w:rFonts w:hint="eastAsia"/>
          <w:color w:val="auto"/>
          <w:highlight w:val="none"/>
        </w:rPr>
        <w:t>项目联系方式：</w:t>
      </w:r>
      <w:bookmarkStart w:id="42" w:name="_Toc28359010"/>
      <w:bookmarkStart w:id="43" w:name="_Toc28359087"/>
      <w:r>
        <w:rPr>
          <w:rFonts w:hint="eastAsia" w:hAnsi="宋体"/>
          <w:color w:val="auto"/>
          <w:highlight w:val="none"/>
        </w:rPr>
        <w:t>0777-2886022</w:t>
      </w:r>
      <w:r>
        <w:rPr>
          <w:rFonts w:hint="eastAsia" w:hAnsi="宋体"/>
          <w:color w:val="auto"/>
          <w:highlight w:val="none"/>
          <w:lang w:eastAsia="zh-CN"/>
        </w:rPr>
        <w:t>、</w:t>
      </w:r>
      <w:r>
        <w:rPr>
          <w:rFonts w:hint="eastAsia" w:hAnsi="宋体"/>
          <w:color w:val="auto"/>
          <w:highlight w:val="none"/>
          <w:lang w:val="en-US" w:eastAsia="zh-CN"/>
        </w:rPr>
        <w:t>2886006</w:t>
      </w:r>
    </w:p>
    <w:p>
      <w:pPr>
        <w:widowControl/>
        <w:jc w:val="left"/>
        <w:rPr>
          <w:color w:val="auto"/>
          <w:highlight w:val="none"/>
        </w:rPr>
      </w:pPr>
      <w:r>
        <w:rPr>
          <w:color w:val="auto"/>
          <w:highlight w:val="none"/>
        </w:rPr>
        <w:br w:type="page"/>
      </w:r>
    </w:p>
    <w:p>
      <w:pPr>
        <w:rPr>
          <w:color w:val="auto"/>
          <w:highlight w:val="none"/>
        </w:rPr>
      </w:pPr>
    </w:p>
    <w:bookmarkEnd w:id="42"/>
    <w:bookmarkEnd w:id="43"/>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宋体" w:eastAsia="方正小标宋_GBK"/>
          <w:color w:val="auto"/>
          <w:highlight w:val="none"/>
        </w:rPr>
      </w:pPr>
      <w:bookmarkStart w:id="44" w:name="_Toc92355024"/>
      <w:r>
        <w:rPr>
          <w:rFonts w:hint="eastAsia" w:ascii="方正小标宋_GBK" w:hAnsi="宋体" w:eastAsia="方正小标宋_GBK"/>
          <w:color w:val="auto"/>
          <w:highlight w:val="none"/>
        </w:rPr>
        <w:t>第二章  项目需求</w:t>
      </w:r>
      <w:bookmarkEnd w:id="44"/>
    </w:p>
    <w:p>
      <w:pPr>
        <w:spacing w:line="440" w:lineRule="exact"/>
        <w:jc w:val="center"/>
        <w:rPr>
          <w:rFonts w:hint="eastAsia" w:ascii="宋体" w:hAnsi="宋体"/>
          <w:b/>
          <w:color w:val="auto"/>
          <w:sz w:val="36"/>
          <w:szCs w:val="36"/>
          <w:highlight w:val="none"/>
        </w:rPr>
      </w:pPr>
      <w:r>
        <w:rPr>
          <w:rFonts w:ascii="宋体" w:hAnsi="宋体"/>
          <w:b/>
          <w:color w:val="auto"/>
          <w:szCs w:val="21"/>
          <w:highlight w:val="none"/>
        </w:rPr>
        <w:br w:type="page"/>
      </w:r>
      <w:r>
        <w:rPr>
          <w:rFonts w:hint="eastAsia" w:ascii="宋体" w:hAnsi="宋体"/>
          <w:b/>
          <w:color w:val="auto"/>
          <w:sz w:val="36"/>
          <w:szCs w:val="36"/>
          <w:highlight w:val="none"/>
        </w:rPr>
        <w:t>项目需求</w:t>
      </w:r>
    </w:p>
    <w:p>
      <w:pPr>
        <w:spacing w:line="396" w:lineRule="exact"/>
        <w:rPr>
          <w:rFonts w:hint="eastAsia" w:ascii="宋体" w:hAnsi="宋体"/>
          <w:b/>
          <w:color w:val="auto"/>
          <w:szCs w:val="21"/>
          <w:highlight w:val="none"/>
        </w:rPr>
      </w:pPr>
    </w:p>
    <w:p>
      <w:pPr>
        <w:numPr>
          <w:ilvl w:val="0"/>
          <w:numId w:val="2"/>
        </w:numPr>
        <w:spacing w:line="460" w:lineRule="exact"/>
        <w:rPr>
          <w:rFonts w:hint="eastAsia" w:ascii="宋体" w:hAnsi="宋体"/>
          <w:color w:val="auto"/>
          <w:szCs w:val="21"/>
          <w:highlight w:val="none"/>
          <w:lang w:eastAsia="zh-CN"/>
        </w:rPr>
      </w:pPr>
      <w:bookmarkStart w:id="45" w:name="_Hlk89960406"/>
      <w:bookmarkStart w:id="46" w:name="_Toc354479498"/>
      <w:bookmarkStart w:id="47" w:name="_Toc358477280"/>
      <w:r>
        <w:rPr>
          <w:rFonts w:hint="eastAsia" w:ascii="宋体" w:hAnsi="宋体"/>
          <w:color w:val="auto"/>
          <w:szCs w:val="21"/>
          <w:highlight w:val="none"/>
        </w:rPr>
        <w:t>采购预算：</w:t>
      </w:r>
      <w:r>
        <w:rPr>
          <w:rFonts w:hint="eastAsia" w:ascii="宋体" w:hAnsi="宋体"/>
          <w:color w:val="auto"/>
          <w:szCs w:val="21"/>
          <w:highlight w:val="none"/>
          <w:lang w:val="en-US" w:eastAsia="zh-CN"/>
        </w:rPr>
        <w:t>贰佰陆拾万零壹仟叁佰陆拾捌元整</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color w:val="auto"/>
          <w:highlight w:val="none"/>
          <w:lang w:eastAsia="zh-CN"/>
        </w:rPr>
        <w:t>2,601,368.00</w:t>
      </w:r>
      <w:r>
        <w:rPr>
          <w:rFonts w:hint="eastAsia" w:ascii="Times New Roman" w:hAnsi="Times New Roman" w:eastAsia="仿宋_GB2312" w:cs="Times New Roman"/>
          <w:color w:val="auto"/>
          <w:sz w:val="32"/>
          <w:szCs w:val="32"/>
          <w:highlight w:val="none"/>
          <w:lang w:val="en-US" w:eastAsia="zh-CN"/>
        </w:rPr>
        <w:t>）</w:t>
      </w:r>
    </w:p>
    <w:p>
      <w:pPr>
        <w:spacing w:line="460" w:lineRule="exact"/>
        <w:rPr>
          <w:rFonts w:ascii="宋体" w:hAnsi="宋体"/>
          <w:color w:val="auto"/>
          <w:szCs w:val="21"/>
          <w:highlight w:val="none"/>
        </w:rPr>
      </w:pPr>
      <w:r>
        <w:rPr>
          <w:rFonts w:hint="eastAsia" w:ascii="宋体" w:hAnsi="宋体"/>
          <w:color w:val="auto"/>
          <w:szCs w:val="21"/>
          <w:highlight w:val="none"/>
        </w:rPr>
        <w:t>二、本项目对应的中小企业划分标准所属行业为：</w:t>
      </w:r>
      <w:r>
        <w:rPr>
          <w:rFonts w:hint="eastAsia" w:ascii="宋体" w:hAnsi="宋体"/>
          <w:color w:val="auto"/>
          <w:szCs w:val="21"/>
          <w:highlight w:val="none"/>
          <w:u w:val="single"/>
        </w:rPr>
        <w:t>软件和信息技术服务业</w:t>
      </w:r>
    </w:p>
    <w:p>
      <w:pPr>
        <w:spacing w:line="460" w:lineRule="exact"/>
        <w:rPr>
          <w:rFonts w:ascii="宋体" w:hAnsi="宋体"/>
          <w:color w:val="auto"/>
          <w:szCs w:val="21"/>
          <w:highlight w:val="none"/>
          <w:u w:val="single"/>
        </w:rPr>
      </w:pPr>
      <w:r>
        <w:rPr>
          <w:rFonts w:hint="eastAsia" w:ascii="宋体" w:hAnsi="宋体"/>
          <w:color w:val="auto"/>
          <w:szCs w:val="21"/>
          <w:highlight w:val="none"/>
        </w:rPr>
        <w:t>三、磋商文件中可能实质性变动的内容：</w:t>
      </w:r>
      <w:r>
        <w:rPr>
          <w:rFonts w:hint="eastAsia" w:ascii="宋体" w:hAnsi="宋体" w:cs="宋体"/>
          <w:color w:val="auto"/>
          <w:kern w:val="0"/>
          <w:szCs w:val="21"/>
          <w:highlight w:val="none"/>
          <w:u w:val="single"/>
        </w:rPr>
        <w:t>采购需求的技术、服务要求以及合同草案条款</w:t>
      </w:r>
    </w:p>
    <w:p>
      <w:pPr>
        <w:spacing w:line="460" w:lineRule="exact"/>
        <w:ind w:left="420" w:hanging="420" w:hangingChars="200"/>
        <w:rPr>
          <w:rFonts w:hint="eastAsia" w:ascii="宋体" w:hAnsi="宋体"/>
          <w:color w:val="auto"/>
          <w:szCs w:val="21"/>
          <w:highlight w:val="none"/>
        </w:rPr>
      </w:pPr>
      <w:r>
        <w:rPr>
          <w:rFonts w:hint="eastAsia" w:ascii="宋体" w:hAnsi="宋体"/>
          <w:color w:val="auto"/>
          <w:szCs w:val="21"/>
          <w:highlight w:val="none"/>
        </w:rPr>
        <w:t>四、</w:t>
      </w:r>
      <w:bookmarkEnd w:id="45"/>
      <w:r>
        <w:rPr>
          <w:rFonts w:hint="eastAsia" w:ascii="宋体" w:hAnsi="宋体"/>
          <w:color w:val="auto"/>
          <w:szCs w:val="21"/>
          <w:highlight w:val="none"/>
        </w:rPr>
        <w:t>采购需求中如标注“★”号或“必须”的条款为实质性条款，竞标人必须满足或优于，否则竞标无效。</w:t>
      </w:r>
    </w:p>
    <w:p>
      <w:pPr>
        <w:widowControl/>
        <w:spacing w:line="460" w:lineRule="exact"/>
        <w:jc w:val="left"/>
        <w:rPr>
          <w:rFonts w:hint="default" w:ascii="宋体" w:hAnsi="宋体" w:eastAsia="宋体"/>
          <w:b/>
          <w:color w:val="auto"/>
          <w:szCs w:val="21"/>
          <w:highlight w:val="none"/>
          <w:lang w:val="en-US" w:eastAsia="zh-CN"/>
        </w:rPr>
      </w:pPr>
      <w:r>
        <w:rPr>
          <w:rFonts w:hint="eastAsia" w:ascii="宋体" w:hAnsi="宋体"/>
          <w:b/>
          <w:color w:val="auto"/>
          <w:szCs w:val="21"/>
          <w:highlight w:val="none"/>
          <w:lang w:val="en-US" w:eastAsia="zh-CN"/>
        </w:rPr>
        <w:t xml:space="preserve">    </w:t>
      </w:r>
      <w:r>
        <w:rPr>
          <w:rFonts w:hint="eastAsia" w:ascii="宋体" w:hAnsi="宋体"/>
          <w:b w:val="0"/>
          <w:bCs/>
          <w:color w:val="auto"/>
          <w:szCs w:val="21"/>
          <w:highlight w:val="none"/>
          <w:lang w:val="en-US" w:eastAsia="zh-CN"/>
        </w:rPr>
        <w:t>标注▲号的系与项目实际紧密相关的条款，作为评审依据。</w:t>
      </w:r>
    </w:p>
    <w:p>
      <w:pPr>
        <w:ind w:firstLine="482"/>
        <w:rPr>
          <w:rFonts w:hint="eastAsia" w:eastAsia="宋体"/>
          <w:b/>
          <w:color w:val="auto"/>
          <w:sz w:val="24"/>
          <w:highlight w:val="none"/>
          <w:lang w:eastAsia="zh-CN"/>
        </w:rPr>
      </w:pPr>
      <w:r>
        <w:rPr>
          <w:color w:val="auto"/>
          <w:highlight w:val="none"/>
        </w:rPr>
        <w:br w:type="page"/>
      </w:r>
    </w:p>
    <w:p>
      <w:pPr>
        <w:spacing w:line="360" w:lineRule="exact"/>
        <w:ind w:firstLine="420"/>
        <w:rPr>
          <w:rFonts w:hint="default"/>
          <w:color w:val="auto"/>
          <w:highlight w:val="none"/>
          <w:lang w:val="en-US" w:eastAsia="zh-CN"/>
        </w:rPr>
      </w:pPr>
    </w:p>
    <w:tbl>
      <w:tblPr>
        <w:tblStyle w:val="35"/>
        <w:tblW w:w="10138" w:type="dxa"/>
        <w:jc w:val="center"/>
        <w:tblLayout w:type="fixed"/>
        <w:tblCellMar>
          <w:top w:w="0" w:type="dxa"/>
          <w:left w:w="108" w:type="dxa"/>
          <w:bottom w:w="0" w:type="dxa"/>
          <w:right w:w="108" w:type="dxa"/>
        </w:tblCellMar>
      </w:tblPr>
      <w:tblGrid>
        <w:gridCol w:w="431"/>
        <w:gridCol w:w="577"/>
        <w:gridCol w:w="733"/>
        <w:gridCol w:w="617"/>
        <w:gridCol w:w="450"/>
        <w:gridCol w:w="514"/>
        <w:gridCol w:w="6235"/>
        <w:gridCol w:w="581"/>
      </w:tblGrid>
      <w:tr>
        <w:tblPrEx>
          <w:tblCellMar>
            <w:top w:w="0" w:type="dxa"/>
            <w:left w:w="108" w:type="dxa"/>
            <w:bottom w:w="0" w:type="dxa"/>
            <w:right w:w="108" w:type="dxa"/>
          </w:tblCellMar>
        </w:tblPrEx>
        <w:trPr>
          <w:trHeight w:val="285"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服务名称</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服务技术参数及功能要求</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tblPrEx>
          <w:tblCellMar>
            <w:top w:w="0" w:type="dxa"/>
            <w:left w:w="108" w:type="dxa"/>
            <w:bottom w:w="0" w:type="dxa"/>
            <w:right w:w="108" w:type="dxa"/>
          </w:tblCellMar>
        </w:tblPrEx>
        <w:trPr>
          <w:trHeight w:val="1572"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社会治理大数据人工智能分析平台开发</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auto"/>
                <w:kern w:val="0"/>
                <w:sz w:val="21"/>
                <w:szCs w:val="21"/>
                <w:highlight w:val="none"/>
                <w:u w:val="none"/>
                <w:lang w:val="en-US" w:eastAsia="zh-CN" w:bidi="ar"/>
              </w:rPr>
              <w:t>全面汇聚全市的社会面视频监控数据信息，利用大数据分析及信息挖掘技术对视频图像数据进行实时处理，构建起高效、智能化的城市管理及市场监督体系。</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68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需求分析</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业务需求，</w:t>
            </w:r>
            <w:r>
              <w:rPr>
                <w:rFonts w:hint="eastAsia" w:ascii="宋体" w:hAnsi="宋体" w:cs="宋体"/>
                <w:i w:val="0"/>
                <w:iCs w:val="0"/>
                <w:color w:val="auto"/>
                <w:kern w:val="0"/>
                <w:sz w:val="21"/>
                <w:szCs w:val="21"/>
                <w:highlight w:val="none"/>
                <w:u w:val="none"/>
                <w:lang w:val="en-US" w:eastAsia="zh-CN" w:bidi="ar"/>
              </w:rPr>
              <w:t>成交供应商</w:t>
            </w:r>
            <w:r>
              <w:rPr>
                <w:rFonts w:hint="eastAsia" w:ascii="宋体" w:hAnsi="宋体" w:eastAsia="宋体" w:cs="宋体"/>
                <w:i w:val="0"/>
                <w:iCs w:val="0"/>
                <w:color w:val="auto"/>
                <w:kern w:val="0"/>
                <w:sz w:val="21"/>
                <w:szCs w:val="21"/>
                <w:highlight w:val="none"/>
                <w:u w:val="none"/>
                <w:lang w:val="en-US" w:eastAsia="zh-CN" w:bidi="ar"/>
              </w:rPr>
              <w:t>负责梳理和分析功能需求和系统需求，通过输出系统原型图和需求文档的方式，与</w:t>
            </w:r>
            <w:bookmarkStart w:id="48" w:name="OLE_LINK3"/>
            <w:r>
              <w:rPr>
                <w:rFonts w:hint="eastAsia" w:ascii="宋体" w:hAnsi="宋体" w:cs="宋体"/>
                <w:i w:val="0"/>
                <w:iCs w:val="0"/>
                <w:color w:val="auto"/>
                <w:kern w:val="0"/>
                <w:sz w:val="21"/>
                <w:szCs w:val="21"/>
                <w:highlight w:val="none"/>
                <w:u w:val="none"/>
                <w:lang w:val="en-US" w:eastAsia="zh-CN" w:bidi="ar"/>
              </w:rPr>
              <w:t>采购人</w:t>
            </w:r>
            <w:bookmarkEnd w:id="48"/>
            <w:r>
              <w:rPr>
                <w:rFonts w:hint="eastAsia" w:ascii="宋体" w:hAnsi="宋体" w:eastAsia="宋体" w:cs="宋体"/>
                <w:i w:val="0"/>
                <w:iCs w:val="0"/>
                <w:color w:val="auto"/>
                <w:kern w:val="0"/>
                <w:sz w:val="21"/>
                <w:szCs w:val="21"/>
                <w:highlight w:val="none"/>
                <w:u w:val="none"/>
                <w:lang w:val="en-US" w:eastAsia="zh-CN" w:bidi="ar"/>
              </w:rPr>
              <w:t>沟通确定系统功能建设细节</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确定系统原型图和需求文档后，形成会议纪要</w:t>
            </w:r>
            <w:r>
              <w:rPr>
                <w:rFonts w:hint="eastAsia" w:ascii="宋体" w:hAnsi="宋体" w:cs="宋体"/>
                <w:i w:val="0"/>
                <w:iCs w:val="0"/>
                <w:color w:val="auto"/>
                <w:kern w:val="0"/>
                <w:sz w:val="21"/>
                <w:szCs w:val="21"/>
                <w:highlight w:val="none"/>
                <w:u w:val="none"/>
                <w:lang w:val="en-US" w:eastAsia="zh-CN" w:bidi="ar"/>
              </w:rPr>
              <w:t>且</w:t>
            </w:r>
            <w:r>
              <w:rPr>
                <w:rFonts w:hint="eastAsia" w:ascii="宋体" w:hAnsi="宋体" w:eastAsia="宋体" w:cs="宋体"/>
                <w:i w:val="0"/>
                <w:iCs w:val="0"/>
                <w:color w:val="auto"/>
                <w:kern w:val="0"/>
                <w:sz w:val="21"/>
                <w:szCs w:val="21"/>
                <w:highlight w:val="none"/>
                <w:u w:val="none"/>
                <w:lang w:val="en-US" w:eastAsia="zh-CN" w:bidi="ar"/>
              </w:rPr>
              <w:t>双方签字确认</w:t>
            </w:r>
            <w:r>
              <w:rPr>
                <w:rFonts w:hint="eastAsia" w:ascii="宋体" w:hAnsi="宋体" w:cs="宋体"/>
                <w:i w:val="0"/>
                <w:iCs w:val="0"/>
                <w:color w:val="auto"/>
                <w:kern w:val="0"/>
                <w:sz w:val="21"/>
                <w:szCs w:val="21"/>
                <w:highlight w:val="none"/>
                <w:u w:val="none"/>
                <w:lang w:val="en-US" w:eastAsia="zh-CN" w:bidi="ar"/>
              </w:rPr>
              <w:t>后</w:t>
            </w:r>
            <w:r>
              <w:rPr>
                <w:rFonts w:hint="eastAsia" w:ascii="宋体" w:hAnsi="宋体" w:eastAsia="宋体" w:cs="宋体"/>
                <w:i w:val="0"/>
                <w:iCs w:val="0"/>
                <w:color w:val="auto"/>
                <w:kern w:val="0"/>
                <w:sz w:val="21"/>
                <w:szCs w:val="21"/>
                <w:highlight w:val="none"/>
                <w:u w:val="none"/>
                <w:lang w:val="en-US" w:eastAsia="zh-CN" w:bidi="ar"/>
              </w:rPr>
              <w:t>开始开展系统平台开发工作。如开发过程中需调整需求的，则</w:t>
            </w:r>
            <w:r>
              <w:rPr>
                <w:rFonts w:hint="eastAsia" w:ascii="宋体" w:hAnsi="宋体" w:cs="宋体"/>
                <w:i w:val="0"/>
                <w:iCs w:val="0"/>
                <w:color w:val="auto"/>
                <w:kern w:val="0"/>
                <w:sz w:val="21"/>
                <w:szCs w:val="21"/>
                <w:highlight w:val="none"/>
                <w:u w:val="none"/>
                <w:lang w:val="en-US" w:eastAsia="zh-CN" w:bidi="ar"/>
              </w:rPr>
              <w:t>由采购人</w:t>
            </w:r>
            <w:r>
              <w:rPr>
                <w:rFonts w:hint="eastAsia" w:ascii="宋体" w:hAnsi="宋体" w:eastAsia="宋体" w:cs="宋体"/>
                <w:i w:val="0"/>
                <w:iCs w:val="0"/>
                <w:color w:val="auto"/>
                <w:kern w:val="0"/>
                <w:sz w:val="21"/>
                <w:szCs w:val="21"/>
                <w:highlight w:val="none"/>
                <w:u w:val="none"/>
                <w:lang w:val="en-US" w:eastAsia="zh-CN" w:bidi="ar"/>
              </w:rPr>
              <w:t>提出，</w:t>
            </w:r>
            <w:r>
              <w:rPr>
                <w:rFonts w:hint="eastAsia" w:ascii="宋体" w:hAnsi="宋体" w:cs="宋体"/>
                <w:i w:val="0"/>
                <w:iCs w:val="0"/>
                <w:color w:val="auto"/>
                <w:kern w:val="0"/>
                <w:sz w:val="21"/>
                <w:szCs w:val="21"/>
                <w:highlight w:val="none"/>
                <w:u w:val="none"/>
                <w:lang w:val="en-US" w:eastAsia="zh-CN" w:bidi="ar"/>
              </w:rPr>
              <w:t>成交供应商</w:t>
            </w:r>
            <w:r>
              <w:rPr>
                <w:rFonts w:hint="eastAsia" w:ascii="宋体" w:hAnsi="宋体" w:eastAsia="宋体" w:cs="宋体"/>
                <w:i w:val="0"/>
                <w:iCs w:val="0"/>
                <w:color w:val="auto"/>
                <w:kern w:val="0"/>
                <w:sz w:val="21"/>
                <w:szCs w:val="21"/>
                <w:highlight w:val="none"/>
                <w:u w:val="none"/>
                <w:lang w:val="en-US" w:eastAsia="zh-CN" w:bidi="ar"/>
              </w:rPr>
              <w:t>配合修改，形成变更记录</w:t>
            </w:r>
            <w:r>
              <w:rPr>
                <w:rFonts w:hint="eastAsia" w:ascii="宋体" w:hAnsi="宋体" w:cs="宋体"/>
                <w:i w:val="0"/>
                <w:iCs w:val="0"/>
                <w:color w:val="auto"/>
                <w:kern w:val="0"/>
                <w:sz w:val="21"/>
                <w:szCs w:val="21"/>
                <w:highlight w:val="none"/>
                <w:u w:val="none"/>
                <w:lang w:val="en-US" w:eastAsia="zh-CN" w:bidi="ar"/>
              </w:rPr>
              <w:t>且</w:t>
            </w:r>
            <w:r>
              <w:rPr>
                <w:rFonts w:hint="eastAsia" w:ascii="宋体" w:hAnsi="宋体" w:eastAsia="宋体" w:cs="宋体"/>
                <w:i w:val="0"/>
                <w:iCs w:val="0"/>
                <w:color w:val="auto"/>
                <w:kern w:val="0"/>
                <w:sz w:val="21"/>
                <w:szCs w:val="21"/>
                <w:highlight w:val="none"/>
                <w:u w:val="none"/>
                <w:lang w:val="en-US" w:eastAsia="zh-CN" w:bidi="ar"/>
              </w:rPr>
              <w:t>双方签字</w:t>
            </w:r>
            <w:r>
              <w:rPr>
                <w:rFonts w:hint="eastAsia" w:ascii="宋体" w:hAnsi="宋体" w:cs="宋体"/>
                <w:i w:val="0"/>
                <w:iCs w:val="0"/>
                <w:color w:val="auto"/>
                <w:kern w:val="0"/>
                <w:sz w:val="21"/>
                <w:szCs w:val="21"/>
                <w:highlight w:val="none"/>
                <w:u w:val="none"/>
                <w:lang w:val="en-US" w:eastAsia="zh-CN" w:bidi="ar"/>
              </w:rPr>
              <w:t>确认</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如</w:t>
            </w:r>
            <w:r>
              <w:rPr>
                <w:rFonts w:hint="eastAsia" w:ascii="宋体" w:hAnsi="宋体" w:eastAsia="宋体" w:cs="宋体"/>
                <w:i w:val="0"/>
                <w:iCs w:val="0"/>
                <w:color w:val="auto"/>
                <w:kern w:val="0"/>
                <w:sz w:val="21"/>
                <w:szCs w:val="21"/>
                <w:highlight w:val="none"/>
                <w:u w:val="none"/>
                <w:lang w:val="en-US" w:eastAsia="zh-CN" w:bidi="ar"/>
              </w:rPr>
              <w:t>存在需求分析与交付系统对应不上</w:t>
            </w:r>
            <w:r>
              <w:rPr>
                <w:rFonts w:hint="eastAsia" w:ascii="宋体" w:hAnsi="宋体" w:cs="宋体"/>
                <w:i w:val="0"/>
                <w:iCs w:val="0"/>
                <w:color w:val="auto"/>
                <w:kern w:val="0"/>
                <w:sz w:val="21"/>
                <w:szCs w:val="21"/>
                <w:highlight w:val="none"/>
                <w:u w:val="none"/>
                <w:lang w:val="en-US" w:eastAsia="zh-CN" w:bidi="ar"/>
              </w:rPr>
              <w:t>的情况</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采购人</w:t>
            </w:r>
            <w:r>
              <w:rPr>
                <w:rFonts w:hint="eastAsia" w:ascii="宋体" w:hAnsi="宋体" w:eastAsia="宋体" w:cs="宋体"/>
                <w:i w:val="0"/>
                <w:iCs w:val="0"/>
                <w:color w:val="auto"/>
                <w:kern w:val="0"/>
                <w:sz w:val="21"/>
                <w:szCs w:val="21"/>
                <w:highlight w:val="none"/>
                <w:u w:val="none"/>
                <w:lang w:val="en-US" w:eastAsia="zh-CN" w:bidi="ar"/>
              </w:rPr>
              <w:t>可以</w:t>
            </w:r>
            <w:r>
              <w:rPr>
                <w:rFonts w:hint="eastAsia" w:ascii="宋体" w:hAnsi="宋体" w:cs="宋体"/>
                <w:i w:val="0"/>
                <w:iCs w:val="0"/>
                <w:color w:val="auto"/>
                <w:kern w:val="0"/>
                <w:sz w:val="21"/>
                <w:szCs w:val="21"/>
                <w:highlight w:val="none"/>
                <w:u w:val="none"/>
                <w:lang w:val="en-US" w:eastAsia="zh-CN" w:bidi="ar"/>
              </w:rPr>
              <w:t>根据</w:t>
            </w:r>
            <w:r>
              <w:rPr>
                <w:rFonts w:hint="eastAsia" w:ascii="宋体" w:hAnsi="宋体" w:eastAsia="宋体" w:cs="宋体"/>
                <w:i w:val="0"/>
                <w:iCs w:val="0"/>
                <w:color w:val="auto"/>
                <w:kern w:val="0"/>
                <w:sz w:val="21"/>
                <w:szCs w:val="21"/>
                <w:highlight w:val="none"/>
                <w:u w:val="none"/>
                <w:lang w:val="en-US" w:eastAsia="zh-CN" w:bidi="ar"/>
              </w:rPr>
              <w:t>会议纪要要求</w:t>
            </w:r>
            <w:r>
              <w:rPr>
                <w:rFonts w:hint="eastAsia" w:ascii="宋体" w:hAnsi="宋体" w:cs="宋体"/>
                <w:i w:val="0"/>
                <w:iCs w:val="0"/>
                <w:color w:val="auto"/>
                <w:kern w:val="0"/>
                <w:sz w:val="21"/>
                <w:szCs w:val="21"/>
                <w:highlight w:val="none"/>
                <w:u w:val="none"/>
                <w:lang w:val="en-US" w:eastAsia="zh-CN" w:bidi="ar"/>
              </w:rPr>
              <w:t>成交供应商</w:t>
            </w:r>
            <w:r>
              <w:rPr>
                <w:rFonts w:hint="eastAsia" w:ascii="宋体" w:hAnsi="宋体" w:eastAsia="宋体" w:cs="宋体"/>
                <w:i w:val="0"/>
                <w:iCs w:val="0"/>
                <w:color w:val="auto"/>
                <w:kern w:val="0"/>
                <w:sz w:val="21"/>
                <w:szCs w:val="21"/>
                <w:highlight w:val="none"/>
                <w:u w:val="none"/>
                <w:lang w:val="en-US" w:eastAsia="zh-CN" w:bidi="ar"/>
              </w:rPr>
              <w:t>整改。</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68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系统设计</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系统架构设计、功能设计和数据库设计等。需求分析明确后，需要设计平台架构、功能流转设计、数据库设计、UI页面交互设计等，为后续编码工作搭建好一个整体的开发框架。</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bidi="ar"/>
              </w:rPr>
            </w:pPr>
          </w:p>
        </w:tc>
      </w:tr>
      <w:tr>
        <w:tblPrEx>
          <w:tblCellMar>
            <w:top w:w="0" w:type="dxa"/>
            <w:left w:w="108" w:type="dxa"/>
            <w:bottom w:w="0" w:type="dxa"/>
            <w:right w:w="108" w:type="dxa"/>
          </w:tblCellMar>
        </w:tblPrEx>
        <w:trPr>
          <w:trHeight w:val="68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软件平台开发</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开发包括基础数据处理建设、视频中台服务建设。</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108" w:type="dxa"/>
            <w:bottom w:w="0" w:type="dxa"/>
            <w:right w:w="108" w:type="dxa"/>
          </w:tblCellMar>
        </w:tblPrEx>
        <w:trPr>
          <w:trHeight w:val="68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基础数据处理建设</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平台基础管理功能。</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108" w:type="dxa"/>
            <w:bottom w:w="0" w:type="dxa"/>
            <w:right w:w="108" w:type="dxa"/>
          </w:tblCellMar>
        </w:tblPrEx>
        <w:trPr>
          <w:trHeight w:val="68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1.3.1.1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基础信息</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包括组织数据、部门数据、人员数据、角色数据、字典数据、流量数据、设备数据、通道数据、标签数据和播放数据等多类型数据。</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108" w:type="dxa"/>
            <w:bottom w:w="0" w:type="dxa"/>
            <w:right w:w="108" w:type="dxa"/>
          </w:tblCellMar>
        </w:tblPrEx>
        <w:trPr>
          <w:trHeight w:val="68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视频中台服务建设</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包含统一管理平台、视频媒体服务中心、应用管理中心、算法模型服务、共享开放管理系统。</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108" w:type="dxa"/>
            <w:bottom w:w="0" w:type="dxa"/>
            <w:right w:w="108" w:type="dxa"/>
          </w:tblCellMar>
        </w:tblPrEx>
        <w:trPr>
          <w:trHeight w:val="68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统一管理平台</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组织架构管理:视频中台的所有使用单位均通过该应用进行管理，视频中台内的组织架构与实际组织架构一致，以树状结构的方式细分到每个子单位，明确区分各单位的职责范围和权限，做到资源合理分配。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(2)用户管理：用户掌握着系统的账号密码，与实际使用人员进行绑定，一个组织架构下可以有多个用户，一个用户也可以属于多个组织架构，但用户必须在组织架构层级之下。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(3)应用管理：应用管理包含系统全部子应用，通过应用管理可以开启和关闭视频中台的某项应用，如禁用/开启视频播放功能、禁用/开启AI分析功能，也能够调整各个子应用在视频中台的页面布局和样式。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(4)权限管理:权限管理主要是管理用户账号所拥有的权限，可给各个账号分配应用的访问和操作权限，支持权限灵活分配和分配后实时生效，并可快速按组织架构进行账号权限分配。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(5)统一认证:视频中台支持统一认证，能通过第三方系统认证后直接访问视频中台，实现一次登录各系统访问。</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r>
        <w:tblPrEx>
          <w:tblCellMar>
            <w:top w:w="0" w:type="dxa"/>
            <w:left w:w="108" w:type="dxa"/>
            <w:bottom w:w="0" w:type="dxa"/>
            <w:right w:w="108" w:type="dxa"/>
          </w:tblCellMar>
        </w:tblPrEx>
        <w:trPr>
          <w:trHeight w:val="46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视频媒体服务中心</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(1)资源绑定服务:提供各个设备、视频通道资源，可将所有资源跟实际使用部门进行一一绑定，支持批量绑定和资源导入新增操作，支持设备视频资源按组管理。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(2)设备管理服务:管理所有接入的设备，包括IPC摄像头、NVR录像机和移动执法设备等，通过组织架构树进行各层级管理，可对设备进行添加、删除、移动、更新和导入导出操作。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(3)视频通道管理服务:所有接入的设备视频资源按通道进行管理，可对视频资源可以进行播放、分析和推流到其他平台等操作，可对视频进行自定义名称、分组和标签管理，允许对视频列表进行导入/导出操作。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b w:val="0"/>
                <w:bCs/>
                <w:color w:val="auto"/>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(4)视频播放服务:视频播放服务提供设备组织树进行播放资源筛选，可通过输入关键字查询相关的视频通道，根据视频通道可以直接在wed端进行播放，无需安装相关的播放插件。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(5)视频播放抓图:提供抓图功能，可在视频播放的时候进行抓图操作，图片默认保存至浏览器下载目录，并支持远程抓图接口，可自定义图片大小，用以保存缩略图使用。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(6)视频播放信息查看:视频播放信息查看可快速定位回组织树，可查看码流、带宽占用和当前pc播放电脑cpu\内存情况，可根据情况调节播放数量和视频码流等。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b w:val="0"/>
                <w:bCs/>
                <w:color w:val="auto"/>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(7)视频电子地图服务：视频电子地图服务提供了全市监控摄像头点位信息，支持监控点位添加、编辑和删除操作，支持点位监控直接播放和监控预警事件地图展示功能。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b w:val="0"/>
                <w:bCs/>
                <w:color w:val="auto"/>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(8)视频墙应用:可以创建视频墙应用，根据现场设备解码能力，可支持4/6/8/9/16等多个视频窗口，支持视频实时预警服务和视频墙组合管理服务，支持浏览器无需插件直接播放。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(9)h5播放:每个监控视频可分享h5链接或二维码，可根据h5链接或识别二维码直接进行视频播放，可以在h5端进行各个监控设备的画面切换，可通过h5进行设备投屏。</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531"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应用管理中心</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(1)国标应用管理:国标GB28181信令中心包含常用的信令处理，包含点播、回放和事件上报处理信令等，各个厂家的安防监控设备可以通过国标的方式进行接入。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(2)实时流媒体管理:视频中台提供实时流媒体服务，支持播放和推流操作，PC端可通过OBS或各种推流工具将视频流以RTSP方式推送到视频中台，也可以通过专门播放器进行RTSP拉流播放。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(3)直播管理:直播管理通过RTMP方式，RTMP服务常用于市面上常见的应用，如微信小程序、B站和抖音等，视频中台支持RTMP拉流和推流服务，微信小程序可通过RTMP的方式拉取视频流在小程序端直接播放。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(4)网页播放管理:视频中台提供HTTP-FLV服务，HTTP-FLV服务仅可进行拉流播放，此服务延迟最低，当前市面上大多浏览器均可实现该方式播放，该服务也作为h5嵌入播放的方式之一。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(5)网页延时直播管理:视频中台延时直播主要通过提供HTTP-HLS服务实现，HLS服务是浏览器和移动端最常用的播放协议，视频中台支持灵活配置hls切片长短，满足多种场景下的播放需求。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(6)在线通话管理:视频中台提供WEBRTC服务，支持WEBRTC协议播放和推流功能，支持PC端和移动端的视频采集并推流，可通过WEBRTC方式进行无插件和无需安装第三方软件的方式进行推流。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(7)mp4点播管理:视频中台支持mp4文件点播服务，浏览器可直接根据mp4文件链接进行视频播放。</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(8)播放记录管理:视频中台提供每个视频流播放的实时人数记录，可用于统计设备各个时间点访问量。</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68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算法模型服务</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cs="宋体"/>
                <w:color w:val="auto"/>
                <w:kern w:val="0"/>
                <w:szCs w:val="21"/>
                <w:u w:val="none"/>
                <w:lang w:bidi="ar"/>
              </w:rPr>
            </w:pPr>
            <w:r>
              <w:rPr>
                <w:rFonts w:hint="eastAsia" w:ascii="宋体" w:hAnsi="宋体" w:eastAsia="宋体" w:cs="宋体"/>
                <w:i w:val="0"/>
                <w:iCs w:val="0"/>
                <w:color w:val="auto"/>
                <w:kern w:val="0"/>
                <w:sz w:val="21"/>
                <w:szCs w:val="21"/>
                <w:highlight w:val="none"/>
                <w:u w:val="none"/>
                <w:lang w:val="en-US" w:eastAsia="zh-CN" w:bidi="ar"/>
              </w:rPr>
              <w:t>(1)算法模型仓库管理:用于维护所有算法模型，如夜间老鼠、口罩识别等，支持YOLO和mobilenet等多种算法，支持自定义训练的模型新增，支持onnx模型结构在线查看。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(2)数据集管理:可以管理所有模型训练的数据集，支持识别结果自动转为数据集，支持在线进行图片数据打标签和分类，支持各种格式的数据集在线制作。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(3)算法绑定管理:支持视频资源直接与算法进行绑定，每个视频服务可以绑定多个算法，识别结果统一汇聚到预警中心。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b w:val="0"/>
                <w:bCs/>
                <w:color w:val="auto"/>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(4) AI告警中心:所有视频检测识别结果均汇聚到告警中心，告警结果以列表的形式展现，可根据算法类型、视频编号和时间信息等条件进行告警结果筛选。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(5)行业模型库:行业模型库按各行业将所有模型进行分类，可分为交通行业、建筑行业、食品卫生和公共服务行业等，根据每个行业的需求和特色进行模型定制。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b w:val="0"/>
                <w:bCs/>
                <w:color w:val="auto"/>
                <w:szCs w:val="21"/>
                <w:highlight w:val="none"/>
                <w:lang w:val="en-US" w:eastAsia="zh-CN"/>
              </w:rPr>
              <w:t>▲</w:t>
            </w:r>
            <w:r>
              <w:rPr>
                <w:rFonts w:hint="eastAsia" w:ascii="宋体" w:hAnsi="宋体" w:eastAsia="宋体" w:cs="宋体"/>
                <w:i w:val="0"/>
                <w:iCs w:val="0"/>
                <w:color w:val="auto"/>
                <w:kern w:val="0"/>
                <w:sz w:val="21"/>
                <w:szCs w:val="21"/>
                <w:highlight w:val="none"/>
                <w:u w:val="none"/>
                <w:lang w:val="en-US" w:eastAsia="zh-CN" w:bidi="ar"/>
              </w:rPr>
              <w:t>(6)虚拟围栏管理:每个视频资源可以在视频中台绘制虚拟围栏，可分配围栏触发的告警事件，支持围栏内和围栏外两种事件绑定，支持所有算法绑定。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(7)AI任务管理:视频中台支持算法以任务的形式提前绑定到各个视频资源，可指定任务运行的时间和周期，如晚上8点至凌晨4点执行夜间老鼠分析任务，并可灵活的向任务添加视频资源。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(8)AI消息推送:支持绑定用户手机号，触发AI识别后可通过短信、邮件等形式将AI结果进行第一时间推送。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(9)AI工单管理:AI识别结果可以通过工单的形式推送至第三方系统和相关责任单位的处理系统，可配置推送的工单类型，可按组织结构或部门用户进行统一配置。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color w:val="auto"/>
                <w:kern w:val="0"/>
                <w:szCs w:val="21"/>
                <w:u w:val="none"/>
                <w:lang w:bidi="ar"/>
              </w:rPr>
              <w:t>(</w:t>
            </w:r>
            <w:r>
              <w:rPr>
                <w:rFonts w:hint="eastAsia" w:ascii="宋体" w:hAnsi="宋体" w:cs="宋体"/>
                <w:color w:val="auto"/>
                <w:kern w:val="0"/>
                <w:szCs w:val="21"/>
                <w:u w:val="none"/>
                <w:lang w:val="en-US" w:eastAsia="zh-CN" w:bidi="ar"/>
              </w:rPr>
              <w:t>10</w:t>
            </w:r>
            <w:r>
              <w:rPr>
                <w:rFonts w:hint="eastAsia" w:ascii="宋体" w:hAnsi="宋体" w:cs="宋体"/>
                <w:color w:val="auto"/>
                <w:kern w:val="0"/>
                <w:szCs w:val="21"/>
                <w:u w:val="none"/>
                <w:lang w:bidi="ar"/>
              </w:rPr>
              <w:t>)AI服务助手:AI服务助手接入目前市面上开源的大模型，可进行业务知识问答，可通过AI助手处理相关的AI结果信息。</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cs="宋体"/>
                <w:color w:val="auto"/>
                <w:kern w:val="0"/>
                <w:szCs w:val="21"/>
                <w:u w:val="none"/>
                <w:lang w:bidi="ar"/>
              </w:rPr>
            </w:pPr>
            <w:r>
              <w:rPr>
                <w:rFonts w:hint="eastAsia" w:ascii="宋体" w:hAnsi="宋体" w:cs="宋体"/>
                <w:color w:val="auto"/>
                <w:kern w:val="0"/>
                <w:szCs w:val="21"/>
                <w:u w:val="none"/>
                <w:lang w:bidi="ar"/>
              </w:rPr>
              <w:t>(1</w:t>
            </w:r>
            <w:r>
              <w:rPr>
                <w:rFonts w:hint="eastAsia" w:ascii="宋体" w:hAnsi="宋体" w:cs="宋体"/>
                <w:color w:val="auto"/>
                <w:kern w:val="0"/>
                <w:szCs w:val="21"/>
                <w:u w:val="none"/>
                <w:lang w:val="en-US" w:eastAsia="zh-CN" w:bidi="ar"/>
              </w:rPr>
              <w:t>1</w:t>
            </w:r>
            <w:r>
              <w:rPr>
                <w:rFonts w:hint="eastAsia" w:ascii="宋体" w:hAnsi="宋体" w:cs="宋体"/>
                <w:color w:val="auto"/>
                <w:kern w:val="0"/>
                <w:szCs w:val="21"/>
                <w:u w:val="none"/>
                <w:lang w:bidi="ar"/>
              </w:rPr>
              <w:t>)支持算法升级和调优，不断提升算法准确性。</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color w:val="auto"/>
                <w:kern w:val="0"/>
                <w:szCs w:val="21"/>
                <w:u w:val="none"/>
                <w:lang w:bidi="ar"/>
              </w:rPr>
              <w:t>(1</w:t>
            </w:r>
            <w:r>
              <w:rPr>
                <w:rFonts w:hint="eastAsia" w:ascii="宋体" w:hAnsi="宋体" w:cs="宋体"/>
                <w:color w:val="auto"/>
                <w:kern w:val="0"/>
                <w:szCs w:val="21"/>
                <w:u w:val="none"/>
                <w:lang w:val="en-US" w:eastAsia="zh-CN" w:bidi="ar"/>
              </w:rPr>
              <w:t>2</w:t>
            </w:r>
            <w:bookmarkStart w:id="153" w:name="_GoBack"/>
            <w:bookmarkEnd w:id="153"/>
            <w:r>
              <w:rPr>
                <w:rFonts w:hint="eastAsia" w:ascii="宋体" w:hAnsi="宋体" w:cs="宋体"/>
                <w:color w:val="auto"/>
                <w:kern w:val="0"/>
                <w:szCs w:val="21"/>
                <w:u w:val="none"/>
                <w:lang w:bidi="ar"/>
              </w:rPr>
              <w:t>)开发市场监管相关人工智能算法和垂直大模型8个以上，实现人工智能+市场监管应用场景3个以上。</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68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共享开放管理系统</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(1)授权中心:所有视频中台的功能都要先通过授权中心进行认证管理，通过授权中心获取的token进行视频中台其他各个功能的接入。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(2)设备共享中心:第三方系统可根据设备共享中心获取需要的设备，设备以组织树的形式进行返回，各部门设备在完成授权操作后也可以通过该方式进行相互共享。</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(3)通道共享中心:第三方系统可通过该中心获取视频通道，跟据视频通道进行视频播放操作。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(4)视频流共享中心:第三方系统可根据视频流共享中心将自己的视频流推送到视频中台，也可通过该服务从视频中台拉取视频流，提供多种协议的取流和推流方式。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 模型共享中心:第三方系统可根据该服务进行自己的视频流分析服务，服务结果通过约定接口进行返回。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olor w:val="auto"/>
                <w:szCs w:val="21"/>
                <w:highlight w:val="none"/>
              </w:rPr>
              <w:t>★</w:t>
            </w:r>
            <w:r>
              <w:rPr>
                <w:rFonts w:hint="default" w:ascii="宋体" w:hAnsi="宋体" w:eastAsia="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打通广西钦州市市场监督管理局食品安全智慧监管系统，实现钦州市人工智能+智慧监管大数据分析平台与我局原有的市食安智慧监管系统功能融合以及扩展升级成市场主体信用监管版块、食品监管版块、药械监管版块、特种设备监察版块、综合执法办案板块、综合业务版块等六大版块。</w:t>
            </w:r>
            <w:r>
              <w:rPr>
                <w:rFonts w:hint="eastAsia" w:ascii="宋体" w:hAnsi="宋体" w:eastAsia="宋体" w:cs="宋体"/>
                <w:i w:val="0"/>
                <w:iCs w:val="0"/>
                <w:color w:val="auto"/>
                <w:kern w:val="0"/>
                <w:sz w:val="21"/>
                <w:szCs w:val="21"/>
                <w:highlight w:val="none"/>
                <w:u w:val="single"/>
                <w:lang w:val="en-US" w:eastAsia="zh-CN" w:bidi="ar"/>
              </w:rPr>
              <w:br w:type="textWrapping"/>
            </w:r>
            <w:r>
              <w:rPr>
                <w:rFonts w:hint="eastAsia" w:ascii="宋体" w:hAnsi="宋体"/>
                <w:color w:val="auto"/>
                <w:szCs w:val="21"/>
                <w:highlight w:val="none"/>
              </w:rPr>
              <w:t>★</w:t>
            </w:r>
            <w:r>
              <w:rPr>
                <w:rFonts w:hint="default" w:ascii="宋体" w:hAnsi="宋体" w:eastAsia="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要求系统部署完成后可与钦州市公安视频图像信息应用平台(雪亮工程)互通（互通标准：可获取权目录下的摄像头清单及每个摄像头的播放信号，支持在线播放和拉取视频信号进行针对性分析），采购人负责与相关管理部门协调雪亮平台对接授权事宜，成交人负责完成技术对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default" w:ascii="宋体" w:hAnsi="宋体" w:eastAsia="宋体" w:cs="宋体"/>
                <w:i w:val="0"/>
                <w:iCs w:val="0"/>
                <w:color w:val="auto"/>
                <w:kern w:val="0"/>
                <w:sz w:val="21"/>
                <w:szCs w:val="21"/>
                <w:highlight w:val="none"/>
                <w:u w:val="none"/>
                <w:lang w:val="en-US" w:eastAsia="zh-CN" w:bidi="ar"/>
              </w:rPr>
              <w:t>(8)</w:t>
            </w:r>
            <w:r>
              <w:rPr>
                <w:rFonts w:hint="eastAsia" w:ascii="宋体" w:hAnsi="宋体" w:eastAsia="宋体" w:cs="宋体"/>
                <w:i w:val="0"/>
                <w:iCs w:val="0"/>
                <w:color w:val="auto"/>
                <w:kern w:val="0"/>
                <w:sz w:val="21"/>
                <w:szCs w:val="21"/>
                <w:highlight w:val="none"/>
                <w:u w:val="none"/>
                <w:lang w:val="en-US" w:eastAsia="zh-CN" w:bidi="ar"/>
              </w:rPr>
              <w:t>支持向相关平台推送预警工单数据</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68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系统测试</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测试工程师编写测试用例、评审测试用例、进行集成测试、系统测试、回归测试、编写测试报告。</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684"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实施部署</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规划部署方案、评审部署方案、实施部署、编写部署文档。</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i w:val="0"/>
                <w:iCs w:val="0"/>
                <w:color w:val="auto"/>
                <w:kern w:val="0"/>
                <w:sz w:val="21"/>
                <w:szCs w:val="21"/>
                <w:highlight w:val="none"/>
                <w:u w:val="none"/>
                <w:lang w:val="en-US" w:eastAsia="zh-CN" w:bidi="ar"/>
              </w:rPr>
            </w:pPr>
          </w:p>
        </w:tc>
      </w:tr>
      <w:tr>
        <w:tblPrEx>
          <w:tblCellMar>
            <w:top w:w="0" w:type="dxa"/>
            <w:left w:w="108" w:type="dxa"/>
            <w:bottom w:w="0" w:type="dxa"/>
            <w:right w:w="108" w:type="dxa"/>
          </w:tblCellMar>
        </w:tblPrEx>
        <w:trPr>
          <w:trHeight w:val="1216"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政务云资源服务</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年</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租用2台政务云服务器，因原政务云无法提供，故需重新采购。</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相关参数如下：</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cs="宋体"/>
                <w:i w:val="0"/>
                <w:iCs w:val="0"/>
                <w:color w:val="auto"/>
                <w:kern w:val="0"/>
                <w:sz w:val="21"/>
                <w:szCs w:val="21"/>
                <w:highlight w:val="none"/>
                <w:u w:val="none"/>
                <w:lang w:val="en-US" w:eastAsia="zh-CN" w:bidi="ar"/>
              </w:rPr>
              <w:t>国产</w:t>
            </w:r>
            <w:r>
              <w:rPr>
                <w:rFonts w:hint="eastAsia" w:ascii="宋体" w:hAnsi="宋体" w:eastAsia="宋体" w:cs="宋体"/>
                <w:i w:val="0"/>
                <w:iCs w:val="0"/>
                <w:color w:val="auto"/>
                <w:kern w:val="0"/>
                <w:sz w:val="21"/>
                <w:szCs w:val="21"/>
                <w:highlight w:val="none"/>
                <w:u w:val="none"/>
                <w:lang w:val="en-US" w:eastAsia="zh-CN" w:bidi="ar"/>
              </w:rPr>
              <w:t>信创CPU，4C/8G/40G，500G，</w:t>
            </w:r>
            <w:r>
              <w:rPr>
                <w:rFonts w:hint="eastAsia" w:ascii="宋体" w:hAnsi="宋体" w:cs="宋体"/>
                <w:i w:val="0"/>
                <w:iCs w:val="0"/>
                <w:color w:val="auto"/>
                <w:kern w:val="0"/>
                <w:sz w:val="21"/>
                <w:szCs w:val="21"/>
                <w:highlight w:val="none"/>
                <w:u w:val="none"/>
                <w:lang w:val="en-US" w:eastAsia="zh-CN" w:bidi="ar"/>
              </w:rPr>
              <w:t>国产信创操作</w:t>
            </w:r>
            <w:r>
              <w:rPr>
                <w:rFonts w:hint="eastAsia" w:ascii="宋体" w:hAnsi="宋体" w:eastAsia="宋体" w:cs="宋体"/>
                <w:i w:val="0"/>
                <w:iCs w:val="0"/>
                <w:color w:val="auto"/>
                <w:kern w:val="0"/>
                <w:sz w:val="21"/>
                <w:szCs w:val="21"/>
                <w:highlight w:val="none"/>
                <w:u w:val="none"/>
                <w:lang w:val="en-US" w:eastAsia="zh-CN" w:bidi="ar"/>
              </w:rPr>
              <w:t>系统</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25"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3</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存储</w:t>
            </w:r>
            <w:r>
              <w:rPr>
                <w:rFonts w:hint="eastAsia" w:ascii="宋体" w:hAnsi="宋体" w:cs="宋体"/>
                <w:i w:val="0"/>
                <w:iCs w:val="0"/>
                <w:color w:val="auto"/>
                <w:kern w:val="0"/>
                <w:sz w:val="21"/>
                <w:szCs w:val="21"/>
                <w:highlight w:val="none"/>
                <w:u w:val="none"/>
                <w:lang w:val="en-US" w:eastAsia="zh-CN" w:bidi="ar"/>
              </w:rPr>
              <w:t>服务</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年</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rPr>
              <w:t>存储容量：</w:t>
            </w:r>
            <w:r>
              <w:rPr>
                <w:rFonts w:hint="eastAsia" w:ascii="宋体" w:hAnsi="宋体" w:eastAsia="宋体" w:cs="宋体"/>
                <w:color w:val="auto"/>
                <w:kern w:val="0"/>
                <w:sz w:val="21"/>
                <w:szCs w:val="21"/>
                <w:highlight w:val="none"/>
                <w:lang w:val="en-US" w:eastAsia="zh-CN"/>
              </w:rPr>
              <w:t>15T</w:t>
            </w:r>
            <w:r>
              <w:rPr>
                <w:rFonts w:hint="eastAsia" w:ascii="宋体" w:hAnsi="宋体" w:cs="宋体"/>
                <w:color w:val="auto"/>
                <w:kern w:val="0"/>
                <w:sz w:val="21"/>
                <w:szCs w:val="21"/>
                <w:highlight w:val="none"/>
                <w:lang w:val="en-US" w:eastAsia="zh-CN"/>
              </w:rPr>
              <w:t>。</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25"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4</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固定</w:t>
            </w:r>
            <w:r>
              <w:rPr>
                <w:rFonts w:hint="eastAsia" w:ascii="宋体" w:hAnsi="宋体" w:eastAsia="宋体" w:cs="宋体"/>
                <w:i w:val="0"/>
                <w:iCs w:val="0"/>
                <w:color w:val="auto"/>
                <w:kern w:val="0"/>
                <w:sz w:val="21"/>
                <w:szCs w:val="21"/>
                <w:highlight w:val="none"/>
                <w:u w:val="none"/>
                <w:lang w:val="en-US" w:eastAsia="zh-CN" w:bidi="ar"/>
              </w:rPr>
              <w:t>IP</w:t>
            </w:r>
            <w:r>
              <w:rPr>
                <w:rFonts w:hint="eastAsia" w:ascii="宋体" w:hAnsi="宋体" w:cs="宋体"/>
                <w:i w:val="0"/>
                <w:iCs w:val="0"/>
                <w:color w:val="auto"/>
                <w:kern w:val="0"/>
                <w:sz w:val="21"/>
                <w:szCs w:val="21"/>
                <w:highlight w:val="none"/>
                <w:u w:val="none"/>
                <w:lang w:val="en-US" w:eastAsia="zh-CN" w:bidi="ar"/>
              </w:rPr>
              <w:t>服务</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w:t>
            </w:r>
          </w:p>
        </w:tc>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年</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color w:val="auto"/>
                <w:kern w:val="0"/>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政务外网IP</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1个。</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25"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default" w:ascii="宋体" w:hAnsi="宋体" w:eastAsia="宋体" w:cs="宋体"/>
                <w:color w:val="auto"/>
                <w:kern w:val="0"/>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网络传输服务</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年</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100M/1条</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互联网专线</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25"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GPU</w:t>
            </w:r>
            <w:r>
              <w:rPr>
                <w:rFonts w:hint="eastAsia" w:ascii="宋体" w:hAnsi="宋体" w:cs="宋体"/>
                <w:i w:val="0"/>
                <w:iCs w:val="0"/>
                <w:color w:val="auto"/>
                <w:kern w:val="0"/>
                <w:sz w:val="21"/>
                <w:szCs w:val="21"/>
                <w:highlight w:val="none"/>
                <w:u w:val="none"/>
                <w:lang w:val="en-US" w:eastAsia="zh-CN" w:bidi="ar"/>
              </w:rPr>
              <w:t>资源</w:t>
            </w:r>
            <w:r>
              <w:rPr>
                <w:rFonts w:hint="eastAsia" w:ascii="宋体" w:hAnsi="宋体" w:eastAsia="宋体" w:cs="宋体"/>
                <w:i w:val="0"/>
                <w:iCs w:val="0"/>
                <w:color w:val="auto"/>
                <w:kern w:val="0"/>
                <w:sz w:val="21"/>
                <w:szCs w:val="21"/>
                <w:highlight w:val="none"/>
                <w:u w:val="none"/>
                <w:lang w:val="en-US" w:eastAsia="zh-CN" w:bidi="ar"/>
              </w:rPr>
              <w:t>服务</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年</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租用4台政务云GPU服务器，因原政务云无法提供，故需重新采购。</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每台GPU服务器相关参数如下：</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cs="宋体"/>
                <w:i w:val="0"/>
                <w:iCs w:val="0"/>
                <w:color w:val="auto"/>
                <w:kern w:val="0"/>
                <w:sz w:val="21"/>
                <w:szCs w:val="21"/>
                <w:highlight w:val="none"/>
                <w:u w:val="none"/>
                <w:lang w:val="en-US" w:eastAsia="zh-CN" w:bidi="ar"/>
              </w:rPr>
              <w:t>国产</w:t>
            </w:r>
            <w:r>
              <w:rPr>
                <w:rFonts w:hint="eastAsia" w:ascii="宋体" w:hAnsi="宋体" w:eastAsia="宋体" w:cs="宋体"/>
                <w:i w:val="0"/>
                <w:iCs w:val="0"/>
                <w:color w:val="auto"/>
                <w:kern w:val="0"/>
                <w:sz w:val="21"/>
                <w:szCs w:val="21"/>
                <w:highlight w:val="none"/>
                <w:u w:val="none"/>
                <w:lang w:val="en-US" w:eastAsia="zh-CN" w:bidi="ar"/>
              </w:rPr>
              <w:t>信创GPU算力卡×5张，配套1台物理均衡算力服务器，</w:t>
            </w:r>
            <w:r>
              <w:rPr>
                <w:rFonts w:hint="eastAsia" w:ascii="宋体" w:hAnsi="宋体" w:cs="宋体"/>
                <w:i w:val="0"/>
                <w:iCs w:val="0"/>
                <w:color w:val="auto"/>
                <w:kern w:val="0"/>
                <w:sz w:val="21"/>
                <w:szCs w:val="21"/>
                <w:highlight w:val="none"/>
                <w:u w:val="none"/>
                <w:lang w:val="en-US" w:eastAsia="zh-CN" w:bidi="ar"/>
              </w:rPr>
              <w:t>国产</w:t>
            </w:r>
            <w:r>
              <w:rPr>
                <w:rFonts w:hint="eastAsia" w:ascii="宋体" w:hAnsi="宋体" w:eastAsia="宋体" w:cs="宋体"/>
                <w:i w:val="0"/>
                <w:iCs w:val="0"/>
                <w:color w:val="auto"/>
                <w:kern w:val="0"/>
                <w:sz w:val="21"/>
                <w:szCs w:val="21"/>
                <w:highlight w:val="none"/>
                <w:u w:val="none"/>
                <w:lang w:val="en-US" w:eastAsia="zh-CN" w:bidi="ar"/>
              </w:rPr>
              <w:t>信创CPU，2*64核，主频2.6GHz，256G内存，硬盘2*480G SSD盘，网络接口8*10GE/25GE，按照标准运维服务等级提供监控和运维保障，预装</w:t>
            </w:r>
            <w:r>
              <w:rPr>
                <w:rFonts w:hint="eastAsia" w:ascii="宋体" w:hAnsi="宋体" w:cs="宋体"/>
                <w:i w:val="0"/>
                <w:iCs w:val="0"/>
                <w:color w:val="auto"/>
                <w:kern w:val="0"/>
                <w:sz w:val="21"/>
                <w:szCs w:val="21"/>
                <w:highlight w:val="none"/>
                <w:u w:val="none"/>
                <w:lang w:val="en-US" w:eastAsia="zh-CN" w:bidi="ar"/>
              </w:rPr>
              <w:t>国产信创操作</w:t>
            </w:r>
            <w:r>
              <w:rPr>
                <w:rFonts w:hint="eastAsia" w:ascii="宋体" w:hAnsi="宋体" w:eastAsia="宋体" w:cs="宋体"/>
                <w:i w:val="0"/>
                <w:iCs w:val="0"/>
                <w:color w:val="auto"/>
                <w:kern w:val="0"/>
                <w:sz w:val="21"/>
                <w:szCs w:val="21"/>
                <w:highlight w:val="none"/>
                <w:u w:val="none"/>
                <w:lang w:val="en-US" w:eastAsia="zh-CN" w:bidi="ar"/>
              </w:rPr>
              <w:t>系统。</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725" w:hRule="atLeast"/>
          <w:jc w:val="center"/>
        </w:trPr>
        <w:tc>
          <w:tcPr>
            <w:tcW w:w="100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7</w:t>
            </w:r>
          </w:p>
        </w:tc>
        <w:tc>
          <w:tcPr>
            <w:tcW w:w="135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国密</w:t>
            </w:r>
            <w:r>
              <w:rPr>
                <w:rFonts w:hint="eastAsia" w:ascii="宋体" w:hAnsi="宋体" w:cs="宋体"/>
                <w:i w:val="0"/>
                <w:iCs w:val="0"/>
                <w:color w:val="auto"/>
                <w:kern w:val="0"/>
                <w:sz w:val="21"/>
                <w:szCs w:val="21"/>
                <w:highlight w:val="none"/>
                <w:u w:val="none"/>
                <w:lang w:val="en-US" w:eastAsia="zh-CN" w:bidi="ar"/>
              </w:rPr>
              <w:t>资源服务</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5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
              </w:rPr>
              <w:t>国密浏览器</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符合国密要求，三年授权。</w:t>
            </w:r>
          </w:p>
        </w:tc>
        <w:tc>
          <w:tcPr>
            <w:tcW w:w="5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color w:val="auto"/>
                <w:sz w:val="21"/>
                <w:szCs w:val="21"/>
                <w:highlight w:val="none"/>
              </w:rPr>
            </w:pPr>
          </w:p>
        </w:tc>
      </w:tr>
      <w:tr>
        <w:tblPrEx>
          <w:tblCellMar>
            <w:top w:w="0" w:type="dxa"/>
            <w:left w:w="108" w:type="dxa"/>
            <w:bottom w:w="0" w:type="dxa"/>
            <w:right w:w="108" w:type="dxa"/>
          </w:tblCellMar>
        </w:tblPrEx>
        <w:trPr>
          <w:trHeight w:val="512" w:hRule="atLeast"/>
          <w:jc w:val="center"/>
        </w:trPr>
        <w:tc>
          <w:tcPr>
            <w:tcW w:w="10138" w:type="dxa"/>
            <w:gridSpan w:val="8"/>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商务条款</w:t>
            </w:r>
          </w:p>
        </w:tc>
      </w:tr>
      <w:tr>
        <w:tblPrEx>
          <w:tblCellMar>
            <w:top w:w="0" w:type="dxa"/>
            <w:left w:w="108" w:type="dxa"/>
            <w:bottom w:w="0" w:type="dxa"/>
            <w:right w:w="108" w:type="dxa"/>
          </w:tblCellMar>
        </w:tblPrEx>
        <w:trPr>
          <w:trHeight w:val="562"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项号</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商务内容</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商务需求</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投标报价要求</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本项目投标报价为采购人提供的所有服务的报价，报价含括：</w:t>
            </w:r>
          </w:p>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1.项目整体服务的价格；</w:t>
            </w:r>
            <w:r>
              <w:rPr>
                <w:rFonts w:hint="eastAsia" w:ascii="宋体" w:hAnsi="宋体" w:eastAsia="宋体" w:cs="宋体"/>
                <w:color w:val="auto"/>
                <w:sz w:val="21"/>
                <w:szCs w:val="21"/>
                <w:highlight w:val="none"/>
              </w:rPr>
              <w:t>服务期限内（</w:t>
            </w:r>
            <w:r>
              <w:rPr>
                <w:rFonts w:hint="eastAsia" w:ascii="宋体" w:hAnsi="宋体" w:eastAsia="宋体" w:cs="宋体"/>
                <w:color w:val="auto"/>
                <w:sz w:val="21"/>
                <w:szCs w:val="21"/>
                <w:highlight w:val="none"/>
                <w:lang w:val="en-US" w:eastAsia="zh-CN"/>
              </w:rPr>
              <w:t xml:space="preserve">3 </w:t>
            </w:r>
            <w:r>
              <w:rPr>
                <w:rFonts w:hint="eastAsia" w:ascii="宋体" w:hAnsi="宋体" w:eastAsia="宋体" w:cs="宋体"/>
                <w:color w:val="auto"/>
                <w:sz w:val="21"/>
                <w:szCs w:val="21"/>
                <w:highlight w:val="none"/>
              </w:rPr>
              <w:t>年）所提供服务的费用，以及为提供服务所包括的备件、专用工具、安装、调试、检验、技术培训等全部费用。</w:t>
            </w:r>
          </w:p>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2.必要的保险费用和各项税金；</w:t>
            </w:r>
          </w:p>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3.安装、调试、培训、技术支持、售后服务、更新升级等费用；</w:t>
            </w:r>
          </w:p>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4.项目验收产生的费用。</w:t>
            </w:r>
          </w:p>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在本项目实施过程中，投标总价不予调整，采购人不再支付中标价格以外的任何费用。</w:t>
            </w:r>
          </w:p>
        </w:tc>
      </w:tr>
      <w:tr>
        <w:tblPrEx>
          <w:tblCellMar>
            <w:top w:w="0" w:type="dxa"/>
            <w:left w:w="108" w:type="dxa"/>
            <w:bottom w:w="0" w:type="dxa"/>
            <w:right w:w="108" w:type="dxa"/>
          </w:tblCellMar>
        </w:tblPrEx>
        <w:trPr>
          <w:trHeight w:val="444"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实施和运营维护要求</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1.成交供应商要全面履行合同义务。根据采购人要求，按照采购人要求组建平台建设，要全面落实责任，按期完成相关时间节点的工作任务。</w:t>
            </w:r>
          </w:p>
          <w:p>
            <w:pPr>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2.成交供应商遵循采购人制定的标准规范，服从采购人的管理。</w:t>
            </w:r>
          </w:p>
          <w:p>
            <w:pPr>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3.实施过程应符合采购人数据安全管理规定。</w:t>
            </w:r>
          </w:p>
          <w:p>
            <w:pPr>
              <w:spacing w:line="360" w:lineRule="auto"/>
              <w:ind w:firstLine="0" w:firstLineChars="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highlight w:val="none"/>
                <w:lang w:val="en-US" w:eastAsia="zh-CN"/>
              </w:rPr>
              <w:t>4.成交供应商在工作中，应积极主动与采购人沟通交流，汇报相关工作开展情况。</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color w:val="auto"/>
                <w:kern w:val="0"/>
                <w:sz w:val="21"/>
                <w:szCs w:val="21"/>
                <w:highlight w:val="none"/>
              </w:rPr>
              <w:t>交付使用时间及交付地点</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1.自中标通知书发出之日起</w:t>
            </w: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日内签订合同。</w:t>
            </w:r>
          </w:p>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2.交付使用时间：采购合同签订后</w:t>
            </w:r>
            <w:r>
              <w:rPr>
                <w:rFonts w:hint="eastAsia" w:ascii="宋体" w:hAnsi="宋体" w:eastAsia="宋体" w:cs="宋体"/>
                <w:color w:val="auto"/>
                <w:kern w:val="0"/>
                <w:sz w:val="21"/>
                <w:szCs w:val="21"/>
                <w:highlight w:val="none"/>
                <w:lang w:val="en-US" w:eastAsia="zh-CN"/>
              </w:rPr>
              <w:t>90日</w:t>
            </w:r>
            <w:r>
              <w:rPr>
                <w:rFonts w:hint="eastAsia" w:ascii="宋体" w:hAnsi="宋体" w:eastAsia="宋体" w:cs="宋体"/>
                <w:color w:val="auto"/>
                <w:kern w:val="0"/>
                <w:sz w:val="21"/>
                <w:szCs w:val="21"/>
                <w:highlight w:val="none"/>
              </w:rPr>
              <w:t>内</w:t>
            </w:r>
            <w:r>
              <w:rPr>
                <w:rFonts w:hint="eastAsia" w:ascii="宋体" w:hAnsi="宋体" w:eastAsia="宋体" w:cs="宋体"/>
                <w:color w:val="auto"/>
                <w:kern w:val="0"/>
                <w:sz w:val="21"/>
                <w:szCs w:val="21"/>
                <w:highlight w:val="none"/>
                <w:lang w:val="en-US" w:eastAsia="zh-CN"/>
              </w:rPr>
              <w:t>完成交付</w:t>
            </w:r>
            <w:r>
              <w:rPr>
                <w:rFonts w:hint="eastAsia" w:ascii="宋体" w:hAnsi="宋体" w:eastAsia="宋体" w:cs="宋体"/>
                <w:color w:val="auto"/>
                <w:kern w:val="0"/>
                <w:sz w:val="21"/>
                <w:szCs w:val="21"/>
                <w:highlight w:val="none"/>
              </w:rPr>
              <w:t>。</w:t>
            </w:r>
          </w:p>
          <w:p>
            <w:pPr>
              <w:snapToGrid w:val="0"/>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val="en-US" w:eastAsia="zh-CN"/>
              </w:rPr>
              <w:t>项目服务期：3年。</w:t>
            </w:r>
          </w:p>
          <w:p>
            <w:pPr>
              <w:snapToGrid w:val="0"/>
              <w:spacing w:line="360" w:lineRule="auto"/>
              <w:ind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交付地点：</w:t>
            </w:r>
            <w:r>
              <w:rPr>
                <w:rFonts w:hint="eastAsia" w:ascii="宋体" w:hAnsi="宋体" w:eastAsia="宋体" w:cs="宋体"/>
                <w:color w:val="auto"/>
                <w:kern w:val="0"/>
                <w:sz w:val="21"/>
                <w:szCs w:val="21"/>
                <w:highlight w:val="none"/>
                <w:lang w:val="en-US" w:eastAsia="zh-CN"/>
              </w:rPr>
              <w:t>广西钦州市</w:t>
            </w:r>
            <w:r>
              <w:rPr>
                <w:rFonts w:hint="eastAsia" w:ascii="宋体" w:hAnsi="宋体" w:eastAsia="宋体" w:cs="宋体"/>
                <w:color w:val="auto"/>
                <w:kern w:val="0"/>
                <w:sz w:val="21"/>
                <w:szCs w:val="21"/>
                <w:highlight w:val="none"/>
              </w:rPr>
              <w:t>采购人指定地点。</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spacing w:val="-6"/>
                <w:kern w:val="0"/>
                <w:sz w:val="21"/>
                <w:szCs w:val="21"/>
                <w:highlight w:val="none"/>
                <w:lang w:eastAsia="zh-CN"/>
              </w:rPr>
            </w:pPr>
            <w:r>
              <w:rPr>
                <w:rFonts w:hint="eastAsia" w:ascii="宋体" w:hAnsi="宋体" w:eastAsia="宋体" w:cs="宋体"/>
                <w:color w:val="auto"/>
                <w:spacing w:val="-6"/>
                <w:kern w:val="0"/>
                <w:sz w:val="21"/>
                <w:szCs w:val="21"/>
                <w:highlight w:val="none"/>
                <w:lang w:val="en-US" w:eastAsia="zh-CN"/>
              </w:rPr>
              <w:t>4</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付款条件</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default" w:ascii="宋体" w:hAnsi="宋体" w:eastAsia="宋体" w:cs="宋体"/>
                <w:color w:val="auto"/>
                <w:kern w:val="0"/>
                <w:sz w:val="21"/>
                <w:szCs w:val="21"/>
                <w:highlight w:val="none"/>
                <w:lang w:val="en-US" w:eastAsia="zh-CN"/>
              </w:rPr>
            </w:pPr>
            <w:bookmarkStart w:id="49" w:name="OLE_LINK1"/>
            <w:r>
              <w:rPr>
                <w:rFonts w:hint="eastAsia" w:ascii="宋体" w:hAnsi="宋体" w:eastAsia="宋体" w:cs="宋体"/>
                <w:color w:val="auto"/>
                <w:sz w:val="21"/>
                <w:szCs w:val="21"/>
                <w:highlight w:val="none"/>
                <w:u w:val="single"/>
              </w:rPr>
              <w:t>合同签订后30日内，支付合同总金额的30%，项目完成验收通过后30日内支付合同总金额的</w:t>
            </w:r>
            <w:bookmarkEnd w:id="49"/>
            <w:r>
              <w:rPr>
                <w:rFonts w:hint="eastAsia" w:ascii="宋体" w:hAnsi="宋体" w:cs="宋体"/>
                <w:strike w:val="0"/>
                <w:dstrike w:val="0"/>
                <w:color w:val="auto"/>
                <w:sz w:val="21"/>
                <w:szCs w:val="21"/>
                <w:highlight w:val="none"/>
                <w:u w:val="single"/>
                <w:lang w:val="en-US" w:eastAsia="zh-CN"/>
              </w:rPr>
              <w:t>70%</w:t>
            </w:r>
          </w:p>
        </w:tc>
      </w:tr>
      <w:tr>
        <w:tblPrEx>
          <w:tblCellMar>
            <w:top w:w="0" w:type="dxa"/>
            <w:left w:w="108" w:type="dxa"/>
            <w:bottom w:w="0" w:type="dxa"/>
            <w:right w:w="108" w:type="dxa"/>
          </w:tblCellMar>
        </w:tblPrEx>
        <w:trPr>
          <w:trHeight w:val="782"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服务要求</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eastAsia"/>
                <w:color w:val="auto"/>
                <w:highlight w:val="none"/>
              </w:rPr>
            </w:pPr>
            <w:r>
              <w:rPr>
                <w:rFonts w:hint="eastAsia"/>
                <w:color w:val="auto"/>
                <w:highlight w:val="none"/>
                <w:lang w:val="en-US" w:eastAsia="zh-CN"/>
              </w:rPr>
              <w:t>1.</w:t>
            </w:r>
            <w:r>
              <w:rPr>
                <w:rFonts w:hint="eastAsia"/>
                <w:color w:val="auto"/>
                <w:highlight w:val="none"/>
              </w:rPr>
              <w:t>成交供应商能提供7×24小时通过远程、上门服务、电话、E-mail等方式为用户提供完善的售前和售后技术咨询服务。</w:t>
            </w:r>
          </w:p>
          <w:p>
            <w:pPr>
              <w:spacing w:line="360" w:lineRule="auto"/>
              <w:ind w:firstLine="0" w:firstLineChars="0"/>
              <w:rPr>
                <w:rFonts w:hint="eastAsia"/>
                <w:color w:val="auto"/>
                <w:highlight w:val="none"/>
                <w:lang w:val="en-US" w:eastAsia="zh-CN"/>
              </w:rPr>
            </w:pPr>
            <w:r>
              <w:rPr>
                <w:rFonts w:hint="eastAsia"/>
                <w:color w:val="auto"/>
                <w:highlight w:val="none"/>
                <w:lang w:val="en-US" w:eastAsia="zh-CN"/>
              </w:rPr>
              <w:t>2.</w:t>
            </w:r>
            <w:r>
              <w:rPr>
                <w:rFonts w:hint="eastAsia"/>
                <w:color w:val="auto"/>
                <w:highlight w:val="none"/>
              </w:rPr>
              <w:t>处理问题响应时间：接到采购人处理问题通知后</w:t>
            </w:r>
            <w:r>
              <w:rPr>
                <w:rFonts w:hint="eastAsia"/>
                <w:color w:val="auto"/>
                <w:highlight w:val="none"/>
                <w:lang w:val="en-US" w:eastAsia="zh-CN"/>
              </w:rPr>
              <w:t>4</w:t>
            </w:r>
            <w:r>
              <w:rPr>
                <w:rFonts w:hint="eastAsia"/>
                <w:color w:val="auto"/>
                <w:highlight w:val="none"/>
              </w:rPr>
              <w:t>小时内到达采购人指定现场，</w:t>
            </w:r>
            <w:r>
              <w:rPr>
                <w:rFonts w:hint="eastAsia"/>
                <w:color w:val="auto"/>
                <w:highlight w:val="none"/>
                <w:lang w:val="en-US" w:eastAsia="zh-CN"/>
              </w:rPr>
              <w:t>8</w:t>
            </w:r>
            <w:r>
              <w:rPr>
                <w:rFonts w:hint="eastAsia"/>
                <w:color w:val="auto"/>
                <w:highlight w:val="none"/>
              </w:rPr>
              <w:t>小时内解决故障并恢复运行</w:t>
            </w:r>
            <w:r>
              <w:rPr>
                <w:rFonts w:hint="eastAsia"/>
                <w:color w:val="auto"/>
                <w:highlight w:val="none"/>
                <w:lang w:val="en-US" w:eastAsia="zh-CN"/>
              </w:rPr>
              <w:t>。</w:t>
            </w:r>
          </w:p>
          <w:p>
            <w:pPr>
              <w:spacing w:line="360" w:lineRule="auto"/>
              <w:ind w:firstLine="0" w:firstLineChars="0"/>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3.服务期内每季度不少于1次定期回访及对本项目系统进行维护，并出具巡检报告。</w:t>
            </w:r>
          </w:p>
          <w:p>
            <w:pPr>
              <w:numPr>
                <w:ilvl w:val="0"/>
                <w:numId w:val="3"/>
              </w:numPr>
              <w:spacing w:line="360" w:lineRule="auto"/>
              <w:ind w:firstLine="0" w:firstLineChars="0"/>
              <w:rPr>
                <w:rFonts w:hint="default"/>
                <w:color w:val="auto"/>
                <w:highlight w:val="none"/>
                <w:lang w:val="en-US" w:eastAsia="zh-CN"/>
              </w:rPr>
            </w:pPr>
            <w:r>
              <w:rPr>
                <w:rFonts w:hint="eastAsia"/>
                <w:color w:val="auto"/>
                <w:highlight w:val="none"/>
                <w:lang w:val="en-US" w:eastAsia="zh-CN"/>
              </w:rPr>
              <w:t>服务期内，成交供应商须对项目出现的功能性问题进行软件修复。</w:t>
            </w:r>
          </w:p>
          <w:p>
            <w:pPr>
              <w:numPr>
                <w:ilvl w:val="0"/>
                <w:numId w:val="0"/>
              </w:numPr>
              <w:spacing w:line="360" w:lineRule="auto"/>
              <w:rPr>
                <w:rFonts w:hint="default"/>
                <w:color w:val="auto"/>
                <w:highlight w:val="none"/>
                <w:lang w:val="en-US" w:eastAsia="zh-CN"/>
              </w:rPr>
            </w:pPr>
            <w:r>
              <w:rPr>
                <w:rFonts w:hint="eastAsia" w:ascii="宋体" w:hAnsi="宋体"/>
                <w:color w:val="auto"/>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.交付保障：供应商至少要向本项目提供实施人员</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人，提供姓名、联系方式等。</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采购标的的验收标准</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采购人完成</w:t>
            </w:r>
            <w:r>
              <w:rPr>
                <w:rFonts w:hint="eastAsia" w:ascii="宋体" w:hAnsi="宋体" w:eastAsia="宋体" w:cs="宋体"/>
                <w:color w:val="auto"/>
                <w:kern w:val="0"/>
                <w:sz w:val="21"/>
                <w:szCs w:val="21"/>
                <w:highlight w:val="none"/>
                <w:lang w:val="en-US" w:eastAsia="zh-CN"/>
              </w:rPr>
              <w:t>项目</w:t>
            </w:r>
            <w:r>
              <w:rPr>
                <w:rFonts w:hint="eastAsia" w:ascii="宋体" w:hAnsi="宋体" w:eastAsia="宋体" w:cs="宋体"/>
                <w:color w:val="auto"/>
                <w:kern w:val="0"/>
                <w:sz w:val="21"/>
                <w:szCs w:val="21"/>
                <w:highlight w:val="none"/>
              </w:rPr>
              <w:t>质量审核后，成交供应商按要求提交验收申请和相关验收材料。采购人组织成立验收组，负责检查项目工作完成情况，并检查文档资料，对项目进行验收。</w:t>
            </w:r>
          </w:p>
        </w:tc>
      </w:tr>
      <w:tr>
        <w:tblPrEx>
          <w:tblCellMar>
            <w:top w:w="0" w:type="dxa"/>
            <w:left w:w="108" w:type="dxa"/>
            <w:bottom w:w="0" w:type="dxa"/>
            <w:right w:w="108" w:type="dxa"/>
          </w:tblCellMar>
        </w:tblPrEx>
        <w:trPr>
          <w:trHeight w:val="1140" w:hRule="atLeast"/>
          <w:jc w:val="center"/>
        </w:trPr>
        <w:tc>
          <w:tcPr>
            <w:tcW w:w="431" w:type="dxa"/>
            <w:tcBorders>
              <w:top w:val="single" w:color="000000" w:sz="4" w:space="0"/>
              <w:left w:val="single" w:color="000000" w:sz="4" w:space="0"/>
              <w:bottom w:val="single" w:color="000000" w:sz="4" w:space="0"/>
              <w:right w:val="single" w:color="000000" w:sz="4" w:space="0"/>
            </w:tcBorders>
            <w:noWrap/>
            <w:vAlign w:val="center"/>
          </w:tcPr>
          <w:p>
            <w:pPr>
              <w:snapToGrid w:val="0"/>
              <w:spacing w:line="360" w:lineRule="auto"/>
              <w:ind w:firstLine="0" w:firstLineChars="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p>
        </w:tc>
        <w:tc>
          <w:tcPr>
            <w:tcW w:w="1310" w:type="dxa"/>
            <w:gridSpan w:val="2"/>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其他要求</w:t>
            </w:r>
          </w:p>
        </w:tc>
        <w:tc>
          <w:tcPr>
            <w:tcW w:w="8397" w:type="dxa"/>
            <w:gridSpan w:val="5"/>
            <w:tcBorders>
              <w:top w:val="single" w:color="000000" w:sz="4" w:space="0"/>
              <w:left w:val="single" w:color="000000" w:sz="4" w:space="0"/>
              <w:bottom w:val="single" w:color="000000" w:sz="4" w:space="0"/>
              <w:right w:val="single" w:color="000000" w:sz="4" w:space="0"/>
            </w:tcBorders>
            <w:noWrap/>
            <w:vAlign w:val="center"/>
          </w:tcPr>
          <w:p>
            <w:pPr>
              <w:numPr>
                <w:ilvl w:val="0"/>
                <w:numId w:val="0"/>
              </w:numPr>
              <w:spacing w:line="360" w:lineRule="auto"/>
              <w:rPr>
                <w:rFonts w:hint="eastAsia"/>
                <w:color w:val="auto"/>
                <w:highlight w:val="none"/>
                <w:lang w:val="en-US" w:eastAsia="zh-CN"/>
              </w:rPr>
            </w:pPr>
            <w:r>
              <w:rPr>
                <w:rFonts w:hint="eastAsia"/>
                <w:color w:val="auto"/>
                <w:highlight w:val="none"/>
                <w:lang w:val="en-US" w:eastAsia="zh-CN"/>
              </w:rPr>
              <w:t>1.供应商在采购活动中提供虚假材料，以及提供的产品（服务）与投标文件不一致的，报采购监管部门查处。</w:t>
            </w:r>
          </w:p>
          <w:p>
            <w:pPr>
              <w:numPr>
                <w:ilvl w:val="0"/>
                <w:numId w:val="0"/>
              </w:numPr>
              <w:spacing w:line="360" w:lineRule="auto"/>
              <w:rPr>
                <w:rFonts w:hint="eastAsia"/>
                <w:color w:val="auto"/>
                <w:highlight w:val="none"/>
                <w:lang w:val="en-US" w:eastAsia="zh-CN"/>
              </w:rPr>
            </w:pPr>
            <w:r>
              <w:rPr>
                <w:rFonts w:hint="eastAsia"/>
                <w:color w:val="auto"/>
                <w:highlight w:val="none"/>
                <w:lang w:val="en-US" w:eastAsia="zh-CN"/>
              </w:rPr>
              <w:t>★2供应商需承诺保证配合采购人将服务平台与壮美广西·钦州市政务云平台互联互通，实现政务云平台的服务器与部署的算力服务器网络联通，需提供承诺函，格式自拟。</w:t>
            </w:r>
          </w:p>
          <w:p>
            <w:pPr>
              <w:numPr>
                <w:ilvl w:val="0"/>
                <w:numId w:val="0"/>
              </w:numPr>
              <w:spacing w:line="360" w:lineRule="auto"/>
              <w:rPr>
                <w:rFonts w:hint="default"/>
                <w:color w:val="auto"/>
                <w:highlight w:val="none"/>
                <w:lang w:val="en-US" w:eastAsia="zh-CN"/>
              </w:rPr>
            </w:pPr>
            <w:r>
              <w:rPr>
                <w:rFonts w:hint="eastAsia"/>
                <w:color w:val="auto"/>
                <w:highlight w:val="none"/>
                <w:lang w:val="en-US" w:eastAsia="zh-CN"/>
              </w:rPr>
              <w:t>★3.满足国产信创要求，适配虚谷伟业数据库或者高斯数据库，适配昇腾算力。</w:t>
            </w:r>
          </w:p>
          <w:p>
            <w:pPr>
              <w:numPr>
                <w:ilvl w:val="0"/>
                <w:numId w:val="0"/>
              </w:numPr>
              <w:spacing w:line="360" w:lineRule="auto"/>
              <w:ind w:left="0" w:leftChars="0" w:firstLine="0" w:firstLineChars="0"/>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4.成交供应商应将软件系统(包括但不限于安装包、部署指南、用户手册、系统设计文档、完整源代码、API文档与数据库字典等开发文档)移交给采购人，所有权归采购人所有。)</w:t>
            </w:r>
          </w:p>
          <w:p>
            <w:pPr>
              <w:pStyle w:val="2"/>
              <w:rPr>
                <w:rFonts w:hint="default"/>
                <w:color w:val="auto"/>
                <w:highlight w:val="none"/>
                <w:lang w:val="en-US" w:eastAsia="zh-CN"/>
              </w:rPr>
            </w:pPr>
            <w:r>
              <w:rPr>
                <w:rFonts w:hint="eastAsia" w:ascii="宋体" w:hAnsi="宋体" w:cs="宋体"/>
                <w:color w:val="auto"/>
                <w:kern w:val="0"/>
                <w:sz w:val="21"/>
                <w:szCs w:val="21"/>
                <w:highlight w:val="none"/>
                <w:u w:val="none"/>
                <w:lang w:val="en-US" w:eastAsia="zh-CN"/>
              </w:rPr>
              <w:t>5.</w:t>
            </w:r>
            <w:r>
              <w:rPr>
                <w:rFonts w:hint="eastAsia" w:ascii="宋体" w:hAnsi="宋体" w:eastAsia="宋体" w:cs="宋体"/>
                <w:b w:val="0"/>
                <w:bCs w:val="0"/>
                <w:color w:val="auto"/>
                <w:kern w:val="0"/>
                <w:sz w:val="21"/>
                <w:szCs w:val="21"/>
                <w:highlight w:val="none"/>
                <w:u w:val="none"/>
                <w:lang w:val="en-US" w:eastAsia="zh-CN"/>
              </w:rPr>
              <w:t>具有对</w:t>
            </w:r>
            <w:r>
              <w:rPr>
                <w:rFonts w:hint="eastAsia" w:ascii="宋体" w:hAnsi="宋体" w:eastAsia="宋体" w:cs="宋体"/>
                <w:b w:val="0"/>
                <w:bCs w:val="0"/>
                <w:color w:val="auto"/>
                <w:kern w:val="0"/>
                <w:sz w:val="21"/>
                <w:szCs w:val="21"/>
                <w:highlight w:val="none"/>
                <w:lang w:val="en-US" w:eastAsia="zh-CN" w:bidi="ar"/>
              </w:rPr>
              <w:t>项目理解、分析；项目实施方案；售后服务；</w:t>
            </w:r>
            <w:r>
              <w:rPr>
                <w:rFonts w:hint="eastAsia" w:ascii="宋体" w:hAnsi="宋体" w:eastAsia="宋体" w:cs="宋体"/>
                <w:b w:val="0"/>
                <w:bCs w:val="0"/>
                <w:color w:val="auto"/>
                <w:sz w:val="21"/>
                <w:szCs w:val="21"/>
                <w:highlight w:val="none"/>
                <w:lang w:val="en-US" w:eastAsia="zh-CN"/>
              </w:rPr>
              <w:t>实施人员有</w:t>
            </w:r>
            <w:r>
              <w:rPr>
                <w:rFonts w:hint="eastAsia" w:ascii="宋体" w:hAnsi="宋体" w:cs="宋体"/>
                <w:b w:val="0"/>
                <w:bCs w:val="0"/>
                <w:color w:val="auto"/>
                <w:sz w:val="21"/>
                <w:szCs w:val="21"/>
                <w:highlight w:val="none"/>
                <w:lang w:val="en-US" w:eastAsia="zh-CN"/>
              </w:rPr>
              <w:t>初级以上</w:t>
            </w:r>
            <w:r>
              <w:rPr>
                <w:rFonts w:hint="eastAsia" w:ascii="宋体" w:hAnsi="宋体" w:eastAsia="宋体" w:cs="宋体"/>
                <w:b w:val="0"/>
                <w:bCs w:val="0"/>
                <w:color w:val="auto"/>
                <w:sz w:val="21"/>
                <w:szCs w:val="21"/>
                <w:highlight w:val="none"/>
                <w:lang w:val="en-US" w:eastAsia="zh-CN"/>
              </w:rPr>
              <w:t>职称或职业资格技术人员的；网络工程师有</w:t>
            </w:r>
            <w:r>
              <w:rPr>
                <w:rFonts w:hint="eastAsia" w:ascii="宋体" w:hAnsi="宋体" w:cs="宋体"/>
                <w:b w:val="0"/>
                <w:bCs w:val="0"/>
                <w:color w:val="auto"/>
                <w:sz w:val="21"/>
                <w:szCs w:val="21"/>
                <w:highlight w:val="none"/>
                <w:lang w:val="en-US" w:eastAsia="zh-CN"/>
              </w:rPr>
              <w:t>初级以上</w:t>
            </w:r>
            <w:r>
              <w:rPr>
                <w:rFonts w:hint="eastAsia" w:ascii="宋体" w:hAnsi="宋体" w:eastAsia="宋体" w:cs="宋体"/>
                <w:b w:val="0"/>
                <w:bCs w:val="0"/>
                <w:color w:val="auto"/>
                <w:sz w:val="21"/>
                <w:szCs w:val="21"/>
                <w:highlight w:val="none"/>
                <w:lang w:val="en-US" w:eastAsia="zh-CN"/>
              </w:rPr>
              <w:t>职称的优先考虑。</w:t>
            </w:r>
          </w:p>
        </w:tc>
      </w:tr>
    </w:tbl>
    <w:p>
      <w:pPr>
        <w:pStyle w:val="44"/>
        <w:rPr>
          <w:rFonts w:hint="eastAsia" w:ascii="宋体" w:hAnsi="宋体"/>
          <w:color w:val="auto"/>
          <w:szCs w:val="21"/>
          <w:highlight w:val="none"/>
        </w:rPr>
      </w:pPr>
      <w:r>
        <w:rPr>
          <w:rFonts w:hint="eastAsia" w:ascii="宋体" w:hAnsi="宋体"/>
          <w:b/>
          <w:color w:val="auto"/>
          <w:sz w:val="32"/>
          <w:highlight w:val="none"/>
        </w:rPr>
        <w:br w:type="page"/>
      </w:r>
    </w:p>
    <w:p>
      <w:pPr>
        <w:rPr>
          <w:rFonts w:hint="eastAsia"/>
          <w:color w:val="auto"/>
        </w:rPr>
      </w:pPr>
    </w:p>
    <w:p>
      <w:pPr>
        <w:pStyle w:val="44"/>
        <w:rPr>
          <w:rFonts w:hint="eastAsia"/>
          <w:color w:val="auto"/>
        </w:rPr>
      </w:pPr>
    </w:p>
    <w:p>
      <w:pPr>
        <w:pStyle w:val="44"/>
        <w:rPr>
          <w:rFonts w:hint="eastAsia"/>
          <w:color w:val="auto"/>
        </w:rPr>
      </w:pPr>
    </w:p>
    <w:p>
      <w:pPr>
        <w:pStyle w:val="44"/>
        <w:rPr>
          <w:rFonts w:hint="eastAsia"/>
          <w:color w:val="auto"/>
        </w:rPr>
      </w:pPr>
    </w:p>
    <w:p>
      <w:pPr>
        <w:pStyle w:val="44"/>
        <w:rPr>
          <w:rFonts w:hint="eastAsia"/>
          <w:color w:val="auto"/>
        </w:rPr>
      </w:pPr>
    </w:p>
    <w:p>
      <w:pPr>
        <w:pStyle w:val="44"/>
        <w:rPr>
          <w:rFonts w:hint="eastAsia"/>
          <w:color w:val="auto"/>
        </w:rPr>
      </w:pPr>
    </w:p>
    <w:p>
      <w:pPr>
        <w:pStyle w:val="44"/>
        <w:rPr>
          <w:rFonts w:hint="eastAsia"/>
          <w:color w:val="auto"/>
        </w:rPr>
      </w:pPr>
    </w:p>
    <w:p>
      <w:pPr>
        <w:pStyle w:val="44"/>
        <w:rPr>
          <w:rFonts w:hint="eastAsia"/>
          <w:color w:val="auto"/>
        </w:rPr>
      </w:pPr>
    </w:p>
    <w:p>
      <w:pPr>
        <w:pStyle w:val="44"/>
        <w:rPr>
          <w:rFonts w:hint="eastAsia"/>
          <w:color w:val="auto"/>
        </w:rPr>
      </w:pPr>
    </w:p>
    <w:p>
      <w:pPr>
        <w:pStyle w:val="44"/>
        <w:rPr>
          <w:rFonts w:hint="eastAsia"/>
          <w:color w:val="auto"/>
        </w:rPr>
      </w:pPr>
    </w:p>
    <w:p>
      <w:pPr>
        <w:rPr>
          <w:rFonts w:hint="eastAsia" w:ascii="宋体" w:hAnsi="宋体"/>
          <w:color w:val="auto"/>
          <w:szCs w:val="21"/>
          <w:highlight w:val="none"/>
        </w:rPr>
      </w:pPr>
    </w:p>
    <w:p>
      <w:pPr>
        <w:rPr>
          <w:rFonts w:hint="eastAsia" w:ascii="宋体" w:hAnsi="宋体"/>
          <w:color w:val="auto"/>
          <w:szCs w:val="21"/>
          <w:highlight w:val="none"/>
        </w:rPr>
      </w:pPr>
    </w:p>
    <w:p>
      <w:pPr>
        <w:rPr>
          <w:rFonts w:hint="eastAsia" w:ascii="宋体" w:hAnsi="宋体"/>
          <w:color w:val="auto"/>
          <w:szCs w:val="21"/>
          <w:highlight w:val="none"/>
        </w:rPr>
      </w:pPr>
    </w:p>
    <w:p>
      <w:pPr>
        <w:rPr>
          <w:color w:val="auto"/>
          <w:highlight w:val="none"/>
        </w:rPr>
      </w:pPr>
    </w:p>
    <w:p>
      <w:pPr>
        <w:pStyle w:val="3"/>
        <w:spacing w:line="400" w:lineRule="exact"/>
        <w:rPr>
          <w:rFonts w:ascii="方正小标宋简体" w:eastAsia="方正小标宋简体"/>
          <w:color w:val="auto"/>
          <w:highlight w:val="none"/>
        </w:rPr>
      </w:pPr>
      <w:bookmarkStart w:id="50" w:name="_Toc92355025"/>
      <w:r>
        <w:rPr>
          <w:rFonts w:hint="eastAsia" w:ascii="方正小标宋简体" w:eastAsia="方正小标宋简体"/>
          <w:color w:val="auto"/>
          <w:highlight w:val="none"/>
        </w:rPr>
        <w:t>第三章  供应商须知</w:t>
      </w:r>
      <w:bookmarkEnd w:id="46"/>
      <w:bookmarkEnd w:id="47"/>
      <w:bookmarkEnd w:id="50"/>
    </w:p>
    <w:p>
      <w:pPr>
        <w:jc w:val="center"/>
        <w:rPr>
          <w:rFonts w:hint="eastAsia" w:ascii="仿宋_GB2312" w:hAnsi="宋体" w:eastAsia="仿宋_GB2312"/>
          <w:b/>
          <w:color w:val="auto"/>
          <w:sz w:val="32"/>
          <w:szCs w:val="32"/>
          <w:highlight w:val="none"/>
        </w:rPr>
      </w:pPr>
      <w:bookmarkStart w:id="51" w:name="_Toc354479499"/>
      <w:bookmarkStart w:id="52" w:name="_Toc350325671"/>
      <w:bookmarkStart w:id="53" w:name="_Toc357157408"/>
      <w:bookmarkStart w:id="54" w:name="_Toc358477281"/>
      <w:r>
        <w:rPr>
          <w:rFonts w:ascii="仿宋_GB2312" w:hAnsi="宋体" w:eastAsia="仿宋_GB2312"/>
          <w:b/>
          <w:color w:val="auto"/>
          <w:sz w:val="32"/>
          <w:szCs w:val="32"/>
          <w:highlight w:val="none"/>
        </w:rPr>
        <w:br w:type="page"/>
      </w:r>
    </w:p>
    <w:p>
      <w:pPr>
        <w:rPr>
          <w:color w:val="auto"/>
          <w:highlight w:val="none"/>
        </w:rPr>
      </w:pPr>
    </w:p>
    <w:p>
      <w:pPr>
        <w:jc w:val="cente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一、供应商须知前附表</w:t>
      </w:r>
    </w:p>
    <w:tbl>
      <w:tblPr>
        <w:tblStyle w:val="35"/>
        <w:tblW w:w="9351" w:type="dxa"/>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页码</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内    容</w:t>
            </w:r>
          </w:p>
        </w:tc>
      </w:tr>
      <w:tr>
        <w:tblPrEx>
          <w:tblCellMar>
            <w:top w:w="0" w:type="dxa"/>
            <w:left w:w="108" w:type="dxa"/>
            <w:bottom w:w="0" w:type="dxa"/>
            <w:right w:w="108" w:type="dxa"/>
          </w:tblCellMar>
        </w:tblPrEx>
        <w:trPr>
          <w:trHeight w:val="11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2"/>
                <w:rFonts w:hint="eastAsia" w:eastAsia="宋体"/>
                <w:color w:val="auto"/>
                <w:szCs w:val="21"/>
                <w:highlight w:val="none"/>
                <w:u w:val="none"/>
                <w:lang w:eastAsia="zh-CN"/>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"_一、总_则" </w:instrText>
            </w:r>
            <w:r>
              <w:rPr>
                <w:rFonts w:ascii="宋体" w:hAnsi="宋体" w:cs="宋体"/>
                <w:color w:val="auto"/>
                <w:kern w:val="0"/>
                <w:szCs w:val="21"/>
                <w:highlight w:val="none"/>
              </w:rPr>
              <w:fldChar w:fldCharType="separate"/>
            </w:r>
            <w:r>
              <w:rPr>
                <w:rStyle w:val="42"/>
                <w:rFonts w:hint="eastAsia" w:ascii="宋体" w:hAnsi="宋体" w:cs="宋体"/>
                <w:color w:val="auto"/>
                <w:kern w:val="0"/>
                <w:szCs w:val="21"/>
                <w:highlight w:val="none"/>
                <w:u w:val="none"/>
              </w:rPr>
              <w:t>项目名称：</w:t>
            </w:r>
            <w:r>
              <w:rPr>
                <w:rStyle w:val="42"/>
                <w:rFonts w:hint="eastAsia" w:ascii="宋体" w:hAnsi="宋体" w:cs="宋体"/>
                <w:color w:val="auto"/>
                <w:kern w:val="0"/>
                <w:szCs w:val="21"/>
                <w:highlight w:val="none"/>
                <w:u w:val="none"/>
                <w:lang w:eastAsia="zh-CN"/>
              </w:rPr>
              <w:t>钦州市人工智能＋智慧监管大数据分析平台项目</w:t>
            </w:r>
          </w:p>
          <w:p>
            <w:pPr>
              <w:widowControl/>
              <w:spacing w:line="440" w:lineRule="exact"/>
              <w:rPr>
                <w:rFonts w:hint="eastAsia" w:ascii="宋体" w:hAnsi="宋体" w:eastAsia="宋体"/>
                <w:color w:val="auto"/>
                <w:szCs w:val="21"/>
                <w:highlight w:val="none"/>
                <w:lang w:eastAsia="zh-CN"/>
              </w:rPr>
            </w:pPr>
            <w:r>
              <w:rPr>
                <w:rStyle w:val="42"/>
                <w:rFonts w:hint="eastAsia" w:ascii="宋体" w:hAnsi="宋体"/>
                <w:color w:val="auto"/>
                <w:szCs w:val="21"/>
                <w:highlight w:val="none"/>
                <w:u w:val="none"/>
              </w:rPr>
              <w:t>项目编号：</w:t>
            </w:r>
            <w:r>
              <w:rPr>
                <w:rFonts w:ascii="宋体" w:hAnsi="宋体" w:cs="宋体"/>
                <w:color w:val="auto"/>
                <w:kern w:val="0"/>
                <w:szCs w:val="21"/>
                <w:highlight w:val="none"/>
              </w:rPr>
              <w:fldChar w:fldCharType="end"/>
            </w:r>
            <w:r>
              <w:rPr>
                <w:rFonts w:hint="eastAsia" w:ascii="宋体" w:hAnsi="宋体" w:cs="宋体"/>
                <w:color w:val="auto"/>
                <w:kern w:val="0"/>
                <w:szCs w:val="21"/>
                <w:highlight w:val="none"/>
                <w:lang w:eastAsia="zh-CN"/>
              </w:rPr>
              <w:t>QZZC2025-C3-990277-QZSZ</w:t>
            </w:r>
          </w:p>
        </w:tc>
      </w:tr>
      <w:tr>
        <w:tblPrEx>
          <w:tblCellMar>
            <w:top w:w="0" w:type="dxa"/>
            <w:left w:w="108" w:type="dxa"/>
            <w:bottom w:w="0" w:type="dxa"/>
            <w:right w:w="108" w:type="dxa"/>
          </w:tblCellMar>
        </w:tblPrEx>
        <w:trPr>
          <w:trHeight w:val="269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2"/>
                <w:rFonts w:hint="eastAsia" w:ascii="宋体" w:hAnsi="宋体"/>
                <w:color w:val="auto"/>
                <w:szCs w:val="21"/>
                <w:highlight w:val="none"/>
                <w:u w:val="none"/>
              </w:rPr>
            </w:pPr>
            <w:r>
              <w:rPr>
                <w:rStyle w:val="42"/>
                <w:rFonts w:ascii="宋体" w:hAnsi="宋体"/>
                <w:color w:val="auto"/>
                <w:szCs w:val="21"/>
                <w:highlight w:val="none"/>
                <w:u w:val="none"/>
              </w:rPr>
              <w:fldChar w:fldCharType="begin"/>
            </w:r>
            <w:r>
              <w:rPr>
                <w:rStyle w:val="42"/>
                <w:rFonts w:ascii="宋体" w:hAnsi="宋体"/>
                <w:color w:val="auto"/>
                <w:szCs w:val="21"/>
                <w:highlight w:val="none"/>
                <w:u w:val="none"/>
              </w:rPr>
              <w:instrText xml:space="preserve"> </w:instrText>
            </w:r>
            <w:r>
              <w:rPr>
                <w:rStyle w:val="42"/>
                <w:rFonts w:hint="eastAsia" w:ascii="宋体" w:hAnsi="宋体"/>
                <w:color w:val="auto"/>
                <w:szCs w:val="21"/>
                <w:highlight w:val="none"/>
                <w:u w:val="none"/>
              </w:rPr>
              <w:instrText xml:space="preserve">HYPERLINK </w:instrText>
            </w:r>
            <w:r>
              <w:rPr>
                <w:rStyle w:val="42"/>
                <w:rFonts w:ascii="宋体" w:hAnsi="宋体"/>
                <w:color w:val="auto"/>
                <w:szCs w:val="21"/>
                <w:highlight w:val="none"/>
                <w:u w:val="none"/>
              </w:rPr>
              <w:instrText xml:space="preserve"> \l "_一、总_则" </w:instrText>
            </w:r>
            <w:r>
              <w:rPr>
                <w:rStyle w:val="42"/>
                <w:rFonts w:ascii="宋体" w:hAnsi="宋体"/>
                <w:color w:val="auto"/>
                <w:szCs w:val="21"/>
                <w:highlight w:val="none"/>
                <w:u w:val="none"/>
              </w:rPr>
              <w:fldChar w:fldCharType="separate"/>
            </w:r>
            <w:r>
              <w:rPr>
                <w:rStyle w:val="42"/>
                <w:rFonts w:hint="eastAsia" w:ascii="宋体" w:hAnsi="宋体"/>
                <w:color w:val="auto"/>
                <w:szCs w:val="21"/>
                <w:highlight w:val="none"/>
                <w:u w:val="none"/>
              </w:rPr>
              <w:t>供应商资格：</w:t>
            </w:r>
          </w:p>
          <w:p>
            <w:pPr>
              <w:spacing w:line="440" w:lineRule="exact"/>
              <w:rPr>
                <w:rStyle w:val="42"/>
                <w:rFonts w:hint="eastAsia" w:ascii="宋体" w:hAnsi="宋体"/>
                <w:color w:val="auto"/>
                <w:szCs w:val="21"/>
                <w:highlight w:val="none"/>
                <w:u w:val="none"/>
              </w:rPr>
            </w:pPr>
            <w:r>
              <w:rPr>
                <w:rStyle w:val="42"/>
                <w:rFonts w:hint="eastAsia" w:ascii="宋体" w:hAnsi="宋体"/>
                <w:color w:val="auto"/>
                <w:szCs w:val="21"/>
                <w:highlight w:val="none"/>
                <w:u w:val="none"/>
              </w:rPr>
              <w:t>1.满足《中华人民共和国政府采购法》第二十二条规定</w:t>
            </w:r>
          </w:p>
          <w:p>
            <w:pPr>
              <w:spacing w:line="440" w:lineRule="exact"/>
              <w:rPr>
                <w:rStyle w:val="42"/>
                <w:rFonts w:hint="eastAsia" w:ascii="宋体" w:hAnsi="宋体" w:eastAsia="宋体"/>
                <w:color w:val="auto"/>
                <w:szCs w:val="21"/>
                <w:highlight w:val="none"/>
                <w:u w:val="none"/>
                <w:lang w:eastAsia="zh-CN"/>
              </w:rPr>
            </w:pPr>
            <w:r>
              <w:rPr>
                <w:rStyle w:val="42"/>
                <w:rFonts w:hint="eastAsia" w:ascii="宋体" w:hAnsi="宋体"/>
                <w:color w:val="auto"/>
                <w:szCs w:val="21"/>
                <w:highlight w:val="none"/>
                <w:u w:val="none"/>
              </w:rPr>
              <w:t>2.落实政府采购政策需满足的资格要求：服务全部由符合政策要求的中小企业承接</w:t>
            </w:r>
          </w:p>
          <w:p>
            <w:pPr>
              <w:spacing w:line="440" w:lineRule="exact"/>
              <w:rPr>
                <w:rFonts w:hint="eastAsia" w:ascii="宋体" w:hAnsi="宋体"/>
                <w:color w:val="auto"/>
                <w:szCs w:val="21"/>
                <w:highlight w:val="none"/>
              </w:rPr>
            </w:pPr>
            <w:r>
              <w:rPr>
                <w:rStyle w:val="42"/>
                <w:rFonts w:hint="eastAsia" w:ascii="宋体" w:hAnsi="宋体"/>
                <w:color w:val="auto"/>
                <w:szCs w:val="21"/>
                <w:highlight w:val="none"/>
                <w:u w:val="none"/>
              </w:rPr>
              <w:t>3.本项目的特定资格要求：无</w:t>
            </w:r>
            <w:r>
              <w:rPr>
                <w:rStyle w:val="42"/>
                <w:rFonts w:ascii="宋体" w:hAnsi="宋体"/>
                <w:color w:val="auto"/>
                <w:szCs w:val="21"/>
                <w:highlight w:val="none"/>
                <w:u w:val="none"/>
              </w:rPr>
              <w:fldChar w:fldCharType="end"/>
            </w:r>
          </w:p>
        </w:tc>
      </w:tr>
      <w:tr>
        <w:tblPrEx>
          <w:tblCellMar>
            <w:top w:w="0" w:type="dxa"/>
            <w:left w:w="108" w:type="dxa"/>
            <w:bottom w:w="0" w:type="dxa"/>
            <w:right w:w="108" w:type="dxa"/>
          </w:tblCellMar>
        </w:tblPrEx>
        <w:trPr>
          <w:trHeight w:val="11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hint="eastAsia" w:ascii="宋体" w:hAnsi="宋体"/>
                <w:color w:val="auto"/>
                <w:highlight w:val="none"/>
              </w:rPr>
            </w:pPr>
            <w:r>
              <w:rPr>
                <w:color w:val="auto"/>
                <w:highlight w:val="none"/>
              </w:rPr>
              <w:fldChar w:fldCharType="begin"/>
            </w:r>
            <w:r>
              <w:rPr>
                <w:color w:val="auto"/>
                <w:highlight w:val="none"/>
              </w:rPr>
              <w:instrText xml:space="preserve"> HYPERLINK \l "_（五）报价" </w:instrText>
            </w:r>
            <w:r>
              <w:rPr>
                <w:color w:val="auto"/>
                <w:highlight w:val="none"/>
              </w:rPr>
              <w:fldChar w:fldCharType="separate"/>
            </w:r>
            <w:r>
              <w:rPr>
                <w:rStyle w:val="42"/>
                <w:rFonts w:hint="eastAsia" w:ascii="宋体" w:hAnsi="宋体" w:cs="宋体"/>
                <w:color w:val="auto"/>
                <w:kern w:val="0"/>
                <w:szCs w:val="21"/>
                <w:highlight w:val="none"/>
                <w:u w:val="none"/>
              </w:rPr>
              <w:t>报价：供应商的报价必须按采购文件或政府采购云平台规定的格式填写，并在规定时间内提交最后报价。</w:t>
            </w:r>
            <w:r>
              <w:rPr>
                <w:rStyle w:val="42"/>
                <w:rFonts w:hint="eastAsia" w:ascii="宋体" w:hAnsi="宋体" w:cs="宋体"/>
                <w:color w:val="auto"/>
                <w:kern w:val="0"/>
                <w:szCs w:val="21"/>
                <w:highlight w:val="none"/>
                <w:u w:val="none"/>
              </w:rPr>
              <w:fldChar w:fldCharType="end"/>
            </w:r>
          </w:p>
        </w:tc>
      </w:tr>
      <w:tr>
        <w:tblPrEx>
          <w:tblCellMar>
            <w:top w:w="0" w:type="dxa"/>
            <w:left w:w="108" w:type="dxa"/>
            <w:bottom w:w="0" w:type="dxa"/>
            <w:right w:w="108" w:type="dxa"/>
          </w:tblCellMar>
        </w:tblPrEx>
        <w:trPr>
          <w:trHeight w:val="21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2"/>
                <w:rFonts w:hint="eastAsia" w:ascii="宋体" w:hAnsi="宋体"/>
                <w:color w:val="auto"/>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w:instrText>
            </w:r>
            <w:r>
              <w:rPr>
                <w:rFonts w:hint="eastAsia" w:ascii="宋体" w:hAnsi="宋体" w:cs="宋体"/>
                <w:color w:val="auto"/>
                <w:kern w:val="0"/>
                <w:szCs w:val="21"/>
                <w:highlight w:val="none"/>
              </w:rPr>
              <w:instrText xml:space="preserve">HYPERLINK </w:instrText>
            </w:r>
            <w:r>
              <w:rPr>
                <w:rFonts w:ascii="宋体" w:hAnsi="宋体" w:cs="宋体"/>
                <w:color w:val="auto"/>
                <w:kern w:val="0"/>
                <w:szCs w:val="21"/>
                <w:highlight w:val="none"/>
              </w:rPr>
              <w:instrText xml:space="preserve"> \l "_四、响应文件开启" </w:instrText>
            </w:r>
            <w:r>
              <w:rPr>
                <w:rFonts w:ascii="宋体" w:hAnsi="宋体" w:cs="宋体"/>
                <w:color w:val="auto"/>
                <w:kern w:val="0"/>
                <w:szCs w:val="21"/>
                <w:highlight w:val="none"/>
              </w:rPr>
              <w:fldChar w:fldCharType="separate"/>
            </w:r>
            <w:r>
              <w:rPr>
                <w:rStyle w:val="42"/>
                <w:rFonts w:hint="eastAsia" w:ascii="宋体" w:hAnsi="宋体" w:cs="宋体"/>
                <w:color w:val="auto"/>
                <w:kern w:val="0"/>
                <w:szCs w:val="21"/>
                <w:highlight w:val="none"/>
                <w:u w:val="none"/>
              </w:rPr>
              <w:t>响应文件提交截止时间及开启时间：</w:t>
            </w:r>
            <w:r>
              <w:rPr>
                <w:rStyle w:val="42"/>
                <w:rFonts w:hint="eastAsia" w:ascii="宋体" w:hAnsi="宋体"/>
                <w:color w:val="auto"/>
                <w:szCs w:val="21"/>
                <w:highlight w:val="none"/>
                <w:u w:val="none"/>
              </w:rPr>
              <w:t>202</w:t>
            </w:r>
            <w:r>
              <w:rPr>
                <w:rStyle w:val="42"/>
                <w:rFonts w:hint="eastAsia" w:ascii="宋体" w:hAnsi="宋体"/>
                <w:color w:val="auto"/>
                <w:szCs w:val="21"/>
                <w:highlight w:val="none"/>
                <w:u w:val="none"/>
                <w:lang w:val="en-US" w:eastAsia="zh-CN"/>
              </w:rPr>
              <w:t>5</w:t>
            </w:r>
            <w:r>
              <w:rPr>
                <w:rStyle w:val="42"/>
                <w:rFonts w:hint="eastAsia" w:ascii="宋体" w:hAnsi="宋体"/>
                <w:color w:val="auto"/>
                <w:szCs w:val="21"/>
                <w:highlight w:val="none"/>
                <w:u w:val="none"/>
              </w:rPr>
              <w:t>年</w:t>
            </w:r>
            <w:r>
              <w:rPr>
                <w:rStyle w:val="42"/>
                <w:rFonts w:hint="eastAsia" w:ascii="宋体" w:hAnsi="宋体"/>
                <w:color w:val="auto"/>
                <w:szCs w:val="21"/>
                <w:highlight w:val="none"/>
                <w:u w:val="none"/>
                <w:lang w:val="en-US" w:eastAsia="zh-CN"/>
              </w:rPr>
              <w:t>10月28</w:t>
            </w:r>
            <w:r>
              <w:rPr>
                <w:rStyle w:val="42"/>
                <w:rFonts w:hint="eastAsia" w:ascii="宋体" w:hAnsi="宋体"/>
                <w:color w:val="auto"/>
                <w:szCs w:val="21"/>
                <w:highlight w:val="none"/>
                <w:u w:val="none"/>
              </w:rPr>
              <w:t>日</w:t>
            </w:r>
            <w:r>
              <w:rPr>
                <w:rStyle w:val="42"/>
                <w:rFonts w:ascii="宋体" w:hAnsi="宋体"/>
                <w:color w:val="auto"/>
                <w:szCs w:val="21"/>
                <w:highlight w:val="none"/>
                <w:u w:val="none"/>
              </w:rPr>
              <w:t>09</w:t>
            </w:r>
            <w:r>
              <w:rPr>
                <w:rStyle w:val="42"/>
                <w:rFonts w:hint="eastAsia" w:ascii="宋体" w:hAnsi="宋体"/>
                <w:color w:val="auto"/>
                <w:szCs w:val="21"/>
                <w:highlight w:val="none"/>
                <w:u w:val="none"/>
              </w:rPr>
              <w:t>时</w:t>
            </w:r>
            <w:r>
              <w:rPr>
                <w:rStyle w:val="42"/>
                <w:rFonts w:ascii="宋体" w:hAnsi="宋体"/>
                <w:color w:val="auto"/>
                <w:szCs w:val="21"/>
                <w:highlight w:val="none"/>
                <w:u w:val="none"/>
              </w:rPr>
              <w:t>3</w:t>
            </w:r>
            <w:r>
              <w:rPr>
                <w:rStyle w:val="42"/>
                <w:rFonts w:hint="eastAsia" w:ascii="宋体" w:hAnsi="宋体"/>
                <w:color w:val="auto"/>
                <w:szCs w:val="21"/>
                <w:highlight w:val="none"/>
                <w:u w:val="none"/>
              </w:rPr>
              <w:t>0分。</w:t>
            </w:r>
          </w:p>
          <w:p>
            <w:pPr>
              <w:widowControl/>
              <w:spacing w:line="440" w:lineRule="exact"/>
              <w:rPr>
                <w:color w:val="auto"/>
                <w:highlight w:val="none"/>
              </w:rPr>
            </w:pPr>
            <w:r>
              <w:rPr>
                <w:rStyle w:val="42"/>
                <w:rFonts w:hint="eastAsia"/>
                <w:b/>
                <w:color w:val="auto"/>
                <w:szCs w:val="21"/>
                <w:highlight w:val="none"/>
                <w:u w:val="none"/>
              </w:rPr>
              <w:t>注意事项：</w:t>
            </w:r>
            <w:r>
              <w:rPr>
                <w:rStyle w:val="42"/>
                <w:rFonts w:hint="eastAsia"/>
                <w:bCs/>
                <w:color w:val="auto"/>
                <w:highlight w:val="none"/>
                <w:u w:val="none"/>
              </w:rPr>
              <w:t>供应商法定代表人或委托代理人须按时登录政采云远程开标大厅，保持全程在线并关注评审磋商进度，评审期间磋商小组提出澄清等要求时，供应商须在规定时间内进行在线应答，否则按采购文件或政采云平台的相关规定执行。</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71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2"/>
                <w:rFonts w:hint="eastAsia" w:ascii="宋体" w:hAnsi="宋体" w:cs="宋体"/>
                <w:color w:val="auto"/>
                <w:kern w:val="0"/>
                <w:szCs w:val="21"/>
                <w:highlight w:val="none"/>
                <w:u w:val="none"/>
              </w:rPr>
            </w:pPr>
            <w:r>
              <w:rPr>
                <w:rFonts w:ascii="宋体" w:hAnsi="宋体" w:cs="宋体"/>
                <w:color w:val="auto"/>
                <w:kern w:val="0"/>
                <w:szCs w:val="21"/>
                <w:highlight w:val="none"/>
              </w:rPr>
              <w:fldChar w:fldCharType="begin"/>
            </w:r>
            <w:r>
              <w:rPr>
                <w:rFonts w:ascii="宋体" w:hAnsi="宋体" w:cs="宋体"/>
                <w:color w:val="auto"/>
                <w:kern w:val="0"/>
                <w:szCs w:val="21"/>
                <w:highlight w:val="none"/>
              </w:rPr>
              <w:instrText xml:space="preserve"> HYPERLINK  \l "_五、评审与磋商" </w:instrText>
            </w:r>
            <w:r>
              <w:rPr>
                <w:rFonts w:ascii="宋体" w:hAnsi="宋体" w:cs="宋体"/>
                <w:color w:val="auto"/>
                <w:kern w:val="0"/>
                <w:szCs w:val="21"/>
                <w:highlight w:val="none"/>
              </w:rPr>
              <w:fldChar w:fldCharType="separate"/>
            </w:r>
            <w:r>
              <w:rPr>
                <w:rStyle w:val="42"/>
                <w:rFonts w:ascii="宋体" w:hAnsi="宋体" w:cs="宋体"/>
                <w:color w:val="auto"/>
                <w:kern w:val="0"/>
                <w:szCs w:val="21"/>
                <w:highlight w:val="none"/>
                <w:u w:val="none"/>
              </w:rPr>
              <w:t>评审及磋商：</w:t>
            </w:r>
          </w:p>
          <w:p>
            <w:pPr>
              <w:widowControl/>
              <w:spacing w:line="440" w:lineRule="exact"/>
              <w:rPr>
                <w:rFonts w:hint="eastAsia" w:ascii="宋体" w:hAnsi="宋体" w:cs="宋体"/>
                <w:color w:val="auto"/>
                <w:kern w:val="0"/>
                <w:szCs w:val="21"/>
                <w:highlight w:val="none"/>
              </w:rPr>
            </w:pPr>
            <w:r>
              <w:rPr>
                <w:rStyle w:val="42"/>
                <w:rFonts w:hint="eastAsia" w:ascii="宋体" w:hAnsi="宋体" w:cs="宋体"/>
                <w:color w:val="auto"/>
                <w:kern w:val="0"/>
                <w:szCs w:val="21"/>
                <w:highlight w:val="none"/>
                <w:u w:val="none"/>
              </w:rPr>
              <w:t>磋商小组成员根据磋商文件规定的评审程序、评审方法和评审标准进行独立评审，与符合条件的供应商就采购货物和服务事宜进行磋商，供应商按照磋商文件的要求提交报价。</w:t>
            </w:r>
            <w:r>
              <w:rPr>
                <w:rFonts w:ascii="宋体" w:hAnsi="宋体" w:cs="宋体"/>
                <w:color w:val="auto"/>
                <w:kern w:val="0"/>
                <w:szCs w:val="21"/>
                <w:highlight w:val="none"/>
              </w:rPr>
              <w:fldChar w:fldCharType="end"/>
            </w:r>
          </w:p>
        </w:tc>
      </w:tr>
      <w:tr>
        <w:tblPrEx>
          <w:tblCellMar>
            <w:top w:w="0" w:type="dxa"/>
            <w:left w:w="108" w:type="dxa"/>
            <w:bottom w:w="0" w:type="dxa"/>
            <w:right w:w="108" w:type="dxa"/>
          </w:tblCellMar>
        </w:tblPrEx>
        <w:trPr>
          <w:trHeight w:val="104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"_第四章__评定标准及推荐原则" </w:instrText>
            </w:r>
            <w:r>
              <w:rPr>
                <w:color w:val="auto"/>
                <w:highlight w:val="none"/>
              </w:rPr>
              <w:fldChar w:fldCharType="separate"/>
            </w:r>
            <w:r>
              <w:rPr>
                <w:rStyle w:val="42"/>
                <w:rFonts w:hint="eastAsia" w:ascii="宋体" w:hAnsi="宋体" w:cs="宋体"/>
                <w:color w:val="auto"/>
                <w:kern w:val="0"/>
                <w:szCs w:val="21"/>
                <w:highlight w:val="none"/>
                <w:u w:val="none"/>
              </w:rPr>
              <w:t>评定方法：</w:t>
            </w:r>
            <w:r>
              <w:rPr>
                <w:rStyle w:val="42"/>
                <w:rFonts w:hint="eastAsia"/>
                <w:color w:val="auto"/>
                <w:highlight w:val="none"/>
                <w:u w:val="none"/>
              </w:rPr>
              <w:t>详见第四章《评定标准及推荐原则》。</w:t>
            </w:r>
            <w:r>
              <w:rPr>
                <w:rStyle w:val="42"/>
                <w:rFonts w:hint="eastAsia"/>
                <w:color w:val="auto"/>
                <w:highlight w:val="none"/>
                <w:u w:val="none"/>
              </w:rPr>
              <w:fldChar w:fldCharType="end"/>
            </w:r>
          </w:p>
        </w:tc>
      </w:tr>
      <w:tr>
        <w:tblPrEx>
          <w:tblCellMar>
            <w:top w:w="0" w:type="dxa"/>
            <w:left w:w="108" w:type="dxa"/>
            <w:bottom w:w="0" w:type="dxa"/>
            <w:right w:w="108" w:type="dxa"/>
          </w:tblCellMar>
        </w:tblPrEx>
        <w:trPr>
          <w:trHeight w:val="12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hint="eastAsia" w:ascii="宋体" w:hAnsi="宋体" w:cs="宋体"/>
                <w:color w:val="auto"/>
                <w:kern w:val="0"/>
                <w:szCs w:val="21"/>
                <w:highlight w:val="none"/>
              </w:rPr>
            </w:pPr>
            <w:r>
              <w:rPr>
                <w:rFonts w:ascii="宋体" w:hAnsi="宋体" w:cs="宋体"/>
                <w:color w:val="auto"/>
                <w:kern w:val="0"/>
                <w:szCs w:val="21"/>
                <w:highlight w:val="none"/>
              </w:rPr>
              <w:t>8</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hint="eastAsia" w:ascii="宋体" w:hAnsi="宋体" w:cs="宋体"/>
                <w:color w:val="auto"/>
                <w:kern w:val="0"/>
                <w:szCs w:val="21"/>
                <w:highlight w:val="none"/>
              </w:rPr>
            </w:pPr>
            <w:r>
              <w:rPr>
                <w:color w:val="auto"/>
                <w:highlight w:val="none"/>
              </w:rPr>
              <w:fldChar w:fldCharType="begin"/>
            </w:r>
            <w:r>
              <w:rPr>
                <w:color w:val="auto"/>
                <w:highlight w:val="none"/>
              </w:rPr>
              <w:instrText xml:space="preserve"> HYPERLINK \l "_十、其他事项" </w:instrText>
            </w:r>
            <w:r>
              <w:rPr>
                <w:color w:val="auto"/>
                <w:highlight w:val="none"/>
              </w:rPr>
              <w:fldChar w:fldCharType="separate"/>
            </w:r>
            <w:r>
              <w:rPr>
                <w:rStyle w:val="42"/>
                <w:rFonts w:hint="eastAsia" w:ascii="宋体" w:hAnsi="宋体" w:cs="宋体"/>
                <w:color w:val="auto"/>
                <w:kern w:val="0"/>
                <w:szCs w:val="21"/>
                <w:highlight w:val="none"/>
                <w:u w:val="none"/>
              </w:rPr>
              <w:t>代理服务费：</w:t>
            </w:r>
            <w:bookmarkStart w:id="55" w:name="OLE_LINK7"/>
            <w:r>
              <w:rPr>
                <w:rStyle w:val="42"/>
                <w:rFonts w:hint="eastAsia" w:ascii="宋体" w:hAnsi="宋体" w:cs="宋体"/>
                <w:color w:val="auto"/>
                <w:kern w:val="0"/>
                <w:szCs w:val="21"/>
                <w:highlight w:val="none"/>
                <w:u w:val="none"/>
              </w:rPr>
              <w:t>按钦州市物价局“钦市价费〔2013﹞4号”文件，以差额定率累进法计算。成交供应商须按成交金额缴纳相应的代理服务费。</w:t>
            </w:r>
            <w:bookmarkEnd w:id="55"/>
            <w:r>
              <w:rPr>
                <w:rStyle w:val="42"/>
                <w:rFonts w:hint="eastAsia" w:ascii="宋体" w:hAnsi="宋体" w:cs="宋体"/>
                <w:color w:val="auto"/>
                <w:kern w:val="0"/>
                <w:szCs w:val="21"/>
                <w:highlight w:val="none"/>
                <w:u w:val="none"/>
              </w:rPr>
              <w:fldChar w:fldCharType="end"/>
            </w:r>
          </w:p>
        </w:tc>
      </w:tr>
    </w:tbl>
    <w:p>
      <w:pPr>
        <w:rPr>
          <w:color w:val="auto"/>
          <w:highlight w:val="none"/>
        </w:rPr>
      </w:pPr>
      <w:bookmarkStart w:id="56" w:name="_Toc420505403"/>
    </w:p>
    <w:p>
      <w:pPr>
        <w:widowControl/>
        <w:jc w:val="left"/>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br w:type="page"/>
      </w:r>
    </w:p>
    <w:p>
      <w:pPr>
        <w:jc w:val="center"/>
        <w:rPr>
          <w:rFonts w:hint="eastAsia" w:ascii="黑体" w:hAnsi="黑体" w:eastAsia="黑体"/>
          <w:b/>
          <w:bCs/>
          <w:color w:val="auto"/>
          <w:sz w:val="32"/>
          <w:szCs w:val="32"/>
          <w:highlight w:val="none"/>
        </w:rPr>
      </w:pPr>
      <w:r>
        <w:rPr>
          <w:rFonts w:hint="eastAsia" w:ascii="黑体" w:hAnsi="黑体" w:eastAsia="黑体"/>
          <w:b/>
          <w:bCs/>
          <w:color w:val="auto"/>
          <w:sz w:val="32"/>
          <w:szCs w:val="32"/>
          <w:highlight w:val="none"/>
        </w:rPr>
        <w:t>二、供应商须知</w:t>
      </w:r>
      <w:bookmarkEnd w:id="56"/>
    </w:p>
    <w:p>
      <w:pPr>
        <w:pStyle w:val="4"/>
        <w:spacing w:line="420" w:lineRule="exact"/>
        <w:rPr>
          <w:color w:val="auto"/>
          <w:highlight w:val="none"/>
        </w:rPr>
      </w:pPr>
      <w:bookmarkStart w:id="57" w:name="_一、总_则"/>
      <w:bookmarkEnd w:id="57"/>
      <w:r>
        <w:rPr>
          <w:rFonts w:hint="eastAsia"/>
          <w:color w:val="auto"/>
          <w:highlight w:val="none"/>
        </w:rPr>
        <w:t>一、总　则</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（一）适用范围</w:t>
      </w:r>
    </w:p>
    <w:p>
      <w:pPr>
        <w:spacing w:line="406" w:lineRule="exact"/>
        <w:ind w:right="-334" w:rightChars="-159" w:firstLine="420"/>
        <w:rPr>
          <w:rFonts w:hint="eastAsia" w:eastAsia="宋体"/>
          <w:color w:val="auto"/>
          <w:szCs w:val="21"/>
          <w:highlight w:val="none"/>
          <w:lang w:eastAsia="zh-CN"/>
        </w:rPr>
      </w:pPr>
      <w:r>
        <w:rPr>
          <w:rFonts w:ascii="宋体"/>
          <w:color w:val="auto"/>
          <w:highlight w:val="none"/>
        </w:rPr>
        <w:t>1.</w:t>
      </w:r>
      <w:r>
        <w:rPr>
          <w:rFonts w:hint="eastAsia" w:ascii="宋体"/>
          <w:color w:val="auto"/>
          <w:highlight w:val="none"/>
        </w:rPr>
        <w:t>项目名称：</w:t>
      </w:r>
      <w:r>
        <w:rPr>
          <w:rFonts w:hint="eastAsia" w:ascii="宋体"/>
          <w:color w:val="auto"/>
          <w:highlight w:val="none"/>
          <w:lang w:eastAsia="zh-CN"/>
        </w:rPr>
        <w:t>钦州市人工智能＋智慧监管大数据分析平台项目</w:t>
      </w:r>
    </w:p>
    <w:p>
      <w:pPr>
        <w:spacing w:line="406" w:lineRule="exact"/>
        <w:ind w:right="-334" w:rightChars="-159" w:firstLine="420"/>
        <w:rPr>
          <w:rFonts w:hint="eastAsia" w:eastAsia="宋体"/>
          <w:color w:val="auto"/>
          <w:highlight w:val="none"/>
          <w:lang w:eastAsia="zh-CN"/>
        </w:rPr>
      </w:pPr>
      <w:r>
        <w:rPr>
          <w:color w:val="auto"/>
          <w:szCs w:val="21"/>
          <w:highlight w:val="none"/>
        </w:rPr>
        <w:t>2.</w:t>
      </w:r>
      <w:r>
        <w:rPr>
          <w:rFonts w:hint="eastAsia"/>
          <w:color w:val="auto"/>
          <w:highlight w:val="none"/>
        </w:rPr>
        <w:t>项目编号：</w:t>
      </w:r>
      <w:r>
        <w:rPr>
          <w:rFonts w:hint="eastAsia"/>
          <w:color w:val="auto"/>
          <w:highlight w:val="none"/>
          <w:lang w:eastAsia="zh-CN"/>
        </w:rPr>
        <w:t>QZZC2025-C3-990277-QZSZ</w:t>
      </w:r>
    </w:p>
    <w:p>
      <w:pPr>
        <w:spacing w:line="406" w:lineRule="exact"/>
        <w:ind w:right="-334" w:rightChars="-159" w:firstLine="420"/>
        <w:rPr>
          <w:color w:val="auto"/>
          <w:szCs w:val="21"/>
          <w:highlight w:val="none"/>
        </w:rPr>
      </w:pPr>
      <w:r>
        <w:rPr>
          <w:rFonts w:hint="eastAsia" w:hAnsi="宋体"/>
          <w:color w:val="auto"/>
          <w:highlight w:val="none"/>
        </w:rPr>
        <w:t>本文件仅适用于本文件中所叙述的货物、服务类政府采购项目。</w:t>
      </w:r>
    </w:p>
    <w:p>
      <w:pPr>
        <w:spacing w:line="406" w:lineRule="exact"/>
        <w:ind w:firstLine="210" w:firstLineChars="100"/>
        <w:rPr>
          <w:rFonts w:hint="eastAsia" w:ascii="宋体" w:hAnsi="宋体"/>
          <w:color w:val="auto"/>
          <w:szCs w:val="21"/>
          <w:highlight w:val="none"/>
        </w:rPr>
      </w:pPr>
      <w:r>
        <w:rPr>
          <w:rFonts w:hint="eastAsia" w:ascii="宋体" w:hAnsi="宋体"/>
          <w:color w:val="auto"/>
          <w:szCs w:val="21"/>
          <w:highlight w:val="none"/>
        </w:rPr>
        <w:t>（二）定义</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采购人</w:t>
      </w:r>
      <w:r>
        <w:rPr>
          <w:rFonts w:hint="eastAsia" w:ascii="宋体" w:hAnsi="宋体"/>
          <w:color w:val="auto"/>
          <w:szCs w:val="21"/>
          <w:highlight w:val="none"/>
        </w:rPr>
        <w:t>”</w:t>
      </w:r>
      <w:r>
        <w:rPr>
          <w:rFonts w:ascii="宋体" w:hAnsi="宋体"/>
          <w:color w:val="auto"/>
          <w:szCs w:val="21"/>
          <w:highlight w:val="none"/>
        </w:rPr>
        <w:t>是指依法进行政府采购的国家机关、事业单位、团体组织。</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2.“供应商”是指响应本文件要求，参加磋商的法人或其他组织。如果该供应商在本次采购项目中成交,即成为“成交供应商”。</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“采购代理机构”是指</w:t>
      </w:r>
      <w:r>
        <w:rPr>
          <w:rFonts w:hint="eastAsia" w:ascii="宋体" w:hAnsi="宋体"/>
          <w:color w:val="auto"/>
          <w:highlight w:val="none"/>
        </w:rPr>
        <w:t>钦州市政府采购中心。</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“货物和服务”是指本次采购文件中所采购的各种形态和种类的产品以及其提供的服务。</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“竞争性磋商采购文件”是指采用竞争性磋商方式进行政府采购的指导文件，简称“磋商文件”或“采购文件”。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“响应文件”是指供应商根据采购文件要求，编制包含技术、服务和报价等所有内容的响应文件。</w:t>
      </w:r>
    </w:p>
    <w:p>
      <w:pPr>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“书面形式”</w:t>
      </w:r>
      <w:r>
        <w:rPr>
          <w:rFonts w:ascii="Helvetica" w:hAnsi="Helvetica"/>
          <w:color w:val="auto"/>
          <w:szCs w:val="21"/>
          <w:highlight w:val="none"/>
        </w:rPr>
        <w:t>是</w:t>
      </w:r>
      <w:r>
        <w:rPr>
          <w:rFonts w:hint="eastAsia" w:ascii="Helvetica" w:hAnsi="Helvetica"/>
          <w:color w:val="auto"/>
          <w:szCs w:val="21"/>
          <w:highlight w:val="none"/>
        </w:rPr>
        <w:t>指</w:t>
      </w:r>
      <w:r>
        <w:rPr>
          <w:rFonts w:ascii="Helvetica" w:hAnsi="Helvetica"/>
          <w:color w:val="auto"/>
          <w:szCs w:val="21"/>
          <w:highlight w:val="none"/>
        </w:rPr>
        <w:t>合同书、信件、电报、电传、传真等可以有形地表现所载内容的形式。</w:t>
      </w:r>
    </w:p>
    <w:p>
      <w:pPr>
        <w:spacing w:line="406" w:lineRule="exact"/>
        <w:ind w:firstLine="211" w:firstLineChars="100"/>
        <w:rPr>
          <w:rFonts w:hint="eastAsia" w:ascii="宋体" w:hAnsi="宋体"/>
          <w:b/>
          <w:color w:val="auto"/>
          <w:szCs w:val="21"/>
          <w:highlight w:val="none"/>
        </w:rPr>
      </w:pPr>
      <w:r>
        <w:rPr>
          <w:rFonts w:hint="eastAsia" w:ascii="宋体" w:hAnsi="宋体"/>
          <w:b/>
          <w:color w:val="auto"/>
          <w:szCs w:val="21"/>
          <w:highlight w:val="none"/>
        </w:rPr>
        <w:t>（三）供应商资格</w:t>
      </w:r>
    </w:p>
    <w:p>
      <w:pPr>
        <w:spacing w:line="406" w:lineRule="exact"/>
        <w:ind w:firstLine="420" w:firstLineChars="200"/>
        <w:rPr>
          <w:color w:val="auto"/>
          <w:highlight w:val="none"/>
        </w:rPr>
      </w:pPr>
      <w:r>
        <w:rPr>
          <w:rFonts w:hint="eastAsia"/>
          <w:color w:val="auto"/>
          <w:highlight w:val="none"/>
        </w:rPr>
        <w:t>1.满足《中华人民共和国政府采购法》第二十二条规定</w:t>
      </w:r>
    </w:p>
    <w:p>
      <w:pPr>
        <w:spacing w:line="406" w:lineRule="exact"/>
        <w:ind w:firstLine="420" w:firstLineChars="200"/>
        <w:rPr>
          <w:rFonts w:hint="eastAsia" w:eastAsia="宋体"/>
          <w:color w:val="auto"/>
          <w:highlight w:val="none"/>
          <w:lang w:eastAsia="zh-CN"/>
        </w:rPr>
      </w:pPr>
      <w:r>
        <w:rPr>
          <w:rFonts w:hint="eastAsia"/>
          <w:color w:val="auto"/>
          <w:highlight w:val="none"/>
        </w:rPr>
        <w:t>2.落实政府采购政策需满足的资格要求：</w:t>
      </w:r>
      <w:r>
        <w:rPr>
          <w:rFonts w:hint="eastAsia"/>
          <w:color w:val="auto"/>
          <w:highlight w:val="none"/>
          <w:lang w:val="en-US" w:eastAsia="zh-CN"/>
        </w:rPr>
        <w:t>服务全部由符合政策要求的中小企业承接</w:t>
      </w:r>
    </w:p>
    <w:p>
      <w:pPr>
        <w:spacing w:line="406" w:lineRule="exact"/>
        <w:ind w:firstLine="420" w:firstLineChars="200"/>
        <w:rPr>
          <w:color w:val="auto"/>
          <w:highlight w:val="none"/>
        </w:rPr>
      </w:pPr>
      <w:r>
        <w:rPr>
          <w:rFonts w:hint="eastAsia"/>
          <w:color w:val="auto"/>
          <w:highlight w:val="none"/>
        </w:rPr>
        <w:t>3.本项目的特定资格要求：无</w:t>
      </w:r>
    </w:p>
    <w:p>
      <w:pPr>
        <w:spacing w:line="406" w:lineRule="exact"/>
        <w:ind w:firstLine="211" w:firstLineChars="100"/>
        <w:rPr>
          <w:b/>
          <w:bCs/>
          <w:color w:val="auto"/>
          <w:highlight w:val="none"/>
        </w:rPr>
      </w:pPr>
      <w:r>
        <w:rPr>
          <w:rFonts w:hint="eastAsia"/>
          <w:b/>
          <w:bCs/>
          <w:color w:val="auto"/>
          <w:highlight w:val="none"/>
        </w:rPr>
        <w:t>（四）采购方式</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竞争性磋商</w:t>
      </w:r>
    </w:p>
    <w:p>
      <w:pPr>
        <w:spacing w:line="406" w:lineRule="exact"/>
        <w:ind w:firstLine="211" w:firstLineChars="100"/>
        <w:rPr>
          <w:b/>
          <w:bCs/>
          <w:color w:val="auto"/>
          <w:highlight w:val="none"/>
        </w:rPr>
      </w:pPr>
      <w:bookmarkStart w:id="58" w:name="_Toc254970530"/>
      <w:bookmarkStart w:id="59" w:name="_Toc353785281"/>
      <w:bookmarkStart w:id="60" w:name="_Toc352700410"/>
      <w:bookmarkStart w:id="61" w:name="_Toc254970671"/>
      <w:r>
        <w:rPr>
          <w:rFonts w:hint="eastAsia"/>
          <w:b/>
          <w:bCs/>
          <w:color w:val="auto"/>
          <w:highlight w:val="none"/>
        </w:rPr>
        <w:t>（五）代理委托</w:t>
      </w:r>
      <w:bookmarkEnd w:id="58"/>
      <w:bookmarkEnd w:id="59"/>
      <w:bookmarkEnd w:id="60"/>
      <w:bookmarkEnd w:id="61"/>
    </w:p>
    <w:p>
      <w:pPr>
        <w:snapToGrid w:val="0"/>
        <w:spacing w:line="406" w:lineRule="exact"/>
        <w:ind w:firstLine="420" w:firstLineChars="200"/>
        <w:rPr>
          <w:rFonts w:hint="eastAsia" w:ascii="宋体" w:hAnsi="宋体" w:cs="Courier New"/>
          <w:bCs/>
          <w:color w:val="auto"/>
          <w:szCs w:val="21"/>
          <w:highlight w:val="none"/>
        </w:rPr>
      </w:pPr>
      <w:r>
        <w:rPr>
          <w:rFonts w:hint="eastAsia" w:ascii="宋体" w:hAnsi="宋体" w:cs="Courier New"/>
          <w:bCs/>
          <w:color w:val="auto"/>
          <w:szCs w:val="21"/>
          <w:highlight w:val="none"/>
        </w:rPr>
        <w:t>委托磋商的供应商须提供授权委托书（格式见第六章）。</w:t>
      </w:r>
    </w:p>
    <w:p>
      <w:pPr>
        <w:spacing w:line="406" w:lineRule="exact"/>
        <w:ind w:firstLine="211" w:firstLineChars="100"/>
        <w:rPr>
          <w:b/>
          <w:bCs/>
          <w:color w:val="auto"/>
          <w:highlight w:val="none"/>
        </w:rPr>
      </w:pPr>
      <w:bookmarkStart w:id="62" w:name="_Toc353785282"/>
      <w:bookmarkStart w:id="63" w:name="_Toc254970531"/>
      <w:bookmarkStart w:id="64" w:name="_Toc254970672"/>
      <w:bookmarkStart w:id="65" w:name="_Toc352700411"/>
      <w:r>
        <w:rPr>
          <w:rFonts w:hint="eastAsia"/>
          <w:b/>
          <w:bCs/>
          <w:color w:val="auto"/>
          <w:highlight w:val="none"/>
        </w:rPr>
        <w:t>（六）磋商费用</w:t>
      </w:r>
      <w:bookmarkEnd w:id="62"/>
      <w:bookmarkEnd w:id="63"/>
      <w:bookmarkEnd w:id="64"/>
      <w:bookmarkEnd w:id="65"/>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供应商自行承担所有与磋商有关的全部费用。</w:t>
      </w:r>
    </w:p>
    <w:p>
      <w:pPr>
        <w:spacing w:line="406" w:lineRule="exact"/>
        <w:ind w:firstLine="211" w:firstLineChars="100"/>
        <w:rPr>
          <w:b/>
          <w:bCs/>
          <w:color w:val="auto"/>
          <w:highlight w:val="none"/>
        </w:rPr>
      </w:pPr>
      <w:bookmarkStart w:id="66" w:name="_Toc353785283"/>
      <w:bookmarkStart w:id="67" w:name="_Toc352700413"/>
      <w:r>
        <w:rPr>
          <w:rFonts w:hint="eastAsia"/>
          <w:b/>
          <w:bCs/>
          <w:color w:val="auto"/>
          <w:highlight w:val="none"/>
        </w:rPr>
        <w:t>（七）转包与分包</w:t>
      </w:r>
      <w:bookmarkEnd w:id="66"/>
      <w:bookmarkEnd w:id="67"/>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本项目不允许转包。</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采购人允许采用分包方式履行合同的，应当在采购文件中明确可以分包履行的具体内容、金额或者比例。</w:t>
      </w:r>
    </w:p>
    <w:p>
      <w:pPr>
        <w:snapToGrid w:val="0"/>
        <w:spacing w:line="406" w:lineRule="exact"/>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依据《政府采购促进中小企业发展管理办法》规定享受扶持政策获得政府采购合同的，小微企业不得将合同分包给大中型企业，中型企业不得将合同分包给大型企业。</w:t>
      </w:r>
    </w:p>
    <w:p>
      <w:pPr>
        <w:spacing w:line="406" w:lineRule="exact"/>
        <w:ind w:firstLine="211" w:firstLineChars="100"/>
        <w:rPr>
          <w:b/>
          <w:bCs/>
          <w:color w:val="auto"/>
          <w:highlight w:val="none"/>
        </w:rPr>
      </w:pPr>
      <w:bookmarkStart w:id="68" w:name="_Toc352700414"/>
      <w:bookmarkStart w:id="69" w:name="_Toc254970673"/>
      <w:bookmarkStart w:id="70" w:name="_Toc353785284"/>
      <w:bookmarkStart w:id="71" w:name="_Toc254970532"/>
      <w:r>
        <w:rPr>
          <w:rFonts w:hint="eastAsia"/>
          <w:b/>
          <w:bCs/>
          <w:color w:val="auto"/>
          <w:highlight w:val="none"/>
        </w:rPr>
        <w:t>（八）特别说明</w:t>
      </w:r>
      <w:bookmarkEnd w:id="68"/>
      <w:bookmarkEnd w:id="69"/>
      <w:bookmarkEnd w:id="70"/>
      <w:bookmarkEnd w:id="71"/>
    </w:p>
    <w:p>
      <w:pPr>
        <w:pStyle w:val="21"/>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1"/>
        <w:snapToGrid w:val="0"/>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用竞争性磋商采购方式采购的政府购买服务项目(含政府和社会资本合作项目)，在采购过程中符合要求的供应商(社会资本)只有2家的，竞争性磋商采购活动可以继续进行。采购过程中符合要求的供应商(社会资本)只有1家的，本中心将终止竞争性磋商采购活动，发布项目终止公告并说明原因，重新开展采购活动。</w:t>
      </w:r>
    </w:p>
    <w:p>
      <w:pPr>
        <w:pStyle w:val="21"/>
        <w:snapToGrid w:val="0"/>
        <w:spacing w:line="406" w:lineRule="exact"/>
        <w:ind w:firstLine="420"/>
        <w:rPr>
          <w:rFonts w:hint="default" w:hAnsi="宋体" w:eastAsia="宋体"/>
          <w:color w:val="auto"/>
          <w:highlight w:val="none"/>
          <w:lang w:val="en-US" w:eastAsia="zh-CN"/>
        </w:rPr>
      </w:pPr>
      <w:r>
        <w:rPr>
          <w:rFonts w:hint="eastAsia" w:hAnsi="宋体"/>
          <w:color w:val="auto"/>
          <w:highlight w:val="none"/>
          <w:lang w:val="en-US" w:eastAsia="zh-CN"/>
        </w:rPr>
        <w:t>3.本项目接受银行、保险、石油石化、电力、电信行业的投标人分支机构参与投标。</w:t>
      </w:r>
    </w:p>
    <w:p>
      <w:pPr>
        <w:spacing w:line="406" w:lineRule="exact"/>
        <w:ind w:firstLine="211" w:firstLineChars="100"/>
        <w:rPr>
          <w:b/>
          <w:bCs/>
          <w:color w:val="auto"/>
          <w:highlight w:val="none"/>
        </w:rPr>
      </w:pPr>
      <w:bookmarkStart w:id="72" w:name="_Toc353785285"/>
      <w:bookmarkStart w:id="73" w:name="_Toc254970533"/>
      <w:bookmarkStart w:id="74" w:name="_Toc254970674"/>
      <w:bookmarkStart w:id="75" w:name="_Toc352700415"/>
      <w:r>
        <w:rPr>
          <w:rFonts w:hint="eastAsia"/>
          <w:b/>
          <w:bCs/>
          <w:color w:val="auto"/>
          <w:highlight w:val="none"/>
        </w:rPr>
        <w:t>（九）询问、质疑和投诉</w:t>
      </w:r>
      <w:bookmarkEnd w:id="72"/>
      <w:bookmarkEnd w:id="73"/>
      <w:bookmarkEnd w:id="74"/>
      <w:bookmarkEnd w:id="75"/>
    </w:p>
    <w:p>
      <w:pPr>
        <w:pStyle w:val="21"/>
        <w:snapToGrid w:val="0"/>
        <w:spacing w:line="406" w:lineRule="exact"/>
        <w:ind w:firstLine="420"/>
        <w:rPr>
          <w:rFonts w:hint="eastAsia" w:hAnsi="宋体"/>
          <w:bCs/>
          <w:color w:val="auto"/>
          <w:highlight w:val="none"/>
        </w:rPr>
      </w:pPr>
      <w:r>
        <w:rPr>
          <w:rFonts w:hAnsi="宋体"/>
          <w:bCs/>
          <w:color w:val="auto"/>
          <w:highlight w:val="none"/>
        </w:rPr>
        <w:t>1.</w:t>
      </w:r>
      <w:r>
        <w:rPr>
          <w:rFonts w:hint="eastAsia" w:ascii="Arial" w:hAnsi="Arial" w:cs="Arial"/>
          <w:color w:val="auto"/>
          <w:kern w:val="0"/>
          <w:highlight w:val="none"/>
        </w:rPr>
        <w:t>供应商</w:t>
      </w:r>
      <w:r>
        <w:rPr>
          <w:rFonts w:ascii="Arial" w:hAnsi="Arial" w:cs="Arial"/>
          <w:color w:val="auto"/>
          <w:kern w:val="0"/>
          <w:highlight w:val="none"/>
        </w:rPr>
        <w:t>对政府采购活动事项有疑问的，可以向采购人</w:t>
      </w:r>
      <w:r>
        <w:rPr>
          <w:rFonts w:hint="eastAsia" w:ascii="Arial" w:hAnsi="Arial" w:cs="Arial"/>
          <w:color w:val="auto"/>
          <w:kern w:val="0"/>
          <w:highlight w:val="none"/>
        </w:rPr>
        <w:t>或本中心</w:t>
      </w:r>
      <w:r>
        <w:rPr>
          <w:rFonts w:ascii="Arial" w:hAnsi="Arial" w:cs="Arial"/>
          <w:color w:val="auto"/>
          <w:kern w:val="0"/>
          <w:highlight w:val="none"/>
        </w:rPr>
        <w:t>提出询问，采购人</w:t>
      </w:r>
      <w:r>
        <w:rPr>
          <w:rFonts w:hint="eastAsia" w:ascii="Arial" w:hAnsi="Arial" w:cs="Arial"/>
          <w:color w:val="auto"/>
          <w:kern w:val="0"/>
          <w:highlight w:val="none"/>
        </w:rPr>
        <w:t>或本中心当在3个工作日内对供应商依法提出的询问作出答复</w:t>
      </w:r>
      <w:r>
        <w:rPr>
          <w:rFonts w:ascii="Arial" w:hAnsi="Arial" w:cs="Arial"/>
          <w:color w:val="auto"/>
          <w:kern w:val="0"/>
          <w:highlight w:val="none"/>
        </w:rPr>
        <w:t>，但答复的内容不得涉及商业秘密。</w:t>
      </w:r>
    </w:p>
    <w:p>
      <w:pPr>
        <w:pStyle w:val="21"/>
        <w:snapToGrid w:val="0"/>
        <w:spacing w:line="406" w:lineRule="exact"/>
        <w:ind w:firstLine="420"/>
        <w:rPr>
          <w:rFonts w:hint="eastAsia" w:hAnsi="宋体"/>
          <w:bCs/>
          <w:color w:val="auto"/>
          <w:highlight w:val="none"/>
        </w:rPr>
      </w:pPr>
      <w:r>
        <w:rPr>
          <w:rFonts w:hAnsi="宋体"/>
          <w:bCs/>
          <w:color w:val="auto"/>
          <w:highlight w:val="none"/>
        </w:rPr>
        <w:t>2.</w:t>
      </w:r>
      <w:r>
        <w:rPr>
          <w:rFonts w:hint="eastAsia" w:hAnsi="宋体"/>
          <w:bCs/>
          <w:color w:val="auto"/>
          <w:highlight w:val="none"/>
        </w:rPr>
        <w:t>供应商认为采购文件、采购过程或成交结果使自己的合法权益受到损害的，</w:t>
      </w:r>
      <w:r>
        <w:rPr>
          <w:rFonts w:hAnsi="宋体"/>
          <w:bCs/>
          <w:color w:val="auto"/>
          <w:highlight w:val="none"/>
        </w:rPr>
        <w:t>可以在知道或者应知其权益受到损害之日起7个工作日内</w:t>
      </w:r>
      <w:r>
        <w:rPr>
          <w:rFonts w:hint="eastAsia" w:hAnsi="宋体"/>
          <w:bCs/>
          <w:color w:val="auto"/>
          <w:highlight w:val="none"/>
        </w:rPr>
        <w:t>，</w:t>
      </w:r>
      <w:r>
        <w:rPr>
          <w:rFonts w:cs="Arial"/>
          <w:color w:val="auto"/>
          <w:highlight w:val="none"/>
        </w:rPr>
        <w:t>以书面形式(</w:t>
      </w:r>
      <w:r>
        <w:rPr>
          <w:rFonts w:hint="eastAsia" w:cs="Arial"/>
          <w:color w:val="auto"/>
          <w:highlight w:val="none"/>
        </w:rPr>
        <w:t>政采云平台</w:t>
      </w:r>
      <w:r>
        <w:rPr>
          <w:rFonts w:cs="Arial"/>
          <w:color w:val="auto"/>
          <w:highlight w:val="none"/>
        </w:rPr>
        <w:t>)</w:t>
      </w:r>
      <w:r>
        <w:rPr>
          <w:rFonts w:hint="eastAsia" w:cs="Arial"/>
          <w:color w:val="auto"/>
          <w:highlight w:val="none"/>
        </w:rPr>
        <w:t>向</w:t>
      </w:r>
      <w:r>
        <w:rPr>
          <w:rFonts w:cs="Arial"/>
          <w:color w:val="auto"/>
          <w:highlight w:val="none"/>
        </w:rPr>
        <w:t>采购人、</w:t>
      </w:r>
      <w:r>
        <w:rPr>
          <w:rFonts w:hint="eastAsia" w:cs="Arial"/>
          <w:color w:val="auto"/>
          <w:highlight w:val="none"/>
        </w:rPr>
        <w:t>本中心</w:t>
      </w:r>
      <w:r>
        <w:rPr>
          <w:rFonts w:cs="Arial"/>
          <w:color w:val="auto"/>
          <w:highlight w:val="none"/>
        </w:rPr>
        <w:t>提出质疑。</w:t>
      </w:r>
      <w:r>
        <w:rPr>
          <w:rFonts w:hint="eastAsia" w:hAnsi="宋体"/>
          <w:bCs/>
          <w:color w:val="auto"/>
          <w:highlight w:val="none"/>
        </w:rPr>
        <w:t>供应商必须在法定质疑期内一次性提出针对同一采购程序环节的质疑。</w:t>
      </w:r>
      <w:r>
        <w:rPr>
          <w:rFonts w:hint="eastAsia" w:hAnsi="宋体" w:cs="宋体"/>
          <w:color w:val="auto"/>
          <w:highlight w:val="none"/>
        </w:rPr>
        <w:t>供应商应知其权益受到损害之日，是指：</w:t>
      </w:r>
    </w:p>
    <w:p>
      <w:pPr>
        <w:pStyle w:val="21"/>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1)</w:t>
      </w:r>
      <w:r>
        <w:rPr>
          <w:rFonts w:hint="eastAsia" w:hAnsi="宋体"/>
          <w:bCs/>
          <w:color w:val="auto"/>
          <w:highlight w:val="none"/>
        </w:rPr>
        <w:t>对采购文件提出质疑的，为获取采购文件之日；</w:t>
      </w:r>
    </w:p>
    <w:p>
      <w:pPr>
        <w:pStyle w:val="21"/>
        <w:adjustRightInd w:val="0"/>
        <w:snapToGrid w:val="0"/>
        <w:spacing w:line="406" w:lineRule="exact"/>
        <w:ind w:firstLine="308" w:firstLineChars="147"/>
        <w:rPr>
          <w:rFonts w:hint="eastAsia" w:hAnsi="宋体"/>
          <w:bCs/>
          <w:color w:val="auto"/>
          <w:highlight w:val="none"/>
        </w:rPr>
      </w:pPr>
      <w:r>
        <w:rPr>
          <w:rFonts w:hint="eastAsia" w:hAnsi="宋体"/>
          <w:bCs/>
          <w:color w:val="auto"/>
          <w:highlight w:val="none"/>
        </w:rPr>
        <w:t>(</w:t>
      </w:r>
      <w:r>
        <w:rPr>
          <w:rFonts w:hAnsi="宋体"/>
          <w:bCs/>
          <w:color w:val="auto"/>
          <w:highlight w:val="none"/>
        </w:rPr>
        <w:t>2)</w:t>
      </w:r>
      <w:r>
        <w:rPr>
          <w:rFonts w:hint="eastAsia" w:hAnsi="宋体"/>
          <w:bCs/>
          <w:color w:val="auto"/>
          <w:highlight w:val="none"/>
        </w:rPr>
        <w:t>对采购过程提出质疑的，为各采购程序环节结束之日；</w:t>
      </w:r>
    </w:p>
    <w:p>
      <w:pPr>
        <w:widowControl/>
        <w:adjustRightInd w:val="0"/>
        <w:snapToGrid w:val="0"/>
        <w:spacing w:line="406" w:lineRule="exact"/>
        <w:ind w:firstLine="102" w:firstLineChars="49"/>
        <w:jc w:val="left"/>
        <w:rPr>
          <w:rFonts w:hint="eastAsia" w:ascii="宋体" w:hAnsi="宋体" w:cs="Courier New"/>
          <w:bCs/>
          <w:color w:val="auto"/>
          <w:szCs w:val="21"/>
          <w:highlight w:val="none"/>
        </w:rPr>
      </w:pPr>
      <w:r>
        <w:rPr>
          <w:rFonts w:hint="eastAsia" w:ascii="宋体" w:hAnsi="宋体" w:cs="Courier New"/>
          <w:bCs/>
          <w:color w:val="auto"/>
          <w:szCs w:val="21"/>
          <w:highlight w:val="none"/>
        </w:rPr>
        <w:t xml:space="preserve">  (</w:t>
      </w:r>
      <w:r>
        <w:rPr>
          <w:rFonts w:ascii="宋体" w:hAnsi="宋体" w:cs="Courier New"/>
          <w:bCs/>
          <w:color w:val="auto"/>
          <w:szCs w:val="21"/>
          <w:highlight w:val="none"/>
        </w:rPr>
        <w:t>3)</w:t>
      </w:r>
      <w:r>
        <w:rPr>
          <w:rFonts w:hint="eastAsia" w:ascii="宋体" w:hAnsi="宋体" w:cs="Courier New"/>
          <w:bCs/>
          <w:color w:val="auto"/>
          <w:szCs w:val="21"/>
          <w:highlight w:val="none"/>
        </w:rPr>
        <w:t>对成交结果提出质疑的，为成交结果公告期限届满之日。</w:t>
      </w:r>
    </w:p>
    <w:p>
      <w:pPr>
        <w:widowControl/>
        <w:adjustRightInd w:val="0"/>
        <w:snapToGrid w:val="0"/>
        <w:spacing w:line="406" w:lineRule="exact"/>
        <w:ind w:firstLine="420"/>
        <w:jc w:val="left"/>
        <w:rPr>
          <w:rFonts w:hint="eastAsia" w:ascii="宋体" w:hAnsi="宋体" w:cs="Courier New"/>
          <w:bCs/>
          <w:color w:val="auto"/>
          <w:szCs w:val="21"/>
          <w:highlight w:val="none"/>
        </w:rPr>
      </w:pPr>
      <w:r>
        <w:rPr>
          <w:rFonts w:ascii="宋体" w:hAnsi="宋体" w:cs="Courier New"/>
          <w:bCs/>
          <w:color w:val="auto"/>
          <w:szCs w:val="21"/>
          <w:highlight w:val="none"/>
        </w:rPr>
        <w:t>3.</w:t>
      </w:r>
      <w:r>
        <w:rPr>
          <w:rFonts w:hint="eastAsia" w:hAnsi="宋体"/>
          <w:color w:val="auto"/>
          <w:highlight w:val="none"/>
        </w:rPr>
        <w:t>供应商对采购人、本中心质疑答复不满意或者采购人、本中心未在规定时间内作出答复的，可以在答复期满后十五个工作日内向同级采购监管部门投诉。</w:t>
      </w:r>
    </w:p>
    <w:p>
      <w:pPr>
        <w:pStyle w:val="21"/>
        <w:snapToGrid w:val="0"/>
        <w:spacing w:line="406" w:lineRule="exact"/>
        <w:ind w:firstLine="420"/>
        <w:rPr>
          <w:rFonts w:hint="eastAsia" w:hAnsi="宋体"/>
          <w:bCs/>
          <w:color w:val="auto"/>
          <w:highlight w:val="none"/>
        </w:rPr>
      </w:pPr>
      <w:r>
        <w:rPr>
          <w:rFonts w:hAnsi="宋体"/>
          <w:bCs/>
          <w:color w:val="auto"/>
          <w:highlight w:val="none"/>
        </w:rPr>
        <w:t>4.</w:t>
      </w:r>
      <w:r>
        <w:rPr>
          <w:rFonts w:hint="eastAsia" w:hAnsi="宋体"/>
          <w:bCs/>
          <w:color w:val="auto"/>
          <w:highlight w:val="none"/>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spacing w:line="406" w:lineRule="exact"/>
        <w:ind w:firstLine="420"/>
        <w:rPr>
          <w:color w:val="auto"/>
          <w:highlight w:val="none"/>
        </w:rPr>
      </w:pPr>
      <w:r>
        <w:rPr>
          <w:rFonts w:hint="eastAsia"/>
          <w:color w:val="auto"/>
          <w:highlight w:val="none"/>
        </w:rPr>
        <w:t>质疑部门联系方式：钦州市政府采购中心    0777-288600</w:t>
      </w:r>
      <w:r>
        <w:rPr>
          <w:color w:val="auto"/>
          <w:highlight w:val="none"/>
        </w:rPr>
        <w:t>2</w:t>
      </w:r>
    </w:p>
    <w:p>
      <w:pPr>
        <w:spacing w:line="406" w:lineRule="exact"/>
        <w:ind w:firstLine="420"/>
        <w:rPr>
          <w:color w:val="auto"/>
          <w:highlight w:val="none"/>
        </w:rPr>
      </w:pPr>
      <w:r>
        <w:rPr>
          <w:rFonts w:hint="eastAsia"/>
          <w:color w:val="auto"/>
          <w:highlight w:val="none"/>
        </w:rPr>
        <w:t>采购监管部门联系方式：钦州市财政局      0777-</w:t>
      </w:r>
      <w:r>
        <w:rPr>
          <w:color w:val="auto"/>
          <w:highlight w:val="none"/>
        </w:rPr>
        <w:t>2895258</w:t>
      </w:r>
    </w:p>
    <w:p>
      <w:pPr>
        <w:spacing w:line="406" w:lineRule="exact"/>
        <w:ind w:firstLine="211" w:firstLineChars="100"/>
        <w:rPr>
          <w:b/>
          <w:bCs/>
          <w:color w:val="auto"/>
          <w:highlight w:val="none"/>
        </w:rPr>
      </w:pPr>
      <w:r>
        <w:rPr>
          <w:rFonts w:hint="eastAsia"/>
          <w:b/>
          <w:bCs/>
          <w:color w:val="auto"/>
          <w:highlight w:val="none"/>
        </w:rPr>
        <w:t xml:space="preserve">（十）查询媒体 </w:t>
      </w:r>
      <w:r>
        <w:rPr>
          <w:rFonts w:hint="eastAsia"/>
          <w:color w:val="auto"/>
          <w:highlight w:val="none"/>
        </w:rPr>
        <w:t>中国政府采购网、</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Style w:val="42"/>
          <w:rFonts w:hint="eastAsia" w:hAnsi="宋体"/>
          <w:color w:val="auto"/>
          <w:highlight w:val="none"/>
          <w:u w:val="none"/>
        </w:rPr>
        <w:t>广西政府采购网</w:t>
      </w:r>
      <w:r>
        <w:rPr>
          <w:rStyle w:val="42"/>
          <w:rFonts w:hint="eastAsia" w:hAnsi="宋体"/>
          <w:color w:val="auto"/>
          <w:highlight w:val="none"/>
          <w:u w:val="none"/>
        </w:rPr>
        <w:fldChar w:fldCharType="end"/>
      </w:r>
      <w:r>
        <w:rPr>
          <w:rFonts w:hint="eastAsia" w:hAnsi="宋体"/>
          <w:color w:val="auto"/>
          <w:highlight w:val="none"/>
        </w:rPr>
        <w:t>。</w:t>
      </w:r>
    </w:p>
    <w:p>
      <w:pPr>
        <w:pStyle w:val="4"/>
        <w:spacing w:line="406" w:lineRule="exact"/>
        <w:rPr>
          <w:color w:val="auto"/>
          <w:highlight w:val="none"/>
        </w:rPr>
      </w:pPr>
      <w:bookmarkStart w:id="76" w:name="_Toc352700416"/>
      <w:bookmarkStart w:id="77" w:name="_Toc353785286"/>
      <w:r>
        <w:rPr>
          <w:rFonts w:hint="eastAsia"/>
          <w:color w:val="auto"/>
          <w:highlight w:val="none"/>
        </w:rPr>
        <w:t>二、竞争性磋商采购文件</w:t>
      </w:r>
      <w:bookmarkEnd w:id="76"/>
      <w:bookmarkEnd w:id="77"/>
    </w:p>
    <w:p>
      <w:pPr>
        <w:spacing w:line="406" w:lineRule="exact"/>
        <w:ind w:firstLine="211" w:firstLineChars="100"/>
        <w:rPr>
          <w:b/>
          <w:bCs/>
          <w:color w:val="auto"/>
          <w:highlight w:val="none"/>
        </w:rPr>
      </w:pPr>
      <w:bookmarkStart w:id="78" w:name="_Toc353785287"/>
      <w:bookmarkStart w:id="79" w:name="_Toc352700417"/>
      <w:r>
        <w:rPr>
          <w:rFonts w:hint="eastAsia"/>
          <w:b/>
          <w:bCs/>
          <w:color w:val="auto"/>
          <w:highlight w:val="none"/>
        </w:rPr>
        <w:t>（一）竞争性磋商采购文件的组成</w:t>
      </w:r>
      <w:bookmarkEnd w:id="78"/>
      <w:bookmarkEnd w:id="79"/>
    </w:p>
    <w:p>
      <w:pPr>
        <w:pStyle w:val="21"/>
        <w:snapToGrid w:val="0"/>
        <w:spacing w:line="406" w:lineRule="exact"/>
        <w:ind w:firstLine="420" w:firstLineChars="200"/>
        <w:rPr>
          <w:rFonts w:hint="eastAsia" w:hAnsi="宋体"/>
          <w:color w:val="auto"/>
          <w:highlight w:val="none"/>
        </w:rPr>
      </w:pPr>
      <w:r>
        <w:rPr>
          <w:rFonts w:hint="eastAsia" w:hAnsi="宋体"/>
          <w:color w:val="auto"/>
          <w:highlight w:val="none"/>
        </w:rPr>
        <w:t>第一章 竞争性磋商公告</w:t>
      </w:r>
    </w:p>
    <w:p>
      <w:pPr>
        <w:pStyle w:val="21"/>
        <w:snapToGrid w:val="0"/>
        <w:spacing w:line="406" w:lineRule="exact"/>
        <w:ind w:firstLine="420" w:firstLineChars="200"/>
        <w:rPr>
          <w:rFonts w:hint="eastAsia" w:hAnsi="宋体"/>
          <w:color w:val="auto"/>
          <w:highlight w:val="none"/>
        </w:rPr>
      </w:pPr>
      <w:r>
        <w:rPr>
          <w:rFonts w:hint="eastAsia" w:hAnsi="宋体"/>
          <w:color w:val="auto"/>
          <w:highlight w:val="none"/>
        </w:rPr>
        <w:t>第二章 项目需求</w:t>
      </w:r>
    </w:p>
    <w:p>
      <w:pPr>
        <w:pStyle w:val="21"/>
        <w:snapToGrid w:val="0"/>
        <w:spacing w:line="406" w:lineRule="exact"/>
        <w:ind w:firstLine="420" w:firstLineChars="200"/>
        <w:rPr>
          <w:rFonts w:hint="eastAsia" w:hAnsi="宋体"/>
          <w:color w:val="auto"/>
          <w:highlight w:val="none"/>
        </w:rPr>
      </w:pPr>
      <w:r>
        <w:rPr>
          <w:rFonts w:hint="eastAsia" w:hAnsi="宋体"/>
          <w:color w:val="auto"/>
          <w:highlight w:val="none"/>
        </w:rPr>
        <w:t>第三章 供应商须知</w:t>
      </w:r>
    </w:p>
    <w:p>
      <w:pPr>
        <w:pStyle w:val="21"/>
        <w:snapToGrid w:val="0"/>
        <w:spacing w:line="406" w:lineRule="exact"/>
        <w:ind w:firstLine="420" w:firstLineChars="200"/>
        <w:rPr>
          <w:rFonts w:hint="eastAsia" w:hAnsi="宋体"/>
          <w:color w:val="auto"/>
          <w:highlight w:val="none"/>
        </w:rPr>
      </w:pPr>
      <w:r>
        <w:rPr>
          <w:rFonts w:hint="eastAsia" w:hAnsi="宋体"/>
          <w:color w:val="auto"/>
          <w:highlight w:val="none"/>
        </w:rPr>
        <w:t>第四章 评定标准及推荐原则</w:t>
      </w:r>
    </w:p>
    <w:p>
      <w:pPr>
        <w:pStyle w:val="21"/>
        <w:snapToGrid w:val="0"/>
        <w:spacing w:line="406" w:lineRule="exact"/>
        <w:ind w:firstLine="420" w:firstLineChars="200"/>
        <w:rPr>
          <w:rFonts w:hint="eastAsia" w:hAnsi="宋体"/>
          <w:color w:val="auto"/>
          <w:highlight w:val="none"/>
        </w:rPr>
      </w:pPr>
      <w:r>
        <w:rPr>
          <w:rFonts w:hint="eastAsia" w:hAnsi="宋体"/>
          <w:color w:val="auto"/>
          <w:highlight w:val="none"/>
        </w:rPr>
        <w:t>第五章 合同文本</w:t>
      </w:r>
    </w:p>
    <w:p>
      <w:pPr>
        <w:pStyle w:val="21"/>
        <w:snapToGrid w:val="0"/>
        <w:spacing w:line="406" w:lineRule="exact"/>
        <w:ind w:firstLine="420" w:firstLineChars="200"/>
        <w:rPr>
          <w:rFonts w:hint="eastAsia" w:hAnsi="宋体"/>
          <w:color w:val="auto"/>
          <w:highlight w:val="none"/>
        </w:rPr>
      </w:pPr>
      <w:r>
        <w:rPr>
          <w:rFonts w:hint="eastAsia" w:hAnsi="宋体"/>
          <w:color w:val="auto"/>
          <w:highlight w:val="none"/>
        </w:rPr>
        <w:t>第六章 响应文件格式</w:t>
      </w:r>
    </w:p>
    <w:p>
      <w:pPr>
        <w:spacing w:line="406" w:lineRule="exact"/>
        <w:ind w:firstLine="211" w:firstLineChars="100"/>
        <w:rPr>
          <w:b/>
          <w:bCs/>
          <w:color w:val="auto"/>
          <w:highlight w:val="none"/>
        </w:rPr>
      </w:pPr>
      <w:bookmarkStart w:id="80" w:name="_Toc352700419"/>
      <w:bookmarkStart w:id="81" w:name="_Toc353785289"/>
      <w:r>
        <w:rPr>
          <w:rFonts w:hint="eastAsia"/>
          <w:b/>
          <w:bCs/>
          <w:color w:val="auto"/>
          <w:highlight w:val="none"/>
        </w:rPr>
        <w:t>（二）竞争性磋商采购文件的澄清与修改</w:t>
      </w:r>
      <w:bookmarkEnd w:id="80"/>
      <w:bookmarkEnd w:id="81"/>
    </w:p>
    <w:p>
      <w:pPr>
        <w:pStyle w:val="21"/>
        <w:snapToGrid w:val="0"/>
        <w:spacing w:line="406" w:lineRule="exact"/>
        <w:ind w:firstLine="420"/>
        <w:jc w:val="left"/>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提交首次响应文件截止之日前，采购人、本中心或者磋商小组可以对已发出的磋商文件进行必要的澄清或者修改，澄清或者修改的内容作为磋商文件的组成部分。澄清或者修改应当在原公告发布媒体上发布澄清公告。澄清或者修改的内容可能影响响应文件编制的，采购人、本中心应当在提交首次响应文件截止至少</w:t>
      </w:r>
      <w:r>
        <w:rPr>
          <w:rFonts w:hAnsi="宋体"/>
          <w:color w:val="auto"/>
          <w:highlight w:val="none"/>
        </w:rPr>
        <w:t>5</w:t>
      </w:r>
      <w:r>
        <w:rPr>
          <w:rFonts w:hint="eastAsia" w:hAnsi="宋体"/>
          <w:color w:val="auto"/>
          <w:highlight w:val="none"/>
        </w:rPr>
        <w:t>日前，以书面形式通知所有依法获取磋商文件的供应商，不足</w:t>
      </w:r>
      <w:r>
        <w:rPr>
          <w:rFonts w:hAnsi="宋体"/>
          <w:color w:val="auto"/>
          <w:highlight w:val="none"/>
        </w:rPr>
        <w:t>5</w:t>
      </w:r>
      <w:r>
        <w:rPr>
          <w:rFonts w:hint="eastAsia" w:hAnsi="宋体"/>
          <w:color w:val="auto"/>
          <w:highlight w:val="none"/>
        </w:rPr>
        <w:t>日的，采购人、本中心应当顺延提交首次响应文件截止之日。</w:t>
      </w:r>
    </w:p>
    <w:p>
      <w:pPr>
        <w:pStyle w:val="21"/>
        <w:snapToGrid w:val="0"/>
        <w:spacing w:line="406" w:lineRule="exact"/>
        <w:ind w:firstLine="420"/>
        <w:jc w:val="left"/>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提供期限届满后，获取磋商文件的供应商不足3家的，本中心可以顺延提供期限，并予公告。</w:t>
      </w:r>
    </w:p>
    <w:p>
      <w:pPr>
        <w:pStyle w:val="4"/>
        <w:spacing w:line="406" w:lineRule="exact"/>
        <w:rPr>
          <w:color w:val="auto"/>
          <w:highlight w:val="none"/>
        </w:rPr>
      </w:pPr>
      <w:bookmarkStart w:id="82" w:name="_三、响应文件"/>
      <w:bookmarkEnd w:id="82"/>
      <w:r>
        <w:rPr>
          <w:rFonts w:hint="eastAsia"/>
          <w:color w:val="auto"/>
          <w:highlight w:val="none"/>
        </w:rPr>
        <w:t>三、响应文件</w:t>
      </w:r>
    </w:p>
    <w:p>
      <w:pPr>
        <w:spacing w:line="406" w:lineRule="exact"/>
        <w:ind w:firstLine="211" w:firstLineChars="100"/>
        <w:rPr>
          <w:rFonts w:hint="eastAsia" w:hAnsi="宋体"/>
          <w:b/>
          <w:bCs/>
          <w:color w:val="auto"/>
          <w:highlight w:val="none"/>
        </w:rPr>
      </w:pPr>
      <w:r>
        <w:rPr>
          <w:rFonts w:hint="eastAsia" w:hAnsi="宋体"/>
          <w:b/>
          <w:bCs/>
          <w:color w:val="auto"/>
          <w:highlight w:val="none"/>
        </w:rPr>
        <w:t>（一）供应商的风险</w:t>
      </w:r>
    </w:p>
    <w:p>
      <w:pPr>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供应商应当按照磋商文件的要求编制响应文件，并对其提交的响应文件的真实性、合法性承担法律责任。</w:t>
      </w:r>
    </w:p>
    <w:p>
      <w:pPr>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供应商在采购活动中提供任何虚假材料的，磋商小组将报财政部门查处。</w:t>
      </w:r>
    </w:p>
    <w:p>
      <w:pPr>
        <w:snapToGrid w:val="0"/>
        <w:spacing w:line="406" w:lineRule="exact"/>
        <w:ind w:firstLine="211" w:firstLineChars="100"/>
        <w:rPr>
          <w:rFonts w:hint="eastAsia" w:ascii="宋体" w:hAnsi="宋体"/>
          <w:b/>
          <w:color w:val="auto"/>
          <w:szCs w:val="21"/>
          <w:highlight w:val="none"/>
        </w:rPr>
      </w:pPr>
      <w:r>
        <w:rPr>
          <w:rFonts w:hint="eastAsia" w:hAnsi="宋体"/>
          <w:b/>
          <w:bCs/>
          <w:color w:val="auto"/>
          <w:highlight w:val="none"/>
        </w:rPr>
        <w:t>（二）</w:t>
      </w:r>
      <w:r>
        <w:rPr>
          <w:rFonts w:hint="eastAsia" w:ascii="宋体" w:hAnsi="宋体"/>
          <w:b/>
          <w:color w:val="auto"/>
          <w:szCs w:val="21"/>
          <w:highlight w:val="none"/>
        </w:rPr>
        <w:t>响应文件的组成</w:t>
      </w:r>
    </w:p>
    <w:p>
      <w:pPr>
        <w:snapToGrid w:val="0"/>
        <w:spacing w:line="406" w:lineRule="exact"/>
        <w:ind w:firstLine="422"/>
        <w:rPr>
          <w:rFonts w:hint="eastAsia" w:ascii="宋体" w:hAnsi="宋体"/>
          <w:b/>
          <w:color w:val="auto"/>
          <w:szCs w:val="21"/>
          <w:highlight w:val="none"/>
        </w:rPr>
      </w:pPr>
      <w:bookmarkStart w:id="83" w:name="_Hlk92285760"/>
      <w:r>
        <w:rPr>
          <w:rFonts w:ascii="宋体" w:hAnsi="宋体"/>
          <w:b/>
          <w:color w:val="auto"/>
          <w:szCs w:val="21"/>
          <w:highlight w:val="none"/>
        </w:rPr>
        <w:t>1.</w:t>
      </w:r>
      <w:r>
        <w:rPr>
          <w:rFonts w:hint="eastAsia" w:ascii="宋体" w:hAnsi="宋体"/>
          <w:b/>
          <w:color w:val="auto"/>
          <w:szCs w:val="21"/>
          <w:highlight w:val="none"/>
        </w:rPr>
        <w:t>资格文件：</w:t>
      </w:r>
    </w:p>
    <w:p>
      <w:pPr>
        <w:tabs>
          <w:tab w:val="left" w:pos="3870"/>
          <w:tab w:val="left" w:pos="4085"/>
        </w:tabs>
        <w:snapToGrid w:val="0"/>
        <w:spacing w:line="406" w:lineRule="exact"/>
        <w:ind w:firstLine="420"/>
        <w:rPr>
          <w:rFonts w:hint="eastAsia" w:ascii="宋体" w:hAnsi="宋体"/>
          <w:color w:val="auto"/>
          <w:szCs w:val="21"/>
          <w:highlight w:val="none"/>
        </w:rPr>
      </w:pPr>
      <w:r>
        <w:rPr>
          <w:rFonts w:hint="eastAsia" w:ascii="宋体" w:hAnsi="宋体" w:cs="宋体"/>
          <w:bCs/>
          <w:color w:val="auto"/>
          <w:kern w:val="0"/>
          <w:szCs w:val="21"/>
          <w:highlight w:val="none"/>
        </w:rPr>
        <w:t>★</w:t>
      </w:r>
      <w:bookmarkStart w:id="84" w:name="_Hlk90369149"/>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法人或者其他组织的营业执照等证明文件</w:t>
      </w:r>
    </w:p>
    <w:bookmarkEnd w:id="84"/>
    <w:p>
      <w:pPr>
        <w:tabs>
          <w:tab w:val="left" w:pos="3870"/>
          <w:tab w:val="left" w:pos="4085"/>
        </w:tabs>
        <w:snapToGrid w:val="0"/>
        <w:spacing w:line="406" w:lineRule="exact"/>
        <w:ind w:firstLine="420"/>
        <w:rPr>
          <w:rFonts w:hint="eastAsia" w:ascii="宋体" w:hAnsi="宋体" w:cs="宋体"/>
          <w:color w:val="auto"/>
          <w:szCs w:val="21"/>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2)</w:t>
      </w:r>
      <w:r>
        <w:rPr>
          <w:rFonts w:hint="eastAsia" w:ascii="宋体" w:hAnsi="宋体"/>
          <w:color w:val="auto"/>
          <w:szCs w:val="21"/>
          <w:highlight w:val="none"/>
        </w:rPr>
        <w:t>供应商具备参加政府采购活动条件的承诺书</w:t>
      </w:r>
      <w:r>
        <w:rPr>
          <w:rFonts w:hint="eastAsia" w:ascii="宋体" w:hAnsi="宋体" w:cs="宋体"/>
          <w:color w:val="auto"/>
          <w:szCs w:val="21"/>
          <w:highlight w:val="none"/>
        </w:rPr>
        <w:t>(格式见第六章</w:t>
      </w:r>
      <w:r>
        <w:rPr>
          <w:rFonts w:ascii="宋体" w:hAnsi="宋体" w:cs="宋体"/>
          <w:color w:val="auto"/>
          <w:szCs w:val="21"/>
          <w:highlight w:val="none"/>
        </w:rPr>
        <w:t>）</w:t>
      </w:r>
    </w:p>
    <w:p>
      <w:pPr>
        <w:tabs>
          <w:tab w:val="left" w:pos="3870"/>
          <w:tab w:val="left" w:pos="4085"/>
        </w:tabs>
        <w:snapToGrid w:val="0"/>
        <w:spacing w:line="406" w:lineRule="exact"/>
        <w:ind w:firstLine="420"/>
        <w:rPr>
          <w:rFonts w:hint="eastAsia" w:hAnsi="宋体"/>
          <w:color w:val="auto"/>
          <w:spacing w:val="-4"/>
          <w:highlight w:val="none"/>
        </w:rPr>
      </w:pPr>
      <w:r>
        <w:rPr>
          <w:rFonts w:hint="eastAsia" w:ascii="宋体" w:hAnsi="宋体" w:cs="宋体"/>
          <w:bCs/>
          <w:color w:val="auto"/>
          <w:kern w:val="0"/>
          <w:szCs w:val="21"/>
          <w:highlight w:val="none"/>
        </w:rPr>
        <w:t>★(</w:t>
      </w:r>
      <w:r>
        <w:rPr>
          <w:rFonts w:ascii="宋体" w:hAnsi="宋体" w:cs="宋体"/>
          <w:bCs/>
          <w:color w:val="auto"/>
          <w:kern w:val="0"/>
          <w:szCs w:val="21"/>
          <w:highlight w:val="none"/>
        </w:rPr>
        <w:t>3)</w:t>
      </w:r>
      <w:r>
        <w:rPr>
          <w:rFonts w:hint="eastAsia" w:hAnsi="宋体"/>
          <w:color w:val="auto"/>
          <w:spacing w:val="-4"/>
          <w:highlight w:val="none"/>
        </w:rPr>
        <w:t>参加政府采购活动前3年内在经营活动中没有重大违法记录的书面声明</w:t>
      </w:r>
      <w:bookmarkStart w:id="85" w:name="_Hlk108683109"/>
      <w:r>
        <w:rPr>
          <w:rFonts w:hint="eastAsia" w:hAnsi="宋体"/>
          <w:color w:val="auto"/>
          <w:spacing w:val="-4"/>
          <w:highlight w:val="none"/>
        </w:rPr>
        <w:t>(格式见第六章)</w:t>
      </w:r>
      <w:bookmarkEnd w:id="85"/>
    </w:p>
    <w:p>
      <w:pPr>
        <w:tabs>
          <w:tab w:val="left" w:pos="3870"/>
          <w:tab w:val="left" w:pos="4085"/>
        </w:tabs>
        <w:snapToGrid w:val="0"/>
        <w:spacing w:line="406" w:lineRule="exact"/>
        <w:ind w:firstLine="420"/>
        <w:rPr>
          <w:rFonts w:hint="eastAsia"/>
          <w:color w:val="auto"/>
        </w:rPr>
      </w:pPr>
      <w:bookmarkStart w:id="86" w:name="_Hlk111726071"/>
      <w:r>
        <w:rPr>
          <w:rFonts w:hint="eastAsia" w:ascii="宋体" w:hAnsi="宋体" w:cs="宋体"/>
          <w:bCs/>
          <w:color w:val="auto"/>
          <w:kern w:val="0"/>
          <w:szCs w:val="21"/>
          <w:highlight w:val="none"/>
        </w:rPr>
        <w:t>★(</w:t>
      </w:r>
      <w:r>
        <w:rPr>
          <w:rFonts w:ascii="宋体" w:hAnsi="宋体" w:cs="宋体"/>
          <w:bCs/>
          <w:color w:val="auto"/>
          <w:kern w:val="0"/>
          <w:szCs w:val="21"/>
          <w:highlight w:val="none"/>
        </w:rPr>
        <w:t>4)</w:t>
      </w:r>
      <w:r>
        <w:rPr>
          <w:rFonts w:hint="eastAsia"/>
          <w:color w:val="auto"/>
          <w:highlight w:val="none"/>
        </w:rPr>
        <w:t>《</w:t>
      </w:r>
      <w:r>
        <w:rPr>
          <w:rFonts w:hint="eastAsia" w:ascii="宋体" w:hAnsi="宋体" w:cs="宋体"/>
          <w:bCs/>
          <w:color w:val="auto"/>
          <w:kern w:val="0"/>
          <w:szCs w:val="21"/>
          <w:highlight w:val="none"/>
        </w:rPr>
        <w:t>中小企业声明函</w:t>
      </w:r>
      <w:r>
        <w:rPr>
          <w:rFonts w:hint="eastAsia"/>
          <w:color w:val="auto"/>
          <w:highlight w:val="none"/>
        </w:rPr>
        <w:t>》</w:t>
      </w:r>
      <w:r>
        <w:rPr>
          <w:rFonts w:hint="eastAsia" w:ascii="宋体" w:hAnsi="宋体" w:cs="宋体"/>
          <w:bCs/>
          <w:color w:val="auto"/>
          <w:kern w:val="0"/>
          <w:szCs w:val="21"/>
          <w:highlight w:val="none"/>
        </w:rPr>
        <w:t>(格式见第六章)</w:t>
      </w:r>
      <w:bookmarkEnd w:id="86"/>
    </w:p>
    <w:p>
      <w:pPr>
        <w:snapToGrid w:val="0"/>
        <w:spacing w:line="406" w:lineRule="exact"/>
        <w:ind w:firstLine="422"/>
        <w:rPr>
          <w:rFonts w:hint="eastAsia"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商务技术文件：</w:t>
      </w:r>
    </w:p>
    <w:p>
      <w:pPr>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磋商函（格式见第六章）</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s="宋体"/>
          <w:bCs/>
          <w:color w:val="auto"/>
          <w:kern w:val="0"/>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法定代表人身份证</w:t>
      </w:r>
    </w:p>
    <w:p>
      <w:pPr>
        <w:tabs>
          <w:tab w:val="left" w:pos="3870"/>
          <w:tab w:val="left" w:pos="4085"/>
        </w:tabs>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法定代表人授权委托书和代理人身份证（委托代理时必须提供，格式见第六章）</w:t>
      </w:r>
    </w:p>
    <w:p>
      <w:pPr>
        <w:snapToGrid w:val="0"/>
        <w:spacing w:line="406" w:lineRule="exact"/>
        <w:ind w:firstLine="422"/>
        <w:rPr>
          <w:rFonts w:hint="eastAsia" w:ascii="宋体" w:hAnsi="宋体"/>
          <w:b w:val="0"/>
          <w:bCs/>
          <w:color w:val="auto"/>
          <w:szCs w:val="21"/>
          <w:highlight w:val="none"/>
        </w:rPr>
      </w:pPr>
      <w:r>
        <w:rPr>
          <w:rFonts w:hint="eastAsia" w:ascii="宋体" w:hAnsi="宋体"/>
          <w:b w:val="0"/>
          <w:bCs/>
          <w:color w:val="auto"/>
          <w:szCs w:val="21"/>
          <w:highlight w:val="none"/>
        </w:rPr>
        <w:t>★(4)商务技术响应表(格式见第六章)</w:t>
      </w:r>
    </w:p>
    <w:p>
      <w:pPr>
        <w:numPr>
          <w:ilvl w:val="0"/>
          <w:numId w:val="0"/>
        </w:numPr>
        <w:snapToGrid w:val="0"/>
        <w:spacing w:line="406" w:lineRule="exact"/>
        <w:ind w:firstLine="630" w:firstLineChars="300"/>
        <w:rPr>
          <w:rFonts w:hint="eastAsia" w:ascii="宋体" w:hAnsi="宋体"/>
          <w:b w:val="0"/>
          <w:bCs/>
          <w:color w:val="auto"/>
          <w:szCs w:val="21"/>
          <w:highlight w:val="none"/>
        </w:rPr>
      </w:pPr>
      <w:r>
        <w:rPr>
          <w:rFonts w:hint="eastAsia" w:ascii="宋体" w:hAnsi="宋体"/>
          <w:b w:val="0"/>
          <w:bCs/>
          <w:color w:val="auto"/>
          <w:szCs w:val="21"/>
          <w:highlight w:val="none"/>
          <w:lang w:eastAsia="zh-CN"/>
        </w:rPr>
        <w:t>（</w:t>
      </w:r>
      <w:r>
        <w:rPr>
          <w:rFonts w:hint="eastAsia" w:ascii="宋体" w:hAnsi="宋体"/>
          <w:b w:val="0"/>
          <w:bCs/>
          <w:color w:val="auto"/>
          <w:szCs w:val="21"/>
          <w:highlight w:val="none"/>
          <w:lang w:val="en-US" w:eastAsia="zh-CN"/>
        </w:rPr>
        <w:t>5</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《项目需求》中要求必须提供的材料</w:t>
      </w:r>
    </w:p>
    <w:p>
      <w:pPr>
        <w:numPr>
          <w:ilvl w:val="0"/>
          <w:numId w:val="0"/>
        </w:numPr>
        <w:snapToGrid w:val="0"/>
        <w:spacing w:line="406" w:lineRule="exact"/>
        <w:ind w:firstLine="422" w:firstLineChars="200"/>
        <w:rPr>
          <w:rFonts w:hint="eastAsia"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报价文件</w:t>
      </w:r>
    </w:p>
    <w:p>
      <w:pPr>
        <w:snapToGrid w:val="0"/>
        <w:spacing w:line="406" w:lineRule="exact"/>
        <w:rPr>
          <w:rFonts w:hint="eastAsia" w:ascii="宋体" w:hAnsi="宋体"/>
          <w:bCs/>
          <w:color w:val="auto"/>
          <w:szCs w:val="21"/>
          <w:highlight w:val="none"/>
        </w:rPr>
      </w:pPr>
      <w:bookmarkStart w:id="87" w:name="_Hlk92265738"/>
      <w:r>
        <w:rPr>
          <w:rFonts w:hint="eastAsia" w:ascii="宋体" w:hAnsi="宋体"/>
          <w:bCs/>
          <w:color w:val="auto"/>
          <w:szCs w:val="21"/>
          <w:highlight w:val="none"/>
        </w:rPr>
        <w:t xml:space="preserve"> </w:t>
      </w:r>
      <w:r>
        <w:rPr>
          <w:rFonts w:ascii="宋体" w:hAnsi="宋体"/>
          <w:bCs/>
          <w:color w:val="auto"/>
          <w:szCs w:val="21"/>
          <w:highlight w:val="none"/>
        </w:rPr>
        <w:t xml:space="preserve">   </w:t>
      </w:r>
      <w:r>
        <w:rPr>
          <w:rFonts w:hint="eastAsia" w:ascii="宋体" w:hAnsi="宋体"/>
          <w:bCs/>
          <w:color w:val="auto"/>
          <w:szCs w:val="21"/>
          <w:highlight w:val="none"/>
        </w:rPr>
        <w:t>★报价明细表</w:t>
      </w:r>
      <w:bookmarkEnd w:id="87"/>
      <w:r>
        <w:rPr>
          <w:rFonts w:hint="eastAsia" w:ascii="宋体" w:hAnsi="宋体"/>
          <w:bCs/>
          <w:color w:val="auto"/>
          <w:szCs w:val="21"/>
          <w:highlight w:val="none"/>
        </w:rPr>
        <w:t>(格式见第六章)。</w:t>
      </w:r>
    </w:p>
    <w:bookmarkEnd w:id="83"/>
    <w:p>
      <w:pPr>
        <w:snapToGrid w:val="0"/>
        <w:spacing w:line="406" w:lineRule="exact"/>
        <w:ind w:firstLine="422"/>
        <w:rPr>
          <w:rFonts w:hint="eastAsia" w:ascii="宋体" w:hAnsi="宋体"/>
          <w:color w:val="auto"/>
          <w:szCs w:val="21"/>
          <w:highlight w:val="none"/>
        </w:rPr>
      </w:pPr>
      <w:r>
        <w:rPr>
          <w:rFonts w:hint="eastAsia" w:ascii="宋体" w:hAnsi="宋体"/>
          <w:color w:val="auto"/>
          <w:szCs w:val="21"/>
          <w:highlight w:val="none"/>
        </w:rPr>
        <w:t>注：①标注★号的材料均为必须提供的材料须由供应商加盖公章，授权委托书必须由法定代表人签名，否则视为无效响应文件。</w:t>
      </w:r>
    </w:p>
    <w:p>
      <w:pPr>
        <w:spacing w:line="406" w:lineRule="exact"/>
        <w:ind w:firstLine="210" w:firstLineChars="100"/>
        <w:rPr>
          <w:rFonts w:hint="eastAsia" w:ascii="宋体" w:hAnsi="宋体" w:cs="Courier New"/>
          <w:color w:val="auto"/>
          <w:szCs w:val="21"/>
          <w:highlight w:val="none"/>
        </w:rPr>
      </w:pPr>
      <w:bookmarkStart w:id="88" w:name="_Hlk90906323"/>
      <w:r>
        <w:rPr>
          <w:rFonts w:hint="eastAsia" w:ascii="宋体" w:hAnsi="宋体"/>
          <w:color w:val="auto"/>
          <w:szCs w:val="21"/>
          <w:highlight w:val="none"/>
        </w:rPr>
        <w:t>②</w:t>
      </w:r>
      <w:bookmarkStart w:id="89" w:name="_Hlk111726335"/>
      <w:r>
        <w:rPr>
          <w:rFonts w:hint="eastAsia" w:ascii="宋体" w:hAnsi="宋体" w:cs="Courier New"/>
          <w:color w:val="auto"/>
          <w:szCs w:val="21"/>
          <w:highlight w:val="none"/>
        </w:rPr>
        <w:t>供应商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供应商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w:t>
      </w:r>
      <w:bookmarkEnd w:id="89"/>
    </w:p>
    <w:p>
      <w:pPr>
        <w:spacing w:line="406" w:lineRule="exact"/>
        <w:ind w:firstLine="211" w:firstLineChars="100"/>
        <w:rPr>
          <w:rFonts w:hint="eastAsia" w:ascii="宋体" w:hAnsi="宋体"/>
          <w:b/>
          <w:bCs/>
          <w:color w:val="auto"/>
          <w:szCs w:val="21"/>
          <w:highlight w:val="none"/>
        </w:rPr>
      </w:pPr>
      <w:r>
        <w:rPr>
          <w:rFonts w:hint="eastAsia" w:ascii="宋体" w:hAnsi="宋体"/>
          <w:b/>
          <w:color w:val="auto"/>
          <w:szCs w:val="21"/>
          <w:highlight w:val="none"/>
        </w:rPr>
        <w:t>（三）</w:t>
      </w:r>
      <w:bookmarkStart w:id="90" w:name="_Toc254970537"/>
      <w:bookmarkStart w:id="91" w:name="_Toc254970678"/>
      <w:bookmarkStart w:id="92" w:name="_Toc352700422"/>
      <w:bookmarkStart w:id="93" w:name="_Toc353785292"/>
      <w:r>
        <w:rPr>
          <w:rFonts w:hint="eastAsia" w:ascii="宋体" w:hAnsi="宋体"/>
          <w:b/>
          <w:bCs/>
          <w:color w:val="auto"/>
          <w:szCs w:val="21"/>
          <w:highlight w:val="none"/>
        </w:rPr>
        <w:t>响应文件的编制、签署及加密</w:t>
      </w:r>
    </w:p>
    <w:p>
      <w:pPr>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供应商应认真阅读、并充分理解采购文件的全部内容(包括所有的补充、修改内容)，承诺履行其各项条款的规定并按要求编制，响应文件应为电子文件或扫描件(样品除外)。</w:t>
      </w:r>
    </w:p>
    <w:p>
      <w:pPr>
        <w:spacing w:line="406" w:lineRule="exact"/>
        <w:ind w:firstLine="42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供应商应通过广西政府采购云平台客户端编制加密响应文件。</w:t>
      </w:r>
    </w:p>
    <w:p>
      <w:pPr>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06" w:lineRule="exact"/>
        <w:rPr>
          <w:rFonts w:hint="eastAsia" w:ascii="宋体" w:hAnsi="宋体"/>
          <w:b/>
          <w:bCs/>
          <w:color w:val="auto"/>
          <w:szCs w:val="21"/>
          <w:highlight w:val="none"/>
        </w:rPr>
      </w:pPr>
      <w:r>
        <w:rPr>
          <w:rFonts w:ascii="宋体" w:hAnsi="宋体"/>
          <w:color w:val="auto"/>
          <w:szCs w:val="21"/>
          <w:highlight w:val="none"/>
        </w:rPr>
        <w:tab/>
      </w:r>
      <w:r>
        <w:rPr>
          <w:rFonts w:ascii="宋体" w:hAnsi="宋体"/>
          <w:b/>
          <w:bCs/>
          <w:color w:val="auto"/>
          <w:szCs w:val="21"/>
          <w:highlight w:val="none"/>
        </w:rPr>
        <w:t>4.</w:t>
      </w:r>
      <w:r>
        <w:rPr>
          <w:rFonts w:hint="eastAsia" w:ascii="宋体" w:hAnsi="宋体"/>
          <w:b/>
          <w:bCs/>
          <w:color w:val="auto"/>
          <w:szCs w:val="21"/>
          <w:highlight w:val="none"/>
        </w:rPr>
        <w:t>响应文件由供应商在规定位置由法定代表人或授权委托人签名（可为电子签名）、填写供应商名称并加盖公章(简称“盖章”，可为电子公章)，供应商名称应写全称。</w:t>
      </w:r>
    </w:p>
    <w:p>
      <w:pPr>
        <w:snapToGrid w:val="0"/>
        <w:spacing w:line="406" w:lineRule="exact"/>
        <w:ind w:firstLine="210" w:firstLineChars="100"/>
        <w:rPr>
          <w:rFonts w:hint="eastAsia" w:ascii="宋体" w:hAnsi="宋体"/>
          <w:b/>
          <w:bCs/>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响应文件内容不完整、编排混乱、不清晰等原因导致被误读或漏读的责任和后果由供应商承担。</w:t>
      </w:r>
    </w:p>
    <w:bookmarkEnd w:id="88"/>
    <w:p>
      <w:pPr>
        <w:spacing w:line="406" w:lineRule="exact"/>
        <w:ind w:firstLine="211" w:firstLineChars="100"/>
        <w:rPr>
          <w:color w:val="auto"/>
          <w:highlight w:val="none"/>
        </w:rPr>
      </w:pPr>
      <w:r>
        <w:rPr>
          <w:rFonts w:hint="eastAsia"/>
          <w:b/>
          <w:bCs/>
          <w:color w:val="auto"/>
          <w:highlight w:val="none"/>
        </w:rPr>
        <w:t>（四）响应文件的语言及计量</w:t>
      </w:r>
      <w:bookmarkEnd w:id="90"/>
      <w:bookmarkEnd w:id="91"/>
      <w:bookmarkEnd w:id="92"/>
      <w:bookmarkEnd w:id="93"/>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响应文件以及供应商与采购人、本中心就有关事宜的所有来往函电，均应以中文汉语书写。除签名、盖章、专用名称等特殊情形外，以中文汉语以外的文字表述的视为无效文件。</w:t>
      </w:r>
    </w:p>
    <w:p>
      <w:pPr>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2.响应</w:t>
      </w:r>
      <w:r>
        <w:rPr>
          <w:rFonts w:hint="eastAsia" w:ascii="宋体" w:hAnsi="宋体"/>
          <w:color w:val="auto"/>
          <w:szCs w:val="21"/>
          <w:highlight w:val="none"/>
        </w:rPr>
        <w:t>文件的计量单位，采购文件已有明确规定的，使用采购文件规定的计量单位；采购文件没有规定的，应采用中华人民共和国法定计量单位（货币单位：人民币元），否则视为无效响应文件。</w:t>
      </w:r>
    </w:p>
    <w:p>
      <w:pPr>
        <w:pStyle w:val="4"/>
        <w:spacing w:before="0" w:after="0" w:line="406" w:lineRule="exact"/>
        <w:ind w:firstLine="211" w:firstLineChars="100"/>
        <w:rPr>
          <w:rFonts w:hint="eastAsia" w:ascii="宋体" w:hAnsi="宋体" w:eastAsia="宋体"/>
          <w:color w:val="auto"/>
          <w:sz w:val="21"/>
          <w:szCs w:val="21"/>
          <w:highlight w:val="none"/>
        </w:rPr>
      </w:pPr>
      <w:bookmarkStart w:id="94" w:name="_（五）报价"/>
      <w:bookmarkEnd w:id="94"/>
      <w:bookmarkStart w:id="95" w:name="_Toc353785293"/>
      <w:bookmarkStart w:id="96" w:name="_Toc352700423"/>
      <w:bookmarkStart w:id="97" w:name="_Toc254970538"/>
      <w:bookmarkStart w:id="98" w:name="_Toc254970679"/>
      <w:r>
        <w:rPr>
          <w:rFonts w:hint="eastAsia" w:ascii="宋体" w:hAnsi="宋体" w:eastAsia="宋体"/>
          <w:color w:val="auto"/>
          <w:sz w:val="21"/>
          <w:szCs w:val="21"/>
          <w:highlight w:val="none"/>
        </w:rPr>
        <w:t>（五）报价</w:t>
      </w:r>
      <w:bookmarkEnd w:id="95"/>
      <w:bookmarkEnd w:id="96"/>
      <w:bookmarkEnd w:id="97"/>
      <w:bookmarkEnd w:id="98"/>
    </w:p>
    <w:p>
      <w:pPr>
        <w:pStyle w:val="21"/>
        <w:snapToGrid w:val="0"/>
        <w:spacing w:line="406" w:lineRule="exact"/>
        <w:ind w:firstLine="420"/>
        <w:rPr>
          <w:rFonts w:hint="eastAsia" w:hAnsi="宋体"/>
          <w:color w:val="auto"/>
          <w:highlight w:val="none"/>
        </w:rPr>
      </w:pPr>
      <w:r>
        <w:rPr>
          <w:rFonts w:hAnsi="宋体"/>
          <w:color w:val="auto"/>
          <w:highlight w:val="none"/>
        </w:rPr>
        <w:t>1.</w:t>
      </w:r>
      <w:r>
        <w:rPr>
          <w:rFonts w:hint="eastAsia" w:hAnsi="宋体"/>
          <w:color w:val="auto"/>
          <w:highlight w:val="none"/>
        </w:rPr>
        <w:t>采购文件中未列明，而供应商认为必需的费用也须列入总报价。在合同实施时，采购人将不予支付成交供应商没有列入总报价的项目费用，并认为此项费用已包含在总报价中。</w:t>
      </w:r>
    </w:p>
    <w:p>
      <w:pPr>
        <w:pStyle w:val="21"/>
        <w:snapToGrid w:val="0"/>
        <w:spacing w:line="406" w:lineRule="exact"/>
        <w:ind w:firstLine="420"/>
        <w:rPr>
          <w:color w:val="auto"/>
          <w:highlight w:val="none"/>
        </w:rPr>
      </w:pPr>
      <w:r>
        <w:rPr>
          <w:rFonts w:hAnsi="宋体"/>
          <w:color w:val="auto"/>
          <w:highlight w:val="none"/>
        </w:rPr>
        <w:t>2</w:t>
      </w:r>
      <w:r>
        <w:rPr>
          <w:rFonts w:hint="eastAsia" w:hAnsi="宋体"/>
          <w:color w:val="auto"/>
          <w:highlight w:val="none"/>
        </w:rPr>
        <w:t>供应商</w:t>
      </w:r>
      <w:r>
        <w:rPr>
          <w:rFonts w:hint="eastAsia"/>
          <w:color w:val="auto"/>
          <w:highlight w:val="none"/>
        </w:rPr>
        <w:t>必须就《项目需求》货物和服务的内容作完整唯一报价</w:t>
      </w:r>
      <w:r>
        <w:rPr>
          <w:rFonts w:hint="eastAsia" w:hAnsi="宋体"/>
          <w:color w:val="auto"/>
          <w:highlight w:val="none"/>
        </w:rPr>
        <w:t>，有选择的或有条件的报价视为无效响应文件。</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供应商的报价必须按采购文件或政府采购云平台规定的格式填写，并在规定时间内提交最后报价。</w:t>
      </w:r>
    </w:p>
    <w:p>
      <w:pPr>
        <w:tabs>
          <w:tab w:val="left" w:pos="525"/>
        </w:tabs>
        <w:snapToGrid w:val="0"/>
        <w:spacing w:line="406" w:lineRule="exact"/>
        <w:ind w:firstLine="42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最后报价是供应商响应文件的有效组成部分。</w:t>
      </w:r>
    </w:p>
    <w:p>
      <w:pPr>
        <w:pStyle w:val="4"/>
        <w:spacing w:before="0" w:after="0" w:line="406" w:lineRule="exact"/>
        <w:ind w:firstLine="211" w:firstLineChars="100"/>
        <w:rPr>
          <w:rFonts w:hint="eastAsia" w:ascii="宋体" w:hAnsi="宋体" w:eastAsia="宋体"/>
          <w:color w:val="auto"/>
          <w:sz w:val="21"/>
          <w:szCs w:val="21"/>
          <w:highlight w:val="none"/>
        </w:rPr>
      </w:pPr>
      <w:bookmarkStart w:id="99" w:name="_（六）磋商保证金"/>
      <w:bookmarkEnd w:id="99"/>
      <w:bookmarkStart w:id="100" w:name="_Toc353785295"/>
      <w:bookmarkStart w:id="101" w:name="_Toc254970541"/>
      <w:bookmarkStart w:id="102" w:name="_Toc254970682"/>
      <w:bookmarkStart w:id="103" w:name="_Toc352700425"/>
      <w:r>
        <w:rPr>
          <w:rFonts w:hint="eastAsia" w:ascii="宋体" w:hAnsi="宋体" w:eastAsia="宋体"/>
          <w:color w:val="auto"/>
          <w:sz w:val="21"/>
          <w:szCs w:val="21"/>
          <w:highlight w:val="none"/>
        </w:rPr>
        <w:t>（六）磋商保证金</w:t>
      </w:r>
      <w:bookmarkEnd w:id="100"/>
      <w:bookmarkEnd w:id="101"/>
      <w:bookmarkEnd w:id="102"/>
      <w:bookmarkEnd w:id="103"/>
    </w:p>
    <w:p>
      <w:pPr>
        <w:snapToGrid w:val="0"/>
        <w:spacing w:line="406" w:lineRule="exact"/>
        <w:ind w:firstLine="420" w:firstLineChars="200"/>
        <w:rPr>
          <w:color w:val="auto"/>
          <w:highlight w:val="none"/>
        </w:rPr>
      </w:pPr>
      <w:bookmarkStart w:id="104" w:name="_Toc254970542"/>
      <w:bookmarkStart w:id="105" w:name="_Toc254970683"/>
      <w:bookmarkStart w:id="106" w:name="_Toc353785296"/>
      <w:bookmarkStart w:id="107" w:name="_Toc352700426"/>
      <w:r>
        <w:rPr>
          <w:rFonts w:hint="eastAsia" w:ascii="宋体" w:hAnsi="宋体"/>
          <w:color w:val="auto"/>
          <w:szCs w:val="21"/>
          <w:highlight w:val="none"/>
        </w:rPr>
        <w:t>本项目免收磋商保证金。</w:t>
      </w:r>
    </w:p>
    <w:bookmarkEnd w:id="104"/>
    <w:bookmarkEnd w:id="105"/>
    <w:bookmarkEnd w:id="106"/>
    <w:bookmarkEnd w:id="107"/>
    <w:p>
      <w:pPr>
        <w:spacing w:line="406" w:lineRule="exact"/>
        <w:ind w:firstLine="211" w:firstLineChars="100"/>
        <w:rPr>
          <w:b/>
          <w:bCs/>
          <w:color w:val="auto"/>
          <w:highlight w:val="none"/>
        </w:rPr>
      </w:pPr>
      <w:r>
        <w:rPr>
          <w:rFonts w:hint="eastAsia"/>
          <w:b/>
          <w:bCs/>
          <w:color w:val="auto"/>
          <w:highlight w:val="none"/>
        </w:rPr>
        <w:t>（七）响应文件的上传、提交、修改、撤回</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响应文件的上传和提交:供应商须将编制好的加密响应文件上传至政府采购云平台，并在响应文件提交截止时间前提交，否则</w:t>
      </w:r>
      <w:bookmarkStart w:id="108" w:name="_Hlk91772691"/>
      <w:r>
        <w:rPr>
          <w:rFonts w:hint="eastAsia" w:ascii="宋体" w:hAnsi="宋体"/>
          <w:color w:val="auto"/>
          <w:szCs w:val="21"/>
          <w:highlight w:val="none"/>
        </w:rPr>
        <w:t>政府采购云平台</w:t>
      </w:r>
      <w:bookmarkEnd w:id="108"/>
      <w:r>
        <w:rPr>
          <w:rFonts w:hint="eastAsia" w:ascii="宋体" w:hAnsi="宋体"/>
          <w:color w:val="auto"/>
          <w:szCs w:val="21"/>
          <w:highlight w:val="none"/>
        </w:rPr>
        <w:t>将予以拒收。</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响应文件的修改和撤回：</w:t>
      </w:r>
      <w:r>
        <w:rPr>
          <w:rFonts w:hint="eastAsia"/>
          <w:color w:val="auto"/>
          <w:szCs w:val="21"/>
          <w:highlight w:val="none"/>
        </w:rPr>
        <w:t>供应商在提交响应文件截止时间前，可以对所提交的响应文件进行补充、修改或者撤回</w:t>
      </w:r>
      <w:r>
        <w:rPr>
          <w:rFonts w:hint="eastAsia" w:ascii="宋体" w:hAnsi="宋体"/>
          <w:color w:val="auto"/>
          <w:szCs w:val="21"/>
          <w:highlight w:val="none"/>
        </w:rPr>
        <w:t>。补充或者修改响应文件的，应当先行撤回原响应文件，补充、修改后重新上传、提交。响应文件提交截止时间前未完成重新提交的，视为撤回响应文件，响应文件提交截止时间后提交响应文件的，政府采购云平台将予以拒收。响应文件提交截止时间后，供应商不得撤回响应文件。</w:t>
      </w:r>
      <w:r>
        <w:rPr>
          <w:rFonts w:hint="eastAsia"/>
          <w:color w:val="auto"/>
          <w:szCs w:val="21"/>
          <w:highlight w:val="none"/>
        </w:rPr>
        <w:t>补充、修改的内容作为响应文件的组成部分。补充、修改的内容与响应文件不一致的，以补充、修改的内容为准。</w:t>
      </w:r>
    </w:p>
    <w:p>
      <w:pPr>
        <w:pStyle w:val="4"/>
        <w:spacing w:line="406" w:lineRule="exact"/>
        <w:rPr>
          <w:color w:val="auto"/>
          <w:highlight w:val="none"/>
        </w:rPr>
      </w:pPr>
      <w:bookmarkStart w:id="109" w:name="_四、响应文件开启"/>
      <w:bookmarkEnd w:id="109"/>
      <w:r>
        <w:rPr>
          <w:rFonts w:hint="eastAsia"/>
          <w:color w:val="auto"/>
          <w:highlight w:val="none"/>
        </w:rPr>
        <w:t>四、</w:t>
      </w:r>
      <w:bookmarkStart w:id="110" w:name="_Toc352700430"/>
      <w:bookmarkStart w:id="111" w:name="_Toc353785300"/>
      <w:r>
        <w:rPr>
          <w:rFonts w:hint="eastAsia"/>
          <w:color w:val="auto"/>
          <w:highlight w:val="none"/>
        </w:rPr>
        <w:t>响应文件开启</w:t>
      </w:r>
    </w:p>
    <w:bookmarkEnd w:id="110"/>
    <w:bookmarkEnd w:id="111"/>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（一）本中心将在响应文件提交截止时间后在</w:t>
      </w:r>
      <w:bookmarkStart w:id="112" w:name="_Hlk90300735"/>
      <w:r>
        <w:rPr>
          <w:rFonts w:hint="eastAsia"/>
          <w:color w:val="auto"/>
          <w:highlight w:val="none"/>
        </w:rPr>
        <w:t>政采云远程开标大厅</w:t>
      </w:r>
      <w:bookmarkEnd w:id="112"/>
      <w:r>
        <w:rPr>
          <w:rFonts w:hint="eastAsia"/>
          <w:color w:val="auto"/>
          <w:highlight w:val="none"/>
        </w:rPr>
        <w:t>进行响应文件开启，供应商法定代表人或委托代理人须按时登录</w:t>
      </w:r>
      <w:bookmarkStart w:id="113" w:name="_Hlk90300780"/>
      <w:r>
        <w:rPr>
          <w:rFonts w:hint="eastAsia"/>
          <w:color w:val="auto"/>
          <w:highlight w:val="none"/>
        </w:rPr>
        <w:t>政采云远程开标大厅</w:t>
      </w:r>
      <w:bookmarkEnd w:id="113"/>
      <w:r>
        <w:rPr>
          <w:rFonts w:hint="eastAsia"/>
          <w:color w:val="auto"/>
          <w:highlight w:val="none"/>
        </w:rPr>
        <w:t>（政府采购云平台-应用中心-项目采购-开标评标），保持全程在线并关注评审、磋商进度，评审期间磋商小组提出澄清等要求时，供应商须在规定时间内进行应答，否则按采购文件或政采云平台的相关规定执行。</w:t>
      </w:r>
      <w:bookmarkStart w:id="114" w:name="_Toc352700431"/>
      <w:bookmarkStart w:id="115" w:name="_Toc353785301"/>
    </w:p>
    <w:p>
      <w:pPr>
        <w:spacing w:line="406" w:lineRule="exact"/>
        <w:ind w:firstLine="210" w:firstLineChars="100"/>
        <w:rPr>
          <w:rFonts w:ascii="方正小标宋_GBK" w:hAnsi="Arial" w:eastAsia="方正小标宋_GBK"/>
          <w:bCs/>
          <w:color w:val="auto"/>
          <w:sz w:val="24"/>
          <w:highlight w:val="none"/>
        </w:rPr>
      </w:pPr>
      <w:r>
        <w:rPr>
          <w:rFonts w:hint="eastAsia"/>
          <w:color w:val="auto"/>
          <w:highlight w:val="none"/>
        </w:rPr>
        <w:t>（二）</w:t>
      </w:r>
      <w:bookmarkEnd w:id="114"/>
      <w:bookmarkEnd w:id="115"/>
      <w:r>
        <w:rPr>
          <w:rFonts w:hint="eastAsia"/>
          <w:color w:val="auto"/>
          <w:highlight w:val="none"/>
        </w:rPr>
        <w:t>解密</w:t>
      </w:r>
    </w:p>
    <w:p>
      <w:pPr>
        <w:spacing w:line="406" w:lineRule="exact"/>
        <w:ind w:firstLine="420" w:firstLineChars="200"/>
        <w:rPr>
          <w:color w:val="auto"/>
          <w:highlight w:val="none"/>
        </w:rPr>
      </w:pPr>
      <w:r>
        <w:rPr>
          <w:rFonts w:hint="eastAsia"/>
          <w:color w:val="auto"/>
          <w:highlight w:val="none"/>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政府采购云平台视为供应商自主放弃磋商。</w:t>
      </w:r>
    </w:p>
    <w:p>
      <w:pPr>
        <w:spacing w:line="406" w:lineRule="exact"/>
        <w:ind w:firstLine="211" w:firstLineChars="100"/>
        <w:rPr>
          <w:b/>
          <w:bCs/>
          <w:color w:val="auto"/>
          <w:highlight w:val="none"/>
        </w:rPr>
      </w:pPr>
      <w:r>
        <w:rPr>
          <w:rFonts w:hint="eastAsia"/>
          <w:b/>
          <w:bCs/>
          <w:color w:val="auto"/>
          <w:highlight w:val="none"/>
        </w:rPr>
        <w:t>（三）资格审查</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采购人依法对供应商的资格进行审查，资格性审查时，如发现下列情形之一的，响应文件将被视为无效：</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(1)超越了按照法律法规规定必须获得行政许可或者行政审批的经营范围的；</w:t>
      </w:r>
    </w:p>
    <w:p>
      <w:pPr>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(2)资格证明文件不全的，或者不符合采购文件标明的资格要求的。</w:t>
      </w:r>
    </w:p>
    <w:p>
      <w:pPr>
        <w:snapToGrid w:val="0"/>
        <w:spacing w:line="406" w:lineRule="exact"/>
        <w:ind w:firstLine="420" w:firstLineChars="200"/>
        <w:jc w:val="lef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4"/>
        <w:spacing w:line="406" w:lineRule="exact"/>
        <w:rPr>
          <w:rFonts w:hint="eastAsia" w:ascii="宋体" w:hAnsi="宋体"/>
          <w:color w:val="auto"/>
          <w:szCs w:val="21"/>
          <w:highlight w:val="none"/>
        </w:rPr>
      </w:pPr>
      <w:bookmarkStart w:id="116" w:name="_五、评审与磋商"/>
      <w:bookmarkEnd w:id="116"/>
      <w:bookmarkStart w:id="117" w:name="_Toc254970545"/>
      <w:bookmarkStart w:id="118" w:name="_Toc353785302"/>
      <w:bookmarkStart w:id="119" w:name="_Toc254970686"/>
      <w:bookmarkStart w:id="120" w:name="_Toc352700432"/>
      <w:r>
        <w:rPr>
          <w:rFonts w:hint="eastAsia"/>
          <w:color w:val="auto"/>
          <w:highlight w:val="none"/>
        </w:rPr>
        <w:t>五、</w:t>
      </w:r>
      <w:bookmarkEnd w:id="117"/>
      <w:bookmarkEnd w:id="118"/>
      <w:bookmarkEnd w:id="119"/>
      <w:bookmarkEnd w:id="120"/>
      <w:r>
        <w:rPr>
          <w:rFonts w:hint="eastAsia" w:ascii="宋体" w:hAnsi="宋体"/>
          <w:color w:val="auto"/>
          <w:szCs w:val="21"/>
          <w:highlight w:val="none"/>
        </w:rPr>
        <w:t>评审与磋商</w:t>
      </w:r>
    </w:p>
    <w:p>
      <w:pPr>
        <w:snapToGrid w:val="0"/>
        <w:spacing w:line="406" w:lineRule="exact"/>
        <w:ind w:firstLine="211" w:firstLineChars="100"/>
        <w:rPr>
          <w:rFonts w:hint="eastAsia" w:ascii="宋体" w:hAnsi="宋体"/>
          <w:b/>
          <w:bCs/>
          <w:color w:val="auto"/>
          <w:szCs w:val="21"/>
          <w:highlight w:val="none"/>
        </w:rPr>
      </w:pPr>
      <w:bookmarkStart w:id="121" w:name="_Toc352700433"/>
      <w:bookmarkStart w:id="122" w:name="_Toc353785303"/>
      <w:r>
        <w:rPr>
          <w:rFonts w:hint="eastAsia" w:ascii="宋体" w:hAnsi="宋体"/>
          <w:b/>
          <w:bCs/>
          <w:color w:val="auto"/>
          <w:szCs w:val="21"/>
          <w:highlight w:val="none"/>
        </w:rPr>
        <w:t>（一）评审原则：</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磋商小组必须公平、公正、客观，不带任何倾向性和启发性；不得向外界透露任何与评审有关的内容；任何单位和个人不得干扰、影响评审的正常进行；磋商小组及有关工作人员不得私下接触供应商。</w:t>
      </w:r>
    </w:p>
    <w:p>
      <w:pPr>
        <w:snapToGrid w:val="0"/>
        <w:spacing w:line="406" w:lineRule="exact"/>
        <w:ind w:firstLine="420" w:firstLineChars="200"/>
        <w:rPr>
          <w:rFonts w:hint="eastAsia" w:ascii="宋体" w:hAnsi="宋体" w:cs="Courier New"/>
          <w:color w:val="auto"/>
          <w:szCs w:val="21"/>
          <w:highlight w:val="none"/>
        </w:rPr>
      </w:pPr>
      <w:r>
        <w:rPr>
          <w:rFonts w:ascii="宋体" w:hAnsi="宋体"/>
          <w:color w:val="auto"/>
          <w:szCs w:val="21"/>
          <w:highlight w:val="none"/>
        </w:rPr>
        <w:t>2.</w:t>
      </w:r>
      <w:r>
        <w:rPr>
          <w:rFonts w:hint="eastAsia" w:ascii="宋体" w:hAnsi="宋体" w:cs="Courier New"/>
          <w:color w:val="auto"/>
          <w:szCs w:val="21"/>
          <w:highlight w:val="none"/>
        </w:rPr>
        <w:t>本项目采用不公开方式评审，评审的依据为采购文件和响应文件。</w:t>
      </w:r>
    </w:p>
    <w:p>
      <w:pPr>
        <w:snapToGrid w:val="0"/>
        <w:spacing w:line="406" w:lineRule="exact"/>
        <w:ind w:firstLine="211" w:firstLineChars="100"/>
        <w:rPr>
          <w:rFonts w:hint="eastAsia" w:ascii="宋体" w:hAnsi="宋体"/>
          <w:b/>
          <w:bCs/>
          <w:color w:val="auto"/>
          <w:szCs w:val="21"/>
          <w:highlight w:val="none"/>
        </w:rPr>
      </w:pPr>
      <w:r>
        <w:rPr>
          <w:rFonts w:hint="eastAsia"/>
          <w:b/>
          <w:bCs/>
          <w:color w:val="auto"/>
          <w:highlight w:val="none"/>
        </w:rPr>
        <w:t>（二）成立磋商小组</w:t>
      </w:r>
    </w:p>
    <w:p>
      <w:pPr>
        <w:snapToGrid w:val="0"/>
        <w:spacing w:line="406" w:lineRule="exact"/>
        <w:ind w:firstLine="420" w:firstLineChars="200"/>
        <w:rPr>
          <w:rFonts w:hint="eastAsia" w:ascii="宋体" w:hAnsi="宋体"/>
          <w:color w:val="auto"/>
          <w:szCs w:val="21"/>
          <w:highlight w:val="none"/>
        </w:rPr>
      </w:pPr>
      <w:r>
        <w:rPr>
          <w:rFonts w:hint="eastAsia" w:ascii="宋体" w:hAnsi="宋体" w:cs="Courier New"/>
          <w:bCs/>
          <w:color w:val="auto"/>
          <w:szCs w:val="21"/>
          <w:highlight w:val="none"/>
        </w:rPr>
        <w:t>磋商小组</w:t>
      </w:r>
      <w:bookmarkEnd w:id="121"/>
      <w:bookmarkEnd w:id="122"/>
      <w:r>
        <w:rPr>
          <w:rFonts w:hint="eastAsia" w:ascii="宋体" w:hAnsi="宋体" w:cs="Courier New"/>
          <w:bCs/>
          <w:color w:val="auto"/>
          <w:szCs w:val="21"/>
          <w:highlight w:val="none"/>
        </w:rPr>
        <w:t>由采购人代表和评审专家共3人以上单数组成，其中评审专家人数不得少于磋商小组成员总数的2/3。</w:t>
      </w:r>
    </w:p>
    <w:p>
      <w:pPr>
        <w:spacing w:line="406" w:lineRule="exact"/>
        <w:ind w:firstLine="211" w:firstLineChars="100"/>
        <w:rPr>
          <w:rFonts w:hint="eastAsia" w:ascii="宋体" w:hAnsi="宋体" w:cs="Courier New"/>
          <w:color w:val="auto"/>
          <w:szCs w:val="21"/>
          <w:highlight w:val="none"/>
        </w:rPr>
      </w:pPr>
      <w:r>
        <w:rPr>
          <w:rFonts w:hint="eastAsia" w:ascii="宋体" w:hAnsi="宋体"/>
          <w:b/>
          <w:bCs/>
          <w:color w:val="auto"/>
          <w:szCs w:val="21"/>
          <w:highlight w:val="none"/>
        </w:rPr>
        <w:t>（三）实质性审查</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磋商小组成员根据磋商文件规定的评审程序、评审方法和评审标准进行独立评审。未实质性响应磋商文件的响应文件按无效响应处理，磋商小组应当告知提交响应文件的供应商。</w:t>
      </w:r>
    </w:p>
    <w:p>
      <w:pPr>
        <w:snapToGrid w:val="0"/>
        <w:spacing w:line="406"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w:t>
      </w:r>
      <w:r>
        <w:rPr>
          <w:rFonts w:ascii="宋体" w:hAnsi="宋体"/>
          <w:b/>
          <w:bCs/>
          <w:color w:val="auto"/>
          <w:szCs w:val="21"/>
          <w:highlight w:val="none"/>
        </w:rPr>
        <w:t>.</w:t>
      </w:r>
      <w:r>
        <w:rPr>
          <w:rFonts w:hint="eastAsia" w:ascii="宋体" w:hAnsi="宋体"/>
          <w:b/>
          <w:bCs/>
          <w:color w:val="auto"/>
          <w:szCs w:val="21"/>
          <w:highlight w:val="none"/>
        </w:rPr>
        <w:t>实质性审查时，如发现下列情形之一的，响应文件将被视为无效：</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①响应文件未按响应文件编制要求提供或内容虚假的；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②响应文件无法定代表人或其委托代理人签署、未提供授权委托书，或未按规定盖章的；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③供应商代表未能出具身份证明或与法定代表人委托代理人身份不符的；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④经磋商未实质性响应采购文件采购需求的技术、服务要求的；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⑤经磋商</w:t>
      </w:r>
      <w:r>
        <w:rPr>
          <w:rFonts w:hint="eastAsia" w:ascii="宋体" w:hAnsi="宋体"/>
          <w:color w:val="auto"/>
          <w:spacing w:val="-4"/>
          <w:szCs w:val="21"/>
          <w:highlight w:val="none"/>
        </w:rPr>
        <w:t>不符合采购文件要求的质量标准，或者与采购文件中的技术指标、功能、服务事项发生较大偏离，已不符合采购人需求的；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⑥响应文件有采购人不能接受的附加条件的；</w:t>
      </w:r>
    </w:p>
    <w:p>
      <w:pPr>
        <w:snapToGrid w:val="0"/>
        <w:spacing w:line="406" w:lineRule="exact"/>
        <w:ind w:firstLine="505" w:firstLineChars="250"/>
        <w:rPr>
          <w:rFonts w:hint="eastAsia" w:ascii="宋体" w:hAnsi="宋体"/>
          <w:color w:val="auto"/>
          <w:spacing w:val="-4"/>
          <w:szCs w:val="21"/>
          <w:highlight w:val="none"/>
        </w:rPr>
      </w:pPr>
      <w:r>
        <w:rPr>
          <w:rFonts w:hint="eastAsia" w:ascii="宋体" w:hAnsi="宋体"/>
          <w:color w:val="auto"/>
          <w:spacing w:val="-4"/>
          <w:szCs w:val="21"/>
          <w:highlight w:val="none"/>
        </w:rPr>
        <w:t>⑦响应文件技术方案不明确，存在一个或一个以上备选(替代)响应方案的；</w:t>
      </w:r>
    </w:p>
    <w:p>
      <w:pPr>
        <w:snapToGrid w:val="0"/>
        <w:spacing w:line="406" w:lineRule="exact"/>
        <w:ind w:firstLine="525" w:firstLineChars="250"/>
        <w:rPr>
          <w:rFonts w:hint="eastAsia" w:ascii="宋体" w:hAnsi="宋体"/>
          <w:color w:val="auto"/>
          <w:szCs w:val="21"/>
          <w:highlight w:val="none"/>
        </w:rPr>
      </w:pPr>
      <w:r>
        <w:rPr>
          <w:rFonts w:hint="eastAsia" w:ascii="宋体" w:hAnsi="宋体"/>
          <w:color w:val="auto"/>
          <w:szCs w:val="21"/>
          <w:highlight w:val="none"/>
        </w:rPr>
        <w:t>⑧响应文件的实质性内容未使用中文表述、意思表述不明确、前后矛盾或者使用计量单位不符合采购文件要求的。</w:t>
      </w:r>
    </w:p>
    <w:p>
      <w:pPr>
        <w:spacing w:line="406" w:lineRule="exact"/>
        <w:ind w:firstLine="211" w:firstLineChars="100"/>
        <w:rPr>
          <w:b/>
          <w:bCs/>
          <w:color w:val="auto"/>
          <w:highlight w:val="none"/>
        </w:rPr>
      </w:pPr>
      <w:r>
        <w:rPr>
          <w:rFonts w:hint="eastAsia"/>
          <w:b/>
          <w:bCs/>
          <w:color w:val="auto"/>
          <w:highlight w:val="none"/>
        </w:rPr>
        <w:t>（四）磋商</w:t>
      </w:r>
    </w:p>
    <w:p>
      <w:pPr>
        <w:pStyle w:val="21"/>
        <w:spacing w:line="406" w:lineRule="exact"/>
        <w:ind w:firstLine="420" w:firstLineChars="20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磋商小组所有成员应当集中与单一供应商分别进行磋商，并给予所有参加磋商的供应商平等的磋商机会。</w:t>
      </w:r>
    </w:p>
    <w:p>
      <w:pPr>
        <w:pStyle w:val="21"/>
        <w:spacing w:line="406" w:lineRule="exact"/>
        <w:ind w:firstLine="420" w:firstLineChars="200"/>
        <w:rPr>
          <w:rFonts w:hint="eastAsia" w:hAnsi="宋体"/>
          <w:bCs/>
          <w:color w:val="auto"/>
          <w:highlight w:val="none"/>
        </w:rPr>
      </w:pPr>
      <w:r>
        <w:rPr>
          <w:rFonts w:hAnsi="宋体"/>
          <w:bCs/>
          <w:color w:val="auto"/>
          <w:highlight w:val="none"/>
        </w:rPr>
        <w:t>2.</w:t>
      </w:r>
      <w:r>
        <w:rPr>
          <w:rFonts w:hint="eastAsia" w:hAnsi="宋体"/>
          <w:bCs/>
          <w:color w:val="auto"/>
          <w:highlight w:val="none"/>
        </w:rPr>
        <w:t>磋商小组可以根据磋商文件和磋商情况实质性变动采购需求中的技术、服务要求以及合同草案条款，但不得变动磋商文件中的其他内容。实质性变动的内容，须经采购人代表确认。</w:t>
      </w:r>
    </w:p>
    <w:p>
      <w:pPr>
        <w:pStyle w:val="21"/>
        <w:spacing w:line="406" w:lineRule="exact"/>
        <w:ind w:firstLine="420" w:firstLineChars="200"/>
        <w:rPr>
          <w:rFonts w:hint="eastAsia" w:hAnsi="宋体"/>
          <w:bCs/>
          <w:color w:val="auto"/>
          <w:highlight w:val="none"/>
        </w:rPr>
      </w:pPr>
      <w:r>
        <w:rPr>
          <w:rFonts w:hAnsi="宋体"/>
          <w:bCs/>
          <w:color w:val="auto"/>
          <w:highlight w:val="none"/>
        </w:rPr>
        <w:t>3.</w:t>
      </w:r>
      <w:r>
        <w:rPr>
          <w:rFonts w:hint="eastAsia" w:hAnsi="宋体"/>
          <w:bCs/>
          <w:color w:val="auto"/>
          <w:highlight w:val="none"/>
        </w:rPr>
        <w:t>对磋商文件作出的实质性变动是磋商文件的有效组成部分，磋商小组应当及时以书面形式同时通知所有参加磋商的供应商。</w:t>
      </w:r>
    </w:p>
    <w:p>
      <w:pPr>
        <w:pStyle w:val="21"/>
        <w:spacing w:line="406" w:lineRule="exact"/>
        <w:ind w:firstLine="420" w:firstLineChars="200"/>
        <w:rPr>
          <w:rFonts w:hint="eastAsia" w:hAnsi="宋体"/>
          <w:bCs/>
          <w:color w:val="auto"/>
          <w:highlight w:val="none"/>
        </w:rPr>
      </w:pPr>
      <w:r>
        <w:rPr>
          <w:rFonts w:hAnsi="宋体"/>
          <w:bCs/>
          <w:color w:val="auto"/>
          <w:highlight w:val="none"/>
        </w:rPr>
        <w:t>4.</w:t>
      </w:r>
      <w:r>
        <w:rPr>
          <w:rFonts w:hint="eastAsia" w:hAnsi="宋体"/>
          <w:bCs/>
          <w:color w:val="auto"/>
          <w:highlight w:val="none"/>
        </w:rPr>
        <w:t>供应商应当按照磋商文件的变动情况和磋商小组的要求重新提交响应文件，并由其法定代表人或授权代表签名或者加盖公章。由授权代表签名的，应当附法定代表人授权书。供应商为自然人的，应当由本人签名并附身份证明。逾时不提交的，视同退出磋商。</w:t>
      </w:r>
    </w:p>
    <w:p>
      <w:pPr>
        <w:pStyle w:val="21"/>
        <w:spacing w:line="406" w:lineRule="exact"/>
        <w:ind w:firstLine="420" w:firstLineChars="200"/>
        <w:rPr>
          <w:rFonts w:hint="eastAsia" w:hAnsi="宋体"/>
          <w:bCs/>
          <w:color w:val="auto"/>
          <w:highlight w:val="none"/>
        </w:rPr>
      </w:pPr>
      <w:r>
        <w:rPr>
          <w:rFonts w:hAnsi="宋体"/>
          <w:bCs/>
          <w:color w:val="auto"/>
          <w:highlight w:val="none"/>
        </w:rPr>
        <w:t>5.</w:t>
      </w:r>
      <w:r>
        <w:rPr>
          <w:rFonts w:hint="eastAsia" w:hAnsi="宋体"/>
          <w:bCs/>
          <w:color w:val="auto"/>
          <w:highlight w:val="none"/>
        </w:rPr>
        <w:t>已提交响应文件的供应商，在提交最后报价之前，可以根据磋商情况退出磋商。</w:t>
      </w:r>
    </w:p>
    <w:p>
      <w:pPr>
        <w:spacing w:line="406" w:lineRule="exact"/>
        <w:ind w:firstLine="211" w:firstLineChars="100"/>
        <w:rPr>
          <w:b/>
          <w:bCs/>
          <w:color w:val="auto"/>
          <w:highlight w:val="none"/>
        </w:rPr>
      </w:pPr>
      <w:r>
        <w:rPr>
          <w:rFonts w:hint="eastAsia"/>
          <w:b/>
          <w:bCs/>
          <w:color w:val="auto"/>
          <w:highlight w:val="none"/>
        </w:rPr>
        <w:t>（五）最后报价</w:t>
      </w:r>
    </w:p>
    <w:p>
      <w:pPr>
        <w:spacing w:line="406" w:lineRule="exact"/>
        <w:ind w:firstLine="420" w:firstLineChars="200"/>
        <w:rPr>
          <w:color w:val="auto"/>
          <w:highlight w:val="none"/>
        </w:rPr>
      </w:pPr>
      <w:r>
        <w:rPr>
          <w:color w:val="auto"/>
          <w:highlight w:val="none"/>
        </w:rPr>
        <w:t>1.</w:t>
      </w:r>
      <w:r>
        <w:rPr>
          <w:rFonts w:hint="eastAsia"/>
          <w:color w:val="auto"/>
          <w:highlight w:val="none"/>
        </w:rPr>
        <w:t>磋商文件能够详细列明采购标的的技术、服务要求的，磋商结束后，磋商小组应当要求所有实质性响应的供应商在规定时间内提交最后报价，提交最后报价的供应商不得少于3家。</w:t>
      </w:r>
    </w:p>
    <w:p>
      <w:pPr>
        <w:spacing w:line="406" w:lineRule="exact"/>
        <w:ind w:firstLine="420" w:firstLineChars="200"/>
        <w:rPr>
          <w:color w:val="auto"/>
          <w:highlight w:val="none"/>
        </w:rPr>
      </w:pPr>
      <w:r>
        <w:rPr>
          <w:rFonts w:hint="eastAsia"/>
          <w:color w:val="auto"/>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spacing w:line="406" w:lineRule="exact"/>
        <w:ind w:firstLine="420" w:firstLineChars="200"/>
        <w:rPr>
          <w:color w:val="auto"/>
          <w:highlight w:val="none"/>
        </w:rPr>
      </w:pPr>
      <w:bookmarkStart w:id="123" w:name="_Hlk101270484"/>
      <w:r>
        <w:rPr>
          <w:rFonts w:hint="eastAsia"/>
          <w:color w:val="auto"/>
          <w:highlight w:val="none"/>
        </w:rPr>
        <w:t>市场竞争不充分的科研项目，以及需要扶持的科技成果转化项目</w:t>
      </w:r>
      <w:bookmarkEnd w:id="123"/>
      <w:r>
        <w:rPr>
          <w:rFonts w:hint="eastAsia"/>
          <w:color w:val="auto"/>
          <w:highlight w:val="none"/>
        </w:rPr>
        <w:t>提交最后报价的供应商可以为2家。</w:t>
      </w:r>
    </w:p>
    <w:p>
      <w:pPr>
        <w:spacing w:line="406" w:lineRule="exact"/>
        <w:ind w:firstLine="420" w:firstLineChars="200"/>
        <w:rPr>
          <w:color w:val="auto"/>
          <w:highlight w:val="none"/>
        </w:rPr>
      </w:pPr>
      <w:r>
        <w:rPr>
          <w:color w:val="auto"/>
          <w:highlight w:val="none"/>
        </w:rPr>
        <w:t>2.</w:t>
      </w:r>
      <w:r>
        <w:rPr>
          <w:rFonts w:hint="eastAsia"/>
          <w:color w:val="auto"/>
          <w:highlight w:val="none"/>
        </w:rPr>
        <w:t>最后报价应由其法定代表人或授权代表签名或者加盖公章，最后报价即系供应商响应报价。</w:t>
      </w:r>
    </w:p>
    <w:p>
      <w:pPr>
        <w:snapToGrid w:val="0"/>
        <w:spacing w:line="406" w:lineRule="exact"/>
        <w:ind w:firstLine="422" w:firstLineChars="200"/>
        <w:rPr>
          <w:rFonts w:hint="eastAsia" w:ascii="宋体" w:hAnsi="宋体"/>
          <w:color w:val="auto"/>
          <w:szCs w:val="21"/>
          <w:highlight w:val="none"/>
        </w:rPr>
      </w:pPr>
      <w:r>
        <w:rPr>
          <w:rFonts w:hint="eastAsia"/>
          <w:b/>
          <w:bCs/>
          <w:color w:val="auto"/>
          <w:highlight w:val="none"/>
        </w:rPr>
        <w:t>3</w:t>
      </w:r>
      <w:r>
        <w:rPr>
          <w:b/>
          <w:bCs/>
          <w:color w:val="auto"/>
          <w:highlight w:val="none"/>
        </w:rPr>
        <w:t>.</w:t>
      </w:r>
      <w:r>
        <w:rPr>
          <w:rFonts w:hint="eastAsia" w:ascii="宋体" w:hAnsi="宋体" w:cs="Courier New"/>
          <w:b/>
          <w:color w:val="auto"/>
          <w:szCs w:val="21"/>
          <w:highlight w:val="none"/>
        </w:rPr>
        <w:t>在报价评审时，如发现下列情形之一的，响应文件将被视为无效：</w:t>
      </w:r>
    </w:p>
    <w:p>
      <w:pPr>
        <w:snapToGrid w:val="0"/>
        <w:spacing w:line="406" w:lineRule="exact"/>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报价未采用人民币或者未按照采购文件标明的币种报价的；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报价明细表中货物品牌、规格、型号、服务事项未明确或与响应文件中相应内容不一致的；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报价具有选择性的；</w:t>
      </w:r>
    </w:p>
    <w:p>
      <w:pPr>
        <w:snapToGrid w:val="0"/>
        <w:spacing w:line="406" w:lineRule="exact"/>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报价未按采购文件或政府采购云平台规定的格式填写，或未在规定时间内提交最后报价的。</w:t>
      </w:r>
    </w:p>
    <w:p>
      <w:pPr>
        <w:spacing w:line="406" w:lineRule="exact"/>
        <w:ind w:firstLine="211" w:firstLineChars="100"/>
        <w:rPr>
          <w:b/>
          <w:bCs/>
          <w:color w:val="auto"/>
          <w:highlight w:val="none"/>
        </w:rPr>
      </w:pPr>
      <w:r>
        <w:rPr>
          <w:rFonts w:hint="eastAsia"/>
          <w:b/>
          <w:bCs/>
          <w:color w:val="auto"/>
          <w:highlight w:val="none"/>
        </w:rPr>
        <w:t>（六）澄清、说明或者更正的形式</w:t>
      </w:r>
    </w:p>
    <w:p>
      <w:pPr>
        <w:pStyle w:val="21"/>
        <w:spacing w:line="406" w:lineRule="exact"/>
        <w:ind w:firstLine="420"/>
        <w:rPr>
          <w:rFonts w:hint="eastAsia" w:hAnsi="宋体"/>
          <w:bCs/>
          <w:color w:val="auto"/>
          <w:highlight w:val="none"/>
        </w:rPr>
      </w:pPr>
      <w:r>
        <w:rPr>
          <w:rFonts w:hint="eastAsia" w:hAnsi="宋体"/>
          <w:bCs/>
          <w:color w:val="auto"/>
          <w:highlight w:val="none"/>
        </w:rPr>
        <w:t>1</w:t>
      </w:r>
      <w:r>
        <w:rPr>
          <w:rFonts w:hAnsi="宋体"/>
          <w:bCs/>
          <w:color w:val="auto"/>
          <w:highlight w:val="none"/>
        </w:rPr>
        <w:t>.</w:t>
      </w:r>
      <w:r>
        <w:rPr>
          <w:rFonts w:hint="eastAsia" w:hAnsi="宋体"/>
          <w:bCs/>
          <w:color w:val="auto"/>
          <w:highlight w:val="none"/>
        </w:rPr>
        <w:t>磋商小组在对响应文件的有效性、完整性和响应程度进行审查时，可以要求供应商对响应文件中含义不明确、同类问题表述不一致或者有明显文字和计算错误的内容等作出必要的</w:t>
      </w:r>
      <w:bookmarkStart w:id="124" w:name="_Hlk92462362"/>
      <w:r>
        <w:rPr>
          <w:rFonts w:hint="eastAsia" w:hAnsi="宋体"/>
          <w:bCs/>
          <w:color w:val="auto"/>
          <w:highlight w:val="none"/>
        </w:rPr>
        <w:t>澄清、说明或者更正</w:t>
      </w:r>
      <w:bookmarkEnd w:id="124"/>
      <w:r>
        <w:rPr>
          <w:rFonts w:hint="eastAsia" w:hAnsi="宋体"/>
          <w:bCs/>
          <w:color w:val="auto"/>
          <w:highlight w:val="none"/>
        </w:rPr>
        <w:t>。供应商的澄清、说明或者更正不得超出响应文件的范围或者改变响应文件的实质性内容。</w:t>
      </w:r>
    </w:p>
    <w:p>
      <w:pPr>
        <w:pStyle w:val="21"/>
        <w:spacing w:line="406" w:lineRule="exact"/>
        <w:ind w:firstLine="420"/>
        <w:rPr>
          <w:rFonts w:hint="eastAsia" w:hAnsi="宋体"/>
          <w:bCs/>
          <w:color w:val="auto"/>
          <w:highlight w:val="none"/>
        </w:rPr>
      </w:pPr>
      <w:r>
        <w:rPr>
          <w:rFonts w:hint="eastAsia" w:hAnsi="宋体"/>
          <w:bCs/>
          <w:color w:val="auto"/>
          <w:highlight w:val="none"/>
        </w:rPr>
        <w:t>2</w:t>
      </w:r>
      <w:r>
        <w:rPr>
          <w:rFonts w:hAnsi="宋体"/>
          <w:bCs/>
          <w:color w:val="auto"/>
          <w:highlight w:val="none"/>
        </w:rPr>
        <w:t>.</w:t>
      </w:r>
      <w:r>
        <w:rPr>
          <w:rFonts w:hint="eastAsia" w:hAnsi="宋体"/>
          <w:bCs/>
          <w:color w:val="auto"/>
          <w:highlight w:val="none"/>
        </w:rPr>
        <w:t>磋商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06" w:lineRule="exact"/>
        <w:ind w:firstLine="211" w:firstLineChars="100"/>
        <w:rPr>
          <w:b/>
          <w:bCs/>
          <w:color w:val="auto"/>
          <w:highlight w:val="none"/>
        </w:rPr>
      </w:pPr>
      <w:r>
        <w:rPr>
          <w:rFonts w:hint="eastAsia"/>
          <w:b/>
          <w:bCs/>
          <w:color w:val="auto"/>
          <w:highlight w:val="none"/>
        </w:rPr>
        <w:t>（七）综合评分</w:t>
      </w:r>
    </w:p>
    <w:p>
      <w:pPr>
        <w:spacing w:line="406" w:lineRule="exact"/>
        <w:ind w:firstLine="420" w:firstLineChars="200"/>
        <w:rPr>
          <w:rFonts w:ascii="宋体" w:hAnsi="Courier New" w:cs="Courier New"/>
          <w:color w:val="auto"/>
          <w:szCs w:val="21"/>
          <w:highlight w:val="none"/>
        </w:rPr>
      </w:pPr>
      <w:r>
        <w:rPr>
          <w:rFonts w:hint="eastAsia" w:ascii="宋体" w:hAnsi="Courier New" w:cs="Courier New"/>
          <w:color w:val="auto"/>
          <w:szCs w:val="21"/>
          <w:highlight w:val="none"/>
        </w:rPr>
        <w:t>1</w:t>
      </w:r>
      <w:r>
        <w:rPr>
          <w:rFonts w:ascii="宋体" w:hAnsi="Courier New" w:cs="Courier New"/>
          <w:color w:val="auto"/>
          <w:szCs w:val="21"/>
          <w:highlight w:val="none"/>
        </w:rPr>
        <w:t>.</w:t>
      </w:r>
      <w:r>
        <w:rPr>
          <w:rFonts w:hint="eastAsia" w:ascii="宋体" w:hAnsi="Courier New" w:cs="Courier New"/>
          <w:color w:val="auto"/>
          <w:szCs w:val="21"/>
          <w:highlight w:val="none"/>
        </w:rPr>
        <w:t>经磋商确定最终采购需求和提交最后报价的供应商后，由磋商小组采用综合评分法对提交最后报价的供应商的响应文件和最后报价进行综合评分。</w:t>
      </w:r>
    </w:p>
    <w:p>
      <w:pPr>
        <w:spacing w:line="406" w:lineRule="exact"/>
        <w:ind w:firstLine="420" w:firstLineChars="200"/>
        <w:rPr>
          <w:color w:val="auto"/>
          <w:highlight w:val="none"/>
        </w:rPr>
      </w:pPr>
      <w:r>
        <w:rPr>
          <w:rFonts w:hint="eastAsia" w:ascii="宋体" w:hAnsi="Courier New" w:cs="Courier New"/>
          <w:color w:val="auto"/>
          <w:szCs w:val="21"/>
          <w:highlight w:val="none"/>
        </w:rPr>
        <w:t>2</w:t>
      </w:r>
      <w:r>
        <w:rPr>
          <w:rFonts w:ascii="宋体" w:hAnsi="Courier New" w:cs="Courier New"/>
          <w:color w:val="auto"/>
          <w:szCs w:val="21"/>
          <w:highlight w:val="none"/>
        </w:rPr>
        <w:t>.</w:t>
      </w:r>
      <w:r>
        <w:rPr>
          <w:rFonts w:hint="eastAsia" w:ascii="宋体" w:hAnsi="Courier New" w:cs="Courier New"/>
          <w:color w:val="auto"/>
          <w:szCs w:val="21"/>
          <w:highlight w:val="none"/>
        </w:rPr>
        <w:t>综合评分法：响应文件满足磋商文件全部实质性要求且按评审因素的量化指标评审得分最高的供应商为成交候选供应商，详见第四章《评定标准及推荐原则》。</w:t>
      </w:r>
    </w:p>
    <w:p>
      <w:pPr>
        <w:pStyle w:val="21"/>
        <w:spacing w:line="406" w:lineRule="exact"/>
        <w:ind w:firstLine="211" w:firstLineChars="100"/>
        <w:rPr>
          <w:rFonts w:hint="eastAsia" w:hAnsi="宋体"/>
          <w:b/>
          <w:color w:val="auto"/>
          <w:highlight w:val="none"/>
        </w:rPr>
      </w:pPr>
      <w:r>
        <w:rPr>
          <w:rFonts w:hint="eastAsia" w:hAnsi="宋体"/>
          <w:b/>
          <w:color w:val="auto"/>
          <w:highlight w:val="none"/>
        </w:rPr>
        <w:t>（八）供应商有下列情形之一的，属于恶意串通：</w:t>
      </w:r>
    </w:p>
    <w:p>
      <w:pPr>
        <w:pStyle w:val="21"/>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1</w:t>
      </w:r>
      <w:r>
        <w:rPr>
          <w:rFonts w:hAnsi="宋体" w:cs="Times New Roman"/>
          <w:color w:val="auto"/>
          <w:highlight w:val="none"/>
        </w:rPr>
        <w:t>.</w:t>
      </w:r>
      <w:r>
        <w:rPr>
          <w:rFonts w:hint="eastAsia" w:hAnsi="宋体" w:cs="Times New Roman"/>
          <w:color w:val="auto"/>
          <w:highlight w:val="none"/>
        </w:rPr>
        <w:t>供应商直接或者间接从采购人或者采购代理机构处获得其他供应商的相关情况并修改其响应文件；</w:t>
      </w:r>
    </w:p>
    <w:p>
      <w:pPr>
        <w:pStyle w:val="21"/>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2</w:t>
      </w:r>
      <w:r>
        <w:rPr>
          <w:rFonts w:hAnsi="宋体" w:cs="Times New Roman"/>
          <w:color w:val="auto"/>
          <w:highlight w:val="none"/>
        </w:rPr>
        <w:t>.</w:t>
      </w:r>
      <w:r>
        <w:rPr>
          <w:rFonts w:hint="eastAsia" w:hAnsi="宋体" w:cs="Times New Roman"/>
          <w:color w:val="auto"/>
          <w:highlight w:val="none"/>
        </w:rPr>
        <w:t>供应商按照采购人或者采购代理机构的授意撤换、修改响应文件；</w:t>
      </w:r>
    </w:p>
    <w:p>
      <w:pPr>
        <w:pStyle w:val="21"/>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3</w:t>
      </w:r>
      <w:r>
        <w:rPr>
          <w:rFonts w:hAnsi="宋体" w:cs="Times New Roman"/>
          <w:color w:val="auto"/>
          <w:highlight w:val="none"/>
        </w:rPr>
        <w:t>.</w:t>
      </w:r>
      <w:r>
        <w:rPr>
          <w:rFonts w:hint="eastAsia" w:hAnsi="宋体" w:cs="Times New Roman"/>
          <w:color w:val="auto"/>
          <w:highlight w:val="none"/>
        </w:rPr>
        <w:t>供应商之间协商报价、技术方案等响应文件的实质性内容；</w:t>
      </w:r>
    </w:p>
    <w:p>
      <w:pPr>
        <w:pStyle w:val="21"/>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4</w:t>
      </w:r>
      <w:r>
        <w:rPr>
          <w:rFonts w:hAnsi="宋体" w:cs="Times New Roman"/>
          <w:color w:val="auto"/>
          <w:highlight w:val="none"/>
        </w:rPr>
        <w:t>.</w:t>
      </w:r>
      <w:r>
        <w:rPr>
          <w:rFonts w:hint="eastAsia" w:hAnsi="宋体" w:cs="Times New Roman"/>
          <w:color w:val="auto"/>
          <w:highlight w:val="none"/>
        </w:rPr>
        <w:t>属于同一集团、协会、商会等组织成员的供应商按照该组织要求协同参加政府采购活动；</w:t>
      </w:r>
    </w:p>
    <w:p>
      <w:pPr>
        <w:pStyle w:val="21"/>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5</w:t>
      </w:r>
      <w:r>
        <w:rPr>
          <w:rFonts w:hAnsi="宋体" w:cs="Times New Roman"/>
          <w:color w:val="auto"/>
          <w:highlight w:val="none"/>
        </w:rPr>
        <w:t>.</w:t>
      </w:r>
      <w:r>
        <w:rPr>
          <w:rFonts w:hint="eastAsia" w:hAnsi="宋体" w:cs="Times New Roman"/>
          <w:color w:val="auto"/>
          <w:highlight w:val="none"/>
        </w:rPr>
        <w:t>供应商之间事先约定由某一特定供应商成交；</w:t>
      </w:r>
    </w:p>
    <w:p>
      <w:pPr>
        <w:pStyle w:val="21"/>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6</w:t>
      </w:r>
      <w:r>
        <w:rPr>
          <w:rFonts w:hAnsi="宋体" w:cs="Times New Roman"/>
          <w:color w:val="auto"/>
          <w:highlight w:val="none"/>
        </w:rPr>
        <w:t>.</w:t>
      </w:r>
      <w:r>
        <w:rPr>
          <w:rFonts w:hint="eastAsia" w:hAnsi="宋体" w:cs="Times New Roman"/>
          <w:color w:val="auto"/>
          <w:highlight w:val="none"/>
        </w:rPr>
        <w:t>供应商之间商定部分供应商放弃参加政府采购活动或者放弃成交；</w:t>
      </w:r>
    </w:p>
    <w:p>
      <w:pPr>
        <w:pStyle w:val="21"/>
        <w:spacing w:line="406" w:lineRule="exact"/>
        <w:ind w:firstLine="420" w:firstLineChars="200"/>
        <w:rPr>
          <w:rFonts w:hint="eastAsia" w:hAnsi="宋体" w:cs="Times New Roman"/>
          <w:color w:val="auto"/>
          <w:highlight w:val="none"/>
        </w:rPr>
      </w:pPr>
      <w:r>
        <w:rPr>
          <w:rFonts w:hint="eastAsia" w:hAnsi="宋体" w:cs="Times New Roman"/>
          <w:color w:val="auto"/>
          <w:highlight w:val="none"/>
        </w:rPr>
        <w:t>7</w:t>
      </w:r>
      <w:r>
        <w:rPr>
          <w:rFonts w:hAnsi="宋体" w:cs="Times New Roman"/>
          <w:color w:val="auto"/>
          <w:highlight w:val="none"/>
        </w:rPr>
        <w:t>.</w:t>
      </w:r>
      <w:r>
        <w:rPr>
          <w:rFonts w:hint="eastAsia" w:hAnsi="宋体" w:cs="Times New Roman"/>
          <w:color w:val="auto"/>
          <w:highlight w:val="none"/>
        </w:rPr>
        <w:t>供应商与采购人或者采购代理机构之间、供应商相互之间，为谋求特定供应商成交或者排斥其他供应商的其他串通行为。</w:t>
      </w:r>
    </w:p>
    <w:p>
      <w:pPr>
        <w:pStyle w:val="21"/>
        <w:spacing w:line="406" w:lineRule="exact"/>
        <w:ind w:firstLine="211" w:firstLineChars="100"/>
        <w:rPr>
          <w:rFonts w:hint="eastAsia" w:hAnsi="宋体"/>
          <w:b/>
          <w:color w:val="auto"/>
          <w:highlight w:val="none"/>
        </w:rPr>
      </w:pPr>
      <w:r>
        <w:rPr>
          <w:rFonts w:hint="eastAsia" w:hAnsi="宋体"/>
          <w:b/>
          <w:color w:val="auto"/>
          <w:highlight w:val="none"/>
        </w:rPr>
        <w:t>（九）评审报告</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磋商小组应当根据评审记录和评审结果编写评审报告，主要内容包括：</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1)</w:t>
      </w:r>
      <w:r>
        <w:rPr>
          <w:rFonts w:hint="eastAsia"/>
          <w:color w:val="auto"/>
          <w:szCs w:val="21"/>
          <w:highlight w:val="none"/>
        </w:rPr>
        <w:t>邀请供应商参加采购活动的具体方式和相关情况；</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2)</w:t>
      </w:r>
      <w:r>
        <w:rPr>
          <w:rFonts w:hint="eastAsia"/>
          <w:color w:val="auto"/>
          <w:szCs w:val="21"/>
          <w:highlight w:val="none"/>
        </w:rPr>
        <w:t>响应文件开启日期和地点；</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获取磋商文件的供应商名单和磋商小组成员名单；</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评审情况记录和说明，包括对供应商的资格审查情况、供应商响应文件评审情况、磋商情况、报价情况等；</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提出的成交候选供应商的排序名单及理由。</w:t>
      </w:r>
    </w:p>
    <w:p>
      <w:pPr>
        <w:widowControl/>
        <w:tabs>
          <w:tab w:val="left" w:pos="540"/>
        </w:tabs>
        <w:spacing w:line="406" w:lineRule="exact"/>
        <w:ind w:firstLine="420" w:firstLineChars="200"/>
        <w:jc w:val="left"/>
        <w:rPr>
          <w:color w:val="auto"/>
          <w:szCs w:val="21"/>
          <w:highlight w:val="none"/>
        </w:rPr>
      </w:pPr>
      <w:r>
        <w:rPr>
          <w:rFonts w:hint="eastAsia"/>
          <w:color w:val="auto"/>
          <w:szCs w:val="21"/>
          <w:highlight w:val="none"/>
        </w:rPr>
        <w:t>2</w:t>
      </w:r>
      <w:r>
        <w:rPr>
          <w:color w:val="auto"/>
          <w:szCs w:val="21"/>
          <w:highlight w:val="none"/>
        </w:rPr>
        <w:t>.</w:t>
      </w:r>
      <w:r>
        <w:rPr>
          <w:rFonts w:hint="eastAsia"/>
          <w:color w:val="auto"/>
          <w:szCs w:val="21"/>
          <w:highlight w:val="none"/>
        </w:rPr>
        <w:t>评审报告应当由磋商小组全体人员签名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名又不书面说明其不同意见和理由的，视为同意评审报告。</w:t>
      </w:r>
    </w:p>
    <w:p>
      <w:pPr>
        <w:pStyle w:val="21"/>
        <w:spacing w:line="406" w:lineRule="exact"/>
        <w:ind w:firstLine="211" w:firstLineChars="100"/>
        <w:rPr>
          <w:rFonts w:hint="eastAsia" w:hAnsi="宋体"/>
          <w:color w:val="auto"/>
          <w:highlight w:val="none"/>
        </w:rPr>
      </w:pPr>
      <w:r>
        <w:rPr>
          <w:rFonts w:hint="eastAsia" w:hAnsi="宋体"/>
          <w:b/>
          <w:bCs/>
          <w:color w:val="auto"/>
          <w:highlight w:val="none"/>
        </w:rPr>
        <w:t>（十）</w:t>
      </w:r>
      <w:r>
        <w:rPr>
          <w:rFonts w:hint="eastAsia" w:hAnsi="宋体"/>
          <w:b/>
          <w:color w:val="auto"/>
          <w:highlight w:val="none"/>
        </w:rPr>
        <w:t>出现下列情形之一的，本中心将终止竞争性磋商采购活动：</w:t>
      </w:r>
    </w:p>
    <w:p>
      <w:pPr>
        <w:pStyle w:val="21"/>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因情况变化，不再符合规定的竞争性磋商采购方式适用情形的；</w:t>
      </w:r>
    </w:p>
    <w:p>
      <w:pPr>
        <w:pStyle w:val="21"/>
        <w:spacing w:line="406" w:lineRule="exact"/>
        <w:ind w:firstLine="420" w:firstLineChars="200"/>
        <w:rPr>
          <w:rFonts w:hint="eastAsia" w:hAnsi="宋体"/>
          <w:color w:val="auto"/>
          <w:highlight w:val="none"/>
        </w:rPr>
      </w:pPr>
      <w:r>
        <w:rPr>
          <w:rFonts w:hint="eastAsia" w:hAnsi="宋体"/>
          <w:color w:val="auto"/>
          <w:highlight w:val="none"/>
        </w:rPr>
        <w:t>2</w:t>
      </w:r>
      <w:r>
        <w:rPr>
          <w:rFonts w:hAnsi="宋体"/>
          <w:color w:val="auto"/>
          <w:highlight w:val="none"/>
        </w:rPr>
        <w:t>.</w:t>
      </w:r>
      <w:r>
        <w:rPr>
          <w:rFonts w:hint="eastAsia" w:hAnsi="宋体"/>
          <w:color w:val="auto"/>
          <w:highlight w:val="none"/>
        </w:rPr>
        <w:t>出现影响采购公正的违法、违规行为的；</w:t>
      </w:r>
    </w:p>
    <w:p>
      <w:pPr>
        <w:pStyle w:val="21"/>
        <w:spacing w:line="406" w:lineRule="exact"/>
        <w:ind w:firstLine="420" w:firstLineChars="200"/>
        <w:rPr>
          <w:rFonts w:hint="eastAsia" w:hAnsi="宋体"/>
          <w:color w:val="auto"/>
          <w:highlight w:val="none"/>
        </w:rPr>
      </w:pPr>
      <w:r>
        <w:rPr>
          <w:rFonts w:hint="eastAsia" w:hAnsi="宋体"/>
          <w:color w:val="auto"/>
          <w:highlight w:val="none"/>
        </w:rPr>
        <w:t>3</w:t>
      </w:r>
      <w:r>
        <w:rPr>
          <w:rFonts w:hAnsi="宋体"/>
          <w:color w:val="auto"/>
          <w:highlight w:val="none"/>
        </w:rPr>
        <w:t>.</w:t>
      </w:r>
      <w:r>
        <w:rPr>
          <w:rFonts w:hint="eastAsia" w:hAnsi="宋体"/>
          <w:color w:val="auto"/>
          <w:highlight w:val="none"/>
        </w:rPr>
        <w:t>除特殊情况外，在采购过程中符合要求的供应商或者报价未超过采购预算的供应商不足3家的。</w:t>
      </w:r>
    </w:p>
    <w:p>
      <w:pPr>
        <w:pStyle w:val="4"/>
        <w:spacing w:line="406" w:lineRule="exact"/>
        <w:rPr>
          <w:color w:val="auto"/>
          <w:highlight w:val="none"/>
        </w:rPr>
      </w:pPr>
      <w:r>
        <w:rPr>
          <w:rFonts w:hint="eastAsia"/>
          <w:color w:val="auto"/>
          <w:highlight w:val="none"/>
        </w:rPr>
        <w:t>六、确定成交供应商</w:t>
      </w:r>
    </w:p>
    <w:p>
      <w:pPr>
        <w:pStyle w:val="21"/>
        <w:spacing w:line="406" w:lineRule="exact"/>
        <w:ind w:firstLine="42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本中心应当在评审结束后2个工作日内将评审报告送采购人确认。</w:t>
      </w:r>
    </w:p>
    <w:p>
      <w:pPr>
        <w:pStyle w:val="21"/>
        <w:spacing w:line="406" w:lineRule="exact"/>
        <w:ind w:firstLine="420"/>
        <w:rPr>
          <w:rFonts w:hint="eastAsia" w:hAnsi="宋体"/>
          <w:color w:val="auto"/>
          <w:highlight w:val="none"/>
        </w:rPr>
      </w:pPr>
      <w:r>
        <w:rPr>
          <w:rFonts w:hAnsi="宋体"/>
          <w:color w:val="auto"/>
          <w:highlight w:val="none"/>
        </w:rPr>
        <w:t>2.</w:t>
      </w:r>
      <w:r>
        <w:rPr>
          <w:rFonts w:hint="eastAsia" w:hAnsi="宋体"/>
          <w:color w:val="auto"/>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pStyle w:val="4"/>
        <w:spacing w:line="406" w:lineRule="exact"/>
        <w:rPr>
          <w:color w:val="auto"/>
          <w:highlight w:val="none"/>
        </w:rPr>
      </w:pPr>
      <w:r>
        <w:rPr>
          <w:rFonts w:hint="eastAsia"/>
          <w:color w:val="auto"/>
          <w:highlight w:val="none"/>
        </w:rPr>
        <w:t>七、结果公告</w:t>
      </w:r>
    </w:p>
    <w:p>
      <w:pPr>
        <w:pStyle w:val="21"/>
        <w:spacing w:line="406" w:lineRule="exact"/>
        <w:ind w:firstLine="420" w:firstLineChars="200"/>
        <w:rPr>
          <w:rFonts w:hint="eastAsia" w:hAnsi="宋体"/>
          <w:color w:val="auto"/>
          <w:highlight w:val="none"/>
        </w:rPr>
      </w:pPr>
      <w:r>
        <w:rPr>
          <w:rFonts w:hint="eastAsia" w:hAnsi="宋体"/>
          <w:color w:val="auto"/>
          <w:highlight w:val="none"/>
        </w:rPr>
        <w:t>本中心在成交供应商确定后2个工作日内，</w:t>
      </w:r>
      <w:r>
        <w:rPr>
          <w:rFonts w:hint="eastAsia"/>
          <w:color w:val="auto"/>
          <w:highlight w:val="none"/>
        </w:rPr>
        <w:t>在省级以上财政部门指定的媒体上公告</w:t>
      </w:r>
      <w:r>
        <w:rPr>
          <w:rFonts w:hint="eastAsia" w:hAnsi="宋体"/>
          <w:color w:val="auto"/>
          <w:highlight w:val="none"/>
        </w:rPr>
        <w:t>成交结果，同时向成交供应商发出成交通知书。</w:t>
      </w:r>
    </w:p>
    <w:p>
      <w:pPr>
        <w:pStyle w:val="4"/>
        <w:spacing w:line="406" w:lineRule="exact"/>
        <w:rPr>
          <w:color w:val="auto"/>
          <w:highlight w:val="none"/>
        </w:rPr>
      </w:pPr>
      <w:r>
        <w:rPr>
          <w:rFonts w:hint="eastAsia"/>
          <w:color w:val="auto"/>
          <w:highlight w:val="none"/>
        </w:rPr>
        <w:t>八、签订合同</w:t>
      </w:r>
    </w:p>
    <w:p>
      <w:pPr>
        <w:spacing w:line="406" w:lineRule="exact"/>
        <w:ind w:firstLine="210" w:firstLineChars="100"/>
        <w:rPr>
          <w:rFonts w:hint="eastAsia" w:ascii="宋体" w:hAnsi="宋体" w:cs="Courier New"/>
          <w:color w:val="auto"/>
          <w:szCs w:val="21"/>
          <w:highlight w:val="none"/>
        </w:rPr>
      </w:pPr>
      <w:r>
        <w:rPr>
          <w:rFonts w:hint="eastAsia" w:ascii="宋体" w:hAnsi="宋体"/>
          <w:color w:val="auto"/>
          <w:szCs w:val="21"/>
          <w:highlight w:val="none"/>
        </w:rPr>
        <w:t>（一）</w:t>
      </w:r>
      <w:r>
        <w:rPr>
          <w:rFonts w:hint="eastAsia" w:ascii="宋体" w:hAnsi="宋体" w:cs="Courier New"/>
          <w:color w:val="auto"/>
          <w:szCs w:val="21"/>
          <w:highlight w:val="none"/>
        </w:rPr>
        <w:t>采购人与成交供应商应当在成交通知书发出之日起</w:t>
      </w:r>
      <w:r>
        <w:rPr>
          <w:rFonts w:ascii="宋体" w:hAnsi="宋体" w:cs="Courier New"/>
          <w:color w:val="auto"/>
          <w:szCs w:val="21"/>
          <w:highlight w:val="none"/>
        </w:rPr>
        <w:t>15</w:t>
      </w:r>
      <w:r>
        <w:rPr>
          <w:rFonts w:hint="eastAsia" w:ascii="宋体" w:hAnsi="宋体" w:cs="Courier New"/>
          <w:color w:val="auto"/>
          <w:szCs w:val="21"/>
          <w:highlight w:val="none"/>
        </w:rPr>
        <w:t>日内，按照磋商文件确定的合同文本以及采购标的、规格型号、采购金额、采购数量、技术和服务要求等事项签订政府采购合同。</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Courier New"/>
          <w:color w:val="auto"/>
          <w:szCs w:val="21"/>
          <w:highlight w:val="none"/>
        </w:rPr>
        <w:t>（二）</w:t>
      </w:r>
      <w:r>
        <w:rPr>
          <w:rFonts w:hint="eastAsia" w:ascii="宋体" w:hAnsi="宋体" w:cs="宋体"/>
          <w:color w:val="auto"/>
          <w:kern w:val="0"/>
          <w:szCs w:val="21"/>
          <w:highlight w:val="none"/>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（三）供应商可凭成交通知书或政府采购合同等在内的相关材料、信息，通过中征应收账款融资服务平台向银行业金融机构在线申请“政采贷”融资。</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（四）除不可抗力等因素外，成交后无正当理由拒不与采购人签订政府采购合同的，应当承担相应的法律责任。</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w:t>
      </w:r>
      <w:r>
        <w:rPr>
          <w:rFonts w:ascii="Arial" w:hAnsi="Arial" w:cs="Arial"/>
          <w:color w:val="auto"/>
          <w:kern w:val="0"/>
          <w:szCs w:val="21"/>
          <w:highlight w:val="none"/>
        </w:rPr>
        <w:t>政府采购合同</w:t>
      </w:r>
      <w:r>
        <w:rPr>
          <w:rFonts w:hint="eastAsia" w:hAnsi="宋体"/>
          <w:color w:val="auto"/>
          <w:highlight w:val="none"/>
        </w:rPr>
        <w:t>适用《中华人民共和国民法典》</w:t>
      </w:r>
      <w:r>
        <w:rPr>
          <w:rFonts w:ascii="Arial" w:hAnsi="Arial" w:cs="Arial"/>
          <w:color w:val="auto"/>
          <w:kern w:val="0"/>
          <w:szCs w:val="21"/>
          <w:highlight w:val="none"/>
        </w:rPr>
        <w:t>。</w:t>
      </w:r>
    </w:p>
    <w:p>
      <w:pPr>
        <w:widowControl/>
        <w:spacing w:line="406" w:lineRule="exact"/>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4"/>
        <w:spacing w:line="406" w:lineRule="exact"/>
        <w:rPr>
          <w:color w:val="auto"/>
          <w:highlight w:val="none"/>
        </w:rPr>
      </w:pPr>
      <w:r>
        <w:rPr>
          <w:rFonts w:hint="eastAsia"/>
          <w:color w:val="auto"/>
          <w:highlight w:val="none"/>
        </w:rPr>
        <w:t>九、适用法律</w:t>
      </w:r>
    </w:p>
    <w:p>
      <w:pPr>
        <w:spacing w:line="406" w:lineRule="exact"/>
        <w:ind w:firstLine="420" w:firstLineChars="200"/>
        <w:rPr>
          <w:rFonts w:hint="eastAsia" w:ascii="宋体" w:hAnsi="宋体"/>
          <w:color w:val="auto"/>
          <w:szCs w:val="21"/>
          <w:highlight w:val="none"/>
        </w:rPr>
      </w:pPr>
      <w:bookmarkStart w:id="125" w:name="_Hlk92794186"/>
      <w:r>
        <w:rPr>
          <w:rFonts w:hint="eastAsia" w:ascii="宋体" w:hAnsi="宋体"/>
          <w:color w:val="auto"/>
          <w:szCs w:val="21"/>
          <w:highlight w:val="none"/>
        </w:rPr>
        <w:t>本项目采购活动适用于《中华人民共和国政府采购法》及其实施条例、《政府采购竞争性磋商采购方式管理暂行办法》等规定。</w:t>
      </w:r>
    </w:p>
    <w:bookmarkEnd w:id="125"/>
    <w:p>
      <w:pPr>
        <w:pStyle w:val="4"/>
        <w:spacing w:line="406" w:lineRule="exact"/>
        <w:rPr>
          <w:color w:val="auto"/>
          <w:highlight w:val="none"/>
        </w:rPr>
      </w:pPr>
      <w:bookmarkStart w:id="126" w:name="_十、其他事项"/>
      <w:bookmarkEnd w:id="126"/>
      <w:r>
        <w:rPr>
          <w:rFonts w:hint="eastAsia"/>
          <w:color w:val="auto"/>
          <w:highlight w:val="none"/>
        </w:rPr>
        <w:t>十、其他事项</w:t>
      </w:r>
    </w:p>
    <w:p>
      <w:pPr>
        <w:spacing w:line="406" w:lineRule="exact"/>
        <w:ind w:firstLine="210" w:firstLineChars="100"/>
        <w:rPr>
          <w:rFonts w:hint="eastAsia" w:hAnsi="宋体"/>
          <w:color w:val="auto"/>
          <w:highlight w:val="none"/>
        </w:rPr>
      </w:pPr>
      <w:bookmarkStart w:id="127" w:name="_Hlk94168058"/>
      <w:r>
        <w:rPr>
          <w:rFonts w:hint="eastAsia" w:hAnsi="宋体"/>
          <w:color w:val="auto"/>
          <w:highlight w:val="none"/>
        </w:rPr>
        <w:t>（一）</w:t>
      </w:r>
      <w:bookmarkEnd w:id="127"/>
      <w:r>
        <w:rPr>
          <w:rFonts w:hint="eastAsia" w:hAnsi="宋体"/>
          <w:color w:val="auto"/>
          <w:highlight w:val="none"/>
        </w:rPr>
        <w:t>代理服务费</w:t>
      </w:r>
    </w:p>
    <w:p>
      <w:pPr>
        <w:spacing w:line="406" w:lineRule="exact"/>
        <w:ind w:firstLine="420" w:firstLineChars="200"/>
        <w:rPr>
          <w:rFonts w:hint="eastAsia" w:hAnsi="宋体"/>
          <w:color w:val="auto"/>
          <w:highlight w:val="none"/>
        </w:rPr>
      </w:pPr>
      <w:r>
        <w:rPr>
          <w:rFonts w:hint="eastAsia" w:hAnsi="宋体"/>
          <w:color w:val="auto"/>
          <w:highlight w:val="none"/>
        </w:rPr>
        <w:t>1</w:t>
      </w:r>
      <w:r>
        <w:rPr>
          <w:rFonts w:hAnsi="宋体"/>
          <w:color w:val="auto"/>
          <w:highlight w:val="none"/>
        </w:rPr>
        <w:t>.</w:t>
      </w:r>
      <w:r>
        <w:rPr>
          <w:rFonts w:hint="eastAsia" w:hAnsi="宋体"/>
          <w:color w:val="auto"/>
          <w:highlight w:val="none"/>
        </w:rPr>
        <w:t>本中心按钦州市物价局“钦市价费〔2013﹞4号”文件规定向成交供应商收取代理服务费，成交供应商须向本中心一次付清代理服务费。</w:t>
      </w:r>
    </w:p>
    <w:p>
      <w:pPr>
        <w:spacing w:line="406" w:lineRule="exact"/>
        <w:ind w:firstLine="420" w:firstLineChars="200"/>
        <w:rPr>
          <w:rFonts w:hint="eastAsia" w:hAnsi="宋体"/>
          <w:bCs/>
          <w:color w:val="auto"/>
          <w:highlight w:val="none"/>
        </w:rPr>
      </w:pPr>
      <w:r>
        <w:rPr>
          <w:rFonts w:hint="eastAsia" w:hAnsi="宋体"/>
          <w:color w:val="auto"/>
          <w:highlight w:val="none"/>
        </w:rPr>
        <w:t>2</w:t>
      </w:r>
      <w:r>
        <w:rPr>
          <w:rFonts w:hAnsi="宋体"/>
          <w:color w:val="auto"/>
          <w:highlight w:val="none"/>
        </w:rPr>
        <w:t>.</w:t>
      </w:r>
      <w:r>
        <w:rPr>
          <w:rFonts w:hint="eastAsia" w:hAnsi="宋体"/>
          <w:bCs/>
          <w:color w:val="auto"/>
          <w:highlight w:val="none"/>
        </w:rPr>
        <w:t>代理服务收费标准：</w:t>
      </w:r>
    </w:p>
    <w:p>
      <w:pPr>
        <w:spacing w:line="406" w:lineRule="exact"/>
        <w:ind w:firstLine="420" w:firstLineChars="200"/>
        <w:rPr>
          <w:rFonts w:hint="eastAsia" w:hAnsi="宋体"/>
          <w:bCs/>
          <w:color w:val="auto"/>
          <w:highlight w:val="none"/>
        </w:rPr>
      </w:pPr>
    </w:p>
    <w:tbl>
      <w:tblPr>
        <w:tblStyle w:val="35"/>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int="eastAsia" w:hAnsi="宋体"/>
                <w:color w:val="auto"/>
                <w:highlight w:val="none"/>
              </w:rPr>
            </w:pPr>
            <w:r>
              <w:rPr>
                <w:rFonts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6350" t="5080" r="12065" b="7620"/>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bw0+dUAAAAJ&#10;AQAADwAAAAAAAAABACAAAAAiAAAAZHJzL2Rvd25yZXYueG1sUEsBAhQAFAAAAAgAh07iQHWmW7Lm&#10;AQAAuwMAAA4AAAAAAAAAAQAgAAAAJAEAAGRycy9lMm9Eb2MueG1sUEsFBgAAAAAGAAYAWQEAAHwF&#10;AAAAAA==&#10;">
                      <v:fill on="f" focussize="0,0"/>
                      <v:stroke color="#000000" joinstyle="round"/>
                      <v:imagedata o:title=""/>
                      <o:lock v:ext="edit" aspectratio="f"/>
                    </v:line>
                  </w:pict>
                </mc:Fallback>
              </mc:AlternateContent>
            </w:r>
            <w:r>
              <w:rPr>
                <w:rFonts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12700" t="12700" r="5715" b="9525"/>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esssL1AAAAAkB&#10;AAAPAAAAAAAAAAEAIAAAACIAAABkcnMvZG93bnJldi54bWxQSwECFAAUAAAACACHTuJA8flnDOYB&#10;AAC7AwAADgAAAAAAAAABACAAAAAjAQAAZHJzL2Uyb0RvYy54bWxQSwUGAAAAAAYABgBZAQAAewUA&#10;AAAA&#10;">
                      <v:fill on="f" focussize="0,0"/>
                      <v:stroke color="#000000" joinstyle="round"/>
                      <v:imagedata o:title=""/>
                      <o:lock v:ext="edit" aspectratio="f"/>
                    </v:line>
                  </w:pict>
                </mc:Fallback>
              </mc:AlternateContent>
            </w:r>
            <w:r>
              <w:rPr>
                <w:rFonts w:hint="eastAsia" w:hAnsi="宋体"/>
                <w:color w:val="auto"/>
                <w:highlight w:val="none"/>
              </w:rPr>
              <w:t>采购类型</w:t>
            </w:r>
          </w:p>
          <w:p>
            <w:pPr>
              <w:spacing w:line="330" w:lineRule="exact"/>
              <w:rPr>
                <w:rFonts w:hint="eastAsia" w:hAnsi="宋体"/>
                <w:color w:val="auto"/>
                <w:highlight w:val="none"/>
              </w:rPr>
            </w:pPr>
          </w:p>
          <w:p>
            <w:pPr>
              <w:spacing w:line="330" w:lineRule="exact"/>
              <w:ind w:firstLine="1575" w:firstLineChars="750"/>
              <w:jc w:val="left"/>
              <w:rPr>
                <w:rFonts w:hint="eastAsia" w:hAnsi="宋体"/>
                <w:color w:val="auto"/>
                <w:highlight w:val="none"/>
              </w:rPr>
            </w:pPr>
            <w:r>
              <w:rPr>
                <w:rFonts w:hint="eastAsia" w:hAnsi="宋体"/>
                <w:color w:val="auto"/>
                <w:highlight w:val="none"/>
              </w:rPr>
              <w:t>费率</w:t>
            </w:r>
          </w:p>
          <w:p>
            <w:pPr>
              <w:spacing w:line="330" w:lineRule="exact"/>
              <w:ind w:leftChars="-1" w:hanging="2" w:hangingChars="1"/>
              <w:jc w:val="left"/>
              <w:rPr>
                <w:rFonts w:hint="eastAsia" w:hAnsi="宋体"/>
                <w:color w:val="auto"/>
                <w:highlight w:val="none"/>
              </w:rPr>
            </w:pPr>
          </w:p>
          <w:p>
            <w:pPr>
              <w:spacing w:line="330" w:lineRule="exact"/>
              <w:ind w:leftChars="-1" w:hanging="2" w:hangingChars="1"/>
              <w:jc w:val="left"/>
              <w:rPr>
                <w:rFonts w:hint="eastAsia" w:hAnsi="宋体"/>
                <w:color w:val="auto"/>
                <w:highlight w:val="none"/>
              </w:rPr>
            </w:pPr>
          </w:p>
          <w:p>
            <w:pPr>
              <w:spacing w:line="330" w:lineRule="exact"/>
              <w:jc w:val="left"/>
              <w:rPr>
                <w:rFonts w:hint="eastAsia" w:hAnsi="宋体"/>
                <w:color w:val="auto"/>
                <w:highlight w:val="none"/>
              </w:rPr>
            </w:pPr>
            <w:r>
              <w:rPr>
                <w:rFonts w:hint="eastAsia" w:hAnsi="宋体"/>
                <w:color w:val="auto"/>
                <w:highlight w:val="none"/>
              </w:rPr>
              <w:t>成交金额（万元）</w:t>
            </w:r>
          </w:p>
        </w:tc>
        <w:tc>
          <w:tcPr>
            <w:tcW w:w="5708" w:type="dxa"/>
            <w:gridSpan w:val="3"/>
            <w:vAlign w:val="center"/>
          </w:tcPr>
          <w:p>
            <w:pPr>
              <w:spacing w:line="330" w:lineRule="exact"/>
              <w:jc w:val="center"/>
              <w:rPr>
                <w:rFonts w:hint="eastAsia" w:hAnsi="宋体"/>
                <w:color w:val="auto"/>
                <w:highlight w:val="none"/>
              </w:rPr>
            </w:pPr>
            <w:r>
              <w:rPr>
                <w:rFonts w:hint="eastAsia" w:hAnsi="宋体"/>
                <w:color w:val="auto"/>
                <w:highlight w:val="none"/>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int="eastAsia" w:hAnsi="宋体"/>
                <w:color w:val="auto"/>
                <w:highlight w:val="none"/>
              </w:rPr>
            </w:pP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货物类</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服务类</w:t>
            </w:r>
          </w:p>
        </w:tc>
        <w:tc>
          <w:tcPr>
            <w:tcW w:w="1976" w:type="dxa"/>
            <w:vAlign w:val="center"/>
          </w:tcPr>
          <w:p>
            <w:pPr>
              <w:widowControl/>
              <w:spacing w:line="330" w:lineRule="exact"/>
              <w:jc w:val="center"/>
              <w:rPr>
                <w:rFonts w:hint="eastAsia" w:hAnsi="宋体"/>
                <w:color w:val="auto"/>
                <w:highlight w:val="none"/>
              </w:rPr>
            </w:pPr>
            <w:r>
              <w:rPr>
                <w:rFonts w:hint="eastAsia" w:hAnsi="宋体"/>
                <w:color w:val="auto"/>
                <w:highlight w:val="none"/>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100以下</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1.2%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100-500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0.88%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500-1000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0.64%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0.36%</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1000-5000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5000-10000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0.2%</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10000-100000</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int="eastAsia" w:hAnsi="宋体"/>
                <w:color w:val="auto"/>
                <w:highlight w:val="none"/>
              </w:rPr>
            </w:pPr>
            <w:r>
              <w:rPr>
                <w:rFonts w:hint="eastAsia" w:hAnsi="宋体"/>
                <w:color w:val="auto"/>
                <w:highlight w:val="none"/>
              </w:rPr>
              <w:t>100000以上</w:t>
            </w:r>
          </w:p>
        </w:tc>
        <w:tc>
          <w:tcPr>
            <w:tcW w:w="1932"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800"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c>
          <w:tcPr>
            <w:tcW w:w="1976" w:type="dxa"/>
            <w:vAlign w:val="center"/>
          </w:tcPr>
          <w:p>
            <w:pPr>
              <w:spacing w:line="330" w:lineRule="exact"/>
              <w:jc w:val="center"/>
              <w:rPr>
                <w:rFonts w:hint="eastAsia" w:hAnsi="宋体"/>
                <w:color w:val="auto"/>
                <w:highlight w:val="none"/>
              </w:rPr>
            </w:pPr>
            <w:r>
              <w:rPr>
                <w:rFonts w:hint="eastAsia" w:hAnsi="宋体"/>
                <w:color w:val="auto"/>
                <w:highlight w:val="none"/>
              </w:rPr>
              <w:t>0.008%</w:t>
            </w:r>
          </w:p>
        </w:tc>
      </w:tr>
    </w:tbl>
    <w:p>
      <w:pPr>
        <w:pStyle w:val="21"/>
        <w:spacing w:line="430" w:lineRule="exact"/>
        <w:ind w:firstLine="420" w:firstLineChars="200"/>
        <w:rPr>
          <w:rFonts w:hint="eastAsia" w:hAnsi="宋体"/>
          <w:color w:val="auto"/>
          <w:highlight w:val="none"/>
        </w:rPr>
      </w:pPr>
      <w:r>
        <w:rPr>
          <w:rFonts w:hint="eastAsia" w:hAnsi="宋体"/>
          <w:color w:val="auto"/>
          <w:highlight w:val="none"/>
        </w:rPr>
        <w:t>注：代理服务收费按差额定率累进法计算，本项目收费标准按以上标准的60%执行。</w:t>
      </w:r>
    </w:p>
    <w:p>
      <w:pPr>
        <w:pStyle w:val="21"/>
        <w:spacing w:line="430" w:lineRule="exact"/>
        <w:ind w:firstLine="420" w:firstLineChars="200"/>
        <w:rPr>
          <w:rFonts w:hint="eastAsia" w:hAnsi="宋体"/>
          <w:bCs/>
          <w:color w:val="auto"/>
          <w:highlight w:val="none"/>
        </w:rPr>
      </w:pPr>
      <w:r>
        <w:rPr>
          <w:rFonts w:hint="eastAsia" w:hAnsi="宋体"/>
          <w:bCs/>
          <w:color w:val="auto"/>
          <w:highlight w:val="none"/>
        </w:rPr>
        <w:t>3.缴纳代理服务费银行账户：</w:t>
      </w:r>
    </w:p>
    <w:p>
      <w:pPr>
        <w:pStyle w:val="21"/>
        <w:spacing w:line="430" w:lineRule="exact"/>
        <w:ind w:firstLine="420" w:firstLineChars="200"/>
        <w:rPr>
          <w:rFonts w:hint="eastAsia" w:hAnsi="宋体"/>
          <w:bCs/>
          <w:color w:val="auto"/>
          <w:highlight w:val="none"/>
        </w:rPr>
      </w:pPr>
      <w:r>
        <w:rPr>
          <w:rFonts w:hint="eastAsia" w:hAnsi="宋体"/>
          <w:bCs/>
          <w:color w:val="auto"/>
          <w:highlight w:val="none"/>
        </w:rPr>
        <w:t>开户名称:钦州市政府采购中心</w:t>
      </w:r>
    </w:p>
    <w:p>
      <w:pPr>
        <w:pStyle w:val="21"/>
        <w:spacing w:line="430" w:lineRule="exact"/>
        <w:ind w:firstLine="420" w:firstLineChars="200"/>
        <w:rPr>
          <w:rFonts w:hint="eastAsia" w:hAnsi="宋体"/>
          <w:bCs/>
          <w:color w:val="auto"/>
          <w:highlight w:val="none"/>
        </w:rPr>
      </w:pPr>
      <w:r>
        <w:rPr>
          <w:rFonts w:hint="eastAsia" w:hAnsi="宋体"/>
          <w:bCs/>
          <w:color w:val="auto"/>
          <w:highlight w:val="none"/>
        </w:rPr>
        <w:t>开户银行:兴业银行钦州支行</w:t>
      </w:r>
    </w:p>
    <w:p>
      <w:pPr>
        <w:pStyle w:val="21"/>
        <w:spacing w:line="430" w:lineRule="exact"/>
        <w:ind w:firstLine="420" w:firstLineChars="200"/>
        <w:rPr>
          <w:rFonts w:hint="eastAsia" w:hAnsi="宋体"/>
          <w:bCs/>
          <w:color w:val="auto"/>
          <w:highlight w:val="none"/>
        </w:rPr>
      </w:pPr>
      <w:r>
        <w:rPr>
          <w:rFonts w:hint="eastAsia" w:hAnsi="宋体"/>
          <w:bCs/>
          <w:color w:val="auto"/>
          <w:highlight w:val="none"/>
        </w:rPr>
        <w:t>银行账号:554010100100129709</w:t>
      </w:r>
    </w:p>
    <w:p>
      <w:pPr>
        <w:pStyle w:val="21"/>
        <w:spacing w:line="430" w:lineRule="exact"/>
        <w:ind w:firstLine="210" w:firstLineChars="100"/>
        <w:rPr>
          <w:rFonts w:hint="eastAsia" w:hAnsi="宋体"/>
          <w:color w:val="auto"/>
          <w:spacing w:val="-4"/>
          <w:highlight w:val="none"/>
        </w:rPr>
      </w:pPr>
      <w:r>
        <w:rPr>
          <w:rFonts w:hint="eastAsia" w:hAnsi="宋体"/>
          <w:bCs/>
          <w:color w:val="auto"/>
          <w:highlight w:val="none"/>
        </w:rPr>
        <w:t>（二）解释权：</w:t>
      </w:r>
      <w:r>
        <w:rPr>
          <w:rFonts w:hint="eastAsia" w:hAnsi="宋体"/>
          <w:color w:val="auto"/>
          <w:spacing w:val="-4"/>
          <w:highlight w:val="none"/>
        </w:rPr>
        <w:t>本采购文件解释权属本中心。</w:t>
      </w:r>
    </w:p>
    <w:p>
      <w:pPr>
        <w:pStyle w:val="21"/>
        <w:spacing w:line="430" w:lineRule="exact"/>
        <w:ind w:firstLine="210" w:firstLineChars="100"/>
        <w:rPr>
          <w:rFonts w:hint="eastAsia" w:hAnsi="宋体"/>
          <w:color w:val="auto"/>
          <w:spacing w:val="-4"/>
          <w:highlight w:val="none"/>
        </w:rPr>
      </w:pPr>
      <w:r>
        <w:rPr>
          <w:rFonts w:hint="eastAsia" w:hAnsi="宋体"/>
          <w:bCs/>
          <w:color w:val="auto"/>
          <w:highlight w:val="none"/>
        </w:rPr>
        <w:t>（三）有关事宜</w:t>
      </w:r>
    </w:p>
    <w:p>
      <w:pPr>
        <w:spacing w:line="430" w:lineRule="exact"/>
        <w:ind w:firstLine="420" w:firstLineChars="200"/>
        <w:rPr>
          <w:color w:val="auto"/>
          <w:highlight w:val="none"/>
        </w:rPr>
      </w:pPr>
      <w:r>
        <w:rPr>
          <w:rFonts w:hint="eastAsia"/>
          <w:color w:val="auto"/>
          <w:highlight w:val="none"/>
        </w:rPr>
        <w:t>所有与采购文件有关的函件请按下列通讯地址联系：</w:t>
      </w:r>
    </w:p>
    <w:p>
      <w:pPr>
        <w:widowControl/>
        <w:spacing w:line="430" w:lineRule="exact"/>
        <w:ind w:firstLine="420" w:firstLineChars="200"/>
        <w:jc w:val="left"/>
        <w:rPr>
          <w:color w:val="auto"/>
          <w:highlight w:val="none"/>
        </w:rPr>
      </w:pPr>
      <w:r>
        <w:rPr>
          <w:rFonts w:hint="eastAsia"/>
          <w:color w:val="auto"/>
          <w:highlight w:val="none"/>
        </w:rPr>
        <w:t>钦州市政府采购中心</w:t>
      </w:r>
    </w:p>
    <w:p>
      <w:pPr>
        <w:widowControl/>
        <w:spacing w:line="430" w:lineRule="exact"/>
        <w:ind w:firstLine="420" w:firstLineChars="200"/>
        <w:jc w:val="left"/>
        <w:rPr>
          <w:color w:val="auto"/>
          <w:highlight w:val="none"/>
        </w:rPr>
      </w:pPr>
      <w:r>
        <w:rPr>
          <w:rFonts w:hint="eastAsia"/>
          <w:color w:val="auto"/>
          <w:highlight w:val="none"/>
        </w:rPr>
        <w:t>通讯地址：钦州市金海湾东大街8号</w:t>
      </w:r>
    </w:p>
    <w:p>
      <w:pPr>
        <w:widowControl/>
        <w:spacing w:line="430" w:lineRule="exact"/>
        <w:ind w:firstLine="420" w:firstLineChars="200"/>
        <w:jc w:val="left"/>
        <w:rPr>
          <w:color w:val="auto"/>
          <w:highlight w:val="none"/>
        </w:rPr>
      </w:pPr>
      <w:r>
        <w:rPr>
          <w:rFonts w:hint="eastAsia"/>
          <w:color w:val="auto"/>
          <w:highlight w:val="none"/>
        </w:rPr>
        <w:t>邮政编码：535000</w:t>
      </w:r>
    </w:p>
    <w:p>
      <w:pPr>
        <w:widowControl/>
        <w:spacing w:line="430" w:lineRule="exact"/>
        <w:ind w:firstLine="420" w:firstLineChars="200"/>
        <w:jc w:val="left"/>
        <w:rPr>
          <w:color w:val="auto"/>
          <w:highlight w:val="none"/>
        </w:rPr>
      </w:pPr>
      <w:bookmarkStart w:id="128" w:name="_Hlk108515537"/>
      <w:r>
        <w:rPr>
          <w:rFonts w:hint="eastAsia" w:hAnsi="宋体"/>
          <w:color w:val="auto"/>
          <w:highlight w:val="none"/>
        </w:rPr>
        <w:t>钦州市政府采购中心联系方式</w:t>
      </w:r>
      <w:r>
        <w:rPr>
          <w:rFonts w:hint="eastAsia"/>
          <w:color w:val="auto"/>
          <w:highlight w:val="none"/>
        </w:rPr>
        <w:t>：</w:t>
      </w:r>
    </w:p>
    <w:p>
      <w:pPr>
        <w:widowControl/>
        <w:spacing w:line="430" w:lineRule="exact"/>
        <w:ind w:firstLine="420" w:firstLineChars="200"/>
        <w:jc w:val="left"/>
        <w:rPr>
          <w:color w:val="auto"/>
          <w:highlight w:val="none"/>
        </w:rPr>
      </w:pPr>
      <w:r>
        <w:rPr>
          <w:rFonts w:hint="eastAsia"/>
          <w:color w:val="auto"/>
          <w:highlight w:val="none"/>
        </w:rPr>
        <w:t>(1)采购部(采购文件)</w:t>
      </w:r>
    </w:p>
    <w:p>
      <w:pPr>
        <w:widowControl/>
        <w:spacing w:line="430" w:lineRule="exact"/>
        <w:ind w:firstLine="420" w:firstLineChars="200"/>
        <w:jc w:val="left"/>
        <w:rPr>
          <w:color w:val="auto"/>
          <w:highlight w:val="none"/>
        </w:rPr>
      </w:pPr>
      <w:r>
        <w:rPr>
          <w:rFonts w:hint="eastAsia"/>
          <w:color w:val="auto"/>
          <w:highlight w:val="none"/>
        </w:rPr>
        <w:t>联系人：</w:t>
      </w:r>
      <w:r>
        <w:rPr>
          <w:rFonts w:hint="eastAsia"/>
          <w:color w:val="auto"/>
          <w:highlight w:val="none"/>
          <w:lang w:val="en-US" w:eastAsia="zh-CN"/>
        </w:rPr>
        <w:t>黄忠秀</w:t>
      </w:r>
      <w:r>
        <w:rPr>
          <w:rFonts w:hint="eastAsia"/>
          <w:color w:val="auto"/>
          <w:highlight w:val="none"/>
        </w:rPr>
        <w:t xml:space="preserve"> </w:t>
      </w:r>
      <w:r>
        <w:rPr>
          <w:color w:val="auto"/>
          <w:highlight w:val="none"/>
        </w:rPr>
        <w:t xml:space="preserve"> </w:t>
      </w:r>
      <w:r>
        <w:rPr>
          <w:rFonts w:hint="eastAsia"/>
          <w:color w:val="auto"/>
          <w:highlight w:val="none"/>
        </w:rPr>
        <w:t xml:space="preserve"> 联系方式：0777-2886022</w:t>
      </w:r>
    </w:p>
    <w:p>
      <w:pPr>
        <w:widowControl/>
        <w:spacing w:line="430" w:lineRule="exact"/>
        <w:ind w:firstLine="420" w:firstLineChars="200"/>
        <w:jc w:val="left"/>
        <w:rPr>
          <w:color w:val="auto"/>
          <w:highlight w:val="none"/>
        </w:rPr>
      </w:pPr>
      <w:r>
        <w:rPr>
          <w:rFonts w:hint="eastAsia"/>
          <w:color w:val="auto"/>
          <w:highlight w:val="none"/>
        </w:rPr>
        <w:t>(2)综合二部(评审、磋商、成交及合同管理)</w:t>
      </w:r>
    </w:p>
    <w:p>
      <w:pPr>
        <w:widowControl/>
        <w:spacing w:line="430" w:lineRule="exact"/>
        <w:ind w:firstLine="420" w:firstLineChars="200"/>
        <w:jc w:val="left"/>
        <w:rPr>
          <w:color w:val="auto"/>
          <w:highlight w:val="none"/>
        </w:rPr>
      </w:pPr>
      <w:r>
        <w:rPr>
          <w:rFonts w:hint="eastAsia"/>
          <w:color w:val="auto"/>
          <w:highlight w:val="none"/>
        </w:rPr>
        <w:t>联系人：陈侃</w:t>
      </w:r>
      <w:r>
        <w:rPr>
          <w:rFonts w:hint="eastAsia"/>
          <w:color w:val="auto"/>
          <w:highlight w:val="none"/>
          <w:lang w:eastAsia="zh-CN"/>
        </w:rPr>
        <w:t>、</w:t>
      </w:r>
      <w:r>
        <w:rPr>
          <w:rFonts w:hint="eastAsia"/>
          <w:color w:val="auto"/>
          <w:highlight w:val="none"/>
        </w:rPr>
        <w:t xml:space="preserve">陈启梅 </w:t>
      </w:r>
      <w:r>
        <w:rPr>
          <w:color w:val="auto"/>
          <w:highlight w:val="none"/>
        </w:rPr>
        <w:t xml:space="preserve">  </w:t>
      </w:r>
      <w:r>
        <w:rPr>
          <w:rFonts w:hint="eastAsia"/>
          <w:color w:val="auto"/>
          <w:highlight w:val="none"/>
        </w:rPr>
        <w:t>联系方式：0777-2886006</w:t>
      </w:r>
    </w:p>
    <w:p>
      <w:pPr>
        <w:widowControl/>
        <w:spacing w:line="430" w:lineRule="exact"/>
        <w:ind w:firstLine="420" w:firstLineChars="200"/>
        <w:jc w:val="left"/>
        <w:rPr>
          <w:color w:val="auto"/>
          <w:highlight w:val="none"/>
        </w:rPr>
      </w:pPr>
      <w:r>
        <w:rPr>
          <w:rFonts w:hint="eastAsia"/>
          <w:color w:val="auto"/>
          <w:highlight w:val="none"/>
        </w:rPr>
        <w:t>(</w:t>
      </w:r>
      <w:r>
        <w:rPr>
          <w:color w:val="auto"/>
          <w:highlight w:val="none"/>
        </w:rPr>
        <w:t>3)</w:t>
      </w:r>
      <w:r>
        <w:rPr>
          <w:rFonts w:hint="eastAsia"/>
          <w:color w:val="auto"/>
          <w:highlight w:val="none"/>
        </w:rPr>
        <w:t>政采云技术支持热线：</w:t>
      </w:r>
      <w:r>
        <w:rPr>
          <w:rFonts w:hAnsi="宋体"/>
          <w:color w:val="auto"/>
          <w:highlight w:val="none"/>
        </w:rPr>
        <w:t>95763</w:t>
      </w:r>
    </w:p>
    <w:bookmarkEnd w:id="128"/>
    <w:p>
      <w:pPr>
        <w:widowControl/>
        <w:jc w:val="left"/>
        <w:rPr>
          <w:color w:val="auto"/>
          <w:highlight w:val="none"/>
        </w:rPr>
      </w:pPr>
      <w:r>
        <w:rPr>
          <w:color w:val="auto"/>
          <w:highlight w:val="none"/>
        </w:rPr>
        <w:br w:type="page"/>
      </w:r>
    </w:p>
    <w:p>
      <w:pPr>
        <w:widowControl/>
        <w:jc w:val="left"/>
        <w:rPr>
          <w:color w:val="auto"/>
          <w:highlight w:val="none"/>
        </w:rPr>
      </w:pPr>
    </w:p>
    <w:p>
      <w:pPr>
        <w:spacing w:line="320" w:lineRule="exact"/>
        <w:rPr>
          <w:color w:val="auto"/>
          <w:highlight w:val="none"/>
        </w:rPr>
      </w:pPr>
    </w:p>
    <w:p>
      <w:pPr>
        <w:widowControl/>
        <w:spacing w:line="320" w:lineRule="exact"/>
        <w:jc w:val="lef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spacing w:line="320" w:lineRule="exact"/>
        <w:rPr>
          <w:color w:val="auto"/>
          <w:highlight w:val="none"/>
        </w:rPr>
      </w:pPr>
    </w:p>
    <w:p>
      <w:pPr>
        <w:pStyle w:val="3"/>
        <w:spacing w:line="400" w:lineRule="exact"/>
        <w:rPr>
          <w:rFonts w:hint="eastAsia" w:ascii="方正小标宋_GBK" w:hAnsi="宋体" w:eastAsia="方正小标宋_GBK"/>
          <w:color w:val="auto"/>
          <w:highlight w:val="none"/>
        </w:rPr>
      </w:pPr>
      <w:bookmarkStart w:id="129" w:name="_第四章__评定标准及推荐原则"/>
      <w:bookmarkEnd w:id="129"/>
      <w:bookmarkStart w:id="130" w:name="_Toc92355026"/>
      <w:r>
        <w:rPr>
          <w:rFonts w:hint="eastAsia" w:ascii="方正小标宋_GBK" w:hAnsi="宋体" w:eastAsia="方正小标宋_GBK"/>
          <w:color w:val="auto"/>
          <w:highlight w:val="none"/>
        </w:rPr>
        <w:t>第四章  评定标准及推荐原则</w:t>
      </w:r>
      <w:bookmarkEnd w:id="130"/>
    </w:p>
    <w:p>
      <w:pPr>
        <w:pStyle w:val="21"/>
        <w:spacing w:line="280" w:lineRule="exact"/>
        <w:jc w:val="center"/>
        <w:rPr>
          <w:rFonts w:hint="eastAsia" w:hAnsi="宋体"/>
          <w:b/>
          <w:bCs/>
          <w:color w:val="auto"/>
          <w:sz w:val="30"/>
          <w:szCs w:val="30"/>
          <w:highlight w:val="none"/>
        </w:rPr>
      </w:pPr>
      <w:r>
        <w:rPr>
          <w:rFonts w:hAnsi="宋体"/>
          <w:b/>
          <w:bCs/>
          <w:color w:val="auto"/>
          <w:highlight w:val="none"/>
        </w:rPr>
        <w:br w:type="page"/>
      </w:r>
    </w:p>
    <w:p>
      <w:pPr>
        <w:rPr>
          <w:color w:val="auto"/>
          <w:highlight w:val="none"/>
        </w:rPr>
      </w:pPr>
    </w:p>
    <w:p>
      <w:pPr>
        <w:pStyle w:val="21"/>
        <w:spacing w:line="500" w:lineRule="exact"/>
        <w:jc w:val="center"/>
        <w:rPr>
          <w:rFonts w:hint="eastAsia" w:hAnsi="宋体"/>
          <w:b/>
          <w:bCs/>
          <w:color w:val="auto"/>
          <w:sz w:val="44"/>
          <w:szCs w:val="44"/>
          <w:highlight w:val="none"/>
        </w:rPr>
      </w:pPr>
      <w:bookmarkStart w:id="131" w:name="_Hlk92463826"/>
      <w:r>
        <w:rPr>
          <w:rFonts w:hint="eastAsia" w:hAnsi="宋体"/>
          <w:b/>
          <w:bCs/>
          <w:color w:val="auto"/>
          <w:sz w:val="44"/>
          <w:szCs w:val="44"/>
          <w:highlight w:val="none"/>
        </w:rPr>
        <w:t>评定标准及推荐原则</w:t>
      </w:r>
    </w:p>
    <w:bookmarkEnd w:id="131"/>
    <w:p>
      <w:pPr>
        <w:rPr>
          <w:color w:val="auto"/>
          <w:highlight w:val="none"/>
        </w:rPr>
      </w:pPr>
    </w:p>
    <w:p>
      <w:pPr>
        <w:pStyle w:val="21"/>
        <w:spacing w:line="460" w:lineRule="exact"/>
        <w:rPr>
          <w:rFonts w:hint="eastAsia" w:hAnsi="宋体"/>
          <w:b/>
          <w:bCs/>
          <w:color w:val="auto"/>
          <w:highlight w:val="none"/>
        </w:rPr>
      </w:pPr>
      <w:r>
        <w:rPr>
          <w:rFonts w:hint="eastAsia" w:hAnsi="宋体"/>
          <w:b/>
          <w:bCs/>
          <w:color w:val="auto"/>
          <w:highlight w:val="none"/>
        </w:rPr>
        <w:t>一、评审原则</w:t>
      </w:r>
    </w:p>
    <w:p>
      <w:pPr>
        <w:pStyle w:val="21"/>
        <w:spacing w:line="460" w:lineRule="exact"/>
        <w:ind w:firstLine="210" w:firstLineChars="100"/>
        <w:rPr>
          <w:rFonts w:hint="eastAsia" w:hAnsi="宋体"/>
          <w:bCs/>
          <w:color w:val="auto"/>
          <w:highlight w:val="none"/>
        </w:rPr>
      </w:pPr>
      <w:r>
        <w:rPr>
          <w:rFonts w:hint="eastAsia" w:hAnsi="宋体"/>
          <w:bCs/>
          <w:color w:val="auto"/>
          <w:highlight w:val="none"/>
        </w:rPr>
        <w:t>(一)</w:t>
      </w:r>
      <w:r>
        <w:rPr>
          <w:rFonts w:hint="eastAsia" w:hAnsi="宋体"/>
          <w:color w:val="auto"/>
          <w:highlight w:val="none"/>
        </w:rPr>
        <w:t>评审依据：以竞争性磋商采购文件和响应文件为评定依据。</w:t>
      </w:r>
    </w:p>
    <w:p>
      <w:pPr>
        <w:pStyle w:val="21"/>
        <w:spacing w:line="460" w:lineRule="exact"/>
        <w:ind w:firstLine="210" w:firstLineChars="100"/>
        <w:rPr>
          <w:rFonts w:hint="eastAsia" w:hAnsi="宋体"/>
          <w:bCs/>
          <w:color w:val="auto"/>
          <w:highlight w:val="none"/>
        </w:rPr>
      </w:pPr>
      <w:r>
        <w:rPr>
          <w:rFonts w:hint="eastAsia" w:hAnsi="宋体"/>
          <w:bCs/>
          <w:color w:val="auto"/>
          <w:highlight w:val="none"/>
        </w:rPr>
        <w:t>(二)磋商小组：</w:t>
      </w:r>
      <w:bookmarkStart w:id="132" w:name="_Hlk89353643"/>
      <w:r>
        <w:rPr>
          <w:rFonts w:hint="eastAsia" w:hAnsi="宋体"/>
          <w:bCs/>
          <w:color w:val="auto"/>
          <w:highlight w:val="none"/>
        </w:rPr>
        <w:t>由采购人代表和评审专家共3人以上单数组成，其中评审专家人数不得少于磋商小组成员总数的2/3。</w:t>
      </w:r>
      <w:bookmarkEnd w:id="132"/>
    </w:p>
    <w:p>
      <w:pPr>
        <w:pStyle w:val="21"/>
        <w:spacing w:line="460" w:lineRule="exact"/>
        <w:ind w:firstLine="210" w:firstLineChars="100"/>
        <w:jc w:val="left"/>
        <w:rPr>
          <w:rFonts w:hint="eastAsia" w:hAnsi="宋体"/>
          <w:color w:val="auto"/>
          <w:highlight w:val="none"/>
        </w:rPr>
      </w:pPr>
      <w:r>
        <w:rPr>
          <w:rFonts w:hint="eastAsia" w:hAnsi="宋体"/>
          <w:bCs/>
          <w:color w:val="auto"/>
          <w:highlight w:val="none"/>
        </w:rPr>
        <w:t>(三</w:t>
      </w:r>
      <w:r>
        <w:rPr>
          <w:rFonts w:hAnsi="宋体"/>
          <w:bCs/>
          <w:color w:val="auto"/>
          <w:highlight w:val="none"/>
        </w:rPr>
        <w:t>)</w:t>
      </w:r>
      <w:r>
        <w:rPr>
          <w:rFonts w:hint="eastAsia" w:hAnsi="宋体"/>
          <w:color w:val="auto"/>
          <w:highlight w:val="none"/>
        </w:rPr>
        <w:t>评分方式：磋商小组各成员独立对每个有效响应文件进行评价、打分，汇总每个供应商每项评分因素的得分。</w:t>
      </w:r>
    </w:p>
    <w:p>
      <w:pPr>
        <w:pStyle w:val="21"/>
        <w:spacing w:line="460" w:lineRule="exact"/>
        <w:rPr>
          <w:rFonts w:hint="eastAsia" w:hAnsi="宋体"/>
          <w:b/>
          <w:bCs/>
          <w:color w:val="auto"/>
          <w:highlight w:val="none"/>
        </w:rPr>
      </w:pPr>
      <w:r>
        <w:rPr>
          <w:rFonts w:hint="eastAsia" w:hAnsi="宋体"/>
          <w:b/>
          <w:bCs/>
          <w:color w:val="auto"/>
          <w:highlight w:val="none"/>
        </w:rPr>
        <w:t>二、评分细则</w:t>
      </w:r>
    </w:p>
    <w:p>
      <w:pPr>
        <w:spacing w:line="460" w:lineRule="exact"/>
        <w:ind w:firstLine="211" w:firstLineChars="100"/>
        <w:rPr>
          <w:b/>
          <w:bCs/>
          <w:color w:val="auto"/>
          <w:highlight w:val="none"/>
        </w:rPr>
      </w:pPr>
      <w:r>
        <w:rPr>
          <w:rFonts w:hint="eastAsia"/>
          <w:b/>
          <w:bCs/>
          <w:color w:val="auto"/>
          <w:highlight w:val="none"/>
        </w:rPr>
        <w:t>（一）磋商报价得分（</w:t>
      </w:r>
      <w:r>
        <w:rPr>
          <w:rFonts w:hint="eastAsia"/>
          <w:b/>
          <w:bCs/>
          <w:color w:val="auto"/>
          <w:highlight w:val="none"/>
          <w:lang w:val="en-US" w:eastAsia="zh-CN"/>
        </w:rPr>
        <w:t>10</w:t>
      </w:r>
      <w:r>
        <w:rPr>
          <w:rFonts w:hint="eastAsia"/>
          <w:b/>
          <w:bCs/>
          <w:color w:val="auto"/>
          <w:highlight w:val="none"/>
        </w:rPr>
        <w:t>分）</w:t>
      </w:r>
    </w:p>
    <w:p>
      <w:pPr>
        <w:spacing w:line="460" w:lineRule="exact"/>
        <w:ind w:firstLine="420"/>
        <w:jc w:val="left"/>
        <w:rPr>
          <w:rFonts w:hint="eastAsia" w:ascii="宋体" w:hAnsi="宋体" w:cs="Courier New"/>
          <w:color w:val="auto"/>
          <w:szCs w:val="21"/>
          <w:highlight w:val="none"/>
        </w:rPr>
      </w:pPr>
      <w:r>
        <w:rPr>
          <w:rFonts w:ascii="宋体" w:hAnsi="宋体" w:cs="Courier New"/>
          <w:color w:val="auto"/>
          <w:szCs w:val="21"/>
          <w:highlight w:val="none"/>
        </w:rPr>
        <w:t>满足磋商文件要求且最后报价最低的供应商的价格为磋商基准价，其价格分为满分。其他供应商的价格分统一按照下列公式计算：</w:t>
      </w:r>
    </w:p>
    <w:p>
      <w:pPr>
        <w:spacing w:line="460" w:lineRule="exact"/>
        <w:ind w:firstLine="420"/>
        <w:jc w:val="left"/>
        <w:rPr>
          <w:rFonts w:hint="eastAsia"/>
          <w:color w:val="auto"/>
          <w:highlight w:val="none"/>
        </w:rPr>
      </w:pPr>
      <w:r>
        <w:rPr>
          <w:rFonts w:ascii="宋体" w:hAnsi="宋体" w:cs="Courier New"/>
          <w:color w:val="auto"/>
          <w:szCs w:val="21"/>
          <w:highlight w:val="none"/>
        </w:rPr>
        <w:t>磋商报价得分=（磋商基准价/最后</w:t>
      </w:r>
      <w:r>
        <w:rPr>
          <w:rFonts w:hint="eastAsia" w:ascii="宋体" w:hAnsi="宋体" w:cs="Courier New"/>
          <w:color w:val="auto"/>
          <w:szCs w:val="21"/>
          <w:highlight w:val="none"/>
        </w:rPr>
        <w:t>磋商</w:t>
      </w:r>
      <w:r>
        <w:rPr>
          <w:rFonts w:ascii="宋体" w:hAnsi="宋体" w:cs="Courier New"/>
          <w:color w:val="auto"/>
          <w:szCs w:val="21"/>
          <w:highlight w:val="none"/>
        </w:rPr>
        <w:t>报价）×</w:t>
      </w:r>
      <w:r>
        <w:rPr>
          <w:rFonts w:hint="eastAsia" w:ascii="宋体" w:hAnsi="宋体" w:cs="Courier New"/>
          <w:color w:val="auto"/>
          <w:szCs w:val="21"/>
          <w:highlight w:val="none"/>
          <w:lang w:val="en-US" w:eastAsia="zh-CN"/>
        </w:rPr>
        <w:t>10</w:t>
      </w:r>
      <w:r>
        <w:rPr>
          <w:rFonts w:hint="eastAsia" w:ascii="宋体" w:hAnsi="宋体" w:cs="Courier New"/>
          <w:color w:val="auto"/>
          <w:szCs w:val="21"/>
          <w:highlight w:val="none"/>
        </w:rPr>
        <w:t>分</w:t>
      </w:r>
    </w:p>
    <w:p>
      <w:pPr>
        <w:widowControl/>
        <w:spacing w:line="440" w:lineRule="exact"/>
        <w:ind w:firstLine="282" w:firstLineChars="134"/>
        <w:rPr>
          <w:rFonts w:ascii="宋体" w:hAnsi="宋体" w:cs="宋体"/>
          <w:b/>
          <w:bCs/>
          <w:color w:val="auto"/>
          <w:spacing w:val="-12"/>
          <w:kern w:val="0"/>
          <w:szCs w:val="21"/>
          <w:highlight w:val="none"/>
        </w:rPr>
      </w:pPr>
      <w:r>
        <w:rPr>
          <w:rFonts w:hint="eastAsia" w:ascii="宋体" w:hAnsi="宋体" w:cs="宋体"/>
          <w:b/>
          <w:bCs/>
          <w:color w:val="auto"/>
          <w:kern w:val="0"/>
          <w:szCs w:val="21"/>
          <w:highlight w:val="none"/>
        </w:rPr>
        <w:t>（二）技术</w:t>
      </w:r>
      <w:r>
        <w:rPr>
          <w:rFonts w:hint="eastAsia" w:ascii="宋体" w:hAnsi="宋体" w:cs="宋体"/>
          <w:b/>
          <w:bCs/>
          <w:color w:val="auto"/>
          <w:kern w:val="0"/>
          <w:szCs w:val="21"/>
          <w:highlight w:val="none"/>
          <w:lang w:val="en-US" w:eastAsia="zh-CN"/>
        </w:rPr>
        <w:t>分</w:t>
      </w:r>
      <w:r>
        <w:rPr>
          <w:rFonts w:hint="eastAsia" w:ascii="宋体" w:hAnsi="宋体" w:cs="宋体"/>
          <w:b/>
          <w:bCs/>
          <w:color w:val="auto"/>
          <w:spacing w:val="-12"/>
          <w:kern w:val="0"/>
          <w:szCs w:val="21"/>
          <w:highlight w:val="none"/>
        </w:rPr>
        <w:t>（</w:t>
      </w:r>
      <w:r>
        <w:rPr>
          <w:rFonts w:hint="eastAsia" w:ascii="宋体" w:hAnsi="宋体" w:cs="宋体"/>
          <w:b/>
          <w:bCs/>
          <w:color w:val="auto"/>
          <w:spacing w:val="-12"/>
          <w:kern w:val="0"/>
          <w:szCs w:val="21"/>
          <w:highlight w:val="none"/>
          <w:lang w:val="en-US" w:eastAsia="zh-CN"/>
        </w:rPr>
        <w:t>82</w:t>
      </w:r>
      <w:r>
        <w:rPr>
          <w:rFonts w:hint="eastAsia" w:ascii="宋体" w:hAnsi="宋体" w:cs="宋体"/>
          <w:b/>
          <w:bCs/>
          <w:color w:val="auto"/>
          <w:spacing w:val="-12"/>
          <w:kern w:val="0"/>
          <w:szCs w:val="21"/>
          <w:highlight w:val="none"/>
        </w:rPr>
        <w:t>分）</w:t>
      </w:r>
    </w:p>
    <w:p>
      <w:pPr>
        <w:widowControl/>
        <w:spacing w:line="500" w:lineRule="exact"/>
        <w:ind w:firstLine="422" w:firstLineChars="200"/>
        <w:jc w:val="left"/>
        <w:outlineLvl w:val="9"/>
        <w:rPr>
          <w:rFonts w:hint="eastAsia" w:ascii="宋体" w:hAnsi="宋体" w:eastAsia="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1.</w:t>
      </w:r>
      <w:r>
        <w:rPr>
          <w:rFonts w:hint="eastAsia" w:ascii="宋体" w:hAnsi="宋体" w:eastAsia="宋体" w:cs="宋体"/>
          <w:b/>
          <w:bCs/>
          <w:color w:val="auto"/>
          <w:kern w:val="0"/>
          <w:szCs w:val="21"/>
          <w:highlight w:val="none"/>
          <w:lang w:val="en-US" w:eastAsia="zh-CN" w:bidi="ar"/>
        </w:rPr>
        <w:t>项目理解、分析分(</w:t>
      </w:r>
      <w:r>
        <w:rPr>
          <w:rFonts w:hint="eastAsia" w:ascii="宋体" w:hAnsi="宋体" w:cs="宋体"/>
          <w:b/>
          <w:bCs/>
          <w:color w:val="auto"/>
          <w:kern w:val="0"/>
          <w:szCs w:val="21"/>
          <w:highlight w:val="none"/>
          <w:lang w:val="en-US" w:eastAsia="zh-CN" w:bidi="ar"/>
        </w:rPr>
        <w:t>21</w:t>
      </w:r>
      <w:r>
        <w:rPr>
          <w:rFonts w:hint="eastAsia" w:ascii="宋体" w:hAnsi="宋体" w:eastAsia="宋体" w:cs="宋体"/>
          <w:b/>
          <w:bCs/>
          <w:color w:val="auto"/>
          <w:kern w:val="0"/>
          <w:szCs w:val="21"/>
          <w:highlight w:val="none"/>
          <w:lang w:val="en-US" w:eastAsia="zh-CN" w:bidi="ar"/>
        </w:rPr>
        <w:t>分)</w:t>
      </w:r>
    </w:p>
    <w:p>
      <w:pPr>
        <w:spacing w:line="460" w:lineRule="exact"/>
        <w:ind w:firstLine="420"/>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由评审小组根据响应文件对本项目的理解程度，特别是对项目的工作难点、关键点难点分析进行比较，由评审小组成员单独打分。</w:t>
      </w:r>
    </w:p>
    <w:p>
      <w:pPr>
        <w:spacing w:line="460" w:lineRule="exact"/>
        <w:ind w:firstLine="420"/>
        <w:jc w:val="left"/>
        <w:rPr>
          <w:rFonts w:hint="eastAsia" w:ascii="宋体" w:hAnsi="宋体" w:eastAsia="宋体" w:cs="Courier New"/>
          <w:strike/>
          <w:dstrike w:val="0"/>
          <w:color w:val="auto"/>
          <w:szCs w:val="21"/>
          <w:highlight w:val="none"/>
          <w:lang w:val="en-US" w:eastAsia="zh-CN"/>
        </w:rPr>
      </w:pPr>
      <w:r>
        <w:rPr>
          <w:rFonts w:hint="eastAsia" w:ascii="宋体" w:hAnsi="宋体" w:cs="Courier New"/>
          <w:color w:val="auto"/>
          <w:szCs w:val="21"/>
          <w:highlight w:val="none"/>
          <w:lang w:val="en-US" w:eastAsia="zh-CN"/>
        </w:rPr>
        <w:t>一档（10分）：对项目的基本目标、范围和预期成果有有所了解，提及项目涉及的主要领域或技术，能够</w:t>
      </w:r>
      <w:r>
        <w:rPr>
          <w:rFonts w:hint="eastAsia"/>
          <w:color w:val="auto"/>
          <w:highlight w:val="none"/>
        </w:rPr>
        <w:t>识别出了项目实施过程中可能遇到的一些主要难点，如技术难题、时间管理等</w:t>
      </w:r>
      <w:r>
        <w:rPr>
          <w:rFonts w:hint="eastAsia"/>
          <w:color w:val="auto"/>
          <w:highlight w:val="none"/>
          <w:lang w:eastAsia="zh-CN"/>
        </w:rPr>
        <w:t>。</w:t>
      </w:r>
    </w:p>
    <w:p>
      <w:pPr>
        <w:spacing w:line="460" w:lineRule="exact"/>
        <w:ind w:firstLine="420"/>
        <w:jc w:val="left"/>
        <w:rPr>
          <w:rFonts w:hint="eastAsia" w:ascii="宋体" w:hAnsi="宋体" w:eastAsia="宋体" w:cs="Courier New"/>
          <w:color w:val="auto"/>
          <w:szCs w:val="21"/>
          <w:highlight w:val="none"/>
          <w:lang w:val="en-US" w:eastAsia="zh-CN"/>
        </w:rPr>
      </w:pPr>
      <w:r>
        <w:rPr>
          <w:rFonts w:hint="eastAsia" w:ascii="宋体" w:hAnsi="宋体" w:cs="Courier New"/>
          <w:color w:val="auto"/>
          <w:szCs w:val="21"/>
          <w:highlight w:val="none"/>
          <w:lang w:val="en-US" w:eastAsia="zh-CN"/>
        </w:rPr>
        <w:t>二档（15分）：在满足一档的基础上</w:t>
      </w:r>
      <w:r>
        <w:rPr>
          <w:rFonts w:hint="eastAsia" w:ascii="宋体" w:hAnsi="宋体" w:eastAsia="宋体" w:cs="Courier New"/>
          <w:color w:val="auto"/>
          <w:szCs w:val="21"/>
          <w:highlight w:val="none"/>
          <w:lang w:val="en-US" w:eastAsia="zh-CN"/>
        </w:rPr>
        <w:t>，能够</w:t>
      </w:r>
      <w:r>
        <w:rPr>
          <w:rFonts w:hint="eastAsia" w:ascii="宋体" w:hAnsi="宋体" w:cs="Courier New"/>
          <w:color w:val="auto"/>
          <w:szCs w:val="21"/>
          <w:highlight w:val="none"/>
          <w:lang w:val="en-US" w:eastAsia="zh-CN"/>
        </w:rPr>
        <w:t>阐述</w:t>
      </w:r>
      <w:r>
        <w:rPr>
          <w:rFonts w:hint="eastAsia" w:ascii="宋体" w:hAnsi="宋体" w:eastAsia="宋体" w:cs="Courier New"/>
          <w:color w:val="auto"/>
          <w:szCs w:val="21"/>
          <w:highlight w:val="none"/>
          <w:lang w:val="en-US" w:eastAsia="zh-CN"/>
        </w:rPr>
        <w:t>项目的价值、意义。</w:t>
      </w:r>
      <w:r>
        <w:rPr>
          <w:rFonts w:hint="eastAsia" w:ascii="宋体" w:hAnsi="宋体" w:cs="Courier New"/>
          <w:strike w:val="0"/>
          <w:dstrike w:val="0"/>
          <w:color w:val="auto"/>
          <w:szCs w:val="21"/>
          <w:highlight w:val="none"/>
          <w:lang w:val="en-US" w:eastAsia="zh-CN"/>
        </w:rPr>
        <w:t>提出</w:t>
      </w:r>
      <w:r>
        <w:rPr>
          <w:rFonts w:hint="eastAsia" w:ascii="宋体" w:hAnsi="宋体" w:eastAsia="宋体" w:cs="Courier New"/>
          <w:color w:val="auto"/>
          <w:szCs w:val="21"/>
          <w:highlight w:val="none"/>
          <w:lang w:val="en-US" w:eastAsia="zh-CN"/>
        </w:rPr>
        <w:t>项目实施过程中的关键难点，如资源限制、跨部门协作，并对每个难点进行分析，提出应对措施和解决方案，体现对项目风险的充分认知和准备。</w:t>
      </w:r>
    </w:p>
    <w:p>
      <w:pPr>
        <w:spacing w:line="460" w:lineRule="exact"/>
        <w:ind w:firstLine="420"/>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三档（21分）：在满足二档的基础上，能够</w:t>
      </w:r>
      <w:bookmarkStart w:id="133" w:name="OLE_LINK2"/>
      <w:r>
        <w:rPr>
          <w:rFonts w:hint="eastAsia" w:ascii="宋体" w:hAnsi="宋体" w:cs="Courier New"/>
          <w:color w:val="auto"/>
          <w:szCs w:val="21"/>
          <w:highlight w:val="none"/>
          <w:lang w:val="en-US" w:eastAsia="zh-CN"/>
        </w:rPr>
        <w:t>阐述</w:t>
      </w:r>
      <w:bookmarkEnd w:id="133"/>
      <w:r>
        <w:rPr>
          <w:rFonts w:hint="eastAsia" w:ascii="宋体" w:hAnsi="宋体" w:cs="Courier New"/>
          <w:color w:val="auto"/>
          <w:szCs w:val="21"/>
          <w:highlight w:val="none"/>
          <w:lang w:val="en-US" w:eastAsia="zh-CN"/>
        </w:rPr>
        <w:t>项目的</w:t>
      </w:r>
      <w:r>
        <w:rPr>
          <w:rFonts w:hint="eastAsia" w:ascii="宋体" w:hAnsi="宋体" w:eastAsia="宋体" w:cs="Courier New"/>
          <w:color w:val="auto"/>
          <w:szCs w:val="21"/>
          <w:highlight w:val="none"/>
          <w:lang w:val="en-US" w:eastAsia="zh-CN"/>
        </w:rPr>
        <w:t>创新点</w:t>
      </w:r>
      <w:r>
        <w:rPr>
          <w:rFonts w:hint="eastAsia" w:ascii="宋体" w:hAnsi="宋体" w:cs="Courier New"/>
          <w:color w:val="auto"/>
          <w:szCs w:val="21"/>
          <w:highlight w:val="none"/>
          <w:lang w:val="en-US" w:eastAsia="zh-CN"/>
        </w:rPr>
        <w:t>。对项目涉及的主要领域或技术有了解，能够分析其相互关系或影响。对项目实施过程中的资源调配、项目进度、项目交付等难点进行分析，不仅识别了难点的具体表现和可能根源，还提出了创新性的解决方案和应对措施，确保项目能够顺利实施。语言表达准确，能够传达观点和思想。</w:t>
      </w:r>
    </w:p>
    <w:p>
      <w:pPr>
        <w:widowControl/>
        <w:spacing w:line="500" w:lineRule="exact"/>
        <w:ind w:firstLine="422" w:firstLineChars="200"/>
        <w:jc w:val="left"/>
        <w:outlineLvl w:val="9"/>
        <w:rPr>
          <w:rFonts w:hint="eastAsia" w:ascii="宋体" w:hAnsi="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2.</w:t>
      </w:r>
      <w:r>
        <w:rPr>
          <w:rFonts w:hint="eastAsia" w:ascii="宋体" w:hAnsi="宋体" w:eastAsia="宋体" w:cs="宋体"/>
          <w:b/>
          <w:bCs/>
          <w:color w:val="auto"/>
          <w:kern w:val="0"/>
          <w:szCs w:val="21"/>
          <w:highlight w:val="none"/>
          <w:lang w:val="en-US" w:eastAsia="zh-CN" w:bidi="ar"/>
        </w:rPr>
        <w:t>项目实施方案分</w:t>
      </w:r>
      <w:r>
        <w:rPr>
          <w:rFonts w:hint="eastAsia" w:ascii="宋体" w:hAnsi="宋体" w:cs="宋体"/>
          <w:b/>
          <w:bCs/>
          <w:color w:val="auto"/>
          <w:kern w:val="0"/>
          <w:szCs w:val="21"/>
          <w:highlight w:val="none"/>
          <w:lang w:val="en-US" w:eastAsia="zh-CN" w:bidi="ar"/>
        </w:rPr>
        <w:t>（21分）</w:t>
      </w:r>
    </w:p>
    <w:p>
      <w:pPr>
        <w:spacing w:line="460" w:lineRule="exact"/>
        <w:ind w:firstLine="420"/>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一档（10分）：</w:t>
      </w:r>
      <w:r>
        <w:rPr>
          <w:rFonts w:hint="eastAsia" w:ascii="宋体" w:hAnsi="宋体" w:eastAsia="宋体" w:cs="Courier New"/>
          <w:color w:val="auto"/>
          <w:szCs w:val="21"/>
          <w:highlight w:val="none"/>
          <w:lang w:val="en-US" w:eastAsia="zh-CN"/>
        </w:rPr>
        <w:t>提供项目总体目标、范围及关键里程碑，但缺乏深度分析或创新点阐述。有实施部署、项目管理机构、服务保障、服务进度计划及控制措施等方案。</w:t>
      </w:r>
    </w:p>
    <w:p>
      <w:pPr>
        <w:spacing w:line="460" w:lineRule="exact"/>
        <w:ind w:firstLine="420"/>
        <w:jc w:val="left"/>
        <w:rPr>
          <w:rFonts w:hint="eastAsia" w:ascii="宋体" w:hAnsi="宋体" w:cs="Courier New"/>
          <w:color w:val="auto"/>
          <w:szCs w:val="21"/>
          <w:highlight w:val="none"/>
          <w:lang w:val="en-US" w:eastAsia="zh-CN"/>
        </w:rPr>
      </w:pPr>
      <w:r>
        <w:rPr>
          <w:rFonts w:hint="eastAsia" w:ascii="宋体" w:hAnsi="宋体" w:eastAsia="宋体" w:cs="Courier New"/>
          <w:color w:val="auto"/>
          <w:szCs w:val="21"/>
          <w:highlight w:val="none"/>
          <w:lang w:val="en-US" w:eastAsia="zh-CN"/>
        </w:rPr>
        <w:t>二档（</w:t>
      </w:r>
      <w:r>
        <w:rPr>
          <w:rFonts w:hint="eastAsia" w:ascii="宋体" w:hAnsi="宋体" w:cs="Courier New"/>
          <w:color w:val="auto"/>
          <w:szCs w:val="21"/>
          <w:highlight w:val="none"/>
          <w:lang w:val="en-US" w:eastAsia="zh-CN"/>
        </w:rPr>
        <w:t>15</w:t>
      </w:r>
      <w:r>
        <w:rPr>
          <w:rFonts w:hint="eastAsia" w:ascii="宋体" w:hAnsi="宋体" w:eastAsia="宋体" w:cs="Courier New"/>
          <w:color w:val="auto"/>
          <w:szCs w:val="21"/>
          <w:highlight w:val="none"/>
          <w:lang w:val="en-US" w:eastAsia="zh-CN"/>
        </w:rPr>
        <w:t>分）：在</w:t>
      </w:r>
      <w:r>
        <w:rPr>
          <w:rFonts w:hint="eastAsia" w:ascii="宋体" w:hAnsi="宋体" w:cs="Courier New"/>
          <w:color w:val="auto"/>
          <w:szCs w:val="21"/>
          <w:highlight w:val="none"/>
          <w:lang w:val="en-US" w:eastAsia="zh-CN"/>
        </w:rPr>
        <w:t>满足</w:t>
      </w:r>
      <w:r>
        <w:rPr>
          <w:rFonts w:hint="eastAsia" w:ascii="宋体" w:hAnsi="宋体" w:eastAsia="宋体" w:cs="Courier New"/>
          <w:color w:val="auto"/>
          <w:szCs w:val="21"/>
          <w:highlight w:val="none"/>
          <w:lang w:val="en-US" w:eastAsia="zh-CN"/>
        </w:rPr>
        <w:t>一档的基础上，</w:t>
      </w:r>
      <w:r>
        <w:rPr>
          <w:rFonts w:hint="default" w:ascii="宋体" w:hAnsi="宋体" w:eastAsia="宋体" w:cs="Courier New"/>
          <w:color w:val="auto"/>
          <w:szCs w:val="21"/>
          <w:highlight w:val="none"/>
          <w:lang w:val="en-US" w:eastAsia="zh-CN"/>
        </w:rPr>
        <w:t>深入分析了项目的背景、目标、范围及关键成功因素，提出了具实施路径</w:t>
      </w:r>
      <w:r>
        <w:rPr>
          <w:rFonts w:hint="eastAsia" w:ascii="宋体" w:hAnsi="宋体" w:eastAsia="宋体" w:cs="Courier New"/>
          <w:color w:val="auto"/>
          <w:szCs w:val="21"/>
          <w:highlight w:val="none"/>
          <w:lang w:val="en-US" w:eastAsia="zh-CN"/>
        </w:rPr>
        <w:t>并完善服务质量管理及保证措施、应急预案措施、安全管理与保证措施等方案。</w:t>
      </w:r>
    </w:p>
    <w:p>
      <w:pPr>
        <w:spacing w:line="460" w:lineRule="exact"/>
        <w:ind w:firstLine="420"/>
        <w:jc w:val="left"/>
        <w:rPr>
          <w:rFonts w:hint="default" w:ascii="宋体" w:hAnsi="宋体" w:eastAsia="宋体" w:cs="宋体"/>
          <w:bCs/>
          <w:color w:val="auto"/>
          <w:kern w:val="2"/>
          <w:sz w:val="21"/>
          <w:szCs w:val="21"/>
          <w:highlight w:val="none"/>
          <w:lang w:val="en-US" w:eastAsia="zh-CN"/>
        </w:rPr>
      </w:pPr>
      <w:r>
        <w:rPr>
          <w:rFonts w:hint="eastAsia" w:ascii="宋体" w:hAnsi="宋体" w:cs="Courier New"/>
          <w:color w:val="auto"/>
          <w:szCs w:val="21"/>
          <w:highlight w:val="none"/>
          <w:lang w:val="en-US" w:eastAsia="zh-CN"/>
        </w:rPr>
        <w:t>三档（21分）：在满足二档的基础上，结合行业趋势和技术发展，提出了创新性的实施策略和优化建议。对项目实施过程中可能遇到的风险进行了全面识别和分析，并针对风险制定应对措施和预案，确保项目风险可控，并技术交底及培训、项目试运行及验收等方案。</w:t>
      </w:r>
    </w:p>
    <w:p>
      <w:pPr>
        <w:spacing w:line="460" w:lineRule="exact"/>
        <w:ind w:firstLine="420"/>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注：本项满分21分，未提供项目实施方案或项目实施方案未达到一档要求的，得0分。</w:t>
      </w:r>
    </w:p>
    <w:p>
      <w:pPr>
        <w:widowControl/>
        <w:spacing w:line="500" w:lineRule="exact"/>
        <w:ind w:firstLine="422" w:firstLineChars="200"/>
        <w:jc w:val="left"/>
        <w:outlineLvl w:val="9"/>
        <w:rPr>
          <w:rFonts w:hint="eastAsia" w:ascii="宋体" w:hAnsi="宋体" w:eastAsia="宋体" w:cs="宋体"/>
          <w:b/>
          <w:bCs/>
          <w:color w:val="auto"/>
          <w:kern w:val="0"/>
          <w:szCs w:val="21"/>
          <w:highlight w:val="none"/>
          <w:lang w:val="en-US" w:eastAsia="zh-CN" w:bidi="ar"/>
        </w:rPr>
      </w:pPr>
      <w:r>
        <w:rPr>
          <w:rFonts w:hint="eastAsia" w:ascii="宋体" w:hAnsi="宋体" w:cs="宋体"/>
          <w:b/>
          <w:bCs/>
          <w:color w:val="auto"/>
          <w:kern w:val="0"/>
          <w:szCs w:val="21"/>
          <w:highlight w:val="none"/>
          <w:lang w:val="en-US" w:eastAsia="zh-CN" w:bidi="ar"/>
        </w:rPr>
        <w:t>3.</w:t>
      </w:r>
      <w:r>
        <w:rPr>
          <w:rFonts w:hint="eastAsia" w:ascii="宋体" w:hAnsi="宋体" w:eastAsia="宋体" w:cs="宋体"/>
          <w:b/>
          <w:bCs/>
          <w:color w:val="auto"/>
          <w:kern w:val="0"/>
          <w:szCs w:val="21"/>
          <w:highlight w:val="none"/>
          <w:lang w:val="en-US" w:eastAsia="zh-CN" w:bidi="ar"/>
        </w:rPr>
        <w:t>售后服务分(</w:t>
      </w:r>
      <w:r>
        <w:rPr>
          <w:rFonts w:hint="eastAsia" w:ascii="宋体" w:hAnsi="宋体" w:cs="宋体"/>
          <w:b/>
          <w:bCs/>
          <w:color w:val="auto"/>
          <w:kern w:val="0"/>
          <w:szCs w:val="21"/>
          <w:highlight w:val="none"/>
          <w:lang w:val="en-US" w:eastAsia="zh-CN" w:bidi="ar"/>
        </w:rPr>
        <w:t>21</w:t>
      </w:r>
      <w:r>
        <w:rPr>
          <w:rFonts w:hint="eastAsia" w:ascii="宋体" w:hAnsi="宋体" w:eastAsia="宋体" w:cs="宋体"/>
          <w:b/>
          <w:bCs/>
          <w:color w:val="auto"/>
          <w:kern w:val="0"/>
          <w:szCs w:val="21"/>
          <w:highlight w:val="none"/>
          <w:lang w:val="en-US" w:eastAsia="zh-CN" w:bidi="ar"/>
        </w:rPr>
        <w:t>分)</w:t>
      </w:r>
    </w:p>
    <w:p>
      <w:pPr>
        <w:spacing w:line="460" w:lineRule="exact"/>
        <w:ind w:firstLine="420"/>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由磋商小组在打分前就竞标供应商的运维及售后服务方案的合理性、可行性等方面进行综合评定，并由评委在相应的档次内独立打分。</w:t>
      </w:r>
    </w:p>
    <w:p>
      <w:pPr>
        <w:spacing w:line="460" w:lineRule="exact"/>
        <w:ind w:firstLine="420"/>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一档（10分）：提供了售后服务承诺，可安排维护服务人员在故障发生后4小时内赶到故障现场。</w:t>
      </w:r>
    </w:p>
    <w:p>
      <w:pPr>
        <w:spacing w:line="460" w:lineRule="exact"/>
        <w:ind w:firstLine="420"/>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二档（15分）：在满足一档的基础上，供应商提供的售后服务承诺包含有项目安全保密制度、培训方案等，且描述了项目保障措施的方法以及实现方式。</w:t>
      </w:r>
    </w:p>
    <w:p>
      <w:pPr>
        <w:spacing w:line="460" w:lineRule="exact"/>
        <w:ind w:firstLine="420"/>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三档（21分）：在满足二档的基础上，供应商提供的维护人员管理、维护物资管理等，且描述了应急保障方案的方法以及预控措施、响应时效及信息发布、保障措施、处置措施考虑周全。</w:t>
      </w:r>
    </w:p>
    <w:p>
      <w:pPr>
        <w:spacing w:line="460" w:lineRule="exact"/>
        <w:ind w:firstLine="420"/>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注：本项满分21分，未提供售后服务方案或售后服务方案未达到一档要求的，得0分。</w:t>
      </w:r>
    </w:p>
    <w:p>
      <w:pPr>
        <w:widowControl/>
        <w:spacing w:line="500" w:lineRule="exact"/>
        <w:ind w:firstLine="422" w:firstLineChars="200"/>
        <w:jc w:val="left"/>
        <w:outlineLvl w:val="9"/>
        <w:rPr>
          <w:rFonts w:hint="eastAsia" w:ascii="宋体" w:hAnsi="宋体" w:cs="宋体"/>
          <w:b/>
          <w:bCs/>
          <w:color w:val="auto"/>
          <w:kern w:val="0"/>
          <w:szCs w:val="21"/>
          <w:lang w:val="en-US" w:eastAsia="zh-CN" w:bidi="ar"/>
        </w:rPr>
      </w:pPr>
      <w:r>
        <w:rPr>
          <w:rFonts w:hint="eastAsia" w:ascii="宋体" w:hAnsi="宋体" w:cs="宋体"/>
          <w:b/>
          <w:bCs/>
          <w:color w:val="auto"/>
          <w:kern w:val="0"/>
          <w:szCs w:val="21"/>
          <w:lang w:val="en-US" w:eastAsia="zh-CN" w:bidi="ar"/>
        </w:rPr>
        <w:t>4.功能性能分（10分）</w:t>
      </w:r>
    </w:p>
    <w:p>
      <w:pPr>
        <w:spacing w:line="460" w:lineRule="exact"/>
        <w:ind w:firstLine="420"/>
        <w:jc w:val="left"/>
        <w:rPr>
          <w:rFonts w:hint="eastAsia" w:ascii="宋体" w:hAnsi="宋体" w:cs="Courier New"/>
          <w:color w:val="auto"/>
          <w:szCs w:val="21"/>
          <w:highlight w:val="none"/>
          <w:lang w:eastAsia="zh-CN" w:bidi="ar"/>
        </w:rPr>
      </w:pPr>
      <w:r>
        <w:rPr>
          <w:rFonts w:hint="eastAsia" w:ascii="宋体" w:hAnsi="宋体" w:cs="Courier New"/>
          <w:color w:val="auto"/>
          <w:szCs w:val="21"/>
          <w:highlight w:val="none"/>
          <w:lang w:eastAsia="zh-CN" w:bidi="ar"/>
        </w:rPr>
        <w:t>项目需求中的标▲项为项目功能重要技术要求，共五项（如下），提供相关功能截图或设计开发相关证明</w:t>
      </w:r>
      <w:r>
        <w:rPr>
          <w:rFonts w:hint="eastAsia" w:ascii="宋体" w:hAnsi="宋体" w:cs="Courier New"/>
          <w:color w:val="auto"/>
          <w:szCs w:val="21"/>
          <w:highlight w:val="none"/>
          <w:lang w:val="en-US" w:eastAsia="zh-CN" w:bidi="ar"/>
        </w:rPr>
        <w:t>等材料，</w:t>
      </w:r>
      <w:r>
        <w:rPr>
          <w:rFonts w:hint="eastAsia" w:ascii="宋体" w:hAnsi="宋体" w:cs="Courier New"/>
          <w:color w:val="auto"/>
          <w:szCs w:val="21"/>
          <w:highlight w:val="none"/>
          <w:lang w:eastAsia="zh-CN" w:bidi="ar"/>
        </w:rPr>
        <w:t>每项2分，不提供不得分。</w:t>
      </w:r>
    </w:p>
    <w:p>
      <w:pPr>
        <w:spacing w:line="460" w:lineRule="exact"/>
        <w:ind w:firstLine="420"/>
        <w:jc w:val="left"/>
        <w:rPr>
          <w:rFonts w:hint="eastAsia" w:ascii="宋体" w:hAnsi="宋体" w:cs="Courier New"/>
          <w:color w:val="auto"/>
          <w:szCs w:val="21"/>
          <w:highlight w:val="none"/>
          <w:lang w:eastAsia="zh-CN" w:bidi="ar"/>
        </w:rPr>
      </w:pPr>
      <w:r>
        <w:rPr>
          <w:rFonts w:hint="eastAsia" w:ascii="宋体" w:hAnsi="宋体" w:cs="Courier New"/>
          <w:color w:val="auto"/>
          <w:szCs w:val="21"/>
          <w:highlight w:val="none"/>
          <w:lang w:val="en-US" w:eastAsia="zh-CN" w:bidi="ar"/>
        </w:rPr>
        <w:t>4.</w:t>
      </w:r>
      <w:r>
        <w:rPr>
          <w:rFonts w:hint="eastAsia" w:ascii="宋体" w:hAnsi="宋体" w:cs="Courier New"/>
          <w:color w:val="auto"/>
          <w:szCs w:val="21"/>
          <w:highlight w:val="none"/>
          <w:lang w:eastAsia="zh-CN" w:bidi="ar"/>
        </w:rPr>
        <w:t>1视频播放服务:视频播放服务提供设备组织树进行播放资源筛选，可通过输入关键字查询相关的视频通道，根据视频通道可以直接在wed端进行播放，无需安装相关的播放插件。</w:t>
      </w:r>
    </w:p>
    <w:p>
      <w:pPr>
        <w:spacing w:line="460" w:lineRule="exact"/>
        <w:ind w:firstLine="420"/>
        <w:jc w:val="left"/>
        <w:rPr>
          <w:rFonts w:hint="eastAsia" w:ascii="宋体" w:hAnsi="宋体" w:cs="Courier New"/>
          <w:color w:val="auto"/>
          <w:szCs w:val="21"/>
          <w:highlight w:val="none"/>
          <w:lang w:eastAsia="zh-CN" w:bidi="ar"/>
        </w:rPr>
      </w:pPr>
      <w:r>
        <w:rPr>
          <w:rFonts w:hint="eastAsia" w:ascii="宋体" w:hAnsi="宋体" w:cs="Courier New"/>
          <w:color w:val="auto"/>
          <w:szCs w:val="21"/>
          <w:highlight w:val="none"/>
          <w:lang w:val="en-US" w:eastAsia="zh-CN" w:bidi="ar"/>
        </w:rPr>
        <w:t>4.</w:t>
      </w:r>
      <w:r>
        <w:rPr>
          <w:rFonts w:hint="eastAsia" w:ascii="宋体" w:hAnsi="宋体" w:cs="Courier New"/>
          <w:color w:val="auto"/>
          <w:szCs w:val="21"/>
          <w:highlight w:val="none"/>
          <w:lang w:eastAsia="zh-CN" w:bidi="ar"/>
        </w:rPr>
        <w:t>2视频电子地图服务：视频电子地图服务提供了全市监控摄像头点位信息，支持监控点位添加、编辑和删除操作，支持点位监控直接播放和监控预警事件地图展示功能。</w:t>
      </w:r>
    </w:p>
    <w:p>
      <w:pPr>
        <w:spacing w:line="460" w:lineRule="exact"/>
        <w:ind w:firstLine="420"/>
        <w:jc w:val="left"/>
        <w:rPr>
          <w:rFonts w:hint="eastAsia" w:ascii="宋体" w:hAnsi="宋体" w:cs="Courier New"/>
          <w:color w:val="auto"/>
          <w:szCs w:val="21"/>
          <w:highlight w:val="none"/>
          <w:lang w:eastAsia="zh-CN" w:bidi="ar"/>
        </w:rPr>
      </w:pPr>
      <w:r>
        <w:rPr>
          <w:rFonts w:hint="eastAsia" w:ascii="宋体" w:hAnsi="宋体" w:cs="Courier New"/>
          <w:color w:val="auto"/>
          <w:szCs w:val="21"/>
          <w:highlight w:val="none"/>
          <w:lang w:val="en-US" w:eastAsia="zh-CN" w:bidi="ar"/>
        </w:rPr>
        <w:t>4.</w:t>
      </w:r>
      <w:r>
        <w:rPr>
          <w:rFonts w:hint="eastAsia" w:ascii="宋体" w:hAnsi="宋体" w:cs="Courier New"/>
          <w:color w:val="auto"/>
          <w:szCs w:val="21"/>
          <w:highlight w:val="none"/>
          <w:lang w:eastAsia="zh-CN" w:bidi="ar"/>
        </w:rPr>
        <w:t>3视频墙应用:可以创建视频墙应用，根据现场设备解码能力，可支持4/6/8/9/16等多个视频窗口，支持视频实时预警服务和视频墙组合管理服务，支持浏览器无需插件直接播放。</w:t>
      </w:r>
    </w:p>
    <w:p>
      <w:pPr>
        <w:spacing w:line="460" w:lineRule="exact"/>
        <w:ind w:firstLine="420"/>
        <w:jc w:val="left"/>
        <w:rPr>
          <w:rFonts w:hint="eastAsia" w:ascii="宋体" w:hAnsi="宋体" w:cs="Courier New"/>
          <w:color w:val="auto"/>
          <w:szCs w:val="21"/>
          <w:highlight w:val="none"/>
          <w:lang w:eastAsia="zh-CN" w:bidi="ar"/>
        </w:rPr>
      </w:pPr>
      <w:r>
        <w:rPr>
          <w:rFonts w:hint="eastAsia" w:ascii="宋体" w:hAnsi="宋体" w:cs="Courier New"/>
          <w:color w:val="auto"/>
          <w:szCs w:val="21"/>
          <w:highlight w:val="none"/>
          <w:lang w:val="en-US" w:eastAsia="zh-CN" w:bidi="ar"/>
        </w:rPr>
        <w:t>4.</w:t>
      </w:r>
      <w:r>
        <w:rPr>
          <w:rFonts w:hint="eastAsia" w:ascii="宋体" w:hAnsi="宋体" w:cs="Courier New"/>
          <w:color w:val="auto"/>
          <w:szCs w:val="21"/>
          <w:highlight w:val="none"/>
          <w:lang w:eastAsia="zh-CN" w:bidi="ar"/>
        </w:rPr>
        <w:t>4AI告警中心:所有视频检测识别结果均汇聚到告警中心，告警结果以列表的形式展现，可根据算法类型、视频编号和时间信息等条件进行告警结果筛选。</w:t>
      </w:r>
    </w:p>
    <w:p>
      <w:pPr>
        <w:widowControl/>
        <w:spacing w:line="500" w:lineRule="exact"/>
        <w:ind w:firstLine="420" w:firstLineChars="200"/>
        <w:jc w:val="left"/>
        <w:outlineLvl w:val="9"/>
        <w:rPr>
          <w:rFonts w:hint="eastAsia" w:ascii="宋体" w:hAnsi="宋体" w:cs="Courier New"/>
          <w:color w:val="auto"/>
          <w:szCs w:val="21"/>
          <w:highlight w:val="none"/>
          <w:lang w:eastAsia="zh-CN" w:bidi="ar"/>
        </w:rPr>
      </w:pPr>
      <w:r>
        <w:rPr>
          <w:rFonts w:hint="eastAsia" w:ascii="宋体" w:hAnsi="宋体" w:cs="Courier New"/>
          <w:color w:val="auto"/>
          <w:szCs w:val="21"/>
          <w:highlight w:val="none"/>
          <w:lang w:val="en-US" w:eastAsia="zh-CN" w:bidi="ar"/>
        </w:rPr>
        <w:t>4.</w:t>
      </w:r>
      <w:r>
        <w:rPr>
          <w:rFonts w:hint="eastAsia" w:ascii="宋体" w:hAnsi="宋体" w:cs="Courier New"/>
          <w:color w:val="auto"/>
          <w:szCs w:val="21"/>
          <w:highlight w:val="none"/>
          <w:lang w:eastAsia="zh-CN" w:bidi="ar"/>
        </w:rPr>
        <w:t>5虚拟围栏管理:每个视频资源可以在视频中台绘制虚拟围栏，可分配围栏触发的告警事件，支持围栏内和围栏外两种事件绑定，支持所有算法绑定。</w:t>
      </w:r>
    </w:p>
    <w:p>
      <w:pPr>
        <w:spacing w:line="460" w:lineRule="exact"/>
        <w:ind w:firstLine="420"/>
        <w:jc w:val="left"/>
        <w:rPr>
          <w:rFonts w:hint="eastAsia" w:ascii="宋体" w:hAnsi="宋体" w:cs="Courier New"/>
          <w:b/>
          <w:bCs/>
          <w:color w:val="auto"/>
          <w:szCs w:val="21"/>
          <w:highlight w:val="none"/>
          <w:lang w:val="en-US" w:eastAsia="zh-CN"/>
        </w:rPr>
      </w:pPr>
      <w:r>
        <w:rPr>
          <w:rFonts w:hint="eastAsia" w:ascii="宋体" w:hAnsi="宋体" w:cs="Courier New"/>
          <w:b/>
          <w:bCs/>
          <w:color w:val="auto"/>
          <w:szCs w:val="21"/>
          <w:highlight w:val="none"/>
          <w:lang w:val="en-US" w:eastAsia="zh-CN"/>
        </w:rPr>
        <w:t>5.拟投入项目人员分(9分)</w:t>
      </w:r>
    </w:p>
    <w:p>
      <w:pPr>
        <w:spacing w:line="460" w:lineRule="exact"/>
        <w:ind w:firstLine="420"/>
        <w:jc w:val="left"/>
        <w:rPr>
          <w:rFonts w:hint="default"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5.1供应商为本项目投入实施人员在满足项目需求基础上，每增加1人得1分，满分5分。</w:t>
      </w:r>
    </w:p>
    <w:p>
      <w:pPr>
        <w:spacing w:line="460" w:lineRule="exact"/>
        <w:ind w:firstLine="420"/>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5.2供应商拟投入本项目实施人员包含中级及以上的职称或职业资格技术人员的，每人得2分；网络工程师中级及以上的，每人得2分，本项满分4分。（须提供有效的证书证明材料并加盖供应商公章）</w:t>
      </w:r>
    </w:p>
    <w:p>
      <w:pPr>
        <w:widowControl/>
        <w:spacing w:line="500" w:lineRule="exact"/>
        <w:ind w:firstLine="422" w:firstLineChars="200"/>
        <w:jc w:val="left"/>
        <w:outlineLvl w:val="9"/>
        <w:rPr>
          <w:rFonts w:hint="eastAsia"/>
          <w:lang w:val="en-US" w:eastAsia="zh-CN"/>
        </w:rPr>
      </w:pPr>
      <w:r>
        <w:rPr>
          <w:rFonts w:hint="eastAsia" w:ascii="宋体" w:hAnsi="宋体" w:cs="宋体"/>
          <w:b/>
          <w:bCs/>
          <w:color w:val="auto"/>
          <w:kern w:val="0"/>
          <w:szCs w:val="21"/>
          <w:highlight w:val="none"/>
          <w:lang w:val="en-US" w:eastAsia="zh-CN" w:bidi="ar"/>
        </w:rPr>
        <w:t>（三）商务</w:t>
      </w:r>
      <w:r>
        <w:rPr>
          <w:rFonts w:hint="eastAsia" w:ascii="宋体" w:hAnsi="宋体" w:eastAsia="宋体" w:cs="宋体"/>
          <w:b/>
          <w:bCs/>
          <w:color w:val="auto"/>
          <w:kern w:val="0"/>
          <w:szCs w:val="21"/>
          <w:highlight w:val="none"/>
          <w:lang w:val="en-US" w:eastAsia="zh-CN" w:bidi="ar"/>
        </w:rPr>
        <w:t>分(</w:t>
      </w:r>
      <w:r>
        <w:rPr>
          <w:rFonts w:hint="eastAsia" w:ascii="宋体" w:hAnsi="宋体" w:cs="宋体"/>
          <w:b/>
          <w:bCs/>
          <w:color w:val="auto"/>
          <w:kern w:val="0"/>
          <w:szCs w:val="21"/>
          <w:highlight w:val="none"/>
          <w:lang w:val="en-US" w:eastAsia="zh-CN" w:bidi="ar"/>
        </w:rPr>
        <w:t>8</w:t>
      </w:r>
      <w:r>
        <w:rPr>
          <w:rFonts w:hint="eastAsia" w:ascii="宋体" w:hAnsi="宋体" w:eastAsia="宋体" w:cs="宋体"/>
          <w:b/>
          <w:bCs/>
          <w:color w:val="auto"/>
          <w:kern w:val="0"/>
          <w:szCs w:val="21"/>
          <w:highlight w:val="none"/>
          <w:lang w:val="en-US" w:eastAsia="zh-CN" w:bidi="ar"/>
        </w:rPr>
        <w:t>分)</w:t>
      </w:r>
    </w:p>
    <w:p>
      <w:pPr>
        <w:spacing w:line="460" w:lineRule="exact"/>
        <w:ind w:firstLine="420"/>
        <w:jc w:val="left"/>
        <w:rPr>
          <w:rFonts w:hint="eastAsia" w:ascii="宋体" w:hAnsi="宋体" w:cs="Courier New"/>
          <w:color w:val="auto"/>
          <w:szCs w:val="21"/>
          <w:highlight w:val="none"/>
          <w:lang w:eastAsia="zh-CN"/>
        </w:rPr>
      </w:pPr>
      <w:r>
        <w:rPr>
          <w:rFonts w:hint="eastAsia" w:ascii="宋体" w:hAnsi="宋体" w:cs="Courier New"/>
          <w:color w:val="auto"/>
          <w:szCs w:val="21"/>
          <w:highlight w:val="none"/>
          <w:lang w:val="en-US" w:eastAsia="zh-CN"/>
        </w:rPr>
        <w:t>供应商</w:t>
      </w:r>
      <w:r>
        <w:rPr>
          <w:rFonts w:hint="eastAsia" w:ascii="宋体" w:hAnsi="宋体" w:cs="Courier New"/>
          <w:color w:val="auto"/>
          <w:szCs w:val="21"/>
          <w:highlight w:val="none"/>
          <w:lang w:eastAsia="zh-CN"/>
        </w:rPr>
        <w:t>自202</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lang w:eastAsia="zh-CN"/>
        </w:rPr>
        <w:t>年以来具有同类项目合同的（</w:t>
      </w:r>
      <w:r>
        <w:rPr>
          <w:rFonts w:hint="eastAsia" w:ascii="宋体" w:hAnsi="宋体" w:cs="Courier New"/>
          <w:color w:val="auto"/>
          <w:szCs w:val="21"/>
          <w:highlight w:val="none"/>
          <w:lang w:val="en-US" w:eastAsia="zh-CN"/>
        </w:rPr>
        <w:t>系统集成或系统建设或系统维护等</w:t>
      </w:r>
      <w:r>
        <w:rPr>
          <w:rFonts w:hint="eastAsia" w:ascii="宋体" w:hAnsi="宋体" w:cs="Courier New"/>
          <w:color w:val="auto"/>
          <w:szCs w:val="21"/>
          <w:highlight w:val="none"/>
          <w:lang w:eastAsia="zh-CN"/>
        </w:rPr>
        <w:t>），每项得</w:t>
      </w:r>
      <w:r>
        <w:rPr>
          <w:rFonts w:hint="eastAsia" w:ascii="宋体" w:hAnsi="宋体" w:cs="Courier New"/>
          <w:color w:val="auto"/>
          <w:szCs w:val="21"/>
          <w:highlight w:val="none"/>
          <w:lang w:val="en-US" w:eastAsia="zh-CN"/>
        </w:rPr>
        <w:t>2</w:t>
      </w:r>
      <w:r>
        <w:rPr>
          <w:rFonts w:hint="eastAsia" w:ascii="宋体" w:hAnsi="宋体" w:cs="Courier New"/>
          <w:color w:val="auto"/>
          <w:szCs w:val="21"/>
          <w:highlight w:val="none"/>
          <w:lang w:eastAsia="zh-CN"/>
        </w:rPr>
        <w:t>分，满分</w:t>
      </w:r>
      <w:r>
        <w:rPr>
          <w:rFonts w:hint="eastAsia" w:ascii="宋体" w:hAnsi="宋体" w:cs="Courier New"/>
          <w:color w:val="auto"/>
          <w:szCs w:val="21"/>
          <w:highlight w:val="none"/>
          <w:lang w:val="en-US" w:eastAsia="zh-CN"/>
        </w:rPr>
        <w:t>8</w:t>
      </w:r>
      <w:r>
        <w:rPr>
          <w:rFonts w:hint="eastAsia" w:ascii="宋体" w:hAnsi="宋体" w:cs="Courier New"/>
          <w:color w:val="auto"/>
          <w:szCs w:val="21"/>
          <w:highlight w:val="none"/>
          <w:lang w:eastAsia="zh-CN"/>
        </w:rPr>
        <w:t>分。(须提供包括合同名称、标的、金额、期限、签字盖章内容的合同关键页)</w:t>
      </w:r>
    </w:p>
    <w:p>
      <w:pPr>
        <w:spacing w:line="460" w:lineRule="exact"/>
        <w:ind w:firstLine="420"/>
        <w:jc w:val="left"/>
        <w:rPr>
          <w:rFonts w:hint="eastAsia" w:ascii="宋体" w:hAnsi="宋体" w:cs="Courier New"/>
          <w:color w:val="auto"/>
          <w:szCs w:val="21"/>
          <w:highlight w:val="none"/>
          <w:lang w:val="en-US" w:eastAsia="zh-CN"/>
        </w:rPr>
      </w:pPr>
      <w:r>
        <w:rPr>
          <w:rFonts w:hint="eastAsia" w:ascii="宋体" w:hAnsi="宋体" w:cs="Courier New"/>
          <w:color w:val="auto"/>
          <w:szCs w:val="21"/>
          <w:highlight w:val="none"/>
          <w:lang w:val="en-US" w:eastAsia="zh-CN"/>
        </w:rPr>
        <w:t>三、总得分=（一）磋商报价得分+（二）技术分+（三）商务分</w:t>
      </w:r>
    </w:p>
    <w:p>
      <w:pPr>
        <w:pStyle w:val="21"/>
        <w:spacing w:line="460" w:lineRule="exact"/>
        <w:ind w:firstLine="420" w:firstLineChars="200"/>
        <w:rPr>
          <w:rFonts w:hint="eastAsia" w:hAnsi="宋体"/>
          <w:color w:val="auto"/>
          <w:highlight w:val="none"/>
        </w:rPr>
      </w:pPr>
      <w:r>
        <w:rPr>
          <w:rFonts w:hint="eastAsia"/>
          <w:color w:val="auto"/>
          <w:highlight w:val="none"/>
        </w:rPr>
        <w:t>四</w:t>
      </w:r>
      <w:r>
        <w:rPr>
          <w:rFonts w:hint="eastAsia" w:hAnsi="宋体"/>
          <w:color w:val="auto"/>
          <w:highlight w:val="none"/>
        </w:rPr>
        <w:t>、成交供应商的推荐</w:t>
      </w:r>
    </w:p>
    <w:p>
      <w:pPr>
        <w:pStyle w:val="21"/>
        <w:spacing w:line="460" w:lineRule="exact"/>
        <w:ind w:firstLine="420"/>
        <w:rPr>
          <w:rFonts w:hint="eastAsia" w:ascii="仿宋_GB2312" w:hAnsi="宋体" w:eastAsia="仿宋_GB2312"/>
          <w:color w:val="auto"/>
          <w:sz w:val="28"/>
          <w:szCs w:val="28"/>
          <w:highlight w:val="none"/>
        </w:rPr>
      </w:pPr>
      <w:r>
        <w:rPr>
          <w:rFonts w:hint="eastAsia"/>
          <w:color w:val="auto"/>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市场竞争不充分的科研项目，以及需要扶持的科技成果转化项目或政府购买服务项目，可以推荐2家成交候选供应商。</w:t>
      </w:r>
    </w:p>
    <w:p>
      <w:pPr>
        <w:widowControl/>
        <w:jc w:val="left"/>
        <w:rPr>
          <w:rFonts w:cs="Courier New"/>
          <w:b/>
          <w:bCs/>
          <w:color w:val="auto"/>
          <w:sz w:val="32"/>
          <w:szCs w:val="32"/>
          <w:highlight w:val="none"/>
        </w:rPr>
      </w:pPr>
      <w:r>
        <w:rPr>
          <w:rFonts w:cs="Courier New"/>
          <w:color w:val="auto"/>
          <w:highlight w:val="none"/>
        </w:rPr>
        <w:br w:type="page"/>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ascii="方正小标宋_GBK" w:eastAsia="方正小标宋_GBK"/>
          <w:color w:val="auto"/>
          <w:highlight w:val="none"/>
        </w:rPr>
      </w:pPr>
      <w:bookmarkStart w:id="134" w:name="_Toc92355027"/>
      <w:r>
        <w:rPr>
          <w:rFonts w:hint="eastAsia" w:ascii="方正小标宋_GBK" w:eastAsia="方正小标宋_GBK"/>
          <w:color w:val="auto"/>
          <w:highlight w:val="none"/>
        </w:rPr>
        <w:t>第五章  合同文本</w:t>
      </w:r>
      <w:bookmarkEnd w:id="134"/>
    </w:p>
    <w:p>
      <w:pPr>
        <w:pStyle w:val="21"/>
        <w:jc w:val="center"/>
        <w:rPr>
          <w:rFonts w:hint="eastAsia" w:ascii="Times New Roman" w:hAnsi="宋体"/>
          <w:b/>
          <w:bCs/>
          <w:color w:val="auto"/>
          <w:sz w:val="28"/>
          <w:szCs w:val="28"/>
          <w:highlight w:val="none"/>
        </w:rPr>
      </w:pPr>
      <w:r>
        <w:rPr>
          <w:rFonts w:hint="eastAsia" w:ascii="Times New Roman" w:hAnsi="宋体"/>
          <w:b/>
          <w:bCs/>
          <w:color w:val="auto"/>
          <w:sz w:val="28"/>
          <w:szCs w:val="28"/>
          <w:highlight w:val="none"/>
        </w:rPr>
        <w:t>（参考格式）</w:t>
      </w:r>
    </w:p>
    <w:p>
      <w:pPr>
        <w:pStyle w:val="21"/>
        <w:spacing w:line="500" w:lineRule="exact"/>
        <w:jc w:val="center"/>
        <w:rPr>
          <w:rFonts w:hint="eastAsia" w:hAnsi="宋体"/>
          <w:b/>
          <w:bCs/>
          <w:color w:val="auto"/>
          <w:sz w:val="28"/>
          <w:highlight w:val="none"/>
        </w:rPr>
      </w:pPr>
      <w:r>
        <w:rPr>
          <w:rFonts w:hAnsi="宋体"/>
          <w:b/>
          <w:bCs/>
          <w:color w:val="auto"/>
          <w:sz w:val="28"/>
          <w:highlight w:val="none"/>
        </w:rPr>
        <w:br w:type="page"/>
      </w:r>
    </w:p>
    <w:p>
      <w:pPr>
        <w:pStyle w:val="21"/>
        <w:spacing w:line="500" w:lineRule="exact"/>
        <w:jc w:val="center"/>
        <w:rPr>
          <w:rFonts w:ascii="方正小标宋_GBK" w:hAnsi="宋体" w:eastAsia="方正小标宋_GBK"/>
          <w:color w:val="auto"/>
          <w:sz w:val="48"/>
          <w:szCs w:val="48"/>
        </w:rPr>
      </w:pPr>
      <w:r>
        <w:rPr>
          <w:rFonts w:hint="eastAsia" w:ascii="方正小标宋_GBK" w:hAnsi="宋体" w:eastAsia="方正小标宋_GBK"/>
          <w:color w:val="auto"/>
          <w:sz w:val="48"/>
          <w:szCs w:val="48"/>
        </w:rPr>
        <w:t>钦州市政府采购合同</w:t>
      </w:r>
    </w:p>
    <w:p>
      <w:pPr>
        <w:snapToGrid w:val="0"/>
        <w:rPr>
          <w:rFonts w:ascii="宋体" w:hAnsi="宋体"/>
          <w:color w:val="auto"/>
          <w:szCs w:val="21"/>
        </w:rPr>
      </w:pPr>
    </w:p>
    <w:p>
      <w:pPr>
        <w:snapToGrid w:val="0"/>
        <w:spacing w:before="120" w:line="360" w:lineRule="auto"/>
        <w:ind w:left="6930" w:leftChars="3200" w:right="480" w:hanging="210" w:hangingChars="100"/>
        <w:jc w:val="left"/>
        <w:rPr>
          <w:rFonts w:ascii="宋体" w:hAnsi="宋体" w:eastAsia="宋体" w:cs="Times New Roman"/>
          <w:bCs/>
          <w:color w:val="auto"/>
          <w:szCs w:val="21"/>
          <w:u w:val="single"/>
        </w:rPr>
      </w:pPr>
      <w:r>
        <w:rPr>
          <w:rFonts w:hint="eastAsia" w:ascii="宋体" w:hAnsi="宋体"/>
          <w:bCs/>
          <w:color w:val="auto"/>
          <w:szCs w:val="21"/>
        </w:rPr>
        <w:t xml:space="preserve"> </w:t>
      </w:r>
      <w:r>
        <w:rPr>
          <w:rFonts w:ascii="宋体" w:hAnsi="宋体"/>
          <w:bCs/>
          <w:color w:val="auto"/>
          <w:szCs w:val="21"/>
        </w:rPr>
        <w:t xml:space="preserve">                                                 </w:t>
      </w:r>
      <w:r>
        <w:rPr>
          <w:rFonts w:hint="eastAsia" w:ascii="宋体" w:hAnsi="宋体" w:eastAsia="宋体" w:cs="Times New Roman"/>
          <w:bCs/>
          <w:color w:val="auto"/>
          <w:szCs w:val="21"/>
        </w:rPr>
        <w:t>合同编号：</w:t>
      </w:r>
    </w:p>
    <w:p>
      <w:pPr>
        <w:wordWrap w:val="0"/>
        <w:spacing w:line="360" w:lineRule="auto"/>
        <w:rPr>
          <w:rFonts w:ascii="宋体" w:hAnsi="宋体" w:eastAsia="宋体" w:cs="Times New Roman"/>
          <w:color w:val="auto"/>
          <w:szCs w:val="20"/>
          <w:u w:val="single"/>
        </w:rPr>
      </w:pPr>
      <w:r>
        <w:rPr>
          <w:rFonts w:hint="eastAsia" w:ascii="宋体" w:hAnsi="宋体" w:eastAsia="宋体" w:cs="Times New Roman"/>
          <w:color w:val="auto"/>
          <w:szCs w:val="20"/>
        </w:rPr>
        <w:t>项目名称：</w:t>
      </w:r>
      <w:r>
        <w:rPr>
          <w:rFonts w:hint="eastAsia" w:ascii="宋体" w:hAnsi="宋体" w:eastAsia="宋体" w:cs="Times New Roman"/>
          <w:color w:val="auto"/>
          <w:szCs w:val="20"/>
          <w:u w:val="single"/>
        </w:rPr>
        <w:t xml:space="preserve">                                        </w:t>
      </w:r>
    </w:p>
    <w:p>
      <w:pPr>
        <w:wordWrap w:val="0"/>
        <w:spacing w:line="360" w:lineRule="auto"/>
        <w:rPr>
          <w:rFonts w:ascii="宋体" w:hAnsi="宋体" w:eastAsia="宋体" w:cs="Times New Roman"/>
          <w:color w:val="auto"/>
          <w:szCs w:val="20"/>
          <w:u w:val="single"/>
        </w:rPr>
      </w:pPr>
      <w:r>
        <w:rPr>
          <w:rFonts w:hint="eastAsia" w:ascii="宋体" w:hAnsi="宋体" w:eastAsia="宋体" w:cs="Times New Roman"/>
          <w:color w:val="auto"/>
          <w:szCs w:val="20"/>
        </w:rPr>
        <w:t>项目编号：</w:t>
      </w:r>
      <w:r>
        <w:rPr>
          <w:rFonts w:hint="eastAsia" w:ascii="宋体" w:hAnsi="宋体" w:eastAsia="宋体" w:cs="Times New Roman"/>
          <w:color w:val="auto"/>
          <w:szCs w:val="20"/>
          <w:u w:val="single"/>
        </w:rPr>
        <w:t xml:space="preserve">                                        </w:t>
      </w:r>
    </w:p>
    <w:p>
      <w:pPr>
        <w:wordWrap w:val="0"/>
        <w:spacing w:line="360" w:lineRule="auto"/>
        <w:rPr>
          <w:rFonts w:ascii="宋体" w:hAnsi="宋体" w:eastAsia="宋体" w:cs="Times New Roman"/>
          <w:color w:val="auto"/>
          <w:szCs w:val="20"/>
          <w:u w:val="single"/>
        </w:rPr>
      </w:pPr>
      <w:r>
        <w:rPr>
          <w:rFonts w:hint="eastAsia" w:ascii="宋体" w:hAnsi="宋体" w:eastAsia="宋体" w:cs="Times New Roman"/>
          <w:color w:val="auto"/>
          <w:szCs w:val="20"/>
        </w:rPr>
        <w:t>分标号（有分标时填写）：</w:t>
      </w:r>
      <w:r>
        <w:rPr>
          <w:rFonts w:hint="eastAsia" w:ascii="宋体" w:hAnsi="宋体" w:eastAsia="宋体" w:cs="Times New Roman"/>
          <w:color w:val="auto"/>
          <w:szCs w:val="20"/>
          <w:u w:val="single"/>
        </w:rPr>
        <w:t xml:space="preserve">                          </w:t>
      </w:r>
    </w:p>
    <w:p>
      <w:pPr>
        <w:wordWrap w:val="0"/>
        <w:spacing w:line="360" w:lineRule="auto"/>
        <w:rPr>
          <w:rFonts w:ascii="宋体" w:hAnsi="宋体" w:eastAsia="宋体" w:cs="Times New Roman"/>
          <w:color w:val="auto"/>
          <w:szCs w:val="20"/>
        </w:rPr>
      </w:pPr>
      <w:r>
        <w:rPr>
          <w:rFonts w:hint="eastAsia" w:ascii="宋体" w:hAnsi="宋体" w:eastAsia="宋体" w:cs="Times New Roman"/>
          <w:color w:val="auto"/>
          <w:szCs w:val="20"/>
        </w:rPr>
        <w:t>采购单位（甲方）：</w:t>
      </w:r>
      <w:r>
        <w:rPr>
          <w:rFonts w:hint="eastAsia" w:ascii="宋体" w:hAnsi="宋体" w:eastAsia="宋体" w:cs="Times New Roman"/>
          <w:color w:val="auto"/>
          <w:szCs w:val="20"/>
          <w:u w:val="single"/>
        </w:rPr>
        <w:t xml:space="preserve">                                </w:t>
      </w:r>
    </w:p>
    <w:p>
      <w:pPr>
        <w:wordWrap w:val="0"/>
        <w:spacing w:line="360" w:lineRule="auto"/>
        <w:rPr>
          <w:rFonts w:ascii="宋体" w:hAnsi="宋体" w:eastAsia="宋体" w:cs="Times New Roman"/>
          <w:b/>
          <w:color w:val="auto"/>
          <w:szCs w:val="20"/>
        </w:rPr>
      </w:pPr>
      <w:r>
        <w:rPr>
          <w:rFonts w:hint="eastAsia" w:ascii="宋体" w:hAnsi="宋体" w:eastAsia="宋体" w:cs="Times New Roman"/>
          <w:color w:val="auto"/>
          <w:szCs w:val="20"/>
        </w:rPr>
        <w:t>成交供应商（乙方）：</w:t>
      </w:r>
      <w:r>
        <w:rPr>
          <w:rFonts w:hint="eastAsia" w:ascii="宋体" w:hAnsi="宋体" w:eastAsia="宋体" w:cs="Times New Roman"/>
          <w:color w:val="auto"/>
          <w:szCs w:val="20"/>
          <w:u w:val="single"/>
        </w:rPr>
        <w:t xml:space="preserve">                              </w:t>
      </w:r>
    </w:p>
    <w:p>
      <w:pPr>
        <w:spacing w:line="360" w:lineRule="auto"/>
        <w:ind w:firstLine="420" w:firstLineChars="200"/>
        <w:rPr>
          <w:rFonts w:ascii="宋体" w:hAnsi="宋体" w:eastAsia="宋体" w:cs="Times New Roman"/>
          <w:b/>
          <w:color w:val="auto"/>
          <w:szCs w:val="20"/>
        </w:rPr>
      </w:pPr>
      <w:r>
        <w:rPr>
          <w:rFonts w:hint="eastAsia" w:ascii="宋体" w:hAnsi="宋体" w:eastAsia="宋体" w:cs="Times New Roman"/>
          <w:color w:val="auto"/>
          <w:szCs w:val="20"/>
        </w:rPr>
        <w:t xml:space="preserve">根据 </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项目的采购结果，甲方接受乙方对本项目的竞标，甲、乙双方同意签署本合同（以下简称合同）。</w:t>
      </w:r>
    </w:p>
    <w:p>
      <w:pPr>
        <w:spacing w:line="360" w:lineRule="auto"/>
        <w:rPr>
          <w:rFonts w:ascii="宋体" w:hAnsi="宋体" w:eastAsia="宋体" w:cs="Times New Roman"/>
          <w:b/>
          <w:bCs/>
          <w:color w:val="auto"/>
          <w:sz w:val="24"/>
          <w:szCs w:val="20"/>
        </w:rPr>
      </w:pPr>
      <w:r>
        <w:rPr>
          <w:rFonts w:hint="eastAsia" w:ascii="宋体" w:hAnsi="宋体" w:eastAsia="宋体" w:cs="Times New Roman"/>
          <w:b/>
          <w:bCs/>
          <w:color w:val="auto"/>
          <w:sz w:val="24"/>
          <w:szCs w:val="20"/>
        </w:rPr>
        <w:t>1.  采购内容</w:t>
      </w:r>
    </w:p>
    <w:p>
      <w:pPr>
        <w:tabs>
          <w:tab w:val="left" w:pos="5220"/>
        </w:tabs>
        <w:spacing w:line="360" w:lineRule="auto"/>
        <w:ind w:firstLine="420" w:firstLineChars="200"/>
        <w:rPr>
          <w:rFonts w:ascii="宋体" w:hAnsi="宋体" w:eastAsia="宋体" w:cs="Times New Roman"/>
          <w:color w:val="auto"/>
          <w:szCs w:val="20"/>
          <w:u w:val="single"/>
        </w:rPr>
      </w:pPr>
      <w:r>
        <w:rPr>
          <w:rFonts w:hint="eastAsia" w:ascii="宋体" w:hAnsi="宋体" w:eastAsia="宋体" w:cs="Times New Roman"/>
          <w:color w:val="auto"/>
          <w:szCs w:val="20"/>
        </w:rPr>
        <w:t>1.1 服务名称：</w:t>
      </w:r>
      <w:r>
        <w:rPr>
          <w:rFonts w:hint="eastAsia" w:ascii="宋体" w:hAnsi="宋体" w:eastAsia="宋体" w:cs="Times New Roman"/>
          <w:color w:val="auto"/>
          <w:szCs w:val="20"/>
          <w:u w:val="single"/>
        </w:rPr>
        <w:t xml:space="preserve">                        </w:t>
      </w:r>
    </w:p>
    <w:p>
      <w:pPr>
        <w:tabs>
          <w:tab w:val="left" w:pos="5220"/>
        </w:tabs>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1.2 数量：</w:t>
      </w:r>
      <w:r>
        <w:rPr>
          <w:rFonts w:hint="eastAsia" w:ascii="宋体" w:hAnsi="宋体" w:eastAsia="宋体" w:cs="Times New Roman"/>
          <w:color w:val="auto"/>
          <w:szCs w:val="20"/>
          <w:u w:val="single"/>
        </w:rPr>
        <w:t xml:space="preserve">                           </w:t>
      </w:r>
    </w:p>
    <w:p>
      <w:pPr>
        <w:tabs>
          <w:tab w:val="left" w:pos="5220"/>
        </w:tabs>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 xml:space="preserve">1.2 </w:t>
      </w:r>
      <w:r>
        <w:rPr>
          <w:rFonts w:hint="eastAsia" w:ascii="宋体" w:hAnsi="Courier New" w:eastAsia="宋体" w:cs="Times New Roman"/>
          <w:color w:val="auto"/>
          <w:szCs w:val="21"/>
        </w:rPr>
        <w:t>服务内容及要求</w:t>
      </w:r>
      <w:r>
        <w:rPr>
          <w:rFonts w:hint="eastAsia" w:ascii="Times New Roman" w:hAnsi="Times New Roman" w:eastAsia="宋体" w:cs="Times New Roman"/>
          <w:color w:val="auto"/>
          <w:szCs w:val="20"/>
        </w:rPr>
        <w:t>：</w:t>
      </w:r>
      <w:r>
        <w:rPr>
          <w:rFonts w:hint="eastAsia" w:ascii="宋体" w:hAnsi="宋体" w:eastAsia="宋体" w:cs="Times New Roman"/>
          <w:color w:val="auto"/>
          <w:szCs w:val="20"/>
          <w:u w:val="single"/>
        </w:rPr>
        <w:t>详见合同附件中技术要求偏离表</w:t>
      </w:r>
    </w:p>
    <w:p>
      <w:pPr>
        <w:tabs>
          <w:tab w:val="left" w:pos="5145"/>
        </w:tabs>
        <w:spacing w:line="360" w:lineRule="auto"/>
        <w:rPr>
          <w:rFonts w:ascii="宋体" w:hAnsi="宋体" w:eastAsia="宋体" w:cs="Times New Roman"/>
          <w:b/>
          <w:bCs/>
          <w:color w:val="auto"/>
          <w:sz w:val="24"/>
          <w:szCs w:val="20"/>
        </w:rPr>
      </w:pPr>
      <w:r>
        <w:rPr>
          <w:rFonts w:hint="eastAsia" w:ascii="宋体" w:hAnsi="宋体" w:eastAsia="宋体" w:cs="Times New Roman"/>
          <w:b/>
          <w:bCs/>
          <w:color w:val="auto"/>
          <w:sz w:val="24"/>
          <w:szCs w:val="20"/>
        </w:rPr>
        <w:t>2.  合同金额</w:t>
      </w:r>
    </w:p>
    <w:p>
      <w:pPr>
        <w:spacing w:line="360" w:lineRule="auto"/>
        <w:ind w:firstLine="411" w:firstLineChars="196"/>
        <w:rPr>
          <w:rFonts w:ascii="宋体" w:hAnsi="宋体" w:eastAsia="宋体" w:cs="Times New Roman"/>
          <w:b/>
          <w:bCs/>
          <w:color w:val="auto"/>
          <w:sz w:val="24"/>
          <w:szCs w:val="20"/>
        </w:rPr>
      </w:pPr>
      <w:r>
        <w:rPr>
          <w:rFonts w:hint="eastAsia" w:ascii="宋体" w:hAnsi="宋体" w:eastAsia="宋体" w:cs="Times New Roman"/>
          <w:color w:val="auto"/>
          <w:szCs w:val="20"/>
        </w:rPr>
        <w:t>2.1 本合同金额为（大写）人民币</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w:t>
      </w:r>
      <w:r>
        <w:rPr>
          <w:rFonts w:hint="eastAsia" w:ascii="宋体" w:hAnsi="宋体" w:eastAsia="宋体" w:cs="Times New Roman"/>
          <w:color w:val="auto"/>
          <w:szCs w:val="20"/>
          <w:u w:val="single"/>
        </w:rPr>
        <w:t xml:space="preserve">　　　　　　 </w:t>
      </w:r>
      <w:r>
        <w:rPr>
          <w:rFonts w:hint="eastAsia" w:ascii="宋体" w:hAnsi="宋体" w:eastAsia="宋体" w:cs="Times New Roman"/>
          <w:color w:val="auto"/>
          <w:szCs w:val="20"/>
        </w:rPr>
        <w:t>元）。（详见竞标报价表）</w:t>
      </w:r>
    </w:p>
    <w:p>
      <w:pPr>
        <w:tabs>
          <w:tab w:val="left" w:pos="5940"/>
        </w:tabs>
        <w:spacing w:line="360" w:lineRule="auto"/>
        <w:rPr>
          <w:rFonts w:ascii="宋体" w:hAnsi="宋体" w:eastAsia="宋体" w:cs="Times New Roman"/>
          <w:b/>
          <w:bCs/>
          <w:color w:val="auto"/>
          <w:sz w:val="24"/>
          <w:szCs w:val="20"/>
        </w:rPr>
      </w:pPr>
      <w:r>
        <w:rPr>
          <w:rFonts w:hint="eastAsia" w:ascii="宋体" w:hAnsi="宋体" w:eastAsia="宋体" w:cs="Times New Roman"/>
          <w:b/>
          <w:bCs/>
          <w:color w:val="auto"/>
          <w:sz w:val="24"/>
          <w:szCs w:val="20"/>
        </w:rPr>
        <w:t>3.  提交服务成果时间和地点</w:t>
      </w:r>
    </w:p>
    <w:p>
      <w:pPr>
        <w:tabs>
          <w:tab w:val="left" w:pos="5250"/>
          <w:tab w:val="left" w:pos="5940"/>
        </w:tabs>
        <w:spacing w:line="360" w:lineRule="auto"/>
        <w:ind w:firstLine="411" w:firstLineChars="196"/>
        <w:rPr>
          <w:rFonts w:ascii="宋体" w:hAnsi="宋体" w:eastAsia="宋体" w:cs="Times New Roman"/>
          <w:bCs/>
          <w:color w:val="auto"/>
          <w:szCs w:val="20"/>
        </w:rPr>
      </w:pPr>
      <w:r>
        <w:rPr>
          <w:rFonts w:hint="eastAsia" w:ascii="宋体" w:hAnsi="宋体" w:eastAsia="宋体" w:cs="Times New Roman"/>
          <w:bCs/>
          <w:color w:val="auto"/>
          <w:szCs w:val="20"/>
        </w:rPr>
        <w:t>3.1 服务时间</w:t>
      </w:r>
      <w:r>
        <w:rPr>
          <w:rFonts w:hint="eastAsia" w:ascii="宋体" w:hAnsi="Courier New" w:eastAsia="宋体" w:cs="Times New Roman"/>
          <w:bCs/>
          <w:color w:val="auto"/>
          <w:szCs w:val="20"/>
        </w:rPr>
        <w:t>：</w:t>
      </w:r>
      <w:r>
        <w:rPr>
          <w:rFonts w:hint="eastAsia" w:ascii="宋体" w:hAnsi="Courier New" w:eastAsia="宋体" w:cs="Times New Roman"/>
          <w:bCs/>
          <w:color w:val="auto"/>
          <w:szCs w:val="20"/>
          <w:u w:val="single"/>
        </w:rPr>
        <w:t xml:space="preserve">                         </w:t>
      </w:r>
    </w:p>
    <w:p>
      <w:pPr>
        <w:tabs>
          <w:tab w:val="left" w:pos="5940"/>
        </w:tabs>
        <w:spacing w:line="360" w:lineRule="auto"/>
        <w:ind w:firstLine="411" w:firstLineChars="196"/>
        <w:rPr>
          <w:rFonts w:ascii="宋体" w:hAnsi="宋体" w:eastAsia="宋体" w:cs="Times New Roman"/>
          <w:b/>
          <w:bCs/>
          <w:color w:val="auto"/>
          <w:sz w:val="24"/>
          <w:szCs w:val="20"/>
        </w:rPr>
      </w:pPr>
      <w:r>
        <w:rPr>
          <w:rFonts w:hint="eastAsia" w:ascii="宋体" w:hAnsi="宋体" w:eastAsia="宋体" w:cs="Times New Roman"/>
          <w:bCs/>
          <w:color w:val="auto"/>
          <w:szCs w:val="20"/>
        </w:rPr>
        <w:t xml:space="preserve">3.2 </w:t>
      </w:r>
      <w:r>
        <w:rPr>
          <w:rFonts w:hint="eastAsia" w:ascii="宋体" w:hAnsi="Courier New" w:eastAsia="宋体" w:cs="Times New Roman"/>
          <w:bCs/>
          <w:color w:val="auto"/>
          <w:szCs w:val="20"/>
        </w:rPr>
        <w:t>提交服务成果</w:t>
      </w:r>
      <w:r>
        <w:rPr>
          <w:rFonts w:hint="eastAsia" w:ascii="宋体" w:hAnsi="宋体" w:eastAsia="宋体" w:cs="Times New Roman"/>
          <w:bCs/>
          <w:color w:val="auto"/>
          <w:szCs w:val="20"/>
        </w:rPr>
        <w:t>地点：</w:t>
      </w:r>
      <w:r>
        <w:rPr>
          <w:rFonts w:hint="eastAsia" w:ascii="宋体" w:hAnsi="宋体" w:eastAsia="宋体" w:cs="Times New Roman"/>
          <w:color w:val="auto"/>
          <w:szCs w:val="20"/>
          <w:u w:val="single"/>
        </w:rPr>
        <w:t xml:space="preserve">                 </w:t>
      </w:r>
    </w:p>
    <w:p>
      <w:pPr>
        <w:tabs>
          <w:tab w:val="left" w:pos="5940"/>
        </w:tabs>
        <w:spacing w:line="360" w:lineRule="auto"/>
        <w:ind w:firstLine="411" w:firstLineChars="196"/>
        <w:rPr>
          <w:rFonts w:ascii="宋体" w:hAnsi="宋体" w:eastAsia="宋体" w:cs="Times New Roman"/>
          <w:b/>
          <w:bCs/>
          <w:color w:val="auto"/>
          <w:sz w:val="24"/>
          <w:szCs w:val="20"/>
        </w:rPr>
      </w:pPr>
      <w:r>
        <w:rPr>
          <w:rFonts w:hint="eastAsia" w:ascii="宋体" w:hAnsi="宋体" w:eastAsia="宋体" w:cs="Times New Roman"/>
          <w:bCs/>
          <w:color w:val="auto"/>
          <w:szCs w:val="20"/>
        </w:rPr>
        <w:t xml:space="preserve">3.3 </w:t>
      </w:r>
      <w:r>
        <w:rPr>
          <w:rFonts w:hint="eastAsia" w:ascii="宋体" w:hAnsi="宋体" w:eastAsia="宋体" w:cs="Times New Roman"/>
          <w:color w:val="auto"/>
          <w:szCs w:val="20"/>
        </w:rPr>
        <w:t>乙方必须按竞标文件承诺的服务响应条款向甲方提供服务。</w:t>
      </w:r>
    </w:p>
    <w:p>
      <w:pPr>
        <w:spacing w:line="360" w:lineRule="auto"/>
        <w:ind w:left="410" w:hanging="410" w:hangingChars="170"/>
        <w:rPr>
          <w:rFonts w:ascii="宋体" w:hAnsi="宋体" w:eastAsia="宋体" w:cs="Times New Roman"/>
          <w:b/>
          <w:color w:val="auto"/>
          <w:szCs w:val="20"/>
        </w:rPr>
      </w:pPr>
      <w:r>
        <w:rPr>
          <w:rFonts w:hint="eastAsia" w:ascii="宋体" w:hAnsi="宋体" w:eastAsia="宋体" w:cs="Times New Roman"/>
          <w:b/>
          <w:bCs/>
          <w:color w:val="auto"/>
          <w:sz w:val="24"/>
          <w:szCs w:val="20"/>
        </w:rPr>
        <w:t>4.  产权</w:t>
      </w:r>
    </w:p>
    <w:p>
      <w:pPr>
        <w:spacing w:line="360" w:lineRule="auto"/>
        <w:ind w:firstLine="420" w:firstLineChars="200"/>
        <w:rPr>
          <w:rFonts w:ascii="宋体" w:hAnsi="宋体" w:eastAsia="宋体" w:cs="Times New Roman"/>
          <w:b/>
          <w:color w:val="auto"/>
          <w:szCs w:val="20"/>
        </w:rPr>
      </w:pPr>
      <w:r>
        <w:rPr>
          <w:rFonts w:hint="eastAsia" w:ascii="宋体" w:hAnsi="宋体" w:eastAsia="宋体" w:cs="Times New Roman"/>
          <w:color w:val="auto"/>
          <w:szCs w:val="20"/>
        </w:rPr>
        <w:t xml:space="preserve">4.1 </w:t>
      </w:r>
      <w:r>
        <w:rPr>
          <w:rFonts w:hint="eastAsia" w:ascii="Times New Roman" w:hAnsi="Times New Roman" w:eastAsia="宋体" w:cs="Times New Roman"/>
          <w:color w:val="auto"/>
          <w:szCs w:val="20"/>
        </w:rPr>
        <w:t>乙方应保证所提供的服务或其任何一部分均不会侵犯任何第三方的专利权、商标权或著作权</w:t>
      </w:r>
      <w:r>
        <w:rPr>
          <w:rFonts w:hint="eastAsia" w:ascii="宋体" w:hAnsi="宋体" w:eastAsia="宋体" w:cs="Times New Roman"/>
          <w:bCs/>
          <w:color w:val="auto"/>
          <w:szCs w:val="20"/>
        </w:rPr>
        <w:t>。</w:t>
      </w:r>
    </w:p>
    <w:p>
      <w:pPr>
        <w:spacing w:line="360" w:lineRule="auto"/>
        <w:ind w:firstLine="420" w:firstLineChars="200"/>
        <w:rPr>
          <w:rFonts w:ascii="宋体" w:hAnsi="宋体" w:eastAsia="宋体" w:cs="Times New Roman"/>
          <w:b/>
          <w:color w:val="auto"/>
          <w:szCs w:val="20"/>
        </w:rPr>
      </w:pPr>
      <w:r>
        <w:rPr>
          <w:rFonts w:hint="eastAsia" w:ascii="宋体" w:hAnsi="宋体" w:eastAsia="宋体" w:cs="Times New Roman"/>
          <w:color w:val="auto"/>
          <w:szCs w:val="20"/>
        </w:rPr>
        <w:t>4.2 乙方保证所交付服务的所有权完全属于乙方且无任何抵押、查封等产权瑕疵。如乙方所交付服务有产权瑕疵的，视为乙方违约，按照本合同第10.</w:t>
      </w:r>
      <w:r>
        <w:rPr>
          <w:rFonts w:ascii="宋体" w:hAnsi="宋体" w:eastAsia="宋体" w:cs="Times New Roman"/>
          <w:color w:val="auto"/>
          <w:szCs w:val="20"/>
        </w:rPr>
        <w:t>6</w:t>
      </w:r>
      <w:r>
        <w:rPr>
          <w:rFonts w:hint="eastAsia" w:ascii="宋体" w:hAnsi="宋体" w:eastAsia="宋体" w:cs="Times New Roman"/>
          <w:color w:val="auto"/>
          <w:szCs w:val="20"/>
        </w:rPr>
        <w:t>款的约定处理。但在已经全部支付完合同款后才发现有产权瑕疵的，乙方除了支付违约金还应负担甲方由此产生的一切损失。</w:t>
      </w:r>
    </w:p>
    <w:p>
      <w:pPr>
        <w:spacing w:line="360" w:lineRule="auto"/>
        <w:rPr>
          <w:rFonts w:ascii="宋体" w:hAnsi="宋体" w:eastAsia="宋体" w:cs="Times New Roman"/>
          <w:b/>
          <w:color w:val="auto"/>
          <w:szCs w:val="20"/>
        </w:rPr>
      </w:pPr>
      <w:r>
        <w:rPr>
          <w:rFonts w:hint="eastAsia" w:ascii="宋体" w:hAnsi="宋体" w:eastAsia="宋体" w:cs="Times New Roman"/>
          <w:b/>
          <w:bCs/>
          <w:color w:val="auto"/>
          <w:sz w:val="24"/>
          <w:szCs w:val="20"/>
        </w:rPr>
        <w:t>5.  技术资料</w:t>
      </w:r>
    </w:p>
    <w:p>
      <w:pPr>
        <w:tabs>
          <w:tab w:val="left" w:pos="0"/>
        </w:tabs>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5.1 甲方应向乙方提供提交服务成果所必需的有关数据、资料等。</w:t>
      </w:r>
    </w:p>
    <w:p>
      <w:pPr>
        <w:tabs>
          <w:tab w:val="left" w:pos="0"/>
        </w:tabs>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spacing w:line="360" w:lineRule="auto"/>
        <w:rPr>
          <w:rFonts w:ascii="宋体" w:hAnsi="宋体" w:eastAsia="宋体" w:cs="Times New Roman"/>
          <w:b/>
          <w:bCs/>
          <w:color w:val="auto"/>
          <w:sz w:val="24"/>
          <w:szCs w:val="20"/>
        </w:rPr>
      </w:pPr>
      <w:r>
        <w:rPr>
          <w:rFonts w:hint="eastAsia" w:ascii="宋体" w:hAnsi="宋体" w:eastAsia="宋体" w:cs="Times New Roman"/>
          <w:b/>
          <w:bCs/>
          <w:color w:val="auto"/>
          <w:sz w:val="24"/>
          <w:szCs w:val="20"/>
        </w:rPr>
        <w:t>6.  验收</w:t>
      </w:r>
    </w:p>
    <w:p>
      <w:pPr>
        <w:tabs>
          <w:tab w:val="left" w:pos="0"/>
        </w:tabs>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6.1 乙方应对提交的服务成果作出全面检查和整理，并列出清单，作为甲方验收和使用的技术条件依据，清单应随提交的服务成果交给甲方。</w:t>
      </w:r>
    </w:p>
    <w:p>
      <w:pPr>
        <w:tabs>
          <w:tab w:val="left" w:pos="0"/>
        </w:tabs>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6.2 乙方在指定地点提交服务成果后，甲方应在规定的时间内依据采购合同、竞争性磋商文件、乙方的响应文件等组织验收，验收完毕后作出书面验收报告。验收时乙方必须在现场。</w:t>
      </w:r>
    </w:p>
    <w:p>
      <w:pPr>
        <w:tabs>
          <w:tab w:val="left" w:pos="0"/>
        </w:tabs>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6.3 对复杂的服务，甲方可请国家认可的专业机构参与验收，并由其出具验收报告，相关费用由甲方承担。</w:t>
      </w:r>
    </w:p>
    <w:p>
      <w:pPr>
        <w:spacing w:line="360" w:lineRule="auto"/>
        <w:rPr>
          <w:rFonts w:ascii="宋体" w:hAnsi="宋体" w:eastAsia="宋体" w:cs="Times New Roman"/>
          <w:b/>
          <w:bCs/>
          <w:color w:val="auto"/>
          <w:sz w:val="24"/>
          <w:szCs w:val="20"/>
        </w:rPr>
      </w:pPr>
      <w:r>
        <w:rPr>
          <w:rFonts w:hint="eastAsia" w:ascii="宋体" w:hAnsi="宋体" w:eastAsia="宋体" w:cs="Times New Roman"/>
          <w:b/>
          <w:bCs/>
          <w:color w:val="auto"/>
          <w:sz w:val="24"/>
          <w:szCs w:val="20"/>
        </w:rPr>
        <w:t>7.  合同款支付</w:t>
      </w:r>
    </w:p>
    <w:p>
      <w:pPr>
        <w:widowControl/>
        <w:numPr>
          <w:ilvl w:val="0"/>
          <w:numId w:val="0"/>
        </w:numPr>
        <w:spacing w:before="0" w:line="440" w:lineRule="exact"/>
        <w:ind w:firstLine="0"/>
        <w:rPr>
          <w:rFonts w:hint="eastAsia" w:ascii="宋体" w:hAnsi="宋体" w:eastAsia="宋体" w:cs="Times New Roman"/>
          <w:color w:val="auto"/>
          <w:szCs w:val="20"/>
          <w:lang w:val="en-US" w:eastAsia="zh-CN"/>
        </w:rPr>
      </w:pPr>
      <w:r>
        <w:rPr>
          <w:rFonts w:hint="eastAsia" w:ascii="宋体" w:hAnsi="宋体" w:eastAsia="宋体" w:cs="Times New Roman"/>
          <w:color w:val="auto"/>
          <w:szCs w:val="20"/>
        </w:rPr>
        <w:t>付款条件：</w:t>
      </w:r>
      <w:r>
        <w:rPr>
          <w:rFonts w:hint="eastAsia" w:ascii="宋体" w:hAnsi="宋体" w:eastAsia="宋体" w:cs="Times New Roman"/>
          <w:color w:val="auto"/>
          <w:szCs w:val="20"/>
          <w:u w:val="single"/>
          <w:lang w:val="en-US" w:eastAsia="zh-CN"/>
        </w:rPr>
        <w:t xml:space="preserve">      </w:t>
      </w:r>
      <w:r>
        <w:rPr>
          <w:rFonts w:hint="eastAsia" w:ascii="宋体" w:hAnsi="宋体" w:eastAsia="宋体" w:cs="Times New Roman"/>
          <w:color w:val="auto"/>
          <w:szCs w:val="20"/>
          <w:lang w:val="en-US" w:eastAsia="zh-CN"/>
        </w:rPr>
        <w:t xml:space="preserve">   。</w:t>
      </w:r>
    </w:p>
    <w:p>
      <w:pPr>
        <w:widowControl/>
        <w:numPr>
          <w:ilvl w:val="0"/>
          <w:numId w:val="0"/>
        </w:numPr>
        <w:spacing w:line="440" w:lineRule="exact"/>
        <w:rPr>
          <w:rFonts w:hint="eastAsia" w:ascii="Times New Roman" w:hAnsi="Times New Roman" w:eastAsia="宋体" w:cs="Times New Roman"/>
          <w:color w:val="auto"/>
          <w:u w:val="single"/>
          <w:lang w:val="en-US" w:eastAsia="zh-CN"/>
        </w:rPr>
      </w:pPr>
      <w:r>
        <w:rPr>
          <w:rFonts w:hint="eastAsia" w:ascii="宋体" w:hAnsi="宋体" w:eastAsia="宋体" w:cs="Times New Roman"/>
          <w:b/>
          <w:bCs/>
          <w:color w:val="auto"/>
          <w:sz w:val="24"/>
          <w:szCs w:val="20"/>
        </w:rPr>
        <w:t>履约保证金</w:t>
      </w:r>
      <w:r>
        <w:rPr>
          <w:rFonts w:hint="eastAsia" w:ascii="Times New Roman" w:hAnsi="Times New Roman" w:eastAsia="宋体" w:cs="Times New Roman"/>
          <w:color w:val="auto"/>
          <w:u w:val="single"/>
          <w:lang w:eastAsia="zh-CN"/>
        </w:rPr>
        <w:t xml:space="preserve"> </w:t>
      </w:r>
      <w:r>
        <w:rPr>
          <w:rFonts w:hint="eastAsia" w:ascii="Times New Roman" w:hAnsi="Times New Roman" w:eastAsia="宋体" w:cs="Times New Roman"/>
          <w:color w:val="auto"/>
          <w:u w:val="single"/>
          <w:lang w:val="en-US" w:eastAsia="zh-CN"/>
        </w:rPr>
        <w:t xml:space="preserve">            。</w:t>
      </w:r>
    </w:p>
    <w:p>
      <w:pPr>
        <w:spacing w:line="360" w:lineRule="auto"/>
        <w:rPr>
          <w:rFonts w:ascii="宋体" w:hAnsi="宋体" w:eastAsia="宋体" w:cs="Times New Roman"/>
          <w:b/>
          <w:bCs/>
          <w:color w:val="auto"/>
          <w:sz w:val="24"/>
          <w:szCs w:val="20"/>
        </w:rPr>
      </w:pPr>
      <w:r>
        <w:rPr>
          <w:rFonts w:hint="eastAsia" w:ascii="宋体" w:hAnsi="宋体" w:eastAsia="宋体" w:cs="Times New Roman"/>
          <w:b/>
          <w:bCs/>
          <w:color w:val="auto"/>
          <w:sz w:val="24"/>
          <w:szCs w:val="20"/>
        </w:rPr>
        <w:t>9.  售后服务要求</w:t>
      </w:r>
    </w:p>
    <w:p>
      <w:pPr>
        <w:spacing w:line="360" w:lineRule="auto"/>
        <w:ind w:firstLine="420" w:firstLineChars="200"/>
        <w:rPr>
          <w:rFonts w:ascii="宋体" w:hAnsi="宋体" w:eastAsia="宋体" w:cs="Times New Roman"/>
          <w:color w:val="auto"/>
          <w:szCs w:val="20"/>
        </w:rPr>
      </w:pPr>
      <w:r>
        <w:rPr>
          <w:rFonts w:ascii="宋体" w:hAnsi="宋体" w:eastAsia="宋体" w:cs="Times New Roman"/>
          <w:color w:val="auto"/>
          <w:szCs w:val="20"/>
        </w:rPr>
        <w:t>9</w:t>
      </w:r>
      <w:r>
        <w:rPr>
          <w:rFonts w:hint="eastAsia" w:ascii="宋体" w:hAnsi="宋体" w:eastAsia="宋体" w:cs="Times New Roman"/>
          <w:color w:val="auto"/>
          <w:szCs w:val="20"/>
        </w:rPr>
        <w:t>.1 乙方提供服务的质量保证期为：</w:t>
      </w:r>
      <w:r>
        <w:rPr>
          <w:rFonts w:hint="eastAsia" w:ascii="宋体" w:hAnsi="宋体" w:eastAsia="宋体" w:cs="Times New Roman"/>
          <w:color w:val="auto"/>
          <w:szCs w:val="20"/>
          <w:u w:val="single"/>
        </w:rPr>
        <w:t xml:space="preserve">　　　3年　　　   </w:t>
      </w:r>
      <w:r>
        <w:rPr>
          <w:rFonts w:hint="eastAsia" w:ascii="宋体" w:hAnsi="宋体" w:eastAsia="宋体" w:cs="Times New Roman"/>
          <w:color w:val="auto"/>
          <w:szCs w:val="20"/>
        </w:rPr>
        <w:t>（自提交服务验收合格之日起计）</w:t>
      </w:r>
    </w:p>
    <w:p>
      <w:pPr>
        <w:spacing w:line="360" w:lineRule="auto"/>
        <w:ind w:firstLine="420" w:firstLineChars="200"/>
        <w:rPr>
          <w:rFonts w:ascii="宋体" w:hAnsi="宋体" w:eastAsia="宋体" w:cs="Times New Roman"/>
          <w:color w:val="auto"/>
          <w:szCs w:val="20"/>
        </w:rPr>
      </w:pPr>
      <w:r>
        <w:rPr>
          <w:rFonts w:ascii="宋体" w:hAnsi="宋体" w:eastAsia="宋体" w:cs="Times New Roman"/>
          <w:color w:val="auto"/>
          <w:szCs w:val="20"/>
        </w:rPr>
        <w:t>9</w:t>
      </w:r>
      <w:r>
        <w:rPr>
          <w:rFonts w:hint="eastAsia" w:ascii="宋体" w:hAnsi="宋体" w:eastAsia="宋体" w:cs="Times New Roman"/>
          <w:color w:val="auto"/>
          <w:szCs w:val="20"/>
        </w:rPr>
        <w:t>.2在本合同约定的质量保证期内，乙方应对服务出现的问题负责处理解决并承担一切费用。</w:t>
      </w:r>
    </w:p>
    <w:p>
      <w:pPr>
        <w:tabs>
          <w:tab w:val="left" w:pos="5250"/>
        </w:tabs>
        <w:spacing w:line="360" w:lineRule="auto"/>
        <w:ind w:firstLine="420" w:firstLineChars="200"/>
        <w:rPr>
          <w:rFonts w:ascii="宋体" w:hAnsi="宋体" w:eastAsia="宋体" w:cs="Times New Roman"/>
          <w:color w:val="auto"/>
          <w:szCs w:val="20"/>
          <w:u w:val="single"/>
        </w:rPr>
      </w:pPr>
      <w:r>
        <w:rPr>
          <w:rFonts w:ascii="宋体" w:hAnsi="宋体" w:eastAsia="宋体" w:cs="Times New Roman"/>
          <w:color w:val="auto"/>
          <w:szCs w:val="20"/>
        </w:rPr>
        <w:t>9</w:t>
      </w:r>
      <w:r>
        <w:rPr>
          <w:rFonts w:hint="eastAsia" w:ascii="宋体" w:hAnsi="宋体" w:eastAsia="宋体" w:cs="Times New Roman"/>
          <w:color w:val="auto"/>
          <w:szCs w:val="20"/>
        </w:rPr>
        <w:t>.3 其他售后服务要求：</w:t>
      </w:r>
      <w:r>
        <w:rPr>
          <w:rFonts w:hint="eastAsia" w:ascii="宋体" w:hAnsi="宋体" w:eastAsia="宋体" w:cs="Times New Roman"/>
          <w:color w:val="auto"/>
          <w:szCs w:val="20"/>
          <w:u w:val="single"/>
        </w:rPr>
        <w:t>按响应文件商务条款偏离表内容执行。</w:t>
      </w:r>
    </w:p>
    <w:p>
      <w:pPr>
        <w:spacing w:line="360" w:lineRule="auto"/>
        <w:rPr>
          <w:rFonts w:ascii="宋体" w:hAnsi="宋体" w:eastAsia="宋体" w:cs="Times New Roman"/>
          <w:b/>
          <w:bCs/>
          <w:color w:val="auto"/>
          <w:sz w:val="24"/>
          <w:szCs w:val="20"/>
        </w:rPr>
      </w:pPr>
      <w:r>
        <w:rPr>
          <w:rFonts w:hint="eastAsia" w:ascii="宋体" w:hAnsi="宋体" w:eastAsia="宋体" w:cs="Times New Roman"/>
          <w:b/>
          <w:bCs/>
          <w:color w:val="auto"/>
          <w:sz w:val="24"/>
          <w:szCs w:val="20"/>
        </w:rPr>
        <w:t>10.  违约责任</w:t>
      </w:r>
    </w:p>
    <w:p>
      <w:pPr>
        <w:spacing w:line="360" w:lineRule="auto"/>
        <w:ind w:firstLine="420" w:firstLineChars="200"/>
        <w:rPr>
          <w:rFonts w:ascii="宋体" w:hAnsi="宋体" w:eastAsia="宋体" w:cs="Times New Roman"/>
          <w:color w:val="auto"/>
          <w:szCs w:val="20"/>
        </w:rPr>
      </w:pPr>
      <w:r>
        <w:rPr>
          <w:rFonts w:ascii="宋体" w:hAnsi="宋体" w:eastAsia="宋体" w:cs="Times New Roman"/>
          <w:color w:val="auto"/>
          <w:szCs w:val="20"/>
        </w:rPr>
        <w:t>10</w:t>
      </w:r>
      <w:r>
        <w:rPr>
          <w:rFonts w:hint="eastAsia" w:ascii="宋体" w:hAnsi="宋体" w:eastAsia="宋体" w:cs="Times New Roman"/>
          <w:color w:val="auto"/>
          <w:szCs w:val="20"/>
        </w:rPr>
        <w:t>.1 甲方无正当理由拒收服务的，甲方向乙方偿付拒收服务费总值的百分之五违约金。</w:t>
      </w:r>
    </w:p>
    <w:p>
      <w:pPr>
        <w:spacing w:line="360" w:lineRule="auto"/>
        <w:ind w:firstLine="420" w:firstLineChars="200"/>
        <w:rPr>
          <w:rFonts w:ascii="宋体" w:hAnsi="宋体" w:eastAsia="宋体" w:cs="Times New Roman"/>
          <w:color w:val="auto"/>
          <w:szCs w:val="20"/>
        </w:rPr>
      </w:pPr>
      <w:r>
        <w:rPr>
          <w:rFonts w:ascii="宋体" w:hAnsi="宋体" w:eastAsia="宋体" w:cs="Times New Roman"/>
          <w:color w:val="auto"/>
          <w:szCs w:val="20"/>
        </w:rPr>
        <w:t>10</w:t>
      </w:r>
      <w:r>
        <w:rPr>
          <w:rFonts w:hint="eastAsia" w:ascii="宋体" w:hAnsi="宋体" w:eastAsia="宋体" w:cs="Times New Roman"/>
          <w:color w:val="auto"/>
          <w:szCs w:val="20"/>
        </w:rPr>
        <w:t>.2 甲方无故逾期验收或办理合同款支付手续的，甲方应按逾期付款总额每日万分之五向乙方支付违约金。</w:t>
      </w:r>
    </w:p>
    <w:p>
      <w:pPr>
        <w:widowControl/>
        <w:spacing w:before="120" w:line="348" w:lineRule="auto"/>
        <w:ind w:firstLine="420" w:firstLineChars="200"/>
        <w:rPr>
          <w:rFonts w:ascii="宋体" w:hAnsi="宋体" w:eastAsia="宋体" w:cs="Times New Roman"/>
          <w:color w:val="auto"/>
        </w:rPr>
      </w:pPr>
      <w:r>
        <w:rPr>
          <w:rFonts w:ascii="宋体" w:hAnsi="宋体" w:eastAsia="宋体" w:cs="Times New Roman"/>
          <w:color w:val="auto"/>
          <w:szCs w:val="20"/>
        </w:rPr>
        <w:t>10</w:t>
      </w:r>
      <w:r>
        <w:rPr>
          <w:rFonts w:hint="eastAsia" w:ascii="宋体" w:hAnsi="宋体" w:eastAsia="宋体" w:cs="Times New Roman"/>
          <w:color w:val="auto"/>
          <w:szCs w:val="20"/>
        </w:rPr>
        <w:t>.3</w:t>
      </w:r>
      <w:r>
        <w:rPr>
          <w:rFonts w:hint="eastAsia" w:ascii="宋体" w:hAnsi="宋体" w:eastAsia="宋体" w:cs="Times New Roman"/>
          <w:color w:val="auto"/>
        </w:rPr>
        <w:t>甲方有权依据磋商文件、响应文件及乙方的磋商承诺对乙方的服务人员进行管理或要求更换，对于甲方要求更换服务人员的，乙方应无条件及时更换；乙方拒绝更换的，甲方有权终止合同，不予支付剩余服务费用，乙方按本合同总价的</w:t>
      </w:r>
      <w:r>
        <w:rPr>
          <w:rFonts w:ascii="宋体" w:hAnsi="宋体" w:eastAsia="宋体" w:cs="Times New Roman"/>
          <w:color w:val="auto"/>
        </w:rPr>
        <w:t>2</w:t>
      </w:r>
      <w:r>
        <w:rPr>
          <w:rFonts w:hint="eastAsia" w:ascii="宋体" w:hAnsi="宋体" w:eastAsia="宋体" w:cs="Times New Roman"/>
          <w:color w:val="auto"/>
        </w:rPr>
        <w:t>0%向甲方支付违约金，由此导致甲方其他损失的，乙方应当承担责任。</w:t>
      </w:r>
    </w:p>
    <w:p>
      <w:pPr>
        <w:widowControl/>
        <w:spacing w:before="120" w:line="348" w:lineRule="auto"/>
        <w:ind w:firstLine="420" w:firstLineChars="200"/>
        <w:rPr>
          <w:rFonts w:ascii="宋体" w:hAnsi="宋体" w:eastAsia="宋体" w:cs="Times New Roman"/>
          <w:color w:val="auto"/>
        </w:rPr>
      </w:pPr>
      <w:r>
        <w:rPr>
          <w:rFonts w:ascii="宋体" w:hAnsi="宋体" w:eastAsia="宋体" w:cs="Times New Roman"/>
          <w:color w:val="auto"/>
        </w:rPr>
        <w:t>10.</w:t>
      </w:r>
      <w:r>
        <w:rPr>
          <w:rFonts w:hint="eastAsia" w:ascii="宋体" w:hAnsi="宋体" w:eastAsia="宋体" w:cs="Times New Roman"/>
          <w:color w:val="auto"/>
        </w:rPr>
        <w:t>4</w:t>
      </w:r>
      <w:r>
        <w:rPr>
          <w:rFonts w:ascii="宋体" w:hAnsi="宋体" w:eastAsia="宋体" w:cs="Times New Roman"/>
          <w:color w:val="auto"/>
        </w:rPr>
        <w:t xml:space="preserve"> </w:t>
      </w:r>
      <w:r>
        <w:rPr>
          <w:rFonts w:hint="eastAsia" w:ascii="宋体" w:hAnsi="宋体" w:eastAsia="宋体" w:cs="Times New Roman"/>
          <w:color w:val="auto"/>
        </w:rPr>
        <w:t>乙方提供的服务按合同约定考核不合格的，按合同总金额的5%承担违约责任并应当及时进行整改。如乙方拒绝整改或考核多次不合格的，</w:t>
      </w:r>
      <w:bookmarkStart w:id="135" w:name="_Hlk77949524"/>
      <w:r>
        <w:rPr>
          <w:rFonts w:hint="eastAsia" w:ascii="宋体" w:hAnsi="宋体" w:eastAsia="宋体" w:cs="Times New Roman"/>
          <w:color w:val="auto"/>
        </w:rPr>
        <w:t>甲方有权解除合同，并不予支付相应服务费用，乙方按合同总金额的20%向甲方支付违约金，造成甲方损失的，还应赔偿甲方损失。</w:t>
      </w:r>
      <w:bookmarkEnd w:id="135"/>
    </w:p>
    <w:p>
      <w:pPr>
        <w:widowControl/>
        <w:spacing w:before="120" w:line="348" w:lineRule="auto"/>
        <w:ind w:firstLine="420" w:firstLineChars="200"/>
        <w:rPr>
          <w:rFonts w:ascii="宋体" w:hAnsi="宋体" w:eastAsia="宋体" w:cs="Times New Roman"/>
          <w:color w:val="auto"/>
        </w:rPr>
      </w:pPr>
      <w:r>
        <w:rPr>
          <w:rFonts w:ascii="宋体" w:hAnsi="宋体" w:eastAsia="宋体" w:cs="Times New Roman"/>
          <w:color w:val="auto"/>
        </w:rPr>
        <w:t>10.5</w:t>
      </w:r>
      <w:r>
        <w:rPr>
          <w:rFonts w:hint="eastAsia" w:ascii="宋体" w:hAnsi="宋体" w:eastAsia="宋体" w:cs="Times New Roman"/>
          <w:color w:val="auto"/>
        </w:rPr>
        <w:t>乙方未按磋商文件、响应文件及合同约定对故障设备等进行维修、更换处理的，应当及时整改，保证系统的正常运行。如乙方不及时整改或拒绝整改，甲方有权解除合同，并不予支付相应服务费用，乙方按合同总金额的20%向甲方支付违约金，造成甲方损失的，还应赔偿甲方损失。</w:t>
      </w:r>
    </w:p>
    <w:p>
      <w:pPr>
        <w:widowControl/>
        <w:spacing w:before="120" w:line="348" w:lineRule="auto"/>
        <w:ind w:firstLine="420" w:firstLineChars="200"/>
        <w:rPr>
          <w:rFonts w:ascii="宋体" w:hAnsi="宋体" w:eastAsia="宋体" w:cs="Times New Roman"/>
          <w:color w:val="auto"/>
        </w:rPr>
      </w:pPr>
      <w:r>
        <w:rPr>
          <w:rFonts w:ascii="宋体" w:hAnsi="宋体" w:eastAsia="宋体" w:cs="Times New Roman"/>
          <w:color w:val="auto"/>
        </w:rPr>
        <w:t>10.6</w:t>
      </w:r>
      <w:r>
        <w:rPr>
          <w:rFonts w:hint="eastAsia" w:ascii="宋体" w:hAnsi="宋体" w:eastAsia="宋体" w:cs="Times New Roman"/>
          <w:color w:val="auto"/>
        </w:rPr>
        <w:t>乙方提供的服务（包括设备等）如侵犯了第三方合法权益而引发的任何纠纷或诉讼，均由乙方负责交涉并承担全部责任。甲方有权解除合同，合同金额没有支付的，不再支付；已经支付的，甲方有权追回，且乙方应按合同金额20%向甲方支付违约金，造成甲方损失的，还应赔偿甲方损失。</w:t>
      </w:r>
    </w:p>
    <w:p>
      <w:pPr>
        <w:spacing w:line="360" w:lineRule="auto"/>
        <w:rPr>
          <w:rFonts w:ascii="宋体" w:hAnsi="宋体" w:eastAsia="宋体" w:cs="Times New Roman"/>
          <w:b/>
          <w:bCs/>
          <w:color w:val="auto"/>
          <w:sz w:val="24"/>
          <w:szCs w:val="20"/>
        </w:rPr>
      </w:pPr>
      <w:r>
        <w:rPr>
          <w:rFonts w:hint="eastAsia" w:ascii="宋体" w:hAnsi="宋体" w:eastAsia="宋体" w:cs="Times New Roman"/>
          <w:b/>
          <w:bCs/>
          <w:color w:val="auto"/>
          <w:sz w:val="24"/>
          <w:szCs w:val="20"/>
        </w:rPr>
        <w:t>11.  不可抗力事件处理</w:t>
      </w:r>
    </w:p>
    <w:p>
      <w:pPr>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11.1 在合同有效期内，任何一方因不可抗力事件导致不能履行合同，则合同履行期可延长，其延长期与不可抗力影响期相同。</w:t>
      </w:r>
    </w:p>
    <w:p>
      <w:pPr>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11.2 不可抗力事件发生后，应立即通知对方，并寄送有关权威机构出具的证明。</w:t>
      </w:r>
    </w:p>
    <w:p>
      <w:pPr>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11.3 不可抗力事件延续120天以上，双方应通过友好协商，确定是否继续履行合同。</w:t>
      </w:r>
    </w:p>
    <w:p>
      <w:pPr>
        <w:spacing w:line="360" w:lineRule="auto"/>
        <w:rPr>
          <w:rFonts w:ascii="宋体" w:hAnsi="宋体" w:eastAsia="宋体" w:cs="Times New Roman"/>
          <w:b/>
          <w:bCs/>
          <w:color w:val="auto"/>
          <w:sz w:val="24"/>
          <w:szCs w:val="20"/>
        </w:rPr>
      </w:pPr>
      <w:r>
        <w:rPr>
          <w:rFonts w:hint="eastAsia" w:ascii="宋体" w:hAnsi="宋体" w:eastAsia="宋体" w:cs="Times New Roman"/>
          <w:b/>
          <w:bCs/>
          <w:color w:val="auto"/>
          <w:sz w:val="24"/>
          <w:szCs w:val="20"/>
        </w:rPr>
        <w:t>12.  诉讼</w:t>
      </w:r>
    </w:p>
    <w:p>
      <w:pPr>
        <w:tabs>
          <w:tab w:val="left" w:pos="0"/>
        </w:tabs>
        <w:spacing w:line="360" w:lineRule="auto"/>
        <w:ind w:firstLine="420" w:firstLineChars="200"/>
        <w:rPr>
          <w:rFonts w:ascii="宋体" w:hAnsi="宋体" w:eastAsia="宋体" w:cs="Times New Roman"/>
          <w:color w:val="auto"/>
          <w:szCs w:val="20"/>
          <w:highlight w:val="cyan"/>
        </w:rPr>
      </w:pPr>
      <w:r>
        <w:rPr>
          <w:rFonts w:hint="eastAsia" w:ascii="宋体" w:hAnsi="宋体" w:eastAsia="宋体" w:cs="Times New Roman"/>
          <w:color w:val="auto"/>
          <w:szCs w:val="20"/>
        </w:rPr>
        <w:t>1</w:t>
      </w:r>
      <w:r>
        <w:rPr>
          <w:rFonts w:ascii="宋体" w:hAnsi="宋体" w:eastAsia="宋体" w:cs="Times New Roman"/>
          <w:color w:val="auto"/>
          <w:szCs w:val="20"/>
        </w:rPr>
        <w:t>2</w:t>
      </w:r>
      <w:r>
        <w:rPr>
          <w:rFonts w:hint="eastAsia" w:ascii="宋体" w:hAnsi="宋体" w:eastAsia="宋体" w:cs="Times New Roman"/>
          <w:color w:val="auto"/>
          <w:szCs w:val="20"/>
        </w:rPr>
        <w:t>.1 双方在执行合同中所发生的一切争议，应通过协商解决。如协商不成，可向甲方所在地有管辖权的人民法院提起诉讼。</w:t>
      </w:r>
    </w:p>
    <w:p>
      <w:pPr>
        <w:spacing w:line="360" w:lineRule="auto"/>
        <w:rPr>
          <w:rFonts w:ascii="宋体" w:hAnsi="宋体" w:eastAsia="宋体" w:cs="Times New Roman"/>
          <w:b/>
          <w:bCs/>
          <w:color w:val="auto"/>
          <w:sz w:val="24"/>
          <w:szCs w:val="20"/>
        </w:rPr>
      </w:pPr>
      <w:r>
        <w:rPr>
          <w:rFonts w:hint="eastAsia" w:ascii="宋体" w:hAnsi="宋体" w:eastAsia="宋体" w:cs="Times New Roman"/>
          <w:b/>
          <w:bCs/>
          <w:color w:val="auto"/>
          <w:sz w:val="24"/>
          <w:szCs w:val="20"/>
        </w:rPr>
        <w:t>13.  合同生效及其它</w:t>
      </w:r>
    </w:p>
    <w:p>
      <w:pPr>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13.1 合同经双方法定代表人或授权委托代理人签字并加盖单位公章后生效。</w:t>
      </w:r>
    </w:p>
    <w:p>
      <w:pPr>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13.2下述合同附件为本合同不可分割的部分并与本合同具有同等效力：</w:t>
      </w:r>
    </w:p>
    <w:p>
      <w:pPr>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（1）中标（或成交）通知书；</w:t>
      </w:r>
    </w:p>
    <w:p>
      <w:pPr>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（2）采购文件项目需求表；</w:t>
      </w:r>
    </w:p>
    <w:p>
      <w:pPr>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（3）采购文件的澄清和修改；</w:t>
      </w:r>
    </w:p>
    <w:p>
      <w:pPr>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（4）响应函、报价表；</w:t>
      </w:r>
    </w:p>
    <w:p>
      <w:pPr>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（5）商务要求偏离表、技术偏离表、售后服务承诺书；</w:t>
      </w:r>
    </w:p>
    <w:p>
      <w:pPr>
        <w:spacing w:line="440" w:lineRule="exact"/>
        <w:ind w:firstLine="420" w:firstLineChars="200"/>
        <w:rPr>
          <w:color w:val="auto"/>
        </w:rPr>
      </w:pPr>
      <w:r>
        <w:rPr>
          <w:rFonts w:hint="eastAsia" w:ascii="宋体" w:hAnsi="宋体" w:eastAsia="宋体" w:cs="Times New Roman"/>
          <w:color w:val="auto"/>
        </w:rPr>
        <w:t>13.3本合同的实质性条款凡是与采购文件采购需求有冲突的，一律以采购需求的约定为准</w:t>
      </w:r>
      <w:r>
        <w:rPr>
          <w:rFonts w:hint="eastAsia" w:ascii="Times New Roman" w:hAnsi="Times New Roman" w:eastAsia="宋体" w:cs="Times New Roman"/>
          <w:color w:val="auto"/>
        </w:rPr>
        <w:t>。</w:t>
      </w:r>
    </w:p>
    <w:p>
      <w:pPr>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13.4 本合同未尽事宜，遵照《中华人民共和国民法典》有关条文执行。</w:t>
      </w:r>
    </w:p>
    <w:p>
      <w:pPr>
        <w:spacing w:line="360" w:lineRule="auto"/>
        <w:ind w:firstLine="420" w:firstLineChars="200"/>
        <w:rPr>
          <w:rFonts w:ascii="宋体" w:hAnsi="宋体" w:eastAsia="宋体" w:cs="Times New Roman"/>
          <w:color w:val="auto"/>
          <w:szCs w:val="20"/>
        </w:rPr>
      </w:pPr>
      <w:r>
        <w:rPr>
          <w:rFonts w:hint="eastAsia" w:ascii="宋体" w:hAnsi="宋体" w:eastAsia="宋体" w:cs="Times New Roman"/>
          <w:color w:val="auto"/>
          <w:szCs w:val="20"/>
        </w:rPr>
        <w:t>13.5 本合同一式伍份，甲乙双方各执贰份，招标代理机构壹份。</w:t>
      </w:r>
    </w:p>
    <w:p>
      <w:pPr>
        <w:snapToGrid w:val="0"/>
        <w:spacing w:line="440" w:lineRule="exact"/>
        <w:rPr>
          <w:rFonts w:ascii="宋体" w:hAnsi="宋体"/>
          <w:color w:val="auto"/>
          <w:szCs w:val="21"/>
        </w:rPr>
      </w:pPr>
    </w:p>
    <w:p>
      <w:pPr>
        <w:rPr>
          <w:color w:val="auto"/>
        </w:rPr>
      </w:pPr>
      <w:r>
        <w:rPr>
          <w:color w:val="auto"/>
        </w:rPr>
        <w:br w:type="page"/>
      </w:r>
    </w:p>
    <w:p>
      <w:pPr>
        <w:rPr>
          <w:color w:val="auto"/>
        </w:rPr>
      </w:pPr>
    </w:p>
    <w:tbl>
      <w:tblPr>
        <w:tblStyle w:val="35"/>
        <w:tblpPr w:leftFromText="180" w:rightFromText="180" w:vertAnchor="page" w:horzAnchor="margin" w:tblpY="16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6"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auto"/>
                <w:szCs w:val="21"/>
              </w:rPr>
            </w:pPr>
            <w:r>
              <w:rPr>
                <w:rFonts w:hint="eastAsia" w:ascii="宋体" w:hAnsi="宋体"/>
                <w:color w:val="auto"/>
                <w:szCs w:val="21"/>
              </w:rPr>
              <w:t>甲方（盖章）</w:t>
            </w:r>
          </w:p>
          <w:p>
            <w:pPr>
              <w:snapToGrid w:val="0"/>
              <w:spacing w:line="320" w:lineRule="exact"/>
              <w:jc w:val="right"/>
              <w:rPr>
                <w:rFonts w:ascii="宋体" w:hAnsi="宋体"/>
                <w:color w:val="auto"/>
                <w:szCs w:val="21"/>
              </w:rPr>
            </w:pPr>
          </w:p>
          <w:p>
            <w:pPr>
              <w:snapToGrid w:val="0"/>
              <w:spacing w:line="320" w:lineRule="exact"/>
              <w:jc w:val="right"/>
              <w:rPr>
                <w:rFonts w:ascii="宋体" w:hAnsi="宋体"/>
                <w:color w:val="auto"/>
                <w:szCs w:val="21"/>
              </w:rPr>
            </w:pPr>
            <w:r>
              <w:rPr>
                <w:rFonts w:hint="eastAsia" w:ascii="宋体" w:hAnsi="宋体"/>
                <w:color w:val="auto"/>
                <w:szCs w:val="21"/>
              </w:rPr>
              <w:t>年   月   日</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firstLine="35" w:firstLineChars="17"/>
              <w:rPr>
                <w:rFonts w:ascii="宋体" w:hAnsi="宋体"/>
                <w:color w:val="auto"/>
                <w:szCs w:val="21"/>
              </w:rPr>
            </w:pPr>
            <w:r>
              <w:rPr>
                <w:rFonts w:hint="eastAsia" w:ascii="宋体" w:hAnsi="宋体"/>
                <w:color w:val="auto"/>
                <w:szCs w:val="21"/>
              </w:rPr>
              <w:t>乙方（盖章）</w:t>
            </w:r>
          </w:p>
          <w:p>
            <w:pPr>
              <w:snapToGrid w:val="0"/>
              <w:spacing w:line="320" w:lineRule="exact"/>
              <w:ind w:firstLine="35" w:firstLineChars="17"/>
              <w:jc w:val="right"/>
              <w:rPr>
                <w:rFonts w:ascii="宋体" w:hAnsi="宋体"/>
                <w:color w:val="auto"/>
                <w:szCs w:val="21"/>
              </w:rPr>
            </w:pPr>
            <w:r>
              <w:rPr>
                <w:rFonts w:hint="eastAsia" w:ascii="宋体" w:hAnsi="宋体"/>
                <w:color w:val="auto"/>
                <w:szCs w:val="21"/>
              </w:rPr>
              <w:t xml:space="preserve"> </w:t>
            </w:r>
          </w:p>
          <w:p>
            <w:pPr>
              <w:snapToGrid w:val="0"/>
              <w:spacing w:line="320" w:lineRule="exact"/>
              <w:ind w:firstLine="35" w:firstLineChars="17"/>
              <w:jc w:val="right"/>
              <w:rPr>
                <w:rFonts w:ascii="宋体" w:hAnsi="宋体"/>
                <w:color w:val="auto"/>
                <w:szCs w:val="21"/>
              </w:rPr>
            </w:pPr>
            <w:r>
              <w:rPr>
                <w:rFonts w:hint="eastAsia" w:ascii="宋体" w:hAnsi="宋体"/>
                <w:color w:val="auto"/>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单位地址：</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法定代表人(负责人)：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法定代表人(负责人)：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委托代理人：</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电话：</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电子邮箱：</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开户银行：</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账号：</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4786"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rPr>
                <w:rFonts w:ascii="宋体" w:hAnsi="宋体"/>
                <w:color w:val="auto"/>
                <w:szCs w:val="21"/>
              </w:rPr>
            </w:pPr>
            <w:r>
              <w:rPr>
                <w:rFonts w:hint="eastAsia" w:ascii="宋体" w:hAnsi="宋体"/>
                <w:color w:val="auto"/>
                <w:szCs w:val="21"/>
              </w:rPr>
              <w:t>邮政编码：</w:t>
            </w:r>
          </w:p>
        </w:tc>
        <w:tc>
          <w:tcPr>
            <w:tcW w:w="4678"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ind w:firstLine="35" w:firstLineChars="17"/>
              <w:rPr>
                <w:rFonts w:ascii="宋体" w:hAnsi="宋体"/>
                <w:color w:val="auto"/>
                <w:szCs w:val="21"/>
              </w:rPr>
            </w:pPr>
            <w:r>
              <w:rPr>
                <w:rFonts w:hint="eastAsia" w:ascii="宋体" w:hAnsi="宋体"/>
                <w:color w:val="auto"/>
                <w:szCs w:val="21"/>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9464" w:type="dxa"/>
            <w:gridSpan w:val="2"/>
            <w:tcBorders>
              <w:top w:val="single" w:color="auto" w:sz="4" w:space="0"/>
              <w:left w:val="single" w:color="auto" w:sz="4" w:space="0"/>
              <w:bottom w:val="single" w:color="auto" w:sz="4" w:space="0"/>
              <w:right w:val="single" w:color="auto" w:sz="4" w:space="0"/>
            </w:tcBorders>
          </w:tcPr>
          <w:p>
            <w:pPr>
              <w:snapToGrid w:val="0"/>
              <w:spacing w:line="440" w:lineRule="exact"/>
              <w:rPr>
                <w:rFonts w:ascii="宋体" w:hAnsi="宋体"/>
                <w:color w:val="auto"/>
                <w:szCs w:val="21"/>
              </w:rPr>
            </w:pPr>
            <w:r>
              <w:rPr>
                <w:rFonts w:hint="eastAsia" w:ascii="宋体" w:hAnsi="宋体"/>
                <w:color w:val="auto"/>
                <w:szCs w:val="21"/>
              </w:rPr>
              <w:t>经办人：</w:t>
            </w:r>
          </w:p>
        </w:tc>
      </w:tr>
    </w:tbl>
    <w:p>
      <w:pPr>
        <w:widowControl/>
        <w:jc w:val="left"/>
        <w:rPr>
          <w:rFonts w:hint="eastAsia" w:ascii="宋体" w:hAnsi="宋体"/>
          <w:bCs/>
          <w:color w:val="auto"/>
          <w:szCs w:val="21"/>
          <w:highlight w:val="none"/>
        </w:rPr>
      </w:pPr>
      <w:r>
        <w:rPr>
          <w:color w:val="auto"/>
        </w:rPr>
        <w:br w:type="page"/>
      </w:r>
    </w:p>
    <w:p>
      <w:pPr>
        <w:widowControl/>
        <w:jc w:val="left"/>
        <w:rPr>
          <w:rFonts w:hint="eastAsia" w:ascii="宋体" w:hAnsi="宋体"/>
          <w:bCs/>
          <w:color w:val="auto"/>
          <w:szCs w:val="21"/>
          <w:highlight w:val="none"/>
        </w:rPr>
      </w:pPr>
    </w:p>
    <w:p>
      <w:pPr>
        <w:widowControl/>
        <w:jc w:val="left"/>
        <w:rPr>
          <w:rFonts w:hint="eastAsia" w:ascii="宋体" w:hAnsi="宋体"/>
          <w:bCs/>
          <w:color w:val="auto"/>
          <w:szCs w:val="21"/>
          <w:highlight w:val="none"/>
        </w:rPr>
      </w:pPr>
    </w:p>
    <w:p>
      <w:pPr>
        <w:rPr>
          <w:color w:val="auto"/>
          <w:highlight w:val="none"/>
        </w:rPr>
      </w:pPr>
    </w:p>
    <w:p>
      <w:pPr>
        <w:pStyle w:val="21"/>
        <w:jc w:val="left"/>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3"/>
        <w:spacing w:line="400" w:lineRule="exact"/>
        <w:rPr>
          <w:rFonts w:hint="eastAsia" w:ascii="方正小标宋_GBK" w:hAnsi="方正小标宋_GBK" w:eastAsia="方正小标宋_GBK"/>
          <w:color w:val="auto"/>
          <w:highlight w:val="none"/>
        </w:rPr>
      </w:pPr>
      <w:bookmarkStart w:id="136" w:name="_Toc92355028"/>
      <w:bookmarkStart w:id="137" w:name="_Toc397585460"/>
      <w:r>
        <w:rPr>
          <w:rFonts w:hint="eastAsia" w:ascii="方正小标宋_GBK" w:hAnsi="方正小标宋_GBK" w:eastAsia="方正小标宋_GBK"/>
          <w:color w:val="auto"/>
          <w:highlight w:val="none"/>
        </w:rPr>
        <w:t>第六章  响应文件格式</w:t>
      </w:r>
      <w:bookmarkEnd w:id="136"/>
      <w:bookmarkEnd w:id="137"/>
    </w:p>
    <w:p>
      <w:pPr>
        <w:jc w:val="left"/>
        <w:rPr>
          <w:rFonts w:hint="eastAsia" w:hAnsi="宋体"/>
          <w:color w:val="auto"/>
          <w:sz w:val="36"/>
          <w:szCs w:val="36"/>
          <w:highlight w:val="none"/>
        </w:rPr>
      </w:pPr>
      <w:r>
        <w:rPr>
          <w:b/>
          <w:color w:val="auto"/>
          <w:sz w:val="30"/>
          <w:szCs w:val="30"/>
          <w:highlight w:val="none"/>
        </w:rPr>
        <w:br w:type="page"/>
      </w:r>
      <w:r>
        <w:rPr>
          <w:rFonts w:hint="eastAsia" w:ascii="仿宋_GB2312"/>
          <w:b/>
          <w:bCs/>
          <w:color w:val="auto"/>
          <w:sz w:val="36"/>
          <w:szCs w:val="36"/>
          <w:highlight w:val="none"/>
        </w:rPr>
        <w:t>一、供应商资格文件</w:t>
      </w:r>
    </w:p>
    <w:p>
      <w:pPr>
        <w:tabs>
          <w:tab w:val="left" w:pos="3402"/>
        </w:tabs>
        <w:rPr>
          <w:rFonts w:hint="eastAsia" w:ascii="仿宋_GB2312" w:hAnsi="仿宋" w:eastAsia="仿宋_GB2312"/>
          <w:b/>
          <w:color w:val="auto"/>
          <w:spacing w:val="10"/>
          <w:szCs w:val="21"/>
          <w:highlight w:val="none"/>
        </w:rPr>
      </w:pPr>
      <w:bookmarkStart w:id="138" w:name="_Hlk108530892"/>
    </w:p>
    <w:p>
      <w:pPr>
        <w:tabs>
          <w:tab w:val="left" w:pos="3402"/>
        </w:tabs>
        <w:ind w:firstLine="602"/>
        <w:jc w:val="center"/>
        <w:rPr>
          <w:rFonts w:hint="eastAsia" w:ascii="仿宋_GB2312" w:hAnsi="Adobe 仿宋 Std R" w:eastAsia="仿宋_GB2312"/>
          <w:b/>
          <w:color w:val="auto"/>
          <w:spacing w:val="10"/>
          <w:sz w:val="32"/>
          <w:szCs w:val="32"/>
          <w:highlight w:val="none"/>
        </w:rPr>
      </w:pPr>
      <w:bookmarkStart w:id="139" w:name="_Hlk147761258"/>
      <w:r>
        <w:rPr>
          <w:rFonts w:hint="eastAsia" w:ascii="仿宋_GB2312" w:hAnsi="Adobe 仿宋 Std R" w:eastAsia="仿宋_GB2312"/>
          <w:b/>
          <w:color w:val="auto"/>
          <w:spacing w:val="10"/>
          <w:sz w:val="32"/>
          <w:szCs w:val="32"/>
          <w:highlight w:val="none"/>
        </w:rPr>
        <w:t>供应商具备参加政府采购活动条件的承诺书</w:t>
      </w:r>
      <w:bookmarkEnd w:id="139"/>
      <w:r>
        <w:rPr>
          <w:rFonts w:hint="eastAsia" w:ascii="仿宋_GB2312" w:hAnsi="Adobe 仿宋 Std R" w:eastAsia="仿宋_GB2312" w:cs="黑体"/>
          <w:bCs/>
          <w:color w:val="auto"/>
          <w:sz w:val="24"/>
          <w:highlight w:val="none"/>
        </w:rPr>
        <w:t>(格式)</w:t>
      </w:r>
    </w:p>
    <w:p>
      <w:pPr>
        <w:tabs>
          <w:tab w:val="left" w:pos="3402"/>
        </w:tabs>
        <w:jc w:val="left"/>
        <w:rPr>
          <w:rFonts w:hint="eastAsia" w:ascii="仿宋_GB2312" w:hAnsi="仿宋" w:eastAsia="仿宋_GB2312"/>
          <w:b/>
          <w:color w:val="auto"/>
          <w:spacing w:val="10"/>
          <w:szCs w:val="21"/>
          <w:highlight w:val="none"/>
        </w:rPr>
      </w:pPr>
    </w:p>
    <w:p>
      <w:pPr>
        <w:spacing w:line="520" w:lineRule="exact"/>
        <w:rPr>
          <w:rFonts w:hint="eastAsia" w:ascii="宋体" w:hAnsi="宋体"/>
          <w:bCs/>
          <w:color w:val="auto"/>
          <w:szCs w:val="22"/>
          <w:highlight w:val="none"/>
        </w:rPr>
      </w:pPr>
      <w:r>
        <w:rPr>
          <w:rFonts w:hint="eastAsia" w:ascii="宋体" w:hAnsi="宋体"/>
          <w:bCs/>
          <w:color w:val="auto"/>
          <w:szCs w:val="22"/>
          <w:highlight w:val="none"/>
        </w:rPr>
        <w:t>钦州市政府采购中心：</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根据《中华人民共和国政府采购法》实施条例第十七条的规定，现郑重承诺：</w:t>
      </w:r>
    </w:p>
    <w:p>
      <w:pPr>
        <w:spacing w:line="520" w:lineRule="exact"/>
        <w:ind w:firstLine="420"/>
        <w:rPr>
          <w:rFonts w:hint="eastAsia" w:ascii="宋体" w:hAnsi="宋体"/>
          <w:bCs/>
          <w:color w:val="auto"/>
          <w:szCs w:val="22"/>
          <w:highlight w:val="none"/>
        </w:rPr>
      </w:pPr>
      <w:r>
        <w:rPr>
          <w:rFonts w:ascii="宋体" w:hAnsi="宋体"/>
          <w:bCs/>
          <w:color w:val="auto"/>
          <w:szCs w:val="22"/>
          <w:highlight w:val="none"/>
          <w:u w:val="single"/>
        </w:rPr>
        <w:t>(</w:t>
      </w:r>
      <w:r>
        <w:rPr>
          <w:rFonts w:hint="eastAsia" w:ascii="宋体" w:hAnsi="宋体"/>
          <w:bCs/>
          <w:color w:val="auto"/>
          <w:szCs w:val="22"/>
          <w:highlight w:val="none"/>
          <w:u w:val="single"/>
        </w:rPr>
        <w:t>供应商名称)</w:t>
      </w:r>
      <w:r>
        <w:rPr>
          <w:rFonts w:hint="eastAsia" w:ascii="宋体" w:hAnsi="宋体"/>
          <w:bCs/>
          <w:color w:val="auto"/>
          <w:szCs w:val="22"/>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本单位对上述承诺内容事项真实性负责，如有虚假，由我单位承担相关法律责任。</w:t>
      </w:r>
    </w:p>
    <w:p>
      <w:pPr>
        <w:spacing w:line="520" w:lineRule="exact"/>
        <w:ind w:firstLine="420"/>
        <w:rPr>
          <w:rFonts w:hint="eastAsia" w:ascii="宋体" w:hAnsi="宋体"/>
          <w:bCs/>
          <w:color w:val="auto"/>
          <w:szCs w:val="22"/>
          <w:highlight w:val="none"/>
        </w:rPr>
      </w:pPr>
      <w:r>
        <w:rPr>
          <w:rFonts w:hint="eastAsia" w:ascii="宋体" w:hAnsi="宋体"/>
          <w:bCs/>
          <w:color w:val="auto"/>
          <w:szCs w:val="22"/>
          <w:highlight w:val="none"/>
        </w:rPr>
        <w:t>特此承诺。</w:t>
      </w:r>
    </w:p>
    <w:p>
      <w:pPr>
        <w:rPr>
          <w:color w:val="auto"/>
          <w:highlight w:val="none"/>
        </w:rPr>
      </w:pPr>
    </w:p>
    <w:p>
      <w:pPr>
        <w:rPr>
          <w:color w:val="auto"/>
          <w:highlight w:val="none"/>
        </w:rPr>
      </w:pPr>
    </w:p>
    <w:p>
      <w:pPr>
        <w:rPr>
          <w:color w:val="auto"/>
          <w:highlight w:val="none"/>
        </w:rPr>
      </w:pPr>
    </w:p>
    <w:p>
      <w:pPr>
        <w:spacing w:line="400" w:lineRule="exact"/>
        <w:ind w:right="1050" w:rightChars="500" w:firstLine="5103" w:firstLineChars="2430"/>
        <w:jc w:val="left"/>
        <w:rPr>
          <w:rFonts w:hint="eastAsia" w:ascii="宋体" w:hAnsi="宋体"/>
          <w:bCs/>
          <w:color w:val="auto"/>
          <w:highlight w:val="none"/>
        </w:rPr>
      </w:pPr>
      <w:r>
        <w:rPr>
          <w:rFonts w:hint="eastAsia" w:ascii="宋体" w:hAnsi="宋体"/>
          <w:bCs/>
          <w:color w:val="auto"/>
          <w:szCs w:val="22"/>
          <w:highlight w:val="none"/>
        </w:rPr>
        <w:t xml:space="preserve"> </w:t>
      </w:r>
      <w:r>
        <w:rPr>
          <w:rFonts w:ascii="宋体" w:hAnsi="宋体"/>
          <w:bCs/>
          <w:color w:val="auto"/>
          <w:szCs w:val="22"/>
          <w:highlight w:val="none"/>
        </w:rPr>
        <w:t xml:space="preserve">     </w:t>
      </w: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1050" w:rightChars="500"/>
        <w:jc w:val="righ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rPr>
          <w:color w:val="auto"/>
          <w:highlight w:val="none"/>
        </w:rPr>
      </w:pPr>
    </w:p>
    <w:p>
      <w:pPr>
        <w:pStyle w:val="5"/>
        <w:rPr>
          <w:color w:val="auto"/>
          <w:highlight w:val="none"/>
        </w:rPr>
      </w:pPr>
    </w:p>
    <w:p>
      <w:pPr>
        <w:tabs>
          <w:tab w:val="left" w:pos="3402"/>
        </w:tabs>
        <w:spacing w:line="460" w:lineRule="exact"/>
        <w:jc w:val="center"/>
        <w:rPr>
          <w:rFonts w:hint="eastAsia" w:ascii="仿宋_GB2312" w:hAnsi="仿宋" w:eastAsia="仿宋_GB2312"/>
          <w:b/>
          <w:color w:val="auto"/>
          <w:spacing w:val="10"/>
          <w:sz w:val="32"/>
          <w:szCs w:val="32"/>
          <w:highlight w:val="none"/>
        </w:rPr>
      </w:pPr>
      <w:r>
        <w:rPr>
          <w:rFonts w:hint="eastAsia" w:ascii="仿宋_GB2312" w:hAnsi="仿宋" w:eastAsia="仿宋_GB2312"/>
          <w:b/>
          <w:color w:val="auto"/>
          <w:spacing w:val="10"/>
          <w:sz w:val="32"/>
          <w:szCs w:val="32"/>
          <w:highlight w:val="none"/>
        </w:rPr>
        <w:t>无重大违法记录的书面声明</w:t>
      </w:r>
      <w:bookmarkStart w:id="140" w:name="_Hlk108528701"/>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bookmarkEnd w:id="140"/>
    </w:p>
    <w:p>
      <w:pPr>
        <w:spacing w:line="400" w:lineRule="exact"/>
        <w:rPr>
          <w:rFonts w:hint="eastAsia" w:ascii="宋体" w:hAnsi="宋体"/>
          <w:b/>
          <w:color w:val="auto"/>
          <w:highlight w:val="none"/>
        </w:rPr>
      </w:pPr>
    </w:p>
    <w:p>
      <w:pPr>
        <w:spacing w:line="520" w:lineRule="exact"/>
        <w:rPr>
          <w:rFonts w:hint="eastAsia" w:ascii="宋体" w:hAnsi="宋体"/>
          <w:bCs/>
          <w:color w:val="auto"/>
          <w:highlight w:val="none"/>
        </w:rPr>
      </w:pPr>
      <w:r>
        <w:rPr>
          <w:rFonts w:hint="eastAsia" w:ascii="宋体" w:hAnsi="宋体"/>
          <w:bCs/>
          <w:color w:val="auto"/>
          <w:highlight w:val="none"/>
        </w:rPr>
        <w:t>钦州市政府采购中心：</w:t>
      </w:r>
    </w:p>
    <w:p>
      <w:pPr>
        <w:spacing w:line="520" w:lineRule="exact"/>
        <w:ind w:firstLine="420"/>
        <w:rPr>
          <w:rFonts w:hint="eastAsia" w:ascii="宋体" w:hAnsi="宋体"/>
          <w:bCs/>
          <w:color w:val="auto"/>
          <w:highlight w:val="none"/>
        </w:rPr>
      </w:pPr>
      <w:r>
        <w:rPr>
          <w:rFonts w:hint="eastAsia" w:ascii="宋体" w:hAnsi="宋体"/>
          <w:bCs/>
          <w:color w:val="auto"/>
          <w:highlight w:val="none"/>
        </w:rPr>
        <w:t>根据《中华人民共和国政府采购法实施条例》第十七条第一款第(四)项的规定，现郑重声明：</w:t>
      </w:r>
    </w:p>
    <w:p>
      <w:pPr>
        <w:spacing w:line="520" w:lineRule="exact"/>
        <w:ind w:firstLine="420"/>
        <w:rPr>
          <w:rFonts w:hint="eastAsia" w:ascii="宋体" w:hAnsi="宋体"/>
          <w:bCs/>
          <w:color w:val="auto"/>
          <w:highlight w:val="none"/>
        </w:rPr>
      </w:pPr>
      <w:r>
        <w:rPr>
          <w:rFonts w:ascii="宋体" w:hAnsi="宋体"/>
          <w:bCs/>
          <w:color w:val="auto"/>
          <w:highlight w:val="none"/>
          <w:u w:val="single"/>
        </w:rPr>
        <w:t>(</w:t>
      </w:r>
      <w:r>
        <w:rPr>
          <w:rFonts w:hint="eastAsia" w:ascii="宋体" w:hAnsi="宋体"/>
          <w:bCs/>
          <w:color w:val="auto"/>
          <w:highlight w:val="none"/>
          <w:u w:val="single"/>
        </w:rPr>
        <w:t>供应商名称)</w:t>
      </w:r>
      <w:r>
        <w:rPr>
          <w:rFonts w:hint="eastAsia" w:ascii="宋体" w:hAnsi="宋体"/>
          <w:bCs/>
          <w:color w:val="auto"/>
          <w:highlight w:val="none"/>
        </w:rPr>
        <w:t>在参加本次政府采购活动前3年内在经营活动中没有重大违法记录（</w:t>
      </w:r>
      <w:r>
        <w:rPr>
          <w:rFonts w:hint="eastAsia" w:ascii="宋体" w:hAnsi="宋体"/>
          <w:bCs/>
          <w:color w:val="auto"/>
          <w:highlight w:val="none"/>
          <w:u w:val="single"/>
        </w:rPr>
        <w:t>即因违法经营受到刑事处罚或者责令停产停业、吊销许可证或者执照、较大数额罚款等行政处罚的行为</w:t>
      </w:r>
      <w:r>
        <w:rPr>
          <w:rFonts w:hint="eastAsia" w:ascii="宋体" w:hAnsi="宋体"/>
          <w:bCs/>
          <w:color w:val="auto"/>
          <w:highlight w:val="none"/>
        </w:rPr>
        <w:t>）。</w:t>
      </w:r>
    </w:p>
    <w:p>
      <w:pPr>
        <w:spacing w:line="520" w:lineRule="exact"/>
        <w:ind w:firstLine="420"/>
        <w:rPr>
          <w:rFonts w:hint="eastAsia" w:ascii="宋体" w:hAnsi="宋体"/>
          <w:bCs/>
          <w:color w:val="auto"/>
          <w:highlight w:val="none"/>
        </w:rPr>
      </w:pPr>
      <w:r>
        <w:rPr>
          <w:rFonts w:hint="eastAsia" w:ascii="宋体" w:hAnsi="宋体"/>
          <w:bCs/>
          <w:color w:val="auto"/>
          <w:highlight w:val="none"/>
        </w:rPr>
        <w:t>本单位对上述声明内容事项真实性负责，如有虚假，由我单位承担相关法律责任。</w:t>
      </w:r>
    </w:p>
    <w:p>
      <w:pPr>
        <w:spacing w:line="520" w:lineRule="exact"/>
        <w:ind w:firstLine="420"/>
        <w:rPr>
          <w:rFonts w:hint="eastAsia" w:ascii="宋体" w:hAnsi="宋体"/>
          <w:bCs/>
          <w:color w:val="auto"/>
          <w:highlight w:val="none"/>
        </w:rPr>
      </w:pPr>
      <w:r>
        <w:rPr>
          <w:rFonts w:hint="eastAsia" w:ascii="宋体" w:hAnsi="宋体"/>
          <w:bCs/>
          <w:color w:val="auto"/>
          <w:highlight w:val="none"/>
        </w:rPr>
        <w:t>特此声明。</w:t>
      </w:r>
    </w:p>
    <w:p>
      <w:pPr>
        <w:rPr>
          <w:color w:val="auto"/>
          <w:highlight w:val="none"/>
        </w:rPr>
      </w:pPr>
    </w:p>
    <w:p>
      <w:pPr>
        <w:rPr>
          <w:color w:val="auto"/>
          <w:highlight w:val="none"/>
        </w:rPr>
      </w:pPr>
    </w:p>
    <w:p>
      <w:pPr>
        <w:rPr>
          <w:color w:val="auto"/>
          <w:highlight w:val="none"/>
        </w:rPr>
      </w:pPr>
    </w:p>
    <w:p>
      <w:pPr>
        <w:spacing w:line="400" w:lineRule="exact"/>
        <w:ind w:right="1050" w:rightChars="500" w:firstLine="5810" w:firstLineChars="2767"/>
        <w:jc w:val="left"/>
        <w:rPr>
          <w:rFonts w:hint="eastAsia" w:ascii="宋体" w:hAnsi="宋体"/>
          <w:bCs/>
          <w:color w:val="auto"/>
          <w:highlight w:val="none"/>
        </w:rPr>
      </w:pPr>
      <w:bookmarkStart w:id="141" w:name="_Hlk112311442"/>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pacing w:line="400" w:lineRule="exact"/>
        <w:ind w:right="735" w:rightChars="350" w:firstLine="5810" w:firstLineChars="2767"/>
        <w:jc w:val="left"/>
        <w:rPr>
          <w:rFonts w:hint="eastAsia" w:ascii="宋体" w:hAnsi="宋体"/>
          <w:bCs/>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bookmarkEnd w:id="141"/>
      <w:r>
        <w:rPr>
          <w:color w:val="auto"/>
          <w:highlight w:val="none"/>
        </w:rPr>
        <w:br w:type="page"/>
      </w:r>
    </w:p>
    <w:p>
      <w:pPr>
        <w:rPr>
          <w:color w:val="auto"/>
          <w:highlight w:val="none"/>
        </w:rPr>
      </w:pPr>
    </w:p>
    <w:p>
      <w:pPr>
        <w:spacing w:line="440" w:lineRule="exact"/>
        <w:jc w:val="center"/>
        <w:rPr>
          <w:rFonts w:hint="eastAsia" w:ascii="仿宋_GB2312" w:hAnsi="宋体" w:eastAsia="仿宋_GB2312"/>
          <w:b/>
          <w:color w:val="auto"/>
          <w:sz w:val="36"/>
          <w:szCs w:val="36"/>
          <w:highlight w:val="none"/>
        </w:rPr>
      </w:pPr>
      <w:r>
        <w:rPr>
          <w:rFonts w:hint="eastAsia" w:ascii="仿宋_GB2312" w:hAnsi="宋体" w:eastAsia="仿宋_GB2312"/>
          <w:b/>
          <w:color w:val="auto"/>
          <w:sz w:val="36"/>
          <w:szCs w:val="36"/>
          <w:highlight w:val="none"/>
        </w:rPr>
        <w:t>中小企业声明函</w:t>
      </w:r>
    </w:p>
    <w:p>
      <w:pPr>
        <w:spacing w:line="440" w:lineRule="exact"/>
        <w:jc w:val="left"/>
        <w:rPr>
          <w:rFonts w:hint="eastAsia" w:hAnsi="宋体"/>
          <w:bCs/>
          <w:color w:val="auto"/>
          <w:szCs w:val="21"/>
          <w:highlight w:val="none"/>
        </w:rPr>
      </w:pP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本公司郑重声明，根据《政府采购促进中小企业发展管理办法》</w:t>
      </w:r>
      <w:bookmarkStart w:id="142" w:name="_Hlk60836554"/>
      <w:r>
        <w:rPr>
          <w:rFonts w:hint="eastAsia" w:ascii="宋体" w:hAnsi="宋体"/>
          <w:bCs/>
          <w:color w:val="auto"/>
          <w:szCs w:val="21"/>
          <w:highlight w:val="none"/>
        </w:rPr>
        <w:t>（财库﹝2020﹞46号）</w:t>
      </w:r>
      <w:bookmarkEnd w:id="142"/>
      <w:r>
        <w:rPr>
          <w:rFonts w:hint="eastAsia" w:ascii="宋体" w:hAnsi="宋体"/>
          <w:bCs/>
          <w:color w:val="auto"/>
          <w:szCs w:val="21"/>
          <w:highlight w:val="none"/>
        </w:rPr>
        <w:t>的规定，本公司参加（</w:t>
      </w:r>
      <w:r>
        <w:rPr>
          <w:rFonts w:hint="eastAsia" w:ascii="宋体" w:hAnsi="宋体"/>
          <w:bCs/>
          <w:color w:val="auto"/>
          <w:szCs w:val="21"/>
          <w:highlight w:val="none"/>
          <w:u w:val="single"/>
        </w:rPr>
        <w:t>单位名称</w:t>
      </w:r>
      <w:r>
        <w:rPr>
          <w:rFonts w:hint="eastAsia" w:ascii="宋体" w:hAnsi="宋体"/>
          <w:bCs/>
          <w:color w:val="auto"/>
          <w:szCs w:val="21"/>
          <w:highlight w:val="none"/>
        </w:rPr>
        <w:t>）的（</w:t>
      </w:r>
      <w:r>
        <w:rPr>
          <w:rFonts w:hint="eastAsia" w:ascii="宋体" w:hAnsi="宋体"/>
          <w:bCs/>
          <w:color w:val="auto"/>
          <w:szCs w:val="21"/>
          <w:highlight w:val="none"/>
          <w:u w:val="single"/>
        </w:rPr>
        <w:t>项目名称</w:t>
      </w:r>
      <w:r>
        <w:rPr>
          <w:rFonts w:hint="eastAsia" w:ascii="宋体" w:hAnsi="宋体"/>
          <w:bCs/>
          <w:color w:val="auto"/>
          <w:szCs w:val="21"/>
          <w:highlight w:val="none"/>
        </w:rPr>
        <w:t>）采购活动，</w:t>
      </w:r>
      <w:bookmarkStart w:id="143" w:name="_Hlk108682836"/>
      <w:r>
        <w:rPr>
          <w:rFonts w:hint="eastAsia" w:ascii="宋体" w:hAnsi="宋体"/>
          <w:bCs/>
          <w:color w:val="auto"/>
          <w:szCs w:val="21"/>
          <w:highlight w:val="none"/>
        </w:rPr>
        <w:t>服务全部由符合政策要求的中小企业承接</w:t>
      </w:r>
      <w:bookmarkEnd w:id="143"/>
      <w:r>
        <w:rPr>
          <w:rFonts w:hint="eastAsia" w:ascii="宋体" w:hAnsi="宋体"/>
          <w:bCs/>
          <w:color w:val="auto"/>
          <w:szCs w:val="21"/>
          <w:highlight w:val="none"/>
        </w:rPr>
        <w:t>。相关企业的具体情况如下：</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1.</w:t>
      </w:r>
      <w:bookmarkStart w:id="144" w:name="_Hlk60836996"/>
      <w:r>
        <w:rPr>
          <w:rFonts w:hint="eastAsia" w:ascii="宋体" w:hAnsi="宋体"/>
          <w:bCs/>
          <w:color w:val="auto"/>
          <w:szCs w:val="21"/>
          <w:highlight w:val="none"/>
        </w:rPr>
        <w:t>（</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bookmarkEnd w:id="144"/>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u w:val="single"/>
        </w:rPr>
        <w:t>标的名称</w:t>
      </w:r>
      <w:r>
        <w:rPr>
          <w:rFonts w:hint="eastAsia" w:ascii="宋体" w:hAnsi="宋体"/>
          <w:bCs/>
          <w:color w:val="auto"/>
          <w:szCs w:val="21"/>
          <w:highlight w:val="none"/>
        </w:rPr>
        <w:t>），属于（</w:t>
      </w:r>
      <w:r>
        <w:rPr>
          <w:rFonts w:hint="eastAsia" w:ascii="宋体" w:hAnsi="宋体"/>
          <w:bCs/>
          <w:color w:val="auto"/>
          <w:szCs w:val="21"/>
          <w:highlight w:val="none"/>
          <w:u w:val="single"/>
        </w:rPr>
        <w:t>采购文件中明确的所属行业</w:t>
      </w:r>
      <w:r>
        <w:rPr>
          <w:rFonts w:hint="eastAsia" w:ascii="宋体" w:hAnsi="宋体"/>
          <w:bCs/>
          <w:color w:val="auto"/>
          <w:szCs w:val="21"/>
          <w:highlight w:val="none"/>
        </w:rPr>
        <w:t>）行业；承接企业为（</w:t>
      </w:r>
      <w:r>
        <w:rPr>
          <w:rFonts w:hint="eastAsia" w:ascii="宋体" w:hAnsi="宋体"/>
          <w:bCs/>
          <w:color w:val="auto"/>
          <w:szCs w:val="21"/>
          <w:highlight w:val="none"/>
          <w:u w:val="single"/>
        </w:rPr>
        <w:t>企业名称</w:t>
      </w:r>
      <w:r>
        <w:rPr>
          <w:rFonts w:hint="eastAsia" w:ascii="宋体" w:hAnsi="宋体"/>
          <w:bCs/>
          <w:color w:val="auto"/>
          <w:szCs w:val="21"/>
          <w:highlight w:val="none"/>
        </w:rPr>
        <w:t>），从业人员</w:t>
      </w:r>
      <w:r>
        <w:rPr>
          <w:rFonts w:ascii="宋体" w:hAnsi="宋体"/>
          <w:bCs/>
          <w:color w:val="auto"/>
          <w:szCs w:val="21"/>
          <w:highlight w:val="none"/>
          <w:u w:val="single"/>
        </w:rPr>
        <w:t xml:space="preserve">  </w:t>
      </w:r>
      <w:r>
        <w:rPr>
          <w:rFonts w:hint="eastAsia" w:ascii="宋体" w:hAnsi="宋体"/>
          <w:bCs/>
          <w:color w:val="auto"/>
          <w:szCs w:val="21"/>
          <w:highlight w:val="none"/>
        </w:rPr>
        <w:t>人，营业收入为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rPr>
        <w:t xml:space="preserve"> </w:t>
      </w:r>
      <w:r>
        <w:rPr>
          <w:rFonts w:hint="eastAsia" w:ascii="宋体" w:hAnsi="宋体"/>
          <w:bCs/>
          <w:color w:val="auto"/>
          <w:szCs w:val="21"/>
          <w:highlight w:val="none"/>
        </w:rPr>
        <w:t>万元，资产总额为</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万元，属于（</w:t>
      </w:r>
      <w:r>
        <w:rPr>
          <w:rFonts w:hint="eastAsia" w:ascii="宋体" w:hAnsi="宋体"/>
          <w:bCs/>
          <w:color w:val="auto"/>
          <w:szCs w:val="21"/>
          <w:highlight w:val="none"/>
          <w:u w:val="single"/>
        </w:rPr>
        <w:t>中型企业、小型企业、微型企业</w:t>
      </w: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color w:val="auto"/>
          <w:szCs w:val="21"/>
          <w:highlight w:val="none"/>
        </w:rPr>
      </w:pPr>
      <w:r>
        <w:rPr>
          <w:rFonts w:hint="eastAsia" w:ascii="宋体" w:hAnsi="宋体"/>
          <w:bCs/>
          <w:color w:val="auto"/>
          <w:szCs w:val="21"/>
          <w:highlight w:val="none"/>
        </w:rPr>
        <w:t>本企业对上述声明内容的真实性负责。如有虚假，将依法承担相应责任。</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500" w:lineRule="exact"/>
        <w:ind w:right="451" w:rightChars="215" w:firstLine="3570" w:firstLineChars="1700"/>
        <w:jc w:val="center"/>
        <w:rPr>
          <w:rFonts w:hint="eastAsia" w:ascii="宋体" w:hAnsi="宋体"/>
          <w:bCs/>
          <w:color w:val="auto"/>
          <w:szCs w:val="21"/>
          <w:highlight w:val="none"/>
        </w:rPr>
      </w:pPr>
      <w:r>
        <w:rPr>
          <w:rFonts w:hint="eastAsia" w:ascii="宋体" w:hAnsi="宋体"/>
          <w:bCs/>
          <w:color w:val="auto"/>
          <w:szCs w:val="21"/>
          <w:highlight w:val="none"/>
        </w:rPr>
        <w:t>企业名称（盖章）：</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spacing w:line="500" w:lineRule="exact"/>
        <w:ind w:right="309" w:rightChars="147" w:firstLine="5460" w:firstLineChars="2600"/>
        <w:rPr>
          <w:rFonts w:hint="eastAsia"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20" w:lineRule="exact"/>
        <w:jc w:val="left"/>
        <w:rPr>
          <w:rFonts w:hint="eastAsia" w:hAnsi="宋体"/>
          <w:bCs/>
          <w:color w:val="auto"/>
          <w:sz w:val="18"/>
          <w:szCs w:val="18"/>
          <w:highlight w:val="none"/>
        </w:rPr>
      </w:pPr>
      <w:bookmarkStart w:id="145" w:name="_Hlk82091879"/>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),从)</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),人)</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),员)</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),业)</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),收)</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),入)</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),资)</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),产)</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),总)</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),额)</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),填)</w:instrText>
      </w:r>
      <w:r>
        <w:rPr>
          <w:rFonts w:hAnsi="宋体"/>
          <w:bCs/>
          <w:color w:val="auto"/>
          <w:sz w:val="18"/>
          <w:szCs w:val="18"/>
          <w:highlight w:val="none"/>
        </w:rPr>
        <w:fldChar w:fldCharType="end"/>
      </w:r>
      <w:r>
        <w:rPr>
          <w:rFonts w:hAnsi="宋体"/>
          <w:bCs/>
          <w:color w:val="auto"/>
          <w:sz w:val="18"/>
          <w:szCs w:val="18"/>
          <w:highlight w:val="none"/>
        </w:rPr>
        <w:fldChar w:fldCharType="begin"/>
      </w:r>
      <w:r>
        <w:rPr>
          <w:rFonts w:hAnsi="宋体"/>
          <w:bCs/>
          <w:color w:val="auto"/>
          <w:sz w:val="18"/>
          <w:szCs w:val="18"/>
          <w:highlight w:val="none"/>
        </w:rPr>
        <w:instrText xml:space="preserve">EQ \* jc2 \* hps9 \o\ad(\s\up 8(</w:instrText>
      </w:r>
      <w:r>
        <w:rPr>
          <w:rFonts w:ascii="宋体" w:hAnsi="宋体"/>
          <w:bCs/>
          <w:color w:val="auto"/>
          <w:sz w:val="18"/>
          <w:szCs w:val="18"/>
          <w:highlight w:val="none"/>
        </w:rPr>
        <w:instrText xml:space="preserve">——</w:instrText>
      </w:r>
      <w:r>
        <w:rPr>
          <w:rFonts w:hAnsi="宋体"/>
          <w:bCs/>
          <w:color w:val="auto"/>
          <w:sz w:val="18"/>
          <w:szCs w:val="18"/>
          <w:highlight w:val="none"/>
        </w:rPr>
        <w:instrText xml:space="preserve">),报)</w:instrText>
      </w:r>
      <w:r>
        <w:rPr>
          <w:rFonts w:hAnsi="宋体"/>
          <w:bCs/>
          <w:color w:val="auto"/>
          <w:sz w:val="18"/>
          <w:szCs w:val="18"/>
          <w:highlight w:val="none"/>
        </w:rPr>
        <w:fldChar w:fldCharType="end"/>
      </w:r>
      <w:bookmarkEnd w:id="145"/>
      <w:r>
        <w:rPr>
          <w:rFonts w:hint="eastAsia" w:hAnsi="宋体"/>
          <w:bCs/>
          <w:color w:val="auto"/>
          <w:sz w:val="18"/>
          <w:szCs w:val="18"/>
          <w:highlight w:val="none"/>
        </w:rPr>
        <w:t>上一年度数据，无上一年度数据的新成立企业可不填报。</w:t>
      </w:r>
      <w:bookmarkEnd w:id="138"/>
    </w:p>
    <w:p>
      <w:pPr>
        <w:pStyle w:val="5"/>
        <w:rPr>
          <w:color w:val="auto"/>
          <w:highlight w:val="none"/>
        </w:rPr>
      </w:pPr>
      <w:r>
        <w:rPr>
          <w:color w:val="auto"/>
          <w:highlight w:val="none"/>
        </w:rPr>
        <w:br w:type="page"/>
      </w:r>
    </w:p>
    <w:tbl>
      <w:tblPr>
        <w:tblStyle w:val="35"/>
        <w:tblW w:w="9952" w:type="dxa"/>
        <w:tblInd w:w="150" w:type="dxa"/>
        <w:shd w:val="clear" w:color="auto" w:fill="FFFFFF"/>
        <w:tblLayout w:type="autofit"/>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440" w:lineRule="exact"/>
              <w:jc w:val="center"/>
              <w:rPr>
                <w:rFonts w:ascii="Helvetica" w:hAnsi="Helvetica" w:cs="Helvetica"/>
                <w:b/>
                <w:bCs/>
                <w:color w:val="auto"/>
                <w:kern w:val="0"/>
                <w:szCs w:val="21"/>
                <w:highlight w:val="none"/>
              </w:rPr>
            </w:pPr>
            <w:bookmarkStart w:id="146" w:name="_Hlk147826091"/>
            <w:r>
              <w:rPr>
                <w:rFonts w:ascii="Helvetica" w:hAnsi="Helvetica" w:cs="Helvetica"/>
                <w:b/>
                <w:bCs/>
                <w:color w:val="auto"/>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bookmarkStart w:id="147" w:name="_Hlk143699200"/>
            <w:r>
              <w:rPr>
                <w:rFonts w:ascii="Helvetica" w:hAnsi="Helvetica"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计量</w:t>
            </w:r>
          </w:p>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b/>
                <w:bCs/>
                <w:color w:val="auto"/>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300≤Y＜6000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5≤X＜20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200≤Y＜3000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Y＜100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2000≤Z＜5000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Z＜2000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500≤Y＜1000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100≤Z＜8000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Z＜100</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10≤X＜100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X＜10</w:t>
            </w:r>
          </w:p>
        </w:tc>
      </w:tr>
    </w:tbl>
    <w:p>
      <w:pPr>
        <w:widowControl/>
        <w:shd w:val="clear" w:color="auto" w:fill="FFFFFF"/>
        <w:spacing w:line="360" w:lineRule="atLeast"/>
        <w:jc w:val="left"/>
        <w:rPr>
          <w:rFonts w:ascii="Helvetica" w:hAnsi="Helvetica" w:cs="Helvetica"/>
          <w:color w:val="auto"/>
          <w:kern w:val="0"/>
          <w:szCs w:val="21"/>
          <w:highlight w:val="none"/>
        </w:rPr>
      </w:pPr>
    </w:p>
    <w:bookmarkEnd w:id="147"/>
    <w:p>
      <w:pPr>
        <w:widowControl/>
        <w:shd w:val="clear" w:color="auto" w:fill="FFFFFF"/>
        <w:spacing w:line="360" w:lineRule="atLeast"/>
        <w:jc w:val="left"/>
        <w:rPr>
          <w:rFonts w:ascii="Helvetica" w:hAnsi="Helvetica" w:cs="Helvetica"/>
          <w:color w:val="auto"/>
          <w:kern w:val="0"/>
          <w:sz w:val="18"/>
          <w:szCs w:val="18"/>
          <w:highlight w:val="none"/>
        </w:rPr>
      </w:pPr>
      <w:r>
        <w:rPr>
          <w:color w:val="auto"/>
          <w:highlight w:val="none"/>
        </w:rPr>
        <w:br w:type="page"/>
      </w:r>
      <w:r>
        <w:rPr>
          <w:rFonts w:ascii="Helvetica" w:hAnsi="Helvetica" w:cs="Helvetica"/>
          <w:color w:val="auto"/>
          <w:kern w:val="0"/>
          <w:sz w:val="18"/>
          <w:szCs w:val="18"/>
          <w:highlight w:val="none"/>
        </w:rPr>
        <w:t>说明：</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多式联运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装卸搬运</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仓储业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包括通用仓储，低温仓储，危险品仓储，谷物、棉花等农产品仓储，中药材仓储和其他仓储业;</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信息传输业</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color w:val="auto"/>
          <w:kern w:val="0"/>
          <w:sz w:val="18"/>
          <w:szCs w:val="18"/>
          <w:highlight w:val="none"/>
        </w:rPr>
      </w:pPr>
      <w:r>
        <w:rPr>
          <w:rFonts w:ascii="Helvetica" w:hAnsi="Helvetica" w:cs="Helvetica"/>
          <w:color w:val="auto"/>
          <w:kern w:val="0"/>
          <w:sz w:val="18"/>
          <w:szCs w:val="18"/>
          <w:highlight w:val="none"/>
        </w:rPr>
        <w:t>3.企业划分指标以现行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统计制度</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为准。（1）从业人员，是指期末从业人员数，没有期末从业人员数的，采用全年平均人员数代替。（2）</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营业收入</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ascii="Helvetica" w:hAnsi="Helvetica" w:cs="Helvetica"/>
          <w:color w:val="auto"/>
          <w:kern w:val="0"/>
          <w:sz w:val="18"/>
          <w:szCs w:val="18"/>
          <w:highlight w:val="none"/>
          <w:u w:val="single"/>
        </w:rPr>
        <w:t>资产总额</w:t>
      </w:r>
      <w:r>
        <w:rPr>
          <w:rFonts w:ascii="Helvetica" w:hAnsi="Helvetica" w:cs="Helvetica"/>
          <w:color w:val="auto"/>
          <w:kern w:val="0"/>
          <w:sz w:val="18"/>
          <w:szCs w:val="18"/>
          <w:highlight w:val="none"/>
          <w:u w:val="single"/>
        </w:rPr>
        <w:fldChar w:fldCharType="end"/>
      </w:r>
      <w:r>
        <w:rPr>
          <w:rFonts w:ascii="Helvetica" w:hAnsi="Helvetica" w:cs="Helvetica"/>
          <w:color w:val="auto"/>
          <w:kern w:val="0"/>
          <w:sz w:val="18"/>
          <w:szCs w:val="18"/>
          <w:highlight w:val="none"/>
        </w:rPr>
        <w:t>，采用资产总计代替。</w:t>
      </w:r>
    </w:p>
    <w:bookmarkEnd w:id="146"/>
    <w:p>
      <w:pPr>
        <w:widowControl/>
        <w:jc w:val="left"/>
        <w:rPr>
          <w:b/>
          <w:bCs/>
          <w:color w:val="auto"/>
          <w:sz w:val="32"/>
          <w:szCs w:val="32"/>
          <w:highlight w:val="none"/>
        </w:rPr>
      </w:pPr>
      <w:r>
        <w:rPr>
          <w:color w:val="auto"/>
          <w:highlight w:val="none"/>
        </w:rPr>
        <w:br w:type="page"/>
      </w:r>
    </w:p>
    <w:p>
      <w:pPr>
        <w:spacing w:line="320" w:lineRule="exact"/>
        <w:jc w:val="left"/>
        <w:rPr>
          <w:rFonts w:hint="eastAsia" w:hAnsi="宋体"/>
          <w:bCs/>
          <w:color w:val="auto"/>
          <w:sz w:val="18"/>
          <w:szCs w:val="18"/>
          <w:highlight w:val="none"/>
        </w:rPr>
      </w:pPr>
    </w:p>
    <w:p>
      <w:pPr>
        <w:pStyle w:val="21"/>
        <w:spacing w:line="440" w:lineRule="exact"/>
        <w:jc w:val="center"/>
        <w:rPr>
          <w:rFonts w:hint="eastAsia" w:ascii="仿宋" w:hAnsi="仿宋" w:eastAsia="仿宋"/>
          <w:b/>
          <w:color w:val="auto"/>
          <w:kern w:val="0"/>
          <w:sz w:val="32"/>
          <w:szCs w:val="32"/>
          <w:highlight w:val="none"/>
        </w:rPr>
      </w:pPr>
      <w:r>
        <w:rPr>
          <w:rFonts w:hint="eastAsia" w:ascii="仿宋" w:hAnsi="仿宋" w:eastAsia="仿宋"/>
          <w:b/>
          <w:color w:val="auto"/>
          <w:kern w:val="0"/>
          <w:sz w:val="32"/>
          <w:szCs w:val="32"/>
          <w:highlight w:val="none"/>
        </w:rPr>
        <w:t>残疾人福利性单位声明函</w:t>
      </w:r>
    </w:p>
    <w:p>
      <w:pPr>
        <w:rPr>
          <w:color w:val="auto"/>
          <w:highlight w:val="none"/>
        </w:rPr>
      </w:pP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本单位郑重声明，根据</w:t>
      </w:r>
      <w:bookmarkStart w:id="148" w:name="_Hlk82091361"/>
      <w:r>
        <w:rPr>
          <w:rFonts w:hint="eastAsia" w:ascii="宋体" w:hAnsi="宋体" w:cs="Courier New"/>
          <w:color w:val="auto"/>
          <w:kern w:val="0"/>
          <w:szCs w:val="21"/>
          <w:highlight w:val="none"/>
        </w:rPr>
        <w:t>《</w:t>
      </w:r>
      <w:r>
        <w:rPr>
          <w:color w:val="auto"/>
          <w:highlight w:val="none"/>
        </w:rPr>
        <w:fldChar w:fldCharType="begin"/>
      </w:r>
      <w:r>
        <w:rPr>
          <w:color w:val="auto"/>
          <w:highlight w:val="none"/>
        </w:rPr>
        <w:instrText xml:space="preserve"> HYPERLINK "http://www.mof.gov.cn/gp/xxgkml/gks/201709/t20170901_2689542.htm" </w:instrText>
      </w:r>
      <w:r>
        <w:rPr>
          <w:color w:val="auto"/>
          <w:highlight w:val="none"/>
        </w:rPr>
        <w:fldChar w:fldCharType="separate"/>
      </w:r>
      <w:r>
        <w:rPr>
          <w:rFonts w:hint="eastAsia" w:ascii="宋体" w:hAnsi="Courier New" w:cs="Courier New"/>
          <w:color w:val="auto"/>
          <w:kern w:val="0"/>
          <w:szCs w:val="21"/>
          <w:highlight w:val="none"/>
        </w:rPr>
        <w:t>财政部 民政部 中国残疾人联合会关于促进残疾人就业政府采购政策的通知》（财库〔2017〕141号）</w:t>
      </w:r>
      <w:r>
        <w:rPr>
          <w:rFonts w:hint="eastAsia" w:ascii="宋体" w:hAnsi="Courier New" w:cs="Courier New"/>
          <w:color w:val="auto"/>
          <w:kern w:val="0"/>
          <w:szCs w:val="21"/>
          <w:highlight w:val="none"/>
        </w:rPr>
        <w:fldChar w:fldCharType="end"/>
      </w:r>
      <w:bookmarkEnd w:id="148"/>
      <w:r>
        <w:rPr>
          <w:rFonts w:hint="eastAsia" w:ascii="宋体" w:hAnsi="宋体" w:cs="Courier New"/>
          <w:color w:val="auto"/>
          <w:kern w:val="0"/>
          <w:szCs w:val="21"/>
          <w:highlight w:val="none"/>
        </w:rPr>
        <w:t>的规定，本单位为符合条件的残疾人福利性单位，且本单位参加（</w:t>
      </w:r>
      <w:r>
        <w:rPr>
          <w:rFonts w:hint="eastAsia" w:ascii="宋体" w:hAnsi="宋体" w:cs="Courier New"/>
          <w:color w:val="auto"/>
          <w:kern w:val="0"/>
          <w:szCs w:val="21"/>
          <w:highlight w:val="none"/>
          <w:u w:val="single"/>
        </w:rPr>
        <w:t>单位名称</w:t>
      </w:r>
      <w:r>
        <w:rPr>
          <w:rFonts w:hint="eastAsia" w:ascii="宋体" w:hAnsi="宋体" w:cs="Courier New"/>
          <w:color w:val="auto"/>
          <w:kern w:val="0"/>
          <w:szCs w:val="21"/>
          <w:highlight w:val="none"/>
        </w:rPr>
        <w:t>）的（</w:t>
      </w:r>
      <w:r>
        <w:rPr>
          <w:rFonts w:hint="eastAsia" w:ascii="宋体" w:hAnsi="宋体" w:cs="Courier New"/>
          <w:color w:val="auto"/>
          <w:kern w:val="0"/>
          <w:szCs w:val="21"/>
          <w:highlight w:val="none"/>
          <w:u w:val="single"/>
        </w:rPr>
        <w:t>项目名称</w:t>
      </w:r>
      <w:r>
        <w:rPr>
          <w:rFonts w:hint="eastAsia" w:ascii="宋体" w:hAnsi="宋体" w:cs="Courier New"/>
          <w:color w:val="auto"/>
          <w:kern w:val="0"/>
          <w:szCs w:val="21"/>
          <w:highlight w:val="none"/>
        </w:rPr>
        <w:t>）采购活动提供本单位制造的货物，或者提供其他残疾人福利性单位（</w:t>
      </w:r>
      <w:r>
        <w:rPr>
          <w:rFonts w:hint="eastAsia" w:ascii="宋体" w:hAnsi="宋体" w:cs="Courier New"/>
          <w:color w:val="auto"/>
          <w:kern w:val="0"/>
          <w:szCs w:val="21"/>
          <w:highlight w:val="none"/>
          <w:u w:val="single"/>
        </w:rPr>
        <w:t>请填写具体单位名称</w:t>
      </w:r>
      <w:r>
        <w:rPr>
          <w:rFonts w:hint="eastAsia" w:ascii="宋体" w:hAnsi="宋体" w:cs="Courier New"/>
          <w:color w:val="auto"/>
          <w:kern w:val="0"/>
          <w:szCs w:val="21"/>
          <w:highlight w:val="none"/>
        </w:rPr>
        <w:t>）制造的货物（不包括使用非残疾人福利性单位注册商标的货物）。</w:t>
      </w:r>
    </w:p>
    <w:p>
      <w:pPr>
        <w:spacing w:line="660" w:lineRule="exact"/>
        <w:ind w:firstLine="420" w:firstLineChars="2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本单位对上述声明的真实性负责。如有虚假，将依法承担相应责任。</w:t>
      </w:r>
    </w:p>
    <w:p>
      <w:pPr>
        <w:rPr>
          <w:color w:val="auto"/>
          <w:highlight w:val="none"/>
        </w:rPr>
      </w:pPr>
    </w:p>
    <w:p>
      <w:pPr>
        <w:rPr>
          <w:color w:val="auto"/>
          <w:highlight w:val="none"/>
        </w:rPr>
      </w:pPr>
    </w:p>
    <w:p>
      <w:pPr>
        <w:rPr>
          <w:color w:val="auto"/>
          <w:highlight w:val="none"/>
        </w:rPr>
      </w:pPr>
    </w:p>
    <w:p>
      <w:pPr>
        <w:spacing w:line="500" w:lineRule="exact"/>
        <w:ind w:firstLine="5250" w:firstLineChars="2500"/>
        <w:rPr>
          <w:rFonts w:hint="eastAsia" w:ascii="宋体" w:hAnsi="宋体" w:cs="Courier New"/>
          <w:color w:val="auto"/>
          <w:kern w:val="0"/>
          <w:szCs w:val="21"/>
          <w:highlight w:val="none"/>
        </w:rPr>
      </w:pPr>
      <w:r>
        <w:rPr>
          <w:rFonts w:hint="eastAsia" w:ascii="宋体" w:hAnsi="宋体" w:cs="Courier New"/>
          <w:color w:val="auto"/>
          <w:kern w:val="0"/>
          <w:szCs w:val="21"/>
          <w:highlight w:val="none"/>
        </w:rPr>
        <w:t>单位名称（盖章）：</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spacing w:line="500" w:lineRule="exact"/>
        <w:ind w:firstLine="5250" w:firstLineChars="2500"/>
        <w:rPr>
          <w:rFonts w:hint="eastAsia" w:ascii="宋体" w:hAnsi="宋体" w:cs="Courier New"/>
          <w:color w:val="auto"/>
          <w:szCs w:val="21"/>
          <w:highlight w:val="none"/>
          <w:u w:val="single"/>
        </w:rPr>
      </w:pPr>
      <w:r>
        <w:rPr>
          <w:rFonts w:hint="eastAsia" w:ascii="宋体" w:hAnsi="宋体" w:cs="Courier New"/>
          <w:color w:val="auto"/>
          <w:kern w:val="0"/>
          <w:szCs w:val="21"/>
          <w:highlight w:val="none"/>
        </w:rPr>
        <w:t>日  期：</w:t>
      </w:r>
      <w:r>
        <w:rPr>
          <w:rFonts w:hint="eastAsia" w:ascii="宋体" w:hAnsi="宋体" w:cs="Courier New"/>
          <w:color w:val="auto"/>
          <w:szCs w:val="21"/>
          <w:highlight w:val="none"/>
          <w:u w:val="single"/>
        </w:rPr>
        <w:t xml:space="preserve"> </w:t>
      </w:r>
      <w:r>
        <w:rPr>
          <w:rFonts w:ascii="宋体" w:hAnsi="宋体" w:cs="Courier New"/>
          <w:color w:val="auto"/>
          <w:szCs w:val="21"/>
          <w:highlight w:val="none"/>
          <w:u w:val="single"/>
        </w:rPr>
        <w:t xml:space="preserve">                       </w:t>
      </w:r>
    </w:p>
    <w:p>
      <w:pPr>
        <w:widowControl/>
        <w:jc w:val="left"/>
        <w:rPr>
          <w:rFonts w:ascii="宋体" w:hAnsi="Courier New" w:cs="Courier New"/>
          <w:color w:val="auto"/>
          <w:sz w:val="18"/>
          <w:szCs w:val="18"/>
          <w:highlight w:val="none"/>
        </w:rPr>
      </w:pPr>
      <w:r>
        <w:rPr>
          <w:rFonts w:ascii="黑体" w:hAnsi="黑体" w:eastAsia="黑体" w:cs="黑体"/>
          <w:b/>
          <w:color w:val="auto"/>
          <w:sz w:val="32"/>
          <w:szCs w:val="32"/>
          <w:highlight w:val="none"/>
        </w:rPr>
        <w:br w:type="page"/>
      </w:r>
      <w:r>
        <w:rPr>
          <w:rFonts w:hint="eastAsia" w:ascii="仿宋" w:hAnsi="仿宋" w:eastAsia="仿宋"/>
          <w:b/>
          <w:color w:val="auto"/>
          <w:sz w:val="36"/>
          <w:szCs w:val="36"/>
          <w:highlight w:val="none"/>
        </w:rPr>
        <w:t>二、商务技术文件</w:t>
      </w:r>
    </w:p>
    <w:p>
      <w:pPr>
        <w:widowControl/>
        <w:jc w:val="center"/>
        <w:rPr>
          <w:rFonts w:hint="eastAsia" w:ascii="仿宋" w:hAnsi="仿宋" w:eastAsia="仿宋" w:cs="黑体"/>
          <w:b/>
          <w:color w:val="auto"/>
          <w:sz w:val="32"/>
          <w:szCs w:val="32"/>
          <w:highlight w:val="none"/>
        </w:rPr>
      </w:pPr>
      <w:bookmarkStart w:id="149" w:name="_Hlk92702324"/>
      <w:r>
        <w:rPr>
          <w:rFonts w:hint="eastAsia" w:ascii="仿宋" w:hAnsi="仿宋" w:eastAsia="仿宋" w:cs="黑体"/>
          <w:b/>
          <w:color w:val="auto"/>
          <w:sz w:val="32"/>
          <w:szCs w:val="32"/>
          <w:highlight w:val="none"/>
        </w:rPr>
        <w:t>磋 商 函</w:t>
      </w:r>
      <w:bookmarkEnd w:id="149"/>
      <w:r>
        <w:rPr>
          <w:rFonts w:hint="eastAsia" w:ascii="仿宋" w:hAnsi="仿宋" w:eastAsia="仿宋" w:cs="黑体"/>
          <w:bCs/>
          <w:color w:val="auto"/>
          <w:sz w:val="24"/>
          <w:highlight w:val="none"/>
        </w:rPr>
        <w:t>(格式</w:t>
      </w:r>
      <w:r>
        <w:rPr>
          <w:rFonts w:ascii="仿宋" w:hAnsi="仿宋" w:eastAsia="仿宋" w:cs="黑体"/>
          <w:bCs/>
          <w:color w:val="auto"/>
          <w:sz w:val="24"/>
          <w:highlight w:val="none"/>
        </w:rPr>
        <w:t>)</w:t>
      </w:r>
    </w:p>
    <w:p>
      <w:pPr>
        <w:spacing w:line="360" w:lineRule="exact"/>
        <w:jc w:val="center"/>
        <w:rPr>
          <w:rFonts w:hint="eastAsia" w:ascii="宋体" w:hAnsi="宋体"/>
          <w:b/>
          <w:color w:val="auto"/>
          <w:szCs w:val="21"/>
          <w:highlight w:val="none"/>
        </w:rPr>
      </w:pPr>
    </w:p>
    <w:p>
      <w:pPr>
        <w:spacing w:line="400" w:lineRule="exact"/>
        <w:rPr>
          <w:rFonts w:hint="eastAsia" w:ascii="宋体" w:hAnsi="宋体"/>
          <w:color w:val="auto"/>
          <w:szCs w:val="21"/>
          <w:highlight w:val="none"/>
        </w:rPr>
      </w:pPr>
      <w:r>
        <w:rPr>
          <w:rFonts w:hint="eastAsia" w:ascii="宋体" w:hAnsi="宋体"/>
          <w:color w:val="auto"/>
          <w:szCs w:val="21"/>
          <w:highlight w:val="none"/>
        </w:rPr>
        <w:t>致：钦州市政府采购中心：</w:t>
      </w:r>
    </w:p>
    <w:p>
      <w:pPr>
        <w:pStyle w:val="21"/>
        <w:spacing w:line="480" w:lineRule="exact"/>
        <w:ind w:firstLine="420"/>
        <w:rPr>
          <w:rFonts w:hint="eastAsia" w:hAnsi="宋体"/>
          <w:color w:val="auto"/>
          <w:highlight w:val="none"/>
        </w:rPr>
      </w:pPr>
      <w:r>
        <w:rPr>
          <w:rFonts w:hint="eastAsia" w:hAnsi="宋体"/>
          <w:color w:val="auto"/>
          <w:highlight w:val="none"/>
        </w:rPr>
        <w:t>依据贵方</w:t>
      </w:r>
      <w:r>
        <w:rPr>
          <w:rFonts w:hint="eastAsia" w:hAnsi="宋体"/>
          <w:color w:val="auto"/>
          <w:highlight w:val="none"/>
          <w:u w:val="single"/>
        </w:rPr>
        <w:t>（项目名称/文件编号）</w:t>
      </w:r>
      <w:r>
        <w:rPr>
          <w:rFonts w:hint="eastAsia" w:hAnsi="宋体"/>
          <w:color w:val="auto"/>
          <w:highlight w:val="none"/>
        </w:rPr>
        <w:t>项目竞争性磋商采购文件，我方</w:t>
      </w:r>
      <w:r>
        <w:rPr>
          <w:rFonts w:hint="eastAsia" w:hAnsi="宋体"/>
          <w:color w:val="auto"/>
          <w:highlight w:val="none"/>
          <w:u w:val="single"/>
        </w:rPr>
        <w:t xml:space="preserve"> （供应商名称） </w:t>
      </w:r>
      <w:r>
        <w:rPr>
          <w:rFonts w:hint="eastAsia" w:hAnsi="宋体"/>
          <w:color w:val="auto"/>
          <w:highlight w:val="none"/>
        </w:rPr>
        <w:t>经正式授权代表</w:t>
      </w:r>
      <w:r>
        <w:rPr>
          <w:rFonts w:hint="eastAsia" w:hAnsi="宋体"/>
          <w:color w:val="auto"/>
          <w:highlight w:val="none"/>
          <w:u w:val="single"/>
        </w:rPr>
        <w:t xml:space="preserve">   （被授权人）</w:t>
      </w:r>
      <w:r>
        <w:rPr>
          <w:rFonts w:hint="eastAsia" w:hAnsi="宋体"/>
          <w:color w:val="auto"/>
          <w:highlight w:val="none"/>
        </w:rPr>
        <w:t>提交响应文件。</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据此函，我公司承诺：</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我方在磋商之前已经与贵方进行了充分的沟通，完全理解并接受采购文件的各项规定和要求，对采购文件的合理性、合法性不再有异议。</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4</w:t>
      </w:r>
      <w:r>
        <w:rPr>
          <w:rFonts w:hint="eastAsia" w:ascii="宋体" w:hAnsi="宋体"/>
          <w:color w:val="auto"/>
          <w:szCs w:val="21"/>
          <w:highlight w:val="none"/>
        </w:rPr>
        <w:t>.我方根据采购文件的规定，承担完成合同的责任和义务。</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5</w:t>
      </w:r>
      <w:r>
        <w:rPr>
          <w:rFonts w:hint="eastAsia" w:ascii="宋体" w:hAnsi="宋体"/>
          <w:color w:val="auto"/>
          <w:szCs w:val="21"/>
          <w:highlight w:val="none"/>
        </w:rPr>
        <w:t>.同意向贵方提供贵方可能要求的与本项目采购有关的人员、数据和资料。</w:t>
      </w:r>
    </w:p>
    <w:p>
      <w:pPr>
        <w:spacing w:line="400" w:lineRule="exact"/>
        <w:ind w:firstLine="424" w:firstLineChars="202"/>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我方向贵方提交的所有响应文件、资料都是准确的和真实的。</w:t>
      </w:r>
    </w:p>
    <w:p>
      <w:pPr>
        <w:spacing w:line="400" w:lineRule="exact"/>
        <w:rPr>
          <w:rFonts w:hint="eastAsia" w:ascii="宋体" w:hAnsi="宋体"/>
          <w:color w:val="auto"/>
          <w:szCs w:val="21"/>
          <w:highlight w:val="none"/>
        </w:rPr>
      </w:pPr>
    </w:p>
    <w:p>
      <w:pPr>
        <w:spacing w:line="400" w:lineRule="exact"/>
        <w:ind w:firstLine="426"/>
        <w:rPr>
          <w:rFonts w:hint="eastAsia" w:ascii="宋体" w:hAnsi="宋体"/>
          <w:color w:val="auto"/>
          <w:szCs w:val="21"/>
          <w:highlight w:val="none"/>
        </w:rPr>
      </w:pPr>
      <w:r>
        <w:rPr>
          <w:rFonts w:hint="eastAsia" w:ascii="宋体" w:hAnsi="宋体"/>
          <w:color w:val="auto"/>
          <w:szCs w:val="21"/>
          <w:highlight w:val="none"/>
        </w:rPr>
        <w:t>与我公司有关的正式通讯方式：</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地址：</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电话、电报、传真或电传：</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开户名称：</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开户银行：</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u w:val="single"/>
        </w:rPr>
      </w:pPr>
      <w:r>
        <w:rPr>
          <w:rFonts w:ascii="宋体" w:hAnsi="宋体"/>
          <w:color w:val="auto"/>
          <w:szCs w:val="21"/>
          <w:highlight w:val="none"/>
        </w:rPr>
        <w:tab/>
      </w:r>
      <w:r>
        <w:rPr>
          <w:rFonts w:hint="eastAsia" w:ascii="宋体" w:hAnsi="宋体"/>
          <w:color w:val="auto"/>
          <w:szCs w:val="21"/>
          <w:highlight w:val="none"/>
        </w:rPr>
        <w:t>账    号：</w:t>
      </w:r>
      <w:r>
        <w:rPr>
          <w:rFonts w:hint="eastAsia" w:ascii="宋体" w:hAnsi="宋体"/>
          <w:color w:val="auto"/>
          <w:szCs w:val="21"/>
          <w:highlight w:val="none"/>
          <w:u w:val="single"/>
        </w:rPr>
        <w:t xml:space="preserve">                               </w:t>
      </w:r>
    </w:p>
    <w:p>
      <w:pPr>
        <w:rPr>
          <w:color w:val="auto"/>
          <w:highlight w:val="none"/>
        </w:rPr>
      </w:pPr>
    </w:p>
    <w:p>
      <w:pPr>
        <w:rPr>
          <w:color w:val="auto"/>
          <w:highlight w:val="none"/>
        </w:rPr>
      </w:pPr>
    </w:p>
    <w:p>
      <w:pPr>
        <w:rPr>
          <w:color w:val="auto"/>
          <w:highlight w:val="none"/>
        </w:rPr>
      </w:pP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rPr>
          <w:rFonts w:hint="eastAsia" w:ascii="宋体" w:hAnsi="宋体"/>
          <w:color w:val="auto"/>
          <w:szCs w:val="21"/>
          <w:highlight w:val="none"/>
        </w:rPr>
      </w:pPr>
      <w:r>
        <w:rPr>
          <w:rFonts w:ascii="宋体" w:hAnsi="宋体"/>
          <w:color w:val="auto"/>
          <w:szCs w:val="21"/>
          <w:highlight w:val="none"/>
        </w:rPr>
        <w:tab/>
      </w:r>
      <w:r>
        <w:rPr>
          <w:rFonts w:ascii="宋体" w:hAnsi="宋体"/>
          <w:color w:val="auto"/>
          <w:szCs w:val="21"/>
          <w:highlight w:val="none"/>
        </w:rPr>
        <w:t xml:space="preserve">                                              </w:t>
      </w: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pPr>
        <w:widowControl/>
        <w:jc w:val="left"/>
        <w:rPr>
          <w:color w:val="auto"/>
          <w:highlight w:val="none"/>
        </w:rPr>
      </w:pPr>
      <w:r>
        <w:rPr>
          <w:color w:val="auto"/>
          <w:highlight w:val="none"/>
        </w:rPr>
        <w:br w:type="page"/>
      </w:r>
    </w:p>
    <w:p>
      <w:pPr>
        <w:rPr>
          <w:color w:val="auto"/>
          <w:highlight w:val="none"/>
        </w:rPr>
      </w:pPr>
    </w:p>
    <w:p>
      <w:pPr>
        <w:jc w:val="center"/>
        <w:rPr>
          <w:rFonts w:hint="eastAsia" w:ascii="仿宋" w:hAnsi="仿宋" w:eastAsia="仿宋"/>
          <w:color w:val="auto"/>
          <w:sz w:val="32"/>
          <w:szCs w:val="32"/>
          <w:highlight w:val="none"/>
        </w:rPr>
      </w:pPr>
      <w:r>
        <w:rPr>
          <w:rFonts w:hint="eastAsia" w:ascii="仿宋" w:hAnsi="仿宋" w:eastAsia="仿宋"/>
          <w:b/>
          <w:color w:val="auto"/>
          <w:sz w:val="32"/>
          <w:szCs w:val="32"/>
          <w:highlight w:val="none"/>
        </w:rPr>
        <w:t>授权委托书</w:t>
      </w:r>
      <w:bookmarkStart w:id="150" w:name="_Hlk92703623"/>
      <w:r>
        <w:rPr>
          <w:rFonts w:hint="eastAsia" w:ascii="仿宋" w:hAnsi="仿宋" w:eastAsia="仿宋"/>
          <w:color w:val="auto"/>
          <w:sz w:val="24"/>
          <w:highlight w:val="none"/>
        </w:rPr>
        <w:t>(格式</w:t>
      </w:r>
      <w:r>
        <w:rPr>
          <w:rFonts w:ascii="仿宋" w:hAnsi="仿宋" w:eastAsia="仿宋"/>
          <w:color w:val="auto"/>
          <w:sz w:val="24"/>
          <w:highlight w:val="none"/>
        </w:rPr>
        <w:t>)</w:t>
      </w:r>
      <w:bookmarkEnd w:id="150"/>
    </w:p>
    <w:p>
      <w:pPr>
        <w:snapToGrid w:val="0"/>
        <w:spacing w:before="156" w:beforeLines="50" w:after="50" w:line="500" w:lineRule="exact"/>
        <w:rPr>
          <w:rFonts w:hint="eastAsia" w:ascii="宋体" w:hAnsi="宋体"/>
          <w:b/>
          <w:bCs/>
          <w:color w:val="auto"/>
          <w:szCs w:val="21"/>
          <w:highlight w:val="none"/>
        </w:rPr>
      </w:pPr>
      <w:r>
        <w:rPr>
          <w:rFonts w:hint="eastAsia" w:ascii="宋体" w:hAnsi="宋体"/>
          <w:bCs/>
          <w:color w:val="auto"/>
          <w:szCs w:val="21"/>
          <w:highlight w:val="none"/>
        </w:rPr>
        <w:t>致：</w:t>
      </w:r>
      <w:r>
        <w:rPr>
          <w:rFonts w:hint="eastAsia"/>
          <w:color w:val="auto"/>
          <w:highlight w:val="none"/>
        </w:rPr>
        <w:t>钦州市政府采购中心</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w:t>
      </w:r>
      <w:r>
        <w:rPr>
          <w:rFonts w:hint="eastAsia" w:ascii="宋体" w:hAnsi="宋体"/>
          <w:color w:val="auto"/>
          <w:szCs w:val="21"/>
          <w:highlight w:val="none"/>
          <w:u w:val="single"/>
        </w:rPr>
        <w:t>（姓名）</w:t>
      </w:r>
      <w:r>
        <w:rPr>
          <w:rFonts w:hint="eastAsia" w:ascii="宋体" w:hAnsi="宋体"/>
          <w:color w:val="auto"/>
          <w:szCs w:val="21"/>
          <w:highlight w:val="none"/>
        </w:rPr>
        <w:t>系</w:t>
      </w:r>
      <w:r>
        <w:rPr>
          <w:rFonts w:hint="eastAsia" w:ascii="宋体" w:hAnsi="宋体"/>
          <w:color w:val="auto"/>
          <w:szCs w:val="21"/>
          <w:highlight w:val="none"/>
          <w:u w:val="single"/>
        </w:rPr>
        <w:t>（供应商名称）</w:t>
      </w:r>
      <w:r>
        <w:rPr>
          <w:rFonts w:hint="eastAsia" w:ascii="宋体" w:hAnsi="宋体"/>
          <w:color w:val="auto"/>
          <w:szCs w:val="21"/>
          <w:highlight w:val="none"/>
        </w:rPr>
        <w:t>的法定代表人，现授权委托本单位在职职工</w:t>
      </w:r>
      <w:r>
        <w:rPr>
          <w:rFonts w:hint="eastAsia" w:ascii="宋体" w:hAnsi="宋体"/>
          <w:color w:val="auto"/>
          <w:szCs w:val="21"/>
          <w:highlight w:val="none"/>
          <w:u w:val="single"/>
        </w:rPr>
        <w:t>（姓名）</w:t>
      </w:r>
      <w:r>
        <w:rPr>
          <w:rFonts w:hint="eastAsia" w:ascii="宋体" w:hAnsi="宋体"/>
          <w:color w:val="auto"/>
          <w:szCs w:val="21"/>
          <w:highlight w:val="none"/>
        </w:rPr>
        <w:t>以我方的名义参加</w:t>
      </w:r>
      <w:r>
        <w:rPr>
          <w:rFonts w:hint="eastAsia" w:ascii="宋体" w:hAnsi="宋体"/>
          <w:color w:val="auto"/>
          <w:szCs w:val="21"/>
          <w:highlight w:val="none"/>
          <w:u w:val="single"/>
        </w:rPr>
        <w:t>（项目名称/项目编号）</w:t>
      </w:r>
      <w:r>
        <w:rPr>
          <w:rFonts w:hint="eastAsia" w:ascii="宋体" w:hAnsi="宋体"/>
          <w:color w:val="auto"/>
          <w:szCs w:val="21"/>
          <w:highlight w:val="none"/>
        </w:rPr>
        <w:t>的磋商活动，并代表我方全权办理针对上述项目的磋商、签约等具体事务和签署相关文件。</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我方对被授权人的签名事项负全部责任。</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u w:val="single"/>
        </w:rPr>
        <w:t>在撤销授权的书面通知以前，本授权书一直有效</w:t>
      </w:r>
      <w:r>
        <w:rPr>
          <w:rFonts w:hint="eastAsia" w:ascii="宋体" w:hAnsi="宋体"/>
          <w:color w:val="auto"/>
          <w:szCs w:val="21"/>
          <w:highlight w:val="none"/>
        </w:rPr>
        <w:t>。被授权人在授权书有效期内签署的所有文件不因授权的撤销而失效。</w:t>
      </w:r>
    </w:p>
    <w:p>
      <w:pPr>
        <w:snapToGrid w:val="0"/>
        <w:spacing w:before="156" w:beforeLines="50" w:after="50"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被授权人无转委托权，特此委托。</w:t>
      </w:r>
    </w:p>
    <w:p>
      <w:pPr>
        <w:snapToGrid w:val="0"/>
        <w:spacing w:before="156" w:beforeLines="50" w:after="50" w:line="300" w:lineRule="exact"/>
        <w:rPr>
          <w:rFonts w:hint="eastAsia" w:ascii="宋体" w:hAnsi="宋体"/>
          <w:color w:val="auto"/>
          <w:szCs w:val="21"/>
          <w:highlight w:val="none"/>
        </w:rPr>
      </w:pPr>
    </w:p>
    <w:p>
      <w:pPr>
        <w:snapToGrid w:val="0"/>
        <w:spacing w:before="156" w:beforeLines="50" w:after="50" w:line="3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被授权人身份证号码：</w:t>
      </w:r>
      <w:r>
        <w:rPr>
          <w:rFonts w:hint="eastAsia" w:ascii="宋体" w:hAnsi="宋体"/>
          <w:color w:val="auto"/>
          <w:szCs w:val="21"/>
          <w:highlight w:val="none"/>
          <w:u w:val="single"/>
        </w:rPr>
        <w:t xml:space="preserve">                  </w:t>
      </w:r>
    </w:p>
    <w:p>
      <w:pPr>
        <w:snapToGrid w:val="0"/>
        <w:spacing w:before="156" w:beforeLines="50" w:after="50" w:line="300" w:lineRule="exact"/>
        <w:ind w:firstLine="420" w:firstLineChars="200"/>
        <w:rPr>
          <w:rFonts w:hint="eastAsia" w:hAnsi="宋体"/>
          <w:color w:val="auto"/>
          <w:highlight w:val="none"/>
        </w:rPr>
      </w:pPr>
      <w:r>
        <w:rPr>
          <w:rFonts w:hint="eastAsia" w:hAnsi="宋体"/>
          <w:color w:val="auto"/>
          <w:highlight w:val="none"/>
        </w:rPr>
        <w:t>附：委托代理人身份证(正反面</w:t>
      </w:r>
      <w:r>
        <w:rPr>
          <w:rFonts w:hAnsi="宋体"/>
          <w:color w:val="auto"/>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napToGrid w:val="0"/>
        <w:spacing w:before="156" w:beforeLines="50" w:after="50" w:line="200" w:lineRule="exact"/>
        <w:ind w:firstLine="4620" w:firstLineChars="2200"/>
        <w:rPr>
          <w:rFonts w:hint="eastAsia" w:ascii="宋体" w:hAnsi="宋体"/>
          <w:color w:val="auto"/>
          <w:szCs w:val="21"/>
          <w:highlight w:val="none"/>
          <w:u w:val="single"/>
        </w:rPr>
      </w:pPr>
      <w:r>
        <w:rPr>
          <w:rFonts w:hint="eastAsia" w:ascii="宋体" w:hAnsi="宋体"/>
          <w:color w:val="auto"/>
          <w:szCs w:val="21"/>
          <w:highlight w:val="none"/>
        </w:rPr>
        <w:t xml:space="preserve">       供应商（盖章）：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法定代表人签名：</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widowControl/>
        <w:jc w:val="left"/>
        <w:rPr>
          <w:rFonts w:ascii="宋体" w:hAnsi="Courier New" w:cs="Courier New"/>
          <w:b/>
          <w:bCs/>
          <w:color w:val="auto"/>
          <w:szCs w:val="21"/>
          <w:highlight w:val="none"/>
        </w:rPr>
      </w:pPr>
      <w:r>
        <w:rPr>
          <w:b/>
          <w:bCs/>
          <w:color w:val="auto"/>
          <w:highlight w:val="none"/>
        </w:rPr>
        <w:br w:type="page"/>
      </w:r>
    </w:p>
    <w:p>
      <w:pPr>
        <w:rPr>
          <w:color w:val="auto"/>
          <w:highlight w:val="none"/>
        </w:rPr>
      </w:pPr>
    </w:p>
    <w:p>
      <w:pPr>
        <w:rPr>
          <w:color w:val="auto"/>
          <w:highlight w:val="none"/>
        </w:rPr>
      </w:pPr>
    </w:p>
    <w:p>
      <w:pPr>
        <w:snapToGrid w:val="0"/>
        <w:spacing w:before="156" w:beforeLines="50" w:after="50" w:line="360" w:lineRule="exact"/>
        <w:jc w:val="center"/>
        <w:rPr>
          <w:rFonts w:ascii="仿宋_GB2312" w:eastAsia="仿宋_GB2312"/>
          <w:b/>
          <w:color w:val="auto"/>
          <w:sz w:val="28"/>
          <w:szCs w:val="28"/>
          <w:highlight w:val="none"/>
        </w:rPr>
      </w:pPr>
      <w:bookmarkStart w:id="151" w:name="_Hlk92702799"/>
      <w:r>
        <w:rPr>
          <w:rFonts w:hint="eastAsia" w:ascii="仿宋_GB2312" w:hAnsi="宋体" w:eastAsia="仿宋_GB2312"/>
          <w:b/>
          <w:color w:val="auto"/>
          <w:sz w:val="28"/>
          <w:szCs w:val="28"/>
          <w:highlight w:val="none"/>
        </w:rPr>
        <w:t>商务</w:t>
      </w:r>
      <w:r>
        <w:rPr>
          <w:rFonts w:hint="eastAsia" w:ascii="仿宋_GB2312" w:hAnsi="宋体" w:eastAsia="仿宋_GB2312"/>
          <w:b/>
          <w:color w:val="auto"/>
          <w:sz w:val="28"/>
          <w:szCs w:val="28"/>
          <w:highlight w:val="none"/>
          <w:lang w:val="en-US" w:eastAsia="zh-CN"/>
        </w:rPr>
        <w:t>技术</w:t>
      </w:r>
      <w:r>
        <w:rPr>
          <w:rFonts w:hint="eastAsia" w:ascii="仿宋_GB2312" w:hAnsi="宋体" w:eastAsia="仿宋_GB2312"/>
          <w:b/>
          <w:color w:val="auto"/>
          <w:sz w:val="28"/>
          <w:szCs w:val="28"/>
          <w:highlight w:val="none"/>
        </w:rPr>
        <w:t>响应</w:t>
      </w:r>
      <w:r>
        <w:rPr>
          <w:rFonts w:hint="eastAsia" w:ascii="仿宋_GB2312" w:eastAsia="仿宋_GB2312"/>
          <w:b/>
          <w:color w:val="auto"/>
          <w:sz w:val="28"/>
          <w:szCs w:val="28"/>
          <w:highlight w:val="none"/>
        </w:rPr>
        <w:t>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采购文件要求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b/>
                <w:color w:val="auto"/>
                <w:szCs w:val="21"/>
                <w:highlight w:val="none"/>
              </w:rPr>
            </w:pPr>
            <w:r>
              <w:rPr>
                <w:rFonts w:hint="eastAsia" w:ascii="宋体" w:hAnsi="宋体"/>
                <w:b/>
                <w:color w:val="auto"/>
                <w:szCs w:val="21"/>
                <w:highlight w:val="none"/>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color w:val="auto"/>
                <w:szCs w:val="21"/>
                <w:highlight w:val="none"/>
              </w:rPr>
            </w:pPr>
          </w:p>
        </w:tc>
      </w:tr>
    </w:tbl>
    <w:p>
      <w:pPr>
        <w:tabs>
          <w:tab w:val="left" w:pos="3870"/>
          <w:tab w:val="left" w:pos="4085"/>
        </w:tabs>
        <w:snapToGrid w:val="0"/>
        <w:spacing w:line="360" w:lineRule="exact"/>
        <w:rPr>
          <w:rFonts w:hint="eastAsia" w:ascii="宋体" w:hAnsi="宋体"/>
          <w:b/>
          <w:color w:val="auto"/>
          <w:szCs w:val="21"/>
          <w:highlight w:val="none"/>
        </w:rPr>
      </w:pPr>
    </w:p>
    <w:p>
      <w:pPr>
        <w:rPr>
          <w:color w:val="auto"/>
          <w:highlight w:val="none"/>
        </w:rPr>
      </w:pPr>
    </w:p>
    <w:p>
      <w:pPr>
        <w:tabs>
          <w:tab w:val="left" w:pos="3870"/>
          <w:tab w:val="left" w:pos="4085"/>
        </w:tabs>
        <w:snapToGrid w:val="0"/>
        <w:spacing w:line="360" w:lineRule="exact"/>
        <w:rPr>
          <w:rFonts w:hint="eastAsia" w:ascii="宋体" w:hAnsi="宋体"/>
          <w:b/>
          <w:color w:val="auto"/>
          <w:szCs w:val="21"/>
          <w:highlight w:val="none"/>
        </w:rPr>
      </w:pPr>
    </w:p>
    <w:p>
      <w:pPr>
        <w:spacing w:line="400" w:lineRule="exact"/>
        <w:ind w:left="6092" w:leftChars="2766" w:right="592" w:rightChars="282" w:hanging="283" w:hangingChars="135"/>
        <w:jc w:val="left"/>
        <w:rPr>
          <w:rFonts w:hint="eastAsia" w:ascii="宋体" w:hAnsi="宋体"/>
          <w:bCs/>
          <w:color w:val="auto"/>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bookmarkEnd w:id="151"/>
      <w:bookmarkStart w:id="152" w:name="_Hlk112311546"/>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bookmarkEnd w:id="152"/>
    <w:p>
      <w:pPr>
        <w:rPr>
          <w:color w:val="auto"/>
          <w:highlight w:val="none"/>
        </w:rPr>
      </w:pPr>
    </w:p>
    <w:p>
      <w:pPr>
        <w:rPr>
          <w:color w:val="auto"/>
          <w:highlight w:val="none"/>
        </w:rPr>
      </w:pPr>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人员配置表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autoSpaceDE w:val="0"/>
        <w:autoSpaceDN w:val="0"/>
        <w:adjustRightInd w:val="0"/>
        <w:rPr>
          <w:rFonts w:hint="eastAsia" w:ascii="宋体" w:hAnsi="宋体"/>
          <w:color w:val="auto"/>
          <w:highlight w:val="none"/>
          <w:lang w:val="zh-CN"/>
        </w:rPr>
      </w:pPr>
    </w:p>
    <w:tbl>
      <w:tblPr>
        <w:tblStyle w:val="35"/>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304"/>
        <w:gridCol w:w="1630"/>
        <w:gridCol w:w="977"/>
        <w:gridCol w:w="1956"/>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80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序号</w:t>
            </w:r>
          </w:p>
        </w:tc>
        <w:tc>
          <w:tcPr>
            <w:tcW w:w="1304"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姓名</w:t>
            </w:r>
          </w:p>
        </w:tc>
        <w:tc>
          <w:tcPr>
            <w:tcW w:w="1630" w:type="dxa"/>
            <w:vAlign w:val="center"/>
          </w:tcPr>
          <w:p>
            <w:pPr>
              <w:autoSpaceDE w:val="0"/>
              <w:autoSpaceDN w:val="0"/>
              <w:adjustRightInd w:val="0"/>
              <w:jc w:val="center"/>
              <w:rPr>
                <w:rFonts w:hint="eastAsia" w:ascii="宋体" w:hAnsi="宋体"/>
                <w:color w:val="auto"/>
                <w:highlight w:val="none"/>
              </w:rPr>
            </w:pPr>
            <w:r>
              <w:rPr>
                <w:rFonts w:hint="eastAsia" w:ascii="宋体" w:hAnsi="宋体"/>
                <w:color w:val="auto"/>
                <w:highlight w:val="none"/>
              </w:rPr>
              <w:t>身份证号</w:t>
            </w:r>
          </w:p>
        </w:tc>
        <w:tc>
          <w:tcPr>
            <w:tcW w:w="977"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岗位</w:t>
            </w:r>
          </w:p>
        </w:tc>
        <w:tc>
          <w:tcPr>
            <w:tcW w:w="1956"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执业资格/职称</w:t>
            </w:r>
          </w:p>
        </w:tc>
        <w:tc>
          <w:tcPr>
            <w:tcW w:w="1641"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证明材料所在页码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80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1</w:t>
            </w:r>
          </w:p>
        </w:tc>
        <w:tc>
          <w:tcPr>
            <w:tcW w:w="1304" w:type="dxa"/>
            <w:vAlign w:val="center"/>
          </w:tcPr>
          <w:p>
            <w:pPr>
              <w:autoSpaceDE w:val="0"/>
              <w:autoSpaceDN w:val="0"/>
              <w:adjustRightInd w:val="0"/>
              <w:rPr>
                <w:rFonts w:hint="eastAsia" w:ascii="宋体" w:hAnsi="宋体"/>
                <w:color w:val="auto"/>
                <w:highlight w:val="none"/>
                <w:lang w:val="zh-CN"/>
              </w:rPr>
            </w:pPr>
          </w:p>
        </w:tc>
        <w:tc>
          <w:tcPr>
            <w:tcW w:w="1630" w:type="dxa"/>
          </w:tcPr>
          <w:p>
            <w:pPr>
              <w:autoSpaceDE w:val="0"/>
              <w:autoSpaceDN w:val="0"/>
              <w:adjustRightInd w:val="0"/>
              <w:rPr>
                <w:rFonts w:hint="eastAsia" w:ascii="宋体" w:hAnsi="宋体"/>
                <w:color w:val="auto"/>
                <w:highlight w:val="none"/>
                <w:lang w:val="zh-CN"/>
              </w:rPr>
            </w:pPr>
          </w:p>
        </w:tc>
        <w:tc>
          <w:tcPr>
            <w:tcW w:w="977" w:type="dxa"/>
          </w:tcPr>
          <w:p>
            <w:pPr>
              <w:autoSpaceDE w:val="0"/>
              <w:autoSpaceDN w:val="0"/>
              <w:adjustRightInd w:val="0"/>
              <w:rPr>
                <w:rFonts w:hint="eastAsia" w:ascii="宋体" w:hAnsi="宋体"/>
                <w:color w:val="auto"/>
                <w:highlight w:val="none"/>
                <w:lang w:val="zh-CN"/>
              </w:rPr>
            </w:pPr>
          </w:p>
        </w:tc>
        <w:tc>
          <w:tcPr>
            <w:tcW w:w="1956" w:type="dxa"/>
          </w:tcPr>
          <w:p>
            <w:pPr>
              <w:autoSpaceDE w:val="0"/>
              <w:autoSpaceDN w:val="0"/>
              <w:adjustRightInd w:val="0"/>
              <w:rPr>
                <w:rFonts w:hint="eastAsia" w:ascii="宋体" w:hAnsi="宋体"/>
                <w:color w:val="auto"/>
                <w:highlight w:val="none"/>
                <w:lang w:val="zh-CN"/>
              </w:rPr>
            </w:pPr>
          </w:p>
        </w:tc>
        <w:tc>
          <w:tcPr>
            <w:tcW w:w="1641"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80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2</w:t>
            </w:r>
          </w:p>
        </w:tc>
        <w:tc>
          <w:tcPr>
            <w:tcW w:w="1304" w:type="dxa"/>
            <w:vAlign w:val="center"/>
          </w:tcPr>
          <w:p>
            <w:pPr>
              <w:autoSpaceDE w:val="0"/>
              <w:autoSpaceDN w:val="0"/>
              <w:adjustRightInd w:val="0"/>
              <w:rPr>
                <w:rFonts w:hint="eastAsia" w:ascii="宋体" w:hAnsi="宋体"/>
                <w:color w:val="auto"/>
                <w:highlight w:val="none"/>
                <w:lang w:val="zh-CN"/>
              </w:rPr>
            </w:pPr>
          </w:p>
        </w:tc>
        <w:tc>
          <w:tcPr>
            <w:tcW w:w="1630" w:type="dxa"/>
          </w:tcPr>
          <w:p>
            <w:pPr>
              <w:autoSpaceDE w:val="0"/>
              <w:autoSpaceDN w:val="0"/>
              <w:adjustRightInd w:val="0"/>
              <w:rPr>
                <w:rFonts w:hint="eastAsia" w:ascii="宋体" w:hAnsi="宋体"/>
                <w:color w:val="auto"/>
                <w:highlight w:val="none"/>
                <w:lang w:val="zh-CN"/>
              </w:rPr>
            </w:pPr>
          </w:p>
        </w:tc>
        <w:tc>
          <w:tcPr>
            <w:tcW w:w="977" w:type="dxa"/>
          </w:tcPr>
          <w:p>
            <w:pPr>
              <w:autoSpaceDE w:val="0"/>
              <w:autoSpaceDN w:val="0"/>
              <w:adjustRightInd w:val="0"/>
              <w:rPr>
                <w:rFonts w:hint="eastAsia" w:ascii="宋体" w:hAnsi="宋体"/>
                <w:color w:val="auto"/>
                <w:highlight w:val="none"/>
                <w:lang w:val="zh-CN"/>
              </w:rPr>
            </w:pPr>
          </w:p>
        </w:tc>
        <w:tc>
          <w:tcPr>
            <w:tcW w:w="1956" w:type="dxa"/>
          </w:tcPr>
          <w:p>
            <w:pPr>
              <w:autoSpaceDE w:val="0"/>
              <w:autoSpaceDN w:val="0"/>
              <w:adjustRightInd w:val="0"/>
              <w:rPr>
                <w:rFonts w:hint="eastAsia" w:ascii="宋体" w:hAnsi="宋体"/>
                <w:color w:val="auto"/>
                <w:highlight w:val="none"/>
                <w:lang w:val="zh-CN"/>
              </w:rPr>
            </w:pPr>
          </w:p>
        </w:tc>
        <w:tc>
          <w:tcPr>
            <w:tcW w:w="1641"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80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3</w:t>
            </w:r>
          </w:p>
        </w:tc>
        <w:tc>
          <w:tcPr>
            <w:tcW w:w="1304" w:type="dxa"/>
            <w:vAlign w:val="center"/>
          </w:tcPr>
          <w:p>
            <w:pPr>
              <w:autoSpaceDE w:val="0"/>
              <w:autoSpaceDN w:val="0"/>
              <w:adjustRightInd w:val="0"/>
              <w:rPr>
                <w:rFonts w:hint="eastAsia" w:ascii="宋体" w:hAnsi="宋体"/>
                <w:color w:val="auto"/>
                <w:highlight w:val="none"/>
                <w:lang w:val="zh-CN"/>
              </w:rPr>
            </w:pPr>
          </w:p>
        </w:tc>
        <w:tc>
          <w:tcPr>
            <w:tcW w:w="1630" w:type="dxa"/>
          </w:tcPr>
          <w:p>
            <w:pPr>
              <w:autoSpaceDE w:val="0"/>
              <w:autoSpaceDN w:val="0"/>
              <w:adjustRightInd w:val="0"/>
              <w:rPr>
                <w:rFonts w:hint="eastAsia" w:ascii="宋体" w:hAnsi="宋体"/>
                <w:color w:val="auto"/>
                <w:highlight w:val="none"/>
                <w:lang w:val="zh-CN"/>
              </w:rPr>
            </w:pPr>
          </w:p>
        </w:tc>
        <w:tc>
          <w:tcPr>
            <w:tcW w:w="977" w:type="dxa"/>
          </w:tcPr>
          <w:p>
            <w:pPr>
              <w:autoSpaceDE w:val="0"/>
              <w:autoSpaceDN w:val="0"/>
              <w:adjustRightInd w:val="0"/>
              <w:rPr>
                <w:rFonts w:hint="eastAsia" w:ascii="宋体" w:hAnsi="宋体"/>
                <w:color w:val="auto"/>
                <w:highlight w:val="none"/>
                <w:lang w:val="zh-CN"/>
              </w:rPr>
            </w:pPr>
          </w:p>
        </w:tc>
        <w:tc>
          <w:tcPr>
            <w:tcW w:w="1956" w:type="dxa"/>
          </w:tcPr>
          <w:p>
            <w:pPr>
              <w:autoSpaceDE w:val="0"/>
              <w:autoSpaceDN w:val="0"/>
              <w:adjustRightInd w:val="0"/>
              <w:rPr>
                <w:rFonts w:hint="eastAsia" w:ascii="宋体" w:hAnsi="宋体"/>
                <w:color w:val="auto"/>
                <w:highlight w:val="none"/>
                <w:lang w:val="zh-CN"/>
              </w:rPr>
            </w:pPr>
          </w:p>
        </w:tc>
        <w:tc>
          <w:tcPr>
            <w:tcW w:w="1641" w:type="dxa"/>
          </w:tcPr>
          <w:p>
            <w:pPr>
              <w:autoSpaceDE w:val="0"/>
              <w:autoSpaceDN w:val="0"/>
              <w:adjustRightInd w:val="0"/>
              <w:rPr>
                <w:rFonts w:hint="eastAsia" w:ascii="宋体" w:hAnsi="宋体"/>
                <w:color w:val="auto"/>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809" w:type="dxa"/>
            <w:vAlign w:val="center"/>
          </w:tcPr>
          <w:p>
            <w:pPr>
              <w:autoSpaceDE w:val="0"/>
              <w:autoSpaceDN w:val="0"/>
              <w:adjustRightInd w:val="0"/>
              <w:jc w:val="center"/>
              <w:rPr>
                <w:rFonts w:hint="eastAsia" w:ascii="宋体" w:hAnsi="宋体"/>
                <w:color w:val="auto"/>
                <w:highlight w:val="none"/>
                <w:lang w:val="zh-CN"/>
              </w:rPr>
            </w:pPr>
            <w:r>
              <w:rPr>
                <w:rFonts w:hint="eastAsia" w:ascii="宋体" w:hAnsi="宋体"/>
                <w:color w:val="auto"/>
                <w:highlight w:val="none"/>
                <w:lang w:val="zh-CN"/>
              </w:rPr>
              <w:t>…</w:t>
            </w:r>
          </w:p>
        </w:tc>
        <w:tc>
          <w:tcPr>
            <w:tcW w:w="1304" w:type="dxa"/>
          </w:tcPr>
          <w:p>
            <w:pPr>
              <w:autoSpaceDE w:val="0"/>
              <w:autoSpaceDN w:val="0"/>
              <w:adjustRightInd w:val="0"/>
              <w:rPr>
                <w:rFonts w:hint="eastAsia" w:ascii="宋体" w:hAnsi="宋体"/>
                <w:color w:val="auto"/>
                <w:highlight w:val="none"/>
                <w:lang w:val="zh-CN"/>
              </w:rPr>
            </w:pPr>
          </w:p>
        </w:tc>
        <w:tc>
          <w:tcPr>
            <w:tcW w:w="1630" w:type="dxa"/>
          </w:tcPr>
          <w:p>
            <w:pPr>
              <w:autoSpaceDE w:val="0"/>
              <w:autoSpaceDN w:val="0"/>
              <w:adjustRightInd w:val="0"/>
              <w:rPr>
                <w:rFonts w:hint="eastAsia" w:ascii="宋体" w:hAnsi="宋体"/>
                <w:color w:val="auto"/>
                <w:highlight w:val="none"/>
                <w:lang w:val="zh-CN"/>
              </w:rPr>
            </w:pPr>
          </w:p>
        </w:tc>
        <w:tc>
          <w:tcPr>
            <w:tcW w:w="977" w:type="dxa"/>
          </w:tcPr>
          <w:p>
            <w:pPr>
              <w:autoSpaceDE w:val="0"/>
              <w:autoSpaceDN w:val="0"/>
              <w:adjustRightInd w:val="0"/>
              <w:rPr>
                <w:rFonts w:hint="eastAsia" w:ascii="宋体" w:hAnsi="宋体"/>
                <w:color w:val="auto"/>
                <w:highlight w:val="none"/>
                <w:lang w:val="zh-CN"/>
              </w:rPr>
            </w:pPr>
          </w:p>
        </w:tc>
        <w:tc>
          <w:tcPr>
            <w:tcW w:w="1956" w:type="dxa"/>
          </w:tcPr>
          <w:p>
            <w:pPr>
              <w:autoSpaceDE w:val="0"/>
              <w:autoSpaceDN w:val="0"/>
              <w:adjustRightInd w:val="0"/>
              <w:rPr>
                <w:rFonts w:hint="eastAsia" w:ascii="宋体" w:hAnsi="宋体"/>
                <w:color w:val="auto"/>
                <w:highlight w:val="none"/>
                <w:lang w:val="zh-CN"/>
              </w:rPr>
            </w:pPr>
          </w:p>
        </w:tc>
        <w:tc>
          <w:tcPr>
            <w:tcW w:w="1641" w:type="dxa"/>
          </w:tcPr>
          <w:p>
            <w:pPr>
              <w:autoSpaceDE w:val="0"/>
              <w:autoSpaceDN w:val="0"/>
              <w:adjustRightInd w:val="0"/>
              <w:rPr>
                <w:rFonts w:hint="eastAsia" w:ascii="宋体" w:hAnsi="宋体"/>
                <w:color w:val="auto"/>
                <w:highlight w:val="none"/>
                <w:lang w:val="zh-CN"/>
              </w:rPr>
            </w:pPr>
          </w:p>
        </w:tc>
      </w:tr>
    </w:tbl>
    <w:p>
      <w:pPr>
        <w:snapToGrid w:val="0"/>
        <w:spacing w:before="50" w:after="50" w:line="400" w:lineRule="exact"/>
        <w:ind w:right="-817" w:rightChars="-389"/>
        <w:rPr>
          <w:rFonts w:hint="eastAsia" w:ascii="宋体" w:hAnsi="宋体"/>
          <w:bCs/>
          <w:color w:val="auto"/>
          <w:highlight w:val="none"/>
        </w:rPr>
      </w:pPr>
      <w:r>
        <w:rPr>
          <w:rFonts w:hint="eastAsia" w:ascii="宋体" w:hAnsi="宋体"/>
          <w:bCs/>
          <w:color w:val="auto"/>
          <w:highlight w:val="none"/>
          <w:lang w:val="zh-CN"/>
        </w:rPr>
        <w:t>注:应</w:t>
      </w:r>
      <w:r>
        <w:rPr>
          <w:rFonts w:hint="eastAsia" w:ascii="宋体" w:hAnsi="宋体"/>
          <w:bCs/>
          <w:color w:val="auto"/>
          <w:highlight w:val="none"/>
        </w:rPr>
        <w:t>提供所配置人员姓名、身份证、岗位、职称等证明材料。</w:t>
      </w:r>
    </w:p>
    <w:p>
      <w:pPr>
        <w:rPr>
          <w:color w:val="auto"/>
          <w:highlight w:val="none"/>
        </w:rPr>
      </w:pPr>
    </w:p>
    <w:p>
      <w:pPr>
        <w:snapToGrid w:val="0"/>
        <w:spacing w:before="50" w:after="50" w:line="320" w:lineRule="exact"/>
        <w:ind w:left="-2" w:leftChars="-1" w:right="-817" w:rightChars="-389" w:firstLine="2"/>
        <w:rPr>
          <w:rFonts w:hint="eastAsia" w:ascii="宋体" w:hAnsi="宋体"/>
          <w:color w:val="auto"/>
          <w:szCs w:val="21"/>
          <w:highlight w:val="none"/>
        </w:rPr>
      </w:pPr>
    </w:p>
    <w:p>
      <w:pPr>
        <w:rPr>
          <w:color w:val="auto"/>
          <w:highlight w:val="none"/>
        </w:rPr>
      </w:pPr>
    </w:p>
    <w:p>
      <w:pPr>
        <w:spacing w:line="400" w:lineRule="exact"/>
        <w:ind w:left="6090" w:leftChars="2900" w:right="592" w:rightChars="282" w:firstLine="2" w:firstLineChars="1"/>
        <w:jc w:val="left"/>
        <w:rPr>
          <w:rFonts w:hint="eastAsia" w:ascii="宋体" w:hAnsi="宋体"/>
          <w:bCs/>
          <w:color w:val="auto"/>
          <w:highlight w:val="none"/>
        </w:rPr>
      </w:pPr>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pStyle w:val="99"/>
        <w:rPr>
          <w:rFonts w:hint="eastAsia" w:ascii="宋体" w:hAnsi="宋体" w:cs="宋体"/>
          <w:color w:val="auto"/>
          <w:sz w:val="21"/>
          <w:szCs w:val="21"/>
          <w:highlight w:val="none"/>
        </w:rPr>
      </w:pPr>
    </w:p>
    <w:p>
      <w:pPr>
        <w:pStyle w:val="99"/>
        <w:rPr>
          <w:rFonts w:hint="eastAsia" w:ascii="宋体" w:hAnsi="宋体" w:cs="宋体"/>
          <w:color w:val="auto"/>
          <w:sz w:val="21"/>
          <w:szCs w:val="21"/>
          <w:highlight w:val="none"/>
        </w:rPr>
      </w:pPr>
    </w:p>
    <w:p>
      <w:pPr>
        <w:autoSpaceDE w:val="0"/>
        <w:autoSpaceDN w:val="0"/>
        <w:adjustRightInd w:val="0"/>
        <w:jc w:val="center"/>
        <w:rPr>
          <w:rFonts w:hint="eastAsia" w:ascii="宋体" w:hAnsi="宋体"/>
          <w:b/>
          <w:color w:val="auto"/>
          <w:sz w:val="28"/>
          <w:szCs w:val="28"/>
          <w:highlight w:val="none"/>
        </w:rPr>
      </w:pPr>
      <w:r>
        <w:rPr>
          <w:rFonts w:hint="eastAsia" w:ascii="宋体" w:hAnsi="宋体"/>
          <w:b/>
          <w:color w:val="auto"/>
          <w:sz w:val="28"/>
          <w:szCs w:val="28"/>
          <w:highlight w:val="none"/>
        </w:rPr>
        <w:t>设备配置表</w:t>
      </w:r>
      <w:r>
        <w:rPr>
          <w:rFonts w:hint="eastAsia" w:ascii="仿宋" w:hAnsi="仿宋" w:eastAsia="仿宋"/>
          <w:color w:val="auto"/>
          <w:sz w:val="24"/>
          <w:highlight w:val="none"/>
        </w:rPr>
        <w:t>(格式</w:t>
      </w:r>
      <w:r>
        <w:rPr>
          <w:rFonts w:ascii="仿宋" w:hAnsi="仿宋" w:eastAsia="仿宋"/>
          <w:color w:val="auto"/>
          <w:sz w:val="24"/>
          <w:highlight w:val="none"/>
        </w:rPr>
        <w:t>)</w:t>
      </w:r>
    </w:p>
    <w:p>
      <w:pPr>
        <w:snapToGrid w:val="0"/>
        <w:spacing w:before="50" w:line="400" w:lineRule="exact"/>
        <w:ind w:firstLine="420" w:firstLineChars="200"/>
        <w:jc w:val="left"/>
        <w:rPr>
          <w:rFonts w:hint="eastAsia" w:ascii="宋体" w:hAnsi="宋体" w:cs="宋体"/>
          <w:color w:val="auto"/>
          <w:szCs w:val="21"/>
          <w:highlight w:val="none"/>
        </w:rPr>
      </w:pPr>
    </w:p>
    <w:tbl>
      <w:tblPr>
        <w:tblStyle w:val="35"/>
        <w:tblW w:w="81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98"/>
        <w:gridCol w:w="1463"/>
        <w:gridCol w:w="1221"/>
        <w:gridCol w:w="1536"/>
        <w:gridCol w:w="1107"/>
        <w:gridCol w:w="17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1098"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1463"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名称</w:t>
            </w:r>
          </w:p>
        </w:tc>
        <w:tc>
          <w:tcPr>
            <w:tcW w:w="1221"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品牌及型号</w:t>
            </w:r>
          </w:p>
        </w:tc>
        <w:tc>
          <w:tcPr>
            <w:tcW w:w="1536"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生产厂家</w:t>
            </w:r>
          </w:p>
        </w:tc>
        <w:tc>
          <w:tcPr>
            <w:tcW w:w="1107"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数量</w:t>
            </w:r>
          </w:p>
        </w:tc>
        <w:tc>
          <w:tcPr>
            <w:tcW w:w="1712" w:type="dxa"/>
            <w:vAlign w:val="center"/>
          </w:tcPr>
          <w:p>
            <w:pPr>
              <w:adjustRightInd w:val="0"/>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用途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098"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1463" w:type="dxa"/>
            <w:vAlign w:val="center"/>
          </w:tcPr>
          <w:p>
            <w:pPr>
              <w:spacing w:line="480" w:lineRule="auto"/>
              <w:jc w:val="center"/>
              <w:rPr>
                <w:rFonts w:hint="eastAsia" w:ascii="宋体" w:hAnsi="宋体" w:cs="宋体"/>
                <w:bCs/>
                <w:color w:val="auto"/>
                <w:szCs w:val="21"/>
                <w:highlight w:val="none"/>
              </w:rPr>
            </w:pPr>
          </w:p>
        </w:tc>
        <w:tc>
          <w:tcPr>
            <w:tcW w:w="1221" w:type="dxa"/>
            <w:vAlign w:val="center"/>
          </w:tcPr>
          <w:p>
            <w:pPr>
              <w:jc w:val="center"/>
              <w:rPr>
                <w:rFonts w:hint="eastAsia" w:ascii="宋体" w:hAnsi="宋体" w:cs="宋体"/>
                <w:bCs/>
                <w:color w:val="auto"/>
                <w:szCs w:val="21"/>
                <w:highlight w:val="none"/>
              </w:rPr>
            </w:pPr>
          </w:p>
        </w:tc>
        <w:tc>
          <w:tcPr>
            <w:tcW w:w="1536" w:type="dxa"/>
            <w:vAlign w:val="center"/>
          </w:tcPr>
          <w:p>
            <w:pPr>
              <w:spacing w:line="480" w:lineRule="auto"/>
              <w:jc w:val="center"/>
              <w:rPr>
                <w:rFonts w:hint="eastAsia" w:ascii="宋体" w:hAnsi="宋体" w:cs="宋体"/>
                <w:bCs/>
                <w:color w:val="auto"/>
                <w:szCs w:val="21"/>
                <w:highlight w:val="none"/>
              </w:rPr>
            </w:pPr>
          </w:p>
        </w:tc>
        <w:tc>
          <w:tcPr>
            <w:tcW w:w="1107" w:type="dxa"/>
            <w:vAlign w:val="center"/>
          </w:tcPr>
          <w:p>
            <w:pPr>
              <w:spacing w:line="480" w:lineRule="auto"/>
              <w:jc w:val="center"/>
              <w:rPr>
                <w:rFonts w:hint="eastAsia" w:ascii="宋体" w:hAnsi="宋体" w:cs="宋体"/>
                <w:bCs/>
                <w:color w:val="auto"/>
                <w:szCs w:val="21"/>
                <w:highlight w:val="none"/>
              </w:rPr>
            </w:pPr>
          </w:p>
        </w:tc>
        <w:tc>
          <w:tcPr>
            <w:tcW w:w="1712" w:type="dxa"/>
          </w:tcPr>
          <w:p>
            <w:pPr>
              <w:spacing w:line="480" w:lineRule="auto"/>
              <w:jc w:val="center"/>
              <w:rPr>
                <w:rFonts w:hint="eastAsia" w:ascii="宋体" w:hAnsi="宋体" w:cs="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098"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1463" w:type="dxa"/>
            <w:vAlign w:val="center"/>
          </w:tcPr>
          <w:p>
            <w:pPr>
              <w:spacing w:line="480" w:lineRule="auto"/>
              <w:jc w:val="center"/>
              <w:rPr>
                <w:rFonts w:hint="eastAsia" w:ascii="宋体" w:hAnsi="宋体" w:cs="宋体"/>
                <w:bCs/>
                <w:color w:val="auto"/>
                <w:szCs w:val="21"/>
                <w:highlight w:val="none"/>
              </w:rPr>
            </w:pPr>
          </w:p>
        </w:tc>
        <w:tc>
          <w:tcPr>
            <w:tcW w:w="1221" w:type="dxa"/>
            <w:vAlign w:val="center"/>
          </w:tcPr>
          <w:p>
            <w:pPr>
              <w:spacing w:line="480" w:lineRule="auto"/>
              <w:jc w:val="center"/>
              <w:rPr>
                <w:rFonts w:hint="eastAsia" w:ascii="宋体" w:hAnsi="宋体" w:cs="宋体"/>
                <w:bCs/>
                <w:color w:val="auto"/>
                <w:szCs w:val="21"/>
                <w:highlight w:val="none"/>
              </w:rPr>
            </w:pPr>
          </w:p>
        </w:tc>
        <w:tc>
          <w:tcPr>
            <w:tcW w:w="1536" w:type="dxa"/>
            <w:vAlign w:val="center"/>
          </w:tcPr>
          <w:p>
            <w:pPr>
              <w:spacing w:line="480" w:lineRule="auto"/>
              <w:jc w:val="center"/>
              <w:rPr>
                <w:rFonts w:hint="eastAsia" w:ascii="宋体" w:hAnsi="宋体" w:cs="宋体"/>
                <w:bCs/>
                <w:color w:val="auto"/>
                <w:szCs w:val="21"/>
                <w:highlight w:val="none"/>
              </w:rPr>
            </w:pPr>
          </w:p>
        </w:tc>
        <w:tc>
          <w:tcPr>
            <w:tcW w:w="1107" w:type="dxa"/>
            <w:vAlign w:val="center"/>
          </w:tcPr>
          <w:p>
            <w:pPr>
              <w:spacing w:line="480" w:lineRule="auto"/>
              <w:jc w:val="center"/>
              <w:rPr>
                <w:rFonts w:hint="eastAsia" w:ascii="宋体" w:hAnsi="宋体" w:cs="宋体"/>
                <w:bCs/>
                <w:color w:val="auto"/>
                <w:szCs w:val="21"/>
                <w:highlight w:val="none"/>
              </w:rPr>
            </w:pPr>
          </w:p>
        </w:tc>
        <w:tc>
          <w:tcPr>
            <w:tcW w:w="1712" w:type="dxa"/>
          </w:tcPr>
          <w:p>
            <w:pPr>
              <w:spacing w:line="480" w:lineRule="auto"/>
              <w:jc w:val="center"/>
              <w:rPr>
                <w:rFonts w:hint="eastAsia" w:ascii="宋体" w:hAnsi="宋体" w:cs="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098"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1463" w:type="dxa"/>
            <w:vAlign w:val="center"/>
          </w:tcPr>
          <w:p>
            <w:pPr>
              <w:spacing w:line="480" w:lineRule="auto"/>
              <w:jc w:val="center"/>
              <w:rPr>
                <w:rFonts w:hint="eastAsia" w:ascii="宋体" w:hAnsi="宋体" w:cs="宋体"/>
                <w:bCs/>
                <w:color w:val="auto"/>
                <w:szCs w:val="21"/>
                <w:highlight w:val="none"/>
              </w:rPr>
            </w:pPr>
          </w:p>
        </w:tc>
        <w:tc>
          <w:tcPr>
            <w:tcW w:w="1221" w:type="dxa"/>
            <w:vAlign w:val="center"/>
          </w:tcPr>
          <w:p>
            <w:pPr>
              <w:spacing w:line="480" w:lineRule="auto"/>
              <w:jc w:val="center"/>
              <w:rPr>
                <w:rFonts w:hint="eastAsia" w:ascii="宋体" w:hAnsi="宋体" w:cs="宋体"/>
                <w:bCs/>
                <w:color w:val="auto"/>
                <w:szCs w:val="21"/>
                <w:highlight w:val="none"/>
              </w:rPr>
            </w:pPr>
          </w:p>
        </w:tc>
        <w:tc>
          <w:tcPr>
            <w:tcW w:w="1536" w:type="dxa"/>
            <w:vAlign w:val="center"/>
          </w:tcPr>
          <w:p>
            <w:pPr>
              <w:spacing w:line="480" w:lineRule="auto"/>
              <w:jc w:val="center"/>
              <w:rPr>
                <w:rFonts w:hint="eastAsia" w:ascii="宋体" w:hAnsi="宋体" w:cs="宋体"/>
                <w:bCs/>
                <w:color w:val="auto"/>
                <w:szCs w:val="21"/>
                <w:highlight w:val="none"/>
              </w:rPr>
            </w:pPr>
          </w:p>
        </w:tc>
        <w:tc>
          <w:tcPr>
            <w:tcW w:w="1107" w:type="dxa"/>
            <w:vAlign w:val="center"/>
          </w:tcPr>
          <w:p>
            <w:pPr>
              <w:spacing w:line="480" w:lineRule="auto"/>
              <w:jc w:val="center"/>
              <w:rPr>
                <w:rFonts w:hint="eastAsia" w:ascii="宋体" w:hAnsi="宋体" w:cs="宋体"/>
                <w:bCs/>
                <w:color w:val="auto"/>
                <w:szCs w:val="21"/>
                <w:highlight w:val="none"/>
              </w:rPr>
            </w:pPr>
          </w:p>
        </w:tc>
        <w:tc>
          <w:tcPr>
            <w:tcW w:w="1712" w:type="dxa"/>
          </w:tcPr>
          <w:p>
            <w:pPr>
              <w:spacing w:line="480" w:lineRule="auto"/>
              <w:jc w:val="center"/>
              <w:rPr>
                <w:rFonts w:hint="eastAsia" w:ascii="宋体" w:hAnsi="宋体" w:cs="宋体"/>
                <w:bCs/>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1098" w:type="dxa"/>
            <w:vAlign w:val="center"/>
          </w:tcPr>
          <w:p>
            <w:pPr>
              <w:spacing w:line="48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w:t>
            </w:r>
          </w:p>
        </w:tc>
        <w:tc>
          <w:tcPr>
            <w:tcW w:w="1463" w:type="dxa"/>
            <w:vAlign w:val="center"/>
          </w:tcPr>
          <w:p>
            <w:pPr>
              <w:spacing w:line="480" w:lineRule="auto"/>
              <w:jc w:val="center"/>
              <w:rPr>
                <w:rFonts w:hint="eastAsia" w:ascii="宋体" w:hAnsi="宋体" w:cs="宋体"/>
                <w:bCs/>
                <w:color w:val="auto"/>
                <w:szCs w:val="21"/>
                <w:highlight w:val="none"/>
              </w:rPr>
            </w:pPr>
          </w:p>
        </w:tc>
        <w:tc>
          <w:tcPr>
            <w:tcW w:w="1221" w:type="dxa"/>
            <w:vAlign w:val="center"/>
          </w:tcPr>
          <w:p>
            <w:pPr>
              <w:spacing w:line="480" w:lineRule="auto"/>
              <w:jc w:val="center"/>
              <w:rPr>
                <w:rFonts w:hint="eastAsia" w:ascii="宋体" w:hAnsi="宋体" w:cs="宋体"/>
                <w:bCs/>
                <w:color w:val="auto"/>
                <w:szCs w:val="21"/>
                <w:highlight w:val="none"/>
              </w:rPr>
            </w:pPr>
          </w:p>
        </w:tc>
        <w:tc>
          <w:tcPr>
            <w:tcW w:w="1536" w:type="dxa"/>
            <w:vAlign w:val="center"/>
          </w:tcPr>
          <w:p>
            <w:pPr>
              <w:spacing w:line="480" w:lineRule="auto"/>
              <w:jc w:val="center"/>
              <w:rPr>
                <w:rFonts w:hint="eastAsia" w:ascii="宋体" w:hAnsi="宋体" w:cs="宋体"/>
                <w:bCs/>
                <w:color w:val="auto"/>
                <w:szCs w:val="21"/>
                <w:highlight w:val="none"/>
              </w:rPr>
            </w:pPr>
          </w:p>
        </w:tc>
        <w:tc>
          <w:tcPr>
            <w:tcW w:w="1107" w:type="dxa"/>
            <w:vAlign w:val="center"/>
          </w:tcPr>
          <w:p>
            <w:pPr>
              <w:spacing w:line="480" w:lineRule="auto"/>
              <w:jc w:val="center"/>
              <w:rPr>
                <w:rFonts w:hint="eastAsia" w:ascii="宋体" w:hAnsi="宋体" w:cs="宋体"/>
                <w:bCs/>
                <w:color w:val="auto"/>
                <w:szCs w:val="21"/>
                <w:highlight w:val="none"/>
              </w:rPr>
            </w:pPr>
          </w:p>
        </w:tc>
        <w:tc>
          <w:tcPr>
            <w:tcW w:w="1712" w:type="dxa"/>
          </w:tcPr>
          <w:p>
            <w:pPr>
              <w:spacing w:line="480" w:lineRule="auto"/>
              <w:jc w:val="center"/>
              <w:rPr>
                <w:rFonts w:hint="eastAsia" w:ascii="宋体" w:hAnsi="宋体" w:cs="宋体"/>
                <w:bCs/>
                <w:color w:val="auto"/>
                <w:szCs w:val="21"/>
                <w:highlight w:val="none"/>
              </w:rPr>
            </w:pPr>
          </w:p>
        </w:tc>
      </w:tr>
    </w:tbl>
    <w:p>
      <w:pPr>
        <w:snapToGrid w:val="0"/>
        <w:spacing w:before="50"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注：1.由供应商根据本项目采购需求填写；</w:t>
      </w:r>
    </w:p>
    <w:p>
      <w:pPr>
        <w:snapToGrid w:val="0"/>
        <w:spacing w:before="50"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2.如本表不适用，供应商可自行制表填写。</w:t>
      </w:r>
    </w:p>
    <w:p>
      <w:pPr>
        <w:rPr>
          <w:color w:val="auto"/>
          <w:highlight w:val="none"/>
        </w:rPr>
      </w:pPr>
    </w:p>
    <w:p>
      <w:pPr>
        <w:rPr>
          <w:color w:val="auto"/>
          <w:highlight w:val="none"/>
        </w:rPr>
      </w:pPr>
    </w:p>
    <w:p>
      <w:pPr>
        <w:spacing w:line="400" w:lineRule="exact"/>
        <w:ind w:left="6092" w:leftChars="2498" w:right="592" w:rightChars="282" w:hanging="846" w:hangingChars="403"/>
        <w:jc w:val="left"/>
        <w:rPr>
          <w:rFonts w:hint="eastAsia" w:ascii="宋体" w:hAnsi="宋体"/>
          <w:bCs/>
          <w:color w:val="auto"/>
          <w:highlight w:val="none"/>
        </w:rPr>
      </w:pPr>
      <w:r>
        <w:rPr>
          <w:rFonts w:hint="eastAsia" w:ascii="宋体" w:hAnsi="宋体" w:cs="宋体"/>
          <w:color w:val="auto"/>
          <w:szCs w:val="21"/>
          <w:highlight w:val="none"/>
        </w:rPr>
        <w:t xml:space="preserve">        </w:t>
      </w:r>
      <w:bookmarkEnd w:id="51"/>
      <w:bookmarkEnd w:id="52"/>
      <w:bookmarkEnd w:id="53"/>
      <w:bookmarkEnd w:id="54"/>
      <w:r>
        <w:rPr>
          <w:rFonts w:hint="eastAsia" w:ascii="宋体" w:hAnsi="宋体"/>
          <w:bCs/>
          <w:color w:val="auto"/>
          <w:highlight w:val="none"/>
        </w:rPr>
        <w:t>供应商（盖章）：</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p>
    <w:p>
      <w:pPr>
        <w:snapToGrid w:val="0"/>
        <w:spacing w:before="50" w:after="50" w:line="350" w:lineRule="exact"/>
        <w:ind w:right="-817" w:rightChars="-389" w:firstLine="6090" w:firstLineChars="2900"/>
        <w:jc w:val="left"/>
        <w:rPr>
          <w:color w:val="auto"/>
          <w:highlight w:val="none"/>
        </w:rPr>
      </w:pPr>
      <w:r>
        <w:rPr>
          <w:rFonts w:hint="eastAsia" w:ascii="宋体" w:hAnsi="宋体"/>
          <w:bCs/>
          <w:color w:val="auto"/>
          <w:highlight w:val="none"/>
        </w:rPr>
        <w:t>日期：</w:t>
      </w:r>
      <w:r>
        <w:rPr>
          <w:rFonts w:hint="eastAsia" w:ascii="宋体" w:hAnsi="宋体"/>
          <w:bCs/>
          <w:color w:val="auto"/>
          <w:highlight w:val="none"/>
          <w:u w:val="single"/>
        </w:rPr>
        <w:t xml:space="preserve">    </w:t>
      </w:r>
      <w:r>
        <w:rPr>
          <w:rFonts w:ascii="宋体" w:hAnsi="宋体"/>
          <w:bCs/>
          <w:color w:val="auto"/>
          <w:highlight w:val="none"/>
          <w:u w:val="single"/>
        </w:rPr>
        <w:t xml:space="preserve">  </w:t>
      </w:r>
      <w:r>
        <w:rPr>
          <w:rFonts w:hint="eastAsia" w:ascii="宋体" w:hAnsi="宋体"/>
          <w:bCs/>
          <w:color w:val="auto"/>
          <w:highlight w:val="none"/>
          <w:u w:val="single"/>
        </w:rPr>
        <w:t xml:space="preserve">  </w:t>
      </w:r>
      <w:r>
        <w:rPr>
          <w:rFonts w:hint="eastAsia" w:ascii="宋体" w:hAnsi="宋体"/>
          <w:bCs/>
          <w:color w:val="auto"/>
          <w:highlight w:val="none"/>
        </w:rPr>
        <w:t>年</w:t>
      </w:r>
      <w:r>
        <w:rPr>
          <w:rFonts w:hint="eastAsia" w:ascii="宋体" w:hAnsi="宋体"/>
          <w:bCs/>
          <w:color w:val="auto"/>
          <w:highlight w:val="none"/>
          <w:u w:val="single"/>
        </w:rPr>
        <w:t xml:space="preserve">   </w:t>
      </w:r>
      <w:r>
        <w:rPr>
          <w:rFonts w:hint="eastAsia" w:ascii="宋体" w:hAnsi="宋体"/>
          <w:bCs/>
          <w:color w:val="auto"/>
          <w:highlight w:val="none"/>
        </w:rPr>
        <w:t>月</w:t>
      </w:r>
      <w:r>
        <w:rPr>
          <w:rFonts w:hint="eastAsia" w:ascii="宋体" w:hAnsi="宋体"/>
          <w:bCs/>
          <w:color w:val="auto"/>
          <w:highlight w:val="none"/>
          <w:u w:val="single"/>
        </w:rPr>
        <w:t xml:space="preserve">   </w:t>
      </w:r>
      <w:r>
        <w:rPr>
          <w:rFonts w:hint="eastAsia" w:ascii="宋体" w:hAnsi="宋体"/>
          <w:bCs/>
          <w:color w:val="auto"/>
          <w:highlight w:val="none"/>
        </w:rPr>
        <w:t>日</w:t>
      </w:r>
    </w:p>
    <w:p>
      <w:pPr>
        <w:snapToGrid w:val="0"/>
        <w:spacing w:before="50" w:after="50" w:line="320" w:lineRule="exact"/>
        <w:ind w:left="-2" w:leftChars="-1" w:right="-817" w:rightChars="-389" w:firstLine="4305" w:firstLineChars="2050"/>
        <w:rPr>
          <w:color w:val="auto"/>
          <w:highlight w:val="none"/>
        </w:rPr>
      </w:pPr>
    </w:p>
    <w:p>
      <w:pPr>
        <w:rPr>
          <w:color w:val="auto"/>
        </w:rPr>
      </w:pPr>
      <w:r>
        <w:rPr>
          <w:color w:val="auto"/>
          <w:highlight w:val="none"/>
        </w:rPr>
        <w:br w:type="page"/>
      </w:r>
    </w:p>
    <w:p>
      <w:pPr>
        <w:jc w:val="left"/>
        <w:rPr>
          <w:rFonts w:hint="eastAsia" w:ascii="宋体" w:hAnsi="宋体"/>
          <w:b/>
          <w:bCs/>
          <w:color w:val="auto"/>
          <w:sz w:val="36"/>
          <w:szCs w:val="36"/>
          <w:highlight w:val="none"/>
        </w:rPr>
      </w:pPr>
      <w:r>
        <w:rPr>
          <w:rFonts w:hint="eastAsia" w:ascii="宋体" w:hAnsi="宋体"/>
          <w:b/>
          <w:bCs/>
          <w:color w:val="auto"/>
          <w:sz w:val="36"/>
          <w:szCs w:val="36"/>
          <w:highlight w:val="none"/>
        </w:rPr>
        <w:t>三、报价文件</w:t>
      </w:r>
    </w:p>
    <w:p>
      <w:pPr>
        <w:jc w:val="center"/>
        <w:rPr>
          <w:rFonts w:hint="eastAsia" w:ascii="仿宋" w:hAnsi="仿宋" w:eastAsia="仿宋"/>
          <w:b/>
          <w:bCs/>
          <w:color w:val="auto"/>
          <w:sz w:val="30"/>
          <w:szCs w:val="30"/>
          <w:highlight w:val="none"/>
        </w:rPr>
      </w:pPr>
      <w:r>
        <w:rPr>
          <w:rFonts w:hint="eastAsia" w:ascii="仿宋" w:hAnsi="仿宋" w:eastAsia="仿宋"/>
          <w:b/>
          <w:bCs/>
          <w:color w:val="auto"/>
          <w:sz w:val="32"/>
          <w:szCs w:val="32"/>
          <w:highlight w:val="none"/>
        </w:rPr>
        <w:t>报价明细表</w:t>
      </w:r>
      <w:r>
        <w:rPr>
          <w:rFonts w:hint="eastAsia" w:ascii="仿宋" w:hAnsi="仿宋" w:eastAsia="仿宋"/>
          <w:color w:val="auto"/>
          <w:sz w:val="24"/>
          <w:highlight w:val="none"/>
        </w:rPr>
        <w:t>(格式</w:t>
      </w:r>
      <w:r>
        <w:rPr>
          <w:rFonts w:ascii="仿宋" w:hAnsi="仿宋" w:eastAsia="仿宋"/>
          <w:color w:val="auto"/>
          <w:sz w:val="24"/>
          <w:highlight w:val="none"/>
        </w:rPr>
        <w:t>)</w:t>
      </w:r>
    </w:p>
    <w:p>
      <w:pPr>
        <w:rPr>
          <w:color w:val="auto"/>
          <w:highlight w:val="none"/>
        </w:rPr>
      </w:pPr>
    </w:p>
    <w:p>
      <w:pPr>
        <w:spacing w:line="400" w:lineRule="exact"/>
        <w:jc w:val="left"/>
        <w:rPr>
          <w:rFonts w:hint="eastAsia"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pPr>
        <w:spacing w:line="400" w:lineRule="exact"/>
        <w:jc w:val="left"/>
        <w:rPr>
          <w:rFonts w:hint="eastAsia"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tbl>
      <w:tblPr>
        <w:tblStyle w:val="35"/>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22"/>
        <w:gridCol w:w="3378"/>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序号</w:t>
            </w:r>
          </w:p>
        </w:tc>
        <w:tc>
          <w:tcPr>
            <w:tcW w:w="3822" w:type="dxa"/>
            <w:vAlign w:val="center"/>
          </w:tcPr>
          <w:p>
            <w:pPr>
              <w:widowControl/>
              <w:jc w:val="center"/>
              <w:rPr>
                <w:rFonts w:hint="eastAsia" w:ascii="宋体" w:hAnsi="宋体" w:cs="宋体"/>
                <w:b/>
                <w:color w:val="auto"/>
                <w:kern w:val="0"/>
                <w:sz w:val="22"/>
                <w:szCs w:val="22"/>
                <w:highlight w:val="none"/>
              </w:rPr>
            </w:pPr>
            <w:r>
              <w:rPr>
                <w:rFonts w:hint="eastAsia" w:ascii="宋体" w:hAnsi="宋体" w:cs="宋体"/>
                <w:b/>
                <w:color w:val="auto"/>
                <w:kern w:val="0"/>
                <w:sz w:val="22"/>
                <w:szCs w:val="22"/>
                <w:highlight w:val="none"/>
              </w:rPr>
              <w:t>服务内容</w:t>
            </w:r>
          </w:p>
        </w:tc>
        <w:tc>
          <w:tcPr>
            <w:tcW w:w="3378"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报价</w:t>
            </w:r>
          </w:p>
        </w:tc>
        <w:tc>
          <w:tcPr>
            <w:tcW w:w="1386" w:type="dxa"/>
            <w:vAlign w:val="center"/>
          </w:tcPr>
          <w:p>
            <w:pPr>
              <w:widowControl/>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vAlign w:val="center"/>
          </w:tcPr>
          <w:p>
            <w:pPr>
              <w:widowControl/>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822" w:type="dxa"/>
            <w:vAlign w:val="center"/>
          </w:tcPr>
          <w:p>
            <w:pPr>
              <w:widowControl/>
              <w:jc w:val="center"/>
              <w:rPr>
                <w:rFonts w:hint="eastAsia" w:ascii="宋体" w:hAnsi="宋体"/>
                <w:bCs/>
                <w:color w:val="auto"/>
                <w:highlight w:val="none"/>
              </w:rPr>
            </w:pPr>
          </w:p>
        </w:tc>
        <w:tc>
          <w:tcPr>
            <w:tcW w:w="3378" w:type="dxa"/>
            <w:vAlign w:val="center"/>
          </w:tcPr>
          <w:p>
            <w:pPr>
              <w:widowControl/>
              <w:spacing w:line="500" w:lineRule="exact"/>
              <w:jc w:val="center"/>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元整</w:t>
            </w:r>
          </w:p>
          <w:p>
            <w:pPr>
              <w:widowControl/>
              <w:spacing w:line="500" w:lineRule="exac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小写：</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p>
        </w:tc>
        <w:tc>
          <w:tcPr>
            <w:tcW w:w="1386" w:type="dxa"/>
            <w:vAlign w:val="center"/>
          </w:tcPr>
          <w:p>
            <w:pPr>
              <w:widowControl/>
              <w:jc w:val="center"/>
              <w:rPr>
                <w:rFonts w:hint="eastAsia" w:ascii="宋体" w:hAnsi="宋体" w:cs="宋体"/>
                <w:color w:val="auto"/>
                <w:kern w:val="0"/>
                <w:szCs w:val="21"/>
                <w:highlight w:val="none"/>
              </w:rPr>
            </w:pPr>
          </w:p>
        </w:tc>
      </w:tr>
    </w:tbl>
    <w:p>
      <w:pPr>
        <w:spacing w:line="440" w:lineRule="exact"/>
        <w:rPr>
          <w:rFonts w:hint="eastAsia" w:ascii="宋体" w:hAnsi="宋体"/>
          <w:color w:val="auto"/>
          <w:szCs w:val="21"/>
          <w:highlight w:val="none"/>
        </w:rPr>
      </w:pPr>
      <w:r>
        <w:rPr>
          <w:rFonts w:hint="eastAsia" w:ascii="宋体" w:hAnsi="宋体"/>
          <w:color w:val="auto"/>
          <w:szCs w:val="21"/>
          <w:highlight w:val="none"/>
        </w:rPr>
        <w:t>注：1.所有价格均用人民币表示，单位为元，精确到个数位。</w:t>
      </w:r>
    </w:p>
    <w:p>
      <w:pPr>
        <w:spacing w:line="440" w:lineRule="exact"/>
        <w:rPr>
          <w:color w:val="auto"/>
          <w:highlight w:val="none"/>
        </w:rPr>
      </w:pPr>
      <w:r>
        <w:rPr>
          <w:rFonts w:hint="eastAsia" w:ascii="宋体" w:hAnsi="宋体"/>
          <w:color w:val="auto"/>
          <w:szCs w:val="21"/>
          <w:highlight w:val="none"/>
        </w:rPr>
        <w:t xml:space="preserve">    </w:t>
      </w:r>
      <w:r>
        <w:rPr>
          <w:rFonts w:hint="eastAsia" w:ascii="宋体" w:hAnsi="宋体"/>
          <w:bCs/>
          <w:color w:val="auto"/>
          <w:szCs w:val="21"/>
          <w:highlight w:val="none"/>
        </w:rPr>
        <w:t>2.</w:t>
      </w:r>
      <w:r>
        <w:rPr>
          <w:rFonts w:hint="eastAsia" w:hAnsi="宋体"/>
          <w:bCs/>
          <w:color w:val="auto"/>
          <w:highlight w:val="none"/>
        </w:rPr>
        <w:t>供应商应根据本采购文件指定格式正确填写报价，采取以总价包干方式承包以上所述服务内容，并给出项目总报价。</w:t>
      </w:r>
    </w:p>
    <w:p>
      <w:pPr>
        <w:pStyle w:val="21"/>
        <w:spacing w:before="50" w:after="50" w:line="360" w:lineRule="exact"/>
        <w:ind w:firstLine="420"/>
        <w:rPr>
          <w:color w:val="auto"/>
          <w:highlight w:val="none"/>
        </w:rPr>
      </w:pPr>
      <w:r>
        <w:rPr>
          <w:color w:val="auto"/>
          <w:highlight w:val="none"/>
        </w:rPr>
        <w:t>3</w:t>
      </w:r>
      <w:r>
        <w:rPr>
          <w:rFonts w:hint="eastAsia"/>
          <w:color w:val="auto"/>
          <w:highlight w:val="none"/>
        </w:rPr>
        <w:t>.在符合总体要求的前提下，供应商可对采购文件中没有提及的内容按自己的理解适当增加，但有关价格及费用必须在响应文件中单独列出，并说明理由。</w:t>
      </w:r>
    </w:p>
    <w:p>
      <w:pPr>
        <w:pStyle w:val="21"/>
        <w:spacing w:before="50" w:after="50" w:line="360" w:lineRule="exact"/>
        <w:ind w:firstLine="420"/>
        <w:rPr>
          <w:color w:val="auto"/>
          <w:highlight w:val="none"/>
        </w:rPr>
      </w:pPr>
      <w:r>
        <w:rPr>
          <w:color w:val="auto"/>
          <w:highlight w:val="none"/>
        </w:rPr>
        <w:t>4.</w:t>
      </w:r>
      <w:r>
        <w:rPr>
          <w:rFonts w:hint="eastAsia" w:hAnsi="宋体"/>
          <w:color w:val="auto"/>
          <w:highlight w:val="none"/>
        </w:rPr>
        <w:t>报价为全包价，以人民币为结算单位。在合同实施时，采购人将不予支付成交供应商没有列入的项目费用，并认为此项目的费用已包括在总报价中。采购人不再支付合同以外的其他费用。</w:t>
      </w:r>
    </w:p>
    <w:p>
      <w:pPr>
        <w:rPr>
          <w:color w:val="auto"/>
          <w:highlight w:val="none"/>
        </w:rPr>
      </w:pPr>
    </w:p>
    <w:p>
      <w:pPr>
        <w:rPr>
          <w:color w:val="auto"/>
          <w:highlight w:val="none"/>
        </w:rPr>
      </w:pPr>
    </w:p>
    <w:p>
      <w:pPr>
        <w:rPr>
          <w:color w:val="auto"/>
          <w:highlight w:val="none"/>
        </w:rPr>
      </w:pPr>
    </w:p>
    <w:p>
      <w:pPr>
        <w:pStyle w:val="21"/>
        <w:spacing w:line="440" w:lineRule="exact"/>
        <w:ind w:firstLine="3675" w:firstLineChars="1750"/>
        <w:rPr>
          <w:rFonts w:hint="eastAsia" w:hAnsi="宋体"/>
          <w:color w:val="auto"/>
          <w:highlight w:val="none"/>
          <w:u w:val="single"/>
        </w:rPr>
      </w:pPr>
      <w:r>
        <w:rPr>
          <w:rFonts w:hint="eastAsia" w:hAnsi="宋体"/>
          <w:color w:val="auto"/>
          <w:highlight w:val="none"/>
        </w:rPr>
        <w:t>法定代表人或授权代表（签名）：</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pStyle w:val="21"/>
        <w:spacing w:line="440" w:lineRule="exact"/>
        <w:ind w:firstLine="3675" w:firstLineChars="1750"/>
        <w:rPr>
          <w:rFonts w:hint="eastAsia" w:hAnsi="宋体"/>
          <w:color w:val="auto"/>
          <w:highlight w:val="none"/>
          <w:u w:val="single"/>
        </w:rPr>
      </w:pPr>
      <w:r>
        <w:rPr>
          <w:rFonts w:hint="eastAsia" w:hAnsi="宋体"/>
          <w:color w:val="auto"/>
          <w:highlight w:val="none"/>
        </w:rPr>
        <w:t>供应商（盖章）：</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pPr>
        <w:spacing w:line="440" w:lineRule="exact"/>
        <w:ind w:firstLine="3675" w:firstLineChars="1750"/>
        <w:rPr>
          <w:rFonts w:hint="eastAsia" w:ascii="宋体" w:hAnsi="宋体"/>
          <w:color w:val="auto"/>
          <w:szCs w:val="21"/>
          <w:highlight w:val="none"/>
        </w:rPr>
      </w:pPr>
      <w:r>
        <w:rPr>
          <w:rFonts w:hint="eastAsia" w:hAnsi="宋体"/>
          <w:color w:val="auto"/>
          <w:highlight w:val="none"/>
        </w:rPr>
        <w:t>日期：</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r>
        <w:rPr>
          <w:rFonts w:hint="eastAsia" w:hAnsi="宋体"/>
          <w:color w:val="auto"/>
          <w:highlight w:val="none"/>
        </w:rPr>
        <w:t>日</w:t>
      </w:r>
    </w:p>
    <w:sectPr>
      <w:headerReference r:id="rId5" w:type="default"/>
      <w:footerReference r:id="rId6" w:type="default"/>
      <w:pgSz w:w="11906" w:h="16838"/>
      <w:pgMar w:top="936" w:right="991" w:bottom="1135" w:left="993"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Helvetica">
    <w:altName w:val="Arial"/>
    <w:panose1 w:val="020B0504020202030204"/>
    <w:charset w:val="00"/>
    <w:family w:val="swiss"/>
    <w:pitch w:val="default"/>
    <w:sig w:usb0="00000000" w:usb1="00000000" w:usb2="00000000" w:usb3="00000000" w:csb0="00000093" w:csb1="00000000"/>
  </w:font>
  <w:font w:name="Adobe 仿宋 Std R">
    <w:altName w:val="仿宋"/>
    <w:panose1 w:val="020204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f1mLBgMCAAAEBAAADgAAAAAAAAABACAAAAAeAQAAZHJzL2Uyb0Rv&#10;Yy54bWxQSwUGAAAAAAYABgBZAQAAkw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2564419"/>
    </w:sdtPr>
    <w:sdtContent>
      <w:p>
        <w:pPr>
          <w:pStyle w:val="25"/>
          <w:jc w:val="center"/>
        </w:pPr>
        <w:r>
          <w:fldChar w:fldCharType="begin"/>
        </w:r>
        <w:r>
          <w:instrText xml:space="preserve">PAGE   \* MERGEFORMAT</w:instrText>
        </w:r>
        <w:r>
          <w:fldChar w:fldCharType="separate"/>
        </w:r>
        <w:r>
          <w:t>2</w:t>
        </w:r>
        <w:r>
          <w:fldChar w:fldCharType="end"/>
        </w:r>
      </w:p>
    </w:sdtContent>
  </w:sdt>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pPr>
    <w:r>
      <w:rPr>
        <w:rFonts w:hint="eastAsia"/>
      </w:rPr>
      <w:t xml:space="preserve">钦州市政府采购中心             </w:t>
    </w:r>
    <w:r>
      <w:rPr>
        <w:rFonts w:hint="eastAsia"/>
        <w:lang w:val="en-US" w:eastAsia="zh-CN"/>
      </w:rPr>
      <w:t xml:space="preserve">           </w:t>
    </w:r>
    <w:r>
      <w:rPr>
        <w:rFonts w:hint="eastAsia"/>
        <w:lang w:eastAsia="zh-CN"/>
      </w:rPr>
      <w:t>钦州市人工智能＋智慧监管大数据分析平台项目</w:t>
    </w:r>
    <w:r>
      <w:rPr>
        <w:rFonts w:hint="eastAsia"/>
      </w:rPr>
      <w:t>(</w:t>
    </w:r>
    <w:r>
      <w:rPr>
        <w:rFonts w:hint="eastAsia"/>
        <w:lang w:eastAsia="zh-CN"/>
      </w:rPr>
      <w:t>QZZC2025-C3-990277-QZSZ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74010"/>
    <w:multiLevelType w:val="singleLevel"/>
    <w:tmpl w:val="80A74010"/>
    <w:lvl w:ilvl="0" w:tentative="0">
      <w:start w:val="1"/>
      <w:numFmt w:val="chineseCounting"/>
      <w:suff w:val="nothing"/>
      <w:lvlText w:val="%1、"/>
      <w:lvlJc w:val="left"/>
      <w:rPr>
        <w:rFonts w:hint="eastAsia"/>
      </w:rPr>
    </w:lvl>
  </w:abstractNum>
  <w:abstractNum w:abstractNumId="1">
    <w:nsid w:val="00000007"/>
    <w:multiLevelType w:val="multilevel"/>
    <w:tmpl w:val="00000007"/>
    <w:lvl w:ilvl="0" w:tentative="0">
      <w:start w:val="1"/>
      <w:numFmt w:val="chineseCountingThousand"/>
      <w:pStyle w:val="19"/>
      <w:suff w:val="nothing"/>
      <w:lvlText w:val="第%1章"/>
      <w:lvlJc w:val="left"/>
      <w:pPr>
        <w:ind w:left="142" w:firstLine="0"/>
      </w:pPr>
      <w:rPr>
        <w:rFonts w:hint="eastAsia" w:ascii="仿宋_GB2312" w:eastAsia="仿宋_GB2312"/>
        <w:sz w:val="44"/>
      </w:rPr>
    </w:lvl>
    <w:lvl w:ilvl="1" w:tentative="0">
      <w:start w:val="1"/>
      <w:numFmt w:val="none"/>
      <w:suff w:val="nothing"/>
      <w:lvlText w:val=""/>
      <w:lvlJc w:val="left"/>
      <w:pPr>
        <w:ind w:left="142" w:firstLine="0"/>
      </w:pPr>
      <w:rPr>
        <w:rFonts w:hint="eastAsia"/>
      </w:rPr>
    </w:lvl>
    <w:lvl w:ilvl="2" w:tentative="0">
      <w:start w:val="1"/>
      <w:numFmt w:val="none"/>
      <w:suff w:val="nothing"/>
      <w:lvlText w:val=""/>
      <w:lvlJc w:val="left"/>
      <w:pPr>
        <w:ind w:left="142" w:firstLine="0"/>
      </w:pPr>
      <w:rPr>
        <w:rFonts w:hint="eastAsia"/>
      </w:rPr>
    </w:lvl>
    <w:lvl w:ilvl="3" w:tentative="0">
      <w:start w:val="1"/>
      <w:numFmt w:val="none"/>
      <w:suff w:val="nothing"/>
      <w:lvlText w:val=""/>
      <w:lvlJc w:val="left"/>
      <w:pPr>
        <w:ind w:left="142" w:firstLine="0"/>
      </w:pPr>
      <w:rPr>
        <w:rFonts w:hint="eastAsia"/>
      </w:rPr>
    </w:lvl>
    <w:lvl w:ilvl="4" w:tentative="0">
      <w:start w:val="1"/>
      <w:numFmt w:val="none"/>
      <w:pStyle w:val="7"/>
      <w:suff w:val="nothing"/>
      <w:lvlText w:val=""/>
      <w:lvlJc w:val="left"/>
      <w:pPr>
        <w:ind w:left="142" w:firstLine="0"/>
      </w:pPr>
      <w:rPr>
        <w:rFonts w:hint="eastAsia"/>
      </w:rPr>
    </w:lvl>
    <w:lvl w:ilvl="5" w:tentative="0">
      <w:start w:val="1"/>
      <w:numFmt w:val="none"/>
      <w:pStyle w:val="9"/>
      <w:suff w:val="nothing"/>
      <w:lvlText w:val=""/>
      <w:lvlJc w:val="left"/>
      <w:pPr>
        <w:ind w:left="142" w:firstLine="0"/>
      </w:pPr>
      <w:rPr>
        <w:rFonts w:hint="eastAsia"/>
      </w:rPr>
    </w:lvl>
    <w:lvl w:ilvl="6" w:tentative="0">
      <w:start w:val="1"/>
      <w:numFmt w:val="none"/>
      <w:pStyle w:val="10"/>
      <w:suff w:val="nothing"/>
      <w:lvlText w:val=""/>
      <w:lvlJc w:val="left"/>
      <w:pPr>
        <w:ind w:left="142" w:firstLine="0"/>
      </w:pPr>
      <w:rPr>
        <w:rFonts w:hint="eastAsia"/>
      </w:rPr>
    </w:lvl>
    <w:lvl w:ilvl="7" w:tentative="0">
      <w:start w:val="1"/>
      <w:numFmt w:val="none"/>
      <w:pStyle w:val="11"/>
      <w:suff w:val="nothing"/>
      <w:lvlText w:val=""/>
      <w:lvlJc w:val="left"/>
      <w:pPr>
        <w:ind w:left="142" w:firstLine="0"/>
      </w:pPr>
      <w:rPr>
        <w:rFonts w:hint="eastAsia"/>
      </w:rPr>
    </w:lvl>
    <w:lvl w:ilvl="8" w:tentative="0">
      <w:start w:val="1"/>
      <w:numFmt w:val="none"/>
      <w:pStyle w:val="12"/>
      <w:suff w:val="nothing"/>
      <w:lvlText w:val=""/>
      <w:lvlJc w:val="left"/>
      <w:pPr>
        <w:ind w:left="142" w:firstLine="0"/>
      </w:pPr>
      <w:rPr>
        <w:rFonts w:hint="eastAsia"/>
      </w:rPr>
    </w:lvl>
  </w:abstractNum>
  <w:abstractNum w:abstractNumId="2">
    <w:nsid w:val="7277484A"/>
    <w:multiLevelType w:val="singleLevel"/>
    <w:tmpl w:val="7277484A"/>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3MWQyZWFiOWFiMDFiNjVjN2I4ZTUyMTVjMTg4M2UifQ=="/>
  </w:docVars>
  <w:rsids>
    <w:rsidRoot w:val="00172A27"/>
    <w:rsid w:val="0000046D"/>
    <w:rsid w:val="000009A4"/>
    <w:rsid w:val="0000182C"/>
    <w:rsid w:val="00001C30"/>
    <w:rsid w:val="00001F66"/>
    <w:rsid w:val="00002715"/>
    <w:rsid w:val="0000296D"/>
    <w:rsid w:val="00002E66"/>
    <w:rsid w:val="00003781"/>
    <w:rsid w:val="00003F3C"/>
    <w:rsid w:val="0000486E"/>
    <w:rsid w:val="00004CB0"/>
    <w:rsid w:val="00004CDE"/>
    <w:rsid w:val="00005328"/>
    <w:rsid w:val="00007E2F"/>
    <w:rsid w:val="00007E51"/>
    <w:rsid w:val="000104B5"/>
    <w:rsid w:val="00010E05"/>
    <w:rsid w:val="00012061"/>
    <w:rsid w:val="000123EC"/>
    <w:rsid w:val="000125C2"/>
    <w:rsid w:val="00013AC8"/>
    <w:rsid w:val="00013C7F"/>
    <w:rsid w:val="00014132"/>
    <w:rsid w:val="00014488"/>
    <w:rsid w:val="000149E9"/>
    <w:rsid w:val="00016092"/>
    <w:rsid w:val="00016829"/>
    <w:rsid w:val="00017A2B"/>
    <w:rsid w:val="00020517"/>
    <w:rsid w:val="000207E1"/>
    <w:rsid w:val="00020DBA"/>
    <w:rsid w:val="00021054"/>
    <w:rsid w:val="000216CC"/>
    <w:rsid w:val="00021A62"/>
    <w:rsid w:val="00022909"/>
    <w:rsid w:val="00022CE2"/>
    <w:rsid w:val="00023813"/>
    <w:rsid w:val="000244C1"/>
    <w:rsid w:val="000248E5"/>
    <w:rsid w:val="00025985"/>
    <w:rsid w:val="00025AC0"/>
    <w:rsid w:val="00027018"/>
    <w:rsid w:val="000272D2"/>
    <w:rsid w:val="0002754E"/>
    <w:rsid w:val="00027BD3"/>
    <w:rsid w:val="0003177E"/>
    <w:rsid w:val="00032229"/>
    <w:rsid w:val="00032A59"/>
    <w:rsid w:val="00032B1F"/>
    <w:rsid w:val="00032F50"/>
    <w:rsid w:val="00033214"/>
    <w:rsid w:val="000344F4"/>
    <w:rsid w:val="0003479C"/>
    <w:rsid w:val="00034B7D"/>
    <w:rsid w:val="00035002"/>
    <w:rsid w:val="0003509E"/>
    <w:rsid w:val="00036EC4"/>
    <w:rsid w:val="00037318"/>
    <w:rsid w:val="00037EEA"/>
    <w:rsid w:val="000400F8"/>
    <w:rsid w:val="0004027B"/>
    <w:rsid w:val="00040DCA"/>
    <w:rsid w:val="000417D5"/>
    <w:rsid w:val="000419B7"/>
    <w:rsid w:val="00041D69"/>
    <w:rsid w:val="00041EAA"/>
    <w:rsid w:val="00041FD1"/>
    <w:rsid w:val="00042DEF"/>
    <w:rsid w:val="00044162"/>
    <w:rsid w:val="00044278"/>
    <w:rsid w:val="000445D1"/>
    <w:rsid w:val="000448E0"/>
    <w:rsid w:val="00045285"/>
    <w:rsid w:val="0004535A"/>
    <w:rsid w:val="00045CF3"/>
    <w:rsid w:val="00045D3B"/>
    <w:rsid w:val="00046ED2"/>
    <w:rsid w:val="00050908"/>
    <w:rsid w:val="00050B4D"/>
    <w:rsid w:val="00051B41"/>
    <w:rsid w:val="000521BA"/>
    <w:rsid w:val="00052C3B"/>
    <w:rsid w:val="00053067"/>
    <w:rsid w:val="000530C2"/>
    <w:rsid w:val="00053FFD"/>
    <w:rsid w:val="00054058"/>
    <w:rsid w:val="000548EF"/>
    <w:rsid w:val="00054C4F"/>
    <w:rsid w:val="00054D61"/>
    <w:rsid w:val="00054F2A"/>
    <w:rsid w:val="00055319"/>
    <w:rsid w:val="00055AA6"/>
    <w:rsid w:val="0005758A"/>
    <w:rsid w:val="000576C1"/>
    <w:rsid w:val="00060064"/>
    <w:rsid w:val="0006170C"/>
    <w:rsid w:val="00061972"/>
    <w:rsid w:val="000619FC"/>
    <w:rsid w:val="00061AC4"/>
    <w:rsid w:val="0006223A"/>
    <w:rsid w:val="00063151"/>
    <w:rsid w:val="00064127"/>
    <w:rsid w:val="00064B46"/>
    <w:rsid w:val="0006699C"/>
    <w:rsid w:val="000670F3"/>
    <w:rsid w:val="000675EC"/>
    <w:rsid w:val="00067C97"/>
    <w:rsid w:val="000700B4"/>
    <w:rsid w:val="000707DE"/>
    <w:rsid w:val="000709DB"/>
    <w:rsid w:val="000714E8"/>
    <w:rsid w:val="00071DBC"/>
    <w:rsid w:val="00072665"/>
    <w:rsid w:val="0007297B"/>
    <w:rsid w:val="00072ABB"/>
    <w:rsid w:val="00074159"/>
    <w:rsid w:val="000749B7"/>
    <w:rsid w:val="000753D2"/>
    <w:rsid w:val="00075494"/>
    <w:rsid w:val="0007550C"/>
    <w:rsid w:val="00075C45"/>
    <w:rsid w:val="00076CDB"/>
    <w:rsid w:val="00077B75"/>
    <w:rsid w:val="00077E54"/>
    <w:rsid w:val="000813F4"/>
    <w:rsid w:val="000817C6"/>
    <w:rsid w:val="00081921"/>
    <w:rsid w:val="00081A1B"/>
    <w:rsid w:val="00082980"/>
    <w:rsid w:val="00083D28"/>
    <w:rsid w:val="00083D58"/>
    <w:rsid w:val="00084EA9"/>
    <w:rsid w:val="00084EC7"/>
    <w:rsid w:val="00085936"/>
    <w:rsid w:val="00085C49"/>
    <w:rsid w:val="00085CBC"/>
    <w:rsid w:val="00085EEB"/>
    <w:rsid w:val="000867B0"/>
    <w:rsid w:val="00086B70"/>
    <w:rsid w:val="00087668"/>
    <w:rsid w:val="000904A2"/>
    <w:rsid w:val="00090AF0"/>
    <w:rsid w:val="000910C5"/>
    <w:rsid w:val="00092839"/>
    <w:rsid w:val="00093C1A"/>
    <w:rsid w:val="00093E79"/>
    <w:rsid w:val="00093F41"/>
    <w:rsid w:val="00094441"/>
    <w:rsid w:val="00094BC6"/>
    <w:rsid w:val="000953A5"/>
    <w:rsid w:val="00096670"/>
    <w:rsid w:val="00096B4A"/>
    <w:rsid w:val="00096DE8"/>
    <w:rsid w:val="00097C9E"/>
    <w:rsid w:val="000A0911"/>
    <w:rsid w:val="000A124F"/>
    <w:rsid w:val="000A139A"/>
    <w:rsid w:val="000A2431"/>
    <w:rsid w:val="000A2A30"/>
    <w:rsid w:val="000A358F"/>
    <w:rsid w:val="000A38A0"/>
    <w:rsid w:val="000A3C64"/>
    <w:rsid w:val="000A4362"/>
    <w:rsid w:val="000A5274"/>
    <w:rsid w:val="000A61B8"/>
    <w:rsid w:val="000A62BD"/>
    <w:rsid w:val="000A6603"/>
    <w:rsid w:val="000A679A"/>
    <w:rsid w:val="000A6A7F"/>
    <w:rsid w:val="000A6F98"/>
    <w:rsid w:val="000A74E0"/>
    <w:rsid w:val="000A74F6"/>
    <w:rsid w:val="000A7B98"/>
    <w:rsid w:val="000B1427"/>
    <w:rsid w:val="000B1905"/>
    <w:rsid w:val="000B1CCA"/>
    <w:rsid w:val="000B200B"/>
    <w:rsid w:val="000B3976"/>
    <w:rsid w:val="000B3C2D"/>
    <w:rsid w:val="000B470D"/>
    <w:rsid w:val="000B5395"/>
    <w:rsid w:val="000B62CB"/>
    <w:rsid w:val="000B6350"/>
    <w:rsid w:val="000B678F"/>
    <w:rsid w:val="000B6FEF"/>
    <w:rsid w:val="000B7F9A"/>
    <w:rsid w:val="000C0328"/>
    <w:rsid w:val="000C03D4"/>
    <w:rsid w:val="000C0D86"/>
    <w:rsid w:val="000C1621"/>
    <w:rsid w:val="000C1CD7"/>
    <w:rsid w:val="000C2778"/>
    <w:rsid w:val="000C2784"/>
    <w:rsid w:val="000C32AE"/>
    <w:rsid w:val="000C3380"/>
    <w:rsid w:val="000C4807"/>
    <w:rsid w:val="000C4C6A"/>
    <w:rsid w:val="000C5751"/>
    <w:rsid w:val="000C57F9"/>
    <w:rsid w:val="000C598C"/>
    <w:rsid w:val="000C618E"/>
    <w:rsid w:val="000C6342"/>
    <w:rsid w:val="000C6CE1"/>
    <w:rsid w:val="000C7B9D"/>
    <w:rsid w:val="000D02E9"/>
    <w:rsid w:val="000D1274"/>
    <w:rsid w:val="000D1597"/>
    <w:rsid w:val="000D16A7"/>
    <w:rsid w:val="000D1C6A"/>
    <w:rsid w:val="000D1F8D"/>
    <w:rsid w:val="000D22BD"/>
    <w:rsid w:val="000D26E7"/>
    <w:rsid w:val="000D53F2"/>
    <w:rsid w:val="000D5748"/>
    <w:rsid w:val="000D5C8A"/>
    <w:rsid w:val="000D6C9D"/>
    <w:rsid w:val="000D78E6"/>
    <w:rsid w:val="000E0487"/>
    <w:rsid w:val="000E088E"/>
    <w:rsid w:val="000E232F"/>
    <w:rsid w:val="000E285B"/>
    <w:rsid w:val="000E2DB0"/>
    <w:rsid w:val="000E348C"/>
    <w:rsid w:val="000E4D22"/>
    <w:rsid w:val="000E545D"/>
    <w:rsid w:val="000F0150"/>
    <w:rsid w:val="000F03FE"/>
    <w:rsid w:val="000F152C"/>
    <w:rsid w:val="000F17C9"/>
    <w:rsid w:val="000F3668"/>
    <w:rsid w:val="000F383E"/>
    <w:rsid w:val="000F38CF"/>
    <w:rsid w:val="000F3F16"/>
    <w:rsid w:val="000F449F"/>
    <w:rsid w:val="000F48C9"/>
    <w:rsid w:val="000F6024"/>
    <w:rsid w:val="00100B14"/>
    <w:rsid w:val="00100EB7"/>
    <w:rsid w:val="0010174C"/>
    <w:rsid w:val="0010201F"/>
    <w:rsid w:val="0010254F"/>
    <w:rsid w:val="00102B73"/>
    <w:rsid w:val="00102C51"/>
    <w:rsid w:val="00103216"/>
    <w:rsid w:val="0010330D"/>
    <w:rsid w:val="001039BF"/>
    <w:rsid w:val="00103CB4"/>
    <w:rsid w:val="00103D6B"/>
    <w:rsid w:val="00107F42"/>
    <w:rsid w:val="00110401"/>
    <w:rsid w:val="00110E22"/>
    <w:rsid w:val="001110F1"/>
    <w:rsid w:val="0011195C"/>
    <w:rsid w:val="00112E30"/>
    <w:rsid w:val="001138CB"/>
    <w:rsid w:val="00115CAC"/>
    <w:rsid w:val="001160DE"/>
    <w:rsid w:val="00116718"/>
    <w:rsid w:val="00116FC8"/>
    <w:rsid w:val="00117835"/>
    <w:rsid w:val="0012024C"/>
    <w:rsid w:val="00120493"/>
    <w:rsid w:val="00120DFA"/>
    <w:rsid w:val="00121726"/>
    <w:rsid w:val="001218FE"/>
    <w:rsid w:val="00121CC1"/>
    <w:rsid w:val="001221BE"/>
    <w:rsid w:val="00123679"/>
    <w:rsid w:val="001236BF"/>
    <w:rsid w:val="001236EB"/>
    <w:rsid w:val="00123ACC"/>
    <w:rsid w:val="00124792"/>
    <w:rsid w:val="00124CEA"/>
    <w:rsid w:val="00124CF0"/>
    <w:rsid w:val="00125726"/>
    <w:rsid w:val="001258B7"/>
    <w:rsid w:val="001267FF"/>
    <w:rsid w:val="00127F9D"/>
    <w:rsid w:val="0013084E"/>
    <w:rsid w:val="001315D8"/>
    <w:rsid w:val="00131845"/>
    <w:rsid w:val="00132B8C"/>
    <w:rsid w:val="0013360D"/>
    <w:rsid w:val="001339B4"/>
    <w:rsid w:val="00133E41"/>
    <w:rsid w:val="00133E7C"/>
    <w:rsid w:val="00134D7F"/>
    <w:rsid w:val="00134F05"/>
    <w:rsid w:val="00134F65"/>
    <w:rsid w:val="0013526C"/>
    <w:rsid w:val="001356B6"/>
    <w:rsid w:val="0013661A"/>
    <w:rsid w:val="00136E07"/>
    <w:rsid w:val="00136F43"/>
    <w:rsid w:val="001372D1"/>
    <w:rsid w:val="001374A2"/>
    <w:rsid w:val="00141121"/>
    <w:rsid w:val="001429D7"/>
    <w:rsid w:val="00143437"/>
    <w:rsid w:val="00143891"/>
    <w:rsid w:val="00145073"/>
    <w:rsid w:val="0014515E"/>
    <w:rsid w:val="0014559E"/>
    <w:rsid w:val="00145749"/>
    <w:rsid w:val="00145EF0"/>
    <w:rsid w:val="001462D6"/>
    <w:rsid w:val="001464A7"/>
    <w:rsid w:val="00147344"/>
    <w:rsid w:val="001477F2"/>
    <w:rsid w:val="0015059D"/>
    <w:rsid w:val="00151322"/>
    <w:rsid w:val="00151A22"/>
    <w:rsid w:val="00152576"/>
    <w:rsid w:val="00152C66"/>
    <w:rsid w:val="00153A5A"/>
    <w:rsid w:val="00153EDA"/>
    <w:rsid w:val="001547CA"/>
    <w:rsid w:val="00154C02"/>
    <w:rsid w:val="00154C69"/>
    <w:rsid w:val="0015529D"/>
    <w:rsid w:val="00156328"/>
    <w:rsid w:val="00156678"/>
    <w:rsid w:val="00156E9D"/>
    <w:rsid w:val="001573B4"/>
    <w:rsid w:val="00157B9D"/>
    <w:rsid w:val="00157E30"/>
    <w:rsid w:val="001600BF"/>
    <w:rsid w:val="001601A2"/>
    <w:rsid w:val="00160295"/>
    <w:rsid w:val="001607B6"/>
    <w:rsid w:val="00161F72"/>
    <w:rsid w:val="001625C2"/>
    <w:rsid w:val="00162969"/>
    <w:rsid w:val="00162E86"/>
    <w:rsid w:val="00163D73"/>
    <w:rsid w:val="00163D88"/>
    <w:rsid w:val="00164096"/>
    <w:rsid w:val="0016529E"/>
    <w:rsid w:val="00165B1C"/>
    <w:rsid w:val="00166036"/>
    <w:rsid w:val="001662BD"/>
    <w:rsid w:val="001675A5"/>
    <w:rsid w:val="00170111"/>
    <w:rsid w:val="00170697"/>
    <w:rsid w:val="00171C1A"/>
    <w:rsid w:val="00172708"/>
    <w:rsid w:val="001727B0"/>
    <w:rsid w:val="00172A27"/>
    <w:rsid w:val="00172E97"/>
    <w:rsid w:val="00173260"/>
    <w:rsid w:val="00173C43"/>
    <w:rsid w:val="00174BEA"/>
    <w:rsid w:val="0017537B"/>
    <w:rsid w:val="001759CF"/>
    <w:rsid w:val="00175B5D"/>
    <w:rsid w:val="00176197"/>
    <w:rsid w:val="00176986"/>
    <w:rsid w:val="00176B7D"/>
    <w:rsid w:val="00177FB1"/>
    <w:rsid w:val="001809EC"/>
    <w:rsid w:val="00180D02"/>
    <w:rsid w:val="00181809"/>
    <w:rsid w:val="00182FF5"/>
    <w:rsid w:val="0018316B"/>
    <w:rsid w:val="001837AA"/>
    <w:rsid w:val="00183BC0"/>
    <w:rsid w:val="0018456A"/>
    <w:rsid w:val="00184681"/>
    <w:rsid w:val="001847DB"/>
    <w:rsid w:val="00185C46"/>
    <w:rsid w:val="00185D1E"/>
    <w:rsid w:val="00185D2D"/>
    <w:rsid w:val="00185EF5"/>
    <w:rsid w:val="00185F81"/>
    <w:rsid w:val="001863BC"/>
    <w:rsid w:val="0018652D"/>
    <w:rsid w:val="00186AA0"/>
    <w:rsid w:val="00187828"/>
    <w:rsid w:val="00187EAA"/>
    <w:rsid w:val="00190B5F"/>
    <w:rsid w:val="001912D2"/>
    <w:rsid w:val="00191575"/>
    <w:rsid w:val="00191DE6"/>
    <w:rsid w:val="00191FD8"/>
    <w:rsid w:val="0019224F"/>
    <w:rsid w:val="0019227A"/>
    <w:rsid w:val="001923BA"/>
    <w:rsid w:val="0019338C"/>
    <w:rsid w:val="00194C01"/>
    <w:rsid w:val="00196AD9"/>
    <w:rsid w:val="00197F91"/>
    <w:rsid w:val="001A0381"/>
    <w:rsid w:val="001A04B7"/>
    <w:rsid w:val="001A10F0"/>
    <w:rsid w:val="001A24D5"/>
    <w:rsid w:val="001A2637"/>
    <w:rsid w:val="001A270B"/>
    <w:rsid w:val="001A2CE9"/>
    <w:rsid w:val="001A37A7"/>
    <w:rsid w:val="001A397E"/>
    <w:rsid w:val="001A3D56"/>
    <w:rsid w:val="001A3E22"/>
    <w:rsid w:val="001A4A03"/>
    <w:rsid w:val="001A4DEE"/>
    <w:rsid w:val="001A51A4"/>
    <w:rsid w:val="001A52EC"/>
    <w:rsid w:val="001A592E"/>
    <w:rsid w:val="001A5B3D"/>
    <w:rsid w:val="001A608D"/>
    <w:rsid w:val="001A64AB"/>
    <w:rsid w:val="001A69D0"/>
    <w:rsid w:val="001A7510"/>
    <w:rsid w:val="001A79FC"/>
    <w:rsid w:val="001B0FFF"/>
    <w:rsid w:val="001B1422"/>
    <w:rsid w:val="001B1780"/>
    <w:rsid w:val="001B2789"/>
    <w:rsid w:val="001B3396"/>
    <w:rsid w:val="001B45AC"/>
    <w:rsid w:val="001B4641"/>
    <w:rsid w:val="001B49B9"/>
    <w:rsid w:val="001B4AC9"/>
    <w:rsid w:val="001B53CE"/>
    <w:rsid w:val="001B5555"/>
    <w:rsid w:val="001B5A4E"/>
    <w:rsid w:val="001B621A"/>
    <w:rsid w:val="001B639B"/>
    <w:rsid w:val="001B66C9"/>
    <w:rsid w:val="001B7226"/>
    <w:rsid w:val="001B79CA"/>
    <w:rsid w:val="001C006C"/>
    <w:rsid w:val="001C046C"/>
    <w:rsid w:val="001C0792"/>
    <w:rsid w:val="001C111E"/>
    <w:rsid w:val="001C1954"/>
    <w:rsid w:val="001C1CB6"/>
    <w:rsid w:val="001C2637"/>
    <w:rsid w:val="001C2856"/>
    <w:rsid w:val="001C36F2"/>
    <w:rsid w:val="001C37B8"/>
    <w:rsid w:val="001C3997"/>
    <w:rsid w:val="001C4006"/>
    <w:rsid w:val="001C4264"/>
    <w:rsid w:val="001C5049"/>
    <w:rsid w:val="001C5A88"/>
    <w:rsid w:val="001C5F33"/>
    <w:rsid w:val="001C676A"/>
    <w:rsid w:val="001D131F"/>
    <w:rsid w:val="001D145B"/>
    <w:rsid w:val="001D1E0C"/>
    <w:rsid w:val="001D2BC7"/>
    <w:rsid w:val="001D32DF"/>
    <w:rsid w:val="001D3347"/>
    <w:rsid w:val="001D342C"/>
    <w:rsid w:val="001D3D7A"/>
    <w:rsid w:val="001D3D91"/>
    <w:rsid w:val="001D3FE6"/>
    <w:rsid w:val="001D426E"/>
    <w:rsid w:val="001D47A2"/>
    <w:rsid w:val="001D4CB2"/>
    <w:rsid w:val="001D5364"/>
    <w:rsid w:val="001D542E"/>
    <w:rsid w:val="001D5AB1"/>
    <w:rsid w:val="001D6B41"/>
    <w:rsid w:val="001D6B43"/>
    <w:rsid w:val="001D6C9C"/>
    <w:rsid w:val="001D7C0A"/>
    <w:rsid w:val="001E135A"/>
    <w:rsid w:val="001E1B96"/>
    <w:rsid w:val="001E3151"/>
    <w:rsid w:val="001E33E7"/>
    <w:rsid w:val="001E3A70"/>
    <w:rsid w:val="001E4160"/>
    <w:rsid w:val="001E4638"/>
    <w:rsid w:val="001E4649"/>
    <w:rsid w:val="001E4806"/>
    <w:rsid w:val="001E4F61"/>
    <w:rsid w:val="001E5228"/>
    <w:rsid w:val="001E56BE"/>
    <w:rsid w:val="001E5D7F"/>
    <w:rsid w:val="001E606C"/>
    <w:rsid w:val="001E6E0F"/>
    <w:rsid w:val="001E7383"/>
    <w:rsid w:val="001E7A45"/>
    <w:rsid w:val="001F0090"/>
    <w:rsid w:val="001F01FC"/>
    <w:rsid w:val="001F145B"/>
    <w:rsid w:val="001F1B44"/>
    <w:rsid w:val="001F220E"/>
    <w:rsid w:val="001F299F"/>
    <w:rsid w:val="001F409D"/>
    <w:rsid w:val="001F4364"/>
    <w:rsid w:val="001F4B03"/>
    <w:rsid w:val="001F53DC"/>
    <w:rsid w:val="001F612B"/>
    <w:rsid w:val="001F69C1"/>
    <w:rsid w:val="001F7194"/>
    <w:rsid w:val="001F78C9"/>
    <w:rsid w:val="00200210"/>
    <w:rsid w:val="002005D7"/>
    <w:rsid w:val="00200C07"/>
    <w:rsid w:val="00200C4D"/>
    <w:rsid w:val="00201D62"/>
    <w:rsid w:val="002030D5"/>
    <w:rsid w:val="00203236"/>
    <w:rsid w:val="00203374"/>
    <w:rsid w:val="002047A7"/>
    <w:rsid w:val="00204832"/>
    <w:rsid w:val="00205192"/>
    <w:rsid w:val="002069C4"/>
    <w:rsid w:val="00207574"/>
    <w:rsid w:val="00207788"/>
    <w:rsid w:val="00207BB0"/>
    <w:rsid w:val="00210236"/>
    <w:rsid w:val="00210822"/>
    <w:rsid w:val="00210837"/>
    <w:rsid w:val="00210B9B"/>
    <w:rsid w:val="002119E2"/>
    <w:rsid w:val="00213134"/>
    <w:rsid w:val="00213C7B"/>
    <w:rsid w:val="00213CE3"/>
    <w:rsid w:val="00214AE1"/>
    <w:rsid w:val="00215B9B"/>
    <w:rsid w:val="00215DE3"/>
    <w:rsid w:val="0021617D"/>
    <w:rsid w:val="00216288"/>
    <w:rsid w:val="002168F3"/>
    <w:rsid w:val="00216ACD"/>
    <w:rsid w:val="00217785"/>
    <w:rsid w:val="00217AA5"/>
    <w:rsid w:val="00220B21"/>
    <w:rsid w:val="00220BFA"/>
    <w:rsid w:val="00220CA4"/>
    <w:rsid w:val="00221ADA"/>
    <w:rsid w:val="00221C35"/>
    <w:rsid w:val="00221E2F"/>
    <w:rsid w:val="00223AA0"/>
    <w:rsid w:val="00223AE2"/>
    <w:rsid w:val="00223DA7"/>
    <w:rsid w:val="002255D4"/>
    <w:rsid w:val="00225CAB"/>
    <w:rsid w:val="002262D7"/>
    <w:rsid w:val="002263C7"/>
    <w:rsid w:val="0022681A"/>
    <w:rsid w:val="00226A6D"/>
    <w:rsid w:val="00226C7E"/>
    <w:rsid w:val="00226F54"/>
    <w:rsid w:val="00230B9C"/>
    <w:rsid w:val="0023120C"/>
    <w:rsid w:val="002313E0"/>
    <w:rsid w:val="002313FE"/>
    <w:rsid w:val="002314F8"/>
    <w:rsid w:val="002323C0"/>
    <w:rsid w:val="00232AAB"/>
    <w:rsid w:val="00232BF8"/>
    <w:rsid w:val="0023312F"/>
    <w:rsid w:val="00233272"/>
    <w:rsid w:val="002332E7"/>
    <w:rsid w:val="00235CBD"/>
    <w:rsid w:val="00235F11"/>
    <w:rsid w:val="00235F5D"/>
    <w:rsid w:val="00236110"/>
    <w:rsid w:val="00236A1E"/>
    <w:rsid w:val="0023765F"/>
    <w:rsid w:val="00240C76"/>
    <w:rsid w:val="002420BD"/>
    <w:rsid w:val="002428DE"/>
    <w:rsid w:val="00244795"/>
    <w:rsid w:val="00244A39"/>
    <w:rsid w:val="00244F4D"/>
    <w:rsid w:val="00245C72"/>
    <w:rsid w:val="002460FA"/>
    <w:rsid w:val="00246576"/>
    <w:rsid w:val="00247748"/>
    <w:rsid w:val="00247F10"/>
    <w:rsid w:val="00247FE9"/>
    <w:rsid w:val="00250620"/>
    <w:rsid w:val="002518C7"/>
    <w:rsid w:val="00251E58"/>
    <w:rsid w:val="00253905"/>
    <w:rsid w:val="00253AB5"/>
    <w:rsid w:val="00253B1F"/>
    <w:rsid w:val="00253BF2"/>
    <w:rsid w:val="00254615"/>
    <w:rsid w:val="00254CE6"/>
    <w:rsid w:val="00254EAD"/>
    <w:rsid w:val="002554CD"/>
    <w:rsid w:val="00255AD8"/>
    <w:rsid w:val="00256102"/>
    <w:rsid w:val="00256160"/>
    <w:rsid w:val="00256BBA"/>
    <w:rsid w:val="00257F6D"/>
    <w:rsid w:val="00260023"/>
    <w:rsid w:val="0026021A"/>
    <w:rsid w:val="00260547"/>
    <w:rsid w:val="00260C1C"/>
    <w:rsid w:val="002617CC"/>
    <w:rsid w:val="0026186B"/>
    <w:rsid w:val="00261A0E"/>
    <w:rsid w:val="002625CB"/>
    <w:rsid w:val="00263DEF"/>
    <w:rsid w:val="00263F53"/>
    <w:rsid w:val="00264009"/>
    <w:rsid w:val="00264B45"/>
    <w:rsid w:val="002652AD"/>
    <w:rsid w:val="00266004"/>
    <w:rsid w:val="00267D9A"/>
    <w:rsid w:val="00270584"/>
    <w:rsid w:val="00270EA2"/>
    <w:rsid w:val="00271121"/>
    <w:rsid w:val="00272DFC"/>
    <w:rsid w:val="00275E57"/>
    <w:rsid w:val="0027616F"/>
    <w:rsid w:val="00276544"/>
    <w:rsid w:val="002767BF"/>
    <w:rsid w:val="00276976"/>
    <w:rsid w:val="00280525"/>
    <w:rsid w:val="00280656"/>
    <w:rsid w:val="00280870"/>
    <w:rsid w:val="002833C1"/>
    <w:rsid w:val="00284030"/>
    <w:rsid w:val="002846C4"/>
    <w:rsid w:val="00284927"/>
    <w:rsid w:val="00284BF6"/>
    <w:rsid w:val="00284C89"/>
    <w:rsid w:val="0028576F"/>
    <w:rsid w:val="00286B67"/>
    <w:rsid w:val="00287246"/>
    <w:rsid w:val="00287DFC"/>
    <w:rsid w:val="002906BB"/>
    <w:rsid w:val="00290940"/>
    <w:rsid w:val="00290E68"/>
    <w:rsid w:val="002910C9"/>
    <w:rsid w:val="00291975"/>
    <w:rsid w:val="00291DAD"/>
    <w:rsid w:val="00292529"/>
    <w:rsid w:val="00293C98"/>
    <w:rsid w:val="00293EC9"/>
    <w:rsid w:val="00294080"/>
    <w:rsid w:val="00294418"/>
    <w:rsid w:val="00294552"/>
    <w:rsid w:val="00294950"/>
    <w:rsid w:val="00295227"/>
    <w:rsid w:val="00295F39"/>
    <w:rsid w:val="00295F45"/>
    <w:rsid w:val="00296775"/>
    <w:rsid w:val="00296DDD"/>
    <w:rsid w:val="00297942"/>
    <w:rsid w:val="00297DE3"/>
    <w:rsid w:val="002A0ED2"/>
    <w:rsid w:val="002A135C"/>
    <w:rsid w:val="002A181B"/>
    <w:rsid w:val="002A1BC6"/>
    <w:rsid w:val="002A267D"/>
    <w:rsid w:val="002A270F"/>
    <w:rsid w:val="002A2B15"/>
    <w:rsid w:val="002A2B1E"/>
    <w:rsid w:val="002A323D"/>
    <w:rsid w:val="002A40F2"/>
    <w:rsid w:val="002A4A6F"/>
    <w:rsid w:val="002A5325"/>
    <w:rsid w:val="002A6C01"/>
    <w:rsid w:val="002A724F"/>
    <w:rsid w:val="002A7B53"/>
    <w:rsid w:val="002B05B1"/>
    <w:rsid w:val="002B0C56"/>
    <w:rsid w:val="002B128E"/>
    <w:rsid w:val="002B1B6D"/>
    <w:rsid w:val="002B213F"/>
    <w:rsid w:val="002B278C"/>
    <w:rsid w:val="002B2D48"/>
    <w:rsid w:val="002B31A3"/>
    <w:rsid w:val="002B4C67"/>
    <w:rsid w:val="002B4F5A"/>
    <w:rsid w:val="002B5256"/>
    <w:rsid w:val="002B56E3"/>
    <w:rsid w:val="002B5792"/>
    <w:rsid w:val="002B6DF3"/>
    <w:rsid w:val="002B7809"/>
    <w:rsid w:val="002C0FD0"/>
    <w:rsid w:val="002C2AE1"/>
    <w:rsid w:val="002C35C5"/>
    <w:rsid w:val="002C37C7"/>
    <w:rsid w:val="002C3950"/>
    <w:rsid w:val="002C3E69"/>
    <w:rsid w:val="002C4303"/>
    <w:rsid w:val="002C4472"/>
    <w:rsid w:val="002C5B91"/>
    <w:rsid w:val="002C6C98"/>
    <w:rsid w:val="002C6F15"/>
    <w:rsid w:val="002D00D0"/>
    <w:rsid w:val="002D00D7"/>
    <w:rsid w:val="002D04B3"/>
    <w:rsid w:val="002D0A76"/>
    <w:rsid w:val="002D12D5"/>
    <w:rsid w:val="002D19C8"/>
    <w:rsid w:val="002D25AB"/>
    <w:rsid w:val="002D2CF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3C3"/>
    <w:rsid w:val="002E3AE8"/>
    <w:rsid w:val="002E3FFE"/>
    <w:rsid w:val="002E4E50"/>
    <w:rsid w:val="002E53D0"/>
    <w:rsid w:val="002E5625"/>
    <w:rsid w:val="002E5931"/>
    <w:rsid w:val="002E5C58"/>
    <w:rsid w:val="002E6A86"/>
    <w:rsid w:val="002E6E46"/>
    <w:rsid w:val="002E7D58"/>
    <w:rsid w:val="002F00FE"/>
    <w:rsid w:val="002F0609"/>
    <w:rsid w:val="002F1457"/>
    <w:rsid w:val="002F1614"/>
    <w:rsid w:val="002F17EB"/>
    <w:rsid w:val="002F1947"/>
    <w:rsid w:val="002F1B84"/>
    <w:rsid w:val="002F1D85"/>
    <w:rsid w:val="002F25D7"/>
    <w:rsid w:val="002F284C"/>
    <w:rsid w:val="002F2B81"/>
    <w:rsid w:val="002F3352"/>
    <w:rsid w:val="002F36AE"/>
    <w:rsid w:val="002F4DAB"/>
    <w:rsid w:val="002F5103"/>
    <w:rsid w:val="002F5779"/>
    <w:rsid w:val="002F5C8F"/>
    <w:rsid w:val="002F703B"/>
    <w:rsid w:val="0030040F"/>
    <w:rsid w:val="00301558"/>
    <w:rsid w:val="003023C6"/>
    <w:rsid w:val="00302CF7"/>
    <w:rsid w:val="00302D27"/>
    <w:rsid w:val="00302E1C"/>
    <w:rsid w:val="00303D3C"/>
    <w:rsid w:val="0030429A"/>
    <w:rsid w:val="003052AB"/>
    <w:rsid w:val="00305F0B"/>
    <w:rsid w:val="003060C4"/>
    <w:rsid w:val="0030668D"/>
    <w:rsid w:val="003069D9"/>
    <w:rsid w:val="00307BA1"/>
    <w:rsid w:val="003100DF"/>
    <w:rsid w:val="00311611"/>
    <w:rsid w:val="00311B0A"/>
    <w:rsid w:val="003137D4"/>
    <w:rsid w:val="00314227"/>
    <w:rsid w:val="00314DBA"/>
    <w:rsid w:val="00314EFA"/>
    <w:rsid w:val="00315AB3"/>
    <w:rsid w:val="0031608D"/>
    <w:rsid w:val="003164A3"/>
    <w:rsid w:val="00317A63"/>
    <w:rsid w:val="00317BA9"/>
    <w:rsid w:val="003200AE"/>
    <w:rsid w:val="0032034B"/>
    <w:rsid w:val="00320397"/>
    <w:rsid w:val="00320BF6"/>
    <w:rsid w:val="00320EFA"/>
    <w:rsid w:val="00321E23"/>
    <w:rsid w:val="0032215C"/>
    <w:rsid w:val="00322259"/>
    <w:rsid w:val="00322312"/>
    <w:rsid w:val="003255F1"/>
    <w:rsid w:val="00325789"/>
    <w:rsid w:val="00325A5A"/>
    <w:rsid w:val="00325A89"/>
    <w:rsid w:val="00326A2E"/>
    <w:rsid w:val="003272E3"/>
    <w:rsid w:val="00327843"/>
    <w:rsid w:val="00327CF0"/>
    <w:rsid w:val="00330325"/>
    <w:rsid w:val="00331922"/>
    <w:rsid w:val="00331AFB"/>
    <w:rsid w:val="0033295D"/>
    <w:rsid w:val="00332B79"/>
    <w:rsid w:val="00333CAB"/>
    <w:rsid w:val="00333D3B"/>
    <w:rsid w:val="00334C5E"/>
    <w:rsid w:val="00336AC2"/>
    <w:rsid w:val="00336FD3"/>
    <w:rsid w:val="00337B76"/>
    <w:rsid w:val="00337BB7"/>
    <w:rsid w:val="00337C26"/>
    <w:rsid w:val="00341DE7"/>
    <w:rsid w:val="003430E1"/>
    <w:rsid w:val="00345199"/>
    <w:rsid w:val="003451FE"/>
    <w:rsid w:val="003462BA"/>
    <w:rsid w:val="00346B52"/>
    <w:rsid w:val="00346C19"/>
    <w:rsid w:val="00346E53"/>
    <w:rsid w:val="003471EA"/>
    <w:rsid w:val="0034781A"/>
    <w:rsid w:val="00350096"/>
    <w:rsid w:val="00350421"/>
    <w:rsid w:val="0035042D"/>
    <w:rsid w:val="00350759"/>
    <w:rsid w:val="0035088B"/>
    <w:rsid w:val="00350FBD"/>
    <w:rsid w:val="003510DF"/>
    <w:rsid w:val="003511E3"/>
    <w:rsid w:val="0035181E"/>
    <w:rsid w:val="00352162"/>
    <w:rsid w:val="0035252E"/>
    <w:rsid w:val="00353C02"/>
    <w:rsid w:val="00353F48"/>
    <w:rsid w:val="0035422F"/>
    <w:rsid w:val="00354301"/>
    <w:rsid w:val="003544A3"/>
    <w:rsid w:val="00354632"/>
    <w:rsid w:val="00354AC8"/>
    <w:rsid w:val="0035571F"/>
    <w:rsid w:val="00355FB1"/>
    <w:rsid w:val="003560A3"/>
    <w:rsid w:val="00356A1A"/>
    <w:rsid w:val="00357768"/>
    <w:rsid w:val="003579C1"/>
    <w:rsid w:val="00357A6C"/>
    <w:rsid w:val="00360B24"/>
    <w:rsid w:val="00360B88"/>
    <w:rsid w:val="00361478"/>
    <w:rsid w:val="003621B0"/>
    <w:rsid w:val="00363105"/>
    <w:rsid w:val="00363317"/>
    <w:rsid w:val="00363BEF"/>
    <w:rsid w:val="00365288"/>
    <w:rsid w:val="00366C33"/>
    <w:rsid w:val="0036705C"/>
    <w:rsid w:val="003673C9"/>
    <w:rsid w:val="00370782"/>
    <w:rsid w:val="00371AB6"/>
    <w:rsid w:val="003735E7"/>
    <w:rsid w:val="003737B0"/>
    <w:rsid w:val="003743F8"/>
    <w:rsid w:val="00374B13"/>
    <w:rsid w:val="00374FC1"/>
    <w:rsid w:val="003756A2"/>
    <w:rsid w:val="0037677A"/>
    <w:rsid w:val="00376DED"/>
    <w:rsid w:val="003774A0"/>
    <w:rsid w:val="0037767D"/>
    <w:rsid w:val="003810DB"/>
    <w:rsid w:val="00381624"/>
    <w:rsid w:val="003816C1"/>
    <w:rsid w:val="00381985"/>
    <w:rsid w:val="00382571"/>
    <w:rsid w:val="0038489B"/>
    <w:rsid w:val="003849B0"/>
    <w:rsid w:val="00384B69"/>
    <w:rsid w:val="003857D9"/>
    <w:rsid w:val="003862DF"/>
    <w:rsid w:val="003863BE"/>
    <w:rsid w:val="00386566"/>
    <w:rsid w:val="00386647"/>
    <w:rsid w:val="00386A94"/>
    <w:rsid w:val="00387330"/>
    <w:rsid w:val="003876FF"/>
    <w:rsid w:val="00392FC0"/>
    <w:rsid w:val="003942E8"/>
    <w:rsid w:val="00394ECF"/>
    <w:rsid w:val="003955B2"/>
    <w:rsid w:val="00395890"/>
    <w:rsid w:val="003959A5"/>
    <w:rsid w:val="00395F26"/>
    <w:rsid w:val="00395FAA"/>
    <w:rsid w:val="00397827"/>
    <w:rsid w:val="003A063A"/>
    <w:rsid w:val="003A0B73"/>
    <w:rsid w:val="003A104E"/>
    <w:rsid w:val="003A13C4"/>
    <w:rsid w:val="003A2DD9"/>
    <w:rsid w:val="003A32F3"/>
    <w:rsid w:val="003A3817"/>
    <w:rsid w:val="003A384F"/>
    <w:rsid w:val="003A3985"/>
    <w:rsid w:val="003A50D9"/>
    <w:rsid w:val="003A543D"/>
    <w:rsid w:val="003A62CE"/>
    <w:rsid w:val="003A7AC8"/>
    <w:rsid w:val="003A7CFF"/>
    <w:rsid w:val="003B01F4"/>
    <w:rsid w:val="003B06DA"/>
    <w:rsid w:val="003B16AA"/>
    <w:rsid w:val="003B188F"/>
    <w:rsid w:val="003B1BEC"/>
    <w:rsid w:val="003B1D0C"/>
    <w:rsid w:val="003B2BA8"/>
    <w:rsid w:val="003B2DEE"/>
    <w:rsid w:val="003B3AF7"/>
    <w:rsid w:val="003B4180"/>
    <w:rsid w:val="003B4356"/>
    <w:rsid w:val="003B449D"/>
    <w:rsid w:val="003B453B"/>
    <w:rsid w:val="003B481F"/>
    <w:rsid w:val="003B5129"/>
    <w:rsid w:val="003B536B"/>
    <w:rsid w:val="003B71F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3096"/>
    <w:rsid w:val="003D3994"/>
    <w:rsid w:val="003D3D95"/>
    <w:rsid w:val="003D3EC0"/>
    <w:rsid w:val="003D519A"/>
    <w:rsid w:val="003D73AB"/>
    <w:rsid w:val="003D7CDF"/>
    <w:rsid w:val="003D7CEB"/>
    <w:rsid w:val="003E00AC"/>
    <w:rsid w:val="003E095B"/>
    <w:rsid w:val="003E0FA5"/>
    <w:rsid w:val="003E1840"/>
    <w:rsid w:val="003E1962"/>
    <w:rsid w:val="003E1E97"/>
    <w:rsid w:val="003E2F30"/>
    <w:rsid w:val="003E30A3"/>
    <w:rsid w:val="003E39C3"/>
    <w:rsid w:val="003E3D24"/>
    <w:rsid w:val="003E414B"/>
    <w:rsid w:val="003E431F"/>
    <w:rsid w:val="003E5349"/>
    <w:rsid w:val="003E5810"/>
    <w:rsid w:val="003E5A25"/>
    <w:rsid w:val="003E5D32"/>
    <w:rsid w:val="003E607E"/>
    <w:rsid w:val="003E691B"/>
    <w:rsid w:val="003E6E97"/>
    <w:rsid w:val="003E778E"/>
    <w:rsid w:val="003E78F0"/>
    <w:rsid w:val="003E79D7"/>
    <w:rsid w:val="003E7F3F"/>
    <w:rsid w:val="003F0FAD"/>
    <w:rsid w:val="003F0FC1"/>
    <w:rsid w:val="003F1894"/>
    <w:rsid w:val="003F1C77"/>
    <w:rsid w:val="003F3898"/>
    <w:rsid w:val="003F3A1B"/>
    <w:rsid w:val="003F3D0B"/>
    <w:rsid w:val="003F3E3F"/>
    <w:rsid w:val="003F42B8"/>
    <w:rsid w:val="003F4E50"/>
    <w:rsid w:val="003F4EDF"/>
    <w:rsid w:val="003F572D"/>
    <w:rsid w:val="003F5758"/>
    <w:rsid w:val="003F5D0D"/>
    <w:rsid w:val="003F6A41"/>
    <w:rsid w:val="003F6B54"/>
    <w:rsid w:val="003F6CAD"/>
    <w:rsid w:val="003F7235"/>
    <w:rsid w:val="004003FD"/>
    <w:rsid w:val="00402496"/>
    <w:rsid w:val="00402A13"/>
    <w:rsid w:val="0040368D"/>
    <w:rsid w:val="00403A8C"/>
    <w:rsid w:val="0040409E"/>
    <w:rsid w:val="004049EE"/>
    <w:rsid w:val="00404D01"/>
    <w:rsid w:val="00404D50"/>
    <w:rsid w:val="00404ECC"/>
    <w:rsid w:val="004051A6"/>
    <w:rsid w:val="0040652E"/>
    <w:rsid w:val="004071FD"/>
    <w:rsid w:val="0040738B"/>
    <w:rsid w:val="0041009D"/>
    <w:rsid w:val="004112F1"/>
    <w:rsid w:val="00411E8B"/>
    <w:rsid w:val="004122FB"/>
    <w:rsid w:val="0041282D"/>
    <w:rsid w:val="00412F73"/>
    <w:rsid w:val="00413F7A"/>
    <w:rsid w:val="004143DC"/>
    <w:rsid w:val="004147E2"/>
    <w:rsid w:val="00414CF4"/>
    <w:rsid w:val="00416802"/>
    <w:rsid w:val="00416812"/>
    <w:rsid w:val="00416BBD"/>
    <w:rsid w:val="00416D0A"/>
    <w:rsid w:val="00417112"/>
    <w:rsid w:val="00417637"/>
    <w:rsid w:val="00420B78"/>
    <w:rsid w:val="00420E3D"/>
    <w:rsid w:val="0042141A"/>
    <w:rsid w:val="00421E05"/>
    <w:rsid w:val="00422223"/>
    <w:rsid w:val="00422AB4"/>
    <w:rsid w:val="00422E58"/>
    <w:rsid w:val="0042311F"/>
    <w:rsid w:val="004234EC"/>
    <w:rsid w:val="004235E3"/>
    <w:rsid w:val="00423606"/>
    <w:rsid w:val="00424647"/>
    <w:rsid w:val="00424703"/>
    <w:rsid w:val="00424934"/>
    <w:rsid w:val="00425C37"/>
    <w:rsid w:val="0042603F"/>
    <w:rsid w:val="004261BD"/>
    <w:rsid w:val="004274AD"/>
    <w:rsid w:val="00427703"/>
    <w:rsid w:val="00430C76"/>
    <w:rsid w:val="00430F20"/>
    <w:rsid w:val="00431332"/>
    <w:rsid w:val="00431CF2"/>
    <w:rsid w:val="00431D90"/>
    <w:rsid w:val="00431E46"/>
    <w:rsid w:val="004329FE"/>
    <w:rsid w:val="00432A04"/>
    <w:rsid w:val="0043402A"/>
    <w:rsid w:val="00434769"/>
    <w:rsid w:val="0043518D"/>
    <w:rsid w:val="004351DE"/>
    <w:rsid w:val="00436611"/>
    <w:rsid w:val="00437A2F"/>
    <w:rsid w:val="00437D58"/>
    <w:rsid w:val="00440164"/>
    <w:rsid w:val="004405EC"/>
    <w:rsid w:val="00440E18"/>
    <w:rsid w:val="004426B7"/>
    <w:rsid w:val="00442FF5"/>
    <w:rsid w:val="00443834"/>
    <w:rsid w:val="00444140"/>
    <w:rsid w:val="00444ACC"/>
    <w:rsid w:val="00444B3E"/>
    <w:rsid w:val="00445234"/>
    <w:rsid w:val="00446DAE"/>
    <w:rsid w:val="00446E47"/>
    <w:rsid w:val="004476FB"/>
    <w:rsid w:val="00447854"/>
    <w:rsid w:val="00447B58"/>
    <w:rsid w:val="00450013"/>
    <w:rsid w:val="00450709"/>
    <w:rsid w:val="004508C5"/>
    <w:rsid w:val="00450A8E"/>
    <w:rsid w:val="00450C55"/>
    <w:rsid w:val="004514E0"/>
    <w:rsid w:val="004516ED"/>
    <w:rsid w:val="004531AD"/>
    <w:rsid w:val="004532BB"/>
    <w:rsid w:val="004534D6"/>
    <w:rsid w:val="00453696"/>
    <w:rsid w:val="0045377E"/>
    <w:rsid w:val="00453CE9"/>
    <w:rsid w:val="004540DE"/>
    <w:rsid w:val="00454961"/>
    <w:rsid w:val="004551EE"/>
    <w:rsid w:val="00455682"/>
    <w:rsid w:val="00455922"/>
    <w:rsid w:val="00456610"/>
    <w:rsid w:val="00456BE9"/>
    <w:rsid w:val="00460061"/>
    <w:rsid w:val="004603B8"/>
    <w:rsid w:val="004610FB"/>
    <w:rsid w:val="00461667"/>
    <w:rsid w:val="00461CAB"/>
    <w:rsid w:val="00463040"/>
    <w:rsid w:val="00463317"/>
    <w:rsid w:val="00463E66"/>
    <w:rsid w:val="00463FE3"/>
    <w:rsid w:val="0046562A"/>
    <w:rsid w:val="00465DDA"/>
    <w:rsid w:val="00465E8B"/>
    <w:rsid w:val="0046640E"/>
    <w:rsid w:val="004665CA"/>
    <w:rsid w:val="00467256"/>
    <w:rsid w:val="00467674"/>
    <w:rsid w:val="00467882"/>
    <w:rsid w:val="00467A24"/>
    <w:rsid w:val="00470652"/>
    <w:rsid w:val="00470A24"/>
    <w:rsid w:val="0047201A"/>
    <w:rsid w:val="004729B4"/>
    <w:rsid w:val="0047427E"/>
    <w:rsid w:val="004742C1"/>
    <w:rsid w:val="00475FDF"/>
    <w:rsid w:val="00477289"/>
    <w:rsid w:val="00477456"/>
    <w:rsid w:val="00477793"/>
    <w:rsid w:val="00477A00"/>
    <w:rsid w:val="00480059"/>
    <w:rsid w:val="00480DC1"/>
    <w:rsid w:val="00480DE2"/>
    <w:rsid w:val="00481480"/>
    <w:rsid w:val="00481D6F"/>
    <w:rsid w:val="00482162"/>
    <w:rsid w:val="0048291E"/>
    <w:rsid w:val="00482A59"/>
    <w:rsid w:val="00483652"/>
    <w:rsid w:val="00483666"/>
    <w:rsid w:val="004843A9"/>
    <w:rsid w:val="0048472A"/>
    <w:rsid w:val="00484B49"/>
    <w:rsid w:val="00484D59"/>
    <w:rsid w:val="00485526"/>
    <w:rsid w:val="00485B21"/>
    <w:rsid w:val="00485F07"/>
    <w:rsid w:val="00486428"/>
    <w:rsid w:val="00486503"/>
    <w:rsid w:val="004866D8"/>
    <w:rsid w:val="00486987"/>
    <w:rsid w:val="00487537"/>
    <w:rsid w:val="00491CDE"/>
    <w:rsid w:val="00491EB1"/>
    <w:rsid w:val="00492566"/>
    <w:rsid w:val="00492C10"/>
    <w:rsid w:val="00492E53"/>
    <w:rsid w:val="004931AE"/>
    <w:rsid w:val="004933FA"/>
    <w:rsid w:val="004935EE"/>
    <w:rsid w:val="00493F1E"/>
    <w:rsid w:val="00493F29"/>
    <w:rsid w:val="00494354"/>
    <w:rsid w:val="00494902"/>
    <w:rsid w:val="00494E82"/>
    <w:rsid w:val="00495547"/>
    <w:rsid w:val="00495886"/>
    <w:rsid w:val="00496444"/>
    <w:rsid w:val="0049662F"/>
    <w:rsid w:val="00496E76"/>
    <w:rsid w:val="00497018"/>
    <w:rsid w:val="00497A39"/>
    <w:rsid w:val="004A0666"/>
    <w:rsid w:val="004A19F6"/>
    <w:rsid w:val="004A1CF8"/>
    <w:rsid w:val="004A1F56"/>
    <w:rsid w:val="004A259D"/>
    <w:rsid w:val="004A2E1F"/>
    <w:rsid w:val="004A3892"/>
    <w:rsid w:val="004A487F"/>
    <w:rsid w:val="004A4B9D"/>
    <w:rsid w:val="004A4CA4"/>
    <w:rsid w:val="004A54AA"/>
    <w:rsid w:val="004A6F45"/>
    <w:rsid w:val="004A7062"/>
    <w:rsid w:val="004A78CA"/>
    <w:rsid w:val="004B02A4"/>
    <w:rsid w:val="004B0356"/>
    <w:rsid w:val="004B06C5"/>
    <w:rsid w:val="004B0916"/>
    <w:rsid w:val="004B1C66"/>
    <w:rsid w:val="004B1FAC"/>
    <w:rsid w:val="004B2291"/>
    <w:rsid w:val="004B2624"/>
    <w:rsid w:val="004B2A6A"/>
    <w:rsid w:val="004B2E7D"/>
    <w:rsid w:val="004B317D"/>
    <w:rsid w:val="004B40A3"/>
    <w:rsid w:val="004B4463"/>
    <w:rsid w:val="004B4B08"/>
    <w:rsid w:val="004B53FF"/>
    <w:rsid w:val="004B6418"/>
    <w:rsid w:val="004B666A"/>
    <w:rsid w:val="004B6989"/>
    <w:rsid w:val="004B763D"/>
    <w:rsid w:val="004C0192"/>
    <w:rsid w:val="004C04BD"/>
    <w:rsid w:val="004C0E2B"/>
    <w:rsid w:val="004C1270"/>
    <w:rsid w:val="004C1B57"/>
    <w:rsid w:val="004C1E9C"/>
    <w:rsid w:val="004C235E"/>
    <w:rsid w:val="004C36A9"/>
    <w:rsid w:val="004C497E"/>
    <w:rsid w:val="004C4AD3"/>
    <w:rsid w:val="004C53C4"/>
    <w:rsid w:val="004C5844"/>
    <w:rsid w:val="004C6AD2"/>
    <w:rsid w:val="004C7513"/>
    <w:rsid w:val="004C782F"/>
    <w:rsid w:val="004D00C0"/>
    <w:rsid w:val="004D01EE"/>
    <w:rsid w:val="004D0448"/>
    <w:rsid w:val="004D0BA0"/>
    <w:rsid w:val="004D0BD0"/>
    <w:rsid w:val="004D1D79"/>
    <w:rsid w:val="004D34C3"/>
    <w:rsid w:val="004D45C4"/>
    <w:rsid w:val="004D4841"/>
    <w:rsid w:val="004D487B"/>
    <w:rsid w:val="004D4D09"/>
    <w:rsid w:val="004D5792"/>
    <w:rsid w:val="004D6A43"/>
    <w:rsid w:val="004D7C59"/>
    <w:rsid w:val="004E0137"/>
    <w:rsid w:val="004E02E5"/>
    <w:rsid w:val="004E15D4"/>
    <w:rsid w:val="004E16F7"/>
    <w:rsid w:val="004E2127"/>
    <w:rsid w:val="004E296C"/>
    <w:rsid w:val="004E2AE2"/>
    <w:rsid w:val="004E33F3"/>
    <w:rsid w:val="004E3597"/>
    <w:rsid w:val="004E3A28"/>
    <w:rsid w:val="004E3C34"/>
    <w:rsid w:val="004E3CE1"/>
    <w:rsid w:val="004E3FF1"/>
    <w:rsid w:val="004E41E2"/>
    <w:rsid w:val="004E55B7"/>
    <w:rsid w:val="004E56D9"/>
    <w:rsid w:val="004E5DCB"/>
    <w:rsid w:val="004E637C"/>
    <w:rsid w:val="004E662F"/>
    <w:rsid w:val="004E725F"/>
    <w:rsid w:val="004E75BB"/>
    <w:rsid w:val="004E790B"/>
    <w:rsid w:val="004E798E"/>
    <w:rsid w:val="004E7D1F"/>
    <w:rsid w:val="004F0307"/>
    <w:rsid w:val="004F057A"/>
    <w:rsid w:val="004F0C75"/>
    <w:rsid w:val="004F1517"/>
    <w:rsid w:val="004F1523"/>
    <w:rsid w:val="004F1EF0"/>
    <w:rsid w:val="004F2892"/>
    <w:rsid w:val="004F29DC"/>
    <w:rsid w:val="004F362E"/>
    <w:rsid w:val="004F3ECB"/>
    <w:rsid w:val="004F45A5"/>
    <w:rsid w:val="004F49AE"/>
    <w:rsid w:val="004F4D44"/>
    <w:rsid w:val="004F6534"/>
    <w:rsid w:val="004F6880"/>
    <w:rsid w:val="004F6EB3"/>
    <w:rsid w:val="004F6FCA"/>
    <w:rsid w:val="004F7453"/>
    <w:rsid w:val="004F78BC"/>
    <w:rsid w:val="005005A1"/>
    <w:rsid w:val="00501299"/>
    <w:rsid w:val="0050150A"/>
    <w:rsid w:val="005017CC"/>
    <w:rsid w:val="00501BFD"/>
    <w:rsid w:val="005027F1"/>
    <w:rsid w:val="00502B48"/>
    <w:rsid w:val="00503DD2"/>
    <w:rsid w:val="005048DA"/>
    <w:rsid w:val="00504C15"/>
    <w:rsid w:val="00505537"/>
    <w:rsid w:val="00506C1E"/>
    <w:rsid w:val="00506CCD"/>
    <w:rsid w:val="0050717B"/>
    <w:rsid w:val="00507647"/>
    <w:rsid w:val="0051007E"/>
    <w:rsid w:val="00510BB6"/>
    <w:rsid w:val="00511D79"/>
    <w:rsid w:val="00512B4C"/>
    <w:rsid w:val="0051432D"/>
    <w:rsid w:val="005154AD"/>
    <w:rsid w:val="00515628"/>
    <w:rsid w:val="00515BE6"/>
    <w:rsid w:val="005160F6"/>
    <w:rsid w:val="00516D87"/>
    <w:rsid w:val="005173B6"/>
    <w:rsid w:val="00520280"/>
    <w:rsid w:val="00520497"/>
    <w:rsid w:val="00520520"/>
    <w:rsid w:val="00520CEA"/>
    <w:rsid w:val="005213D0"/>
    <w:rsid w:val="00521423"/>
    <w:rsid w:val="005229B8"/>
    <w:rsid w:val="00523135"/>
    <w:rsid w:val="0052318E"/>
    <w:rsid w:val="00523C54"/>
    <w:rsid w:val="00524020"/>
    <w:rsid w:val="0052466B"/>
    <w:rsid w:val="005248DE"/>
    <w:rsid w:val="00525D3A"/>
    <w:rsid w:val="005262E7"/>
    <w:rsid w:val="00526A26"/>
    <w:rsid w:val="0053207B"/>
    <w:rsid w:val="00532381"/>
    <w:rsid w:val="005323FA"/>
    <w:rsid w:val="0053380D"/>
    <w:rsid w:val="00533837"/>
    <w:rsid w:val="005342AD"/>
    <w:rsid w:val="00534688"/>
    <w:rsid w:val="00534A8F"/>
    <w:rsid w:val="00535A75"/>
    <w:rsid w:val="0053617F"/>
    <w:rsid w:val="0053654A"/>
    <w:rsid w:val="00536689"/>
    <w:rsid w:val="00536855"/>
    <w:rsid w:val="00536872"/>
    <w:rsid w:val="00536D50"/>
    <w:rsid w:val="00536D89"/>
    <w:rsid w:val="00536F4A"/>
    <w:rsid w:val="00537C9C"/>
    <w:rsid w:val="0054163B"/>
    <w:rsid w:val="00541E60"/>
    <w:rsid w:val="00542B31"/>
    <w:rsid w:val="00545239"/>
    <w:rsid w:val="005454E5"/>
    <w:rsid w:val="00547244"/>
    <w:rsid w:val="0055098D"/>
    <w:rsid w:val="00550B24"/>
    <w:rsid w:val="00550FD2"/>
    <w:rsid w:val="005513B4"/>
    <w:rsid w:val="00552031"/>
    <w:rsid w:val="005528E7"/>
    <w:rsid w:val="00553018"/>
    <w:rsid w:val="0055382B"/>
    <w:rsid w:val="0055412E"/>
    <w:rsid w:val="0055419D"/>
    <w:rsid w:val="00554866"/>
    <w:rsid w:val="0055491D"/>
    <w:rsid w:val="00554B9E"/>
    <w:rsid w:val="0055583F"/>
    <w:rsid w:val="00555B53"/>
    <w:rsid w:val="00557ED9"/>
    <w:rsid w:val="005601C1"/>
    <w:rsid w:val="005603EF"/>
    <w:rsid w:val="00560A56"/>
    <w:rsid w:val="00560B40"/>
    <w:rsid w:val="00560CD8"/>
    <w:rsid w:val="005611CE"/>
    <w:rsid w:val="00561575"/>
    <w:rsid w:val="0056201F"/>
    <w:rsid w:val="005627B1"/>
    <w:rsid w:val="005631C0"/>
    <w:rsid w:val="0056408D"/>
    <w:rsid w:val="005651D0"/>
    <w:rsid w:val="00565220"/>
    <w:rsid w:val="00565370"/>
    <w:rsid w:val="00565470"/>
    <w:rsid w:val="0056586E"/>
    <w:rsid w:val="005658E3"/>
    <w:rsid w:val="005663FD"/>
    <w:rsid w:val="00566941"/>
    <w:rsid w:val="00566DB4"/>
    <w:rsid w:val="005670F9"/>
    <w:rsid w:val="005672F2"/>
    <w:rsid w:val="005678DE"/>
    <w:rsid w:val="0056793E"/>
    <w:rsid w:val="00567C83"/>
    <w:rsid w:val="005700B8"/>
    <w:rsid w:val="0057024B"/>
    <w:rsid w:val="00570292"/>
    <w:rsid w:val="0057092B"/>
    <w:rsid w:val="0057110F"/>
    <w:rsid w:val="00571B2A"/>
    <w:rsid w:val="00571FC5"/>
    <w:rsid w:val="00572145"/>
    <w:rsid w:val="00572CE9"/>
    <w:rsid w:val="00573A2D"/>
    <w:rsid w:val="005749DA"/>
    <w:rsid w:val="0057769E"/>
    <w:rsid w:val="005805B7"/>
    <w:rsid w:val="00580751"/>
    <w:rsid w:val="005812C5"/>
    <w:rsid w:val="00581990"/>
    <w:rsid w:val="0058223C"/>
    <w:rsid w:val="0058260F"/>
    <w:rsid w:val="00583EF1"/>
    <w:rsid w:val="005865CB"/>
    <w:rsid w:val="00586784"/>
    <w:rsid w:val="00586C4A"/>
    <w:rsid w:val="005871CB"/>
    <w:rsid w:val="00587424"/>
    <w:rsid w:val="005878DB"/>
    <w:rsid w:val="00587E29"/>
    <w:rsid w:val="00590967"/>
    <w:rsid w:val="005927A5"/>
    <w:rsid w:val="005936F6"/>
    <w:rsid w:val="00593785"/>
    <w:rsid w:val="005938A2"/>
    <w:rsid w:val="005940FD"/>
    <w:rsid w:val="00595AA4"/>
    <w:rsid w:val="00595B4C"/>
    <w:rsid w:val="0059666A"/>
    <w:rsid w:val="00596851"/>
    <w:rsid w:val="00597444"/>
    <w:rsid w:val="005A00B5"/>
    <w:rsid w:val="005A08EF"/>
    <w:rsid w:val="005A0AC7"/>
    <w:rsid w:val="005A0E6F"/>
    <w:rsid w:val="005A1051"/>
    <w:rsid w:val="005A16C7"/>
    <w:rsid w:val="005A299D"/>
    <w:rsid w:val="005A3906"/>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2ADA"/>
    <w:rsid w:val="005B321C"/>
    <w:rsid w:val="005B35AB"/>
    <w:rsid w:val="005B37F7"/>
    <w:rsid w:val="005B4362"/>
    <w:rsid w:val="005B535B"/>
    <w:rsid w:val="005B59CB"/>
    <w:rsid w:val="005B5DAB"/>
    <w:rsid w:val="005B6794"/>
    <w:rsid w:val="005B6827"/>
    <w:rsid w:val="005B775D"/>
    <w:rsid w:val="005B790D"/>
    <w:rsid w:val="005C0C8C"/>
    <w:rsid w:val="005C1213"/>
    <w:rsid w:val="005C1661"/>
    <w:rsid w:val="005C17AA"/>
    <w:rsid w:val="005C27A6"/>
    <w:rsid w:val="005C3507"/>
    <w:rsid w:val="005C373C"/>
    <w:rsid w:val="005C3DFA"/>
    <w:rsid w:val="005C4574"/>
    <w:rsid w:val="005C4AFE"/>
    <w:rsid w:val="005C5AC6"/>
    <w:rsid w:val="005C5F92"/>
    <w:rsid w:val="005C684D"/>
    <w:rsid w:val="005C6997"/>
    <w:rsid w:val="005C7210"/>
    <w:rsid w:val="005C784C"/>
    <w:rsid w:val="005C79C9"/>
    <w:rsid w:val="005C7AFE"/>
    <w:rsid w:val="005D02BA"/>
    <w:rsid w:val="005D0A54"/>
    <w:rsid w:val="005D0B56"/>
    <w:rsid w:val="005D10E6"/>
    <w:rsid w:val="005D1294"/>
    <w:rsid w:val="005D25F9"/>
    <w:rsid w:val="005D3885"/>
    <w:rsid w:val="005D3F38"/>
    <w:rsid w:val="005D500D"/>
    <w:rsid w:val="005D51FF"/>
    <w:rsid w:val="005D55D6"/>
    <w:rsid w:val="005D5CE7"/>
    <w:rsid w:val="005D6D4B"/>
    <w:rsid w:val="005D70FE"/>
    <w:rsid w:val="005E11B5"/>
    <w:rsid w:val="005E2AFF"/>
    <w:rsid w:val="005E2E57"/>
    <w:rsid w:val="005E3430"/>
    <w:rsid w:val="005E396E"/>
    <w:rsid w:val="005E477F"/>
    <w:rsid w:val="005E4D25"/>
    <w:rsid w:val="005E4DCC"/>
    <w:rsid w:val="005E5151"/>
    <w:rsid w:val="005E5BA1"/>
    <w:rsid w:val="005E5F08"/>
    <w:rsid w:val="005E658F"/>
    <w:rsid w:val="005E73BB"/>
    <w:rsid w:val="005E7885"/>
    <w:rsid w:val="005F0613"/>
    <w:rsid w:val="005F0850"/>
    <w:rsid w:val="005F0F9C"/>
    <w:rsid w:val="005F101C"/>
    <w:rsid w:val="005F12E1"/>
    <w:rsid w:val="005F184D"/>
    <w:rsid w:val="005F1F1F"/>
    <w:rsid w:val="005F1F64"/>
    <w:rsid w:val="005F21AB"/>
    <w:rsid w:val="005F29AA"/>
    <w:rsid w:val="005F2E3B"/>
    <w:rsid w:val="005F38B1"/>
    <w:rsid w:val="005F3B90"/>
    <w:rsid w:val="005F3BC1"/>
    <w:rsid w:val="005F4276"/>
    <w:rsid w:val="005F4746"/>
    <w:rsid w:val="005F4C6B"/>
    <w:rsid w:val="005F4CCA"/>
    <w:rsid w:val="005F50F3"/>
    <w:rsid w:val="005F55C1"/>
    <w:rsid w:val="005F5C1E"/>
    <w:rsid w:val="005F5EAC"/>
    <w:rsid w:val="005F5FB6"/>
    <w:rsid w:val="005F61AE"/>
    <w:rsid w:val="005F6F92"/>
    <w:rsid w:val="005F7C3B"/>
    <w:rsid w:val="005F7E8D"/>
    <w:rsid w:val="00600398"/>
    <w:rsid w:val="00600DCD"/>
    <w:rsid w:val="0060129B"/>
    <w:rsid w:val="006017EB"/>
    <w:rsid w:val="006020AC"/>
    <w:rsid w:val="006026C2"/>
    <w:rsid w:val="00602E24"/>
    <w:rsid w:val="00602E6A"/>
    <w:rsid w:val="006046C8"/>
    <w:rsid w:val="00604E35"/>
    <w:rsid w:val="0060528E"/>
    <w:rsid w:val="006072E7"/>
    <w:rsid w:val="0061131E"/>
    <w:rsid w:val="00611B2A"/>
    <w:rsid w:val="006122AE"/>
    <w:rsid w:val="006130AE"/>
    <w:rsid w:val="00613CB7"/>
    <w:rsid w:val="00613E1F"/>
    <w:rsid w:val="0061448D"/>
    <w:rsid w:val="00614C4F"/>
    <w:rsid w:val="00614DC7"/>
    <w:rsid w:val="00615AA2"/>
    <w:rsid w:val="00616395"/>
    <w:rsid w:val="0062044E"/>
    <w:rsid w:val="00620606"/>
    <w:rsid w:val="00620639"/>
    <w:rsid w:val="00620EE7"/>
    <w:rsid w:val="00621018"/>
    <w:rsid w:val="0062169F"/>
    <w:rsid w:val="00621D10"/>
    <w:rsid w:val="00623A30"/>
    <w:rsid w:val="00623DA7"/>
    <w:rsid w:val="006248E6"/>
    <w:rsid w:val="00624EC6"/>
    <w:rsid w:val="0062534F"/>
    <w:rsid w:val="0062625A"/>
    <w:rsid w:val="00626E73"/>
    <w:rsid w:val="006270FF"/>
    <w:rsid w:val="006279E4"/>
    <w:rsid w:val="00627E13"/>
    <w:rsid w:val="00630222"/>
    <w:rsid w:val="00630459"/>
    <w:rsid w:val="00630F6F"/>
    <w:rsid w:val="00631505"/>
    <w:rsid w:val="00632245"/>
    <w:rsid w:val="0063225C"/>
    <w:rsid w:val="00632301"/>
    <w:rsid w:val="006327BB"/>
    <w:rsid w:val="006335EF"/>
    <w:rsid w:val="006348C2"/>
    <w:rsid w:val="00634A4C"/>
    <w:rsid w:val="00634DE6"/>
    <w:rsid w:val="006372BF"/>
    <w:rsid w:val="00637322"/>
    <w:rsid w:val="00637434"/>
    <w:rsid w:val="0063785D"/>
    <w:rsid w:val="0064076F"/>
    <w:rsid w:val="00640A1C"/>
    <w:rsid w:val="00640CA8"/>
    <w:rsid w:val="006418E5"/>
    <w:rsid w:val="006421EA"/>
    <w:rsid w:val="00642772"/>
    <w:rsid w:val="00642ED3"/>
    <w:rsid w:val="006439AE"/>
    <w:rsid w:val="006446BC"/>
    <w:rsid w:val="0064578A"/>
    <w:rsid w:val="00645953"/>
    <w:rsid w:val="00646614"/>
    <w:rsid w:val="00646BC6"/>
    <w:rsid w:val="00646D03"/>
    <w:rsid w:val="00651109"/>
    <w:rsid w:val="006517A0"/>
    <w:rsid w:val="00651A1C"/>
    <w:rsid w:val="0065304D"/>
    <w:rsid w:val="00653283"/>
    <w:rsid w:val="006536AF"/>
    <w:rsid w:val="00654230"/>
    <w:rsid w:val="00655371"/>
    <w:rsid w:val="00655DFD"/>
    <w:rsid w:val="006562D8"/>
    <w:rsid w:val="006568A3"/>
    <w:rsid w:val="00656B88"/>
    <w:rsid w:val="00657332"/>
    <w:rsid w:val="00657A01"/>
    <w:rsid w:val="00657C33"/>
    <w:rsid w:val="006605F9"/>
    <w:rsid w:val="00660999"/>
    <w:rsid w:val="00661E42"/>
    <w:rsid w:val="006620E0"/>
    <w:rsid w:val="00664805"/>
    <w:rsid w:val="00664B10"/>
    <w:rsid w:val="00664E88"/>
    <w:rsid w:val="006650D3"/>
    <w:rsid w:val="006653B3"/>
    <w:rsid w:val="006654A9"/>
    <w:rsid w:val="00665A41"/>
    <w:rsid w:val="006667E1"/>
    <w:rsid w:val="00670317"/>
    <w:rsid w:val="006707F6"/>
    <w:rsid w:val="0067093E"/>
    <w:rsid w:val="006713AB"/>
    <w:rsid w:val="00671976"/>
    <w:rsid w:val="00672890"/>
    <w:rsid w:val="00672B19"/>
    <w:rsid w:val="0067455D"/>
    <w:rsid w:val="0067474A"/>
    <w:rsid w:val="00674A59"/>
    <w:rsid w:val="00675260"/>
    <w:rsid w:val="006761E3"/>
    <w:rsid w:val="0067646D"/>
    <w:rsid w:val="0067650E"/>
    <w:rsid w:val="00676E14"/>
    <w:rsid w:val="00676F2E"/>
    <w:rsid w:val="00677896"/>
    <w:rsid w:val="00677AAE"/>
    <w:rsid w:val="00677ABE"/>
    <w:rsid w:val="00677DB8"/>
    <w:rsid w:val="00680FCC"/>
    <w:rsid w:val="006811FF"/>
    <w:rsid w:val="00681B16"/>
    <w:rsid w:val="00682287"/>
    <w:rsid w:val="006822B5"/>
    <w:rsid w:val="0068317C"/>
    <w:rsid w:val="006832D6"/>
    <w:rsid w:val="00683CE9"/>
    <w:rsid w:val="006845A4"/>
    <w:rsid w:val="00684DB1"/>
    <w:rsid w:val="006872CF"/>
    <w:rsid w:val="0069127B"/>
    <w:rsid w:val="006914EA"/>
    <w:rsid w:val="00691B91"/>
    <w:rsid w:val="006928AC"/>
    <w:rsid w:val="00692BB2"/>
    <w:rsid w:val="00692BFF"/>
    <w:rsid w:val="00693091"/>
    <w:rsid w:val="006948AC"/>
    <w:rsid w:val="00694D39"/>
    <w:rsid w:val="006953CA"/>
    <w:rsid w:val="006954EC"/>
    <w:rsid w:val="006955A9"/>
    <w:rsid w:val="006959D6"/>
    <w:rsid w:val="00695EC8"/>
    <w:rsid w:val="00696909"/>
    <w:rsid w:val="00697114"/>
    <w:rsid w:val="00697BC6"/>
    <w:rsid w:val="006A1B84"/>
    <w:rsid w:val="006A1FEF"/>
    <w:rsid w:val="006A27C2"/>
    <w:rsid w:val="006A2EBD"/>
    <w:rsid w:val="006A3009"/>
    <w:rsid w:val="006A3E7B"/>
    <w:rsid w:val="006A4D9B"/>
    <w:rsid w:val="006A5155"/>
    <w:rsid w:val="006A54E2"/>
    <w:rsid w:val="006A6950"/>
    <w:rsid w:val="006A7210"/>
    <w:rsid w:val="006A757D"/>
    <w:rsid w:val="006A7B32"/>
    <w:rsid w:val="006B002A"/>
    <w:rsid w:val="006B130C"/>
    <w:rsid w:val="006B308F"/>
    <w:rsid w:val="006B32C8"/>
    <w:rsid w:val="006B3A46"/>
    <w:rsid w:val="006B5301"/>
    <w:rsid w:val="006B698B"/>
    <w:rsid w:val="006B7C2C"/>
    <w:rsid w:val="006C1A19"/>
    <w:rsid w:val="006C221E"/>
    <w:rsid w:val="006C34B4"/>
    <w:rsid w:val="006C376B"/>
    <w:rsid w:val="006C4319"/>
    <w:rsid w:val="006C440B"/>
    <w:rsid w:val="006C453C"/>
    <w:rsid w:val="006C45C7"/>
    <w:rsid w:val="006C4BC0"/>
    <w:rsid w:val="006C50E7"/>
    <w:rsid w:val="006C5C73"/>
    <w:rsid w:val="006C5DC3"/>
    <w:rsid w:val="006C616B"/>
    <w:rsid w:val="006C63FB"/>
    <w:rsid w:val="006C6A46"/>
    <w:rsid w:val="006C6D72"/>
    <w:rsid w:val="006C7447"/>
    <w:rsid w:val="006C7ACB"/>
    <w:rsid w:val="006D0115"/>
    <w:rsid w:val="006D03DF"/>
    <w:rsid w:val="006D12E3"/>
    <w:rsid w:val="006D1327"/>
    <w:rsid w:val="006D1F03"/>
    <w:rsid w:val="006D2971"/>
    <w:rsid w:val="006D4A4A"/>
    <w:rsid w:val="006D4ADB"/>
    <w:rsid w:val="006D4D36"/>
    <w:rsid w:val="006D6E79"/>
    <w:rsid w:val="006D7DC0"/>
    <w:rsid w:val="006D7DEA"/>
    <w:rsid w:val="006E017B"/>
    <w:rsid w:val="006E06A9"/>
    <w:rsid w:val="006E0888"/>
    <w:rsid w:val="006E097F"/>
    <w:rsid w:val="006E0E4A"/>
    <w:rsid w:val="006E1778"/>
    <w:rsid w:val="006E1795"/>
    <w:rsid w:val="006E17B0"/>
    <w:rsid w:val="006E1A8C"/>
    <w:rsid w:val="006E1C39"/>
    <w:rsid w:val="006E1E63"/>
    <w:rsid w:val="006E2595"/>
    <w:rsid w:val="006E2694"/>
    <w:rsid w:val="006E2A1F"/>
    <w:rsid w:val="006E2A78"/>
    <w:rsid w:val="006E4ED0"/>
    <w:rsid w:val="006E53A0"/>
    <w:rsid w:val="006E5500"/>
    <w:rsid w:val="006E58AF"/>
    <w:rsid w:val="006E5D0E"/>
    <w:rsid w:val="006E608C"/>
    <w:rsid w:val="006E6261"/>
    <w:rsid w:val="006E6540"/>
    <w:rsid w:val="006E65F8"/>
    <w:rsid w:val="006E6843"/>
    <w:rsid w:val="006E6AC7"/>
    <w:rsid w:val="006E6B4F"/>
    <w:rsid w:val="006E6DD4"/>
    <w:rsid w:val="006E7651"/>
    <w:rsid w:val="006E7C40"/>
    <w:rsid w:val="006E7F60"/>
    <w:rsid w:val="006F0181"/>
    <w:rsid w:val="006F03E3"/>
    <w:rsid w:val="006F0660"/>
    <w:rsid w:val="006F0A1F"/>
    <w:rsid w:val="006F0EA8"/>
    <w:rsid w:val="006F0F5F"/>
    <w:rsid w:val="006F150D"/>
    <w:rsid w:val="006F1654"/>
    <w:rsid w:val="006F222F"/>
    <w:rsid w:val="006F26F3"/>
    <w:rsid w:val="006F2CF3"/>
    <w:rsid w:val="006F3059"/>
    <w:rsid w:val="006F3A64"/>
    <w:rsid w:val="006F5987"/>
    <w:rsid w:val="006F5F1A"/>
    <w:rsid w:val="006F6C67"/>
    <w:rsid w:val="006F6EB9"/>
    <w:rsid w:val="006F7078"/>
    <w:rsid w:val="00700222"/>
    <w:rsid w:val="0070040B"/>
    <w:rsid w:val="007008C7"/>
    <w:rsid w:val="007008D0"/>
    <w:rsid w:val="00701188"/>
    <w:rsid w:val="0070137E"/>
    <w:rsid w:val="0070287D"/>
    <w:rsid w:val="00702DB9"/>
    <w:rsid w:val="00702E2E"/>
    <w:rsid w:val="00703F39"/>
    <w:rsid w:val="00704B8B"/>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57C8"/>
    <w:rsid w:val="007161CE"/>
    <w:rsid w:val="00716B38"/>
    <w:rsid w:val="00717EE2"/>
    <w:rsid w:val="0072159A"/>
    <w:rsid w:val="00721BEF"/>
    <w:rsid w:val="00722055"/>
    <w:rsid w:val="007228F2"/>
    <w:rsid w:val="00722C23"/>
    <w:rsid w:val="007240AF"/>
    <w:rsid w:val="007246ED"/>
    <w:rsid w:val="00725A8D"/>
    <w:rsid w:val="00727851"/>
    <w:rsid w:val="00727B18"/>
    <w:rsid w:val="00727D5D"/>
    <w:rsid w:val="00727FA5"/>
    <w:rsid w:val="007314A9"/>
    <w:rsid w:val="007318E5"/>
    <w:rsid w:val="00732369"/>
    <w:rsid w:val="00732EA3"/>
    <w:rsid w:val="00733157"/>
    <w:rsid w:val="007333F4"/>
    <w:rsid w:val="00733EE3"/>
    <w:rsid w:val="00733F89"/>
    <w:rsid w:val="00734A03"/>
    <w:rsid w:val="007350F7"/>
    <w:rsid w:val="007372F4"/>
    <w:rsid w:val="00737FDC"/>
    <w:rsid w:val="007400AC"/>
    <w:rsid w:val="0074036B"/>
    <w:rsid w:val="007406F0"/>
    <w:rsid w:val="0074189A"/>
    <w:rsid w:val="00741BAA"/>
    <w:rsid w:val="00741E2A"/>
    <w:rsid w:val="007421DB"/>
    <w:rsid w:val="0074274E"/>
    <w:rsid w:val="00744BA5"/>
    <w:rsid w:val="00744E09"/>
    <w:rsid w:val="00745567"/>
    <w:rsid w:val="00745D02"/>
    <w:rsid w:val="00745F54"/>
    <w:rsid w:val="007461D4"/>
    <w:rsid w:val="00746217"/>
    <w:rsid w:val="007463A4"/>
    <w:rsid w:val="00746C32"/>
    <w:rsid w:val="00747802"/>
    <w:rsid w:val="00747E9F"/>
    <w:rsid w:val="00747F86"/>
    <w:rsid w:val="00750184"/>
    <w:rsid w:val="007520CE"/>
    <w:rsid w:val="00752414"/>
    <w:rsid w:val="00752573"/>
    <w:rsid w:val="007548EC"/>
    <w:rsid w:val="00754B63"/>
    <w:rsid w:val="00756180"/>
    <w:rsid w:val="00756636"/>
    <w:rsid w:val="007566F3"/>
    <w:rsid w:val="00756BC6"/>
    <w:rsid w:val="00756F23"/>
    <w:rsid w:val="00760777"/>
    <w:rsid w:val="00762B3F"/>
    <w:rsid w:val="00762B7E"/>
    <w:rsid w:val="007637A9"/>
    <w:rsid w:val="00763B8B"/>
    <w:rsid w:val="0076417B"/>
    <w:rsid w:val="00764C92"/>
    <w:rsid w:val="007651DB"/>
    <w:rsid w:val="0076552A"/>
    <w:rsid w:val="00765ED1"/>
    <w:rsid w:val="007674EC"/>
    <w:rsid w:val="00770158"/>
    <w:rsid w:val="00770B56"/>
    <w:rsid w:val="00770EC4"/>
    <w:rsid w:val="007710A5"/>
    <w:rsid w:val="00771615"/>
    <w:rsid w:val="007717BF"/>
    <w:rsid w:val="0077225D"/>
    <w:rsid w:val="00772E28"/>
    <w:rsid w:val="007734C9"/>
    <w:rsid w:val="007736D0"/>
    <w:rsid w:val="007737B8"/>
    <w:rsid w:val="0077463A"/>
    <w:rsid w:val="00776341"/>
    <w:rsid w:val="00776BC9"/>
    <w:rsid w:val="00777325"/>
    <w:rsid w:val="0077753D"/>
    <w:rsid w:val="0077786E"/>
    <w:rsid w:val="00777E53"/>
    <w:rsid w:val="007801E4"/>
    <w:rsid w:val="00780A67"/>
    <w:rsid w:val="00780A9A"/>
    <w:rsid w:val="00780AC7"/>
    <w:rsid w:val="00780AE8"/>
    <w:rsid w:val="00781105"/>
    <w:rsid w:val="007816AC"/>
    <w:rsid w:val="007823ED"/>
    <w:rsid w:val="007839AA"/>
    <w:rsid w:val="00783C5E"/>
    <w:rsid w:val="00784784"/>
    <w:rsid w:val="0078491B"/>
    <w:rsid w:val="00784D14"/>
    <w:rsid w:val="00784F1D"/>
    <w:rsid w:val="0078548A"/>
    <w:rsid w:val="00787636"/>
    <w:rsid w:val="007906B4"/>
    <w:rsid w:val="00790975"/>
    <w:rsid w:val="007916AA"/>
    <w:rsid w:val="007919DB"/>
    <w:rsid w:val="00791A91"/>
    <w:rsid w:val="007929EE"/>
    <w:rsid w:val="00792E68"/>
    <w:rsid w:val="007930CD"/>
    <w:rsid w:val="00794302"/>
    <w:rsid w:val="0079532A"/>
    <w:rsid w:val="007957DD"/>
    <w:rsid w:val="00795D00"/>
    <w:rsid w:val="0079678C"/>
    <w:rsid w:val="007972C6"/>
    <w:rsid w:val="00797A09"/>
    <w:rsid w:val="00797CE7"/>
    <w:rsid w:val="007A0950"/>
    <w:rsid w:val="007A1658"/>
    <w:rsid w:val="007A2429"/>
    <w:rsid w:val="007A27C4"/>
    <w:rsid w:val="007A34D9"/>
    <w:rsid w:val="007A3771"/>
    <w:rsid w:val="007A39B7"/>
    <w:rsid w:val="007A3A5D"/>
    <w:rsid w:val="007A41EC"/>
    <w:rsid w:val="007A5446"/>
    <w:rsid w:val="007A5863"/>
    <w:rsid w:val="007A5F29"/>
    <w:rsid w:val="007A6883"/>
    <w:rsid w:val="007A6D85"/>
    <w:rsid w:val="007A6E92"/>
    <w:rsid w:val="007A7F00"/>
    <w:rsid w:val="007B1015"/>
    <w:rsid w:val="007B1A5C"/>
    <w:rsid w:val="007B1F05"/>
    <w:rsid w:val="007B3AB0"/>
    <w:rsid w:val="007B433E"/>
    <w:rsid w:val="007B4961"/>
    <w:rsid w:val="007B4AB9"/>
    <w:rsid w:val="007B5BF6"/>
    <w:rsid w:val="007B5C2D"/>
    <w:rsid w:val="007B7058"/>
    <w:rsid w:val="007B709A"/>
    <w:rsid w:val="007B74E0"/>
    <w:rsid w:val="007B785D"/>
    <w:rsid w:val="007C164A"/>
    <w:rsid w:val="007C236F"/>
    <w:rsid w:val="007C24AA"/>
    <w:rsid w:val="007C2738"/>
    <w:rsid w:val="007C2746"/>
    <w:rsid w:val="007C2BCF"/>
    <w:rsid w:val="007C3645"/>
    <w:rsid w:val="007C429E"/>
    <w:rsid w:val="007C445E"/>
    <w:rsid w:val="007C4B10"/>
    <w:rsid w:val="007C56A9"/>
    <w:rsid w:val="007C5785"/>
    <w:rsid w:val="007C627E"/>
    <w:rsid w:val="007C6C74"/>
    <w:rsid w:val="007D0A66"/>
    <w:rsid w:val="007D2842"/>
    <w:rsid w:val="007D3061"/>
    <w:rsid w:val="007D376D"/>
    <w:rsid w:val="007D3BA1"/>
    <w:rsid w:val="007D401F"/>
    <w:rsid w:val="007D4F2C"/>
    <w:rsid w:val="007D5151"/>
    <w:rsid w:val="007D6F47"/>
    <w:rsid w:val="007D7383"/>
    <w:rsid w:val="007D7E2A"/>
    <w:rsid w:val="007E00C8"/>
    <w:rsid w:val="007E1113"/>
    <w:rsid w:val="007E1347"/>
    <w:rsid w:val="007E155F"/>
    <w:rsid w:val="007E1BDD"/>
    <w:rsid w:val="007E1CEA"/>
    <w:rsid w:val="007E20BA"/>
    <w:rsid w:val="007E28AC"/>
    <w:rsid w:val="007E2928"/>
    <w:rsid w:val="007E2C07"/>
    <w:rsid w:val="007E3151"/>
    <w:rsid w:val="007E3350"/>
    <w:rsid w:val="007E3ABE"/>
    <w:rsid w:val="007E455D"/>
    <w:rsid w:val="007E467A"/>
    <w:rsid w:val="007E4CB1"/>
    <w:rsid w:val="007E51A5"/>
    <w:rsid w:val="007E5E3C"/>
    <w:rsid w:val="007E65BE"/>
    <w:rsid w:val="007E69AB"/>
    <w:rsid w:val="007F042F"/>
    <w:rsid w:val="007F0A0A"/>
    <w:rsid w:val="007F1727"/>
    <w:rsid w:val="007F1E8C"/>
    <w:rsid w:val="007F248C"/>
    <w:rsid w:val="007F3C2C"/>
    <w:rsid w:val="007F441B"/>
    <w:rsid w:val="007F5555"/>
    <w:rsid w:val="007F5AD1"/>
    <w:rsid w:val="007F6A57"/>
    <w:rsid w:val="007F6BBF"/>
    <w:rsid w:val="007F6EAA"/>
    <w:rsid w:val="007F782D"/>
    <w:rsid w:val="00800575"/>
    <w:rsid w:val="00801CCA"/>
    <w:rsid w:val="00802783"/>
    <w:rsid w:val="0080290B"/>
    <w:rsid w:val="0080417F"/>
    <w:rsid w:val="008043A1"/>
    <w:rsid w:val="008045E4"/>
    <w:rsid w:val="008051C9"/>
    <w:rsid w:val="00806D25"/>
    <w:rsid w:val="008110DA"/>
    <w:rsid w:val="0081135B"/>
    <w:rsid w:val="00811AA7"/>
    <w:rsid w:val="00811DAF"/>
    <w:rsid w:val="0081210A"/>
    <w:rsid w:val="0081304C"/>
    <w:rsid w:val="00813373"/>
    <w:rsid w:val="0081353E"/>
    <w:rsid w:val="0081363A"/>
    <w:rsid w:val="00814CE6"/>
    <w:rsid w:val="0081696A"/>
    <w:rsid w:val="00816EBB"/>
    <w:rsid w:val="00817642"/>
    <w:rsid w:val="00821D78"/>
    <w:rsid w:val="0082313D"/>
    <w:rsid w:val="00823153"/>
    <w:rsid w:val="008235A6"/>
    <w:rsid w:val="00823E72"/>
    <w:rsid w:val="00824186"/>
    <w:rsid w:val="008248CE"/>
    <w:rsid w:val="00824C2F"/>
    <w:rsid w:val="00826265"/>
    <w:rsid w:val="00826288"/>
    <w:rsid w:val="00826980"/>
    <w:rsid w:val="00826AD7"/>
    <w:rsid w:val="008277D5"/>
    <w:rsid w:val="008301CA"/>
    <w:rsid w:val="008303D2"/>
    <w:rsid w:val="008313D1"/>
    <w:rsid w:val="008325BF"/>
    <w:rsid w:val="00832658"/>
    <w:rsid w:val="00832E14"/>
    <w:rsid w:val="00833150"/>
    <w:rsid w:val="00834231"/>
    <w:rsid w:val="008344B3"/>
    <w:rsid w:val="00834CEE"/>
    <w:rsid w:val="00834EA0"/>
    <w:rsid w:val="00835CAA"/>
    <w:rsid w:val="00836163"/>
    <w:rsid w:val="008368E9"/>
    <w:rsid w:val="008369C3"/>
    <w:rsid w:val="00837134"/>
    <w:rsid w:val="0083735B"/>
    <w:rsid w:val="008377B6"/>
    <w:rsid w:val="0083787C"/>
    <w:rsid w:val="008378CA"/>
    <w:rsid w:val="00840131"/>
    <w:rsid w:val="008403BF"/>
    <w:rsid w:val="00840A7D"/>
    <w:rsid w:val="00841D48"/>
    <w:rsid w:val="0084355E"/>
    <w:rsid w:val="00844042"/>
    <w:rsid w:val="0084528D"/>
    <w:rsid w:val="00845C10"/>
    <w:rsid w:val="008464F6"/>
    <w:rsid w:val="00846FC6"/>
    <w:rsid w:val="0084736E"/>
    <w:rsid w:val="00847BDD"/>
    <w:rsid w:val="00850C01"/>
    <w:rsid w:val="00851BBA"/>
    <w:rsid w:val="0085254F"/>
    <w:rsid w:val="00852DE2"/>
    <w:rsid w:val="008540D0"/>
    <w:rsid w:val="00854918"/>
    <w:rsid w:val="008553AA"/>
    <w:rsid w:val="00856DFA"/>
    <w:rsid w:val="00857B23"/>
    <w:rsid w:val="0086027E"/>
    <w:rsid w:val="008603B7"/>
    <w:rsid w:val="00861681"/>
    <w:rsid w:val="00861B04"/>
    <w:rsid w:val="00862432"/>
    <w:rsid w:val="00863552"/>
    <w:rsid w:val="00863A44"/>
    <w:rsid w:val="00864042"/>
    <w:rsid w:val="00864B06"/>
    <w:rsid w:val="00864B87"/>
    <w:rsid w:val="00865BC3"/>
    <w:rsid w:val="0086628D"/>
    <w:rsid w:val="0086762E"/>
    <w:rsid w:val="00867691"/>
    <w:rsid w:val="00867E3B"/>
    <w:rsid w:val="00870161"/>
    <w:rsid w:val="00870708"/>
    <w:rsid w:val="008707B8"/>
    <w:rsid w:val="00871C82"/>
    <w:rsid w:val="00871DC4"/>
    <w:rsid w:val="008723AE"/>
    <w:rsid w:val="008726D6"/>
    <w:rsid w:val="008732ED"/>
    <w:rsid w:val="008733D7"/>
    <w:rsid w:val="008737F3"/>
    <w:rsid w:val="00873938"/>
    <w:rsid w:val="00873A79"/>
    <w:rsid w:val="00874A02"/>
    <w:rsid w:val="00874D4F"/>
    <w:rsid w:val="008755B8"/>
    <w:rsid w:val="00875AAC"/>
    <w:rsid w:val="00875D0E"/>
    <w:rsid w:val="00875EFD"/>
    <w:rsid w:val="00876641"/>
    <w:rsid w:val="008771EE"/>
    <w:rsid w:val="0087737B"/>
    <w:rsid w:val="00880E16"/>
    <w:rsid w:val="00880F2B"/>
    <w:rsid w:val="00881330"/>
    <w:rsid w:val="008817D2"/>
    <w:rsid w:val="00881C8C"/>
    <w:rsid w:val="00882464"/>
    <w:rsid w:val="00882833"/>
    <w:rsid w:val="00882FC1"/>
    <w:rsid w:val="00883CEE"/>
    <w:rsid w:val="00883D25"/>
    <w:rsid w:val="008842C2"/>
    <w:rsid w:val="00884A53"/>
    <w:rsid w:val="00884E17"/>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4B07"/>
    <w:rsid w:val="00894D05"/>
    <w:rsid w:val="0089507F"/>
    <w:rsid w:val="00896C03"/>
    <w:rsid w:val="00896EFD"/>
    <w:rsid w:val="00897F5D"/>
    <w:rsid w:val="008A01B8"/>
    <w:rsid w:val="008A0F38"/>
    <w:rsid w:val="008A1BF8"/>
    <w:rsid w:val="008A1E13"/>
    <w:rsid w:val="008A353B"/>
    <w:rsid w:val="008A54E7"/>
    <w:rsid w:val="008A55CE"/>
    <w:rsid w:val="008A5BDF"/>
    <w:rsid w:val="008A6BAF"/>
    <w:rsid w:val="008A6F28"/>
    <w:rsid w:val="008A7640"/>
    <w:rsid w:val="008A7E44"/>
    <w:rsid w:val="008B08A8"/>
    <w:rsid w:val="008B0934"/>
    <w:rsid w:val="008B09E4"/>
    <w:rsid w:val="008B10CB"/>
    <w:rsid w:val="008B17E9"/>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0948"/>
    <w:rsid w:val="008C2088"/>
    <w:rsid w:val="008C3975"/>
    <w:rsid w:val="008C47BA"/>
    <w:rsid w:val="008C5185"/>
    <w:rsid w:val="008C55CB"/>
    <w:rsid w:val="008C55EB"/>
    <w:rsid w:val="008C67E5"/>
    <w:rsid w:val="008C6C0B"/>
    <w:rsid w:val="008D0819"/>
    <w:rsid w:val="008D0859"/>
    <w:rsid w:val="008D0EF4"/>
    <w:rsid w:val="008D14CF"/>
    <w:rsid w:val="008D297A"/>
    <w:rsid w:val="008D2B08"/>
    <w:rsid w:val="008D35B1"/>
    <w:rsid w:val="008D39D3"/>
    <w:rsid w:val="008D4205"/>
    <w:rsid w:val="008D49C9"/>
    <w:rsid w:val="008D6020"/>
    <w:rsid w:val="008D63E9"/>
    <w:rsid w:val="008D6BBC"/>
    <w:rsid w:val="008D742C"/>
    <w:rsid w:val="008D7455"/>
    <w:rsid w:val="008D74D0"/>
    <w:rsid w:val="008D74EB"/>
    <w:rsid w:val="008D7BCB"/>
    <w:rsid w:val="008E0C42"/>
    <w:rsid w:val="008E15EA"/>
    <w:rsid w:val="008E1B5A"/>
    <w:rsid w:val="008E2F74"/>
    <w:rsid w:val="008E3532"/>
    <w:rsid w:val="008E3E3E"/>
    <w:rsid w:val="008E4681"/>
    <w:rsid w:val="008E4FC0"/>
    <w:rsid w:val="008E5216"/>
    <w:rsid w:val="008E68A7"/>
    <w:rsid w:val="008E728C"/>
    <w:rsid w:val="008E7327"/>
    <w:rsid w:val="008E78BF"/>
    <w:rsid w:val="008F03CC"/>
    <w:rsid w:val="008F066D"/>
    <w:rsid w:val="008F087E"/>
    <w:rsid w:val="008F189D"/>
    <w:rsid w:val="008F1B54"/>
    <w:rsid w:val="008F255D"/>
    <w:rsid w:val="008F2853"/>
    <w:rsid w:val="008F3209"/>
    <w:rsid w:val="008F3A03"/>
    <w:rsid w:val="008F3FDD"/>
    <w:rsid w:val="008F5F92"/>
    <w:rsid w:val="008F702F"/>
    <w:rsid w:val="008F70E1"/>
    <w:rsid w:val="008F735D"/>
    <w:rsid w:val="008F78C0"/>
    <w:rsid w:val="009012A5"/>
    <w:rsid w:val="00901328"/>
    <w:rsid w:val="00901A8A"/>
    <w:rsid w:val="0090208D"/>
    <w:rsid w:val="009024C4"/>
    <w:rsid w:val="00902603"/>
    <w:rsid w:val="0090316E"/>
    <w:rsid w:val="009032CC"/>
    <w:rsid w:val="0090353B"/>
    <w:rsid w:val="009040EB"/>
    <w:rsid w:val="009045E3"/>
    <w:rsid w:val="0090627F"/>
    <w:rsid w:val="0090766A"/>
    <w:rsid w:val="00907B64"/>
    <w:rsid w:val="009101A1"/>
    <w:rsid w:val="0091055F"/>
    <w:rsid w:val="009115D6"/>
    <w:rsid w:val="00911AC2"/>
    <w:rsid w:val="00911B31"/>
    <w:rsid w:val="00912148"/>
    <w:rsid w:val="00912AAC"/>
    <w:rsid w:val="00913442"/>
    <w:rsid w:val="00913C5A"/>
    <w:rsid w:val="00913CB2"/>
    <w:rsid w:val="00913E0F"/>
    <w:rsid w:val="00915D22"/>
    <w:rsid w:val="00915ECE"/>
    <w:rsid w:val="0091610D"/>
    <w:rsid w:val="009163AD"/>
    <w:rsid w:val="009166B8"/>
    <w:rsid w:val="00916EFB"/>
    <w:rsid w:val="00920771"/>
    <w:rsid w:val="009209BD"/>
    <w:rsid w:val="009212C2"/>
    <w:rsid w:val="00921361"/>
    <w:rsid w:val="0092191C"/>
    <w:rsid w:val="00922464"/>
    <w:rsid w:val="00923600"/>
    <w:rsid w:val="0092394D"/>
    <w:rsid w:val="009239BF"/>
    <w:rsid w:val="00923AC1"/>
    <w:rsid w:val="00923BAC"/>
    <w:rsid w:val="00923E7D"/>
    <w:rsid w:val="00925FA1"/>
    <w:rsid w:val="00926019"/>
    <w:rsid w:val="00926A42"/>
    <w:rsid w:val="009276B1"/>
    <w:rsid w:val="009303CF"/>
    <w:rsid w:val="00930F58"/>
    <w:rsid w:val="00932182"/>
    <w:rsid w:val="00932A54"/>
    <w:rsid w:val="00932C21"/>
    <w:rsid w:val="00933057"/>
    <w:rsid w:val="009333DA"/>
    <w:rsid w:val="0093379B"/>
    <w:rsid w:val="00933B5D"/>
    <w:rsid w:val="00933BE8"/>
    <w:rsid w:val="00933CA9"/>
    <w:rsid w:val="00934CDB"/>
    <w:rsid w:val="00937046"/>
    <w:rsid w:val="009370FF"/>
    <w:rsid w:val="009375FD"/>
    <w:rsid w:val="00937911"/>
    <w:rsid w:val="00937B5D"/>
    <w:rsid w:val="00941CE3"/>
    <w:rsid w:val="00941D08"/>
    <w:rsid w:val="009421F9"/>
    <w:rsid w:val="009425DC"/>
    <w:rsid w:val="00942B91"/>
    <w:rsid w:val="00943A37"/>
    <w:rsid w:val="00944258"/>
    <w:rsid w:val="00944518"/>
    <w:rsid w:val="00944F09"/>
    <w:rsid w:val="0094537C"/>
    <w:rsid w:val="009453F9"/>
    <w:rsid w:val="00945899"/>
    <w:rsid w:val="009460D9"/>
    <w:rsid w:val="00946B3E"/>
    <w:rsid w:val="00946D21"/>
    <w:rsid w:val="009474A0"/>
    <w:rsid w:val="00950865"/>
    <w:rsid w:val="00950BB6"/>
    <w:rsid w:val="00950C35"/>
    <w:rsid w:val="00951444"/>
    <w:rsid w:val="0095152B"/>
    <w:rsid w:val="00951816"/>
    <w:rsid w:val="00952517"/>
    <w:rsid w:val="0095273E"/>
    <w:rsid w:val="00952A67"/>
    <w:rsid w:val="00952C40"/>
    <w:rsid w:val="00953589"/>
    <w:rsid w:val="009535F6"/>
    <w:rsid w:val="00953A15"/>
    <w:rsid w:val="00954DB3"/>
    <w:rsid w:val="00955755"/>
    <w:rsid w:val="00956091"/>
    <w:rsid w:val="009564B0"/>
    <w:rsid w:val="00957D5A"/>
    <w:rsid w:val="0096023A"/>
    <w:rsid w:val="009602F2"/>
    <w:rsid w:val="00960379"/>
    <w:rsid w:val="0096139B"/>
    <w:rsid w:val="00961AFF"/>
    <w:rsid w:val="0096394B"/>
    <w:rsid w:val="009640D3"/>
    <w:rsid w:val="00964D5A"/>
    <w:rsid w:val="00965C2C"/>
    <w:rsid w:val="00966078"/>
    <w:rsid w:val="00966CA6"/>
    <w:rsid w:val="00970C34"/>
    <w:rsid w:val="0097102C"/>
    <w:rsid w:val="00972702"/>
    <w:rsid w:val="0097275B"/>
    <w:rsid w:val="0097285E"/>
    <w:rsid w:val="00972AFF"/>
    <w:rsid w:val="00972EBA"/>
    <w:rsid w:val="00973519"/>
    <w:rsid w:val="00973A11"/>
    <w:rsid w:val="0097578C"/>
    <w:rsid w:val="00975B95"/>
    <w:rsid w:val="00976F30"/>
    <w:rsid w:val="00976F92"/>
    <w:rsid w:val="00977A76"/>
    <w:rsid w:val="00980019"/>
    <w:rsid w:val="009804CB"/>
    <w:rsid w:val="009806F1"/>
    <w:rsid w:val="00980C8D"/>
    <w:rsid w:val="009811F7"/>
    <w:rsid w:val="0098154C"/>
    <w:rsid w:val="0098199C"/>
    <w:rsid w:val="00983CFE"/>
    <w:rsid w:val="009842DC"/>
    <w:rsid w:val="0098438F"/>
    <w:rsid w:val="00984EEA"/>
    <w:rsid w:val="00984FC0"/>
    <w:rsid w:val="0098554F"/>
    <w:rsid w:val="009855AE"/>
    <w:rsid w:val="00985CD1"/>
    <w:rsid w:val="00986287"/>
    <w:rsid w:val="009875FA"/>
    <w:rsid w:val="0098764F"/>
    <w:rsid w:val="0098784D"/>
    <w:rsid w:val="009878CD"/>
    <w:rsid w:val="00987C93"/>
    <w:rsid w:val="00987EA5"/>
    <w:rsid w:val="0099021E"/>
    <w:rsid w:val="009909C3"/>
    <w:rsid w:val="00991216"/>
    <w:rsid w:val="00991349"/>
    <w:rsid w:val="00991354"/>
    <w:rsid w:val="009913D2"/>
    <w:rsid w:val="00991A65"/>
    <w:rsid w:val="009924AE"/>
    <w:rsid w:val="009935C1"/>
    <w:rsid w:val="00993943"/>
    <w:rsid w:val="00994035"/>
    <w:rsid w:val="0099441A"/>
    <w:rsid w:val="0099476D"/>
    <w:rsid w:val="0099566A"/>
    <w:rsid w:val="00996724"/>
    <w:rsid w:val="00996779"/>
    <w:rsid w:val="009A0607"/>
    <w:rsid w:val="009A1A23"/>
    <w:rsid w:val="009A357E"/>
    <w:rsid w:val="009A368D"/>
    <w:rsid w:val="009A3C7B"/>
    <w:rsid w:val="009A3D96"/>
    <w:rsid w:val="009A3E02"/>
    <w:rsid w:val="009A4829"/>
    <w:rsid w:val="009A4ACF"/>
    <w:rsid w:val="009A621B"/>
    <w:rsid w:val="009A6ECD"/>
    <w:rsid w:val="009A6EFC"/>
    <w:rsid w:val="009A7672"/>
    <w:rsid w:val="009A7E33"/>
    <w:rsid w:val="009B11D0"/>
    <w:rsid w:val="009B13CF"/>
    <w:rsid w:val="009B16B7"/>
    <w:rsid w:val="009B21D3"/>
    <w:rsid w:val="009B2D7F"/>
    <w:rsid w:val="009B2E9F"/>
    <w:rsid w:val="009B414C"/>
    <w:rsid w:val="009B498F"/>
    <w:rsid w:val="009B4D6E"/>
    <w:rsid w:val="009B53E1"/>
    <w:rsid w:val="009B5586"/>
    <w:rsid w:val="009B5934"/>
    <w:rsid w:val="009B6EEB"/>
    <w:rsid w:val="009B7205"/>
    <w:rsid w:val="009B72F3"/>
    <w:rsid w:val="009B7639"/>
    <w:rsid w:val="009C0449"/>
    <w:rsid w:val="009C04C6"/>
    <w:rsid w:val="009C06A2"/>
    <w:rsid w:val="009C0C34"/>
    <w:rsid w:val="009C0E53"/>
    <w:rsid w:val="009C14DE"/>
    <w:rsid w:val="009C1837"/>
    <w:rsid w:val="009C20F0"/>
    <w:rsid w:val="009C336E"/>
    <w:rsid w:val="009C3DE4"/>
    <w:rsid w:val="009C49F0"/>
    <w:rsid w:val="009C4C7E"/>
    <w:rsid w:val="009C517F"/>
    <w:rsid w:val="009C5240"/>
    <w:rsid w:val="009C566F"/>
    <w:rsid w:val="009C56FC"/>
    <w:rsid w:val="009C5ABE"/>
    <w:rsid w:val="009C6600"/>
    <w:rsid w:val="009C72E1"/>
    <w:rsid w:val="009C769F"/>
    <w:rsid w:val="009C7776"/>
    <w:rsid w:val="009D02B7"/>
    <w:rsid w:val="009D2726"/>
    <w:rsid w:val="009D2834"/>
    <w:rsid w:val="009D2AE9"/>
    <w:rsid w:val="009D4FAE"/>
    <w:rsid w:val="009D7292"/>
    <w:rsid w:val="009E0B58"/>
    <w:rsid w:val="009E147D"/>
    <w:rsid w:val="009E1650"/>
    <w:rsid w:val="009E1BC1"/>
    <w:rsid w:val="009E1BF4"/>
    <w:rsid w:val="009E1F8D"/>
    <w:rsid w:val="009E21C8"/>
    <w:rsid w:val="009E27AA"/>
    <w:rsid w:val="009E3247"/>
    <w:rsid w:val="009E431F"/>
    <w:rsid w:val="009E47C1"/>
    <w:rsid w:val="009E4F4F"/>
    <w:rsid w:val="009E501C"/>
    <w:rsid w:val="009E521F"/>
    <w:rsid w:val="009E55ED"/>
    <w:rsid w:val="009E56E2"/>
    <w:rsid w:val="009E5CBF"/>
    <w:rsid w:val="009E621E"/>
    <w:rsid w:val="009E654F"/>
    <w:rsid w:val="009E6BBC"/>
    <w:rsid w:val="009F0826"/>
    <w:rsid w:val="009F15A7"/>
    <w:rsid w:val="009F1638"/>
    <w:rsid w:val="009F19E1"/>
    <w:rsid w:val="009F287D"/>
    <w:rsid w:val="009F3454"/>
    <w:rsid w:val="009F3BBB"/>
    <w:rsid w:val="009F44FF"/>
    <w:rsid w:val="009F50E1"/>
    <w:rsid w:val="009F57EC"/>
    <w:rsid w:val="009F6076"/>
    <w:rsid w:val="009F68AA"/>
    <w:rsid w:val="009F695B"/>
    <w:rsid w:val="009F6F83"/>
    <w:rsid w:val="00A0011F"/>
    <w:rsid w:val="00A00A2A"/>
    <w:rsid w:val="00A02DDE"/>
    <w:rsid w:val="00A0317A"/>
    <w:rsid w:val="00A035A2"/>
    <w:rsid w:val="00A0362D"/>
    <w:rsid w:val="00A037BD"/>
    <w:rsid w:val="00A0384A"/>
    <w:rsid w:val="00A03C44"/>
    <w:rsid w:val="00A041E4"/>
    <w:rsid w:val="00A045F2"/>
    <w:rsid w:val="00A04DE7"/>
    <w:rsid w:val="00A07345"/>
    <w:rsid w:val="00A07D1C"/>
    <w:rsid w:val="00A109BD"/>
    <w:rsid w:val="00A112F0"/>
    <w:rsid w:val="00A11ABC"/>
    <w:rsid w:val="00A11DD5"/>
    <w:rsid w:val="00A1544B"/>
    <w:rsid w:val="00A1659E"/>
    <w:rsid w:val="00A16FAC"/>
    <w:rsid w:val="00A170BB"/>
    <w:rsid w:val="00A178A9"/>
    <w:rsid w:val="00A17D48"/>
    <w:rsid w:val="00A20927"/>
    <w:rsid w:val="00A210BD"/>
    <w:rsid w:val="00A21479"/>
    <w:rsid w:val="00A21640"/>
    <w:rsid w:val="00A21747"/>
    <w:rsid w:val="00A2188E"/>
    <w:rsid w:val="00A224F8"/>
    <w:rsid w:val="00A22832"/>
    <w:rsid w:val="00A22AB4"/>
    <w:rsid w:val="00A22C2F"/>
    <w:rsid w:val="00A23FB0"/>
    <w:rsid w:val="00A251F4"/>
    <w:rsid w:val="00A26652"/>
    <w:rsid w:val="00A26A82"/>
    <w:rsid w:val="00A26AC9"/>
    <w:rsid w:val="00A2773A"/>
    <w:rsid w:val="00A277E4"/>
    <w:rsid w:val="00A27A5F"/>
    <w:rsid w:val="00A301C7"/>
    <w:rsid w:val="00A30AB2"/>
    <w:rsid w:val="00A316DF"/>
    <w:rsid w:val="00A323E5"/>
    <w:rsid w:val="00A32B87"/>
    <w:rsid w:val="00A33D5E"/>
    <w:rsid w:val="00A3441A"/>
    <w:rsid w:val="00A34B0C"/>
    <w:rsid w:val="00A35996"/>
    <w:rsid w:val="00A35E78"/>
    <w:rsid w:val="00A363C8"/>
    <w:rsid w:val="00A36D83"/>
    <w:rsid w:val="00A37422"/>
    <w:rsid w:val="00A37478"/>
    <w:rsid w:val="00A37922"/>
    <w:rsid w:val="00A4023F"/>
    <w:rsid w:val="00A4043C"/>
    <w:rsid w:val="00A41276"/>
    <w:rsid w:val="00A4136F"/>
    <w:rsid w:val="00A41873"/>
    <w:rsid w:val="00A41B6D"/>
    <w:rsid w:val="00A41F5A"/>
    <w:rsid w:val="00A421B9"/>
    <w:rsid w:val="00A42493"/>
    <w:rsid w:val="00A43592"/>
    <w:rsid w:val="00A43F1F"/>
    <w:rsid w:val="00A43FBB"/>
    <w:rsid w:val="00A45EEF"/>
    <w:rsid w:val="00A515B4"/>
    <w:rsid w:val="00A52F63"/>
    <w:rsid w:val="00A5436E"/>
    <w:rsid w:val="00A54D38"/>
    <w:rsid w:val="00A550AE"/>
    <w:rsid w:val="00A5544C"/>
    <w:rsid w:val="00A559C9"/>
    <w:rsid w:val="00A564D4"/>
    <w:rsid w:val="00A56BA0"/>
    <w:rsid w:val="00A57F14"/>
    <w:rsid w:val="00A600ED"/>
    <w:rsid w:val="00A6080C"/>
    <w:rsid w:val="00A61E0B"/>
    <w:rsid w:val="00A623BD"/>
    <w:rsid w:val="00A62A82"/>
    <w:rsid w:val="00A6368B"/>
    <w:rsid w:val="00A63B46"/>
    <w:rsid w:val="00A64D8F"/>
    <w:rsid w:val="00A65040"/>
    <w:rsid w:val="00A651BE"/>
    <w:rsid w:val="00A65512"/>
    <w:rsid w:val="00A66666"/>
    <w:rsid w:val="00A677E0"/>
    <w:rsid w:val="00A67840"/>
    <w:rsid w:val="00A67966"/>
    <w:rsid w:val="00A70383"/>
    <w:rsid w:val="00A719AE"/>
    <w:rsid w:val="00A72220"/>
    <w:rsid w:val="00A727DD"/>
    <w:rsid w:val="00A72E23"/>
    <w:rsid w:val="00A734B1"/>
    <w:rsid w:val="00A74588"/>
    <w:rsid w:val="00A749FC"/>
    <w:rsid w:val="00A7515C"/>
    <w:rsid w:val="00A75216"/>
    <w:rsid w:val="00A75999"/>
    <w:rsid w:val="00A75A90"/>
    <w:rsid w:val="00A76523"/>
    <w:rsid w:val="00A767C9"/>
    <w:rsid w:val="00A7699E"/>
    <w:rsid w:val="00A769AD"/>
    <w:rsid w:val="00A76DAA"/>
    <w:rsid w:val="00A80636"/>
    <w:rsid w:val="00A806CF"/>
    <w:rsid w:val="00A80866"/>
    <w:rsid w:val="00A8105D"/>
    <w:rsid w:val="00A824FE"/>
    <w:rsid w:val="00A82727"/>
    <w:rsid w:val="00A8331D"/>
    <w:rsid w:val="00A834FB"/>
    <w:rsid w:val="00A836CB"/>
    <w:rsid w:val="00A850D2"/>
    <w:rsid w:val="00A856A7"/>
    <w:rsid w:val="00A85A0F"/>
    <w:rsid w:val="00A85E75"/>
    <w:rsid w:val="00A86002"/>
    <w:rsid w:val="00A86104"/>
    <w:rsid w:val="00A86836"/>
    <w:rsid w:val="00A8687B"/>
    <w:rsid w:val="00A87773"/>
    <w:rsid w:val="00A877E2"/>
    <w:rsid w:val="00A87C20"/>
    <w:rsid w:val="00A918BA"/>
    <w:rsid w:val="00A92ACF"/>
    <w:rsid w:val="00A92CE3"/>
    <w:rsid w:val="00A93317"/>
    <w:rsid w:val="00A9390F"/>
    <w:rsid w:val="00A93F88"/>
    <w:rsid w:val="00A94055"/>
    <w:rsid w:val="00A94056"/>
    <w:rsid w:val="00A94A3B"/>
    <w:rsid w:val="00A94B5C"/>
    <w:rsid w:val="00A9529C"/>
    <w:rsid w:val="00A9558D"/>
    <w:rsid w:val="00A9577C"/>
    <w:rsid w:val="00A964CC"/>
    <w:rsid w:val="00A964D0"/>
    <w:rsid w:val="00A96E07"/>
    <w:rsid w:val="00A97928"/>
    <w:rsid w:val="00A97D17"/>
    <w:rsid w:val="00AA038F"/>
    <w:rsid w:val="00AA0EB9"/>
    <w:rsid w:val="00AA13A3"/>
    <w:rsid w:val="00AA18FB"/>
    <w:rsid w:val="00AA1FD0"/>
    <w:rsid w:val="00AA2C69"/>
    <w:rsid w:val="00AA32CE"/>
    <w:rsid w:val="00AA3660"/>
    <w:rsid w:val="00AA382B"/>
    <w:rsid w:val="00AA4549"/>
    <w:rsid w:val="00AA4601"/>
    <w:rsid w:val="00AA4DAB"/>
    <w:rsid w:val="00AA4E66"/>
    <w:rsid w:val="00AA63EB"/>
    <w:rsid w:val="00AA6F19"/>
    <w:rsid w:val="00AA7073"/>
    <w:rsid w:val="00AB0120"/>
    <w:rsid w:val="00AB02DB"/>
    <w:rsid w:val="00AB0B13"/>
    <w:rsid w:val="00AB0C37"/>
    <w:rsid w:val="00AB0E61"/>
    <w:rsid w:val="00AB106D"/>
    <w:rsid w:val="00AB1D9F"/>
    <w:rsid w:val="00AB2094"/>
    <w:rsid w:val="00AB26E6"/>
    <w:rsid w:val="00AB499B"/>
    <w:rsid w:val="00AB4E90"/>
    <w:rsid w:val="00AB4FF3"/>
    <w:rsid w:val="00AB51E5"/>
    <w:rsid w:val="00AB53FB"/>
    <w:rsid w:val="00AB5B43"/>
    <w:rsid w:val="00AB5DC4"/>
    <w:rsid w:val="00AB6092"/>
    <w:rsid w:val="00AB636C"/>
    <w:rsid w:val="00AB6716"/>
    <w:rsid w:val="00AB69AA"/>
    <w:rsid w:val="00AB6ADF"/>
    <w:rsid w:val="00AB6ED5"/>
    <w:rsid w:val="00AB6F6D"/>
    <w:rsid w:val="00AB769C"/>
    <w:rsid w:val="00AC052D"/>
    <w:rsid w:val="00AC0E21"/>
    <w:rsid w:val="00AC2F81"/>
    <w:rsid w:val="00AC3332"/>
    <w:rsid w:val="00AC35F0"/>
    <w:rsid w:val="00AC3ADF"/>
    <w:rsid w:val="00AC3EF5"/>
    <w:rsid w:val="00AC48F4"/>
    <w:rsid w:val="00AC4E89"/>
    <w:rsid w:val="00AC5317"/>
    <w:rsid w:val="00AC551F"/>
    <w:rsid w:val="00AC5EF6"/>
    <w:rsid w:val="00AC6E1C"/>
    <w:rsid w:val="00AC7E2C"/>
    <w:rsid w:val="00AD0218"/>
    <w:rsid w:val="00AD07F8"/>
    <w:rsid w:val="00AD0E73"/>
    <w:rsid w:val="00AD0F7B"/>
    <w:rsid w:val="00AD1F9D"/>
    <w:rsid w:val="00AD36A2"/>
    <w:rsid w:val="00AD3A1E"/>
    <w:rsid w:val="00AD3CEC"/>
    <w:rsid w:val="00AD45C8"/>
    <w:rsid w:val="00AD4F49"/>
    <w:rsid w:val="00AD53C8"/>
    <w:rsid w:val="00AD5E9A"/>
    <w:rsid w:val="00AD66DB"/>
    <w:rsid w:val="00AD6AA9"/>
    <w:rsid w:val="00AD6D1F"/>
    <w:rsid w:val="00AD6EF8"/>
    <w:rsid w:val="00AE02E2"/>
    <w:rsid w:val="00AE0B1E"/>
    <w:rsid w:val="00AE233C"/>
    <w:rsid w:val="00AE2434"/>
    <w:rsid w:val="00AE26DB"/>
    <w:rsid w:val="00AE51FE"/>
    <w:rsid w:val="00AE5313"/>
    <w:rsid w:val="00AE6A54"/>
    <w:rsid w:val="00AE720B"/>
    <w:rsid w:val="00AE786D"/>
    <w:rsid w:val="00AE7F27"/>
    <w:rsid w:val="00AF0BFB"/>
    <w:rsid w:val="00AF3D70"/>
    <w:rsid w:val="00AF439D"/>
    <w:rsid w:val="00AF44B7"/>
    <w:rsid w:val="00AF52C6"/>
    <w:rsid w:val="00AF5978"/>
    <w:rsid w:val="00AF5A60"/>
    <w:rsid w:val="00AF73EA"/>
    <w:rsid w:val="00B006CD"/>
    <w:rsid w:val="00B00CD6"/>
    <w:rsid w:val="00B00FD2"/>
    <w:rsid w:val="00B016E4"/>
    <w:rsid w:val="00B0227F"/>
    <w:rsid w:val="00B0293B"/>
    <w:rsid w:val="00B0344F"/>
    <w:rsid w:val="00B059A7"/>
    <w:rsid w:val="00B05BCF"/>
    <w:rsid w:val="00B061BF"/>
    <w:rsid w:val="00B06780"/>
    <w:rsid w:val="00B067C4"/>
    <w:rsid w:val="00B06DC0"/>
    <w:rsid w:val="00B073F1"/>
    <w:rsid w:val="00B07B9A"/>
    <w:rsid w:val="00B07DEC"/>
    <w:rsid w:val="00B07FEE"/>
    <w:rsid w:val="00B102FC"/>
    <w:rsid w:val="00B10A34"/>
    <w:rsid w:val="00B110F4"/>
    <w:rsid w:val="00B11FA0"/>
    <w:rsid w:val="00B121E6"/>
    <w:rsid w:val="00B125D5"/>
    <w:rsid w:val="00B131C6"/>
    <w:rsid w:val="00B13596"/>
    <w:rsid w:val="00B156D1"/>
    <w:rsid w:val="00B16429"/>
    <w:rsid w:val="00B16808"/>
    <w:rsid w:val="00B169A4"/>
    <w:rsid w:val="00B16D9A"/>
    <w:rsid w:val="00B20176"/>
    <w:rsid w:val="00B2055C"/>
    <w:rsid w:val="00B207D8"/>
    <w:rsid w:val="00B20C48"/>
    <w:rsid w:val="00B20D3C"/>
    <w:rsid w:val="00B21940"/>
    <w:rsid w:val="00B21C7D"/>
    <w:rsid w:val="00B22A72"/>
    <w:rsid w:val="00B234E6"/>
    <w:rsid w:val="00B24083"/>
    <w:rsid w:val="00B240A5"/>
    <w:rsid w:val="00B24F20"/>
    <w:rsid w:val="00B25DD6"/>
    <w:rsid w:val="00B26209"/>
    <w:rsid w:val="00B27215"/>
    <w:rsid w:val="00B27EA2"/>
    <w:rsid w:val="00B319A4"/>
    <w:rsid w:val="00B3204F"/>
    <w:rsid w:val="00B32984"/>
    <w:rsid w:val="00B32EB6"/>
    <w:rsid w:val="00B337CA"/>
    <w:rsid w:val="00B33E86"/>
    <w:rsid w:val="00B3428E"/>
    <w:rsid w:val="00B34686"/>
    <w:rsid w:val="00B349AC"/>
    <w:rsid w:val="00B362E1"/>
    <w:rsid w:val="00B36577"/>
    <w:rsid w:val="00B36ED3"/>
    <w:rsid w:val="00B40001"/>
    <w:rsid w:val="00B400DB"/>
    <w:rsid w:val="00B42F2E"/>
    <w:rsid w:val="00B43466"/>
    <w:rsid w:val="00B43B96"/>
    <w:rsid w:val="00B449D1"/>
    <w:rsid w:val="00B4541F"/>
    <w:rsid w:val="00B45583"/>
    <w:rsid w:val="00B45B7A"/>
    <w:rsid w:val="00B46195"/>
    <w:rsid w:val="00B46918"/>
    <w:rsid w:val="00B46B6A"/>
    <w:rsid w:val="00B46D80"/>
    <w:rsid w:val="00B47314"/>
    <w:rsid w:val="00B47CDE"/>
    <w:rsid w:val="00B51292"/>
    <w:rsid w:val="00B53257"/>
    <w:rsid w:val="00B53617"/>
    <w:rsid w:val="00B53B68"/>
    <w:rsid w:val="00B53D02"/>
    <w:rsid w:val="00B5450A"/>
    <w:rsid w:val="00B54600"/>
    <w:rsid w:val="00B56587"/>
    <w:rsid w:val="00B56594"/>
    <w:rsid w:val="00B56A88"/>
    <w:rsid w:val="00B5708C"/>
    <w:rsid w:val="00B57E4B"/>
    <w:rsid w:val="00B6023B"/>
    <w:rsid w:val="00B60FCB"/>
    <w:rsid w:val="00B6173C"/>
    <w:rsid w:val="00B61D17"/>
    <w:rsid w:val="00B63EE9"/>
    <w:rsid w:val="00B64E8F"/>
    <w:rsid w:val="00B6559F"/>
    <w:rsid w:val="00B6597A"/>
    <w:rsid w:val="00B65E65"/>
    <w:rsid w:val="00B66127"/>
    <w:rsid w:val="00B6617F"/>
    <w:rsid w:val="00B667EB"/>
    <w:rsid w:val="00B67071"/>
    <w:rsid w:val="00B6719C"/>
    <w:rsid w:val="00B67E4B"/>
    <w:rsid w:val="00B70A84"/>
    <w:rsid w:val="00B70CB1"/>
    <w:rsid w:val="00B71787"/>
    <w:rsid w:val="00B71C39"/>
    <w:rsid w:val="00B721F6"/>
    <w:rsid w:val="00B731BB"/>
    <w:rsid w:val="00B734ED"/>
    <w:rsid w:val="00B73712"/>
    <w:rsid w:val="00B74202"/>
    <w:rsid w:val="00B74418"/>
    <w:rsid w:val="00B75816"/>
    <w:rsid w:val="00B759C0"/>
    <w:rsid w:val="00B80651"/>
    <w:rsid w:val="00B82170"/>
    <w:rsid w:val="00B825D9"/>
    <w:rsid w:val="00B82842"/>
    <w:rsid w:val="00B84431"/>
    <w:rsid w:val="00B853F9"/>
    <w:rsid w:val="00B85425"/>
    <w:rsid w:val="00B85762"/>
    <w:rsid w:val="00B85D59"/>
    <w:rsid w:val="00B86B25"/>
    <w:rsid w:val="00B86F02"/>
    <w:rsid w:val="00B87693"/>
    <w:rsid w:val="00B87DB4"/>
    <w:rsid w:val="00B904E4"/>
    <w:rsid w:val="00B905FC"/>
    <w:rsid w:val="00B90FE8"/>
    <w:rsid w:val="00B917A8"/>
    <w:rsid w:val="00B9204F"/>
    <w:rsid w:val="00B929CE"/>
    <w:rsid w:val="00B92FCF"/>
    <w:rsid w:val="00B9444D"/>
    <w:rsid w:val="00B945FE"/>
    <w:rsid w:val="00B95A48"/>
    <w:rsid w:val="00B970A4"/>
    <w:rsid w:val="00B97855"/>
    <w:rsid w:val="00B97ECD"/>
    <w:rsid w:val="00BA061F"/>
    <w:rsid w:val="00BA079A"/>
    <w:rsid w:val="00BA277F"/>
    <w:rsid w:val="00BA2D7D"/>
    <w:rsid w:val="00BA3C8B"/>
    <w:rsid w:val="00BA4155"/>
    <w:rsid w:val="00BA4378"/>
    <w:rsid w:val="00BA5587"/>
    <w:rsid w:val="00BA6434"/>
    <w:rsid w:val="00BA66EA"/>
    <w:rsid w:val="00BA7346"/>
    <w:rsid w:val="00BA7BCA"/>
    <w:rsid w:val="00BA7D14"/>
    <w:rsid w:val="00BA7FD6"/>
    <w:rsid w:val="00BB030E"/>
    <w:rsid w:val="00BB0428"/>
    <w:rsid w:val="00BB05E7"/>
    <w:rsid w:val="00BB0621"/>
    <w:rsid w:val="00BB0DE4"/>
    <w:rsid w:val="00BB1E00"/>
    <w:rsid w:val="00BB1E03"/>
    <w:rsid w:val="00BB2FE2"/>
    <w:rsid w:val="00BB30CF"/>
    <w:rsid w:val="00BB4421"/>
    <w:rsid w:val="00BB4887"/>
    <w:rsid w:val="00BB55ED"/>
    <w:rsid w:val="00BB5721"/>
    <w:rsid w:val="00BC11E2"/>
    <w:rsid w:val="00BC1DCC"/>
    <w:rsid w:val="00BC26C0"/>
    <w:rsid w:val="00BC2FDB"/>
    <w:rsid w:val="00BC3B23"/>
    <w:rsid w:val="00BC42AF"/>
    <w:rsid w:val="00BC4471"/>
    <w:rsid w:val="00BC4A30"/>
    <w:rsid w:val="00BC4A90"/>
    <w:rsid w:val="00BC5334"/>
    <w:rsid w:val="00BC6026"/>
    <w:rsid w:val="00BC6061"/>
    <w:rsid w:val="00BC6A12"/>
    <w:rsid w:val="00BC7A84"/>
    <w:rsid w:val="00BC7CF4"/>
    <w:rsid w:val="00BC7F3D"/>
    <w:rsid w:val="00BD0F58"/>
    <w:rsid w:val="00BD13D8"/>
    <w:rsid w:val="00BD1CE5"/>
    <w:rsid w:val="00BD2860"/>
    <w:rsid w:val="00BD327A"/>
    <w:rsid w:val="00BD349B"/>
    <w:rsid w:val="00BD398B"/>
    <w:rsid w:val="00BD3A56"/>
    <w:rsid w:val="00BD5A3D"/>
    <w:rsid w:val="00BD61A8"/>
    <w:rsid w:val="00BD6459"/>
    <w:rsid w:val="00BD6714"/>
    <w:rsid w:val="00BD6DF0"/>
    <w:rsid w:val="00BD745F"/>
    <w:rsid w:val="00BE1064"/>
    <w:rsid w:val="00BE14F4"/>
    <w:rsid w:val="00BE1820"/>
    <w:rsid w:val="00BE1D76"/>
    <w:rsid w:val="00BE1D92"/>
    <w:rsid w:val="00BE2C6C"/>
    <w:rsid w:val="00BE3CD6"/>
    <w:rsid w:val="00BE5BC1"/>
    <w:rsid w:val="00BE62F1"/>
    <w:rsid w:val="00BE63A7"/>
    <w:rsid w:val="00BE6828"/>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2D5"/>
    <w:rsid w:val="00C013C5"/>
    <w:rsid w:val="00C01588"/>
    <w:rsid w:val="00C02AFC"/>
    <w:rsid w:val="00C043FD"/>
    <w:rsid w:val="00C0478B"/>
    <w:rsid w:val="00C047D6"/>
    <w:rsid w:val="00C0489F"/>
    <w:rsid w:val="00C05234"/>
    <w:rsid w:val="00C052D3"/>
    <w:rsid w:val="00C055CF"/>
    <w:rsid w:val="00C06502"/>
    <w:rsid w:val="00C065DD"/>
    <w:rsid w:val="00C06A90"/>
    <w:rsid w:val="00C06B2A"/>
    <w:rsid w:val="00C07078"/>
    <w:rsid w:val="00C0767A"/>
    <w:rsid w:val="00C1042D"/>
    <w:rsid w:val="00C1162A"/>
    <w:rsid w:val="00C11A89"/>
    <w:rsid w:val="00C121C1"/>
    <w:rsid w:val="00C1223E"/>
    <w:rsid w:val="00C131FF"/>
    <w:rsid w:val="00C135C4"/>
    <w:rsid w:val="00C13D55"/>
    <w:rsid w:val="00C15836"/>
    <w:rsid w:val="00C15EF3"/>
    <w:rsid w:val="00C165F6"/>
    <w:rsid w:val="00C171A0"/>
    <w:rsid w:val="00C1789C"/>
    <w:rsid w:val="00C17E85"/>
    <w:rsid w:val="00C20A03"/>
    <w:rsid w:val="00C20DED"/>
    <w:rsid w:val="00C2199F"/>
    <w:rsid w:val="00C21AFE"/>
    <w:rsid w:val="00C2243A"/>
    <w:rsid w:val="00C22E37"/>
    <w:rsid w:val="00C2370D"/>
    <w:rsid w:val="00C24249"/>
    <w:rsid w:val="00C2518F"/>
    <w:rsid w:val="00C253DA"/>
    <w:rsid w:val="00C2627F"/>
    <w:rsid w:val="00C26FDC"/>
    <w:rsid w:val="00C27B79"/>
    <w:rsid w:val="00C3079D"/>
    <w:rsid w:val="00C310A9"/>
    <w:rsid w:val="00C31837"/>
    <w:rsid w:val="00C31A2D"/>
    <w:rsid w:val="00C320FB"/>
    <w:rsid w:val="00C32173"/>
    <w:rsid w:val="00C322EE"/>
    <w:rsid w:val="00C328BF"/>
    <w:rsid w:val="00C3378A"/>
    <w:rsid w:val="00C34A03"/>
    <w:rsid w:val="00C34F6E"/>
    <w:rsid w:val="00C34FEB"/>
    <w:rsid w:val="00C357FE"/>
    <w:rsid w:val="00C364E8"/>
    <w:rsid w:val="00C378AD"/>
    <w:rsid w:val="00C404FA"/>
    <w:rsid w:val="00C40861"/>
    <w:rsid w:val="00C4131C"/>
    <w:rsid w:val="00C421C7"/>
    <w:rsid w:val="00C42572"/>
    <w:rsid w:val="00C42630"/>
    <w:rsid w:val="00C426F8"/>
    <w:rsid w:val="00C4350F"/>
    <w:rsid w:val="00C43B95"/>
    <w:rsid w:val="00C43D50"/>
    <w:rsid w:val="00C43F65"/>
    <w:rsid w:val="00C469E4"/>
    <w:rsid w:val="00C46BE6"/>
    <w:rsid w:val="00C47D80"/>
    <w:rsid w:val="00C47EC1"/>
    <w:rsid w:val="00C50EBA"/>
    <w:rsid w:val="00C5116C"/>
    <w:rsid w:val="00C5301F"/>
    <w:rsid w:val="00C5349E"/>
    <w:rsid w:val="00C537E0"/>
    <w:rsid w:val="00C538F8"/>
    <w:rsid w:val="00C53E0C"/>
    <w:rsid w:val="00C53FC9"/>
    <w:rsid w:val="00C55058"/>
    <w:rsid w:val="00C55175"/>
    <w:rsid w:val="00C552A6"/>
    <w:rsid w:val="00C559BF"/>
    <w:rsid w:val="00C55BC4"/>
    <w:rsid w:val="00C5730F"/>
    <w:rsid w:val="00C60154"/>
    <w:rsid w:val="00C60A1A"/>
    <w:rsid w:val="00C613D2"/>
    <w:rsid w:val="00C617BA"/>
    <w:rsid w:val="00C62A9D"/>
    <w:rsid w:val="00C633F7"/>
    <w:rsid w:val="00C63707"/>
    <w:rsid w:val="00C63825"/>
    <w:rsid w:val="00C64525"/>
    <w:rsid w:val="00C64E9E"/>
    <w:rsid w:val="00C658FB"/>
    <w:rsid w:val="00C6643E"/>
    <w:rsid w:val="00C66E4B"/>
    <w:rsid w:val="00C67CF0"/>
    <w:rsid w:val="00C700F2"/>
    <w:rsid w:val="00C710F6"/>
    <w:rsid w:val="00C712D9"/>
    <w:rsid w:val="00C7156E"/>
    <w:rsid w:val="00C71599"/>
    <w:rsid w:val="00C71DA3"/>
    <w:rsid w:val="00C72940"/>
    <w:rsid w:val="00C737C9"/>
    <w:rsid w:val="00C744B1"/>
    <w:rsid w:val="00C74E7A"/>
    <w:rsid w:val="00C7568D"/>
    <w:rsid w:val="00C75698"/>
    <w:rsid w:val="00C75E2D"/>
    <w:rsid w:val="00C76659"/>
    <w:rsid w:val="00C76E2C"/>
    <w:rsid w:val="00C80780"/>
    <w:rsid w:val="00C80796"/>
    <w:rsid w:val="00C80907"/>
    <w:rsid w:val="00C81AF4"/>
    <w:rsid w:val="00C8201C"/>
    <w:rsid w:val="00C8246F"/>
    <w:rsid w:val="00C82E23"/>
    <w:rsid w:val="00C837F9"/>
    <w:rsid w:val="00C84457"/>
    <w:rsid w:val="00C85E21"/>
    <w:rsid w:val="00C86421"/>
    <w:rsid w:val="00C86F99"/>
    <w:rsid w:val="00C87547"/>
    <w:rsid w:val="00C9049F"/>
    <w:rsid w:val="00C905E1"/>
    <w:rsid w:val="00C90800"/>
    <w:rsid w:val="00C91E8C"/>
    <w:rsid w:val="00C93360"/>
    <w:rsid w:val="00C934A7"/>
    <w:rsid w:val="00C94599"/>
    <w:rsid w:val="00C9600E"/>
    <w:rsid w:val="00C9767C"/>
    <w:rsid w:val="00C97F01"/>
    <w:rsid w:val="00CA052C"/>
    <w:rsid w:val="00CA098E"/>
    <w:rsid w:val="00CA0A19"/>
    <w:rsid w:val="00CA0F7C"/>
    <w:rsid w:val="00CA2649"/>
    <w:rsid w:val="00CA278C"/>
    <w:rsid w:val="00CA2991"/>
    <w:rsid w:val="00CA361D"/>
    <w:rsid w:val="00CA4A2B"/>
    <w:rsid w:val="00CA4A3D"/>
    <w:rsid w:val="00CA5D42"/>
    <w:rsid w:val="00CA79E2"/>
    <w:rsid w:val="00CB0504"/>
    <w:rsid w:val="00CB1515"/>
    <w:rsid w:val="00CB164B"/>
    <w:rsid w:val="00CB1F8E"/>
    <w:rsid w:val="00CB270E"/>
    <w:rsid w:val="00CB2FBE"/>
    <w:rsid w:val="00CB33F8"/>
    <w:rsid w:val="00CB462C"/>
    <w:rsid w:val="00CB484E"/>
    <w:rsid w:val="00CB5900"/>
    <w:rsid w:val="00CB6031"/>
    <w:rsid w:val="00CB6519"/>
    <w:rsid w:val="00CB67D0"/>
    <w:rsid w:val="00CB6878"/>
    <w:rsid w:val="00CB70BD"/>
    <w:rsid w:val="00CC03BA"/>
    <w:rsid w:val="00CC08A0"/>
    <w:rsid w:val="00CC1386"/>
    <w:rsid w:val="00CC172C"/>
    <w:rsid w:val="00CC199B"/>
    <w:rsid w:val="00CC3AF2"/>
    <w:rsid w:val="00CC404B"/>
    <w:rsid w:val="00CC495D"/>
    <w:rsid w:val="00CC4A4E"/>
    <w:rsid w:val="00CC5721"/>
    <w:rsid w:val="00CC5C0B"/>
    <w:rsid w:val="00CC6292"/>
    <w:rsid w:val="00CC72CB"/>
    <w:rsid w:val="00CC7355"/>
    <w:rsid w:val="00CC79EA"/>
    <w:rsid w:val="00CD06C6"/>
    <w:rsid w:val="00CD0947"/>
    <w:rsid w:val="00CD0B5F"/>
    <w:rsid w:val="00CD10BC"/>
    <w:rsid w:val="00CD115F"/>
    <w:rsid w:val="00CD153C"/>
    <w:rsid w:val="00CD1705"/>
    <w:rsid w:val="00CD1A26"/>
    <w:rsid w:val="00CD2219"/>
    <w:rsid w:val="00CD2DFE"/>
    <w:rsid w:val="00CD48D4"/>
    <w:rsid w:val="00CD4E71"/>
    <w:rsid w:val="00CD6A2E"/>
    <w:rsid w:val="00CD6F4C"/>
    <w:rsid w:val="00CE031A"/>
    <w:rsid w:val="00CE05F5"/>
    <w:rsid w:val="00CE0A30"/>
    <w:rsid w:val="00CE1DFF"/>
    <w:rsid w:val="00CE1F7F"/>
    <w:rsid w:val="00CE32F8"/>
    <w:rsid w:val="00CE3300"/>
    <w:rsid w:val="00CE390B"/>
    <w:rsid w:val="00CE4129"/>
    <w:rsid w:val="00CE4C9D"/>
    <w:rsid w:val="00CE4EA4"/>
    <w:rsid w:val="00CE50C4"/>
    <w:rsid w:val="00CE575F"/>
    <w:rsid w:val="00CE57DE"/>
    <w:rsid w:val="00CE647F"/>
    <w:rsid w:val="00CE66BB"/>
    <w:rsid w:val="00CE696A"/>
    <w:rsid w:val="00CE69DB"/>
    <w:rsid w:val="00CE6A2A"/>
    <w:rsid w:val="00CE6A53"/>
    <w:rsid w:val="00CE71EF"/>
    <w:rsid w:val="00CE73AD"/>
    <w:rsid w:val="00CE75F6"/>
    <w:rsid w:val="00CF038A"/>
    <w:rsid w:val="00CF065A"/>
    <w:rsid w:val="00CF127D"/>
    <w:rsid w:val="00CF181B"/>
    <w:rsid w:val="00CF23B9"/>
    <w:rsid w:val="00CF35E8"/>
    <w:rsid w:val="00CF3EC8"/>
    <w:rsid w:val="00CF4189"/>
    <w:rsid w:val="00CF4402"/>
    <w:rsid w:val="00CF4569"/>
    <w:rsid w:val="00CF4888"/>
    <w:rsid w:val="00CF4F70"/>
    <w:rsid w:val="00CF60EC"/>
    <w:rsid w:val="00CF7E56"/>
    <w:rsid w:val="00D00492"/>
    <w:rsid w:val="00D00AA3"/>
    <w:rsid w:val="00D01014"/>
    <w:rsid w:val="00D018A0"/>
    <w:rsid w:val="00D01D34"/>
    <w:rsid w:val="00D02699"/>
    <w:rsid w:val="00D02D36"/>
    <w:rsid w:val="00D03D7B"/>
    <w:rsid w:val="00D04071"/>
    <w:rsid w:val="00D04157"/>
    <w:rsid w:val="00D0433D"/>
    <w:rsid w:val="00D046D6"/>
    <w:rsid w:val="00D0490A"/>
    <w:rsid w:val="00D05068"/>
    <w:rsid w:val="00D05B1B"/>
    <w:rsid w:val="00D068E3"/>
    <w:rsid w:val="00D0764C"/>
    <w:rsid w:val="00D07F60"/>
    <w:rsid w:val="00D1088D"/>
    <w:rsid w:val="00D11238"/>
    <w:rsid w:val="00D11D67"/>
    <w:rsid w:val="00D12A0D"/>
    <w:rsid w:val="00D12D17"/>
    <w:rsid w:val="00D12D91"/>
    <w:rsid w:val="00D135A5"/>
    <w:rsid w:val="00D1388C"/>
    <w:rsid w:val="00D13D54"/>
    <w:rsid w:val="00D13E42"/>
    <w:rsid w:val="00D145D4"/>
    <w:rsid w:val="00D15EEA"/>
    <w:rsid w:val="00D17B62"/>
    <w:rsid w:val="00D20BA9"/>
    <w:rsid w:val="00D224E7"/>
    <w:rsid w:val="00D22FB3"/>
    <w:rsid w:val="00D236C2"/>
    <w:rsid w:val="00D23814"/>
    <w:rsid w:val="00D251AB"/>
    <w:rsid w:val="00D25292"/>
    <w:rsid w:val="00D25507"/>
    <w:rsid w:val="00D256E5"/>
    <w:rsid w:val="00D25A2C"/>
    <w:rsid w:val="00D26E1C"/>
    <w:rsid w:val="00D274D2"/>
    <w:rsid w:val="00D2786B"/>
    <w:rsid w:val="00D3122B"/>
    <w:rsid w:val="00D31B75"/>
    <w:rsid w:val="00D3201B"/>
    <w:rsid w:val="00D33326"/>
    <w:rsid w:val="00D347E9"/>
    <w:rsid w:val="00D34D53"/>
    <w:rsid w:val="00D34F0D"/>
    <w:rsid w:val="00D3532B"/>
    <w:rsid w:val="00D35A2B"/>
    <w:rsid w:val="00D36388"/>
    <w:rsid w:val="00D364BC"/>
    <w:rsid w:val="00D37712"/>
    <w:rsid w:val="00D37D94"/>
    <w:rsid w:val="00D401FA"/>
    <w:rsid w:val="00D407CC"/>
    <w:rsid w:val="00D40919"/>
    <w:rsid w:val="00D41146"/>
    <w:rsid w:val="00D417DB"/>
    <w:rsid w:val="00D42794"/>
    <w:rsid w:val="00D42ADB"/>
    <w:rsid w:val="00D42CDC"/>
    <w:rsid w:val="00D43F32"/>
    <w:rsid w:val="00D44575"/>
    <w:rsid w:val="00D44D89"/>
    <w:rsid w:val="00D44DCE"/>
    <w:rsid w:val="00D453A1"/>
    <w:rsid w:val="00D46546"/>
    <w:rsid w:val="00D46A00"/>
    <w:rsid w:val="00D46D25"/>
    <w:rsid w:val="00D516D3"/>
    <w:rsid w:val="00D517B4"/>
    <w:rsid w:val="00D518D2"/>
    <w:rsid w:val="00D52AB6"/>
    <w:rsid w:val="00D52D4B"/>
    <w:rsid w:val="00D5360A"/>
    <w:rsid w:val="00D53D03"/>
    <w:rsid w:val="00D540AB"/>
    <w:rsid w:val="00D54A42"/>
    <w:rsid w:val="00D56598"/>
    <w:rsid w:val="00D56C08"/>
    <w:rsid w:val="00D5764E"/>
    <w:rsid w:val="00D577D1"/>
    <w:rsid w:val="00D57A67"/>
    <w:rsid w:val="00D60CD3"/>
    <w:rsid w:val="00D61112"/>
    <w:rsid w:val="00D62347"/>
    <w:rsid w:val="00D64D10"/>
    <w:rsid w:val="00D64FEC"/>
    <w:rsid w:val="00D65856"/>
    <w:rsid w:val="00D66903"/>
    <w:rsid w:val="00D67422"/>
    <w:rsid w:val="00D70A0F"/>
    <w:rsid w:val="00D719E8"/>
    <w:rsid w:val="00D71AFB"/>
    <w:rsid w:val="00D723DA"/>
    <w:rsid w:val="00D7255C"/>
    <w:rsid w:val="00D72856"/>
    <w:rsid w:val="00D72E86"/>
    <w:rsid w:val="00D74166"/>
    <w:rsid w:val="00D74F8F"/>
    <w:rsid w:val="00D75373"/>
    <w:rsid w:val="00D764A3"/>
    <w:rsid w:val="00D76BB7"/>
    <w:rsid w:val="00D80F3A"/>
    <w:rsid w:val="00D82839"/>
    <w:rsid w:val="00D82BCE"/>
    <w:rsid w:val="00D82DA2"/>
    <w:rsid w:val="00D82E48"/>
    <w:rsid w:val="00D83DCA"/>
    <w:rsid w:val="00D844AB"/>
    <w:rsid w:val="00D851BB"/>
    <w:rsid w:val="00D8521D"/>
    <w:rsid w:val="00D861C2"/>
    <w:rsid w:val="00D86267"/>
    <w:rsid w:val="00D86582"/>
    <w:rsid w:val="00D86B73"/>
    <w:rsid w:val="00D87574"/>
    <w:rsid w:val="00D87C5D"/>
    <w:rsid w:val="00D90DA0"/>
    <w:rsid w:val="00D935C4"/>
    <w:rsid w:val="00D9579F"/>
    <w:rsid w:val="00D95979"/>
    <w:rsid w:val="00D95C97"/>
    <w:rsid w:val="00D96CC2"/>
    <w:rsid w:val="00D97057"/>
    <w:rsid w:val="00D97559"/>
    <w:rsid w:val="00DA0229"/>
    <w:rsid w:val="00DA0897"/>
    <w:rsid w:val="00DA0A99"/>
    <w:rsid w:val="00DA15D2"/>
    <w:rsid w:val="00DA27B9"/>
    <w:rsid w:val="00DA29D1"/>
    <w:rsid w:val="00DA30D8"/>
    <w:rsid w:val="00DA3C65"/>
    <w:rsid w:val="00DA3CE0"/>
    <w:rsid w:val="00DA4E66"/>
    <w:rsid w:val="00DA4FA3"/>
    <w:rsid w:val="00DA68E6"/>
    <w:rsid w:val="00DA6975"/>
    <w:rsid w:val="00DA6AC1"/>
    <w:rsid w:val="00DA7461"/>
    <w:rsid w:val="00DA77FA"/>
    <w:rsid w:val="00DA7D1C"/>
    <w:rsid w:val="00DB0022"/>
    <w:rsid w:val="00DB127E"/>
    <w:rsid w:val="00DB139B"/>
    <w:rsid w:val="00DB1C28"/>
    <w:rsid w:val="00DB2AAD"/>
    <w:rsid w:val="00DB3094"/>
    <w:rsid w:val="00DB3431"/>
    <w:rsid w:val="00DB3972"/>
    <w:rsid w:val="00DB3F40"/>
    <w:rsid w:val="00DB61C7"/>
    <w:rsid w:val="00DB6EF7"/>
    <w:rsid w:val="00DB763F"/>
    <w:rsid w:val="00DB7B4A"/>
    <w:rsid w:val="00DC0A31"/>
    <w:rsid w:val="00DC10CC"/>
    <w:rsid w:val="00DC215E"/>
    <w:rsid w:val="00DC2824"/>
    <w:rsid w:val="00DC2B34"/>
    <w:rsid w:val="00DC2B56"/>
    <w:rsid w:val="00DC33C3"/>
    <w:rsid w:val="00DC3963"/>
    <w:rsid w:val="00DC3CAC"/>
    <w:rsid w:val="00DC44A5"/>
    <w:rsid w:val="00DC5976"/>
    <w:rsid w:val="00DC61C5"/>
    <w:rsid w:val="00DC667E"/>
    <w:rsid w:val="00DC69A0"/>
    <w:rsid w:val="00DC7DAF"/>
    <w:rsid w:val="00DD0713"/>
    <w:rsid w:val="00DD1090"/>
    <w:rsid w:val="00DD1520"/>
    <w:rsid w:val="00DD1903"/>
    <w:rsid w:val="00DD1A3B"/>
    <w:rsid w:val="00DD2065"/>
    <w:rsid w:val="00DD2BEC"/>
    <w:rsid w:val="00DD3051"/>
    <w:rsid w:val="00DD3A56"/>
    <w:rsid w:val="00DD456D"/>
    <w:rsid w:val="00DD46CA"/>
    <w:rsid w:val="00DD5605"/>
    <w:rsid w:val="00DD5716"/>
    <w:rsid w:val="00DD5FBC"/>
    <w:rsid w:val="00DD64AD"/>
    <w:rsid w:val="00DD6BDA"/>
    <w:rsid w:val="00DD707A"/>
    <w:rsid w:val="00DD776F"/>
    <w:rsid w:val="00DD7827"/>
    <w:rsid w:val="00DD7F79"/>
    <w:rsid w:val="00DE0573"/>
    <w:rsid w:val="00DE27E3"/>
    <w:rsid w:val="00DE2840"/>
    <w:rsid w:val="00DE2A9B"/>
    <w:rsid w:val="00DE348F"/>
    <w:rsid w:val="00DE3907"/>
    <w:rsid w:val="00DE3A0D"/>
    <w:rsid w:val="00DE42C0"/>
    <w:rsid w:val="00DE4ACE"/>
    <w:rsid w:val="00DE521C"/>
    <w:rsid w:val="00DE5D48"/>
    <w:rsid w:val="00DE643A"/>
    <w:rsid w:val="00DE6590"/>
    <w:rsid w:val="00DE65D9"/>
    <w:rsid w:val="00DE7AC1"/>
    <w:rsid w:val="00DF033F"/>
    <w:rsid w:val="00DF0ED4"/>
    <w:rsid w:val="00DF11F1"/>
    <w:rsid w:val="00DF1DBD"/>
    <w:rsid w:val="00DF2899"/>
    <w:rsid w:val="00DF3E05"/>
    <w:rsid w:val="00DF422F"/>
    <w:rsid w:val="00DF4557"/>
    <w:rsid w:val="00DF5A06"/>
    <w:rsid w:val="00DF60D3"/>
    <w:rsid w:val="00DF7072"/>
    <w:rsid w:val="00DF7320"/>
    <w:rsid w:val="00DF7897"/>
    <w:rsid w:val="00DF7F27"/>
    <w:rsid w:val="00E00686"/>
    <w:rsid w:val="00E02B92"/>
    <w:rsid w:val="00E03753"/>
    <w:rsid w:val="00E05A52"/>
    <w:rsid w:val="00E06F82"/>
    <w:rsid w:val="00E07ECB"/>
    <w:rsid w:val="00E10446"/>
    <w:rsid w:val="00E10AAD"/>
    <w:rsid w:val="00E114F8"/>
    <w:rsid w:val="00E11D41"/>
    <w:rsid w:val="00E11FEE"/>
    <w:rsid w:val="00E12DF9"/>
    <w:rsid w:val="00E13002"/>
    <w:rsid w:val="00E1364B"/>
    <w:rsid w:val="00E13963"/>
    <w:rsid w:val="00E13966"/>
    <w:rsid w:val="00E14140"/>
    <w:rsid w:val="00E144A9"/>
    <w:rsid w:val="00E14D66"/>
    <w:rsid w:val="00E16313"/>
    <w:rsid w:val="00E164B2"/>
    <w:rsid w:val="00E1744E"/>
    <w:rsid w:val="00E205A9"/>
    <w:rsid w:val="00E2071B"/>
    <w:rsid w:val="00E20754"/>
    <w:rsid w:val="00E21725"/>
    <w:rsid w:val="00E21B11"/>
    <w:rsid w:val="00E22196"/>
    <w:rsid w:val="00E229AE"/>
    <w:rsid w:val="00E23FA6"/>
    <w:rsid w:val="00E2459A"/>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2961"/>
    <w:rsid w:val="00E32AD3"/>
    <w:rsid w:val="00E331B7"/>
    <w:rsid w:val="00E3365B"/>
    <w:rsid w:val="00E336E4"/>
    <w:rsid w:val="00E3400D"/>
    <w:rsid w:val="00E34436"/>
    <w:rsid w:val="00E34996"/>
    <w:rsid w:val="00E34CEB"/>
    <w:rsid w:val="00E3538C"/>
    <w:rsid w:val="00E35810"/>
    <w:rsid w:val="00E35F86"/>
    <w:rsid w:val="00E3648E"/>
    <w:rsid w:val="00E37263"/>
    <w:rsid w:val="00E374F7"/>
    <w:rsid w:val="00E37608"/>
    <w:rsid w:val="00E37751"/>
    <w:rsid w:val="00E37BDB"/>
    <w:rsid w:val="00E4079E"/>
    <w:rsid w:val="00E40D7F"/>
    <w:rsid w:val="00E41A03"/>
    <w:rsid w:val="00E41ABD"/>
    <w:rsid w:val="00E41E65"/>
    <w:rsid w:val="00E421CC"/>
    <w:rsid w:val="00E425E6"/>
    <w:rsid w:val="00E429EF"/>
    <w:rsid w:val="00E430DF"/>
    <w:rsid w:val="00E434F9"/>
    <w:rsid w:val="00E43CA1"/>
    <w:rsid w:val="00E44793"/>
    <w:rsid w:val="00E44950"/>
    <w:rsid w:val="00E44AD3"/>
    <w:rsid w:val="00E45377"/>
    <w:rsid w:val="00E45DC9"/>
    <w:rsid w:val="00E46EC3"/>
    <w:rsid w:val="00E47C67"/>
    <w:rsid w:val="00E514C7"/>
    <w:rsid w:val="00E5156F"/>
    <w:rsid w:val="00E51BC2"/>
    <w:rsid w:val="00E51E96"/>
    <w:rsid w:val="00E52404"/>
    <w:rsid w:val="00E52F36"/>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B9"/>
    <w:rsid w:val="00E62CD8"/>
    <w:rsid w:val="00E64E53"/>
    <w:rsid w:val="00E65A41"/>
    <w:rsid w:val="00E6715F"/>
    <w:rsid w:val="00E673FD"/>
    <w:rsid w:val="00E70061"/>
    <w:rsid w:val="00E7096F"/>
    <w:rsid w:val="00E71682"/>
    <w:rsid w:val="00E720FC"/>
    <w:rsid w:val="00E72401"/>
    <w:rsid w:val="00E7271A"/>
    <w:rsid w:val="00E7376C"/>
    <w:rsid w:val="00E748B6"/>
    <w:rsid w:val="00E74950"/>
    <w:rsid w:val="00E751F9"/>
    <w:rsid w:val="00E753B5"/>
    <w:rsid w:val="00E7566B"/>
    <w:rsid w:val="00E75F11"/>
    <w:rsid w:val="00E7700B"/>
    <w:rsid w:val="00E77C6E"/>
    <w:rsid w:val="00E809EB"/>
    <w:rsid w:val="00E8501C"/>
    <w:rsid w:val="00E851A5"/>
    <w:rsid w:val="00E851AA"/>
    <w:rsid w:val="00E8576B"/>
    <w:rsid w:val="00E85A30"/>
    <w:rsid w:val="00E85FBE"/>
    <w:rsid w:val="00E86CBC"/>
    <w:rsid w:val="00E870AB"/>
    <w:rsid w:val="00E9082B"/>
    <w:rsid w:val="00E911CE"/>
    <w:rsid w:val="00E91664"/>
    <w:rsid w:val="00E91C0B"/>
    <w:rsid w:val="00E924C5"/>
    <w:rsid w:val="00E92AD8"/>
    <w:rsid w:val="00E92D29"/>
    <w:rsid w:val="00E92D44"/>
    <w:rsid w:val="00E9394D"/>
    <w:rsid w:val="00E94337"/>
    <w:rsid w:val="00E94965"/>
    <w:rsid w:val="00E94A5A"/>
    <w:rsid w:val="00E96BBA"/>
    <w:rsid w:val="00E973A0"/>
    <w:rsid w:val="00E975EF"/>
    <w:rsid w:val="00EA11FC"/>
    <w:rsid w:val="00EA1C42"/>
    <w:rsid w:val="00EA2324"/>
    <w:rsid w:val="00EA3529"/>
    <w:rsid w:val="00EA42DD"/>
    <w:rsid w:val="00EA4967"/>
    <w:rsid w:val="00EA49B8"/>
    <w:rsid w:val="00EA4A5A"/>
    <w:rsid w:val="00EA4F11"/>
    <w:rsid w:val="00EA5A37"/>
    <w:rsid w:val="00EA5F42"/>
    <w:rsid w:val="00EA61F1"/>
    <w:rsid w:val="00EA62A2"/>
    <w:rsid w:val="00EA655B"/>
    <w:rsid w:val="00EA68D6"/>
    <w:rsid w:val="00EA6C92"/>
    <w:rsid w:val="00EA7669"/>
    <w:rsid w:val="00EA7C44"/>
    <w:rsid w:val="00EB016A"/>
    <w:rsid w:val="00EB0C1A"/>
    <w:rsid w:val="00EB15FB"/>
    <w:rsid w:val="00EB1E31"/>
    <w:rsid w:val="00EB1EA2"/>
    <w:rsid w:val="00EB21C2"/>
    <w:rsid w:val="00EB26ED"/>
    <w:rsid w:val="00EB279C"/>
    <w:rsid w:val="00EB320E"/>
    <w:rsid w:val="00EB4FFB"/>
    <w:rsid w:val="00EB598D"/>
    <w:rsid w:val="00EB7271"/>
    <w:rsid w:val="00EC0FD6"/>
    <w:rsid w:val="00EC190C"/>
    <w:rsid w:val="00EC27BB"/>
    <w:rsid w:val="00EC31D1"/>
    <w:rsid w:val="00EC3C4B"/>
    <w:rsid w:val="00EC3CF5"/>
    <w:rsid w:val="00EC3E9E"/>
    <w:rsid w:val="00EC42C8"/>
    <w:rsid w:val="00EC5A7B"/>
    <w:rsid w:val="00EC5B60"/>
    <w:rsid w:val="00EC5EF1"/>
    <w:rsid w:val="00EC6072"/>
    <w:rsid w:val="00EC75EC"/>
    <w:rsid w:val="00EC798B"/>
    <w:rsid w:val="00ED046A"/>
    <w:rsid w:val="00ED11A2"/>
    <w:rsid w:val="00ED145A"/>
    <w:rsid w:val="00ED183B"/>
    <w:rsid w:val="00ED2F0F"/>
    <w:rsid w:val="00ED3203"/>
    <w:rsid w:val="00ED337A"/>
    <w:rsid w:val="00ED367A"/>
    <w:rsid w:val="00ED40EE"/>
    <w:rsid w:val="00ED4A83"/>
    <w:rsid w:val="00ED50C9"/>
    <w:rsid w:val="00ED603D"/>
    <w:rsid w:val="00ED6328"/>
    <w:rsid w:val="00ED6345"/>
    <w:rsid w:val="00ED672A"/>
    <w:rsid w:val="00ED6BF1"/>
    <w:rsid w:val="00ED6C96"/>
    <w:rsid w:val="00ED6FE7"/>
    <w:rsid w:val="00ED7570"/>
    <w:rsid w:val="00ED7918"/>
    <w:rsid w:val="00EE01BA"/>
    <w:rsid w:val="00EE0A61"/>
    <w:rsid w:val="00EE1534"/>
    <w:rsid w:val="00EE199A"/>
    <w:rsid w:val="00EE3AD2"/>
    <w:rsid w:val="00EE558E"/>
    <w:rsid w:val="00EE645F"/>
    <w:rsid w:val="00EE6918"/>
    <w:rsid w:val="00EF0047"/>
    <w:rsid w:val="00EF072D"/>
    <w:rsid w:val="00EF135F"/>
    <w:rsid w:val="00EF1B00"/>
    <w:rsid w:val="00EF375B"/>
    <w:rsid w:val="00EF38F2"/>
    <w:rsid w:val="00EF41B6"/>
    <w:rsid w:val="00EF4A7B"/>
    <w:rsid w:val="00EF5ED3"/>
    <w:rsid w:val="00EF64A3"/>
    <w:rsid w:val="00EF71EE"/>
    <w:rsid w:val="00EF74B5"/>
    <w:rsid w:val="00EF7825"/>
    <w:rsid w:val="00F0044E"/>
    <w:rsid w:val="00F009A6"/>
    <w:rsid w:val="00F010E9"/>
    <w:rsid w:val="00F01974"/>
    <w:rsid w:val="00F0290D"/>
    <w:rsid w:val="00F02F72"/>
    <w:rsid w:val="00F0307B"/>
    <w:rsid w:val="00F03948"/>
    <w:rsid w:val="00F04771"/>
    <w:rsid w:val="00F04F98"/>
    <w:rsid w:val="00F05675"/>
    <w:rsid w:val="00F056BB"/>
    <w:rsid w:val="00F05F14"/>
    <w:rsid w:val="00F06DFD"/>
    <w:rsid w:val="00F0752F"/>
    <w:rsid w:val="00F075A1"/>
    <w:rsid w:val="00F0765A"/>
    <w:rsid w:val="00F10236"/>
    <w:rsid w:val="00F104E3"/>
    <w:rsid w:val="00F10A6C"/>
    <w:rsid w:val="00F11344"/>
    <w:rsid w:val="00F11621"/>
    <w:rsid w:val="00F11633"/>
    <w:rsid w:val="00F125FA"/>
    <w:rsid w:val="00F1277D"/>
    <w:rsid w:val="00F135D5"/>
    <w:rsid w:val="00F137C8"/>
    <w:rsid w:val="00F13836"/>
    <w:rsid w:val="00F13863"/>
    <w:rsid w:val="00F13B9C"/>
    <w:rsid w:val="00F14190"/>
    <w:rsid w:val="00F14494"/>
    <w:rsid w:val="00F158B8"/>
    <w:rsid w:val="00F15C0E"/>
    <w:rsid w:val="00F16015"/>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3F7E"/>
    <w:rsid w:val="00F242DC"/>
    <w:rsid w:val="00F24BD1"/>
    <w:rsid w:val="00F260C9"/>
    <w:rsid w:val="00F2635F"/>
    <w:rsid w:val="00F27191"/>
    <w:rsid w:val="00F27404"/>
    <w:rsid w:val="00F278C4"/>
    <w:rsid w:val="00F27DA3"/>
    <w:rsid w:val="00F3085A"/>
    <w:rsid w:val="00F30905"/>
    <w:rsid w:val="00F314A2"/>
    <w:rsid w:val="00F32894"/>
    <w:rsid w:val="00F32A44"/>
    <w:rsid w:val="00F32F58"/>
    <w:rsid w:val="00F333B8"/>
    <w:rsid w:val="00F33A07"/>
    <w:rsid w:val="00F33B22"/>
    <w:rsid w:val="00F33B6F"/>
    <w:rsid w:val="00F340D3"/>
    <w:rsid w:val="00F34415"/>
    <w:rsid w:val="00F3478A"/>
    <w:rsid w:val="00F353BC"/>
    <w:rsid w:val="00F35686"/>
    <w:rsid w:val="00F3614C"/>
    <w:rsid w:val="00F3738D"/>
    <w:rsid w:val="00F37786"/>
    <w:rsid w:val="00F377DB"/>
    <w:rsid w:val="00F37E99"/>
    <w:rsid w:val="00F41035"/>
    <w:rsid w:val="00F4242E"/>
    <w:rsid w:val="00F424A3"/>
    <w:rsid w:val="00F42D5A"/>
    <w:rsid w:val="00F42F6A"/>
    <w:rsid w:val="00F431B8"/>
    <w:rsid w:val="00F43CF7"/>
    <w:rsid w:val="00F443AD"/>
    <w:rsid w:val="00F44F27"/>
    <w:rsid w:val="00F45B92"/>
    <w:rsid w:val="00F45F1D"/>
    <w:rsid w:val="00F46401"/>
    <w:rsid w:val="00F471FD"/>
    <w:rsid w:val="00F4768E"/>
    <w:rsid w:val="00F503E0"/>
    <w:rsid w:val="00F5043D"/>
    <w:rsid w:val="00F50BCC"/>
    <w:rsid w:val="00F50C08"/>
    <w:rsid w:val="00F5159B"/>
    <w:rsid w:val="00F51E48"/>
    <w:rsid w:val="00F52AC0"/>
    <w:rsid w:val="00F52E2D"/>
    <w:rsid w:val="00F536BB"/>
    <w:rsid w:val="00F54084"/>
    <w:rsid w:val="00F5476D"/>
    <w:rsid w:val="00F549A1"/>
    <w:rsid w:val="00F5603F"/>
    <w:rsid w:val="00F57DA4"/>
    <w:rsid w:val="00F603F8"/>
    <w:rsid w:val="00F6062F"/>
    <w:rsid w:val="00F606A7"/>
    <w:rsid w:val="00F606C2"/>
    <w:rsid w:val="00F60B09"/>
    <w:rsid w:val="00F61877"/>
    <w:rsid w:val="00F61ACE"/>
    <w:rsid w:val="00F61D84"/>
    <w:rsid w:val="00F64888"/>
    <w:rsid w:val="00F65260"/>
    <w:rsid w:val="00F6612D"/>
    <w:rsid w:val="00F662BB"/>
    <w:rsid w:val="00F66A9E"/>
    <w:rsid w:val="00F67239"/>
    <w:rsid w:val="00F70762"/>
    <w:rsid w:val="00F70856"/>
    <w:rsid w:val="00F721CA"/>
    <w:rsid w:val="00F72655"/>
    <w:rsid w:val="00F737D7"/>
    <w:rsid w:val="00F73B9F"/>
    <w:rsid w:val="00F740A0"/>
    <w:rsid w:val="00F74801"/>
    <w:rsid w:val="00F74AE7"/>
    <w:rsid w:val="00F75BB0"/>
    <w:rsid w:val="00F76B6A"/>
    <w:rsid w:val="00F76BEA"/>
    <w:rsid w:val="00F76C17"/>
    <w:rsid w:val="00F80F83"/>
    <w:rsid w:val="00F81011"/>
    <w:rsid w:val="00F81AEE"/>
    <w:rsid w:val="00F81B08"/>
    <w:rsid w:val="00F81BDE"/>
    <w:rsid w:val="00F8258B"/>
    <w:rsid w:val="00F82614"/>
    <w:rsid w:val="00F826C1"/>
    <w:rsid w:val="00F828EE"/>
    <w:rsid w:val="00F82D78"/>
    <w:rsid w:val="00F8373D"/>
    <w:rsid w:val="00F83970"/>
    <w:rsid w:val="00F84018"/>
    <w:rsid w:val="00F84B5A"/>
    <w:rsid w:val="00F84B93"/>
    <w:rsid w:val="00F84D11"/>
    <w:rsid w:val="00F855B5"/>
    <w:rsid w:val="00F858B5"/>
    <w:rsid w:val="00F85FF6"/>
    <w:rsid w:val="00F868C1"/>
    <w:rsid w:val="00F87A66"/>
    <w:rsid w:val="00F87CBF"/>
    <w:rsid w:val="00F9230A"/>
    <w:rsid w:val="00F92626"/>
    <w:rsid w:val="00F92B52"/>
    <w:rsid w:val="00F93BBC"/>
    <w:rsid w:val="00F9442A"/>
    <w:rsid w:val="00F94F5F"/>
    <w:rsid w:val="00F958C2"/>
    <w:rsid w:val="00F95F56"/>
    <w:rsid w:val="00F96137"/>
    <w:rsid w:val="00F9644D"/>
    <w:rsid w:val="00F97296"/>
    <w:rsid w:val="00F979AC"/>
    <w:rsid w:val="00FA0BA0"/>
    <w:rsid w:val="00FA19C1"/>
    <w:rsid w:val="00FA25EE"/>
    <w:rsid w:val="00FA34D2"/>
    <w:rsid w:val="00FA3B86"/>
    <w:rsid w:val="00FA4969"/>
    <w:rsid w:val="00FA53D7"/>
    <w:rsid w:val="00FA58E1"/>
    <w:rsid w:val="00FA60BD"/>
    <w:rsid w:val="00FA6796"/>
    <w:rsid w:val="00FA6DDC"/>
    <w:rsid w:val="00FA7557"/>
    <w:rsid w:val="00FA7558"/>
    <w:rsid w:val="00FA774E"/>
    <w:rsid w:val="00FB1905"/>
    <w:rsid w:val="00FB1E74"/>
    <w:rsid w:val="00FB2347"/>
    <w:rsid w:val="00FB2D85"/>
    <w:rsid w:val="00FB3587"/>
    <w:rsid w:val="00FB3B2E"/>
    <w:rsid w:val="00FB3D97"/>
    <w:rsid w:val="00FB440B"/>
    <w:rsid w:val="00FB4510"/>
    <w:rsid w:val="00FB4A92"/>
    <w:rsid w:val="00FB56AF"/>
    <w:rsid w:val="00FB585F"/>
    <w:rsid w:val="00FB5AA2"/>
    <w:rsid w:val="00FB63BC"/>
    <w:rsid w:val="00FB6514"/>
    <w:rsid w:val="00FC05C0"/>
    <w:rsid w:val="00FC085D"/>
    <w:rsid w:val="00FC1CE1"/>
    <w:rsid w:val="00FC29E0"/>
    <w:rsid w:val="00FC2B13"/>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4710"/>
    <w:rsid w:val="00FD5B50"/>
    <w:rsid w:val="00FD63FC"/>
    <w:rsid w:val="00FE0670"/>
    <w:rsid w:val="00FE2147"/>
    <w:rsid w:val="00FE219D"/>
    <w:rsid w:val="00FE246F"/>
    <w:rsid w:val="00FE2620"/>
    <w:rsid w:val="00FE3864"/>
    <w:rsid w:val="00FE3E75"/>
    <w:rsid w:val="00FE4B0E"/>
    <w:rsid w:val="00FE4D6E"/>
    <w:rsid w:val="00FE6349"/>
    <w:rsid w:val="00FE7282"/>
    <w:rsid w:val="00FE7304"/>
    <w:rsid w:val="00FE78EF"/>
    <w:rsid w:val="00FE79B7"/>
    <w:rsid w:val="00FF0282"/>
    <w:rsid w:val="00FF0310"/>
    <w:rsid w:val="00FF11DA"/>
    <w:rsid w:val="00FF23DE"/>
    <w:rsid w:val="00FF2792"/>
    <w:rsid w:val="00FF3258"/>
    <w:rsid w:val="00FF38CF"/>
    <w:rsid w:val="00FF59D0"/>
    <w:rsid w:val="00FF7454"/>
    <w:rsid w:val="016528CA"/>
    <w:rsid w:val="017054B6"/>
    <w:rsid w:val="01AC75F0"/>
    <w:rsid w:val="01BF37C7"/>
    <w:rsid w:val="01BF5575"/>
    <w:rsid w:val="01DB1C83"/>
    <w:rsid w:val="01FB5C4F"/>
    <w:rsid w:val="020957FD"/>
    <w:rsid w:val="0213141D"/>
    <w:rsid w:val="02491AB4"/>
    <w:rsid w:val="024A0BB7"/>
    <w:rsid w:val="0256548E"/>
    <w:rsid w:val="027345B1"/>
    <w:rsid w:val="02890D36"/>
    <w:rsid w:val="029370C7"/>
    <w:rsid w:val="029B0E51"/>
    <w:rsid w:val="02BD75DA"/>
    <w:rsid w:val="02CD5745"/>
    <w:rsid w:val="02D7069C"/>
    <w:rsid w:val="02FF41F8"/>
    <w:rsid w:val="0314419D"/>
    <w:rsid w:val="03AF786B"/>
    <w:rsid w:val="03D12F2D"/>
    <w:rsid w:val="03F86B1C"/>
    <w:rsid w:val="04602913"/>
    <w:rsid w:val="04E24159"/>
    <w:rsid w:val="04E81B1A"/>
    <w:rsid w:val="05097AD0"/>
    <w:rsid w:val="050A7344"/>
    <w:rsid w:val="05CC0E93"/>
    <w:rsid w:val="06120F43"/>
    <w:rsid w:val="06443FD4"/>
    <w:rsid w:val="068273C6"/>
    <w:rsid w:val="06AA58F0"/>
    <w:rsid w:val="06AF2ACB"/>
    <w:rsid w:val="06C70D2A"/>
    <w:rsid w:val="06CB5095"/>
    <w:rsid w:val="06F47713"/>
    <w:rsid w:val="071C5217"/>
    <w:rsid w:val="07277E4A"/>
    <w:rsid w:val="0748600C"/>
    <w:rsid w:val="08073E22"/>
    <w:rsid w:val="083420ED"/>
    <w:rsid w:val="084A7A59"/>
    <w:rsid w:val="08822685"/>
    <w:rsid w:val="08B0222D"/>
    <w:rsid w:val="08C41BCC"/>
    <w:rsid w:val="08FA104A"/>
    <w:rsid w:val="08FA57C7"/>
    <w:rsid w:val="0983332C"/>
    <w:rsid w:val="09863BAB"/>
    <w:rsid w:val="09AA1547"/>
    <w:rsid w:val="09AA4D5C"/>
    <w:rsid w:val="09B07128"/>
    <w:rsid w:val="09B63701"/>
    <w:rsid w:val="09E85885"/>
    <w:rsid w:val="0A20501F"/>
    <w:rsid w:val="0A344626"/>
    <w:rsid w:val="0A765FB8"/>
    <w:rsid w:val="0A814349"/>
    <w:rsid w:val="0AED6133"/>
    <w:rsid w:val="0AF8308E"/>
    <w:rsid w:val="0B97173B"/>
    <w:rsid w:val="0BB04180"/>
    <w:rsid w:val="0BC22AFC"/>
    <w:rsid w:val="0BCF2858"/>
    <w:rsid w:val="0BD55995"/>
    <w:rsid w:val="0BF91683"/>
    <w:rsid w:val="0C006EB6"/>
    <w:rsid w:val="0C483CB5"/>
    <w:rsid w:val="0C5F0057"/>
    <w:rsid w:val="0CC0267A"/>
    <w:rsid w:val="0D8D654B"/>
    <w:rsid w:val="0D8F7828"/>
    <w:rsid w:val="0D984ECC"/>
    <w:rsid w:val="0DA914DF"/>
    <w:rsid w:val="0DE335FC"/>
    <w:rsid w:val="0DFE7425"/>
    <w:rsid w:val="0E0130FC"/>
    <w:rsid w:val="0E213113"/>
    <w:rsid w:val="0E263246"/>
    <w:rsid w:val="0E3015D7"/>
    <w:rsid w:val="0E6A02CB"/>
    <w:rsid w:val="0EC266A4"/>
    <w:rsid w:val="0F9067A2"/>
    <w:rsid w:val="0FB71F81"/>
    <w:rsid w:val="0FC87CEA"/>
    <w:rsid w:val="10036F74"/>
    <w:rsid w:val="101500B2"/>
    <w:rsid w:val="10507C42"/>
    <w:rsid w:val="105A7962"/>
    <w:rsid w:val="109C3C4F"/>
    <w:rsid w:val="10E36DA6"/>
    <w:rsid w:val="114F5A7F"/>
    <w:rsid w:val="11513D10"/>
    <w:rsid w:val="115C57C9"/>
    <w:rsid w:val="11692E07"/>
    <w:rsid w:val="116A4DD1"/>
    <w:rsid w:val="117143B2"/>
    <w:rsid w:val="117F087D"/>
    <w:rsid w:val="11AE4CBE"/>
    <w:rsid w:val="11C40985"/>
    <w:rsid w:val="11F62C07"/>
    <w:rsid w:val="11FA08A7"/>
    <w:rsid w:val="124F3295"/>
    <w:rsid w:val="12A54313"/>
    <w:rsid w:val="12D44BF8"/>
    <w:rsid w:val="13737B75"/>
    <w:rsid w:val="138403CC"/>
    <w:rsid w:val="13B43E61"/>
    <w:rsid w:val="13CE5AEB"/>
    <w:rsid w:val="13D53E63"/>
    <w:rsid w:val="13DD5026"/>
    <w:rsid w:val="13F84916"/>
    <w:rsid w:val="14326271"/>
    <w:rsid w:val="147719A1"/>
    <w:rsid w:val="148122B0"/>
    <w:rsid w:val="14891625"/>
    <w:rsid w:val="148C1946"/>
    <w:rsid w:val="14B8240A"/>
    <w:rsid w:val="1527796B"/>
    <w:rsid w:val="154C7218"/>
    <w:rsid w:val="15677C26"/>
    <w:rsid w:val="15FF6FFD"/>
    <w:rsid w:val="16323F16"/>
    <w:rsid w:val="165A3666"/>
    <w:rsid w:val="167F30CD"/>
    <w:rsid w:val="16826719"/>
    <w:rsid w:val="16C43094"/>
    <w:rsid w:val="16E80C72"/>
    <w:rsid w:val="16F05578"/>
    <w:rsid w:val="17016D2B"/>
    <w:rsid w:val="172A3039"/>
    <w:rsid w:val="17707100"/>
    <w:rsid w:val="17853822"/>
    <w:rsid w:val="17E06C0C"/>
    <w:rsid w:val="183343B1"/>
    <w:rsid w:val="18947263"/>
    <w:rsid w:val="18992D98"/>
    <w:rsid w:val="18B01F9D"/>
    <w:rsid w:val="18BF3C55"/>
    <w:rsid w:val="18D47700"/>
    <w:rsid w:val="18E5482D"/>
    <w:rsid w:val="196C5A40"/>
    <w:rsid w:val="198463D0"/>
    <w:rsid w:val="19BE215E"/>
    <w:rsid w:val="19BE3F0C"/>
    <w:rsid w:val="19C2556A"/>
    <w:rsid w:val="19C41B53"/>
    <w:rsid w:val="1A1A2CBB"/>
    <w:rsid w:val="1A2608F3"/>
    <w:rsid w:val="1A2C356C"/>
    <w:rsid w:val="1A336B23"/>
    <w:rsid w:val="1A6A51B6"/>
    <w:rsid w:val="1B7A20B5"/>
    <w:rsid w:val="1B9C202B"/>
    <w:rsid w:val="1BAF1D5E"/>
    <w:rsid w:val="1BCD57AB"/>
    <w:rsid w:val="1C0E1A98"/>
    <w:rsid w:val="1C444B9D"/>
    <w:rsid w:val="1C490289"/>
    <w:rsid w:val="1C5E5533"/>
    <w:rsid w:val="1C6F4FB4"/>
    <w:rsid w:val="1CA6768D"/>
    <w:rsid w:val="1CB331B1"/>
    <w:rsid w:val="1CB735C0"/>
    <w:rsid w:val="1CDB5968"/>
    <w:rsid w:val="1CDC20BC"/>
    <w:rsid w:val="1CE70364"/>
    <w:rsid w:val="1D00218C"/>
    <w:rsid w:val="1D1F6145"/>
    <w:rsid w:val="1D4F1A4B"/>
    <w:rsid w:val="1D540E0F"/>
    <w:rsid w:val="1D54432D"/>
    <w:rsid w:val="1D9425D3"/>
    <w:rsid w:val="1DB60C13"/>
    <w:rsid w:val="1E2D620F"/>
    <w:rsid w:val="1E422931"/>
    <w:rsid w:val="1E8F7C25"/>
    <w:rsid w:val="1EB65B04"/>
    <w:rsid w:val="1F5E4382"/>
    <w:rsid w:val="1F8F2FC4"/>
    <w:rsid w:val="1FA31BDA"/>
    <w:rsid w:val="1FF24910"/>
    <w:rsid w:val="20174376"/>
    <w:rsid w:val="20325EC0"/>
    <w:rsid w:val="203B0065"/>
    <w:rsid w:val="20621846"/>
    <w:rsid w:val="208244E5"/>
    <w:rsid w:val="210F451A"/>
    <w:rsid w:val="212154AC"/>
    <w:rsid w:val="215A09BE"/>
    <w:rsid w:val="21BD09EA"/>
    <w:rsid w:val="21C734F7"/>
    <w:rsid w:val="21D2510C"/>
    <w:rsid w:val="21E64541"/>
    <w:rsid w:val="22B60C01"/>
    <w:rsid w:val="23104625"/>
    <w:rsid w:val="231879A1"/>
    <w:rsid w:val="239A46F7"/>
    <w:rsid w:val="23C15E1B"/>
    <w:rsid w:val="23CB7951"/>
    <w:rsid w:val="24005895"/>
    <w:rsid w:val="24030E99"/>
    <w:rsid w:val="2411343C"/>
    <w:rsid w:val="24170DE9"/>
    <w:rsid w:val="24213A15"/>
    <w:rsid w:val="249B1639"/>
    <w:rsid w:val="249F6523"/>
    <w:rsid w:val="25B84A72"/>
    <w:rsid w:val="25C44DD5"/>
    <w:rsid w:val="25D42F45"/>
    <w:rsid w:val="26062EC3"/>
    <w:rsid w:val="2699467B"/>
    <w:rsid w:val="26B50755"/>
    <w:rsid w:val="26C1503C"/>
    <w:rsid w:val="26CA35AD"/>
    <w:rsid w:val="26D11723"/>
    <w:rsid w:val="27541A0C"/>
    <w:rsid w:val="27C27F53"/>
    <w:rsid w:val="27C351B9"/>
    <w:rsid w:val="27CC3C98"/>
    <w:rsid w:val="27DC6979"/>
    <w:rsid w:val="28B1694E"/>
    <w:rsid w:val="28BC0562"/>
    <w:rsid w:val="2939535D"/>
    <w:rsid w:val="29437F8A"/>
    <w:rsid w:val="29747D10"/>
    <w:rsid w:val="29787C34"/>
    <w:rsid w:val="29EE3795"/>
    <w:rsid w:val="2A2D713F"/>
    <w:rsid w:val="2A423861"/>
    <w:rsid w:val="2A63541A"/>
    <w:rsid w:val="2A8F5EDF"/>
    <w:rsid w:val="2AA84B6D"/>
    <w:rsid w:val="2ABF0192"/>
    <w:rsid w:val="2AC70BB0"/>
    <w:rsid w:val="2AFB6893"/>
    <w:rsid w:val="2B012530"/>
    <w:rsid w:val="2B844FB6"/>
    <w:rsid w:val="2B9176D3"/>
    <w:rsid w:val="2B937D0B"/>
    <w:rsid w:val="2BE90905"/>
    <w:rsid w:val="2C0C6D59"/>
    <w:rsid w:val="2C314CC2"/>
    <w:rsid w:val="2D4B38B1"/>
    <w:rsid w:val="2D9B373B"/>
    <w:rsid w:val="2DA55B88"/>
    <w:rsid w:val="2E1E06B9"/>
    <w:rsid w:val="2E786928"/>
    <w:rsid w:val="2EB61B31"/>
    <w:rsid w:val="2EF8259B"/>
    <w:rsid w:val="2EFC30B5"/>
    <w:rsid w:val="2F064E19"/>
    <w:rsid w:val="2F2954D5"/>
    <w:rsid w:val="2F5F095E"/>
    <w:rsid w:val="2F665BC2"/>
    <w:rsid w:val="2F794705"/>
    <w:rsid w:val="2F9959A7"/>
    <w:rsid w:val="2FDE4A00"/>
    <w:rsid w:val="2FFD0E93"/>
    <w:rsid w:val="30240B15"/>
    <w:rsid w:val="30450A8C"/>
    <w:rsid w:val="30A957E4"/>
    <w:rsid w:val="30AC28B9"/>
    <w:rsid w:val="30BE4A0D"/>
    <w:rsid w:val="30C56DD2"/>
    <w:rsid w:val="30EE1123"/>
    <w:rsid w:val="313F372D"/>
    <w:rsid w:val="316F5DC0"/>
    <w:rsid w:val="31843689"/>
    <w:rsid w:val="318A2BFA"/>
    <w:rsid w:val="3198766B"/>
    <w:rsid w:val="319D0DD6"/>
    <w:rsid w:val="31A812D2"/>
    <w:rsid w:val="31F2079F"/>
    <w:rsid w:val="32DE1F01"/>
    <w:rsid w:val="32FD283D"/>
    <w:rsid w:val="331630E9"/>
    <w:rsid w:val="335F6FD7"/>
    <w:rsid w:val="34087045"/>
    <w:rsid w:val="34B52199"/>
    <w:rsid w:val="34C131AF"/>
    <w:rsid w:val="34E87C04"/>
    <w:rsid w:val="352B64A2"/>
    <w:rsid w:val="352E7D40"/>
    <w:rsid w:val="35301D0A"/>
    <w:rsid w:val="35452190"/>
    <w:rsid w:val="35476355"/>
    <w:rsid w:val="356928AF"/>
    <w:rsid w:val="356E280A"/>
    <w:rsid w:val="35BC513F"/>
    <w:rsid w:val="35D501BC"/>
    <w:rsid w:val="35D579E0"/>
    <w:rsid w:val="35DB17EF"/>
    <w:rsid w:val="35F727E8"/>
    <w:rsid w:val="36013D27"/>
    <w:rsid w:val="36025D97"/>
    <w:rsid w:val="36B26ACA"/>
    <w:rsid w:val="36DB3EF8"/>
    <w:rsid w:val="36E47B9D"/>
    <w:rsid w:val="37110C64"/>
    <w:rsid w:val="37164F30"/>
    <w:rsid w:val="374641B3"/>
    <w:rsid w:val="375A12C0"/>
    <w:rsid w:val="37CB5D1A"/>
    <w:rsid w:val="3859271F"/>
    <w:rsid w:val="38673C95"/>
    <w:rsid w:val="38733E42"/>
    <w:rsid w:val="38C2712E"/>
    <w:rsid w:val="38E2156D"/>
    <w:rsid w:val="39271D01"/>
    <w:rsid w:val="394F0285"/>
    <w:rsid w:val="39A62C24"/>
    <w:rsid w:val="39D06D45"/>
    <w:rsid w:val="39DF7ECE"/>
    <w:rsid w:val="3A0A0D7C"/>
    <w:rsid w:val="3A29797A"/>
    <w:rsid w:val="3A3E409C"/>
    <w:rsid w:val="3A5B7D04"/>
    <w:rsid w:val="3A8221F6"/>
    <w:rsid w:val="3A993EAE"/>
    <w:rsid w:val="3AAC1E33"/>
    <w:rsid w:val="3ABB3E24"/>
    <w:rsid w:val="3AC53AEC"/>
    <w:rsid w:val="3AFB781A"/>
    <w:rsid w:val="3B1D351E"/>
    <w:rsid w:val="3B2575DE"/>
    <w:rsid w:val="3B2714BA"/>
    <w:rsid w:val="3B365BA1"/>
    <w:rsid w:val="3B60677A"/>
    <w:rsid w:val="3B941916"/>
    <w:rsid w:val="3BAC19BF"/>
    <w:rsid w:val="3C682428"/>
    <w:rsid w:val="3D3222CC"/>
    <w:rsid w:val="3D417B8C"/>
    <w:rsid w:val="3D4402AC"/>
    <w:rsid w:val="3D4C5F1D"/>
    <w:rsid w:val="3D803103"/>
    <w:rsid w:val="3D88553F"/>
    <w:rsid w:val="3D8D7280"/>
    <w:rsid w:val="3DDA0A65"/>
    <w:rsid w:val="3DFF671E"/>
    <w:rsid w:val="3E157CEF"/>
    <w:rsid w:val="3E1A5671"/>
    <w:rsid w:val="3E3F4B8A"/>
    <w:rsid w:val="3E3F7E22"/>
    <w:rsid w:val="3E481E73"/>
    <w:rsid w:val="3E546A69"/>
    <w:rsid w:val="3E667CEF"/>
    <w:rsid w:val="3EAB41B0"/>
    <w:rsid w:val="3ED34AA0"/>
    <w:rsid w:val="3EF73899"/>
    <w:rsid w:val="3F2A54AE"/>
    <w:rsid w:val="3F6E789D"/>
    <w:rsid w:val="3F747F0C"/>
    <w:rsid w:val="3FE04FF8"/>
    <w:rsid w:val="3FED2FEE"/>
    <w:rsid w:val="40B118C6"/>
    <w:rsid w:val="40EB11DB"/>
    <w:rsid w:val="412874F2"/>
    <w:rsid w:val="412C5A7C"/>
    <w:rsid w:val="41AD2FCF"/>
    <w:rsid w:val="41BD0482"/>
    <w:rsid w:val="41C73BAC"/>
    <w:rsid w:val="41CD680D"/>
    <w:rsid w:val="41FF0A9A"/>
    <w:rsid w:val="42014C57"/>
    <w:rsid w:val="42161379"/>
    <w:rsid w:val="42323CE4"/>
    <w:rsid w:val="424B1F31"/>
    <w:rsid w:val="42703746"/>
    <w:rsid w:val="4294099C"/>
    <w:rsid w:val="429F227D"/>
    <w:rsid w:val="42AF6075"/>
    <w:rsid w:val="42CF43AB"/>
    <w:rsid w:val="42D53EF1"/>
    <w:rsid w:val="42ED4D97"/>
    <w:rsid w:val="42EE6E5E"/>
    <w:rsid w:val="43204EC2"/>
    <w:rsid w:val="436E046A"/>
    <w:rsid w:val="438576C5"/>
    <w:rsid w:val="43AD2778"/>
    <w:rsid w:val="43C845C3"/>
    <w:rsid w:val="43E837B0"/>
    <w:rsid w:val="43FE2FD4"/>
    <w:rsid w:val="44352F81"/>
    <w:rsid w:val="45123FBD"/>
    <w:rsid w:val="45336CAD"/>
    <w:rsid w:val="455C6204"/>
    <w:rsid w:val="45CF5A88"/>
    <w:rsid w:val="45D264C6"/>
    <w:rsid w:val="45E05E02"/>
    <w:rsid w:val="46737A24"/>
    <w:rsid w:val="46885E2A"/>
    <w:rsid w:val="46B207D1"/>
    <w:rsid w:val="46CA0433"/>
    <w:rsid w:val="47833F1C"/>
    <w:rsid w:val="47865EBD"/>
    <w:rsid w:val="48270D4B"/>
    <w:rsid w:val="48516FB5"/>
    <w:rsid w:val="48AF2AEE"/>
    <w:rsid w:val="48B459D5"/>
    <w:rsid w:val="48FF5A97"/>
    <w:rsid w:val="49452A17"/>
    <w:rsid w:val="49497D40"/>
    <w:rsid w:val="498875C7"/>
    <w:rsid w:val="49B303BC"/>
    <w:rsid w:val="4A8561FD"/>
    <w:rsid w:val="4A9216E3"/>
    <w:rsid w:val="4AC05B12"/>
    <w:rsid w:val="4AE820F1"/>
    <w:rsid w:val="4B4D6D1A"/>
    <w:rsid w:val="4B814AAE"/>
    <w:rsid w:val="4BC845F3"/>
    <w:rsid w:val="4BCA036B"/>
    <w:rsid w:val="4C2F6420"/>
    <w:rsid w:val="4C520360"/>
    <w:rsid w:val="4C662717"/>
    <w:rsid w:val="4CB13567"/>
    <w:rsid w:val="4D037E68"/>
    <w:rsid w:val="4D10647F"/>
    <w:rsid w:val="4D3B3249"/>
    <w:rsid w:val="4D5A571F"/>
    <w:rsid w:val="4DF705E5"/>
    <w:rsid w:val="4E2D4BE1"/>
    <w:rsid w:val="4E3F66C2"/>
    <w:rsid w:val="4E634927"/>
    <w:rsid w:val="4E782796"/>
    <w:rsid w:val="4E9E6D0A"/>
    <w:rsid w:val="4EFB3A84"/>
    <w:rsid w:val="4F105D44"/>
    <w:rsid w:val="4F355850"/>
    <w:rsid w:val="4F416688"/>
    <w:rsid w:val="4F5C4B3F"/>
    <w:rsid w:val="4F5D14F6"/>
    <w:rsid w:val="4F8B14B0"/>
    <w:rsid w:val="4F963C4E"/>
    <w:rsid w:val="4FB671CF"/>
    <w:rsid w:val="4FEE276A"/>
    <w:rsid w:val="4FF37764"/>
    <w:rsid w:val="4FFD7F4B"/>
    <w:rsid w:val="501F5F01"/>
    <w:rsid w:val="506D2760"/>
    <w:rsid w:val="50BF05A8"/>
    <w:rsid w:val="511F641F"/>
    <w:rsid w:val="515801C7"/>
    <w:rsid w:val="51E152C2"/>
    <w:rsid w:val="51E504F4"/>
    <w:rsid w:val="52077FA0"/>
    <w:rsid w:val="52495986"/>
    <w:rsid w:val="52846D9A"/>
    <w:rsid w:val="528F2655"/>
    <w:rsid w:val="52D374D1"/>
    <w:rsid w:val="52F61E27"/>
    <w:rsid w:val="533F163E"/>
    <w:rsid w:val="53661218"/>
    <w:rsid w:val="53691AF8"/>
    <w:rsid w:val="53EB4DFF"/>
    <w:rsid w:val="53F02939"/>
    <w:rsid w:val="545A6004"/>
    <w:rsid w:val="545C6276"/>
    <w:rsid w:val="54853500"/>
    <w:rsid w:val="54892426"/>
    <w:rsid w:val="54C939AE"/>
    <w:rsid w:val="54DD6AF9"/>
    <w:rsid w:val="552542AB"/>
    <w:rsid w:val="553B7BE4"/>
    <w:rsid w:val="55546EF7"/>
    <w:rsid w:val="556C60B3"/>
    <w:rsid w:val="557E5D22"/>
    <w:rsid w:val="55910872"/>
    <w:rsid w:val="5593550C"/>
    <w:rsid w:val="55943798"/>
    <w:rsid w:val="55A35789"/>
    <w:rsid w:val="55AF412E"/>
    <w:rsid w:val="561A74D1"/>
    <w:rsid w:val="56A417B8"/>
    <w:rsid w:val="57283E0B"/>
    <w:rsid w:val="574A1DC1"/>
    <w:rsid w:val="57570AA4"/>
    <w:rsid w:val="57C00B06"/>
    <w:rsid w:val="57C546E0"/>
    <w:rsid w:val="57CC0FC7"/>
    <w:rsid w:val="58021570"/>
    <w:rsid w:val="580E5197"/>
    <w:rsid w:val="58276B38"/>
    <w:rsid w:val="5831455A"/>
    <w:rsid w:val="58485292"/>
    <w:rsid w:val="5863030F"/>
    <w:rsid w:val="5906339C"/>
    <w:rsid w:val="592616D2"/>
    <w:rsid w:val="59341B00"/>
    <w:rsid w:val="594971F2"/>
    <w:rsid w:val="59667A2A"/>
    <w:rsid w:val="59DE0E81"/>
    <w:rsid w:val="59F55223"/>
    <w:rsid w:val="59FF35B4"/>
    <w:rsid w:val="5A166E71"/>
    <w:rsid w:val="5AC71F19"/>
    <w:rsid w:val="5AE470AA"/>
    <w:rsid w:val="5B242EC8"/>
    <w:rsid w:val="5B301727"/>
    <w:rsid w:val="5B5A5DEF"/>
    <w:rsid w:val="5BC56904"/>
    <w:rsid w:val="5BDE576D"/>
    <w:rsid w:val="5C0A6E8C"/>
    <w:rsid w:val="5C7659A5"/>
    <w:rsid w:val="5CC1326B"/>
    <w:rsid w:val="5CC929ED"/>
    <w:rsid w:val="5CCE483C"/>
    <w:rsid w:val="5CEC2D02"/>
    <w:rsid w:val="5D215911"/>
    <w:rsid w:val="5D2353DA"/>
    <w:rsid w:val="5D3A4C25"/>
    <w:rsid w:val="5D44739C"/>
    <w:rsid w:val="5D541157"/>
    <w:rsid w:val="5DA36C6E"/>
    <w:rsid w:val="5DAD189A"/>
    <w:rsid w:val="5DB744C7"/>
    <w:rsid w:val="5E0D40E7"/>
    <w:rsid w:val="5E4529A4"/>
    <w:rsid w:val="5E8E6FD6"/>
    <w:rsid w:val="5EBC3A41"/>
    <w:rsid w:val="5EC24ED2"/>
    <w:rsid w:val="5EC65064"/>
    <w:rsid w:val="5ED864A3"/>
    <w:rsid w:val="5F074FDA"/>
    <w:rsid w:val="5F304531"/>
    <w:rsid w:val="5F6D531F"/>
    <w:rsid w:val="5FAE2505"/>
    <w:rsid w:val="5FD66420"/>
    <w:rsid w:val="5FE00EBE"/>
    <w:rsid w:val="5FE33352"/>
    <w:rsid w:val="5FE377F5"/>
    <w:rsid w:val="5FE5531C"/>
    <w:rsid w:val="60056797"/>
    <w:rsid w:val="604D556C"/>
    <w:rsid w:val="60F8107F"/>
    <w:rsid w:val="61094D40"/>
    <w:rsid w:val="614172DE"/>
    <w:rsid w:val="6160574F"/>
    <w:rsid w:val="61AB7E6A"/>
    <w:rsid w:val="61F23D20"/>
    <w:rsid w:val="61F42ED5"/>
    <w:rsid w:val="621E68C3"/>
    <w:rsid w:val="62CA7939"/>
    <w:rsid w:val="62CC4571"/>
    <w:rsid w:val="62E35058"/>
    <w:rsid w:val="631A52DC"/>
    <w:rsid w:val="63411AEC"/>
    <w:rsid w:val="634405AB"/>
    <w:rsid w:val="636A546F"/>
    <w:rsid w:val="64405703"/>
    <w:rsid w:val="6511265D"/>
    <w:rsid w:val="651C4271"/>
    <w:rsid w:val="652C7549"/>
    <w:rsid w:val="655D7702"/>
    <w:rsid w:val="65767F1F"/>
    <w:rsid w:val="65833B69"/>
    <w:rsid w:val="65992D50"/>
    <w:rsid w:val="65A74E21"/>
    <w:rsid w:val="65A93AD5"/>
    <w:rsid w:val="662B3EC2"/>
    <w:rsid w:val="663366B5"/>
    <w:rsid w:val="663F4188"/>
    <w:rsid w:val="664D59C9"/>
    <w:rsid w:val="6656236E"/>
    <w:rsid w:val="66754F1F"/>
    <w:rsid w:val="66B25BAB"/>
    <w:rsid w:val="6709601B"/>
    <w:rsid w:val="67796A91"/>
    <w:rsid w:val="67CC4F63"/>
    <w:rsid w:val="6808013C"/>
    <w:rsid w:val="681E586F"/>
    <w:rsid w:val="68490BA5"/>
    <w:rsid w:val="68686AEA"/>
    <w:rsid w:val="6872092B"/>
    <w:rsid w:val="687234C5"/>
    <w:rsid w:val="68A320F0"/>
    <w:rsid w:val="68C10A03"/>
    <w:rsid w:val="68E54CA7"/>
    <w:rsid w:val="691702F9"/>
    <w:rsid w:val="692E7F1E"/>
    <w:rsid w:val="69430A4C"/>
    <w:rsid w:val="69584DB0"/>
    <w:rsid w:val="697D0373"/>
    <w:rsid w:val="69847A9A"/>
    <w:rsid w:val="6997407C"/>
    <w:rsid w:val="6A242849"/>
    <w:rsid w:val="6A610B7E"/>
    <w:rsid w:val="6A753740"/>
    <w:rsid w:val="6A7C5CBA"/>
    <w:rsid w:val="6ADF78E5"/>
    <w:rsid w:val="6B032AFA"/>
    <w:rsid w:val="6B0B3C2C"/>
    <w:rsid w:val="6B236581"/>
    <w:rsid w:val="6B3837F7"/>
    <w:rsid w:val="6B6B7660"/>
    <w:rsid w:val="6B7874F8"/>
    <w:rsid w:val="6B8D0D02"/>
    <w:rsid w:val="6BA51E03"/>
    <w:rsid w:val="6BD6020E"/>
    <w:rsid w:val="6C0818DE"/>
    <w:rsid w:val="6C335661"/>
    <w:rsid w:val="6C5775A1"/>
    <w:rsid w:val="6C584782"/>
    <w:rsid w:val="6C6B6BA9"/>
    <w:rsid w:val="6C7C2B89"/>
    <w:rsid w:val="6CB30AE5"/>
    <w:rsid w:val="6D5A0320"/>
    <w:rsid w:val="6D5D0BE7"/>
    <w:rsid w:val="6E307E8D"/>
    <w:rsid w:val="6E92338D"/>
    <w:rsid w:val="6E9543B1"/>
    <w:rsid w:val="6E957F0D"/>
    <w:rsid w:val="6EA50F15"/>
    <w:rsid w:val="6EB215D3"/>
    <w:rsid w:val="6EE82732"/>
    <w:rsid w:val="6F1218C9"/>
    <w:rsid w:val="6F143527"/>
    <w:rsid w:val="6F35142D"/>
    <w:rsid w:val="6F392F8E"/>
    <w:rsid w:val="6F685621"/>
    <w:rsid w:val="6F6F34B7"/>
    <w:rsid w:val="6FE0340A"/>
    <w:rsid w:val="6FE10C9C"/>
    <w:rsid w:val="70257F20"/>
    <w:rsid w:val="70375E28"/>
    <w:rsid w:val="703F45D4"/>
    <w:rsid w:val="70593DDE"/>
    <w:rsid w:val="707D334E"/>
    <w:rsid w:val="70DF5DB7"/>
    <w:rsid w:val="714F4CEB"/>
    <w:rsid w:val="71883D59"/>
    <w:rsid w:val="72111FA0"/>
    <w:rsid w:val="72401A80"/>
    <w:rsid w:val="72465CF0"/>
    <w:rsid w:val="7261486E"/>
    <w:rsid w:val="726D505F"/>
    <w:rsid w:val="728A58AF"/>
    <w:rsid w:val="7298562B"/>
    <w:rsid w:val="729A4E44"/>
    <w:rsid w:val="72BC63B0"/>
    <w:rsid w:val="72D46DF2"/>
    <w:rsid w:val="73047240"/>
    <w:rsid w:val="73331C5E"/>
    <w:rsid w:val="73651863"/>
    <w:rsid w:val="737361D7"/>
    <w:rsid w:val="73BC5F3C"/>
    <w:rsid w:val="73D96AEE"/>
    <w:rsid w:val="74125278"/>
    <w:rsid w:val="744A3547"/>
    <w:rsid w:val="7474619D"/>
    <w:rsid w:val="748563E6"/>
    <w:rsid w:val="74B3733F"/>
    <w:rsid w:val="74D13C69"/>
    <w:rsid w:val="74FC0CE6"/>
    <w:rsid w:val="75435570"/>
    <w:rsid w:val="75A977E2"/>
    <w:rsid w:val="762F0AE4"/>
    <w:rsid w:val="765E373E"/>
    <w:rsid w:val="768D3BBF"/>
    <w:rsid w:val="76912AA8"/>
    <w:rsid w:val="76936197"/>
    <w:rsid w:val="769413F2"/>
    <w:rsid w:val="76FA22C3"/>
    <w:rsid w:val="77000D51"/>
    <w:rsid w:val="770943E5"/>
    <w:rsid w:val="775B41FB"/>
    <w:rsid w:val="77B75398"/>
    <w:rsid w:val="77B92EBE"/>
    <w:rsid w:val="77C51ADB"/>
    <w:rsid w:val="786E0F20"/>
    <w:rsid w:val="78827754"/>
    <w:rsid w:val="788F00C3"/>
    <w:rsid w:val="78A53442"/>
    <w:rsid w:val="79004B1D"/>
    <w:rsid w:val="79AE6327"/>
    <w:rsid w:val="7A2D6D03"/>
    <w:rsid w:val="7A604F75"/>
    <w:rsid w:val="7A6510DB"/>
    <w:rsid w:val="7AA15E8B"/>
    <w:rsid w:val="7AC878BC"/>
    <w:rsid w:val="7AD2618C"/>
    <w:rsid w:val="7AEA7832"/>
    <w:rsid w:val="7AF244C2"/>
    <w:rsid w:val="7B530520"/>
    <w:rsid w:val="7B674F74"/>
    <w:rsid w:val="7B6E2211"/>
    <w:rsid w:val="7C484810"/>
    <w:rsid w:val="7C4A4A2C"/>
    <w:rsid w:val="7C8313D5"/>
    <w:rsid w:val="7C9E6B26"/>
    <w:rsid w:val="7CB1637A"/>
    <w:rsid w:val="7CD07583"/>
    <w:rsid w:val="7D033D2B"/>
    <w:rsid w:val="7D0564AB"/>
    <w:rsid w:val="7D1961AD"/>
    <w:rsid w:val="7D382AD7"/>
    <w:rsid w:val="7D5052A6"/>
    <w:rsid w:val="7D670C49"/>
    <w:rsid w:val="7D8C697F"/>
    <w:rsid w:val="7D990C4B"/>
    <w:rsid w:val="7DC224E6"/>
    <w:rsid w:val="7DE50961"/>
    <w:rsid w:val="7E3D09A0"/>
    <w:rsid w:val="7E813419"/>
    <w:rsid w:val="7E867872"/>
    <w:rsid w:val="7F0204F0"/>
    <w:rsid w:val="7F106C3A"/>
    <w:rsid w:val="7FBE4DEA"/>
    <w:rsid w:val="7FD22FF6"/>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9"/>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82"/>
    <w:qFormat/>
    <w:uiPriority w:val="9"/>
    <w:pPr>
      <w:keepNext/>
      <w:keepLines/>
      <w:spacing w:before="260" w:after="260" w:line="400" w:lineRule="exact"/>
      <w:outlineLvl w:val="1"/>
    </w:pPr>
    <w:rPr>
      <w:rFonts w:ascii="Arial" w:hAnsi="Arial" w:eastAsia="黑体"/>
      <w:b/>
      <w:bCs/>
      <w:sz w:val="24"/>
      <w:szCs w:val="32"/>
    </w:rPr>
  </w:style>
  <w:style w:type="paragraph" w:styleId="5">
    <w:name w:val="heading 3"/>
    <w:basedOn w:val="1"/>
    <w:next w:val="1"/>
    <w:link w:val="58"/>
    <w:qFormat/>
    <w:uiPriority w:val="9"/>
    <w:pPr>
      <w:keepNext/>
      <w:keepLines/>
      <w:spacing w:before="260" w:after="260" w:line="416" w:lineRule="auto"/>
      <w:outlineLvl w:val="2"/>
    </w:pPr>
    <w:rPr>
      <w:b/>
      <w:bCs/>
      <w:sz w:val="32"/>
      <w:szCs w:val="32"/>
    </w:rPr>
  </w:style>
  <w:style w:type="paragraph" w:styleId="6">
    <w:name w:val="heading 4"/>
    <w:basedOn w:val="1"/>
    <w:next w:val="1"/>
    <w:link w:val="125"/>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8"/>
    <w:link w:val="126"/>
    <w:qFormat/>
    <w:uiPriority w:val="9"/>
    <w:pPr>
      <w:keepNext/>
      <w:keepLines/>
      <w:numPr>
        <w:ilvl w:val="4"/>
        <w:numId w:val="1"/>
      </w:numPr>
      <w:spacing w:before="280" w:after="290" w:line="376" w:lineRule="auto"/>
      <w:outlineLvl w:val="4"/>
    </w:pPr>
    <w:rPr>
      <w:b/>
      <w:sz w:val="28"/>
    </w:rPr>
  </w:style>
  <w:style w:type="paragraph" w:styleId="9">
    <w:name w:val="heading 6"/>
    <w:basedOn w:val="1"/>
    <w:next w:val="8"/>
    <w:link w:val="127"/>
    <w:qFormat/>
    <w:uiPriority w:val="9"/>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128"/>
    <w:qFormat/>
    <w:uiPriority w:val="9"/>
    <w:pPr>
      <w:keepNext/>
      <w:keepLines/>
      <w:numPr>
        <w:ilvl w:val="6"/>
        <w:numId w:val="1"/>
      </w:numPr>
      <w:spacing w:before="240" w:after="64" w:line="320" w:lineRule="auto"/>
      <w:outlineLvl w:val="6"/>
    </w:pPr>
    <w:rPr>
      <w:b/>
      <w:sz w:val="24"/>
    </w:rPr>
  </w:style>
  <w:style w:type="paragraph" w:styleId="11">
    <w:name w:val="heading 8"/>
    <w:basedOn w:val="1"/>
    <w:next w:val="8"/>
    <w:link w:val="129"/>
    <w:qFormat/>
    <w:uiPriority w:val="9"/>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30"/>
    <w:qFormat/>
    <w:uiPriority w:val="9"/>
    <w:pPr>
      <w:keepNext/>
      <w:keepLines/>
      <w:numPr>
        <w:ilvl w:val="8"/>
        <w:numId w:val="1"/>
      </w:numPr>
      <w:spacing w:before="240" w:after="64" w:line="320" w:lineRule="auto"/>
      <w:outlineLvl w:val="8"/>
    </w:pPr>
    <w:rPr>
      <w:rFonts w:ascii="Arial" w:hAnsi="Arial" w:eastAsia="黑体"/>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3"/>
    <w:qFormat/>
    <w:uiPriority w:val="0"/>
    <w:pPr>
      <w:spacing w:line="380" w:lineRule="exact"/>
    </w:pPr>
    <w:rPr>
      <w:sz w:val="24"/>
    </w:rPr>
  </w:style>
  <w:style w:type="paragraph" w:styleId="8">
    <w:name w:val="Normal Indent"/>
    <w:basedOn w:val="1"/>
    <w:link w:val="56"/>
    <w:qFormat/>
    <w:uiPriority w:val="0"/>
    <w:pPr>
      <w:ind w:firstLine="420"/>
    </w:pPr>
    <w:rPr>
      <w:szCs w:val="20"/>
    </w:rPr>
  </w:style>
  <w:style w:type="paragraph" w:styleId="13">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4">
    <w:name w:val="caption"/>
    <w:basedOn w:val="1"/>
    <w:next w:val="1"/>
    <w:qFormat/>
    <w:uiPriority w:val="35"/>
    <w:pPr>
      <w:spacing w:before="152" w:after="160"/>
    </w:pPr>
    <w:rPr>
      <w:rFonts w:ascii="Arial" w:hAnsi="Arial" w:eastAsia="黑体" w:cs="Arial"/>
      <w:sz w:val="20"/>
      <w:szCs w:val="20"/>
    </w:rPr>
  </w:style>
  <w:style w:type="paragraph" w:styleId="15">
    <w:name w:val="Document Map"/>
    <w:basedOn w:val="1"/>
    <w:link w:val="132"/>
    <w:qFormat/>
    <w:uiPriority w:val="99"/>
    <w:pPr>
      <w:shd w:val="clear" w:color="auto" w:fill="000080"/>
    </w:pPr>
  </w:style>
  <w:style w:type="paragraph" w:styleId="16">
    <w:name w:val="annotation text"/>
    <w:basedOn w:val="1"/>
    <w:link w:val="72"/>
    <w:qFormat/>
    <w:uiPriority w:val="99"/>
    <w:pPr>
      <w:jc w:val="left"/>
    </w:pPr>
  </w:style>
  <w:style w:type="paragraph" w:styleId="17">
    <w:name w:val="Body Text 3"/>
    <w:basedOn w:val="1"/>
    <w:qFormat/>
    <w:uiPriority w:val="0"/>
    <w:pPr>
      <w:spacing w:line="500" w:lineRule="exact"/>
    </w:pPr>
    <w:rPr>
      <w:b/>
      <w:bCs/>
      <w:sz w:val="24"/>
    </w:rPr>
  </w:style>
  <w:style w:type="paragraph" w:styleId="18">
    <w:name w:val="Body Text Indent"/>
    <w:basedOn w:val="1"/>
    <w:link w:val="65"/>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pPr>
  </w:style>
  <w:style w:type="paragraph" w:styleId="20">
    <w:name w:val="List 2"/>
    <w:basedOn w:val="1"/>
    <w:qFormat/>
    <w:uiPriority w:val="0"/>
    <w:pPr>
      <w:ind w:left="100" w:leftChars="200" w:hanging="200" w:hangingChars="200"/>
    </w:pPr>
    <w:rPr>
      <w:sz w:val="28"/>
    </w:rPr>
  </w:style>
  <w:style w:type="paragraph" w:styleId="21">
    <w:name w:val="Plain Text"/>
    <w:basedOn w:val="1"/>
    <w:next w:val="6"/>
    <w:link w:val="52"/>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qFormat/>
    <w:uiPriority w:val="0"/>
    <w:pPr>
      <w:ind w:firstLine="630"/>
    </w:pPr>
    <w:rPr>
      <w:sz w:val="32"/>
      <w:szCs w:val="20"/>
    </w:rPr>
  </w:style>
  <w:style w:type="paragraph" w:styleId="24">
    <w:name w:val="Balloon Text"/>
    <w:basedOn w:val="1"/>
    <w:link w:val="71"/>
    <w:qFormat/>
    <w:uiPriority w:val="99"/>
    <w:rPr>
      <w:sz w:val="18"/>
      <w:szCs w:val="18"/>
      <w:lang w:val="zh-CN"/>
    </w:rPr>
  </w:style>
  <w:style w:type="paragraph" w:styleId="25">
    <w:name w:val="footer"/>
    <w:basedOn w:val="1"/>
    <w:link w:val="67"/>
    <w:qFormat/>
    <w:uiPriority w:val="99"/>
    <w:pPr>
      <w:tabs>
        <w:tab w:val="center" w:pos="4153"/>
        <w:tab w:val="right" w:pos="8306"/>
      </w:tabs>
      <w:snapToGrid w:val="0"/>
      <w:jc w:val="left"/>
    </w:pPr>
    <w:rPr>
      <w:sz w:val="18"/>
      <w:szCs w:val="18"/>
      <w:lang w:val="zh-CN"/>
    </w:rPr>
  </w:style>
  <w:style w:type="paragraph" w:styleId="26">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Subtitle"/>
    <w:basedOn w:val="1"/>
    <w:next w:val="1"/>
    <w:link w:val="70"/>
    <w:qFormat/>
    <w:uiPriority w:val="0"/>
    <w:pPr>
      <w:spacing w:line="312" w:lineRule="auto"/>
      <w:ind w:left="200" w:leftChars="200"/>
      <w:jc w:val="left"/>
      <w:outlineLvl w:val="1"/>
    </w:pPr>
    <w:rPr>
      <w:rFonts w:ascii="Cambria" w:hAnsi="Cambria"/>
      <w:b/>
      <w:bCs/>
      <w:kern w:val="28"/>
      <w:sz w:val="28"/>
      <w:szCs w:val="32"/>
    </w:rPr>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Body Text 2"/>
    <w:basedOn w:val="1"/>
    <w:qFormat/>
    <w:uiPriority w:val="0"/>
    <w:pPr>
      <w:spacing w:after="120" w:line="480" w:lineRule="auto"/>
    </w:pPr>
  </w:style>
  <w:style w:type="paragraph" w:styleId="3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annotation subject"/>
    <w:basedOn w:val="16"/>
    <w:next w:val="16"/>
    <w:link w:val="83"/>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0"/>
    <w:rPr>
      <w:rFonts w:ascii="Times New Roman" w:hAnsi="Times New Roman" w:eastAsia="宋体" w:cs="Times New Roman"/>
      <w:b/>
      <w:bCs/>
    </w:rPr>
  </w:style>
  <w:style w:type="character" w:styleId="39">
    <w:name w:val="page number"/>
    <w:qFormat/>
    <w:uiPriority w:val="0"/>
    <w:rPr>
      <w:rFonts w:ascii="Times New Roman" w:hAnsi="Times New Roman" w:eastAsia="宋体" w:cs="Times New Roman"/>
    </w:rPr>
  </w:style>
  <w:style w:type="character" w:styleId="40">
    <w:name w:val="FollowedHyperlink"/>
    <w:basedOn w:val="37"/>
    <w:unhideWhenUsed/>
    <w:qFormat/>
    <w:uiPriority w:val="99"/>
    <w:rPr>
      <w:color w:val="954F72" w:themeColor="followedHyperlink"/>
      <w:u w:val="single"/>
      <w14:textFill>
        <w14:solidFill>
          <w14:schemeClr w14:val="folHlink"/>
        </w14:solidFill>
      </w14:textFill>
    </w:rPr>
  </w:style>
  <w:style w:type="character" w:styleId="41">
    <w:name w:val="Emphasis"/>
    <w:qFormat/>
    <w:uiPriority w:val="0"/>
    <w:rPr>
      <w:rFonts w:ascii="Times New Roman" w:hAnsi="Times New Roman" w:eastAsia="宋体" w:cs="Times New Roman"/>
      <w:color w:val="CC0033"/>
    </w:rPr>
  </w:style>
  <w:style w:type="character" w:styleId="42">
    <w:name w:val="Hyperlink"/>
    <w:qFormat/>
    <w:uiPriority w:val="99"/>
    <w:rPr>
      <w:rFonts w:ascii="Times New Roman" w:hAnsi="Times New Roman" w:eastAsia="宋体" w:cs="Times New Roman"/>
      <w:color w:val="0000FF"/>
      <w:u w:val="single"/>
    </w:rPr>
  </w:style>
  <w:style w:type="character" w:styleId="43">
    <w:name w:val="annotation reference"/>
    <w:qFormat/>
    <w:uiPriority w:val="0"/>
    <w:rPr>
      <w:rFonts w:ascii="Times New Roman" w:hAnsi="Times New Roman" w:eastAsia="宋体" w:cs="Times New Roman"/>
      <w:sz w:val="21"/>
      <w:szCs w:val="21"/>
    </w:rPr>
  </w:style>
  <w:style w:type="paragraph" w:customStyle="1" w:styleId="4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5">
    <w:name w:val="font21"/>
    <w:qFormat/>
    <w:uiPriority w:val="0"/>
    <w:rPr>
      <w:rFonts w:hint="eastAsia" w:ascii="宋体" w:hAnsi="宋体" w:eastAsia="宋体" w:cs="宋体"/>
      <w:color w:val="000000"/>
      <w:sz w:val="20"/>
      <w:szCs w:val="20"/>
    </w:rPr>
  </w:style>
  <w:style w:type="character" w:customStyle="1" w:styleId="46">
    <w:name w:val="st1"/>
    <w:qFormat/>
    <w:uiPriority w:val="0"/>
    <w:rPr>
      <w:rFonts w:ascii="Times New Roman" w:hAnsi="Times New Roman" w:eastAsia="宋体" w:cs="Times New Roman"/>
    </w:rPr>
  </w:style>
  <w:style w:type="character" w:customStyle="1" w:styleId="47">
    <w:name w:val="标题 1 字符"/>
    <w:link w:val="3"/>
    <w:qFormat/>
    <w:uiPriority w:val="9"/>
    <w:rPr>
      <w:rFonts w:ascii="Times New Roman" w:hAnsi="Times New Roman" w:eastAsia="仿宋_GB2312" w:cs="Times New Roman"/>
      <w:b/>
      <w:bCs/>
      <w:kern w:val="44"/>
      <w:sz w:val="44"/>
      <w:szCs w:val="44"/>
      <w:lang w:val="en-US" w:eastAsia="zh-CN" w:bidi="ar-SA"/>
    </w:rPr>
  </w:style>
  <w:style w:type="character" w:customStyle="1" w:styleId="48">
    <w:name w:val="ca-2"/>
    <w:qFormat/>
    <w:uiPriority w:val="0"/>
    <w:rPr>
      <w:rFonts w:ascii="Times New Roman" w:hAnsi="Times New Roman" w:eastAsia="宋体" w:cs="Times New Roman"/>
    </w:rPr>
  </w:style>
  <w:style w:type="character" w:customStyle="1" w:styleId="49">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0">
    <w:name w:val="1ji Char"/>
    <w:link w:val="51"/>
    <w:qFormat/>
    <w:uiPriority w:val="0"/>
    <w:rPr>
      <w:rFonts w:ascii="宋体" w:hAnsi="宋体" w:eastAsia="仿宋_GB2312" w:cs="Times New Roman"/>
      <w:b/>
      <w:bCs/>
      <w:kern w:val="44"/>
      <w:sz w:val="36"/>
      <w:szCs w:val="44"/>
      <w:lang w:val="en-US" w:eastAsia="zh-CN" w:bidi="ar-SA"/>
    </w:rPr>
  </w:style>
  <w:style w:type="paragraph" w:customStyle="1" w:styleId="51">
    <w:name w:val="1ji"/>
    <w:basedOn w:val="3"/>
    <w:link w:val="50"/>
    <w:qFormat/>
    <w:uiPriority w:val="0"/>
    <w:pPr>
      <w:keepLines w:val="0"/>
      <w:widowControl/>
      <w:spacing w:before="0" w:after="0" w:line="240" w:lineRule="auto"/>
    </w:pPr>
    <w:rPr>
      <w:rFonts w:ascii="宋体" w:hAnsi="宋体"/>
      <w:sz w:val="36"/>
    </w:rPr>
  </w:style>
  <w:style w:type="character" w:customStyle="1" w:styleId="52">
    <w:name w:val="纯文本 字符"/>
    <w:link w:val="21"/>
    <w:qFormat/>
    <w:uiPriority w:val="0"/>
    <w:rPr>
      <w:rFonts w:ascii="宋体" w:hAnsi="Courier New" w:eastAsia="宋体" w:cs="Courier New"/>
      <w:kern w:val="2"/>
      <w:sz w:val="21"/>
      <w:szCs w:val="21"/>
      <w:lang w:val="en-US" w:eastAsia="zh-CN" w:bidi="ar-SA"/>
    </w:rPr>
  </w:style>
  <w:style w:type="character" w:customStyle="1" w:styleId="53">
    <w:name w:val="font41"/>
    <w:qFormat/>
    <w:uiPriority w:val="0"/>
    <w:rPr>
      <w:rFonts w:hint="default" w:ascii="Times New Roman" w:hAnsi="Times New Roman" w:eastAsia="宋体" w:cs="Times New Roman"/>
      <w:color w:val="000000"/>
      <w:sz w:val="20"/>
      <w:szCs w:val="20"/>
    </w:rPr>
  </w:style>
  <w:style w:type="character" w:customStyle="1" w:styleId="54">
    <w:name w:val="font31"/>
    <w:qFormat/>
    <w:uiPriority w:val="0"/>
    <w:rPr>
      <w:rFonts w:hint="default" w:ascii="Times New Roman" w:hAnsi="Times New Roman" w:eastAsia="宋体" w:cs="Times New Roman"/>
      <w:color w:val="000000"/>
      <w:sz w:val="20"/>
      <w:szCs w:val="20"/>
    </w:rPr>
  </w:style>
  <w:style w:type="character" w:customStyle="1" w:styleId="55">
    <w:name w:val="apple-style-span"/>
    <w:qFormat/>
    <w:uiPriority w:val="0"/>
    <w:rPr>
      <w:rFonts w:ascii="Times New Roman" w:hAnsi="Times New Roman" w:eastAsia="宋体" w:cs="Times New Roman"/>
    </w:rPr>
  </w:style>
  <w:style w:type="character" w:customStyle="1" w:styleId="56">
    <w:name w:val="正文缩进 字符"/>
    <w:link w:val="8"/>
    <w:qFormat/>
    <w:uiPriority w:val="0"/>
    <w:rPr>
      <w:rFonts w:ascii="Times New Roman" w:hAnsi="Times New Roman" w:eastAsia="宋体" w:cs="Times New Roman"/>
      <w:kern w:val="2"/>
      <w:sz w:val="21"/>
      <w:lang w:val="en-US" w:eastAsia="zh-CN" w:bidi="ar-SA"/>
    </w:rPr>
  </w:style>
  <w:style w:type="character" w:customStyle="1" w:styleId="57">
    <w:name w:val="font51"/>
    <w:qFormat/>
    <w:uiPriority w:val="0"/>
    <w:rPr>
      <w:rFonts w:hint="default" w:ascii="Times New Roman" w:hAnsi="Times New Roman" w:eastAsia="宋体" w:cs="Times New Roman"/>
      <w:color w:val="000000"/>
      <w:sz w:val="20"/>
      <w:szCs w:val="20"/>
    </w:rPr>
  </w:style>
  <w:style w:type="character" w:customStyle="1" w:styleId="58">
    <w:name w:val="标题 3 字符"/>
    <w:link w:val="5"/>
    <w:qFormat/>
    <w:uiPriority w:val="9"/>
    <w:rPr>
      <w:rFonts w:ascii="Times New Roman" w:hAnsi="Times New Roman" w:eastAsia="宋体" w:cs="Times New Roman"/>
      <w:b/>
      <w:bCs/>
      <w:kern w:val="2"/>
      <w:sz w:val="32"/>
      <w:szCs w:val="32"/>
      <w:lang w:val="en-US" w:eastAsia="zh-CN" w:bidi="ar-SA"/>
    </w:rPr>
  </w:style>
  <w:style w:type="character" w:customStyle="1" w:styleId="59">
    <w:name w:val="apple-converted-space"/>
    <w:qFormat/>
    <w:uiPriority w:val="0"/>
    <w:rPr>
      <w:rFonts w:ascii="Times New Roman" w:hAnsi="Times New Roman" w:eastAsia="宋体" w:cs="Times New Roman"/>
    </w:rPr>
  </w:style>
  <w:style w:type="character" w:customStyle="1" w:styleId="60">
    <w:name w:val="Header Char"/>
    <w:qFormat/>
    <w:uiPriority w:val="0"/>
    <w:rPr>
      <w:rFonts w:ascii="Calibri" w:hAnsi="Calibri" w:eastAsia="宋体" w:cs="Times New Roman"/>
      <w:kern w:val="2"/>
      <w:sz w:val="18"/>
      <w:szCs w:val="18"/>
      <w:lang w:val="en-US" w:eastAsia="zh-CN" w:bidi="ar-SA"/>
    </w:rPr>
  </w:style>
  <w:style w:type="character" w:customStyle="1" w:styleId="61">
    <w:name w:val="Footer Char"/>
    <w:qFormat/>
    <w:uiPriority w:val="0"/>
    <w:rPr>
      <w:rFonts w:ascii="Calibri" w:hAnsi="Calibri" w:eastAsia="宋体" w:cs="Times New Roman"/>
      <w:kern w:val="2"/>
      <w:sz w:val="18"/>
      <w:szCs w:val="18"/>
      <w:lang w:val="en-US" w:eastAsia="zh-CN" w:bidi="ar-SA"/>
    </w:rPr>
  </w:style>
  <w:style w:type="character" w:customStyle="1" w:styleId="62">
    <w:name w:val="Plain Text Char"/>
    <w:qFormat/>
    <w:uiPriority w:val="0"/>
    <w:rPr>
      <w:rFonts w:ascii="宋体" w:hAnsi="Courier New" w:eastAsia="宋体" w:cs="Times New Roman"/>
      <w:lang w:bidi="ar-SA"/>
    </w:rPr>
  </w:style>
  <w:style w:type="character" w:customStyle="1" w:styleId="63">
    <w:name w:val="普通文字 Char Char3"/>
    <w:qFormat/>
    <w:uiPriority w:val="0"/>
    <w:rPr>
      <w:rFonts w:ascii="宋体" w:hAnsi="Times New Roman" w:eastAsia="宋体" w:cs="Courier New"/>
      <w:kern w:val="2"/>
      <w:sz w:val="21"/>
      <w:szCs w:val="21"/>
      <w:lang w:val="en-US" w:eastAsia="zh-CN" w:bidi="ar-SA"/>
    </w:rPr>
  </w:style>
  <w:style w:type="character" w:customStyle="1" w:styleId="64">
    <w:name w:val="样式 正文 +"/>
    <w:qFormat/>
    <w:uiPriority w:val="0"/>
    <w:rPr>
      <w:rFonts w:ascii="Times New Roman" w:hAnsi="Times New Roman" w:eastAsia="宋体" w:cs="Times New Roman"/>
      <w:kern w:val="0"/>
      <w:sz w:val="28"/>
    </w:rPr>
  </w:style>
  <w:style w:type="character" w:customStyle="1" w:styleId="65">
    <w:name w:val="正文文本缩进 字符"/>
    <w:link w:val="18"/>
    <w:qFormat/>
    <w:uiPriority w:val="0"/>
    <w:rPr>
      <w:rFonts w:ascii="仿宋_GB2312" w:hAnsi="Times New Roman" w:eastAsia="仿宋_GB2312" w:cs="Times New Roman"/>
      <w:kern w:val="2"/>
      <w:sz w:val="32"/>
      <w:lang w:val="en-US" w:eastAsia="zh-CN" w:bidi="ar-SA"/>
    </w:rPr>
  </w:style>
  <w:style w:type="character" w:customStyle="1" w:styleId="66">
    <w:name w:val="普通文字 Char Char2"/>
    <w:qFormat/>
    <w:uiPriority w:val="0"/>
    <w:rPr>
      <w:rFonts w:ascii="宋体" w:hAnsi="Courier New" w:eastAsia="宋体" w:cs="Times New Roman"/>
      <w:kern w:val="2"/>
      <w:sz w:val="21"/>
      <w:lang w:val="en-US" w:eastAsia="zh-CN" w:bidi="ar-SA"/>
    </w:rPr>
  </w:style>
  <w:style w:type="character" w:customStyle="1" w:styleId="67">
    <w:name w:val="页脚 字符"/>
    <w:link w:val="25"/>
    <w:qFormat/>
    <w:uiPriority w:val="99"/>
    <w:rPr>
      <w:rFonts w:ascii="Times New Roman" w:hAnsi="Times New Roman" w:eastAsia="宋体" w:cs="Times New Roman"/>
      <w:kern w:val="2"/>
      <w:sz w:val="18"/>
      <w:szCs w:val="18"/>
    </w:rPr>
  </w:style>
  <w:style w:type="character" w:customStyle="1" w:styleId="68">
    <w:name w:val="样式 宋体 小四"/>
    <w:qFormat/>
    <w:uiPriority w:val="0"/>
    <w:rPr>
      <w:rFonts w:ascii="宋体" w:hAnsi="宋体" w:eastAsia="宋体" w:cs="Times New Roman"/>
      <w:sz w:val="24"/>
    </w:rPr>
  </w:style>
  <w:style w:type="character" w:customStyle="1" w:styleId="69">
    <w:name w:val="页眉 字符"/>
    <w:link w:val="26"/>
    <w:qFormat/>
    <w:uiPriority w:val="99"/>
    <w:rPr>
      <w:rFonts w:ascii="Times New Roman" w:hAnsi="Times New Roman" w:eastAsia="宋体" w:cs="Times New Roman"/>
      <w:kern w:val="2"/>
      <w:sz w:val="18"/>
      <w:szCs w:val="18"/>
      <w:lang w:val="en-US" w:eastAsia="zh-CN" w:bidi="ar-SA"/>
    </w:rPr>
  </w:style>
  <w:style w:type="character" w:customStyle="1" w:styleId="70">
    <w:name w:val="副标题 字符"/>
    <w:link w:val="28"/>
    <w:qFormat/>
    <w:uiPriority w:val="0"/>
    <w:rPr>
      <w:rFonts w:ascii="Cambria" w:hAnsi="Cambria" w:eastAsia="宋体" w:cs="Times New Roman"/>
      <w:b/>
      <w:bCs/>
      <w:kern w:val="28"/>
      <w:sz w:val="28"/>
      <w:szCs w:val="32"/>
      <w:lang w:val="en-US" w:eastAsia="zh-CN" w:bidi="ar-SA"/>
    </w:rPr>
  </w:style>
  <w:style w:type="character" w:customStyle="1" w:styleId="71">
    <w:name w:val="批注框文本 字符"/>
    <w:link w:val="24"/>
    <w:qFormat/>
    <w:uiPriority w:val="99"/>
    <w:rPr>
      <w:rFonts w:ascii="Times New Roman" w:hAnsi="Times New Roman" w:eastAsia="宋体" w:cs="Times New Roman"/>
      <w:kern w:val="2"/>
      <w:sz w:val="18"/>
      <w:szCs w:val="18"/>
    </w:rPr>
  </w:style>
  <w:style w:type="character" w:customStyle="1" w:styleId="72">
    <w:name w:val="批注文字 字符"/>
    <w:link w:val="16"/>
    <w:qFormat/>
    <w:uiPriority w:val="99"/>
    <w:rPr>
      <w:rFonts w:ascii="Times New Roman" w:hAnsi="Times New Roman" w:eastAsia="宋体" w:cs="Times New Roman"/>
      <w:kern w:val="2"/>
      <w:sz w:val="21"/>
      <w:szCs w:val="24"/>
      <w:lang w:val="en-US" w:eastAsia="zh-CN" w:bidi="ar-SA"/>
    </w:rPr>
  </w:style>
  <w:style w:type="character" w:customStyle="1" w:styleId="73">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74">
    <w:name w:val="ca-1"/>
    <w:qFormat/>
    <w:uiPriority w:val="0"/>
    <w:rPr>
      <w:rFonts w:ascii="Times New Roman" w:hAnsi="Times New Roman" w:eastAsia="宋体" w:cs="Times New Roman"/>
    </w:rPr>
  </w:style>
  <w:style w:type="character" w:customStyle="1" w:styleId="75">
    <w:name w:val="正文360首行缩进 Char"/>
    <w:link w:val="76"/>
    <w:qFormat/>
    <w:uiPriority w:val="0"/>
    <w:rPr>
      <w:rFonts w:ascii="Times New Roman" w:hAnsi="Times New Roman" w:eastAsia="宋体" w:cs="Times New Roman"/>
      <w:sz w:val="24"/>
      <w:szCs w:val="24"/>
    </w:rPr>
  </w:style>
  <w:style w:type="paragraph" w:customStyle="1" w:styleId="76">
    <w:name w:val="正文360首行缩进"/>
    <w:basedOn w:val="1"/>
    <w:link w:val="75"/>
    <w:qFormat/>
    <w:uiPriority w:val="0"/>
    <w:pPr>
      <w:widowControl/>
      <w:spacing w:before="120" w:line="300" w:lineRule="auto"/>
      <w:ind w:firstLine="200"/>
      <w:jc w:val="left"/>
    </w:pPr>
    <w:rPr>
      <w:kern w:val="0"/>
      <w:sz w:val="24"/>
    </w:rPr>
  </w:style>
  <w:style w:type="character" w:customStyle="1" w:styleId="77">
    <w:name w:val="List Paragraph Char"/>
    <w:link w:val="78"/>
    <w:qFormat/>
    <w:locked/>
    <w:uiPriority w:val="0"/>
    <w:rPr>
      <w:rFonts w:ascii="宋体" w:hAnsi="宋体" w:cs="宋体"/>
      <w:sz w:val="24"/>
      <w:szCs w:val="24"/>
    </w:rPr>
  </w:style>
  <w:style w:type="paragraph" w:customStyle="1" w:styleId="78">
    <w:name w:val="列表段落1"/>
    <w:basedOn w:val="1"/>
    <w:link w:val="77"/>
    <w:qFormat/>
    <w:uiPriority w:val="0"/>
    <w:pPr>
      <w:widowControl/>
      <w:ind w:firstLine="420" w:firstLineChars="200"/>
      <w:jc w:val="left"/>
    </w:pPr>
    <w:rPr>
      <w:rFonts w:ascii="宋体" w:hAnsi="宋体"/>
      <w:kern w:val="0"/>
      <w:sz w:val="24"/>
      <w:lang w:val="zh-CN"/>
    </w:rPr>
  </w:style>
  <w:style w:type="character" w:customStyle="1" w:styleId="79">
    <w:name w:val="yyii"/>
    <w:qFormat/>
    <w:uiPriority w:val="0"/>
    <w:rPr>
      <w:rFonts w:ascii="Times New Roman" w:hAnsi="Times New Roman" w:eastAsia="宋体" w:cs="Times New Roman"/>
    </w:rPr>
  </w:style>
  <w:style w:type="character" w:customStyle="1" w:styleId="80">
    <w:name w:val="纯文本 Char1"/>
    <w:qFormat/>
    <w:uiPriority w:val="0"/>
    <w:rPr>
      <w:rFonts w:ascii="宋体" w:hAnsi="Courier New" w:eastAsia="宋体" w:cs="Times New Roman"/>
      <w:kern w:val="2"/>
      <w:sz w:val="21"/>
    </w:rPr>
  </w:style>
  <w:style w:type="character" w:customStyle="1" w:styleId="81">
    <w:name w:val="标题 1 Char1"/>
    <w:qFormat/>
    <w:uiPriority w:val="0"/>
    <w:rPr>
      <w:rFonts w:ascii="Times New Roman" w:hAnsi="Times New Roman" w:eastAsia="宋体" w:cs="Times New Roman"/>
      <w:b/>
      <w:bCs/>
      <w:kern w:val="44"/>
      <w:sz w:val="44"/>
      <w:szCs w:val="44"/>
    </w:rPr>
  </w:style>
  <w:style w:type="character" w:customStyle="1" w:styleId="82">
    <w:name w:val="标题 2 字符"/>
    <w:link w:val="4"/>
    <w:qFormat/>
    <w:uiPriority w:val="9"/>
    <w:rPr>
      <w:rFonts w:ascii="Arial" w:hAnsi="Arial" w:eastAsia="黑体"/>
      <w:b/>
      <w:bCs/>
      <w:kern w:val="2"/>
      <w:sz w:val="24"/>
      <w:szCs w:val="32"/>
    </w:rPr>
  </w:style>
  <w:style w:type="character" w:customStyle="1" w:styleId="83">
    <w:name w:val="批注主题 字符"/>
    <w:link w:val="34"/>
    <w:qFormat/>
    <w:uiPriority w:val="0"/>
    <w:rPr>
      <w:rFonts w:ascii="Times New Roman" w:hAnsi="Times New Roman" w:eastAsia="宋体" w:cs="Times New Roman"/>
      <w:b/>
      <w:bCs/>
      <w:kern w:val="2"/>
      <w:sz w:val="21"/>
      <w:szCs w:val="24"/>
      <w:lang w:val="en-US" w:eastAsia="zh-CN" w:bidi="ar-SA"/>
    </w:rPr>
  </w:style>
  <w:style w:type="paragraph" w:customStyle="1" w:styleId="84">
    <w:name w:val="目录 11"/>
    <w:basedOn w:val="1"/>
    <w:next w:val="1"/>
    <w:qFormat/>
    <w:uiPriority w:val="39"/>
  </w:style>
  <w:style w:type="paragraph" w:customStyle="1" w:styleId="85">
    <w:name w:val="目录 21"/>
    <w:basedOn w:val="1"/>
    <w:next w:val="1"/>
    <w:qFormat/>
    <w:uiPriority w:val="39"/>
    <w:pPr>
      <w:tabs>
        <w:tab w:val="right" w:leader="dot" w:pos="9402"/>
      </w:tabs>
      <w:ind w:left="718" w:leftChars="200" w:hanging="298" w:hangingChars="142"/>
    </w:pPr>
  </w:style>
  <w:style w:type="paragraph" w:customStyle="1" w:styleId="86">
    <w:name w:val="目录 31"/>
    <w:basedOn w:val="1"/>
    <w:next w:val="1"/>
    <w:qFormat/>
    <w:uiPriority w:val="39"/>
    <w:pPr>
      <w:ind w:left="840" w:leftChars="400"/>
    </w:pPr>
  </w:style>
  <w:style w:type="paragraph" w:customStyle="1" w:styleId="87">
    <w:name w:val="正文首行缩进1"/>
    <w:basedOn w:val="2"/>
    <w:qFormat/>
    <w:uiPriority w:val="0"/>
    <w:pPr>
      <w:spacing w:after="120" w:line="240" w:lineRule="auto"/>
      <w:ind w:firstLine="420" w:firstLineChars="100"/>
    </w:pPr>
    <w:rPr>
      <w:sz w:val="21"/>
    </w:rPr>
  </w:style>
  <w:style w:type="paragraph" w:customStyle="1" w:styleId="88">
    <w:name w:val="Char Char1 Char Char Char Char"/>
    <w:basedOn w:val="15"/>
    <w:qFormat/>
    <w:uiPriority w:val="0"/>
    <w:rPr>
      <w:rFonts w:ascii="Tahoma" w:hAnsi="Tahoma"/>
      <w:sz w:val="24"/>
    </w:rPr>
  </w:style>
  <w:style w:type="paragraph" w:customStyle="1" w:styleId="89">
    <w:name w:val="列出段落1"/>
    <w:basedOn w:val="1"/>
    <w:qFormat/>
    <w:uiPriority w:val="99"/>
    <w:pPr>
      <w:ind w:firstLine="420" w:firstLineChars="200"/>
    </w:pPr>
    <w:rPr>
      <w:rFonts w:ascii="Calibri" w:hAnsi="Calibri"/>
    </w:rPr>
  </w:style>
  <w:style w:type="paragraph" w:customStyle="1" w:styleId="90">
    <w:name w:val="Char Char Char1 Char"/>
    <w:basedOn w:val="15"/>
    <w:qFormat/>
    <w:uiPriority w:val="0"/>
  </w:style>
  <w:style w:type="paragraph" w:customStyle="1" w:styleId="91">
    <w:name w:val="pa-5"/>
    <w:basedOn w:val="1"/>
    <w:qFormat/>
    <w:uiPriority w:val="0"/>
    <w:pPr>
      <w:widowControl/>
      <w:spacing w:before="150" w:after="150"/>
      <w:jc w:val="left"/>
    </w:pPr>
    <w:rPr>
      <w:rFonts w:ascii="宋体" w:hAnsi="宋体" w:cs="宋体"/>
      <w:kern w:val="0"/>
      <w:sz w:val="24"/>
    </w:rPr>
  </w:style>
  <w:style w:type="paragraph" w:customStyle="1" w:styleId="92">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3">
    <w:name w:val="Char Char1 Char Char Char Char1"/>
    <w:basedOn w:val="15"/>
    <w:qFormat/>
    <w:uiPriority w:val="0"/>
    <w:rPr>
      <w:rFonts w:ascii="Tahoma" w:hAnsi="Tahoma"/>
      <w:sz w:val="24"/>
    </w:rPr>
  </w:style>
  <w:style w:type="paragraph" w:customStyle="1" w:styleId="94">
    <w:name w:val="_Style 35"/>
    <w:basedOn w:val="15"/>
    <w:qFormat/>
    <w:uiPriority w:val="0"/>
    <w:pPr>
      <w:widowControl/>
      <w:ind w:firstLine="454"/>
      <w:jc w:val="left"/>
    </w:pPr>
  </w:style>
  <w:style w:type="paragraph" w:customStyle="1" w:styleId="95">
    <w:name w:val="5 Char Char Char Char Char Char Char Char Char Char"/>
    <w:basedOn w:val="1"/>
    <w:qFormat/>
    <w:uiPriority w:val="0"/>
  </w:style>
  <w:style w:type="paragraph" w:customStyle="1" w:styleId="9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97">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98">
    <w:name w:val="默认段落字体 Para Char"/>
    <w:basedOn w:val="1"/>
    <w:qFormat/>
    <w:uiPriority w:val="0"/>
    <w:rPr>
      <w:szCs w:val="20"/>
    </w:rPr>
  </w:style>
  <w:style w:type="paragraph" w:customStyle="1" w:styleId="99">
    <w:name w:val="表格文字"/>
    <w:basedOn w:val="1"/>
    <w:qFormat/>
    <w:uiPriority w:val="0"/>
    <w:pPr>
      <w:spacing w:before="25" w:after="25"/>
      <w:jc w:val="left"/>
    </w:pPr>
    <w:rPr>
      <w:bCs/>
      <w:spacing w:val="10"/>
      <w:kern w:val="0"/>
      <w:sz w:val="24"/>
    </w:rPr>
  </w:style>
  <w:style w:type="paragraph" w:customStyle="1" w:styleId="100">
    <w:name w:val="_Style 7"/>
    <w:basedOn w:val="15"/>
    <w:qFormat/>
    <w:uiPriority w:val="0"/>
  </w:style>
  <w:style w:type="paragraph" w:customStyle="1" w:styleId="10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默认段落字体 Para Char Char Char Char Char Char Char Char Char1 Char Char Char Char"/>
    <w:basedOn w:val="1"/>
    <w:qFormat/>
    <w:uiPriority w:val="0"/>
    <w:rPr>
      <w:rFonts w:ascii="Tahoma" w:hAnsi="Tahoma"/>
      <w:sz w:val="24"/>
      <w:szCs w:val="20"/>
    </w:rPr>
  </w:style>
  <w:style w:type="paragraph" w:customStyle="1" w:styleId="103">
    <w:name w:val="样式 标题 1 + 居中 段前: 0 磅 段后: 0 磅 行距: 固定值 30 磅"/>
    <w:basedOn w:val="3"/>
    <w:qFormat/>
    <w:uiPriority w:val="0"/>
    <w:pPr>
      <w:spacing w:before="0" w:after="0" w:line="600" w:lineRule="exact"/>
    </w:pPr>
    <w:rPr>
      <w:rFonts w:eastAsia="宋体" w:cs="宋体"/>
      <w:szCs w:val="20"/>
    </w:rPr>
  </w:style>
  <w:style w:type="paragraph" w:customStyle="1" w:styleId="104">
    <w:name w:val="样式 小四 行距: 1.5 倍行距"/>
    <w:basedOn w:val="1"/>
    <w:qFormat/>
    <w:uiPriority w:val="0"/>
    <w:pPr>
      <w:spacing w:line="360" w:lineRule="auto"/>
      <w:ind w:firstLine="480" w:firstLineChars="200"/>
    </w:pPr>
    <w:rPr>
      <w:rFonts w:cs="宋体"/>
      <w:sz w:val="24"/>
      <w:szCs w:val="20"/>
    </w:rPr>
  </w:style>
  <w:style w:type="paragraph" w:customStyle="1" w:styleId="105">
    <w:name w:val="p0"/>
    <w:basedOn w:val="1"/>
    <w:qFormat/>
    <w:uiPriority w:val="0"/>
    <w:pPr>
      <w:widowControl/>
    </w:pPr>
    <w:rPr>
      <w:rFonts w:ascii="宋体" w:hAnsi="宋体" w:cs="宋体"/>
      <w:kern w:val="0"/>
      <w:szCs w:val="21"/>
    </w:rPr>
  </w:style>
  <w:style w:type="paragraph" w:customStyle="1" w:styleId="106">
    <w:name w:val="Char Char Char Char Char Char Char Char Char Char Char Char"/>
    <w:basedOn w:val="1"/>
    <w:qFormat/>
    <w:uiPriority w:val="0"/>
    <w:pPr>
      <w:widowControl/>
      <w:spacing w:after="160" w:line="240" w:lineRule="exact"/>
      <w:jc w:val="left"/>
    </w:pPr>
  </w:style>
  <w:style w:type="paragraph" w:customStyle="1" w:styleId="107">
    <w:name w:val="Char Char Char1 Char1"/>
    <w:basedOn w:val="1"/>
    <w:qFormat/>
    <w:uiPriority w:val="0"/>
    <w:rPr>
      <w:rFonts w:ascii="Calibri" w:hAnsi="Calibri"/>
      <w:szCs w:val="22"/>
    </w:rPr>
  </w:style>
  <w:style w:type="paragraph" w:customStyle="1" w:styleId="108">
    <w:name w:val="Char Char Char Char Char Char Char"/>
    <w:basedOn w:val="1"/>
    <w:qFormat/>
    <w:uiPriority w:val="0"/>
  </w:style>
  <w:style w:type="paragraph" w:customStyle="1" w:styleId="109">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0">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1">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2">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3">
    <w:name w:val="Char"/>
    <w:basedOn w:val="15"/>
    <w:qFormat/>
    <w:uiPriority w:val="0"/>
    <w:pPr>
      <w:widowControl/>
      <w:ind w:firstLine="454"/>
      <w:jc w:val="left"/>
    </w:pPr>
    <w:rPr>
      <w:rFonts w:ascii="Tahoma" w:hAnsi="Tahoma" w:cs="宋体"/>
      <w:kern w:val="0"/>
      <w:sz w:val="24"/>
      <w:szCs w:val="20"/>
    </w:rPr>
  </w:style>
  <w:style w:type="paragraph" w:customStyle="1" w:styleId="114">
    <w:name w:val="Char1"/>
    <w:basedOn w:val="15"/>
    <w:qFormat/>
    <w:uiPriority w:val="0"/>
    <w:pPr>
      <w:widowControl/>
      <w:ind w:firstLine="454"/>
      <w:jc w:val="left"/>
    </w:pPr>
    <w:rPr>
      <w:rFonts w:ascii="Tahoma" w:hAnsi="Tahoma" w:cs="宋体"/>
      <w:kern w:val="0"/>
      <w:sz w:val="24"/>
      <w:szCs w:val="20"/>
    </w:rPr>
  </w:style>
  <w:style w:type="paragraph" w:customStyle="1" w:styleId="115">
    <w:name w:val="1"/>
    <w:basedOn w:val="1"/>
    <w:next w:val="21"/>
    <w:qFormat/>
    <w:uiPriority w:val="0"/>
    <w:rPr>
      <w:rFonts w:ascii="宋体" w:hAnsi="Courier New"/>
      <w:szCs w:val="20"/>
    </w:rPr>
  </w:style>
  <w:style w:type="paragraph" w:customStyle="1" w:styleId="116">
    <w:name w:val="_Style 2"/>
    <w:basedOn w:val="1"/>
    <w:qFormat/>
    <w:uiPriority w:val="0"/>
    <w:pPr>
      <w:ind w:firstLine="420" w:firstLineChars="200"/>
    </w:pPr>
  </w:style>
  <w:style w:type="paragraph" w:customStyle="1" w:styleId="117">
    <w:name w:val="正文段"/>
    <w:basedOn w:val="1"/>
    <w:qFormat/>
    <w:uiPriority w:val="0"/>
    <w:pPr>
      <w:widowControl/>
      <w:snapToGrid w:val="0"/>
      <w:spacing w:after="156" w:afterLines="50"/>
      <w:ind w:firstLine="200" w:firstLineChars="200"/>
    </w:pPr>
    <w:rPr>
      <w:kern w:val="0"/>
      <w:sz w:val="24"/>
      <w:szCs w:val="20"/>
    </w:rPr>
  </w:style>
  <w:style w:type="paragraph" w:customStyle="1" w:styleId="118">
    <w:name w:val="列出段落"/>
    <w:basedOn w:val="1"/>
    <w:qFormat/>
    <w:uiPriority w:val="34"/>
    <w:pPr>
      <w:ind w:firstLine="420" w:firstLineChars="200"/>
    </w:pPr>
    <w:rPr>
      <w:rFonts w:ascii="Calibri" w:hAnsi="Calibri"/>
      <w:szCs w:val="22"/>
    </w:rPr>
  </w:style>
  <w:style w:type="paragraph" w:customStyle="1" w:styleId="119">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0">
    <w:name w:val="未处理的提及1"/>
    <w:basedOn w:val="37"/>
    <w:unhideWhenUsed/>
    <w:qFormat/>
    <w:uiPriority w:val="99"/>
    <w:rPr>
      <w:color w:val="605E5C"/>
      <w:shd w:val="clear" w:color="auto" w:fill="E1DFDD"/>
    </w:rPr>
  </w:style>
  <w:style w:type="character" w:customStyle="1" w:styleId="121">
    <w:name w:val="font81"/>
    <w:basedOn w:val="37"/>
    <w:qFormat/>
    <w:uiPriority w:val="0"/>
    <w:rPr>
      <w:rFonts w:hint="eastAsia" w:ascii="宋体" w:hAnsi="宋体" w:eastAsia="宋体" w:cs="宋体"/>
      <w:color w:val="000000"/>
      <w:sz w:val="18"/>
      <w:szCs w:val="18"/>
      <w:u w:val="none"/>
    </w:rPr>
  </w:style>
  <w:style w:type="paragraph" w:customStyle="1" w:styleId="122">
    <w:name w:val="列表段落2"/>
    <w:basedOn w:val="1"/>
    <w:qFormat/>
    <w:uiPriority w:val="34"/>
    <w:pPr>
      <w:ind w:firstLine="420" w:firstLineChars="200"/>
    </w:pPr>
  </w:style>
  <w:style w:type="character" w:customStyle="1" w:styleId="123">
    <w:name w:val="未处理的提及2"/>
    <w:basedOn w:val="37"/>
    <w:unhideWhenUsed/>
    <w:qFormat/>
    <w:uiPriority w:val="99"/>
    <w:rPr>
      <w:color w:val="605E5C"/>
      <w:shd w:val="clear" w:color="auto" w:fill="E1DFDD"/>
    </w:rPr>
  </w:style>
  <w:style w:type="character" w:customStyle="1" w:styleId="124">
    <w:name w:val="纯文本 字符1"/>
    <w:qFormat/>
    <w:uiPriority w:val="0"/>
    <w:rPr>
      <w:rFonts w:ascii="宋体" w:hAnsi="Courier New" w:eastAsia="宋体" w:cs="Courier New"/>
      <w:kern w:val="2"/>
      <w:sz w:val="21"/>
      <w:szCs w:val="21"/>
      <w:lang w:val="en-US" w:eastAsia="zh-CN" w:bidi="ar-SA"/>
    </w:rPr>
  </w:style>
  <w:style w:type="character" w:customStyle="1" w:styleId="125">
    <w:name w:val="标题 4 字符"/>
    <w:basedOn w:val="37"/>
    <w:link w:val="6"/>
    <w:qFormat/>
    <w:uiPriority w:val="9"/>
    <w:rPr>
      <w:rFonts w:asciiTheme="majorHAnsi" w:hAnsiTheme="majorHAnsi" w:eastAsiaTheme="majorEastAsia" w:cstheme="majorBidi"/>
      <w:b/>
      <w:bCs/>
      <w:kern w:val="2"/>
      <w:sz w:val="28"/>
      <w:szCs w:val="28"/>
    </w:rPr>
  </w:style>
  <w:style w:type="character" w:customStyle="1" w:styleId="126">
    <w:name w:val="标题 5 字符"/>
    <w:basedOn w:val="37"/>
    <w:link w:val="7"/>
    <w:qFormat/>
    <w:uiPriority w:val="9"/>
    <w:rPr>
      <w:b/>
      <w:kern w:val="2"/>
      <w:sz w:val="28"/>
      <w:szCs w:val="24"/>
    </w:rPr>
  </w:style>
  <w:style w:type="character" w:customStyle="1" w:styleId="127">
    <w:name w:val="标题 6 字符"/>
    <w:basedOn w:val="37"/>
    <w:link w:val="9"/>
    <w:qFormat/>
    <w:uiPriority w:val="9"/>
    <w:rPr>
      <w:rFonts w:ascii="Arial" w:hAnsi="Arial" w:eastAsia="黑体"/>
      <w:b/>
      <w:kern w:val="2"/>
      <w:sz w:val="24"/>
      <w:szCs w:val="24"/>
    </w:rPr>
  </w:style>
  <w:style w:type="character" w:customStyle="1" w:styleId="128">
    <w:name w:val="标题 7 字符"/>
    <w:basedOn w:val="37"/>
    <w:link w:val="10"/>
    <w:qFormat/>
    <w:uiPriority w:val="9"/>
    <w:rPr>
      <w:b/>
      <w:kern w:val="2"/>
      <w:sz w:val="24"/>
      <w:szCs w:val="24"/>
    </w:rPr>
  </w:style>
  <w:style w:type="character" w:customStyle="1" w:styleId="129">
    <w:name w:val="标题 8 字符"/>
    <w:basedOn w:val="37"/>
    <w:link w:val="11"/>
    <w:qFormat/>
    <w:uiPriority w:val="9"/>
    <w:rPr>
      <w:rFonts w:ascii="Arial" w:hAnsi="Arial" w:eastAsia="黑体"/>
      <w:kern w:val="2"/>
      <w:sz w:val="24"/>
      <w:szCs w:val="24"/>
    </w:rPr>
  </w:style>
  <w:style w:type="character" w:customStyle="1" w:styleId="130">
    <w:name w:val="标题 9 字符"/>
    <w:basedOn w:val="37"/>
    <w:link w:val="12"/>
    <w:qFormat/>
    <w:uiPriority w:val="9"/>
    <w:rPr>
      <w:rFonts w:ascii="Arial" w:hAnsi="Arial" w:eastAsia="黑体"/>
      <w:kern w:val="2"/>
      <w:sz w:val="21"/>
      <w:szCs w:val="24"/>
    </w:rPr>
  </w:style>
  <w:style w:type="paragraph" w:customStyle="1" w:styleId="131">
    <w:name w:val="TOC 71"/>
    <w:basedOn w:val="1"/>
    <w:next w:val="1"/>
    <w:unhideWhenUsed/>
    <w:qFormat/>
    <w:uiPriority w:val="39"/>
    <w:pPr>
      <w:spacing w:line="360" w:lineRule="auto"/>
      <w:ind w:left="1440" w:firstLine="200" w:firstLineChars="200"/>
      <w:jc w:val="left"/>
    </w:pPr>
    <w:rPr>
      <w:rFonts w:ascii="Calibri" w:hAnsi="Calibri"/>
      <w:sz w:val="18"/>
      <w:szCs w:val="18"/>
    </w:rPr>
  </w:style>
  <w:style w:type="character" w:customStyle="1" w:styleId="132">
    <w:name w:val="文档结构图 字符"/>
    <w:basedOn w:val="37"/>
    <w:link w:val="15"/>
    <w:qFormat/>
    <w:uiPriority w:val="99"/>
    <w:rPr>
      <w:kern w:val="2"/>
      <w:sz w:val="21"/>
      <w:szCs w:val="24"/>
      <w:shd w:val="clear" w:color="auto" w:fill="000080"/>
    </w:rPr>
  </w:style>
  <w:style w:type="character" w:customStyle="1" w:styleId="133">
    <w:name w:val="正文文本 字符"/>
    <w:basedOn w:val="37"/>
    <w:link w:val="2"/>
    <w:qFormat/>
    <w:uiPriority w:val="0"/>
    <w:rPr>
      <w:kern w:val="2"/>
      <w:sz w:val="24"/>
      <w:szCs w:val="24"/>
    </w:rPr>
  </w:style>
  <w:style w:type="paragraph" w:customStyle="1" w:styleId="134">
    <w:name w:val="TOC 51"/>
    <w:basedOn w:val="1"/>
    <w:next w:val="1"/>
    <w:unhideWhenUsed/>
    <w:qFormat/>
    <w:uiPriority w:val="39"/>
    <w:pPr>
      <w:spacing w:line="360" w:lineRule="auto"/>
      <w:ind w:left="960" w:firstLine="200" w:firstLineChars="200"/>
      <w:jc w:val="left"/>
    </w:pPr>
    <w:rPr>
      <w:rFonts w:ascii="Calibri" w:hAnsi="Calibri"/>
      <w:sz w:val="18"/>
      <w:szCs w:val="18"/>
    </w:rPr>
  </w:style>
  <w:style w:type="paragraph" w:customStyle="1" w:styleId="135">
    <w:name w:val="TOC 31"/>
    <w:basedOn w:val="1"/>
    <w:next w:val="1"/>
    <w:unhideWhenUsed/>
    <w:qFormat/>
    <w:uiPriority w:val="39"/>
    <w:pPr>
      <w:spacing w:line="360" w:lineRule="auto"/>
      <w:ind w:left="480" w:firstLine="200" w:firstLineChars="200"/>
      <w:jc w:val="left"/>
    </w:pPr>
    <w:rPr>
      <w:rFonts w:ascii="Calibri" w:hAnsi="Calibri"/>
      <w:i/>
      <w:iCs/>
      <w:sz w:val="20"/>
      <w:szCs w:val="20"/>
    </w:rPr>
  </w:style>
  <w:style w:type="paragraph" w:customStyle="1" w:styleId="136">
    <w:name w:val="TOC 81"/>
    <w:basedOn w:val="1"/>
    <w:next w:val="1"/>
    <w:unhideWhenUsed/>
    <w:qFormat/>
    <w:uiPriority w:val="39"/>
    <w:pPr>
      <w:spacing w:line="360" w:lineRule="auto"/>
      <w:ind w:left="1680" w:firstLine="200" w:firstLineChars="200"/>
      <w:jc w:val="left"/>
    </w:pPr>
    <w:rPr>
      <w:rFonts w:ascii="Calibri" w:hAnsi="Calibri"/>
      <w:sz w:val="18"/>
      <w:szCs w:val="18"/>
    </w:rPr>
  </w:style>
  <w:style w:type="paragraph" w:customStyle="1" w:styleId="137">
    <w:name w:val="TOC 41"/>
    <w:basedOn w:val="1"/>
    <w:next w:val="1"/>
    <w:unhideWhenUsed/>
    <w:qFormat/>
    <w:uiPriority w:val="39"/>
    <w:pPr>
      <w:spacing w:line="360" w:lineRule="auto"/>
      <w:ind w:left="720" w:firstLine="200" w:firstLineChars="200"/>
      <w:jc w:val="left"/>
    </w:pPr>
    <w:rPr>
      <w:rFonts w:ascii="Calibri" w:hAnsi="Calibri"/>
      <w:sz w:val="18"/>
      <w:szCs w:val="18"/>
    </w:rPr>
  </w:style>
  <w:style w:type="paragraph" w:customStyle="1" w:styleId="138">
    <w:name w:val="TOC 61"/>
    <w:basedOn w:val="1"/>
    <w:next w:val="1"/>
    <w:unhideWhenUsed/>
    <w:qFormat/>
    <w:uiPriority w:val="39"/>
    <w:pPr>
      <w:spacing w:line="360" w:lineRule="auto"/>
      <w:ind w:left="1200" w:firstLine="200" w:firstLineChars="200"/>
      <w:jc w:val="left"/>
    </w:pPr>
    <w:rPr>
      <w:rFonts w:ascii="Calibri" w:hAnsi="Calibri"/>
      <w:sz w:val="18"/>
      <w:szCs w:val="18"/>
    </w:rPr>
  </w:style>
  <w:style w:type="paragraph" w:customStyle="1" w:styleId="139">
    <w:name w:val="TOC 21"/>
    <w:basedOn w:val="1"/>
    <w:next w:val="1"/>
    <w:unhideWhenUsed/>
    <w:qFormat/>
    <w:uiPriority w:val="39"/>
    <w:pPr>
      <w:spacing w:line="360" w:lineRule="auto"/>
      <w:ind w:left="240" w:firstLine="200" w:firstLineChars="200"/>
      <w:jc w:val="left"/>
    </w:pPr>
    <w:rPr>
      <w:rFonts w:ascii="Calibri" w:hAnsi="Calibri"/>
      <w:smallCaps/>
      <w:sz w:val="20"/>
      <w:szCs w:val="20"/>
    </w:rPr>
  </w:style>
  <w:style w:type="paragraph" w:customStyle="1" w:styleId="140">
    <w:name w:val="TOC 91"/>
    <w:basedOn w:val="1"/>
    <w:next w:val="1"/>
    <w:unhideWhenUsed/>
    <w:qFormat/>
    <w:uiPriority w:val="39"/>
    <w:pPr>
      <w:spacing w:line="360" w:lineRule="auto"/>
      <w:ind w:left="1920" w:firstLine="200" w:firstLineChars="200"/>
      <w:jc w:val="left"/>
    </w:pPr>
    <w:rPr>
      <w:rFonts w:ascii="Calibri" w:hAnsi="Calibri"/>
      <w:sz w:val="18"/>
      <w:szCs w:val="18"/>
    </w:rPr>
  </w:style>
  <w:style w:type="table" w:customStyle="1" w:styleId="141">
    <w:name w:val="网格型1"/>
    <w:basedOn w:val="35"/>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2">
    <w:name w:val="正文文本 Char1"/>
    <w:basedOn w:val="37"/>
    <w:semiHidden/>
    <w:qFormat/>
    <w:uiPriority w:val="99"/>
    <w:rPr>
      <w:sz w:val="24"/>
    </w:rPr>
  </w:style>
  <w:style w:type="paragraph" w:customStyle="1" w:styleId="143">
    <w:name w:val="修订1"/>
    <w:hidden/>
    <w:unhideWhenUsed/>
    <w:qFormat/>
    <w:uiPriority w:val="99"/>
    <w:rPr>
      <w:rFonts w:ascii="Calibri" w:hAnsi="Calibri" w:eastAsia="宋体" w:cs="Times New Roman"/>
      <w:kern w:val="2"/>
      <w:sz w:val="24"/>
      <w:szCs w:val="22"/>
      <w:lang w:val="en-US" w:eastAsia="zh-CN" w:bidi="ar-SA"/>
    </w:rPr>
  </w:style>
  <w:style w:type="character" w:customStyle="1" w:styleId="144">
    <w:name w:val="占位符文本1"/>
    <w:semiHidden/>
    <w:qFormat/>
    <w:uiPriority w:val="99"/>
    <w:rPr>
      <w:color w:val="808080"/>
    </w:rPr>
  </w:style>
  <w:style w:type="paragraph" w:customStyle="1" w:styleId="145">
    <w:name w:val="WPSOffice手动目录 1"/>
    <w:qFormat/>
    <w:uiPriority w:val="0"/>
    <w:rPr>
      <w:rFonts w:ascii="Times New Roman" w:hAnsi="Times New Roman" w:eastAsia="宋体" w:cs="Times New Roman"/>
      <w:lang w:val="en-US" w:eastAsia="zh-CN" w:bidi="ar-SA"/>
    </w:rPr>
  </w:style>
  <w:style w:type="paragraph" w:customStyle="1" w:styleId="14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4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148">
    <w:name w:val="font01"/>
    <w:basedOn w:val="37"/>
    <w:qFormat/>
    <w:uiPriority w:val="0"/>
    <w:rPr>
      <w:rFonts w:hint="eastAsia" w:ascii="宋体" w:hAnsi="宋体" w:eastAsia="宋体" w:cs="宋体"/>
      <w:color w:val="000000"/>
      <w:sz w:val="24"/>
      <w:szCs w:val="24"/>
      <w:u w:val="none"/>
    </w:rPr>
  </w:style>
  <w:style w:type="paragraph" w:customStyle="1" w:styleId="149">
    <w:name w:val="TOC 标题1"/>
    <w:basedOn w:val="3"/>
    <w:next w:val="1"/>
    <w:unhideWhenUsed/>
    <w:qFormat/>
    <w:uiPriority w:val="39"/>
    <w:pPr>
      <w:widowControl/>
      <w:spacing w:before="240" w:after="0" w:line="259" w:lineRule="auto"/>
      <w:jc w:val="left"/>
      <w:outlineLvl w:val="9"/>
    </w:pPr>
    <w:rPr>
      <w:rFonts w:ascii="Cambria" w:hAnsi="Cambria" w:eastAsia="宋体"/>
      <w:b w:val="0"/>
      <w:bCs w:val="0"/>
      <w:color w:val="365F91"/>
      <w:kern w:val="0"/>
      <w:sz w:val="32"/>
      <w:szCs w:val="32"/>
    </w:rPr>
  </w:style>
  <w:style w:type="paragraph" w:styleId="150">
    <w:name w:val="List Paragraph"/>
    <w:basedOn w:val="1"/>
    <w:qFormat/>
    <w:uiPriority w:val="99"/>
    <w:pPr>
      <w:ind w:firstLine="420" w:firstLineChars="200"/>
    </w:pPr>
  </w:style>
  <w:style w:type="character" w:customStyle="1" w:styleId="151">
    <w:name w:val="Unresolved Mention"/>
    <w:basedOn w:val="3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DAF175-1F30-4369-8DF1-883D08BE14A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4879</Words>
  <Characters>5436</Characters>
  <Lines>147</Lines>
  <Paragraphs>41</Paragraphs>
  <TotalTime>14</TotalTime>
  <ScaleCrop>false</ScaleCrop>
  <LinksUpToDate>false</LinksUpToDate>
  <CharactersWithSpaces>5503</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2020-10-27T08:16:00Z</dcterms:created>
  <dc:creator>Huang Qian</dc:creator>
  <cp:lastModifiedBy>Lenovo</cp:lastModifiedBy>
  <cp:lastPrinted>2025-10-13T08:34:00Z</cp:lastPrinted>
  <dcterms:modified xsi:type="dcterms:W3CDTF">2025-10-14T04:05:03Z</dcterms:modified>
  <dc:title>竞争性谈判文件</dc:title>
  <cp:revision>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ED01CFA3B1B1422CB00010885CC1874E</vt:lpwstr>
  </property>
  <property fmtid="{D5CDD505-2E9C-101B-9397-08002B2CF9AE}" pid="4" name="KSOTemplateDocerSaveRecord">
    <vt:lpwstr>eyJoZGlkIjoiZTE3NjFiNWQzNWNhNmIzYjU1ODQ0NzE4OTUyMWI0YjEiLCJ1c2VySWQiOiI2NTY4NTEwODEifQ==</vt:lpwstr>
  </property>
</Properties>
</file>