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92961273"/>
      <w:bookmarkEnd w:id="0"/>
    </w:p>
    <w:p/>
    <w:p/>
    <w:p/>
    <w:p>
      <w:pPr>
        <w:spacing w:before="156" w:beforeLines="50" w:line="780" w:lineRule="exact"/>
        <w:jc w:val="center"/>
        <w:rPr>
          <w:rFonts w:ascii="方正小标宋_GBK" w:hAnsi="黑体" w:eastAsia="方正小标宋_GBK"/>
          <w:b/>
          <w:sz w:val="84"/>
          <w:szCs w:val="84"/>
        </w:rPr>
      </w:pPr>
      <w:r>
        <w:rPr>
          <w:rFonts w:hint="eastAsia" w:ascii="方正小标宋_GBK" w:hAnsi="黑体" w:eastAsia="方正小标宋_GBK"/>
          <w:b/>
          <w:sz w:val="84"/>
          <w:szCs w:val="84"/>
        </w:rPr>
        <w:t>竞争性磋商采购文件</w:t>
      </w:r>
    </w:p>
    <w:p/>
    <w:p/>
    <w:p/>
    <w:p/>
    <w:p/>
    <w:p/>
    <w:p/>
    <w:p/>
    <w:p/>
    <w:p/>
    <w:p/>
    <w:p/>
    <w:p>
      <w:pPr>
        <w:spacing w:line="500" w:lineRule="exact"/>
        <w:ind w:left="3292" w:leftChars="958" w:hanging="1280" w:hangingChars="400"/>
        <w:rPr>
          <w:rFonts w:hint="eastAsia" w:ascii="方正小标宋_GBK" w:hAnsi="微软雅黑" w:eastAsia="方正小标宋_GBK"/>
          <w:sz w:val="32"/>
          <w:szCs w:val="32"/>
        </w:rPr>
      </w:pPr>
      <w:r>
        <w:rPr>
          <w:rFonts w:hint="eastAsia" w:ascii="方正小标宋_GBK" w:hAnsi="微软雅黑" w:eastAsia="方正小标宋_GBK"/>
          <w:sz w:val="32"/>
          <w:szCs w:val="32"/>
        </w:rPr>
        <w:t>项目名称:钦州市中级人民法院2024年7月至</w:t>
      </w:r>
    </w:p>
    <w:p>
      <w:pPr>
        <w:spacing w:line="500" w:lineRule="exact"/>
        <w:ind w:firstLine="3200" w:firstLineChars="1000"/>
        <w:rPr>
          <w:rFonts w:ascii="方正小标宋_GBK" w:hAnsi="微软雅黑" w:eastAsia="方正小标宋_GBK"/>
          <w:sz w:val="32"/>
          <w:szCs w:val="32"/>
        </w:rPr>
      </w:pPr>
      <w:r>
        <w:rPr>
          <w:rFonts w:hint="eastAsia" w:ascii="方正小标宋_GBK" w:hAnsi="微软雅黑" w:eastAsia="方正小标宋_GBK"/>
          <w:sz w:val="32"/>
          <w:szCs w:val="32"/>
        </w:rPr>
        <w:t>2025年6月机关安保和物业管理服务</w:t>
      </w:r>
    </w:p>
    <w:p>
      <w:pPr>
        <w:spacing w:line="500" w:lineRule="exact"/>
        <w:ind w:left="416" w:leftChars="198" w:firstLine="1600" w:firstLineChars="500"/>
        <w:rPr>
          <w:rFonts w:hint="eastAsia" w:ascii="方正小标宋_GBK" w:hAnsi="微软雅黑" w:eastAsia="方正小标宋_GBK"/>
          <w:sz w:val="32"/>
          <w:szCs w:val="32"/>
          <w:lang w:eastAsia="zh-CN"/>
        </w:rPr>
      </w:pPr>
      <w:r>
        <w:rPr>
          <w:rFonts w:hint="eastAsia" w:ascii="方正小标宋_GBK" w:hAnsi="微软雅黑" w:eastAsia="方正小标宋_GBK"/>
          <w:sz w:val="32"/>
          <w:szCs w:val="32"/>
        </w:rPr>
        <w:t>项目编号:</w:t>
      </w:r>
      <w:r>
        <w:rPr>
          <w:rFonts w:hint="eastAsia" w:ascii="方正小标宋_GBK" w:hAnsi="微软雅黑" w:eastAsia="方正小标宋_GBK"/>
          <w:sz w:val="32"/>
          <w:szCs w:val="32"/>
          <w:lang w:eastAsia="zh-CN"/>
        </w:rPr>
        <w:t>QZZC2024-C3-00013-CGZX</w:t>
      </w:r>
    </w:p>
    <w:p/>
    <w:p/>
    <w:p/>
    <w:p/>
    <w:p/>
    <w:p/>
    <w:p/>
    <w:p/>
    <w:p/>
    <w:p/>
    <w:p/>
    <w:p/>
    <w:p/>
    <w:p/>
    <w:p/>
    <w:p/>
    <w:p/>
    <w:p/>
    <w:p/>
    <w:p>
      <w:pPr>
        <w:spacing w:line="360" w:lineRule="exact"/>
        <w:jc w:val="center"/>
        <w:rPr>
          <w:rFonts w:ascii="方正小标宋_GBK" w:hAnsi="微软雅黑" w:eastAsia="方正小标宋_GBK"/>
          <w:sz w:val="32"/>
          <w:szCs w:val="32"/>
        </w:rPr>
      </w:pPr>
      <w:r>
        <w:rPr>
          <w:rFonts w:hint="eastAsia" w:ascii="方正小标宋_GBK" w:hAnsi="微软雅黑" w:eastAsia="方正小标宋_GBK"/>
          <w:sz w:val="32"/>
          <w:szCs w:val="32"/>
        </w:rPr>
        <w:t>钦州市政府采购中心</w:t>
      </w:r>
    </w:p>
    <w:p>
      <w:pPr>
        <w:tabs>
          <w:tab w:val="left" w:pos="360"/>
        </w:tabs>
        <w:spacing w:line="440" w:lineRule="exact"/>
        <w:jc w:val="center"/>
        <w:rPr>
          <w:rFonts w:ascii="仿宋_GB2312" w:hAnsi="宋体" w:eastAsia="仿宋_GB2312"/>
          <w:sz w:val="32"/>
          <w:szCs w:val="32"/>
        </w:rPr>
      </w:pPr>
      <w:r>
        <w:rPr>
          <w:rFonts w:hint="eastAsia" w:ascii="方正小标宋_GBK" w:hAnsi="微软雅黑" w:eastAsia="方正小标宋_GBK"/>
          <w:sz w:val="32"/>
          <w:szCs w:val="32"/>
        </w:rPr>
        <w:t>202</w:t>
      </w:r>
      <w:r>
        <w:rPr>
          <w:rFonts w:ascii="方正小标宋_GBK" w:hAnsi="微软雅黑" w:eastAsia="方正小标宋_GBK"/>
          <w:sz w:val="32"/>
          <w:szCs w:val="32"/>
        </w:rPr>
        <w:t>4</w:t>
      </w:r>
      <w:r>
        <w:rPr>
          <w:rFonts w:hint="eastAsia" w:ascii="方正小标宋_GBK" w:hAnsi="微软雅黑" w:eastAsia="方正小标宋_GBK"/>
          <w:sz w:val="32"/>
          <w:szCs w:val="32"/>
        </w:rPr>
        <w:t>年</w:t>
      </w:r>
      <w:r>
        <w:rPr>
          <w:rFonts w:ascii="方正小标宋_GBK" w:hAnsi="微软雅黑" w:eastAsia="方正小标宋_GBK"/>
          <w:sz w:val="32"/>
          <w:szCs w:val="32"/>
        </w:rPr>
        <w:t>0</w:t>
      </w:r>
      <w:r>
        <w:rPr>
          <w:rFonts w:hint="eastAsia" w:ascii="方正小标宋_GBK" w:hAnsi="微软雅黑" w:eastAsia="方正小标宋_GBK"/>
          <w:sz w:val="32"/>
          <w:szCs w:val="32"/>
          <w:lang w:val="en-US" w:eastAsia="zh-CN"/>
        </w:rPr>
        <w:t>6</w:t>
      </w:r>
      <w:r>
        <w:rPr>
          <w:rFonts w:hint="eastAsia" w:ascii="方正小标宋_GBK" w:hAnsi="微软雅黑" w:eastAsia="方正小标宋_GBK"/>
          <w:sz w:val="32"/>
          <w:szCs w:val="32"/>
        </w:rPr>
        <w:t>月</w:t>
      </w:r>
    </w:p>
    <w:p/>
    <w:p/>
    <w:p>
      <w:pPr>
        <w:spacing w:line="640" w:lineRule="exact"/>
        <w:jc w:val="center"/>
        <w:rPr>
          <w:rFonts w:ascii="方正小标宋_GBK" w:hAnsi="宋体" w:eastAsia="方正小标宋_GBK"/>
          <w:b/>
          <w:sz w:val="32"/>
          <w:szCs w:val="32"/>
        </w:rPr>
      </w:pPr>
      <w:r>
        <w:rPr>
          <w:rFonts w:hint="eastAsia" w:ascii="方正小标宋_GBK" w:hAnsi="宋体" w:eastAsia="方正小标宋_GBK"/>
          <w:b/>
          <w:sz w:val="44"/>
          <w:szCs w:val="44"/>
        </w:rPr>
        <w:t>目   录</w:t>
      </w:r>
    </w:p>
    <w:p/>
    <w:p>
      <w:pPr>
        <w:pStyle w:val="29"/>
        <w:tabs>
          <w:tab w:val="right" w:leader="dot" w:pos="9514"/>
        </w:tabs>
        <w:spacing w:line="1000" w:lineRule="exact"/>
        <w:rPr>
          <w:rFonts w:asciiTheme="minorHAnsi" w:hAnsiTheme="minorHAnsi" w:eastAsiaTheme="minorEastAsia" w:cstheme="minorBidi"/>
          <w:sz w:val="28"/>
          <w:szCs w:val="28"/>
        </w:rPr>
      </w:pPr>
      <w:bookmarkStart w:id="1" w:name="_Toc354479497"/>
      <w:r>
        <w:rPr>
          <w:rFonts w:hint="eastAsia" w:ascii="方正小标宋_GBK" w:hAnsi="仿宋" w:eastAsia="方正小标宋_GBK"/>
          <w:b/>
          <w:sz w:val="28"/>
          <w:szCs w:val="28"/>
        </w:rPr>
        <w:fldChar w:fldCharType="begin"/>
      </w:r>
      <w:r>
        <w:rPr>
          <w:rFonts w:hint="eastAsia" w:ascii="方正小标宋_GBK" w:hAnsi="仿宋" w:eastAsia="方正小标宋_GBK"/>
          <w:b/>
          <w:sz w:val="28"/>
          <w:szCs w:val="28"/>
        </w:rPr>
        <w:instrText xml:space="preserve"> TOC \o "1-1" \h \z \u </w:instrText>
      </w:r>
      <w:r>
        <w:rPr>
          <w:rFonts w:hint="eastAsia" w:ascii="方正小标宋_GBK" w:hAnsi="仿宋" w:eastAsia="方正小标宋_GBK"/>
          <w:b/>
          <w:sz w:val="28"/>
          <w:szCs w:val="28"/>
        </w:rPr>
        <w:fldChar w:fldCharType="separate"/>
      </w:r>
      <w:r>
        <w:fldChar w:fldCharType="begin"/>
      </w:r>
      <w:r>
        <w:instrText xml:space="preserve"> HYPERLINK \l "_Toc92355023" </w:instrText>
      </w:r>
      <w:r>
        <w:fldChar w:fldCharType="separate"/>
      </w:r>
      <w:r>
        <w:rPr>
          <w:rStyle w:val="46"/>
          <w:rFonts w:ascii="方正小标宋_GBK" w:hAnsi="宋体" w:eastAsia="方正小标宋_GBK"/>
          <w:color w:val="auto"/>
          <w:sz w:val="28"/>
          <w:szCs w:val="28"/>
        </w:rPr>
        <w:t>第一章  竞争性磋商公告</w:t>
      </w:r>
      <w:r>
        <w:rPr>
          <w:sz w:val="28"/>
          <w:szCs w:val="28"/>
        </w:rPr>
        <w:tab/>
      </w:r>
      <w:r>
        <w:rPr>
          <w:sz w:val="28"/>
          <w:szCs w:val="28"/>
        </w:rPr>
        <w:fldChar w:fldCharType="begin"/>
      </w:r>
      <w:r>
        <w:rPr>
          <w:sz w:val="28"/>
          <w:szCs w:val="28"/>
        </w:rPr>
        <w:instrText xml:space="preserve"> PAGEREF _Toc92355023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29"/>
        <w:tabs>
          <w:tab w:val="right" w:leader="dot" w:pos="9514"/>
        </w:tabs>
        <w:spacing w:line="1000" w:lineRule="exact"/>
        <w:rPr>
          <w:rFonts w:asciiTheme="minorHAnsi" w:hAnsiTheme="minorHAnsi" w:eastAsiaTheme="minorEastAsia" w:cstheme="minorBidi"/>
          <w:sz w:val="28"/>
          <w:szCs w:val="28"/>
        </w:rPr>
      </w:pPr>
      <w:r>
        <w:fldChar w:fldCharType="begin"/>
      </w:r>
      <w:r>
        <w:instrText xml:space="preserve"> HYPERLINK \l "_Toc92355024" </w:instrText>
      </w:r>
      <w:r>
        <w:fldChar w:fldCharType="separate"/>
      </w:r>
      <w:r>
        <w:rPr>
          <w:rStyle w:val="46"/>
          <w:rFonts w:ascii="方正小标宋_GBK" w:hAnsi="宋体" w:eastAsia="方正小标宋_GBK"/>
          <w:color w:val="auto"/>
          <w:sz w:val="28"/>
          <w:szCs w:val="28"/>
        </w:rPr>
        <w:t>第二章  项目需求</w:t>
      </w:r>
      <w:r>
        <w:rPr>
          <w:sz w:val="28"/>
          <w:szCs w:val="28"/>
        </w:rPr>
        <w:tab/>
      </w:r>
      <w:r>
        <w:rPr>
          <w:sz w:val="28"/>
          <w:szCs w:val="28"/>
        </w:rPr>
        <w:fldChar w:fldCharType="begin"/>
      </w:r>
      <w:r>
        <w:rPr>
          <w:sz w:val="28"/>
          <w:szCs w:val="28"/>
        </w:rPr>
        <w:instrText xml:space="preserve"> PAGEREF _Toc92355024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29"/>
        <w:tabs>
          <w:tab w:val="right" w:leader="dot" w:pos="9514"/>
        </w:tabs>
        <w:spacing w:line="1000" w:lineRule="exact"/>
        <w:rPr>
          <w:rFonts w:asciiTheme="minorHAnsi" w:hAnsiTheme="minorHAnsi" w:eastAsiaTheme="minorEastAsia" w:cstheme="minorBidi"/>
          <w:sz w:val="28"/>
          <w:szCs w:val="28"/>
        </w:rPr>
      </w:pPr>
      <w:r>
        <w:fldChar w:fldCharType="begin"/>
      </w:r>
      <w:r>
        <w:instrText xml:space="preserve"> HYPERLINK \l "_Toc92355025" </w:instrText>
      </w:r>
      <w:r>
        <w:fldChar w:fldCharType="separate"/>
      </w:r>
      <w:r>
        <w:rPr>
          <w:rStyle w:val="46"/>
          <w:rFonts w:ascii="方正小标宋简体" w:eastAsia="方正小标宋简体"/>
          <w:color w:val="auto"/>
          <w:sz w:val="28"/>
          <w:szCs w:val="28"/>
        </w:rPr>
        <w:t>第三章  供应商须知</w:t>
      </w:r>
      <w:r>
        <w:rPr>
          <w:sz w:val="28"/>
          <w:szCs w:val="28"/>
        </w:rPr>
        <w:tab/>
      </w:r>
      <w:r>
        <w:rPr>
          <w:sz w:val="28"/>
          <w:szCs w:val="28"/>
        </w:rPr>
        <w:fldChar w:fldCharType="begin"/>
      </w:r>
      <w:r>
        <w:rPr>
          <w:sz w:val="28"/>
          <w:szCs w:val="28"/>
        </w:rPr>
        <w:instrText xml:space="preserve"> PAGEREF _Toc92355025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9"/>
        <w:tabs>
          <w:tab w:val="right" w:leader="dot" w:pos="9514"/>
        </w:tabs>
        <w:spacing w:line="1000" w:lineRule="exact"/>
        <w:rPr>
          <w:rFonts w:asciiTheme="minorHAnsi" w:hAnsiTheme="minorHAnsi" w:eastAsiaTheme="minorEastAsia" w:cstheme="minorBidi"/>
          <w:sz w:val="28"/>
          <w:szCs w:val="28"/>
        </w:rPr>
      </w:pPr>
      <w:r>
        <w:fldChar w:fldCharType="begin"/>
      </w:r>
      <w:r>
        <w:instrText xml:space="preserve"> HYPERLINK \l "_Toc92355026" </w:instrText>
      </w:r>
      <w:r>
        <w:fldChar w:fldCharType="separate"/>
      </w:r>
      <w:r>
        <w:rPr>
          <w:rStyle w:val="46"/>
          <w:rFonts w:ascii="方正小标宋_GBK" w:hAnsi="宋体" w:eastAsia="方正小标宋_GBK"/>
          <w:color w:val="auto"/>
          <w:sz w:val="28"/>
          <w:szCs w:val="28"/>
        </w:rPr>
        <w:t>第四章  评定标准及推荐原则</w:t>
      </w:r>
      <w:r>
        <w:rPr>
          <w:sz w:val="28"/>
          <w:szCs w:val="28"/>
        </w:rPr>
        <w:tab/>
      </w:r>
      <w:r>
        <w:rPr>
          <w:sz w:val="28"/>
          <w:szCs w:val="28"/>
        </w:rPr>
        <w:fldChar w:fldCharType="begin"/>
      </w:r>
      <w:r>
        <w:rPr>
          <w:sz w:val="28"/>
          <w:szCs w:val="28"/>
        </w:rPr>
        <w:instrText xml:space="preserve"> PAGEREF _Toc92355026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29"/>
        <w:tabs>
          <w:tab w:val="right" w:leader="dot" w:pos="9514"/>
        </w:tabs>
        <w:spacing w:line="1000" w:lineRule="exact"/>
        <w:rPr>
          <w:rFonts w:asciiTheme="minorHAnsi" w:hAnsiTheme="minorHAnsi" w:eastAsiaTheme="minorEastAsia" w:cstheme="minorBidi"/>
          <w:sz w:val="28"/>
          <w:szCs w:val="28"/>
        </w:rPr>
      </w:pPr>
      <w:r>
        <w:fldChar w:fldCharType="begin"/>
      </w:r>
      <w:r>
        <w:instrText xml:space="preserve"> HYPERLINK \l "_Toc92355027" </w:instrText>
      </w:r>
      <w:r>
        <w:fldChar w:fldCharType="separate"/>
      </w:r>
      <w:r>
        <w:rPr>
          <w:rStyle w:val="46"/>
          <w:rFonts w:ascii="方正小标宋_GBK" w:eastAsia="方正小标宋_GBK"/>
          <w:color w:val="auto"/>
          <w:sz w:val="28"/>
          <w:szCs w:val="28"/>
        </w:rPr>
        <w:t>第五章  合同文本</w:t>
      </w:r>
      <w:r>
        <w:rPr>
          <w:sz w:val="28"/>
          <w:szCs w:val="28"/>
        </w:rPr>
        <w:tab/>
      </w:r>
      <w:r>
        <w:rPr>
          <w:sz w:val="28"/>
          <w:szCs w:val="28"/>
        </w:rPr>
        <w:fldChar w:fldCharType="begin"/>
      </w:r>
      <w:r>
        <w:rPr>
          <w:sz w:val="28"/>
          <w:szCs w:val="28"/>
        </w:rPr>
        <w:instrText xml:space="preserve"> PAGEREF _Toc92355027 \h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29"/>
        <w:tabs>
          <w:tab w:val="right" w:leader="dot" w:pos="9514"/>
        </w:tabs>
        <w:spacing w:line="1000" w:lineRule="exact"/>
        <w:rPr>
          <w:rFonts w:asciiTheme="minorHAnsi" w:hAnsiTheme="minorHAnsi" w:eastAsiaTheme="minorEastAsia" w:cstheme="minorBidi"/>
          <w:sz w:val="28"/>
          <w:szCs w:val="28"/>
        </w:rPr>
      </w:pPr>
      <w:r>
        <w:fldChar w:fldCharType="begin"/>
      </w:r>
      <w:r>
        <w:instrText xml:space="preserve"> HYPERLINK \l "_Toc92355028" </w:instrText>
      </w:r>
      <w:r>
        <w:fldChar w:fldCharType="separate"/>
      </w:r>
      <w:r>
        <w:rPr>
          <w:rStyle w:val="46"/>
          <w:rFonts w:ascii="方正小标宋_GBK" w:hAnsi="方正小标宋_GBK" w:eastAsia="方正小标宋_GBK"/>
          <w:color w:val="auto"/>
          <w:sz w:val="28"/>
          <w:szCs w:val="28"/>
        </w:rPr>
        <w:t>第六章  响应文件格式</w:t>
      </w:r>
      <w:r>
        <w:rPr>
          <w:sz w:val="28"/>
          <w:szCs w:val="28"/>
        </w:rPr>
        <w:tab/>
      </w:r>
      <w:r>
        <w:rPr>
          <w:sz w:val="28"/>
          <w:szCs w:val="28"/>
        </w:rPr>
        <w:fldChar w:fldCharType="begin"/>
      </w:r>
      <w:r>
        <w:rPr>
          <w:sz w:val="28"/>
          <w:szCs w:val="28"/>
        </w:rPr>
        <w:instrText xml:space="preserve"> PAGEREF _Toc92355028 \h </w:instrText>
      </w:r>
      <w:r>
        <w:rPr>
          <w:sz w:val="28"/>
          <w:szCs w:val="28"/>
        </w:rPr>
        <w:fldChar w:fldCharType="separate"/>
      </w:r>
      <w:r>
        <w:rPr>
          <w:sz w:val="28"/>
          <w:szCs w:val="28"/>
        </w:rPr>
        <w:t>51</w:t>
      </w:r>
      <w:r>
        <w:rPr>
          <w:sz w:val="28"/>
          <w:szCs w:val="28"/>
        </w:rPr>
        <w:fldChar w:fldCharType="end"/>
      </w:r>
      <w:r>
        <w:rPr>
          <w:sz w:val="28"/>
          <w:szCs w:val="28"/>
        </w:rPr>
        <w:fldChar w:fldCharType="end"/>
      </w:r>
    </w:p>
    <w:p>
      <w:pPr>
        <w:sectPr>
          <w:footerReference r:id="rId4" w:type="first"/>
          <w:footerReference r:id="rId3" w:type="default"/>
          <w:pgSz w:w="11906" w:h="16838"/>
          <w:pgMar w:top="936" w:right="1191" w:bottom="936" w:left="1191" w:header="851" w:footer="992" w:gutter="0"/>
          <w:pgNumType w:start="1"/>
          <w:cols w:space="720" w:num="1"/>
          <w:docGrid w:type="lines" w:linePitch="312" w:charSpace="0"/>
        </w:sectPr>
      </w:pPr>
      <w:r>
        <w:rPr>
          <w:rFonts w:hint="eastAsia"/>
        </w:rPr>
        <w:fldChar w:fldCharType="end"/>
      </w:r>
    </w:p>
    <w:p/>
    <w:p>
      <w:pPr>
        <w:widowControl/>
        <w:jc w:val="left"/>
      </w:pPr>
    </w:p>
    <w:p/>
    <w:p/>
    <w:p/>
    <w:p/>
    <w:p/>
    <w:p/>
    <w:p/>
    <w:p/>
    <w:p/>
    <w:p/>
    <w:p/>
    <w:p/>
    <w:p>
      <w:pPr>
        <w:pStyle w:val="3"/>
        <w:spacing w:line="400" w:lineRule="exact"/>
        <w:rPr>
          <w:rFonts w:ascii="方正小标宋_GBK" w:hAnsi="宋体" w:eastAsia="方正小标宋_GBK"/>
        </w:rPr>
      </w:pPr>
      <w:bookmarkStart w:id="2" w:name="_Toc92355023"/>
      <w:r>
        <w:rPr>
          <w:rFonts w:hint="eastAsia" w:ascii="方正小标宋_GBK" w:hAnsi="宋体" w:eastAsia="方正小标宋_GBK"/>
        </w:rPr>
        <w:t>第一章  竞争性磋商公告</w:t>
      </w:r>
      <w:bookmarkEnd w:id="1"/>
      <w:bookmarkEnd w:id="2"/>
    </w:p>
    <w:p>
      <w:pPr>
        <w:spacing w:line="600" w:lineRule="exact"/>
        <w:jc w:val="center"/>
        <w:rPr>
          <w:rFonts w:ascii="黑体" w:hAnsi="宋体" w:eastAsia="黑体"/>
          <w:b/>
          <w:sz w:val="32"/>
          <w:szCs w:val="32"/>
        </w:rPr>
      </w:pPr>
      <w:r>
        <w:rPr>
          <w:rFonts w:ascii="黑体" w:hAnsi="宋体" w:eastAsia="黑体"/>
          <w:b/>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b/>
          <w:sz w:val="30"/>
          <w:szCs w:val="30"/>
        </w:rPr>
      </w:pPr>
      <w:r>
        <w:rPr>
          <w:rFonts w:hint="eastAsia" w:ascii="方正小标宋_GBK" w:hAnsi="宋体" w:eastAsia="方正小标宋_GBK"/>
          <w:b/>
          <w:sz w:val="30"/>
          <w:szCs w:val="30"/>
        </w:rPr>
        <w:t>钦州市政府采购中心关于</w:t>
      </w:r>
      <w:r>
        <w:rPr>
          <w:rFonts w:hint="eastAsia" w:ascii="方正小标宋_GBK" w:hAnsi="宋体" w:eastAsia="方正小标宋_GBK"/>
          <w:b/>
          <w:sz w:val="30"/>
          <w:szCs w:val="30"/>
          <w:lang w:eastAsia="zh-CN"/>
        </w:rPr>
        <w:t>钦州市中级人民法院2024年7月至2025年6月机关安保和物业管理服务</w:t>
      </w:r>
      <w:r>
        <w:rPr>
          <w:rFonts w:ascii="方正小标宋_GBK" w:hAnsi="宋体" w:eastAsia="方正小标宋_GBK"/>
          <w:b/>
          <w:sz w:val="30"/>
          <w:szCs w:val="30"/>
        </w:rPr>
        <w:t>(</w:t>
      </w:r>
      <w:r>
        <w:rPr>
          <w:rFonts w:hint="eastAsia" w:ascii="方正小标宋_GBK" w:hAnsi="宋体" w:eastAsia="方正小标宋_GBK"/>
          <w:b/>
          <w:sz w:val="30"/>
          <w:szCs w:val="30"/>
          <w:lang w:eastAsia="zh-CN"/>
        </w:rPr>
        <w:t>QZZC2024-C3-00013-CGZX</w:t>
      </w:r>
      <w:r>
        <w:rPr>
          <w:rFonts w:ascii="方正小标宋_GBK" w:hAnsi="宋体" w:eastAsia="方正小标宋_GBK"/>
          <w:b/>
          <w:sz w:val="30"/>
          <w:szCs w:val="30"/>
        </w:rPr>
        <w:t>)</w:t>
      </w:r>
      <w:r>
        <w:rPr>
          <w:rFonts w:hint="eastAsia" w:ascii="方正小标宋_GBK" w:hAnsi="宋体" w:eastAsia="方正小标宋_GBK"/>
          <w:b/>
          <w:sz w:val="30"/>
          <w:szCs w:val="30"/>
        </w:rPr>
        <w:t>的竞争性磋商公告</w:t>
      </w:r>
    </w:p>
    <w:p>
      <w:pPr>
        <w:pStyle w:val="2"/>
      </w:pPr>
    </w:p>
    <w:p>
      <w:pPr>
        <w:pBdr>
          <w:top w:val="single" w:color="auto" w:sz="4" w:space="0"/>
          <w:left w:val="single" w:color="auto" w:sz="4" w:space="4"/>
          <w:bottom w:val="single" w:color="auto" w:sz="4" w:space="1"/>
          <w:right w:val="single" w:color="auto" w:sz="4" w:space="4"/>
        </w:pBdr>
        <w:ind w:firstLine="420"/>
        <w:rPr>
          <w:rFonts w:hint="eastAsia"/>
          <w:bCs/>
        </w:rPr>
      </w:pPr>
      <w:bookmarkStart w:id="3" w:name="_Toc35393621"/>
      <w:bookmarkStart w:id="4" w:name="_Toc35393790"/>
      <w:bookmarkStart w:id="5" w:name="_Toc28359002"/>
      <w:bookmarkStart w:id="6" w:name="_Toc28359079"/>
      <w:bookmarkStart w:id="7" w:name="_Hlk24379207"/>
      <w:bookmarkStart w:id="8" w:name="_Toc38370146"/>
      <w:r>
        <w:rPr>
          <w:rFonts w:hint="eastAsia" w:ascii="宋体" w:hAnsi="宋体"/>
          <w:szCs w:val="21"/>
        </w:rPr>
        <w:t>项目概况</w:t>
      </w:r>
    </w:p>
    <w:p>
      <w:pPr>
        <w:pBdr>
          <w:top w:val="single" w:color="auto" w:sz="4" w:space="0"/>
          <w:left w:val="single" w:color="auto" w:sz="4" w:space="4"/>
          <w:bottom w:val="single" w:color="auto" w:sz="4" w:space="1"/>
          <w:right w:val="single" w:color="auto" w:sz="4" w:space="4"/>
        </w:pBdr>
        <w:ind w:firstLine="420"/>
        <w:rPr>
          <w:rFonts w:ascii="宋体" w:hAnsi="宋体"/>
          <w:szCs w:val="21"/>
        </w:rPr>
      </w:pPr>
      <w:r>
        <w:rPr>
          <w:rFonts w:hint="eastAsia" w:ascii="Times New Roman" w:hAnsi="Times New Roman" w:eastAsia="宋体" w:cs="Times New Roman"/>
          <w:lang w:val="en-US" w:eastAsia="zh-CN"/>
        </w:rPr>
        <w:t>钦州市中级人民法院2024年7月至2025年6月机关安保和</w:t>
      </w:r>
      <w:r>
        <w:rPr>
          <w:rFonts w:hint="eastAsia" w:ascii="Times New Roman" w:hAnsi="Times New Roman" w:eastAsia="宋体" w:cs="Times New Roman"/>
          <w:lang w:eastAsia="zh-CN"/>
        </w:rPr>
        <w:t>物业管理服务的潜在供应商应在广西政府采购云平台（https://www.gcy.zfcg.gxzf.gov.cn/）获取</w:t>
      </w:r>
      <w:r>
        <w:rPr>
          <w:rFonts w:hint="eastAsia" w:ascii="宋体" w:hAnsi="宋体"/>
          <w:szCs w:val="21"/>
        </w:rPr>
        <w:t>采购文件，并于</w:t>
      </w:r>
      <w:r>
        <w:rPr>
          <w:rFonts w:hint="eastAsia"/>
          <w:lang w:eastAsia="zh-CN"/>
        </w:rPr>
        <w:t>2024年</w:t>
      </w:r>
      <w:r>
        <w:rPr>
          <w:rFonts w:hint="eastAsia"/>
          <w:lang w:val="en-US" w:eastAsia="zh-CN"/>
        </w:rPr>
        <w:t>6</w:t>
      </w:r>
      <w:r>
        <w:rPr>
          <w:rFonts w:hint="eastAsia"/>
          <w:lang w:eastAsia="zh-CN"/>
        </w:rPr>
        <w:t>月</w:t>
      </w:r>
      <w:r>
        <w:rPr>
          <w:rFonts w:hint="eastAsia"/>
          <w:lang w:val="en-US" w:eastAsia="zh-CN"/>
        </w:rPr>
        <w:t>26</w:t>
      </w:r>
      <w:r>
        <w:rPr>
          <w:rFonts w:hint="eastAsia"/>
          <w:lang w:eastAsia="zh-CN"/>
        </w:rPr>
        <w:t>日09时30分</w:t>
      </w:r>
      <w:r>
        <w:rPr>
          <w:rFonts w:hint="eastAsia" w:ascii="宋体" w:hAnsi="宋体"/>
          <w:bCs/>
          <w:szCs w:val="21"/>
        </w:rPr>
        <w:t>（北京时间）前提交响应</w:t>
      </w:r>
      <w:r>
        <w:rPr>
          <w:rFonts w:ascii="宋体" w:hAnsi="宋体"/>
          <w:bCs/>
          <w:szCs w:val="21"/>
        </w:rPr>
        <w:t>文件</w:t>
      </w:r>
      <w:r>
        <w:rPr>
          <w:rFonts w:hint="eastAsia" w:ascii="宋体" w:hAnsi="宋体"/>
          <w:szCs w:val="21"/>
        </w:rPr>
        <w:t>。</w:t>
      </w:r>
    </w:p>
    <w:p>
      <w:pPr>
        <w:spacing w:line="400" w:lineRule="exact"/>
        <w:rPr>
          <w:rFonts w:hint="eastAsia"/>
          <w:b/>
        </w:rPr>
      </w:pPr>
    </w:p>
    <w:p>
      <w:pPr>
        <w:spacing w:line="400" w:lineRule="exact"/>
        <w:rPr>
          <w:b/>
        </w:rPr>
      </w:pPr>
      <w:r>
        <w:rPr>
          <w:rFonts w:hint="eastAsia"/>
          <w:b/>
        </w:rPr>
        <w:t>一、项目基本情况</w:t>
      </w:r>
      <w:bookmarkEnd w:id="3"/>
      <w:bookmarkEnd w:id="4"/>
      <w:bookmarkEnd w:id="5"/>
      <w:bookmarkEnd w:id="6"/>
    </w:p>
    <w:p>
      <w:pPr>
        <w:spacing w:line="400" w:lineRule="exact"/>
        <w:ind w:firstLine="420"/>
        <w:rPr>
          <w:rFonts w:hint="eastAsia" w:eastAsia="宋体"/>
          <w:lang w:eastAsia="zh-CN"/>
        </w:rPr>
      </w:pPr>
      <w:r>
        <w:rPr>
          <w:rFonts w:hint="eastAsia"/>
        </w:rPr>
        <w:t>项目编号：</w:t>
      </w:r>
      <w:r>
        <w:rPr>
          <w:rFonts w:hint="eastAsia" w:ascii="宋体" w:hAnsi="宋体"/>
          <w:bCs/>
          <w:lang w:eastAsia="zh-CN"/>
        </w:rPr>
        <w:t>QZZC2024-C3-00013-CGZX</w:t>
      </w:r>
    </w:p>
    <w:p>
      <w:pPr>
        <w:spacing w:line="400" w:lineRule="exact"/>
        <w:ind w:firstLine="420"/>
        <w:rPr>
          <w:rFonts w:hint="eastAsia" w:eastAsia="宋体"/>
          <w:lang w:eastAsia="zh-CN"/>
        </w:rPr>
      </w:pPr>
      <w:r>
        <w:rPr>
          <w:rFonts w:hint="eastAsia"/>
        </w:rPr>
        <w:t>项目名称：</w:t>
      </w:r>
      <w:r>
        <w:rPr>
          <w:rFonts w:hint="eastAsia"/>
          <w:lang w:eastAsia="zh-CN"/>
        </w:rPr>
        <w:t>钦州市中级人民法院2024年7月至2025年6月机关安保和物业管理服务</w:t>
      </w:r>
    </w:p>
    <w:bookmarkEnd w:id="7"/>
    <w:p>
      <w:pPr>
        <w:spacing w:line="400" w:lineRule="exact"/>
        <w:ind w:firstLine="420"/>
      </w:pPr>
      <w:r>
        <w:rPr>
          <w:rFonts w:hint="eastAsia"/>
        </w:rPr>
        <w:t>预算总金额(元</w:t>
      </w:r>
      <w:r>
        <w:t>)</w:t>
      </w:r>
      <w:r>
        <w:rPr>
          <w:rFonts w:hint="eastAsia"/>
        </w:rPr>
        <w:t>：</w:t>
      </w:r>
      <w:bookmarkStart w:id="9" w:name="_Hlk165881845"/>
      <w:r>
        <w:rPr>
          <w:rFonts w:hint="eastAsia"/>
        </w:rPr>
        <w:t>1</w:t>
      </w:r>
      <w:r>
        <w:rPr>
          <w:rFonts w:hint="eastAsia"/>
          <w:lang w:val="en-US" w:eastAsia="zh-CN"/>
        </w:rPr>
        <w:t>6</w:t>
      </w:r>
      <w:r>
        <w:rPr>
          <w:rFonts w:hint="eastAsia"/>
        </w:rPr>
        <w:t>00000</w:t>
      </w:r>
      <w:r>
        <w:t>.00</w:t>
      </w:r>
      <w:bookmarkEnd w:id="9"/>
    </w:p>
    <w:p>
      <w:pPr>
        <w:spacing w:line="400" w:lineRule="exact"/>
        <w:ind w:firstLine="420"/>
      </w:pPr>
      <w:r>
        <w:rPr>
          <w:rFonts w:hint="eastAsia"/>
        </w:rPr>
        <w:t>采购需求：</w:t>
      </w:r>
    </w:p>
    <w:p>
      <w:pPr>
        <w:spacing w:line="400" w:lineRule="exact"/>
        <w:ind w:firstLine="420"/>
      </w:pPr>
    </w:p>
    <w:p>
      <w:pPr>
        <w:spacing w:line="400" w:lineRule="exact"/>
        <w:ind w:firstLine="420"/>
        <w:rPr>
          <w:rFonts w:hint="eastAsia" w:eastAsia="宋体"/>
          <w:bCs/>
          <w:lang w:eastAsia="zh-CN"/>
        </w:rPr>
      </w:pPr>
      <w:r>
        <w:rPr>
          <w:rFonts w:hint="eastAsia"/>
        </w:rPr>
        <w:t>标项名称：</w:t>
      </w:r>
      <w:r>
        <w:rPr>
          <w:rFonts w:hint="eastAsia"/>
          <w:lang w:eastAsia="zh-CN"/>
        </w:rPr>
        <w:t>钦州市中级人民法院2024年7月至2025年6月机关安保和物业管理服务</w:t>
      </w:r>
    </w:p>
    <w:p>
      <w:pPr>
        <w:spacing w:line="400" w:lineRule="exact"/>
        <w:ind w:firstLine="420"/>
      </w:pPr>
      <w:r>
        <w:rPr>
          <w:rFonts w:hint="eastAsia"/>
          <w:bCs/>
        </w:rPr>
        <w:t>数量：1</w:t>
      </w:r>
    </w:p>
    <w:p>
      <w:pPr>
        <w:spacing w:line="400" w:lineRule="exact"/>
        <w:ind w:firstLine="420"/>
      </w:pPr>
      <w:r>
        <w:rPr>
          <w:rFonts w:hint="eastAsia"/>
        </w:rPr>
        <w:t>预算金额(元</w:t>
      </w:r>
      <w:r>
        <w:t>)</w:t>
      </w:r>
      <w:r>
        <w:rPr>
          <w:rFonts w:hint="eastAsia"/>
        </w:rPr>
        <w:t>：1</w:t>
      </w:r>
      <w:r>
        <w:rPr>
          <w:rFonts w:hint="eastAsia"/>
          <w:lang w:val="en-US" w:eastAsia="zh-CN"/>
        </w:rPr>
        <w:t>6</w:t>
      </w:r>
      <w:r>
        <w:rPr>
          <w:rFonts w:hint="eastAsia"/>
        </w:rPr>
        <w:t>00000</w:t>
      </w:r>
      <w:r>
        <w:t>.00</w:t>
      </w:r>
    </w:p>
    <w:p>
      <w:pPr>
        <w:spacing w:line="40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简要规格描述或项目基本概况介绍、用途：</w:t>
      </w:r>
      <w:r>
        <w:rPr>
          <w:rFonts w:hint="eastAsia"/>
          <w:color w:val="000000" w:themeColor="text1"/>
          <w:lang w:eastAsia="zh-CN"/>
          <w14:textFill>
            <w14:solidFill>
              <w14:schemeClr w14:val="tx1"/>
            </w14:solidFill>
          </w14:textFill>
        </w:rPr>
        <w:t>钦州市中级人民法院2024年7月至2025年6月机关安保和物业管理服务</w:t>
      </w:r>
      <w:r>
        <w:rPr>
          <w:rFonts w:hint="eastAsia"/>
          <w:color w:val="000000" w:themeColor="text1"/>
          <w14:textFill>
            <w14:solidFill>
              <w14:schemeClr w14:val="tx1"/>
            </w14:solidFill>
          </w14:textFill>
        </w:rPr>
        <w:t>1年，详见采购文件。</w:t>
      </w:r>
    </w:p>
    <w:p>
      <w:pPr>
        <w:spacing w:line="400" w:lineRule="exact"/>
        <w:ind w:firstLine="420"/>
      </w:pPr>
      <w:r>
        <w:rPr>
          <w:rFonts w:hint="eastAsia"/>
        </w:rPr>
        <w:t>最高限价(如有</w:t>
      </w:r>
      <w:r>
        <w:t>)</w:t>
      </w:r>
      <w:r>
        <w:rPr>
          <w:rFonts w:hint="eastAsia"/>
        </w:rPr>
        <w:t>：无</w:t>
      </w:r>
    </w:p>
    <w:p>
      <w:pPr>
        <w:spacing w:line="400" w:lineRule="exact"/>
        <w:ind w:firstLine="420"/>
      </w:pPr>
      <w:r>
        <w:rPr>
          <w:rFonts w:hint="eastAsia"/>
        </w:rPr>
        <w:t>合同履行期限</w:t>
      </w:r>
      <w:r>
        <w:rPr>
          <w:rFonts w:hint="eastAsia"/>
          <w:color w:val="000000" w:themeColor="text1"/>
          <w14:textFill>
            <w14:solidFill>
              <w14:schemeClr w14:val="tx1"/>
            </w14:solidFill>
          </w14:textFill>
        </w:rPr>
        <w:t>：合同签订之日起</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年。</w:t>
      </w:r>
    </w:p>
    <w:p>
      <w:pPr>
        <w:spacing w:line="400" w:lineRule="exact"/>
        <w:ind w:firstLine="420"/>
      </w:pPr>
      <w:r>
        <w:rPr>
          <w:rFonts w:hint="eastAsia"/>
        </w:rPr>
        <w:t>本标项(否</w:t>
      </w:r>
      <w:r>
        <w:t>)</w:t>
      </w:r>
      <w:r>
        <w:rPr>
          <w:rFonts w:hint="eastAsia"/>
        </w:rPr>
        <w:t>接受联合体投标</w:t>
      </w:r>
    </w:p>
    <w:p>
      <w:pPr>
        <w:spacing w:line="400" w:lineRule="exact"/>
        <w:ind w:firstLine="420"/>
      </w:pPr>
      <w:r>
        <w:rPr>
          <w:rFonts w:hint="eastAsia"/>
        </w:rPr>
        <w:t>备注：</w:t>
      </w:r>
    </w:p>
    <w:p>
      <w:pPr>
        <w:spacing w:line="400" w:lineRule="exact"/>
        <w:ind w:firstLine="420"/>
      </w:pPr>
    </w:p>
    <w:p>
      <w:pPr>
        <w:spacing w:line="400" w:lineRule="exact"/>
        <w:rPr>
          <w:b/>
        </w:rPr>
      </w:pPr>
      <w:bookmarkStart w:id="10" w:name="_Toc28359080"/>
      <w:bookmarkStart w:id="11" w:name="_Toc28359003"/>
      <w:bookmarkStart w:id="12" w:name="_Toc35393622"/>
      <w:bookmarkStart w:id="13" w:name="_Toc35393791"/>
      <w:r>
        <w:rPr>
          <w:rFonts w:hint="eastAsia"/>
          <w:b/>
        </w:rPr>
        <w:t>二、申请人的资格要求：</w:t>
      </w:r>
      <w:bookmarkEnd w:id="10"/>
      <w:bookmarkEnd w:id="11"/>
      <w:bookmarkEnd w:id="12"/>
      <w:bookmarkEnd w:id="13"/>
      <w:bookmarkStart w:id="14" w:name="_Toc35393623"/>
      <w:bookmarkStart w:id="15" w:name="_Toc35393792"/>
      <w:bookmarkStart w:id="16" w:name="_Toc28359004"/>
      <w:bookmarkStart w:id="17" w:name="_Toc28359081"/>
    </w:p>
    <w:p>
      <w:pPr>
        <w:spacing w:line="400" w:lineRule="exact"/>
        <w:ind w:firstLine="420"/>
        <w:rPr>
          <w:b/>
        </w:rPr>
      </w:pPr>
      <w:bookmarkStart w:id="18" w:name="_Hlk111714912"/>
      <w:r>
        <w:rPr>
          <w:rFonts w:hint="eastAsia"/>
        </w:rPr>
        <w:t>1.满足《中华人民共和国政府采购法》第二十二条规定</w:t>
      </w:r>
    </w:p>
    <w:p>
      <w:pPr>
        <w:spacing w:line="400" w:lineRule="exact"/>
        <w:ind w:firstLine="420"/>
        <w:rPr>
          <w:rFonts w:ascii="宋体" w:hAnsi="宋体"/>
          <w:szCs w:val="21"/>
        </w:rPr>
      </w:pPr>
      <w:r>
        <w:rPr>
          <w:rFonts w:hint="eastAsia"/>
        </w:rPr>
        <w:t>2.落实政府采购政策需满足的资格要求：</w:t>
      </w:r>
      <w:r>
        <w:rPr>
          <w:rStyle w:val="46"/>
          <w:rFonts w:hint="eastAsia" w:ascii="宋体" w:hAnsi="宋体"/>
          <w:color w:val="auto"/>
          <w:szCs w:val="21"/>
          <w:u w:val="none"/>
        </w:rPr>
        <w:t>服务全部由符合政策要求的中小企业承接</w:t>
      </w:r>
    </w:p>
    <w:p>
      <w:pPr>
        <w:spacing w:line="400" w:lineRule="exact"/>
        <w:ind w:firstLine="435"/>
      </w:pPr>
      <w:r>
        <w:rPr>
          <w:rFonts w:hint="eastAsia"/>
        </w:rPr>
        <w:t>3.本项目的特定资格要求：无</w:t>
      </w:r>
    </w:p>
    <w:bookmarkEnd w:id="18"/>
    <w:p>
      <w:pPr>
        <w:spacing w:line="400" w:lineRule="exact"/>
        <w:rPr>
          <w:b/>
        </w:rPr>
      </w:pPr>
      <w:r>
        <w:rPr>
          <w:rFonts w:hint="eastAsia"/>
          <w:b/>
        </w:rPr>
        <w:t>三、获取采购文件</w:t>
      </w:r>
      <w:bookmarkEnd w:id="14"/>
      <w:bookmarkEnd w:id="15"/>
      <w:bookmarkEnd w:id="16"/>
      <w:bookmarkEnd w:id="17"/>
    </w:p>
    <w:p>
      <w:pPr>
        <w:spacing w:line="400" w:lineRule="exact"/>
        <w:ind w:firstLine="420"/>
        <w:jc w:val="left"/>
      </w:pPr>
      <w:bookmarkStart w:id="19" w:name="_Toc38370141"/>
      <w:r>
        <w:rPr>
          <w:rFonts w:hint="eastAsia"/>
        </w:rPr>
        <w:t>时间：202</w:t>
      </w:r>
      <w:r>
        <w:t>4</w:t>
      </w:r>
      <w:r>
        <w:rPr>
          <w:rFonts w:hint="eastAsia"/>
        </w:rPr>
        <w:t>年</w:t>
      </w:r>
      <w:r>
        <w:rPr>
          <w:rFonts w:hint="eastAsia"/>
          <w:lang w:val="en-US" w:eastAsia="zh-CN"/>
        </w:rPr>
        <w:t>6</w:t>
      </w:r>
      <w:r>
        <w:rPr>
          <w:rFonts w:hint="eastAsia"/>
        </w:rPr>
        <w:t>月</w:t>
      </w:r>
      <w:r>
        <w:rPr>
          <w:rFonts w:hint="eastAsia"/>
          <w:lang w:val="en-US" w:eastAsia="zh-CN"/>
        </w:rPr>
        <w:t>13</w:t>
      </w:r>
      <w:r>
        <w:rPr>
          <w:rFonts w:hint="eastAsia"/>
        </w:rPr>
        <w:t xml:space="preserve"> 日至202</w:t>
      </w:r>
      <w:r>
        <w:t>4</w:t>
      </w:r>
      <w:r>
        <w:rPr>
          <w:rFonts w:hint="eastAsia"/>
        </w:rPr>
        <w:t>年</w:t>
      </w:r>
      <w:r>
        <w:rPr>
          <w:rFonts w:hint="eastAsia"/>
          <w:lang w:val="en-US" w:eastAsia="zh-CN"/>
        </w:rPr>
        <w:t>6</w:t>
      </w:r>
      <w:r>
        <w:rPr>
          <w:rFonts w:hint="eastAsia"/>
        </w:rPr>
        <w:t xml:space="preserve">月 </w:t>
      </w:r>
      <w:r>
        <w:rPr>
          <w:rFonts w:hint="eastAsia"/>
          <w:lang w:val="en-US" w:eastAsia="zh-CN"/>
        </w:rPr>
        <w:t>20</w:t>
      </w:r>
      <w:r>
        <w:rPr>
          <w:rFonts w:hint="eastAsia"/>
        </w:rPr>
        <w:t xml:space="preserve"> 日，每天上午00:00至12:00，下午12:00至23:59（北京时间，法定节假日除外）</w:t>
      </w:r>
    </w:p>
    <w:p>
      <w:pPr>
        <w:spacing w:line="400" w:lineRule="exact"/>
        <w:ind w:firstLine="420"/>
      </w:pPr>
      <w:r>
        <w:rPr>
          <w:rFonts w:hint="eastAsia"/>
        </w:rPr>
        <w:t>地点(网址</w:t>
      </w:r>
      <w:r>
        <w:t>)</w:t>
      </w:r>
      <w:r>
        <w:rPr>
          <w:rFonts w:hint="eastAsia"/>
        </w:rPr>
        <w:t>：</w:t>
      </w:r>
      <w:bookmarkStart w:id="20" w:name="_Hlk160013661"/>
      <w:r>
        <w:rPr>
          <w:rFonts w:hint="eastAsia"/>
        </w:rPr>
        <w:t>广西政府采购云平台</w:t>
      </w:r>
      <w:bookmarkEnd w:id="20"/>
      <w:r>
        <w:rPr>
          <w:rFonts w:hint="eastAsia"/>
        </w:rPr>
        <w:t>（</w:t>
      </w:r>
      <w:r>
        <w:t>https://www.gcy.zfcg.gxzf.gov.cn/</w:t>
      </w:r>
      <w:r>
        <w:rPr>
          <w:rFonts w:hint="eastAsia"/>
        </w:rPr>
        <w:t>）</w:t>
      </w:r>
    </w:p>
    <w:p>
      <w:pPr>
        <w:spacing w:line="400" w:lineRule="exact"/>
        <w:ind w:firstLine="420"/>
      </w:pPr>
      <w:r>
        <w:rPr>
          <w:rFonts w:hint="eastAsia"/>
        </w:rPr>
        <w:t>方式：供应商登录广西政府采购云平台(以下称“政采云平台”</w:t>
      </w:r>
      <w:r>
        <w:t>)</w:t>
      </w:r>
      <w:r>
        <w:rPr>
          <w:rFonts w:hint="eastAsia"/>
        </w:rPr>
        <w:t>在线获取采购文件（进入“项目采购”应用选择项目，获取采购文件）</w:t>
      </w:r>
    </w:p>
    <w:p>
      <w:pPr>
        <w:spacing w:line="400" w:lineRule="exact"/>
        <w:ind w:firstLine="420"/>
      </w:pPr>
      <w:r>
        <w:rPr>
          <w:rFonts w:hint="eastAsia"/>
        </w:rPr>
        <w:t>售价(元</w:t>
      </w:r>
      <w:r>
        <w:t>)</w:t>
      </w:r>
      <w:r>
        <w:rPr>
          <w:rFonts w:hint="eastAsia"/>
        </w:rPr>
        <w:t>：0</w:t>
      </w:r>
    </w:p>
    <w:p>
      <w:pPr>
        <w:spacing w:line="400" w:lineRule="exact"/>
        <w:rPr>
          <w:b/>
        </w:rPr>
      </w:pPr>
      <w:r>
        <w:rPr>
          <w:rFonts w:hint="eastAsia"/>
          <w:b/>
          <w:bCs/>
        </w:rPr>
        <w:t>四、</w:t>
      </w:r>
      <w:bookmarkEnd w:id="19"/>
      <w:bookmarkStart w:id="21" w:name="_Toc28359082"/>
      <w:bookmarkStart w:id="22" w:name="_Toc28359005"/>
      <w:bookmarkStart w:id="23" w:name="_Toc35393624"/>
      <w:bookmarkStart w:id="24" w:name="_Toc35393793"/>
      <w:r>
        <w:rPr>
          <w:rFonts w:hint="eastAsia"/>
          <w:b/>
        </w:rPr>
        <w:t>响应文件</w:t>
      </w:r>
      <w:bookmarkEnd w:id="21"/>
      <w:bookmarkEnd w:id="22"/>
      <w:r>
        <w:rPr>
          <w:rFonts w:hint="eastAsia"/>
          <w:b/>
        </w:rPr>
        <w:t>提交</w:t>
      </w:r>
      <w:bookmarkEnd w:id="23"/>
      <w:bookmarkEnd w:id="24"/>
    </w:p>
    <w:p>
      <w:pPr>
        <w:spacing w:line="400" w:lineRule="exact"/>
        <w:ind w:firstLine="420"/>
      </w:pPr>
      <w:r>
        <w:rPr>
          <w:rFonts w:hint="eastAsia"/>
        </w:rPr>
        <w:t>截止时间：202</w:t>
      </w:r>
      <w:r>
        <w:t>4</w:t>
      </w:r>
      <w:r>
        <w:rPr>
          <w:rFonts w:hint="eastAsia"/>
        </w:rPr>
        <w:t>年</w:t>
      </w:r>
      <w:r>
        <w:t>0</w:t>
      </w:r>
      <w:r>
        <w:rPr>
          <w:rFonts w:hint="eastAsia"/>
        </w:rPr>
        <w:t>6月</w:t>
      </w:r>
      <w:r>
        <w:rPr>
          <w:rFonts w:hint="eastAsia"/>
          <w:lang w:val="en-US" w:eastAsia="zh-CN"/>
        </w:rPr>
        <w:t>26</w:t>
      </w:r>
      <w:r>
        <w:rPr>
          <w:rFonts w:hint="eastAsia"/>
        </w:rPr>
        <w:t>日</w:t>
      </w:r>
      <w:r>
        <w:rPr>
          <w:rFonts w:hint="eastAsia"/>
          <w:lang w:eastAsia="zh-CN"/>
        </w:rPr>
        <w:t>9:30</w:t>
      </w:r>
      <w:r>
        <w:rPr>
          <w:rFonts w:hint="eastAsia"/>
        </w:rPr>
        <w:t>（北京时间）</w:t>
      </w:r>
    </w:p>
    <w:p>
      <w:pPr>
        <w:spacing w:line="400" w:lineRule="exact"/>
        <w:ind w:firstLine="420"/>
        <w:rPr>
          <w:rFonts w:ascii="宋体" w:hAnsi="宋体" w:cs="Courier New"/>
          <w:szCs w:val="21"/>
        </w:rPr>
      </w:pPr>
      <w:r>
        <w:rPr>
          <w:rFonts w:hint="eastAsia"/>
        </w:rPr>
        <w:t>地点(网址）：</w:t>
      </w:r>
      <w:r>
        <w:rPr>
          <w:rFonts w:hint="eastAsia" w:ascii="宋体" w:hAnsi="宋体" w:cs="Courier New"/>
          <w:szCs w:val="21"/>
        </w:rPr>
        <w:t>广西政府采购云平台（</w:t>
      </w:r>
      <w:r>
        <w:t>https://www.gcy.zfcg.gxzf.gov.cn/</w:t>
      </w:r>
      <w:r>
        <w:rPr>
          <w:rFonts w:hint="eastAsia" w:ascii="宋体" w:hAnsi="宋体" w:cs="Courier New"/>
          <w:szCs w:val="21"/>
        </w:rPr>
        <w:t>）</w:t>
      </w:r>
    </w:p>
    <w:p>
      <w:pPr>
        <w:spacing w:line="400" w:lineRule="exact"/>
        <w:rPr>
          <w:rFonts w:ascii="宋体" w:hAnsi="宋体" w:cs="Courier New"/>
          <w:b/>
          <w:bCs/>
          <w:szCs w:val="21"/>
        </w:rPr>
      </w:pPr>
      <w:r>
        <w:rPr>
          <w:rFonts w:hint="eastAsia" w:ascii="宋体" w:hAnsi="宋体" w:cs="Courier New"/>
          <w:b/>
          <w:bCs/>
          <w:szCs w:val="21"/>
        </w:rPr>
        <w:t>五、响应文件开启</w:t>
      </w:r>
    </w:p>
    <w:p>
      <w:pPr>
        <w:spacing w:line="400" w:lineRule="exact"/>
        <w:ind w:firstLine="420" w:firstLineChars="200"/>
        <w:rPr>
          <w:rFonts w:ascii="宋体" w:hAnsi="宋体" w:cs="Courier New"/>
          <w:szCs w:val="21"/>
          <w:u w:val="single"/>
        </w:rPr>
      </w:pPr>
      <w:r>
        <w:rPr>
          <w:rFonts w:hint="eastAsia" w:ascii="宋体" w:hAnsi="宋体" w:cs="Courier New"/>
          <w:szCs w:val="21"/>
        </w:rPr>
        <w:t>开启时间：</w:t>
      </w:r>
      <w:r>
        <w:rPr>
          <w:rFonts w:hint="eastAsia"/>
        </w:rPr>
        <w:t>202</w:t>
      </w:r>
      <w:r>
        <w:t>4</w:t>
      </w:r>
      <w:r>
        <w:rPr>
          <w:rFonts w:hint="eastAsia"/>
        </w:rPr>
        <w:t>年</w:t>
      </w:r>
      <w:r>
        <w:t>0</w:t>
      </w:r>
      <w:r>
        <w:rPr>
          <w:rFonts w:hint="eastAsia"/>
        </w:rPr>
        <w:t>6月</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 xml:space="preserve"> 日</w:t>
      </w:r>
      <w:r>
        <w:rPr>
          <w:rFonts w:hint="eastAsia"/>
          <w:color w:val="000000" w:themeColor="text1"/>
          <w:lang w:eastAsia="zh-CN"/>
          <w14:textFill>
            <w14:solidFill>
              <w14:schemeClr w14:val="tx1"/>
            </w14:solidFill>
          </w14:textFill>
        </w:rPr>
        <w:t>9:30</w:t>
      </w:r>
      <w:r>
        <w:rPr>
          <w:rFonts w:hint="eastAsia"/>
          <w:color w:val="000000" w:themeColor="text1"/>
          <w14:textFill>
            <w14:solidFill>
              <w14:schemeClr w14:val="tx1"/>
            </w14:solidFill>
          </w14:textFill>
        </w:rPr>
        <w:t>（北京时间）</w:t>
      </w:r>
    </w:p>
    <w:p>
      <w:pPr>
        <w:spacing w:line="400" w:lineRule="exact"/>
        <w:ind w:firstLine="420"/>
        <w:rPr>
          <w:rFonts w:ascii="宋体" w:hAnsi="宋体" w:cs="Courier New"/>
          <w:szCs w:val="21"/>
        </w:rPr>
      </w:pPr>
      <w:r>
        <w:rPr>
          <w:rFonts w:hint="eastAsia" w:ascii="宋体" w:hAnsi="宋体" w:cs="Courier New"/>
          <w:szCs w:val="21"/>
        </w:rPr>
        <w:t>地点：</w:t>
      </w:r>
      <w:bookmarkStart w:id="25" w:name="_Toc35393625"/>
      <w:bookmarkStart w:id="26" w:name="_Toc35393794"/>
      <w:bookmarkStart w:id="27" w:name="_Toc28359007"/>
      <w:bookmarkStart w:id="28" w:name="_Toc28359084"/>
      <w:r>
        <w:rPr>
          <w:rFonts w:hint="eastAsia" w:ascii="宋体" w:hAnsi="宋体" w:cs="Courier New"/>
          <w:szCs w:val="21"/>
        </w:rPr>
        <w:t>广西钦州市金海湾东大街8号市政务服务中心三楼开标室</w:t>
      </w:r>
    </w:p>
    <w:p>
      <w:pPr>
        <w:spacing w:line="400" w:lineRule="exact"/>
        <w:rPr>
          <w:b/>
        </w:rPr>
      </w:pPr>
      <w:r>
        <w:rPr>
          <w:rFonts w:hint="eastAsia"/>
          <w:b/>
        </w:rPr>
        <w:t>六、公告期限</w:t>
      </w:r>
      <w:bookmarkEnd w:id="25"/>
      <w:bookmarkEnd w:id="26"/>
      <w:bookmarkEnd w:id="27"/>
      <w:bookmarkEnd w:id="28"/>
    </w:p>
    <w:p>
      <w:pPr>
        <w:spacing w:line="400" w:lineRule="exact"/>
        <w:ind w:firstLine="420"/>
      </w:pPr>
      <w:r>
        <w:rPr>
          <w:rFonts w:hint="eastAsia"/>
        </w:rPr>
        <w:t>自本公告发布之日起</w:t>
      </w:r>
      <w:r>
        <w:t>5</w:t>
      </w:r>
      <w:r>
        <w:rPr>
          <w:rFonts w:hint="eastAsia"/>
        </w:rPr>
        <w:t>个工作日。</w:t>
      </w:r>
    </w:p>
    <w:p>
      <w:pPr>
        <w:spacing w:line="400" w:lineRule="exact"/>
        <w:rPr>
          <w:b/>
        </w:rPr>
      </w:pPr>
      <w:bookmarkStart w:id="29" w:name="_Toc35393627"/>
      <w:bookmarkStart w:id="30" w:name="_Toc28359085"/>
      <w:bookmarkStart w:id="31" w:name="_Toc35393796"/>
      <w:bookmarkStart w:id="32" w:name="_Toc28359008"/>
      <w:r>
        <w:rPr>
          <w:rFonts w:hint="eastAsia"/>
          <w:b/>
        </w:rPr>
        <w:t>七、其他补充事宜</w:t>
      </w:r>
    </w:p>
    <w:p>
      <w:pPr>
        <w:spacing w:line="400" w:lineRule="exact"/>
        <w:ind w:firstLine="420"/>
        <w:rPr>
          <w:color w:val="000000"/>
        </w:rPr>
      </w:pPr>
      <w:r>
        <w:rPr>
          <w:rFonts w:hint="eastAsia"/>
        </w:rPr>
        <w:t>1</w:t>
      </w:r>
      <w:r>
        <w:t>.</w:t>
      </w:r>
      <w:r>
        <w:rPr>
          <w:rFonts w:hint="eastAsia"/>
          <w:bCs/>
        </w:rPr>
        <w:t>本项目须要落实的政府采购政策</w:t>
      </w:r>
      <w:r>
        <w:rPr>
          <w:rFonts w:hint="eastAsia"/>
          <w:b/>
        </w:rPr>
        <w:t>：</w:t>
      </w:r>
      <w:r>
        <w:rPr>
          <w:rFonts w:hint="eastAsia"/>
        </w:rPr>
        <w:t>《政府采购促进中小企业发展管理办法》（财库﹝</w:t>
      </w:r>
      <w:r>
        <w:t>2020</w:t>
      </w:r>
      <w:r>
        <w:rPr>
          <w:rFonts w:hint="eastAsia"/>
        </w:rPr>
        <w:t>﹞</w:t>
      </w:r>
      <w:r>
        <w:t>46</w:t>
      </w:r>
      <w:r>
        <w:rPr>
          <w:rFonts w:hint="eastAsia"/>
        </w:rPr>
        <w:t>号）</w:t>
      </w:r>
      <w:r>
        <w:rPr>
          <w:rFonts w:hint="eastAsia"/>
          <w:color w:val="000000"/>
        </w:rPr>
        <w:t>、</w:t>
      </w:r>
      <w:r>
        <w:rPr>
          <w:rFonts w:hint="eastAsia"/>
        </w:rPr>
        <w:t>《财政部</w:t>
      </w:r>
      <w:r>
        <w:t xml:space="preserve"> </w:t>
      </w:r>
      <w:r>
        <w:rPr>
          <w:rFonts w:hint="eastAsia"/>
        </w:rPr>
        <w:t>司法部关于政府采购支持监狱企业发展有关问题的通知》（财库</w:t>
      </w:r>
      <w:r>
        <w:t>﹝2014﹞68</w:t>
      </w:r>
      <w:r>
        <w:rPr>
          <w:rFonts w:hint="eastAsia"/>
        </w:rPr>
        <w:t>号）、《关于促进残疾人就业政府采购政策的通知》（财库</w:t>
      </w:r>
      <w:r>
        <w:t>﹝2017﹞141</w:t>
      </w:r>
      <w:r>
        <w:rPr>
          <w:rFonts w:hint="eastAsia"/>
        </w:rPr>
        <w:t>号）。</w:t>
      </w:r>
    </w:p>
    <w:p>
      <w:pPr>
        <w:spacing w:line="400" w:lineRule="exact"/>
        <w:ind w:firstLine="420"/>
        <w:rPr>
          <w:b/>
        </w:rPr>
      </w:pPr>
      <w:r>
        <w:t>2.</w:t>
      </w:r>
      <w:r>
        <w:rPr>
          <w:rFonts w:hint="eastAsia"/>
        </w:rPr>
        <w:t>磋商保证金：</w:t>
      </w:r>
      <w:bookmarkStart w:id="33" w:name="_Hlk166226144"/>
      <w:bookmarkStart w:id="34" w:name="_Hlk114046517"/>
      <w:r>
        <w:rPr>
          <w:rFonts w:hint="eastAsia"/>
        </w:rPr>
        <w:t>壹万</w:t>
      </w:r>
      <w:bookmarkEnd w:id="33"/>
      <w:r>
        <w:rPr>
          <w:rFonts w:hint="eastAsia"/>
          <w:lang w:val="en-US" w:eastAsia="zh-CN"/>
        </w:rPr>
        <w:t>陆</w:t>
      </w:r>
      <w:r>
        <w:rPr>
          <w:rFonts w:hint="eastAsia"/>
        </w:rPr>
        <w:t>仟元整(￥1</w:t>
      </w:r>
      <w:r>
        <w:rPr>
          <w:rFonts w:hint="eastAsia"/>
          <w:lang w:val="en-US" w:eastAsia="zh-CN"/>
        </w:rPr>
        <w:t>6</w:t>
      </w:r>
      <w:r>
        <w:rPr>
          <w:rFonts w:hint="eastAsia"/>
        </w:rPr>
        <w:t>,</w:t>
      </w:r>
      <w:r>
        <w:t>000.00)</w:t>
      </w:r>
      <w:bookmarkEnd w:id="34"/>
    </w:p>
    <w:p>
      <w:pPr>
        <w:spacing w:line="400" w:lineRule="exact"/>
        <w:ind w:firstLine="420"/>
      </w:pPr>
      <w:r>
        <w:rPr>
          <w:rFonts w:hint="eastAsia"/>
        </w:rPr>
        <w:t>提交形式:以支票、汇票、本票、网上银行支付或者金融机构、担保机构出具的保函等非现金形式提交。</w:t>
      </w:r>
    </w:p>
    <w:p>
      <w:pPr>
        <w:spacing w:line="400" w:lineRule="exact"/>
        <w:ind w:firstLine="420"/>
        <w:rPr>
          <w:b/>
        </w:rPr>
      </w:pPr>
      <w:bookmarkStart w:id="35" w:name="_Hlk91771226"/>
      <w:r>
        <w:rPr>
          <w:rFonts w:hint="eastAsia"/>
          <w:b/>
          <w:bCs/>
        </w:rPr>
        <w:t>以支票、汇票、本票、保函等形式提交保证金的，供应商必须将票据、保函等原件</w:t>
      </w:r>
      <w:bookmarkStart w:id="36" w:name="_Hlk92356410"/>
      <w:r>
        <w:rPr>
          <w:rFonts w:hint="eastAsia"/>
          <w:b/>
          <w:bCs/>
        </w:rPr>
        <w:t>于响应文件</w:t>
      </w:r>
      <w:bookmarkEnd w:id="36"/>
      <w:r>
        <w:rPr>
          <w:rFonts w:hint="eastAsia"/>
          <w:b/>
          <w:bCs/>
        </w:rPr>
        <w:t>提交截止时间前递交至本中心财务室</w:t>
      </w:r>
      <w:r>
        <w:rPr>
          <w:rFonts w:hint="eastAsia"/>
        </w:rPr>
        <w:t>（</w:t>
      </w:r>
      <w:r>
        <w:rPr>
          <w:rFonts w:hint="eastAsia" w:ascii="宋体" w:hAnsi="宋体" w:cs="宋体"/>
          <w:bCs/>
          <w:kern w:val="0"/>
          <w:szCs w:val="21"/>
        </w:rPr>
        <w:t>地址:广西钦州市钦南区水东街区金海湾东大街8号市政务服务中心二楼市政府采购中心财务室，</w:t>
      </w:r>
      <w:r>
        <w:rPr>
          <w:rFonts w:hint="eastAsia"/>
        </w:rPr>
        <w:t>联系方式:0</w:t>
      </w:r>
      <w:r>
        <w:t>777</w:t>
      </w:r>
      <w:r>
        <w:rPr>
          <w:rFonts w:hint="eastAsia"/>
        </w:rPr>
        <w:t>-</w:t>
      </w:r>
      <w:r>
        <w:t>2886026</w:t>
      </w:r>
      <w:r>
        <w:rPr>
          <w:rFonts w:hint="eastAsia"/>
        </w:rPr>
        <w:t>）。</w:t>
      </w:r>
    </w:p>
    <w:bookmarkEnd w:id="35"/>
    <w:p>
      <w:pPr>
        <w:spacing w:line="400" w:lineRule="exact"/>
        <w:ind w:firstLine="420"/>
      </w:pPr>
      <w:r>
        <w:rPr>
          <w:rFonts w:hint="eastAsia"/>
        </w:rPr>
        <w:t>网上银行支付形式提交的，供应商必须于响应文件提交截止时间前从供应商账户缴存至本中心银行账户（以到账时间为准）。</w:t>
      </w:r>
    </w:p>
    <w:p>
      <w:pPr>
        <w:spacing w:line="400" w:lineRule="exact"/>
        <w:ind w:firstLine="420"/>
      </w:pPr>
      <w:r>
        <w:rPr>
          <w:rFonts w:hint="eastAsia"/>
        </w:rPr>
        <w:t>本中心银行账户：</w:t>
      </w:r>
    </w:p>
    <w:p>
      <w:pPr>
        <w:spacing w:line="400" w:lineRule="exact"/>
        <w:ind w:firstLine="420"/>
      </w:pPr>
      <w:r>
        <w:rPr>
          <w:rFonts w:hint="eastAsia"/>
        </w:rPr>
        <w:t>开户名称:钦州市政府采购中心</w:t>
      </w:r>
    </w:p>
    <w:p>
      <w:pPr>
        <w:spacing w:line="400" w:lineRule="exact"/>
        <w:ind w:firstLine="420"/>
      </w:pPr>
      <w:r>
        <w:rPr>
          <w:rFonts w:hint="eastAsia"/>
        </w:rPr>
        <w:t>开户银行:中国工商银行股份有限公司钦州市永福东支行</w:t>
      </w:r>
    </w:p>
    <w:p>
      <w:pPr>
        <w:spacing w:line="400" w:lineRule="exact"/>
        <w:ind w:firstLine="420"/>
      </w:pPr>
      <w:r>
        <w:rPr>
          <w:rFonts w:hint="eastAsia"/>
        </w:rPr>
        <w:t>银行账号:2115591229100078724</w:t>
      </w:r>
    </w:p>
    <w:p>
      <w:pPr>
        <w:spacing w:line="40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注：供应商无法选择以上开户银行的，请选择“中国工商银行股份有限公司钦州分行”进行缴存。</w:t>
      </w:r>
    </w:p>
    <w:p>
      <w:pPr>
        <w:spacing w:line="400" w:lineRule="exact"/>
        <w:ind w:firstLine="420"/>
      </w:pPr>
      <w:r>
        <w:t>3.</w:t>
      </w:r>
      <w:bookmarkStart w:id="37" w:name="_Hlk91598380"/>
      <w:r>
        <w:rPr>
          <w:rFonts w:hint="eastAsia"/>
        </w:rPr>
        <w:t>全流程电子化</w:t>
      </w:r>
      <w:bookmarkEnd w:id="37"/>
      <w:r>
        <w:rPr>
          <w:rFonts w:hint="eastAsia"/>
        </w:rPr>
        <w:t>要求：</w:t>
      </w:r>
    </w:p>
    <w:p>
      <w:pPr>
        <w:spacing w:line="400" w:lineRule="exact"/>
        <w:ind w:firstLine="420"/>
      </w:pPr>
      <w:r>
        <w:rPr>
          <w:rFonts w:hint="eastAsia"/>
        </w:rPr>
        <w:t>本项目为全流程电子化项目，供应商应做好参与全流程电子化交易的充分准备，熟悉掌握电子化采购项目操作指南</w:t>
      </w:r>
      <w:r>
        <w:rPr>
          <w:rFonts w:hint="eastAsia"/>
          <w:color w:val="000000" w:themeColor="text1"/>
          <w14:textFill>
            <w14:solidFill>
              <w14:schemeClr w14:val="tx1"/>
            </w14:solidFill>
          </w14:textFill>
        </w:rPr>
        <w:t>(操作指南：</w:t>
      </w:r>
      <w:r>
        <w:fldChar w:fldCharType="begin"/>
      </w:r>
      <w:r>
        <w:instrText xml:space="preserve"> HYPERLINK "https://helpcenter.zcygov.cn/document/" \l "/document/dashboard?siteCode=beijing&amp;channel=dt" </w:instrText>
      </w:r>
      <w:r>
        <w:fldChar w:fldCharType="separate"/>
      </w:r>
      <w:r>
        <w:rPr>
          <w:rStyle w:val="46"/>
          <w:rFonts w:hint="eastAsia"/>
          <w:color w:val="000000" w:themeColor="text1"/>
          <w14:textFill>
            <w14:solidFill>
              <w14:schemeClr w14:val="tx1"/>
            </w14:solidFill>
          </w14:textFill>
        </w:rPr>
        <w:t>政采云电子卖场首页右上角—服务中心—帮助文档—项目采购</w:t>
      </w:r>
      <w:r>
        <w:rPr>
          <w:rStyle w:val="4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)，及时完成CA申领和绑定(操作指南：</w:t>
      </w:r>
      <w:r>
        <w:fldChar w:fldCharType="begin"/>
      </w:r>
      <w:r>
        <w:instrText xml:space="preserve"> HYPERLINK "https://helpcenter.zcygov.cn/document/" \l "/document/detail?siteCode=beijing&amp;manualId=795&amp;topicId=4081" </w:instrText>
      </w:r>
      <w:r>
        <w:fldChar w:fldCharType="separate"/>
      </w:r>
      <w:r>
        <w:rPr>
          <w:rStyle w:val="46"/>
          <w:rFonts w:hint="eastAsia"/>
          <w:color w:val="000000" w:themeColor="text1"/>
          <w14:textFill>
            <w14:solidFill>
              <w14:schemeClr w14:val="tx1"/>
            </w14:solidFill>
          </w14:textFill>
        </w:rPr>
        <w:t>政采云电子卖场首页右上角—帮助文档—入驻与配置—CA管理</w:t>
      </w:r>
      <w:r>
        <w:rPr>
          <w:rStyle w:val="4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；CA证书申领路径：</w:t>
      </w:r>
      <w:r>
        <w:fldChar w:fldCharType="begin"/>
      </w:r>
      <w:r>
        <w:instrText xml:space="preserve"> HYPERLINK "https://helpcenter.zcygov.cn/document/" \l "/document/detail?siteCode=beijing&amp;manualId=795&amp;topicId=4083" </w:instrText>
      </w:r>
      <w:r>
        <w:fldChar w:fldCharType="separate"/>
      </w:r>
      <w:r>
        <w:rPr>
          <w:rStyle w:val="46"/>
          <w:rFonts w:hint="eastAsia"/>
          <w:color w:val="000000" w:themeColor="text1"/>
          <w14:textFill>
            <w14:solidFill>
              <w14:schemeClr w14:val="tx1"/>
            </w14:solidFill>
          </w14:textFill>
        </w:rPr>
        <w:t>政采云平台—我的工作台右上角—CA管理—CA证书申领</w:t>
      </w:r>
      <w:r>
        <w:rPr>
          <w:rStyle w:val="4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w:t>
      </w:r>
      <w:r>
        <w:rPr>
          <w:rFonts w:hint="eastAsia"/>
        </w:rPr>
        <w:t>。因未注册入库、未办理CA数字证书、CA证书故障、操作不当等原因造成磋商失败等后果由供应商承担。</w:t>
      </w:r>
    </w:p>
    <w:p>
      <w:pPr>
        <w:spacing w:line="400" w:lineRule="exact"/>
        <w:ind w:firstLine="420"/>
      </w:pPr>
      <w:r>
        <w:t>(1)</w:t>
      </w:r>
      <w:r>
        <w:rPr>
          <w:rFonts w:hint="eastAsia"/>
        </w:rPr>
        <w:t>依法获取采购文件：供应商须在获取采购文件时间内登陆</w:t>
      </w:r>
      <w:r>
        <w:fldChar w:fldCharType="begin"/>
      </w:r>
      <w:r>
        <w:instrText xml:space="preserve"> HYPERLINK "https://www.gcy.zfcg.gxzf.gov.cn/" </w:instrText>
      </w:r>
      <w:r>
        <w:fldChar w:fldCharType="separate"/>
      </w:r>
      <w:r>
        <w:rPr>
          <w:rStyle w:val="46"/>
          <w:rFonts w:hint="eastAsia"/>
          <w:color w:val="auto"/>
        </w:rPr>
        <w:t>政采云平台</w:t>
      </w:r>
      <w:r>
        <w:rPr>
          <w:rStyle w:val="46"/>
          <w:rFonts w:hint="eastAsia"/>
          <w:color w:val="auto"/>
        </w:rPr>
        <w:fldChar w:fldCharType="end"/>
      </w:r>
      <w:r>
        <w:rPr>
          <w:rFonts w:hint="eastAsia"/>
        </w:rPr>
        <w:t>申请下载采购文件才视作依法获取采购文件。</w:t>
      </w:r>
    </w:p>
    <w:p>
      <w:pPr>
        <w:spacing w:line="400" w:lineRule="exact"/>
        <w:ind w:firstLine="420"/>
        <w:rPr>
          <w:b/>
        </w:rPr>
      </w:pPr>
      <w:r>
        <w:rPr>
          <w:rFonts w:hint="eastAsia"/>
        </w:rPr>
        <w:t>(</w:t>
      </w:r>
      <w:r>
        <w:t>2)</w:t>
      </w:r>
      <w:r>
        <w:rPr>
          <w:rFonts w:hint="eastAsia"/>
        </w:rPr>
        <w:t>供应商应通过广西政府采购云平台客户端制作响应文件，供应商自行前往下载安装（</w:t>
      </w:r>
      <w:r>
        <w:fldChar w:fldCharType="begin"/>
      </w:r>
      <w:r>
        <w:instrText xml:space="preserve"> HYPERLINK "https://sitecdn.zcycdn.com/zcy-client/bidding-client-new/official/guangxi/GuangXiSetup.exe" </w:instrText>
      </w:r>
      <w:r>
        <w:fldChar w:fldCharType="separate"/>
      </w:r>
      <w:r>
        <w:rPr>
          <w:rFonts w:hint="eastAsia"/>
        </w:rPr>
        <w:t>客户端下载</w:t>
      </w:r>
      <w:r>
        <w:rPr>
          <w:rFonts w:hint="eastAsia"/>
        </w:rPr>
        <w:fldChar w:fldCharType="end"/>
      </w:r>
      <w:r>
        <w:rPr>
          <w:rFonts w:hint="eastAsia"/>
        </w:rPr>
        <w:t>）。</w:t>
      </w:r>
    </w:p>
    <w:p>
      <w:pPr>
        <w:spacing w:line="400" w:lineRule="exact"/>
        <w:ind w:firstLine="420"/>
      </w:pPr>
      <w:r>
        <w:rPr>
          <w:rFonts w:hint="eastAsia"/>
        </w:rPr>
        <w:t>(</w:t>
      </w:r>
      <w:r>
        <w:t>3)</w:t>
      </w:r>
      <w:r>
        <w:rPr>
          <w:rFonts w:hint="eastAsia"/>
        </w:rPr>
        <w:t>供应商须按照采购文件和政采云平台的要求进行编制、上传、加密、提交、解密响应文件，响应文件提交截止时间后，政采云平台自动提取全部响应文件，各供应商须在提交截止时间后30分钟内对已上传政采云平台的响应文件进行解密，参与本项目的全部供应商在规定的解密时限内解密完成或解密时限结束后，我中心开启响应文件；供应商在解密时限内未完成解密的，政采云平台默认为供应商放弃参与本项目。</w:t>
      </w:r>
    </w:p>
    <w:p>
      <w:pPr>
        <w:spacing w:line="400" w:lineRule="exact"/>
        <w:ind w:firstLine="420"/>
        <w:rPr>
          <w:b/>
        </w:rPr>
      </w:pPr>
      <w:r>
        <w:rPr>
          <w:rFonts w:hint="eastAsia"/>
        </w:rPr>
        <w:t>(</w:t>
      </w:r>
      <w:r>
        <w:t>4)</w:t>
      </w:r>
      <w:r>
        <w:rPr>
          <w:rFonts w:hint="eastAsia"/>
        </w:rPr>
        <w:t>供应商法定代表人或委托代理人须按时登陆</w:t>
      </w:r>
      <w:bookmarkStart w:id="38" w:name="_Hlk90367388"/>
      <w:r>
        <w:rPr>
          <w:rFonts w:hint="eastAsia" w:ascii="宋体" w:hAnsi="宋体" w:cs="Courier New"/>
          <w:szCs w:val="21"/>
        </w:rPr>
        <w:t>政采云远程开标大厅</w:t>
      </w:r>
      <w:bookmarkEnd w:id="38"/>
      <w:r>
        <w:rPr>
          <w:rFonts w:hint="eastAsia"/>
        </w:rPr>
        <w:t>，保持全程在线并关注评审磋商进度，评审期间磋商小组提出澄清等要求时，供应商须在规定时间内进行应答，否则按采购文件或政采云平台的相关规定执行。</w:t>
      </w:r>
    </w:p>
    <w:p>
      <w:pPr>
        <w:spacing w:line="400" w:lineRule="exact"/>
        <w:ind w:firstLine="420"/>
        <w:rPr>
          <w:rFonts w:hAnsi="宋体"/>
        </w:rPr>
      </w:pPr>
      <w:r>
        <w:rPr>
          <w:rFonts w:hint="eastAsia"/>
        </w:rPr>
        <w:t>(</w:t>
      </w:r>
      <w:r>
        <w:t>5)</w:t>
      </w:r>
      <w:r>
        <w:rPr>
          <w:rFonts w:hint="eastAsia"/>
        </w:rPr>
        <w:t>供应商参与磋商过程中涉及政采云平台的问题，请咨询政采云</w:t>
      </w:r>
      <w:r>
        <w:rPr>
          <w:rFonts w:hint="eastAsia" w:hAnsi="宋体"/>
        </w:rPr>
        <w:t>技术支持热线：</w:t>
      </w:r>
      <w:r>
        <w:rPr>
          <w:rFonts w:hAnsi="宋体"/>
        </w:rPr>
        <w:t>95763</w:t>
      </w:r>
      <w:r>
        <w:rPr>
          <w:rFonts w:hint="eastAsia" w:hAnsi="宋体"/>
        </w:rPr>
        <w:t>。</w:t>
      </w:r>
    </w:p>
    <w:p>
      <w:pPr>
        <w:spacing w:line="400" w:lineRule="exact"/>
        <w:ind w:firstLine="420"/>
        <w:jc w:val="left"/>
        <w:rPr>
          <w:rFonts w:hAnsi="宋体"/>
        </w:rPr>
      </w:pPr>
      <w:r>
        <w:rPr>
          <w:rFonts w:hAnsi="宋体"/>
        </w:rPr>
        <w:t>4.</w:t>
      </w:r>
      <w:r>
        <w:rPr>
          <w:rFonts w:hint="eastAsia" w:hAnsi="宋体"/>
        </w:rPr>
        <w:t>查询媒体：中国政府采购网、</w:t>
      </w:r>
      <w:r>
        <w:fldChar w:fldCharType="begin"/>
      </w:r>
      <w:r>
        <w:instrText xml:space="preserve"> HYPERLINK "http://zfcg.gxzf.gov.cn/" </w:instrText>
      </w:r>
      <w:r>
        <w:fldChar w:fldCharType="separate"/>
      </w:r>
      <w:r>
        <w:rPr>
          <w:rStyle w:val="46"/>
          <w:rFonts w:hint="eastAsia" w:hAnsi="宋体"/>
          <w:color w:val="auto"/>
          <w:u w:val="none"/>
        </w:rPr>
        <w:t>广西政府采购网</w:t>
      </w:r>
      <w:r>
        <w:rPr>
          <w:rStyle w:val="46"/>
          <w:rFonts w:hint="eastAsia" w:hAnsi="宋体"/>
          <w:color w:val="auto"/>
          <w:u w:val="none"/>
        </w:rPr>
        <w:fldChar w:fldCharType="end"/>
      </w:r>
      <w:r>
        <w:rPr>
          <w:rFonts w:hint="eastAsia" w:hAnsi="宋体"/>
        </w:rPr>
        <w:t>。</w:t>
      </w:r>
    </w:p>
    <w:p>
      <w:pPr>
        <w:spacing w:line="400" w:lineRule="exact"/>
        <w:ind w:firstLine="420"/>
        <w:jc w:val="left"/>
        <w:rPr>
          <w:rFonts w:hAnsi="宋体"/>
          <w:color w:val="000000"/>
        </w:rPr>
      </w:pPr>
      <w:bookmarkStart w:id="39" w:name="_Hlk107409555"/>
      <w:bookmarkStart w:id="40" w:name="_Hlk108515619"/>
      <w:r>
        <w:rPr>
          <w:rFonts w:hAnsi="宋体"/>
          <w:color w:val="000000"/>
        </w:rPr>
        <w:t>5.</w:t>
      </w:r>
      <w:r>
        <w:rPr>
          <w:rFonts w:hint="eastAsia" w:hAnsi="宋体"/>
          <w:color w:val="000000"/>
        </w:rPr>
        <w:t>咨询：</w:t>
      </w:r>
    </w:p>
    <w:p>
      <w:pPr>
        <w:spacing w:line="400" w:lineRule="exact"/>
        <w:ind w:firstLine="420"/>
        <w:jc w:val="left"/>
        <w:rPr>
          <w:rFonts w:hAnsi="宋体"/>
          <w:color w:val="000000"/>
        </w:rPr>
      </w:pPr>
      <w:r>
        <w:rPr>
          <w:rFonts w:hAnsi="宋体"/>
          <w:color w:val="000000"/>
        </w:rPr>
        <w:t>(1)</w:t>
      </w:r>
      <w:r>
        <w:rPr>
          <w:rFonts w:hint="eastAsia" w:hAnsi="宋体"/>
          <w:color w:val="000000"/>
        </w:rPr>
        <w:t>采购部(采购文件</w:t>
      </w:r>
      <w:r>
        <w:rPr>
          <w:rFonts w:hAnsi="宋体"/>
          <w:color w:val="000000"/>
        </w:rPr>
        <w:t>)</w:t>
      </w:r>
    </w:p>
    <w:p>
      <w:pPr>
        <w:spacing w:line="400" w:lineRule="exact"/>
        <w:ind w:firstLine="420"/>
        <w:jc w:val="left"/>
        <w:rPr>
          <w:rFonts w:hAnsi="宋体"/>
          <w:color w:val="000000"/>
        </w:rPr>
      </w:pPr>
      <w:r>
        <w:rPr>
          <w:rFonts w:hint="eastAsia" w:hAnsi="宋体"/>
          <w:color w:val="000000"/>
        </w:rPr>
        <w:t>联系人：</w:t>
      </w:r>
      <w:r>
        <w:rPr>
          <w:rFonts w:hint="eastAsia" w:hAnsi="宋体"/>
          <w:color w:val="000000"/>
          <w:lang w:val="en-US" w:eastAsia="zh-CN"/>
        </w:rPr>
        <w:t>梁林明</w:t>
      </w:r>
      <w:r>
        <w:rPr>
          <w:rFonts w:hint="eastAsia" w:hAnsi="宋体"/>
          <w:color w:val="000000"/>
        </w:rPr>
        <w:t xml:space="preserve"> </w:t>
      </w:r>
      <w:r>
        <w:rPr>
          <w:rFonts w:hAnsi="宋体"/>
          <w:color w:val="000000"/>
        </w:rPr>
        <w:t xml:space="preserve">  </w:t>
      </w:r>
      <w:r>
        <w:rPr>
          <w:rFonts w:hint="eastAsia" w:hAnsi="宋体"/>
          <w:color w:val="000000"/>
        </w:rPr>
        <w:t>联系方式：0777-2886022</w:t>
      </w:r>
    </w:p>
    <w:p>
      <w:pPr>
        <w:spacing w:line="400" w:lineRule="exact"/>
        <w:ind w:firstLine="420"/>
        <w:jc w:val="left"/>
        <w:rPr>
          <w:rFonts w:hAnsi="宋体"/>
          <w:color w:val="000000"/>
        </w:rPr>
      </w:pPr>
      <w:r>
        <w:rPr>
          <w:rFonts w:hint="eastAsia" w:hAnsi="宋体"/>
          <w:color w:val="000000"/>
        </w:rPr>
        <w:t>(</w:t>
      </w:r>
      <w:r>
        <w:rPr>
          <w:rFonts w:hAnsi="宋体"/>
          <w:color w:val="000000"/>
        </w:rPr>
        <w:t>2)</w:t>
      </w:r>
      <w:r>
        <w:rPr>
          <w:rFonts w:hint="eastAsia" w:hAnsi="宋体"/>
          <w:color w:val="000000"/>
        </w:rPr>
        <w:t>综合二部(保证金、评审、磋商、成交及合同管理)</w:t>
      </w:r>
    </w:p>
    <w:p>
      <w:pPr>
        <w:spacing w:line="400" w:lineRule="exact"/>
        <w:ind w:firstLine="420"/>
        <w:jc w:val="left"/>
        <w:rPr>
          <w:rFonts w:hAnsi="宋体"/>
          <w:color w:val="000000"/>
        </w:rPr>
      </w:pPr>
      <w:r>
        <w:rPr>
          <w:rFonts w:hint="eastAsia" w:hAnsi="宋体"/>
          <w:color w:val="000000"/>
        </w:rPr>
        <w:t xml:space="preserve">联系人：陈启梅、陈侃 </w:t>
      </w:r>
      <w:r>
        <w:rPr>
          <w:rFonts w:hAnsi="宋体"/>
          <w:color w:val="000000"/>
        </w:rPr>
        <w:t xml:space="preserve">  </w:t>
      </w:r>
      <w:r>
        <w:rPr>
          <w:rFonts w:hint="eastAsia" w:hAnsi="宋体"/>
          <w:color w:val="000000"/>
        </w:rPr>
        <w:t>联系方式：0777-2886006</w:t>
      </w:r>
      <w:bookmarkEnd w:id="39"/>
    </w:p>
    <w:bookmarkEnd w:id="40"/>
    <w:p>
      <w:pPr>
        <w:spacing w:line="400" w:lineRule="exact"/>
        <w:rPr>
          <w:b/>
        </w:rPr>
      </w:pPr>
      <w:r>
        <w:rPr>
          <w:rFonts w:hint="eastAsia"/>
          <w:b/>
        </w:rPr>
        <w:t>八、对本次采购项目提出询问，请按</w:t>
      </w:r>
      <w:r>
        <w:rPr>
          <w:b/>
        </w:rPr>
        <w:t>以下方式</w:t>
      </w:r>
      <w:r>
        <w:rPr>
          <w:rFonts w:hint="eastAsia"/>
          <w:b/>
        </w:rPr>
        <w:t>联系</w:t>
      </w:r>
      <w:bookmarkEnd w:id="29"/>
      <w:bookmarkEnd w:id="30"/>
      <w:bookmarkEnd w:id="31"/>
      <w:bookmarkEnd w:id="32"/>
    </w:p>
    <w:p>
      <w:pPr>
        <w:spacing w:line="400" w:lineRule="exact"/>
        <w:ind w:firstLine="420" w:firstLineChars="200"/>
        <w:rPr>
          <w:color w:val="000000" w:themeColor="text1"/>
          <w14:textFill>
            <w14:solidFill>
              <w14:schemeClr w14:val="tx1"/>
            </w14:solidFill>
          </w14:textFill>
        </w:rPr>
      </w:pPr>
      <w:r>
        <w:rPr>
          <w:rFonts w:hint="eastAsia"/>
        </w:rPr>
        <w:t>1.采购人信息</w:t>
      </w:r>
      <w:bookmarkEnd w:id="8"/>
    </w:p>
    <w:p>
      <w:pPr>
        <w:spacing w:line="400" w:lineRule="exact"/>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名称：</w:t>
      </w:r>
      <w:bookmarkStart w:id="41" w:name="_Toc38370147"/>
      <w:r>
        <w:rPr>
          <w:rFonts w:hint="eastAsia"/>
          <w:color w:val="000000" w:themeColor="text1"/>
          <w14:textFill>
            <w14:solidFill>
              <w14:schemeClr w14:val="tx1"/>
            </w14:solidFill>
          </w14:textFill>
        </w:rPr>
        <w:t>钦州市中级人民法院</w:t>
      </w:r>
    </w:p>
    <w:p>
      <w:pPr>
        <w:spacing w:line="400" w:lineRule="exact"/>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地址：钦州市钦南区金海湾东大街123号　</w:t>
      </w:r>
    </w:p>
    <w:p>
      <w:pPr>
        <w:spacing w:line="400" w:lineRule="exact"/>
        <w:ind w:firstLine="42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联系方式：0777-3687128　</w:t>
      </w:r>
    </w:p>
    <w:bookmarkEnd w:id="41"/>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2.采购代理机构信息</w:t>
      </w:r>
    </w:p>
    <w:p>
      <w:pPr>
        <w:spacing w:line="400" w:lineRule="exact"/>
        <w:ind w:firstLine="420" w:firstLineChars="200"/>
      </w:pPr>
      <w:r>
        <w:rPr>
          <w:rFonts w:hint="eastAsia"/>
        </w:rPr>
        <w:t>名称：钦州市政府采购中心</w:t>
      </w:r>
    </w:p>
    <w:p>
      <w:pPr>
        <w:spacing w:line="400" w:lineRule="exact"/>
        <w:ind w:firstLine="420" w:firstLineChars="200"/>
      </w:pPr>
      <w:r>
        <w:rPr>
          <w:rFonts w:hint="eastAsia"/>
        </w:rPr>
        <w:t>地址：钦州市金海湾东大街8号</w:t>
      </w:r>
    </w:p>
    <w:p>
      <w:pPr>
        <w:spacing w:line="400" w:lineRule="exact"/>
        <w:ind w:firstLine="420" w:firstLineChars="200"/>
      </w:pPr>
      <w:r>
        <w:rPr>
          <w:rFonts w:hint="eastAsia"/>
        </w:rPr>
        <w:t>项目联系人：</w:t>
      </w:r>
      <w:r>
        <w:rPr>
          <w:rFonts w:hint="eastAsia"/>
          <w:lang w:val="en-US" w:eastAsia="zh-CN"/>
        </w:rPr>
        <w:t>梁林明</w:t>
      </w:r>
      <w:r>
        <w:rPr>
          <w:rFonts w:hint="eastAsia"/>
        </w:rPr>
        <w:t>、陈启梅、陈侃</w:t>
      </w:r>
    </w:p>
    <w:p>
      <w:pPr>
        <w:spacing w:line="400" w:lineRule="exact"/>
        <w:ind w:firstLine="420" w:firstLineChars="200"/>
      </w:pPr>
      <w:r>
        <w:rPr>
          <w:rFonts w:hint="eastAsia"/>
        </w:rPr>
        <w:t>项目联系方式：</w:t>
      </w:r>
      <w:bookmarkStart w:id="42" w:name="_Toc28359010"/>
      <w:bookmarkStart w:id="43" w:name="_Toc28359087"/>
      <w:r>
        <w:t>0777-2886022</w:t>
      </w:r>
      <w:r>
        <w:rPr>
          <w:rFonts w:hint="eastAsia"/>
        </w:rPr>
        <w:t>、2</w:t>
      </w:r>
      <w:r>
        <w:t>886006</w:t>
      </w:r>
    </w:p>
    <w:p>
      <w:pPr>
        <w:widowControl/>
        <w:jc w:val="left"/>
      </w:pPr>
      <w:r>
        <w:br w:type="page"/>
      </w:r>
    </w:p>
    <w:p/>
    <w:bookmarkEnd w:id="42"/>
    <w:bookmarkEnd w:id="43"/>
    <w:p/>
    <w:p/>
    <w:p/>
    <w:p/>
    <w:p/>
    <w:p/>
    <w:p/>
    <w:p/>
    <w:p/>
    <w:p/>
    <w:p/>
    <w:p/>
    <w:p>
      <w:pPr>
        <w:pStyle w:val="3"/>
        <w:spacing w:line="400" w:lineRule="exact"/>
        <w:rPr>
          <w:rFonts w:ascii="方正小标宋_GBK" w:hAnsi="宋体" w:eastAsia="方正小标宋_GBK"/>
        </w:rPr>
      </w:pPr>
      <w:bookmarkStart w:id="44" w:name="_Toc92355024"/>
      <w:r>
        <w:rPr>
          <w:rFonts w:hint="eastAsia" w:ascii="方正小标宋_GBK" w:hAnsi="宋体" w:eastAsia="方正小标宋_GBK"/>
        </w:rPr>
        <w:t>第二章  项目需求</w:t>
      </w:r>
      <w:bookmarkEnd w:id="44"/>
    </w:p>
    <w:p>
      <w:pPr>
        <w:spacing w:line="440" w:lineRule="exact"/>
        <w:jc w:val="center"/>
        <w:rPr>
          <w:rFonts w:ascii="宋体" w:hAnsi="宋体"/>
          <w:b/>
          <w:szCs w:val="21"/>
        </w:rPr>
      </w:pPr>
      <w:r>
        <w:rPr>
          <w:rFonts w:ascii="宋体" w:hAnsi="宋体"/>
          <w:b/>
          <w:szCs w:val="21"/>
        </w:rPr>
        <w:br w:type="page"/>
      </w:r>
    </w:p>
    <w:p>
      <w:pPr>
        <w:spacing w:line="440" w:lineRule="exact"/>
        <w:jc w:val="center"/>
        <w:rPr>
          <w:rFonts w:ascii="宋体" w:hAnsi="宋体"/>
          <w:b/>
          <w:sz w:val="36"/>
          <w:szCs w:val="36"/>
        </w:rPr>
      </w:pPr>
      <w:r>
        <w:rPr>
          <w:rFonts w:hint="eastAsia" w:ascii="宋体" w:hAnsi="宋体"/>
          <w:b/>
          <w:sz w:val="36"/>
          <w:szCs w:val="36"/>
        </w:rPr>
        <w:t>项目需求</w:t>
      </w:r>
      <w:bookmarkStart w:id="45" w:name="_Toc354479498"/>
      <w:bookmarkStart w:id="46" w:name="_Toc358477280"/>
    </w:p>
    <w:p>
      <w:pPr>
        <w:spacing w:line="400" w:lineRule="exact"/>
        <w:rPr>
          <w:rFonts w:ascii="宋体" w:hAnsi="宋体"/>
          <w:szCs w:val="21"/>
          <w:u w:val="single"/>
        </w:rPr>
      </w:pPr>
      <w:r>
        <w:rPr>
          <w:rFonts w:hint="eastAsia" w:ascii="宋体" w:hAnsi="宋体"/>
          <w:szCs w:val="21"/>
        </w:rPr>
        <w:t>一、本项目</w:t>
      </w:r>
      <w:r>
        <w:rPr>
          <w:rFonts w:hint="eastAsia" w:ascii="宋体" w:hAnsi="宋体" w:eastAsia="宋体"/>
          <w:color w:val="000000" w:themeColor="text1"/>
          <w:szCs w:val="21"/>
          <w:lang w:val="en-US" w:eastAsia="zh-CN"/>
          <w14:textFill>
            <w14:solidFill>
              <w14:schemeClr w14:val="tx1"/>
            </w14:solidFill>
          </w14:textFill>
        </w:rPr>
        <w:t>预算金额</w:t>
      </w:r>
      <w:r>
        <w:rPr>
          <w:rFonts w:hint="eastAsia" w:ascii="宋体" w:hAnsi="宋体"/>
          <w:szCs w:val="21"/>
        </w:rPr>
        <w:t>：壹佰</w:t>
      </w:r>
      <w:r>
        <w:rPr>
          <w:rFonts w:hint="eastAsia" w:ascii="宋体" w:hAnsi="宋体"/>
          <w:szCs w:val="21"/>
          <w:lang w:val="en-US" w:eastAsia="zh-CN"/>
        </w:rPr>
        <w:t>陆</w:t>
      </w:r>
      <w:r>
        <w:rPr>
          <w:rFonts w:hint="eastAsia" w:ascii="宋体" w:hAnsi="宋体"/>
          <w:szCs w:val="21"/>
        </w:rPr>
        <w:t>拾万元整(￥1,</w:t>
      </w:r>
      <w:r>
        <w:rPr>
          <w:rFonts w:hint="eastAsia" w:ascii="宋体" w:hAnsi="宋体"/>
          <w:szCs w:val="21"/>
          <w:lang w:val="en-US" w:eastAsia="zh-CN"/>
        </w:rPr>
        <w:t>6</w:t>
      </w:r>
      <w:r>
        <w:rPr>
          <w:rFonts w:hint="eastAsia" w:ascii="宋体" w:hAnsi="宋体"/>
          <w:szCs w:val="21"/>
        </w:rPr>
        <w:t>00,000.00)</w:t>
      </w:r>
    </w:p>
    <w:p>
      <w:pPr>
        <w:spacing w:line="400" w:lineRule="exact"/>
        <w:rPr>
          <w:rFonts w:ascii="宋体" w:hAnsi="宋体"/>
          <w:szCs w:val="21"/>
        </w:rPr>
      </w:pPr>
      <w:r>
        <w:rPr>
          <w:rFonts w:hint="eastAsia" w:ascii="宋体" w:hAnsi="宋体"/>
          <w:szCs w:val="21"/>
        </w:rPr>
        <w:t>二、本项目对应的中小企业划分标准所属行业为</w:t>
      </w:r>
      <w:r>
        <w:rPr>
          <w:rFonts w:hint="eastAsia" w:ascii="宋体" w:hAnsi="宋体"/>
          <w:szCs w:val="21"/>
          <w:u w:val="single"/>
        </w:rPr>
        <w:t>物业管理</w:t>
      </w:r>
    </w:p>
    <w:p>
      <w:pPr>
        <w:spacing w:line="400" w:lineRule="exact"/>
        <w:rPr>
          <w:rFonts w:ascii="宋体" w:hAnsi="宋体"/>
          <w:szCs w:val="21"/>
          <w:u w:val="single"/>
        </w:rPr>
      </w:pPr>
      <w:r>
        <w:rPr>
          <w:rFonts w:hint="eastAsia" w:ascii="宋体" w:hAnsi="宋体"/>
          <w:szCs w:val="21"/>
        </w:rPr>
        <w:t>三、磋商文件中可能实质性变动的内容：</w:t>
      </w:r>
      <w:r>
        <w:rPr>
          <w:rFonts w:hint="eastAsia" w:ascii="宋体" w:hAnsi="宋体" w:cs="宋体"/>
          <w:kern w:val="0"/>
          <w:szCs w:val="21"/>
          <w:u w:val="single"/>
        </w:rPr>
        <w:t>采购需求的技术、服务要求以及合同草案条款</w:t>
      </w:r>
    </w:p>
    <w:p>
      <w:pPr>
        <w:widowControl/>
        <w:spacing w:line="400" w:lineRule="exact"/>
        <w:jc w:val="left"/>
        <w:rPr>
          <w:rFonts w:hint="eastAsia" w:ascii="宋体" w:hAnsi="宋体" w:eastAsia="宋体"/>
          <w:b/>
          <w:bCs/>
          <w:color w:val="000000" w:themeColor="text1"/>
          <w:szCs w:val="21"/>
          <w14:textFill>
            <w14:solidFill>
              <w14:schemeClr w14:val="tx1"/>
            </w14:solidFill>
          </w14:textFill>
        </w:rPr>
      </w:pPr>
      <w:r>
        <w:rPr>
          <w:rFonts w:hint="eastAsia" w:ascii="宋体" w:hAnsi="宋体" w:eastAsia="宋体"/>
          <w:b/>
          <w:bCs/>
          <w:color w:val="000000" w:themeColor="text1"/>
          <w:szCs w:val="21"/>
          <w14:textFill>
            <w14:solidFill>
              <w14:schemeClr w14:val="tx1"/>
            </w14:solidFill>
          </w14:textFill>
        </w:rPr>
        <w:t>四、项目概况：</w:t>
      </w:r>
    </w:p>
    <w:p>
      <w:pPr>
        <w:spacing w:line="460" w:lineRule="exac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1.项目地址：钦州市钦南区金海湾东大街123号</w:t>
      </w:r>
    </w:p>
    <w:p>
      <w:pPr>
        <w:spacing w:line="460" w:lineRule="exac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2.占地面积：总用地面积约</w:t>
      </w:r>
      <w:r>
        <w:rPr>
          <w:rFonts w:hint="eastAsia" w:ascii="宋体" w:hAnsi="宋体" w:eastAsia="宋体"/>
          <w:color w:val="000000" w:themeColor="text1"/>
          <w:szCs w:val="21"/>
          <w:lang w:val="en-US" w:eastAsia="zh-CN"/>
          <w14:textFill>
            <w14:solidFill>
              <w14:schemeClr w14:val="tx1"/>
            </w14:solidFill>
          </w14:textFill>
        </w:rPr>
        <w:t>2000</w:t>
      </w:r>
      <w:r>
        <w:rPr>
          <w:rFonts w:hint="eastAsia"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lang w:eastAsia="zh-CN"/>
          <w14:textFill>
            <w14:solidFill>
              <w14:schemeClr w14:val="tx1"/>
            </w14:solidFill>
          </w14:textFill>
        </w:rPr>
        <w:t>共有办公楼两栋，其中综合审判楼</w:t>
      </w:r>
      <w:r>
        <w:rPr>
          <w:rFonts w:hint="eastAsia" w:ascii="宋体" w:hAnsi="宋体" w:eastAsia="宋体"/>
          <w:color w:val="000000" w:themeColor="text1"/>
          <w:szCs w:val="21"/>
          <w14:textFill>
            <w14:solidFill>
              <w14:schemeClr w14:val="tx1"/>
            </w14:solidFill>
          </w14:textFill>
        </w:rPr>
        <w:t>建筑占地面积</w:t>
      </w:r>
      <w:r>
        <w:rPr>
          <w:rFonts w:hint="eastAsia" w:ascii="宋体" w:hAnsi="宋体"/>
          <w:color w:val="000000" w:themeColor="text1"/>
          <w:szCs w:val="21"/>
          <w:lang w:val="en-US" w:eastAsia="zh-CN"/>
          <w14:textFill>
            <w14:solidFill>
              <w14:schemeClr w14:val="tx1"/>
            </w14:solidFill>
          </w14:textFill>
        </w:rPr>
        <w:t>3338</w:t>
      </w:r>
      <w:r>
        <w:rPr>
          <w:rFonts w:hint="eastAsia" w:ascii="宋体" w:hAnsi="宋体" w:eastAsia="宋体"/>
          <w:color w:val="000000" w:themeColor="text1"/>
          <w:szCs w:val="21"/>
          <w14:textFill>
            <w14:solidFill>
              <w14:schemeClr w14:val="tx1"/>
            </w14:solidFill>
          </w14:textFill>
        </w:rPr>
        <w:t xml:space="preserve"> ㎡，建筑面积约20500（其中1层停车场和设备用房建筑面积4450㎡，2至5层审判区建筑面积12100㎡，6至7层办公区建筑面积8950㎡），道路广场面积</w:t>
      </w:r>
      <w:r>
        <w:rPr>
          <w:rFonts w:hint="eastAsia" w:ascii="宋体" w:hAnsi="宋体" w:eastAsia="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500 ㎡，绿地面积</w:t>
      </w:r>
      <w:r>
        <w:rPr>
          <w:rFonts w:hint="eastAsia" w:ascii="宋体" w:hAnsi="宋体" w:eastAsia="宋体"/>
          <w:color w:val="000000" w:themeColor="text1"/>
          <w:szCs w:val="21"/>
          <w:lang w:val="en-US" w:eastAsia="zh-CN"/>
          <w14:textFill>
            <w14:solidFill>
              <w14:schemeClr w14:val="tx1"/>
            </w14:solidFill>
          </w14:textFill>
        </w:rPr>
        <w:t>9</w:t>
      </w:r>
      <w:r>
        <w:rPr>
          <w:rFonts w:hint="eastAsia" w:ascii="宋体" w:hAnsi="宋体" w:eastAsia="宋体"/>
          <w:color w:val="000000" w:themeColor="text1"/>
          <w:szCs w:val="21"/>
          <w14:textFill>
            <w14:solidFill>
              <w14:schemeClr w14:val="tx1"/>
            </w14:solidFill>
          </w14:textFill>
        </w:rPr>
        <w:t>200㎡。执行指挥中心建筑占地面积</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220</w:t>
      </w:r>
      <w:r>
        <w:rPr>
          <w:rFonts w:hint="eastAsia" w:ascii="宋体" w:hAnsi="宋体" w:eastAsia="宋体"/>
          <w:color w:val="000000" w:themeColor="text1"/>
          <w:szCs w:val="21"/>
          <w14:textFill>
            <w14:solidFill>
              <w14:schemeClr w14:val="tx1"/>
            </w14:solidFill>
          </w14:textFill>
        </w:rPr>
        <w:t xml:space="preserve"> ㎡，建筑面积约</w:t>
      </w:r>
      <w:r>
        <w:rPr>
          <w:rFonts w:hint="eastAsia" w:ascii="宋体" w:hAnsi="宋体"/>
          <w:color w:val="000000" w:themeColor="text1"/>
          <w:szCs w:val="21"/>
          <w:lang w:val="en-US" w:eastAsia="zh-CN"/>
          <w14:textFill>
            <w14:solidFill>
              <w14:schemeClr w14:val="tx1"/>
            </w14:solidFill>
          </w14:textFill>
        </w:rPr>
        <w:t>5955</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,共6层（包括负一楼车库）</w:t>
      </w:r>
      <w:r>
        <w:rPr>
          <w:rFonts w:hint="eastAsia" w:ascii="宋体" w:hAnsi="宋体" w:eastAsia="宋体"/>
          <w:color w:val="000000" w:themeColor="text1"/>
          <w:szCs w:val="21"/>
          <w14:textFill>
            <w14:solidFill>
              <w14:schemeClr w14:val="tx1"/>
            </w14:solidFill>
          </w14:textFill>
        </w:rPr>
        <w:t>。</w:t>
      </w:r>
    </w:p>
    <w:p>
      <w:pPr>
        <w:spacing w:line="460" w:lineRule="exac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3.服务期限：合同签订之日起1年。</w:t>
      </w:r>
    </w:p>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lang w:eastAsia="zh-CN"/>
          <w14:textFill>
            <w14:solidFill>
              <w14:schemeClr w14:val="tx1"/>
            </w14:solidFill>
          </w14:textFill>
        </w:rPr>
        <w:t>主要设施设备：</w:t>
      </w:r>
      <w:r>
        <w:rPr>
          <w:rFonts w:hint="eastAsia" w:ascii="宋体" w:hAnsi="宋体" w:eastAsia="宋体"/>
          <w:color w:val="000000" w:themeColor="text1"/>
          <w:szCs w:val="21"/>
          <w14:textFill>
            <w14:solidFill>
              <w14:schemeClr w14:val="tx1"/>
            </w14:solidFill>
          </w14:textFill>
        </w:rPr>
        <w:t>高、低压配电</w:t>
      </w:r>
      <w:r>
        <w:rPr>
          <w:rFonts w:hint="eastAsia" w:ascii="宋体" w:hAnsi="宋体" w:eastAsia="宋体"/>
          <w:color w:val="000000" w:themeColor="text1"/>
          <w:szCs w:val="21"/>
          <w:lang w:eastAsia="zh-CN"/>
          <w14:textFill>
            <w14:solidFill>
              <w14:schemeClr w14:val="tx1"/>
            </w14:solidFill>
          </w14:textFill>
        </w:rPr>
        <w:t>、发电</w:t>
      </w:r>
      <w:r>
        <w:rPr>
          <w:rFonts w:hint="eastAsia" w:ascii="宋体" w:hAnsi="宋体" w:eastAsia="宋体"/>
          <w:color w:val="000000" w:themeColor="text1"/>
          <w:szCs w:val="21"/>
          <w14:textFill>
            <w14:solidFill>
              <w14:schemeClr w14:val="tx1"/>
            </w14:solidFill>
          </w14:textFill>
        </w:rPr>
        <w:t>系统及其配套设备；消防系统及其配套设备；中央空调系统及其配套设备；弱电系统配电设备</w:t>
      </w:r>
      <w:r>
        <w:rPr>
          <w:rFonts w:hint="eastAsia" w:ascii="宋体" w:hAnsi="宋体" w:eastAsia="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给、排水系统及其配套设备；电梯系统及其配套设备。</w:t>
      </w:r>
    </w:p>
    <w:p>
      <w:pPr>
        <w:spacing w:line="460" w:lineRule="exact"/>
        <w:rPr>
          <w:rFonts w:hint="eastAsia" w:ascii="宋体" w:hAnsi="宋体" w:eastAsia="宋体"/>
          <w:b/>
          <w:bCs/>
          <w:color w:val="000000" w:themeColor="text1"/>
          <w:szCs w:val="21"/>
          <w:lang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五、</w:t>
      </w:r>
      <w:r>
        <w:rPr>
          <w:rFonts w:hint="eastAsia" w:ascii="宋体" w:hAnsi="宋体" w:eastAsia="宋体"/>
          <w:b/>
          <w:bCs/>
          <w:color w:val="000000" w:themeColor="text1"/>
          <w:szCs w:val="21"/>
          <w14:textFill>
            <w14:solidFill>
              <w14:schemeClr w14:val="tx1"/>
            </w14:solidFill>
          </w14:textFill>
        </w:rPr>
        <w:t>服务内容</w:t>
      </w:r>
      <w:r>
        <w:rPr>
          <w:rFonts w:hint="eastAsia" w:ascii="宋体" w:hAnsi="宋体" w:eastAsia="宋体"/>
          <w:b/>
          <w:bCs/>
          <w:color w:val="000000" w:themeColor="text1"/>
          <w:szCs w:val="21"/>
          <w:lang w:eastAsia="zh-CN"/>
          <w14:textFill>
            <w14:solidFill>
              <w14:schemeClr w14:val="tx1"/>
            </w14:solidFill>
          </w14:textFill>
        </w:rPr>
        <w:t>：</w:t>
      </w:r>
    </w:p>
    <w:p>
      <w:pPr>
        <w:spacing w:line="460" w:lineRule="exac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w:t>
      </w:r>
      <w:r>
        <w:rPr>
          <w:rFonts w:hint="eastAsia" w:ascii="宋体" w:hAnsi="宋体" w:eastAsia="宋体"/>
          <w:color w:val="000000" w:themeColor="text1"/>
          <w:szCs w:val="21"/>
          <w:lang w:eastAsia="zh-CN"/>
          <w14:textFill>
            <w14:solidFill>
              <w14:schemeClr w14:val="tx1"/>
            </w14:solidFill>
          </w14:textFill>
        </w:rPr>
        <w:t>机关安保服务内容</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eastAsia="zh-CN"/>
          <w14:textFill>
            <w14:solidFill>
              <w14:schemeClr w14:val="tx1"/>
            </w14:solidFill>
          </w14:textFill>
        </w:rPr>
        <w:t>为钦州市中级人民法院机关大院提供</w:t>
      </w:r>
      <w:r>
        <w:rPr>
          <w:rFonts w:hint="eastAsia" w:ascii="宋体" w:hAnsi="宋体" w:eastAsia="宋体"/>
          <w:color w:val="000000" w:themeColor="text1"/>
          <w:szCs w:val="21"/>
          <w:lang w:val="en-US" w:eastAsia="zh-CN"/>
          <w14:textFill>
            <w14:solidFill>
              <w14:schemeClr w14:val="tx1"/>
            </w14:solidFill>
          </w14:textFill>
        </w:rPr>
        <w:t>24小时的安保服务，负责法院范围内的公共安全秩序的维持与管理及防火、防盗、防暴、防破坏以及治安巡逻等安全工作，维护法院日常的工作秩序，让法院有一个良好的办公环境。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2.配合法警在安检室对进入大院的人员进行人员登记、安全检查。</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3.配合法警对各审判庭在开庭期间进行巡查，及时报告突发情况并配合维护庭审秩序。</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4.对出入钦州市中级人民法院大院的人员、车辆及携带的物资进行检查、验证和登记，保障法院的财产安全。防止不法分子进入法院，防止危险品带入法院，维护大门秩序，保证道路畅通。</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5.维护院内车辆停放秩序。主要负责对进出大院内停车场车辆的指挥、疏导及管理，指挥车辆分类按指定区域有序停放。</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（二）物业管理服务内容：</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1.办公楼部分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1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①</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房屋的养护和管理服务。做好房屋的日常养护、管理和清洁卫生，以及垃圾的收集和清运，包括：主体结构（基础、墙体、柱、梁、楼板、屋顶、窗户、楼梯及楼梯间、电梯间、大堂、门厅、走廊、通道、办公室、会议室、卫生间、茶水间及所有设备房。</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2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②</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物业管理区域内消防管理服务。要求建立严密的消防制度，严格对消防设施、器材进行定期检查、保养、维护和维修，确保处于正常态。经常进行防火防灾宣传，抓好平时的管理训练和灭火、应急疏散的演练，保持疏散通道、安全出口的畅通，开展日常防火大巡查，预防和控制火灾的发生。</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3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③</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会务服务。要求根据会务的需要，对会场进行布置，提供茶水，引导宾客等，确保会议顺利召开，收到预期效果。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4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④</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物业管理区域内绿化养护管理服务。要求定期对办公楼内花草进行浇水、整形、修剪、除草、松土、施肥、补裁和防治病虫害等，确保花草树木长势良好，保持环境优雅。</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5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⑤</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文体活动协助服务及楼内办公用品的运送服务。要求热情周到，最大限度地满足服务要求。</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6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⑥</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保洁服务。按要求对办公室、走廊、卫生间、会议室及审判场所做好保洁及消毒，确保相关场所干净卫生。</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7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⑦</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水电及空调维护。定期对电路、供电、空调设备线路进行维护，并及时解决故障。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2.公共环境部分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①配套设施的日常养护和管理，包括：物业管理区域内的大门、停车场、地下车库、道路、室外上下水管道、沟渠、物业管理用房（如值班室）、市政排水设施、围墙等。</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②公共绿地、水面、花木、建筑小品的养护和管理（含花木、绿地养护所需的肥料、农药）。</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③公共场地的清洁卫生，以及垃圾的收集和清运。</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4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④</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定期对化粪池进行清理，抽取粪水残渣运走，确保化粪池不溢出。</w:t>
      </w:r>
    </w:p>
    <w:p>
      <w:pPr>
        <w:numPr>
          <w:ilvl w:val="0"/>
          <w:numId w:val="2"/>
        </w:numPr>
        <w:spacing w:line="460" w:lineRule="exact"/>
        <w:rPr>
          <w:rFonts w:hint="eastAsia"/>
          <w:lang w:val="en-US" w:eastAsia="zh-CN"/>
        </w:rPr>
      </w:pPr>
      <w:r>
        <w:rPr>
          <w:rFonts w:hint="eastAsia" w:ascii="宋体" w:hAnsi="宋体" w:eastAsia="宋体"/>
          <w:color w:val="000000" w:themeColor="text1"/>
          <w:szCs w:val="21"/>
          <w:lang w:val="en-US" w:eastAsia="zh-CN"/>
          <w14:textFill>
            <w14:solidFill>
              <w14:schemeClr w14:val="tx1"/>
            </w14:solidFill>
          </w14:textFill>
        </w:rPr>
        <w:t>餐饮服务部分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①负责本院员工餐以及公务接待的就餐饭菜制作。负责食谱安排和食堂相关场地、设备、设施卫生清理及食堂管理工作。厨师长提前开好菜单，交由业主的饭堂管理人员到定点单位进行采购配送。</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②每天菜品保证新鲜、质量好，同时在制作中必须留样待检测防食物中毒等情况发生，同时做好记录。</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③建立厨房设备耗损及消毒次数、时间等情况的记录，以备查验。</w:t>
      </w:r>
    </w:p>
    <w:p>
      <w:pPr>
        <w:spacing w:line="460" w:lineRule="exact"/>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④每</w:t>
      </w:r>
      <w:r>
        <w:rPr>
          <w:rFonts w:hint="eastAsia" w:ascii="宋体" w:hAnsi="宋体" w:eastAsia="宋体" w:cs="Times New Roman"/>
          <w:color w:val="000000" w:themeColor="text1"/>
          <w:szCs w:val="21"/>
          <w:lang w:val="en-US" w:eastAsia="zh-CN"/>
          <w14:textFill>
            <w14:solidFill>
              <w14:schemeClr w14:val="tx1"/>
            </w14:solidFill>
          </w14:textFill>
        </w:rPr>
        <w:t>日对食堂内外卫生进行清扫，及时清理垃圾。对餐饮器具进行清洁、消毒。</w:t>
      </w:r>
    </w:p>
    <w:p>
      <w:pPr>
        <w:spacing w:line="460" w:lineRule="exact"/>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⑤负责对现有的设备和厨具保管和养护，进行节约能源的管理，不得发生长明灯、长流水等浪费行为。</w:t>
      </w:r>
    </w:p>
    <w:p>
      <w:pPr>
        <w:spacing w:line="460" w:lineRule="exact"/>
        <w:rPr>
          <w:rFonts w:hint="default" w:ascii="宋体" w:hAnsi="宋体" w:eastAsia="宋体" w:cs="Times New Roman"/>
          <w:b/>
          <w:bCs/>
          <w:color w:val="000000" w:themeColor="text1"/>
          <w:szCs w:val="21"/>
          <w:lang w:val="en-US" w:eastAsia="zh-CN"/>
          <w14:textFill>
            <w14:solidFill>
              <w14:schemeClr w14:val="tx1"/>
            </w14:solidFill>
          </w14:textFill>
        </w:rPr>
      </w:pPr>
      <w:r>
        <w:rPr>
          <w:rFonts w:hint="eastAsia" w:ascii="宋体" w:hAnsi="宋体" w:eastAsia="宋体" w:cs="Times New Roman"/>
          <w:b/>
          <w:bCs/>
          <w:color w:val="000000" w:themeColor="text1"/>
          <w:szCs w:val="21"/>
          <w:lang w:val="en-US" w:eastAsia="zh-CN"/>
          <w14:textFill>
            <w14:solidFill>
              <w14:schemeClr w14:val="tx1"/>
            </w14:solidFill>
          </w14:textFill>
        </w:rPr>
        <w:t>注：成交供应商在提供餐饮服务前，承诺应在相关行业主管部门办理取得《食品经营许可证》等合法经营手续。（承诺函格式自拟）</w:t>
      </w:r>
    </w:p>
    <w:p>
      <w:pPr>
        <w:spacing w:line="460" w:lineRule="exact"/>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4.其他服务内容</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①服务方</w:t>
      </w:r>
      <w:r>
        <w:rPr>
          <w:rFonts w:hint="eastAsia" w:ascii="宋体" w:hAnsi="宋体"/>
          <w:color w:val="000000" w:themeColor="text1"/>
          <w:szCs w:val="21"/>
          <w:lang w:val="en-US" w:eastAsia="zh-CN"/>
          <w14:textFill>
            <w14:solidFill>
              <w14:schemeClr w14:val="tx1"/>
            </w14:solidFill>
          </w14:textFill>
        </w:rPr>
        <w:t>每</w:t>
      </w:r>
      <w:r>
        <w:rPr>
          <w:rFonts w:hint="eastAsia" w:ascii="宋体" w:hAnsi="宋体" w:eastAsia="宋体"/>
          <w:color w:val="000000" w:themeColor="text1"/>
          <w:szCs w:val="21"/>
          <w:lang w:val="en-US" w:eastAsia="zh-CN"/>
          <w14:textFill>
            <w14:solidFill>
              <w14:schemeClr w14:val="tx1"/>
            </w14:solidFill>
          </w14:textFill>
        </w:rPr>
        <w:t>完成三个月（1个季度）的服务后5个工作日内向业主方书面汇报物业管理总体情况。</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②服务方不得擅自占用和改变公用设施的使用功能,如需完善或扩建,须与业主方协商,经业主方同意后方可实施。</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③服务方须配合业主方做好夏季防汛，冬季防冻等工作。</w:t>
      </w:r>
    </w:p>
    <w:p>
      <w:pPr>
        <w:spacing w:line="460" w:lineRule="exact"/>
        <w:rPr>
          <w:rFonts w:hint="eastAsia"/>
          <w:sz w:val="32"/>
          <w:szCs w:val="32"/>
        </w:rPr>
      </w:pPr>
      <w:r>
        <w:rPr>
          <w:rFonts w:hint="eastAsia" w:ascii="宋体" w:hAnsi="宋体" w:eastAsia="宋体"/>
          <w:color w:val="000000" w:themeColor="text1"/>
          <w:szCs w:val="21"/>
          <w:lang w:val="en-US" w:eastAsia="zh-CN"/>
          <w14:textFill>
            <w14:solidFill>
              <w14:schemeClr w14:val="tx1"/>
            </w14:solidFill>
          </w14:textFill>
        </w:rPr>
        <w:t>④服务方负责绿化养护管理的机械设备，如割草机、喷雾机、修枝剪等的购置；服务方自行负责保洁所需全部设备、工具、清洁材料及清洁保养技术；服务方负责秩序维护员配备的对讲机、照明器具、太阳伞、雨衣、雨鞋等工作用品。</w:t>
      </w:r>
      <w:bookmarkStart w:id="47" w:name="_Toc302572332"/>
      <w:bookmarkStart w:id="48" w:name="_Toc302485112"/>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六、人员需求</w:t>
      </w:r>
      <w:r>
        <w:rPr>
          <w:rFonts w:hint="eastAsia" w:ascii="宋体" w:hAnsi="宋体"/>
          <w:b/>
          <w:bCs/>
          <w:color w:val="000000" w:themeColor="text1"/>
          <w:szCs w:val="21"/>
          <w:lang w:val="en-US" w:eastAsia="zh-CN"/>
          <w14:textFill>
            <w14:solidFill>
              <w14:schemeClr w14:val="tx1"/>
            </w14:solidFill>
          </w14:textFill>
        </w:rPr>
        <w:t>（共36人）</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（一）机关安保服务</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1.机关安保人员需求（13人）</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共设南门、西门、全院巡逻、安检协助、巡庭5个岗位。其中：南门、西门、全院巡逻3个岗位需9人（每岗每天排早、中、晚3个班，每班1人），引导员1名，安检协助1人，巡庭1人，队长1人（兼机动人员），共需要13名安保人员。</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2.机关安保人员要求</w:t>
      </w:r>
    </w:p>
    <w:p>
      <w:pPr>
        <w:spacing w:line="360" w:lineRule="auto"/>
        <w:ind w:firstLine="480"/>
        <w:rPr>
          <w:rFonts w:hint="default" w:ascii="宋体" w:hAnsi="宋体" w:eastAsia="宋体" w:cs="Times New Roman"/>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遵照国务院2010年1月1日颁布实施的《安全服务管理条例》，根据钦州市中级人民法院的需求，选派政治合格、作风优良、纪律严明、责任心强的安保队伍。派出的安保人员必须身体健康，接受过正规保安培训，品行良好，无刑事、治安处罚等不良记录，持有公安机关颁发的《保安员证》等有效证件，并符合当地公安等外部监管部门的</w:t>
      </w:r>
      <w:r>
        <w:rPr>
          <w:rFonts w:hint="eastAsia" w:ascii="宋体" w:hAnsi="宋体" w:eastAsia="宋体" w:cs="Times New Roman"/>
          <w:color w:val="000000" w:themeColor="text1"/>
          <w:szCs w:val="21"/>
          <w:lang w:val="en-US" w:eastAsia="zh-CN"/>
          <w14:textFill>
            <w14:solidFill>
              <w14:schemeClr w14:val="tx1"/>
            </w14:solidFill>
          </w14:textFill>
        </w:rPr>
        <w:t>要求，须在响应文件中附《保安员证》复印件。</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队长（1人）：年龄20-4</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lang w:val="en-US" w:eastAsia="zh-CN"/>
          <w14:textFill>
            <w14:solidFill>
              <w14:schemeClr w14:val="tx1"/>
            </w14:solidFill>
          </w14:textFill>
        </w:rPr>
        <w:t>岁，身高1.</w:t>
      </w:r>
      <w:r>
        <w:rPr>
          <w:rFonts w:hint="eastAsia" w:ascii="宋体" w:hAnsi="宋体"/>
          <w:color w:val="000000" w:themeColor="text1"/>
          <w:szCs w:val="21"/>
          <w:lang w:val="en-US" w:eastAsia="zh-CN"/>
          <w14:textFill>
            <w14:solidFill>
              <w14:schemeClr w14:val="tx1"/>
            </w14:solidFill>
          </w14:textFill>
        </w:rPr>
        <w:t>68</w:t>
      </w:r>
      <w:r>
        <w:rPr>
          <w:rFonts w:hint="eastAsia" w:ascii="宋体" w:hAnsi="宋体" w:eastAsia="宋体"/>
          <w:color w:val="000000" w:themeColor="text1"/>
          <w:szCs w:val="21"/>
          <w:lang w:val="en-US" w:eastAsia="zh-CN"/>
          <w14:textFill>
            <w14:solidFill>
              <w14:schemeClr w14:val="tx1"/>
            </w14:solidFill>
          </w14:textFill>
        </w:rPr>
        <w:t>米以上，高中以上文化程度，经过职业岗位培训，两年以上治安管理工作经验，复退（转业）军人，身体健康；熟悉治安管理法律、法规；精通秩序维护专业知识；较强的军事管理能力及各项军事项目操作能力；作风正派，为人正直，处事果断。有较强的组织协调和管理能力。须在投标文件中附相关证书复印件。</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安保人员：男性，身高1.68米以上，年龄20-45岁，体检合格；政治素质高，初中以上文化程度，接受过系统的治安管理培训；身体素质好，反应灵敏，身体健康、品貌端正，品行优良、纪律性强，工作认真负责，作风正派，能吃苦耐劳，无不良记录。</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（二）物业管理服务人员需求及要求（23人）</w:t>
      </w:r>
      <w:r>
        <w:rPr>
          <w:rFonts w:hint="eastAsia" w:ascii="宋体" w:hAnsi="宋体" w:eastAsia="宋体"/>
          <w:color w:val="000000" w:themeColor="text1"/>
          <w:szCs w:val="21"/>
          <w:lang w:val="en-US" w:eastAsia="zh-CN"/>
          <w14:textFill>
            <w14:solidFill>
              <w14:schemeClr w14:val="tx1"/>
            </w14:solidFill>
          </w14:textFill>
        </w:rPr>
        <w:tab/>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配置物业管理服务人员2</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eastAsia="宋体"/>
          <w:color w:val="000000" w:themeColor="text1"/>
          <w:szCs w:val="21"/>
          <w:lang w:val="en-US" w:eastAsia="zh-CN"/>
          <w14:textFill>
            <w14:solidFill>
              <w14:schemeClr w14:val="tx1"/>
            </w14:solidFill>
          </w14:textFill>
        </w:rPr>
        <w:t>人，其中，项目经理1人、绿化人员1人、保洁人员10人、会议服务员2人、水电维护员1人、消防管理员2人、餐饮服务员6名。详细岗位配置条件详见下表。</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钦州市中级人民法院物业管理人员岗位配置计划表</w:t>
      </w:r>
    </w:p>
    <w:tbl>
      <w:tblPr>
        <w:tblStyle w:val="40"/>
        <w:tblW w:w="10155" w:type="dxa"/>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900"/>
        <w:gridCol w:w="5895"/>
        <w:gridCol w:w="810"/>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序号</w:t>
            </w:r>
          </w:p>
        </w:tc>
        <w:tc>
          <w:tcPr>
            <w:tcW w:w="90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岗位</w:t>
            </w:r>
          </w:p>
        </w:tc>
        <w:tc>
          <w:tcPr>
            <w:tcW w:w="589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条件</w:t>
            </w:r>
          </w:p>
        </w:tc>
        <w:tc>
          <w:tcPr>
            <w:tcW w:w="8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人数</w:t>
            </w:r>
          </w:p>
        </w:tc>
        <w:tc>
          <w:tcPr>
            <w:tcW w:w="195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人数设置依据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项目</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经理</w:t>
            </w:r>
          </w:p>
        </w:tc>
        <w:tc>
          <w:tcPr>
            <w:tcW w:w="589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政治思想素质过硬，责任心强，身体健康，五官端正，仪表仪态良好，年龄</w:t>
            </w:r>
            <w:r>
              <w:rPr>
                <w:rFonts w:hint="eastAsia" w:ascii="宋体" w:hAnsi="宋体" w:eastAsia="宋体"/>
                <w:color w:val="000000" w:themeColor="text1"/>
                <w:szCs w:val="21"/>
                <w:lang w:val="en-US" w:eastAsia="zh-CN"/>
                <w14:textFill>
                  <w14:solidFill>
                    <w14:schemeClr w14:val="tx1"/>
                  </w14:solidFill>
                </w14:textFill>
              </w:rPr>
              <w:t>5</w:t>
            </w:r>
            <w:r>
              <w:rPr>
                <w:rFonts w:hint="eastAsia" w:ascii="宋体" w:hAnsi="宋体"/>
                <w:color w:val="000000" w:themeColor="text1"/>
                <w:szCs w:val="21"/>
                <w:lang w:val="en-US" w:eastAsia="zh-CN"/>
                <w14:textFill>
                  <w14:solidFill>
                    <w14:schemeClr w14:val="tx1"/>
                  </w14:solidFill>
                </w14:textFill>
              </w:rPr>
              <w:t>0</w:t>
            </w:r>
            <w:r>
              <w:rPr>
                <w:rFonts w:hint="eastAsia" w:ascii="宋体" w:hAnsi="宋体" w:eastAsia="宋体"/>
                <w:color w:val="000000" w:themeColor="text1"/>
                <w:szCs w:val="21"/>
                <w:lang w:val="en-US" w:eastAsia="en-US"/>
                <w14:textFill>
                  <w14:solidFill>
                    <w14:schemeClr w14:val="tx1"/>
                  </w14:solidFill>
                </w14:textFill>
              </w:rPr>
              <w:t>岁</w:t>
            </w:r>
            <w:r>
              <w:rPr>
                <w:rFonts w:hint="eastAsia" w:ascii="宋体" w:hAnsi="宋体"/>
                <w:color w:val="000000" w:themeColor="text1"/>
                <w:szCs w:val="21"/>
                <w:lang w:val="en-US" w:eastAsia="zh-CN"/>
                <w14:textFill>
                  <w14:solidFill>
                    <w14:schemeClr w14:val="tx1"/>
                  </w14:solidFill>
                </w14:textFill>
              </w:rPr>
              <w:t>以下</w:t>
            </w:r>
            <w:r>
              <w:rPr>
                <w:rFonts w:hint="eastAsia" w:ascii="宋体" w:hAnsi="宋体" w:eastAsia="宋体"/>
                <w:color w:val="000000" w:themeColor="text1"/>
                <w:szCs w:val="21"/>
                <w:lang w:val="en-US" w:eastAsia="en-US"/>
                <w14:textFill>
                  <w14:solidFill>
                    <w14:schemeClr w14:val="tx1"/>
                  </w14:solidFill>
                </w14:textFill>
              </w:rPr>
              <w:t>，大专以上学历，管理类相关专业，持有物业经理上岗证，</w:t>
            </w:r>
            <w:r>
              <w:rPr>
                <w:rFonts w:hint="eastAsia" w:ascii="宋体" w:hAnsi="宋体"/>
                <w:color w:val="000000" w:themeColor="text1"/>
                <w:szCs w:val="21"/>
                <w:lang w:val="en-US" w:eastAsia="zh-CN"/>
                <w14:textFill>
                  <w14:solidFill>
                    <w14:schemeClr w14:val="tx1"/>
                  </w14:solidFill>
                </w14:textFill>
              </w:rPr>
              <w:t>具</w:t>
            </w:r>
            <w:r>
              <w:rPr>
                <w:rFonts w:hint="eastAsia" w:hAnsi="宋体"/>
                <w:lang w:val="en-US" w:eastAsia="zh-CN"/>
              </w:rPr>
              <w:t>有中级以上职称证，</w:t>
            </w:r>
            <w:r>
              <w:rPr>
                <w:rFonts w:hint="eastAsia" w:ascii="宋体" w:hAnsi="宋体" w:eastAsia="宋体"/>
                <w:color w:val="000000" w:themeColor="text1"/>
                <w:szCs w:val="21"/>
                <w:lang w:val="en-US" w:eastAsia="en-US"/>
                <w14:textFill>
                  <w14:solidFill>
                    <w14:schemeClr w14:val="tx1"/>
                  </w14:solidFill>
                </w14:textFill>
              </w:rPr>
              <w:t>有较强的组织和管理能力；5年及以上物业经理相关工作经历；熟悉物业管理服务法规、规范，对物业行业有全面了解，并有自己的独到见解，具备独立运作物业管理能力，能够独立掌控各项工作的执行，精通各类文书、档案管理和房屋管理工作。能独立完成项目秩序维护、设备</w:t>
            </w:r>
            <w:r>
              <w:rPr>
                <w:rFonts w:hint="eastAsia" w:ascii="宋体" w:hAnsi="宋体" w:eastAsia="宋体"/>
                <w:color w:val="000000" w:themeColor="text1"/>
                <w:szCs w:val="21"/>
                <w:lang w:val="en-US" w:eastAsia="zh-CN"/>
                <w14:textFill>
                  <w14:solidFill>
                    <w14:schemeClr w14:val="tx1"/>
                  </w14:solidFill>
                </w14:textFill>
              </w:rPr>
              <w:t>的维护</w:t>
            </w:r>
            <w:r>
              <w:rPr>
                <w:rFonts w:hint="eastAsia" w:ascii="宋体" w:hAnsi="宋体" w:eastAsia="宋体"/>
                <w:color w:val="000000" w:themeColor="text1"/>
                <w:szCs w:val="21"/>
                <w:lang w:val="en-US" w:eastAsia="en-US"/>
                <w14:textFill>
                  <w14:solidFill>
                    <w14:schemeClr w14:val="tx1"/>
                  </w14:solidFill>
                </w14:textFill>
              </w:rPr>
              <w:t>指导等工作。须在投标文件中附相关证书复印件。自负责本项目之日起，不得在其他物业管理项目中任职。</w:t>
            </w:r>
          </w:p>
        </w:tc>
        <w:tc>
          <w:tcPr>
            <w:tcW w:w="810"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负责管理整个项目的实施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绿化</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人员</w:t>
            </w:r>
          </w:p>
        </w:tc>
        <w:tc>
          <w:tcPr>
            <w:tcW w:w="589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年龄20-50岁，身体健康；组织纪律观念强，敬业精神好，任劳任怨，工作认真细致。中专以上学历，具备</w:t>
            </w:r>
            <w:r>
              <w:rPr>
                <w:rFonts w:hint="eastAsia" w:hAnsi="宋体"/>
                <w:lang w:val="en-US" w:eastAsia="zh-CN"/>
              </w:rPr>
              <w:t>有绿化工初级工以上相关证书。</w:t>
            </w:r>
          </w:p>
        </w:tc>
        <w:tc>
          <w:tcPr>
            <w:tcW w:w="81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根据实情设置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保洁</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人员</w:t>
            </w:r>
          </w:p>
        </w:tc>
        <w:tc>
          <w:tcPr>
            <w:tcW w:w="589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初中以上文化程度，年龄20-50岁，身体健康；组织纪律观念强，敬业精神好，任劳任怨，工作认真细致。1年以上环卫清洁工作经验，接受过保洁培训，熟悉设备、用品的操作规程。</w:t>
            </w:r>
          </w:p>
        </w:tc>
        <w:tc>
          <w:tcPr>
            <w:tcW w:w="810"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10</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办公楼1-6楼保洁每层1人（7楼由4-6楼保洁员轮流负责），执行指挥中心保洁2人，大院保洁2人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会议</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服务员</w:t>
            </w:r>
          </w:p>
        </w:tc>
        <w:tc>
          <w:tcPr>
            <w:tcW w:w="589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女性，</w:t>
            </w:r>
            <w:r>
              <w:rPr>
                <w:rFonts w:hint="eastAsia" w:ascii="宋体" w:hAnsi="宋体" w:eastAsia="宋体"/>
                <w:color w:val="000000" w:themeColor="text1"/>
                <w:szCs w:val="21"/>
                <w:lang w:val="en-US" w:eastAsia="zh-CN"/>
                <w14:textFill>
                  <w14:solidFill>
                    <w14:schemeClr w14:val="tx1"/>
                  </w14:solidFill>
                </w14:textFill>
              </w:rPr>
              <w:t>高</w:t>
            </w:r>
            <w:r>
              <w:rPr>
                <w:rFonts w:hint="eastAsia" w:ascii="宋体" w:hAnsi="宋体" w:eastAsia="宋体"/>
                <w:color w:val="000000" w:themeColor="text1"/>
                <w:szCs w:val="21"/>
                <w:lang w:val="en-US" w:eastAsia="en-US"/>
                <w14:textFill>
                  <w14:solidFill>
                    <w14:schemeClr w14:val="tx1"/>
                  </w14:solidFill>
                </w14:textFill>
              </w:rPr>
              <w:t>中以上文化程度，年龄20-</w:t>
            </w:r>
            <w:r>
              <w:rPr>
                <w:rFonts w:hint="eastAsia" w:ascii="宋体" w:hAnsi="宋体" w:eastAsia="宋体"/>
                <w:color w:val="000000" w:themeColor="text1"/>
                <w:szCs w:val="21"/>
                <w:lang w:val="en-US" w:eastAsia="zh-CN"/>
                <w14:textFill>
                  <w14:solidFill>
                    <w14:schemeClr w14:val="tx1"/>
                  </w14:solidFill>
                </w14:textFill>
              </w:rPr>
              <w:t>40</w:t>
            </w:r>
            <w:r>
              <w:rPr>
                <w:rFonts w:hint="eastAsia" w:ascii="宋体" w:hAnsi="宋体" w:eastAsia="宋体"/>
                <w:color w:val="000000" w:themeColor="text1"/>
                <w:szCs w:val="21"/>
                <w:lang w:val="en-US" w:eastAsia="en-US"/>
                <w14:textFill>
                  <w14:solidFill>
                    <w14:schemeClr w14:val="tx1"/>
                  </w14:solidFill>
                </w14:textFill>
              </w:rPr>
              <w:t xml:space="preserve">岁，身体健康；组织纪律观念强，敬业精神好，任劳任怨，工作认真细致。具备会议服务工作经验，熟悉会议服务的礼仪、流程。 </w:t>
            </w:r>
          </w:p>
        </w:tc>
        <w:tc>
          <w:tcPr>
            <w:tcW w:w="810"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根据实情设置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水电</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维护员</w:t>
            </w:r>
          </w:p>
        </w:tc>
        <w:tc>
          <w:tcPr>
            <w:tcW w:w="589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男性，具中专以上学历，具备设备运行及维修工作经验，熟悉包括房屋装修、强电、弱电、空调、排水等各项设备管理和应用；有一定社会经验、组织能力和协调处理行政事务能力。</w:t>
            </w:r>
            <w:r>
              <w:rPr>
                <w:rFonts w:hint="eastAsia" w:ascii="宋体" w:hAnsi="宋体"/>
                <w:color w:val="000000" w:themeColor="text1"/>
                <w:szCs w:val="21"/>
                <w:lang w:val="en-US" w:eastAsia="zh-CN"/>
                <w14:textFill>
                  <w14:solidFill>
                    <w14:schemeClr w14:val="tx1"/>
                  </w14:solidFill>
                </w14:textFill>
              </w:rPr>
              <w:t>持</w:t>
            </w:r>
            <w:r>
              <w:rPr>
                <w:rFonts w:hint="eastAsia" w:ascii="宋体" w:hAnsi="宋体" w:eastAsia="宋体"/>
                <w:color w:val="000000" w:themeColor="text1"/>
                <w:szCs w:val="21"/>
                <w:lang w:val="en-US" w:eastAsia="zh-CN"/>
                <w14:textFill>
                  <w14:solidFill>
                    <w14:schemeClr w14:val="tx1"/>
                  </w14:solidFill>
                </w14:textFill>
              </w:rPr>
              <w:t>有应急管理部门（原安监部门）颁发且在有效期内的</w:t>
            </w:r>
            <w:r>
              <w:rPr>
                <w:rFonts w:hint="default" w:ascii="宋体" w:hAnsi="宋体" w:eastAsia="宋体"/>
                <w:color w:val="000000" w:themeColor="text1"/>
                <w:szCs w:val="21"/>
                <w:lang w:val="en-US" w:eastAsia="zh-CN"/>
                <w14:textFill>
                  <w14:solidFill>
                    <w14:schemeClr w14:val="tx1"/>
                  </w14:solidFill>
                </w14:textFill>
              </w:rPr>
              <w:t>初级</w:t>
            </w:r>
            <w:r>
              <w:rPr>
                <w:rFonts w:hint="eastAsia" w:ascii="宋体" w:hAnsi="宋体" w:eastAsia="宋体"/>
                <w:color w:val="000000" w:themeColor="text1"/>
                <w:szCs w:val="21"/>
                <w:lang w:val="en-US" w:eastAsia="zh-CN"/>
                <w14:textFill>
                  <w14:solidFill>
                    <w14:schemeClr w14:val="tx1"/>
                  </w14:solidFill>
                </w14:textFill>
              </w:rPr>
              <w:t>高压电工证和</w:t>
            </w:r>
            <w:r>
              <w:rPr>
                <w:rFonts w:hint="default" w:ascii="宋体" w:hAnsi="宋体" w:eastAsia="宋体"/>
                <w:color w:val="000000" w:themeColor="text1"/>
                <w:szCs w:val="21"/>
                <w:lang w:val="en-US" w:eastAsia="zh-CN"/>
                <w14:textFill>
                  <w14:solidFill>
                    <w14:schemeClr w14:val="tx1"/>
                  </w14:solidFill>
                </w14:textFill>
              </w:rPr>
              <w:t>初级</w:t>
            </w:r>
            <w:r>
              <w:rPr>
                <w:rFonts w:hint="eastAsia" w:ascii="宋体" w:hAnsi="宋体"/>
                <w:color w:val="000000" w:themeColor="text1"/>
                <w:szCs w:val="21"/>
                <w:lang w:val="en-US" w:eastAsia="zh-CN"/>
                <w14:textFill>
                  <w14:solidFill>
                    <w14:schemeClr w14:val="tx1"/>
                  </w14:solidFill>
                </w14:textFill>
              </w:rPr>
              <w:t>低</w:t>
            </w:r>
            <w:r>
              <w:rPr>
                <w:rFonts w:hint="eastAsia" w:ascii="宋体" w:hAnsi="宋体" w:eastAsia="宋体"/>
                <w:color w:val="000000" w:themeColor="text1"/>
                <w:szCs w:val="21"/>
                <w:lang w:val="en-US" w:eastAsia="zh-CN"/>
                <w14:textFill>
                  <w14:solidFill>
                    <w14:schemeClr w14:val="tx1"/>
                  </w14:solidFill>
                </w14:textFill>
              </w:rPr>
              <w:t>压电工证，</w:t>
            </w:r>
            <w:r>
              <w:rPr>
                <w:rFonts w:hint="eastAsia" w:ascii="宋体" w:hAnsi="宋体" w:eastAsia="宋体"/>
                <w:color w:val="000000" w:themeColor="text1"/>
                <w:szCs w:val="21"/>
                <w:lang w:val="en-US" w:eastAsia="en-US"/>
                <w14:textFill>
                  <w14:solidFill>
                    <w14:schemeClr w14:val="tx1"/>
                  </w14:solidFill>
                </w14:textFill>
              </w:rPr>
              <w:t>在投标文件中附相关证书复印件</w:t>
            </w:r>
            <w:r>
              <w:rPr>
                <w:rFonts w:hint="eastAsia" w:ascii="宋体" w:hAnsi="宋体"/>
                <w:color w:val="000000" w:themeColor="text1"/>
                <w:szCs w:val="21"/>
                <w:lang w:val="en-US" w:eastAsia="zh-CN"/>
                <w14:textFill>
                  <w14:solidFill>
                    <w14:schemeClr w14:val="tx1"/>
                  </w14:solidFill>
                </w14:textFill>
              </w:rPr>
              <w:t>。</w:t>
            </w:r>
          </w:p>
        </w:tc>
        <w:tc>
          <w:tcPr>
            <w:tcW w:w="810"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根据实情设置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消防</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管理员</w:t>
            </w:r>
          </w:p>
        </w:tc>
        <w:tc>
          <w:tcPr>
            <w:tcW w:w="589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男性，具</w:t>
            </w:r>
            <w:r>
              <w:rPr>
                <w:rFonts w:hint="eastAsia" w:ascii="宋体" w:hAnsi="宋体" w:eastAsia="宋体"/>
                <w:color w:val="000000" w:themeColor="text1"/>
                <w:szCs w:val="21"/>
                <w:lang w:val="en-US" w:eastAsia="zh-CN"/>
                <w14:textFill>
                  <w14:solidFill>
                    <w14:schemeClr w14:val="tx1"/>
                  </w14:solidFill>
                </w14:textFill>
              </w:rPr>
              <w:t>大</w:t>
            </w:r>
            <w:r>
              <w:rPr>
                <w:rFonts w:hint="eastAsia" w:ascii="宋体" w:hAnsi="宋体" w:eastAsia="宋体"/>
                <w:color w:val="000000" w:themeColor="text1"/>
                <w:szCs w:val="21"/>
                <w:lang w:val="en-US" w:eastAsia="en-US"/>
                <w14:textFill>
                  <w14:solidFill>
                    <w14:schemeClr w14:val="tx1"/>
                  </w14:solidFill>
                </w14:textFill>
              </w:rPr>
              <w:t>专以上学历，</w:t>
            </w:r>
            <w:r>
              <w:rPr>
                <w:rFonts w:hint="eastAsia" w:ascii="宋体" w:hAnsi="宋体" w:eastAsia="宋体"/>
                <w:color w:val="000000" w:themeColor="text1"/>
                <w:szCs w:val="21"/>
                <w:lang w:val="en-US" w:eastAsia="zh-CN"/>
                <w14:textFill>
                  <w14:solidFill>
                    <w14:schemeClr w14:val="tx1"/>
                  </w14:solidFill>
                </w14:textFill>
              </w:rPr>
              <w:t>相关技术专业，一年以上消防工作经验；持有</w:t>
            </w:r>
            <w:r>
              <w:rPr>
                <w:rFonts w:hint="eastAsia" w:ascii="宋体" w:hAnsi="宋体" w:eastAsia="宋体"/>
                <w:color w:val="000000" w:themeColor="text1"/>
                <w:szCs w:val="21"/>
                <w:lang w:val="en-US" w:eastAsia="en-US"/>
                <w14:textFill>
                  <w14:solidFill>
                    <w14:schemeClr w14:val="tx1"/>
                  </w14:solidFill>
                </w14:textFill>
              </w:rPr>
              <w:t>初级消防设施操作员（五级）</w:t>
            </w:r>
            <w:r>
              <w:rPr>
                <w:rFonts w:hint="eastAsia" w:ascii="宋体" w:hAnsi="宋体" w:eastAsia="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en-US"/>
                <w14:textFill>
                  <w14:solidFill>
                    <w14:schemeClr w14:val="tx1"/>
                  </w14:solidFill>
                </w14:textFill>
              </w:rPr>
              <w:t>在投标文件中附相关证书复印件</w:t>
            </w:r>
            <w:r>
              <w:rPr>
                <w:rFonts w:hint="eastAsia" w:ascii="宋体" w:hAnsi="宋体" w:eastAsia="宋体"/>
                <w:color w:val="000000" w:themeColor="text1"/>
                <w:szCs w:val="21"/>
                <w:lang w:val="en-US" w:eastAsia="zh-CN"/>
                <w14:textFill>
                  <w14:solidFill>
                    <w14:schemeClr w14:val="tx1"/>
                  </w14:solidFill>
                </w14:textFill>
              </w:rPr>
              <w:t>)；熟悉消防工作流程和消防法律与制度；掌握物业消防管理的基本理论以及物业消防器材及使用等知识</w:t>
            </w:r>
            <w:r>
              <w:rPr>
                <w:rFonts w:hint="eastAsia" w:ascii="宋体" w:hAnsi="宋体" w:eastAsia="宋体"/>
                <w:color w:val="000000" w:themeColor="text1"/>
                <w:szCs w:val="21"/>
                <w:lang w:val="en-US" w:eastAsia="en-US"/>
                <w14:textFill>
                  <w14:solidFill>
                    <w14:schemeClr w14:val="tx1"/>
                  </w14:solidFill>
                </w14:textFill>
              </w:rPr>
              <w:t>。</w:t>
            </w:r>
          </w:p>
        </w:tc>
        <w:tc>
          <w:tcPr>
            <w:tcW w:w="810" w:type="dxa"/>
            <w:noWrap w:val="0"/>
            <w:vAlign w:val="center"/>
          </w:tcPr>
          <w:p>
            <w:pPr>
              <w:spacing w:line="460" w:lineRule="exact"/>
              <w:rPr>
                <w:rFonts w:hint="default" w:ascii="宋体" w:hAnsi="宋体" w:eastAsia="宋体"/>
                <w:color w:val="000000" w:themeColor="text1"/>
                <w:szCs w:val="21"/>
                <w:lang w:val="en" w:eastAsia="en-US"/>
                <w14:textFill>
                  <w14:solidFill>
                    <w14:schemeClr w14:val="tx1"/>
                  </w14:solidFill>
                </w14:textFill>
              </w:rPr>
            </w:pPr>
            <w:r>
              <w:rPr>
                <w:rFonts w:hint="default" w:ascii="宋体" w:hAnsi="宋体" w:eastAsia="宋体"/>
                <w:color w:val="000000" w:themeColor="text1"/>
                <w:szCs w:val="21"/>
                <w:lang w:val="en" w:eastAsia="zh-CN"/>
                <w14:textFill>
                  <w14:solidFill>
                    <w14:schemeClr w14:val="tx1"/>
                  </w14:solidFill>
                </w14:textFill>
              </w:rPr>
              <w:t>2</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按消防部门的要求设备岗位及配备人员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w:t>
            </w: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餐饮服务员</w:t>
            </w:r>
          </w:p>
        </w:tc>
        <w:tc>
          <w:tcPr>
            <w:tcW w:w="589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初中以上文化程度，年龄20-50岁，持健康证上岗；组织纪律观念强，</w:t>
            </w:r>
            <w:r>
              <w:rPr>
                <w:rFonts w:hint="eastAsia" w:ascii="宋体" w:hAnsi="宋体" w:eastAsia="宋体"/>
                <w:color w:val="000000" w:themeColor="text1"/>
                <w:szCs w:val="21"/>
                <w:lang w:val="en-US" w:eastAsia="zh-CN"/>
                <w14:textFill>
                  <w14:solidFill>
                    <w14:schemeClr w14:val="tx1"/>
                  </w14:solidFill>
                </w14:textFill>
              </w:rPr>
              <w:t>有一定的食品安全知识，</w:t>
            </w:r>
            <w:r>
              <w:rPr>
                <w:rFonts w:hint="eastAsia" w:ascii="宋体" w:hAnsi="宋体" w:eastAsia="宋体"/>
                <w:color w:val="000000" w:themeColor="text1"/>
                <w:szCs w:val="21"/>
                <w:lang w:val="en-US" w:eastAsia="en-US"/>
                <w14:textFill>
                  <w14:solidFill>
                    <w14:schemeClr w14:val="tx1"/>
                  </w14:solidFill>
                </w14:textFill>
              </w:rPr>
              <w:t>敬业精神好，任劳任怨，工作认真细致。</w:t>
            </w:r>
          </w:p>
        </w:tc>
        <w:tc>
          <w:tcPr>
            <w:tcW w:w="81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根据实情设置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9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0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589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合计</w:t>
            </w:r>
          </w:p>
        </w:tc>
        <w:tc>
          <w:tcPr>
            <w:tcW w:w="810" w:type="dxa"/>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r>
              <w:rPr>
                <w:rFonts w:hint="default" w:ascii="宋体" w:hAnsi="宋体" w:eastAsia="宋体"/>
                <w:color w:val="000000" w:themeColor="text1"/>
                <w:szCs w:val="21"/>
                <w:lang w:val="en" w:eastAsia="zh-CN"/>
                <w14:textFill>
                  <w14:solidFill>
                    <w14:schemeClr w14:val="tx1"/>
                  </w14:solidFill>
                </w14:textFill>
              </w:rPr>
              <w:t>3</w:t>
            </w:r>
          </w:p>
        </w:tc>
        <w:tc>
          <w:tcPr>
            <w:tcW w:w="1958"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bl>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p>
    <w:p>
      <w:pPr>
        <w:spacing w:line="460" w:lineRule="exact"/>
        <w:rPr>
          <w:rFonts w:hint="eastAsia" w:ascii="宋体" w:hAnsi="宋体" w:eastAsia="宋体"/>
          <w:b/>
          <w:bCs/>
          <w:color w:val="000000" w:themeColor="text1"/>
          <w:szCs w:val="21"/>
          <w:lang w:val="en"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七</w:t>
      </w:r>
      <w:r>
        <w:rPr>
          <w:rFonts w:hint="eastAsia" w:ascii="宋体" w:hAnsi="宋体" w:eastAsia="宋体"/>
          <w:b/>
          <w:bCs/>
          <w:color w:val="000000" w:themeColor="text1"/>
          <w:szCs w:val="21"/>
          <w:lang w:val="en" w:eastAsia="zh-CN"/>
          <w14:textFill>
            <w14:solidFill>
              <w14:schemeClr w14:val="tx1"/>
            </w14:solidFill>
          </w14:textFill>
        </w:rPr>
        <w:t>、人员岗位职责</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（一）机关安保岗位职责</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 w:eastAsia="zh-CN"/>
          <w14:textFill>
            <w14:solidFill>
              <w14:schemeClr w14:val="tx1"/>
            </w14:solidFill>
          </w14:textFill>
        </w:rPr>
        <w:t>门卫保安员岗位职责</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（1）遵守各项规章制度、进出管理规定，树立工作责任感。</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（2）礼貌待人，标准站姿、文明用语询问进出人员，尽量避免 发生争执，难以解决的问题及时向法警部门领导汇报。</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（3）法院系统的人员来访必须持有自治区高院颁发的工作证件或证明文件出入大院。</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（4）消防、电梯等特种设备维保人员须凭单位介绍信和本人有效身份证件办理临时通行证，方可凭证出入大院。</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（5）来访人员如为本院人员约访的，由本院人员自行引领。</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 w:eastAsia="zh-CN"/>
          <w14:textFill>
            <w14:solidFill>
              <w14:schemeClr w14:val="tx1"/>
            </w14:solidFill>
          </w14:textFill>
        </w:rPr>
        <w:t>）严禁携带易燃、易爆、有毒及危害安全物品的人员进入</w:t>
      </w:r>
      <w:r>
        <w:rPr>
          <w:rFonts w:hint="default" w:ascii="宋体" w:hAnsi="宋体" w:eastAsia="宋体"/>
          <w:color w:val="000000" w:themeColor="text1"/>
          <w:szCs w:val="21"/>
          <w:lang w:val="en" w:eastAsia="zh-CN"/>
          <w14:textFill>
            <w14:solidFill>
              <w14:schemeClr w14:val="tx1"/>
            </w14:solidFill>
          </w14:textFill>
        </w:rPr>
        <w:t>大院</w:t>
      </w:r>
      <w:r>
        <w:rPr>
          <w:rFonts w:hint="eastAsia" w:ascii="宋体" w:hAnsi="宋体" w:eastAsia="宋体"/>
          <w:color w:val="000000" w:themeColor="text1"/>
          <w:szCs w:val="21"/>
          <w:lang w:val="en" w:eastAsia="zh-CN"/>
          <w14:textFill>
            <w14:solidFill>
              <w14:schemeClr w14:val="tx1"/>
            </w14:solidFill>
          </w14:textFill>
        </w:rPr>
        <w:t>。</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7</w:t>
      </w:r>
      <w:r>
        <w:rPr>
          <w:rFonts w:hint="eastAsia" w:ascii="宋体" w:hAnsi="宋体" w:eastAsia="宋体"/>
          <w:color w:val="000000" w:themeColor="text1"/>
          <w:szCs w:val="21"/>
          <w:lang w:val="en" w:eastAsia="zh-CN"/>
          <w14:textFill>
            <w14:solidFill>
              <w14:schemeClr w14:val="tx1"/>
            </w14:solidFill>
          </w14:textFill>
        </w:rPr>
        <w:t>）严禁未成年人和各类业务推销人员、废品收购人员及其他闲杂人员进入</w:t>
      </w:r>
      <w:r>
        <w:rPr>
          <w:rFonts w:hint="default" w:ascii="宋体" w:hAnsi="宋体" w:eastAsia="宋体"/>
          <w:color w:val="000000" w:themeColor="text1"/>
          <w:szCs w:val="21"/>
          <w:lang w:val="en" w:eastAsia="zh-CN"/>
          <w14:textFill>
            <w14:solidFill>
              <w14:schemeClr w14:val="tx1"/>
            </w14:solidFill>
          </w14:textFill>
        </w:rPr>
        <w:t>大院</w:t>
      </w:r>
      <w:r>
        <w:rPr>
          <w:rFonts w:hint="eastAsia" w:ascii="宋体" w:hAnsi="宋体" w:eastAsia="宋体"/>
          <w:color w:val="000000" w:themeColor="text1"/>
          <w:szCs w:val="21"/>
          <w:lang w:val="en" w:eastAsia="zh-CN"/>
          <w14:textFill>
            <w14:solidFill>
              <w14:schemeClr w14:val="tx1"/>
            </w14:solidFill>
          </w14:textFill>
        </w:rPr>
        <w:t>。</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lang w:val="en" w:eastAsia="zh-CN"/>
          <w14:textFill>
            <w14:solidFill>
              <w14:schemeClr w14:val="tx1"/>
            </w14:solidFill>
          </w14:textFill>
        </w:rPr>
        <w:t>）出入</w:t>
      </w:r>
      <w:r>
        <w:rPr>
          <w:rFonts w:hint="default" w:ascii="宋体" w:hAnsi="宋体" w:eastAsia="宋体"/>
          <w:color w:val="000000" w:themeColor="text1"/>
          <w:szCs w:val="21"/>
          <w:lang w:val="en" w:eastAsia="zh-CN"/>
          <w14:textFill>
            <w14:solidFill>
              <w14:schemeClr w14:val="tx1"/>
            </w14:solidFill>
          </w14:textFill>
        </w:rPr>
        <w:t>大院</w:t>
      </w:r>
      <w:r>
        <w:rPr>
          <w:rFonts w:hint="eastAsia" w:ascii="宋体" w:hAnsi="宋体" w:eastAsia="宋体"/>
          <w:color w:val="000000" w:themeColor="text1"/>
          <w:szCs w:val="21"/>
          <w:lang w:val="en" w:eastAsia="zh-CN"/>
          <w14:textFill>
            <w14:solidFill>
              <w14:schemeClr w14:val="tx1"/>
            </w14:solidFill>
          </w14:textFill>
        </w:rPr>
        <w:t>的所有人员必须尊重和支持安保人员履行职责，接受验证，不得无理取闹，妨碍安保人员开展勤务工作。</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9</w:t>
      </w:r>
      <w:r>
        <w:rPr>
          <w:rFonts w:hint="eastAsia" w:ascii="宋体" w:hAnsi="宋体" w:eastAsia="宋体"/>
          <w:color w:val="000000" w:themeColor="text1"/>
          <w:szCs w:val="21"/>
          <w:lang w:val="en" w:eastAsia="zh-CN"/>
          <w14:textFill>
            <w14:solidFill>
              <w14:schemeClr w14:val="tx1"/>
            </w14:solidFill>
          </w14:textFill>
        </w:rPr>
        <w:t>）安保执勤人员应认真履行岗位职责，文明礼貌、优质服务。</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lang w:val="en" w:eastAsia="zh-CN"/>
          <w14:textFill>
            <w14:solidFill>
              <w14:schemeClr w14:val="tx1"/>
            </w14:solidFill>
          </w14:textFill>
        </w:rPr>
        <w:t>巡逻、巡庭岗位职责</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（1）保安</w:t>
      </w:r>
      <w:r>
        <w:rPr>
          <w:rFonts w:hint="eastAsia" w:ascii="宋体" w:hAnsi="宋体" w:eastAsia="宋体"/>
          <w:color w:val="000000" w:themeColor="text1"/>
          <w:szCs w:val="21"/>
          <w:lang w:val="en-US" w:eastAsia="en-US"/>
          <w14:textFill>
            <w14:solidFill>
              <w14:schemeClr w14:val="tx1"/>
            </w14:solidFill>
          </w14:textFill>
        </w:rPr>
        <w:t>统一着装，佩戴标志</w:t>
      </w:r>
      <w:r>
        <w:rPr>
          <w:rFonts w:hint="eastAsia" w:ascii="宋体" w:hAnsi="宋体" w:eastAsia="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 w:eastAsia="zh-CN"/>
          <w14:textFill>
            <w14:solidFill>
              <w14:schemeClr w14:val="tx1"/>
            </w14:solidFill>
          </w14:textFill>
        </w:rPr>
        <w:t>着装必须按照规范标准，衣着端整；保持个人仪容整洁， 不留胡须，头发长度不能过耳。</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（2）上班执勤不迟到，不早退。有特殊情况必须及时向主管部门人员请假。</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（3）上班时候坚守岗位，不中途随意外出。</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（4）在岗期间，做到主动维持秩序，随时注意大楼的动态，开庭期间的庭审秩序，发现紧急情况马上报警法警部门，并协助做好突发情况的情况的处理。</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（5）定期检查对服务区域巡查， 并每天做好巡查记录。</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（6）值勤期间要注重礼仪礼节的规范，对领导要有相应的礼节。</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（7）积极配合做好业主单位需要的其他管理工作，并服从管理。</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lang w:val="en" w:eastAsia="zh-CN"/>
          <w14:textFill>
            <w14:solidFill>
              <w14:schemeClr w14:val="tx1"/>
            </w14:solidFill>
          </w14:textFill>
        </w:rPr>
        <w:t>）积极指引车辆安全驶入车位停车。检查并提示车主锁好车门窗，做好对机动车的监护及车场的安全巡逻工作。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(10)下班后及时逐一检查办公</w:t>
      </w:r>
      <w:r>
        <w:rPr>
          <w:rFonts w:hint="default" w:ascii="宋体" w:hAnsi="宋体" w:eastAsia="宋体"/>
          <w:color w:val="000000" w:themeColor="text1"/>
          <w:szCs w:val="21"/>
          <w:lang w:val="en" w:eastAsia="zh-CN"/>
          <w14:textFill>
            <w14:solidFill>
              <w14:schemeClr w14:val="tx1"/>
            </w14:solidFill>
          </w14:textFill>
        </w:rPr>
        <w:t>大院</w:t>
      </w:r>
      <w:r>
        <w:rPr>
          <w:rFonts w:hint="eastAsia" w:ascii="宋体" w:hAnsi="宋体" w:eastAsia="宋体"/>
          <w:color w:val="000000" w:themeColor="text1"/>
          <w:szCs w:val="21"/>
          <w:lang w:val="en-US" w:eastAsia="zh-CN"/>
          <w14:textFill>
            <w14:solidFill>
              <w14:schemeClr w14:val="tx1"/>
            </w14:solidFill>
          </w14:textFill>
        </w:rPr>
        <w:t>门窗是否关闭，水电是否切断情况，消除安全隐患，确保院内财产安全。</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3.安检协助岗位职责</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1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①</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协助法警在来访人员进入安检区前进行人员信息登记。</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2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②</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维持来访问人员进入安检区的秩序。</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3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③</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对来访问的老幼、残疾人员提供力所能及的便民服务。</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4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zh-CN"/>
          <w14:textFill>
            <w14:solidFill>
              <w14:schemeClr w14:val="tx1"/>
            </w14:solidFill>
          </w14:textFill>
        </w:rPr>
        <w:t>④</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完成安检人员要求的其它安检配合事项。</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4.引导员岗位职责</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对来院参加诉讼或办理其它业务的人员进行分类引导，防止外来人员在院内非业务办理区域乱窜。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5.其它要求</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1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en-US"/>
          <w14:textFill>
            <w14:solidFill>
              <w14:schemeClr w14:val="tx1"/>
            </w14:solidFill>
          </w14:textFill>
        </w:rPr>
        <w:t>①</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 xml:space="preserve">工作态度 </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服从领导——服从上级的工作安排及工作调配。</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严于职守——坚守本职岗位，不得擅自离岗、窜岗或睡岗。</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正直诚实——对上级领导、同事和业主要以诚相待，不得阳 奉阴违。</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团结协作——各部门之间、员工之间要互相配合，同心协力的解决困难。</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勤俭节约——具有良好的节约意识，勤俭为公，节约能源。</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2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en-US"/>
          <w14:textFill>
            <w14:solidFill>
              <w14:schemeClr w14:val="tx1"/>
            </w14:solidFill>
          </w14:textFill>
        </w:rPr>
        <w:t>②</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服务态度</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礼貌——这是员工对业主和同事最基本的态度，在任何时刻均使用礼貌用语，“请”字当头、“谢”字不离口。</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真诚——以真诚的态度接待业主。</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友善——“微笑”是体现友善最适当的表达方式，因此应以 微笑来迎接业主及与同事相处。</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热情——尽可能为同事和业主提供方便，热情服务。</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耐心——对业主的要求应认真、耐心地聆听，并尽量在不违 背本公司规定的前提下办理。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平等——一视同仁地对待所有业主，不应有贫富之分，厚此 薄彼。</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3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en-US"/>
          <w14:textFill>
            <w14:solidFill>
              <w14:schemeClr w14:val="tx1"/>
            </w14:solidFill>
          </w14:textFill>
        </w:rPr>
        <w:t>③</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仪容仪表</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员工必须保持衣冠整洁，按规定要求着装，并将工作卡端正佩戴在胸前。任何时候，在工作场所不得穿短裤、背心、拖鞋。皮鞋要保持干净、光亮，不准钉响底。应每日修剪胡须，发不盖耳遮领，不得剃光头。面部、手部必须保持干爽清洁，不留长指甲（不长于指头2毫米）。保持口腔清洁，上班前不吃异味食物。不得在大庭广众之下梳头、挖鼻孔、搔痒、对人打喷嚏、打哈欠和伸懒腰等影响形象的行为。</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4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en-US"/>
          <w14:textFill>
            <w14:solidFill>
              <w14:schemeClr w14:val="tx1"/>
            </w14:solidFill>
          </w14:textFill>
        </w:rPr>
        <w:t>④</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行为举止</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举止应大方得体，与人交谈双眼应平视对方，不要左顾右盼。遇上级领导，应即时起身相迎并问好并敬礼。站立的正确姿势是：双脚与两肩同宽自然垂直分开（体重落 在双脚上），肩平、头正、双眼平视前方、挺胸、收腹。坐姿：上身挺直，双肩放松，手自然放在双膝上，不得坐在椅 子上前俯后仰，摇腿翘脚。进入上级领导或其他部门办公室前，应先立在门外轻叩站三下，征得同意后方可入内；进入后，不得随意翻动室内物品；若进去 时门是关住的，出来时则应随手将门轻轻带上。</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fldChar w:fldCharType="begin"/>
      </w:r>
      <w:r>
        <w:rPr>
          <w:rFonts w:hint="eastAsia" w:ascii="宋体" w:hAnsi="宋体" w:eastAsia="宋体"/>
          <w:color w:val="000000" w:themeColor="text1"/>
          <w:szCs w:val="21"/>
          <w:lang w:val="en-US" w:eastAsia="zh-CN"/>
          <w14:textFill>
            <w14:solidFill>
              <w14:schemeClr w14:val="tx1"/>
            </w14:solidFill>
          </w14:textFill>
        </w:rPr>
        <w:instrText xml:space="preserve"> = 5 \* GB3 \* MERGEFORMAT </w:instrText>
      </w:r>
      <w:r>
        <w:rPr>
          <w:rFonts w:hint="eastAsia" w:ascii="宋体" w:hAnsi="宋体" w:eastAsia="宋体"/>
          <w:color w:val="000000" w:themeColor="text1"/>
          <w:szCs w:val="21"/>
          <w:lang w:val="en-US" w:eastAsia="zh-CN"/>
          <w14:textFill>
            <w14:solidFill>
              <w14:schemeClr w14:val="tx1"/>
            </w14:solidFill>
          </w14:textFill>
        </w:rPr>
        <w:fldChar w:fldCharType="separate"/>
      </w:r>
      <w:r>
        <w:rPr>
          <w:rFonts w:hint="eastAsia" w:ascii="宋体" w:hAnsi="宋体" w:eastAsia="宋体"/>
          <w:color w:val="000000" w:themeColor="text1"/>
          <w:szCs w:val="21"/>
          <w:lang w:val="en-US" w:eastAsia="en-US"/>
          <w14:textFill>
            <w14:solidFill>
              <w14:schemeClr w14:val="tx1"/>
            </w14:solidFill>
          </w14:textFill>
        </w:rPr>
        <w:t>⑤</w:t>
      </w:r>
      <w:r>
        <w:rPr>
          <w:rFonts w:hint="eastAsia" w:ascii="宋体" w:hAnsi="宋体" w:eastAsia="宋体"/>
          <w:color w:val="000000" w:themeColor="text1"/>
          <w:szCs w:val="21"/>
          <w:lang w:val="en-US" w:eastAsia="zh-CN"/>
          <w14:textFill>
            <w14:solidFill>
              <w14:schemeClr w14:val="tx1"/>
            </w14:solidFill>
          </w14:textFill>
        </w:rPr>
        <w:fldChar w:fldCharType="end"/>
      </w:r>
      <w:r>
        <w:rPr>
          <w:rFonts w:hint="eastAsia" w:ascii="宋体" w:hAnsi="宋体" w:eastAsia="宋体"/>
          <w:color w:val="000000" w:themeColor="text1"/>
          <w:szCs w:val="21"/>
          <w:lang w:val="en-US" w:eastAsia="zh-CN"/>
          <w14:textFill>
            <w14:solidFill>
              <w14:schemeClr w14:val="tx1"/>
            </w14:solidFill>
          </w14:textFill>
        </w:rPr>
        <w:t>上岗姿态</w:t>
      </w:r>
    </w:p>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在岗时须精神饱满，精力集中。站岗时保持抬头、挺胸、收腹、并腿，巡岗时须在站立的基础 上做到步伐稳健，双臂前后自然摆动，不得有手插衣裤口袋、手叉腰 间等散漫举止。两人巡岗时须并排，保持上岗姿态统一步伐行进；两人以上 巡逻或同行时须列纵队，保持上岗姿态统一步伐行进。在岗期间不得吸烟或吃零食，不得有闲聊、睡岗及其他懈怠 行为。回答上级或来宾提问时应清楚扼要，并使用普通话。</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（二）物业管理服务岗位职责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en-US"/>
          <w14:textFill>
            <w14:solidFill>
              <w14:schemeClr w14:val="tx1"/>
            </w14:solidFill>
          </w14:textFill>
        </w:rPr>
        <w:t>项目经理岗位职责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（1）制定物业组质量目标和各阶段的工作计划，保证日常工作的正常运转，并做好工作总结；</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（2）参加每周工作例会，听取汇报，布置工作并协调、解决工作中的问题；</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（3）负责本组所有低值易耗品的申购、保管、领用发放工作，并做好出入库台帐和月末消耗量的对比分析工作。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（4）配合做好本组的人员编制、招聘、录用，入职、离职、业绩考核、培训等工作；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（5）检查和督促本组各岗位员工严格按照工作规程和质量要求进行工作，确保服务质量；</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（6）建立良好的公共关系，广泛听取和收集服务对象及其它各部门意见，不断改进工作，带领员工提高服务质量；</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（7）负责本组的安全工作；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（8）完成领导交办的其它工作。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2．绿化人员岗位职责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（1）了解从事绿化维护的工作内容和岗位职责。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（2）了解绿地施工及养护管理的操作规程和规范。</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（3）认识常见的绿植，能区分不同植物的形态特征；并了解环境因素对植物的影响。</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（4）了解常见的植物病虫害和相应的防治方法，以及安全使用和保管药剂的知识。</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（5）草坪生长整齐，无明显缺水枯黄和秃裸，杂草面积不大于2%，每星期清扫两次绿化地/丛中的烟头、纸屑等垃圾。</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（6）乔、灌木、攀枝植物每年修剪2次以上。</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（7）草坪每年除草、修剪5次以上。</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（8）及时清除死树、死枝，对死株、秃裸草坪适时通报甲方，申请补种。</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（9）定期喷洒药物，做好病虫害防治工作，无明显病虫害现象。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（10）领导布置的其他工作。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r>
        <w:rPr>
          <w:rFonts w:hint="eastAsia" w:ascii="宋体" w:hAnsi="宋体" w:eastAsia="宋体"/>
          <w:color w:val="000000" w:themeColor="text1"/>
          <w:szCs w:val="21"/>
          <w:lang w:val="en-US" w:eastAsia="en-US"/>
          <w14:textFill>
            <w14:solidFill>
              <w14:schemeClr w14:val="tx1"/>
            </w14:solidFill>
          </w14:textFill>
        </w:rPr>
        <w:t>．保洁人员岗位职责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（1）管理制度完善，各类清洁设备设施配备齐全，并有专人管理。</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（2）保持公共区域整洁，无乱悬挂、乱堆放等现象。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（3）办公室、道路、公共场地每天清扫1次，保持公共区域和办公室干净整洁无杂物。</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（4）楼道、楼梯扶手每天清扫、擦拭1次。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w:t>
      </w:r>
      <w:r>
        <w:rPr>
          <w:rFonts w:hint="eastAsia" w:ascii="宋体" w:hAnsi="宋体" w:eastAsia="宋体"/>
          <w:color w:val="000000" w:themeColor="text1"/>
          <w:szCs w:val="21"/>
          <w:lang w:val="en-US" w:eastAsia="zh-CN"/>
          <w14:textFill>
            <w14:solidFill>
              <w14:schemeClr w14:val="tx1"/>
            </w14:solidFill>
          </w14:textFill>
        </w:rPr>
        <w:t>每周清洁旧办公区2次</w:t>
      </w:r>
      <w:r>
        <w:rPr>
          <w:rFonts w:hint="eastAsia" w:ascii="宋体" w:hAnsi="宋体" w:eastAsia="宋体"/>
          <w:color w:val="000000" w:themeColor="text1"/>
          <w:szCs w:val="21"/>
          <w:lang w:val="en-US" w:eastAsia="en-US"/>
          <w14:textFill>
            <w14:solidFill>
              <w14:schemeClr w14:val="tx1"/>
            </w14:solidFill>
          </w14:textFill>
        </w:rPr>
        <w:t>。</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（6）电梯轿厢内无手印、灰尘、污迹，干净光亮、无异味，地毯干净无污迹。</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（7）垃圾桶、果皮箱等垃圾设施每天清洁1次，每星期消杀1次，保持无异味。</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（8）楼层厕所每天清洁</w:t>
      </w:r>
      <w:r>
        <w:rPr>
          <w:rFonts w:hint="eastAsia" w:ascii="宋体" w:hAnsi="宋体" w:eastAsia="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lang w:val="en-US" w:eastAsia="en-US"/>
          <w14:textFill>
            <w14:solidFill>
              <w14:schemeClr w14:val="tx1"/>
            </w14:solidFill>
          </w14:textFill>
        </w:rPr>
        <w:t>次，每星期消杀2次。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（9）污水井、排水沟每年消杀2次。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（10）垃圾清运日产日清，每天收集清运垃圾2次，无垃圾桶、果皮箱满溢现象。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（11）督促装修、维修垃圾及时清运，集中堆放时间不得超过2天。</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（12）做好其他卫生虫害的防治工作，适时投放消杀药物，有效控制老鼠、蟑螂、蚊子、苍蝇等害虫孳生。</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（13）垃圾日产日清，垃圾箱外表干净，无异味。</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（14）功能室及部分保洁区域具体工作内容要求</w:t>
      </w:r>
    </w:p>
    <w:tbl>
      <w:tblPr>
        <w:tblStyle w:val="40"/>
        <w:tblpPr w:leftFromText="180" w:rightFromText="180" w:vertAnchor="text" w:horzAnchor="page" w:tblpX="1542" w:tblpY="4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1155"/>
        <w:gridCol w:w="467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场所名称</w:t>
            </w: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序 号</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工作内容要求</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Merge w:val="restart"/>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主楼厅堂</w:t>
            </w:r>
            <w:r>
              <w:rPr>
                <w:rFonts w:hint="eastAsia" w:ascii="宋体" w:hAnsi="宋体" w:eastAsia="宋体"/>
                <w:color w:val="000000" w:themeColor="text1"/>
                <w:szCs w:val="21"/>
                <w:lang w:val="en-US" w:eastAsia="zh-CN"/>
                <w14:textFill>
                  <w14:solidFill>
                    <w14:schemeClr w14:val="tx1"/>
                  </w14:solidFill>
                </w14:textFill>
              </w:rPr>
              <w:t>、执行指挥中心厅堂</w:t>
            </w: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打扫及擦净地面和门口阶梯，使地面保持干净、无纸屑、果皮、烟头等杂物。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擦净大堂墙壁、宣传栏、指示牌等装置，确保表面光亮洁净。</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擦净大堂玻璃门、窗、扶手、栏杆、不锈钢装置等装饰物品。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收集及清倒烟灰筒，并清洗烟灰筒内外，用抹布擦拭，保持其光亮洁净。</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清洁所有花盆及植物。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擦净空调风口百叶、灯罩、电灯箱积尘。</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清扫天花板尘埃、蜘蛛网。</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会议室</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会议室卫生要天天保持整洁，桌子椅子要摆放整齐，茶具要保持整洁并排放有序</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如遇会议需要，应在会议前加强保洁工作，会议后及时清理保洁。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清扫天花板灰尘、蜘蛛网等。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法庭</w:t>
            </w: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大、中、小法庭要保持整洁。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如遇开庭需要，应在开庭前加强保洁工作，开庭后及时清理保洁。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 时</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清扫天花板灰尘、蜘蛛网等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会客室</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领导办公室</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擦洗地板、清理积聚的垃圾杂物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en-US"/>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擦拭办公桌、椅、板凳。</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内侧玻璃窗用干毛巾擦拭一次，除灰尘，手印。</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用干净的毛巾擦拭灯具、灯罩、空调机吹风口、消防指示灯等。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日常对会客用品(沙发、茶具、场地等)进行清洁。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信访室</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擦洗地板、清理积聚的垃圾杂物。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擦拭办公桌、椅、板凳。</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日常用品(沙发、茶具、场地等)保持清洁。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内侧玻璃窗用干毛巾擦拭一次，除灰尘，手印。</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用干净的毛巾擦拭灯具、灯罩、空调机吹风口、消防指示灯等。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羁押室</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羁押室要保持整洁。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如遇羁押提审需要，应在羁押前加强保洁工作，清扫检查无杂物，被羁押人离开后及时清理保洁。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卫生间</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清洁洗手间。</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冲洗疏通洗手池（盆）、抽水马桶、小便池、地漏。</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擦净灯饰、玻璃、烘手器、隔板、镜面、门窗、不锈钢等装置。</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擦净排气扇、天花板、灯具等设备。</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喷洒空气清新剂或定期放置除臭药丸。</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电梯间</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拖擦电梯桥厢内地面垃圾、沙粒等。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擦拭电梯门表面、电梯轿厢内壁、门及指示板。</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对电梯表面涂上保护油、保持表面光洁明亮。</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对轿厢内灯饰、排气扇进行清洁。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楼梯</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扫净所有楼梯。</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拖擦所有楼梯，用布擦净扶手及栏杆。</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擦洗防火门、消防栓、消防器材等表面灰尘。</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清扫天花板，擦拭玻璃窗。</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楼层走廊</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拖擦楼层走廊、扶手。</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收集及清理烟灰筒、花盆内的垃圾并擦拭干净。</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擦拭楼层走廊消防栓、灭火器、防火门、玻璃窗等。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清扫天花板灰尘、蜘蛛网等。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裙楼及顶层天台</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清扫天台的垃圾杂物。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擦拭天台屋顶大门、玻璃等。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图书室</w:t>
            </w: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保持整洁，及时打扫，擦净地板，桌椅。</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保持</w:t>
            </w:r>
            <w:r>
              <w:rPr>
                <w:rFonts w:hint="eastAsia" w:ascii="宋体" w:hAnsi="宋体" w:eastAsia="宋体"/>
                <w:color w:val="000000" w:themeColor="text1"/>
                <w:szCs w:val="21"/>
                <w:lang w:val="en-US" w:eastAsia="zh-CN"/>
                <w14:textFill>
                  <w14:solidFill>
                    <w14:schemeClr w14:val="tx1"/>
                  </w14:solidFill>
                </w14:textFill>
              </w:rPr>
              <w:t>图书室</w:t>
            </w:r>
            <w:r>
              <w:rPr>
                <w:rFonts w:hint="eastAsia" w:ascii="宋体" w:hAnsi="宋体" w:eastAsia="宋体"/>
                <w:color w:val="000000" w:themeColor="text1"/>
                <w:szCs w:val="21"/>
                <w:lang w:val="en-US" w:eastAsia="en-US"/>
                <w14:textFill>
                  <w14:solidFill>
                    <w14:schemeClr w14:val="tx1"/>
                  </w14:solidFill>
                </w14:textFill>
              </w:rPr>
              <w:t>无四害。</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停车场</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打扫地板的垃圾杂物。</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w:t>
            </w:r>
            <w:r>
              <w:rPr>
                <w:rFonts w:hint="eastAsia" w:ascii="宋体" w:hAnsi="宋体" w:eastAsia="宋体"/>
                <w:color w:val="000000" w:themeColor="text1"/>
                <w:szCs w:val="21"/>
                <w:lang w:val="en-US" w:eastAsia="zh-CN"/>
                <w14:textFill>
                  <w14:solidFill>
                    <w14:schemeClr w14:val="tx1"/>
                  </w14:solidFill>
                </w14:textFill>
              </w:rPr>
              <w:t>日</w:t>
            </w:r>
            <w:r>
              <w:rPr>
                <w:rFonts w:hint="eastAsia" w:ascii="宋体" w:hAnsi="宋体" w:eastAsia="宋体"/>
                <w:color w:val="000000" w:themeColor="text1"/>
                <w:szCs w:val="21"/>
                <w:lang w:val="en-US" w:eastAsia="en-US"/>
                <w14:textFill>
                  <w14:solidFill>
                    <w14:schemeClr w14:val="tx1"/>
                  </w14:solidFill>
                </w14:textFill>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擦拭地板。保持停车场地的整洁、路面无积水</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每周1次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清扫天花板灰尘、蜘蛛网等。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用水冲洗地板（但电梯间禁止用水冲洗），确保地板无污迹、沙土,对有破损的地面进行修补，保证地面平整、美观。</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default" w:ascii="宋体" w:hAnsi="宋体" w:eastAsia="宋体"/>
                <w:color w:val="000000" w:themeColor="text1"/>
                <w:szCs w:val="21"/>
                <w:lang w:val="en" w:eastAsia="en-US"/>
                <w14:textFill>
                  <w14:solidFill>
                    <w14:schemeClr w14:val="tx1"/>
                  </w14:solidFill>
                </w14:textFill>
              </w:rPr>
              <w:t>大院</w:t>
            </w:r>
            <w:r>
              <w:rPr>
                <w:rFonts w:hint="eastAsia" w:ascii="宋体" w:hAnsi="宋体" w:eastAsia="宋体"/>
                <w:color w:val="000000" w:themeColor="text1"/>
                <w:szCs w:val="21"/>
                <w:lang w:val="en-US" w:eastAsia="en-US"/>
                <w14:textFill>
                  <w14:solidFill>
                    <w14:schemeClr w14:val="tx1"/>
                  </w14:solidFill>
                </w14:textFill>
              </w:rPr>
              <w:t>四周及道路</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清理树穴、花坛、沙井、排水槽内杂物，确保排水污水畅通。</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清扫停车场、道路、绿地、将垃圾收集于垃圾筒内，对于水泥地面的沙士应认真清扫，确保地面无明显沙土。</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en-US"/>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擦拭室外公共场地的标志牌、垃圾筒等。</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用水冲洗地面，确保地面无污迹、沙土。</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清洗、旗台、石狮。清理广场内的广告、公共告示栏、标识等每天清理，处理过期及破损的宣传品。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蓄水水池</w:t>
            </w: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清理池底</w:t>
            </w:r>
            <w:r>
              <w:rPr>
                <w:rFonts w:hint="eastAsia" w:ascii="宋体" w:hAnsi="宋体" w:eastAsia="宋体"/>
                <w:color w:val="000000" w:themeColor="text1"/>
                <w:szCs w:val="21"/>
                <w:lang w:val="en-US" w:eastAsia="zh-CN"/>
                <w14:textFill>
                  <w14:solidFill>
                    <w14:schemeClr w14:val="tx1"/>
                  </w14:solidFill>
                </w14:textFill>
              </w:rPr>
              <w:t>及池壁</w:t>
            </w:r>
          </w:p>
        </w:tc>
        <w:tc>
          <w:tcPr>
            <w:tcW w:w="15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restart"/>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空置房间</w:t>
            </w:r>
          </w:p>
        </w:tc>
        <w:tc>
          <w:tcPr>
            <w:tcW w:w="1155" w:type="dxa"/>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清扫墙壁、墙角、顶棚等处的蜘蛛网和灰尘。</w:t>
            </w:r>
          </w:p>
        </w:tc>
        <w:tc>
          <w:tcPr>
            <w:tcW w:w="1555" w:type="dxa"/>
            <w:vMerge w:val="restart"/>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每季度1</w:t>
            </w:r>
            <w:r>
              <w:rPr>
                <w:rFonts w:hint="eastAsia" w:ascii="宋体" w:hAnsi="宋体" w:eastAsia="宋体"/>
                <w:color w:val="000000" w:themeColor="text1"/>
                <w:szCs w:val="21"/>
                <w:lang w:val="en-US" w:eastAsia="zh-CN"/>
                <w14:textFill>
                  <w14:solidFill>
                    <w14:schemeClr w14:val="tx1"/>
                  </w14:solidFill>
                </w14:textFill>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清扫地面废弃物。井用拖把擦拭地面。</w:t>
            </w:r>
          </w:p>
        </w:tc>
        <w:tc>
          <w:tcPr>
            <w:tcW w:w="1555" w:type="dxa"/>
            <w:vMerge w:val="continue"/>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36"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c>
          <w:tcPr>
            <w:tcW w:w="1155"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4677" w:type="dxa"/>
            <w:noWrap w:val="0"/>
            <w:vAlign w:val="top"/>
          </w:tcPr>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打开空房进行通风(潮湿季节和阴雨天要关闭窗户，晴天和干燥季节要加长通风时间)</w:t>
            </w:r>
          </w:p>
        </w:tc>
        <w:tc>
          <w:tcPr>
            <w:tcW w:w="1555" w:type="dxa"/>
            <w:vMerge w:val="continue"/>
            <w:noWrap w:val="0"/>
            <w:vAlign w:val="center"/>
          </w:tcPr>
          <w:p>
            <w:pPr>
              <w:spacing w:line="460" w:lineRule="exact"/>
              <w:rPr>
                <w:rFonts w:hint="eastAsia" w:ascii="宋体" w:hAnsi="宋体" w:eastAsia="宋体"/>
                <w:color w:val="000000" w:themeColor="text1"/>
                <w:szCs w:val="21"/>
                <w:lang w:val="en-US" w:eastAsia="en-US"/>
                <w14:textFill>
                  <w14:solidFill>
                    <w14:schemeClr w14:val="tx1"/>
                  </w14:solidFill>
                </w14:textFill>
              </w:rPr>
            </w:pPr>
          </w:p>
        </w:tc>
      </w:tr>
    </w:tbl>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lang w:val="en-US" w:eastAsia="en-US"/>
          <w14:textFill>
            <w14:solidFill>
              <w14:schemeClr w14:val="tx1"/>
            </w14:solidFill>
          </w14:textFill>
        </w:rPr>
        <w:t>．会议服务员岗位职责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（1）在主管的领导下，从事具体会议接待服务工作；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（2）根据服务对象的要求和主管的安排做好会议的会场布置；</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（3）负责会前将室内温度调到最佳温度；</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（4）负责会前所需各类服务用品的准备工作；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（5）负责会议茶具的清洗、消毒工作；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（6）做好会后的现场检查工作，及时报告上缴客人遗留物品；</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（7）保持会议场所的整洁整齐；</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（8）完成领导布置的其他工作。</w:t>
      </w:r>
    </w:p>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 xml:space="preserve"> (9)遇有重要活动协助进行会场布置、迎宾接待等临时性工作。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lang w:val="en-US" w:eastAsia="en-US"/>
          <w14:textFill>
            <w14:solidFill>
              <w14:schemeClr w14:val="tx1"/>
            </w14:solidFill>
          </w14:textFill>
        </w:rPr>
        <w:t>．水电维护工岗位职责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（1）要求相应的专业资质证书，根据维修通知及按维修计划、保养计划开展工作。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（2）对管辖区域内设备设施进行日常巡查，发现问题及时处理。</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（3）按时按质完成上级分配的工作，按要求填好记录表格。</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（4）努力学习技术，熟练掌握工作区域内设备的原理、技术性能及实际操作。</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（5）完成领导交办的其它工作任务。</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US" w:eastAsia="en-US"/>
          <w14:textFill>
            <w14:solidFill>
              <w14:schemeClr w14:val="tx1"/>
            </w14:solidFill>
          </w14:textFill>
        </w:rPr>
        <w:t>消防管理</w:t>
      </w:r>
      <w:r>
        <w:rPr>
          <w:rFonts w:hint="eastAsia" w:ascii="宋体" w:hAnsi="宋体" w:eastAsia="宋体"/>
          <w:color w:val="000000" w:themeColor="text1"/>
          <w:szCs w:val="21"/>
          <w:lang w:val="en-US" w:eastAsia="zh-CN"/>
          <w14:textFill>
            <w14:solidFill>
              <w14:schemeClr w14:val="tx1"/>
            </w14:solidFill>
          </w14:textFill>
        </w:rPr>
        <w:t>员岗位职责</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en-US"/>
          <w14:textFill>
            <w14:solidFill>
              <w14:schemeClr w14:val="tx1"/>
            </w14:solidFill>
          </w14:textFill>
        </w:rPr>
        <w:t>建立健全消防管理责任制，</w:t>
      </w:r>
      <w:r>
        <w:rPr>
          <w:rFonts w:hint="eastAsia" w:ascii="宋体" w:hAnsi="宋体" w:eastAsia="宋体"/>
          <w:color w:val="000000" w:themeColor="text1"/>
          <w:szCs w:val="21"/>
          <w:lang w:val="en-US" w:eastAsia="zh-CN"/>
          <w14:textFill>
            <w14:solidFill>
              <w14:schemeClr w14:val="tx1"/>
            </w14:solidFill>
          </w14:textFill>
        </w:rPr>
        <w:t>专业</w:t>
      </w:r>
      <w:r>
        <w:rPr>
          <w:rFonts w:hint="eastAsia" w:ascii="宋体" w:hAnsi="宋体" w:eastAsia="宋体"/>
          <w:color w:val="000000" w:themeColor="text1"/>
          <w:szCs w:val="21"/>
          <w:lang w:val="en-US" w:eastAsia="en-US"/>
          <w14:textFill>
            <w14:solidFill>
              <w14:schemeClr w14:val="tx1"/>
            </w14:solidFill>
          </w14:textFill>
        </w:rPr>
        <w:t>维护、管理消防器材，定期检查维护消防报警系统和进行消防培训，</w:t>
      </w:r>
      <w:r>
        <w:rPr>
          <w:rFonts w:hint="eastAsia" w:ascii="宋体" w:hAnsi="宋体" w:eastAsia="宋体"/>
          <w:color w:val="000000" w:themeColor="text1"/>
          <w:szCs w:val="21"/>
          <w:lang w:val="en-US" w:eastAsia="zh-CN"/>
          <w14:textFill>
            <w14:solidFill>
              <w14:schemeClr w14:val="tx1"/>
            </w14:solidFill>
          </w14:textFill>
        </w:rPr>
        <w:t>组织</w:t>
      </w:r>
      <w:r>
        <w:rPr>
          <w:rFonts w:hint="eastAsia" w:ascii="宋体" w:hAnsi="宋体" w:eastAsia="宋体"/>
          <w:color w:val="000000" w:themeColor="text1"/>
          <w:szCs w:val="21"/>
          <w:lang w:val="en-US" w:eastAsia="en-US"/>
          <w14:textFill>
            <w14:solidFill>
              <w14:schemeClr w14:val="tx1"/>
            </w14:solidFill>
          </w14:textFill>
        </w:rPr>
        <w:t>成立义务消防队，掌握基本消防技能。</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lang w:val="en-US" w:eastAsia="en-US"/>
          <w14:textFill>
            <w14:solidFill>
              <w14:schemeClr w14:val="tx1"/>
            </w14:solidFill>
          </w14:textFill>
        </w:rPr>
        <w:t>按消防法有关规定，消控室实施24小时值班制度，值班日记、监控记录齐全。</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（3）对物业区域内进行</w:t>
      </w:r>
      <w:r>
        <w:rPr>
          <w:rFonts w:hint="eastAsia" w:ascii="宋体" w:hAnsi="宋体" w:eastAsia="宋体"/>
          <w:color w:val="000000" w:themeColor="text1"/>
          <w:szCs w:val="21"/>
          <w:lang w:val="en-US" w:eastAsia="en-US"/>
          <w14:textFill>
            <w14:solidFill>
              <w14:schemeClr w14:val="tx1"/>
            </w14:solidFill>
          </w14:textFill>
        </w:rPr>
        <w:t>火灾隐患</w:t>
      </w:r>
      <w:r>
        <w:rPr>
          <w:rFonts w:hint="eastAsia" w:ascii="宋体" w:hAnsi="宋体" w:eastAsia="宋体"/>
          <w:color w:val="000000" w:themeColor="text1"/>
          <w:szCs w:val="21"/>
          <w:lang w:val="en-US" w:eastAsia="zh-CN"/>
          <w14:textFill>
            <w14:solidFill>
              <w14:schemeClr w14:val="tx1"/>
            </w14:solidFill>
          </w14:textFill>
        </w:rPr>
        <w:t>检查并整改，无法整改的报告业主单位</w:t>
      </w:r>
      <w:r>
        <w:rPr>
          <w:rFonts w:hint="eastAsia" w:ascii="宋体" w:hAnsi="宋体" w:eastAsia="宋体"/>
          <w:color w:val="000000" w:themeColor="text1"/>
          <w:szCs w:val="21"/>
          <w:lang w:val="en-US" w:eastAsia="en-US"/>
          <w14:textFill>
            <w14:solidFill>
              <w14:schemeClr w14:val="tx1"/>
            </w14:solidFill>
          </w14:textFill>
        </w:rPr>
        <w:t>。</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lang w:val="en-US" w:eastAsia="en-US"/>
          <w14:textFill>
            <w14:solidFill>
              <w14:schemeClr w14:val="tx1"/>
            </w14:solidFill>
          </w14:textFill>
        </w:rPr>
        <w:t>每月进行消防测试，每半年进行消防演练。</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en-US"/>
          <w14:textFill>
            <w14:solidFill>
              <w14:schemeClr w14:val="tx1"/>
            </w14:solidFill>
          </w14:textFill>
        </w:rPr>
        <w:t>（5）完成领导交办的其它工作任务。</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7.餐饮服务员岗位职责</w:t>
      </w:r>
    </w:p>
    <w:bookmarkEnd w:id="47"/>
    <w:bookmarkEnd w:id="48"/>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en-US"/>
          <w14:textFill>
            <w14:solidFill>
              <w14:schemeClr w14:val="tx1"/>
            </w14:solidFill>
          </w14:textFill>
        </w:rPr>
        <w:t>厨师长（主厨</w:t>
      </w:r>
      <w:r>
        <w:rPr>
          <w:rFonts w:hint="eastAsia" w:ascii="宋体" w:hAnsi="宋体" w:eastAsia="宋体"/>
          <w:color w:val="000000" w:themeColor="text1"/>
          <w:szCs w:val="21"/>
          <w:lang w:val="en-US" w:eastAsia="zh-CN"/>
          <w14:textFill>
            <w14:solidFill>
              <w14:schemeClr w14:val="tx1"/>
            </w14:solidFill>
          </w14:textFill>
        </w:rPr>
        <w:t>，1人</w:t>
      </w:r>
      <w:r>
        <w:rPr>
          <w:rFonts w:hint="eastAsia" w:ascii="宋体" w:hAnsi="宋体" w:eastAsia="宋体"/>
          <w:color w:val="000000" w:themeColor="text1"/>
          <w:szCs w:val="21"/>
          <w:lang w:val="en-US" w:eastAsia="en-US"/>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en-US"/>
          <w14:textFill>
            <w14:solidFill>
              <w14:schemeClr w14:val="tx1"/>
            </w14:solidFill>
          </w14:textFill>
        </w:rPr>
        <w:t>厨师及服务人员管理、成本核算、订菜谱、开单、客餐制作，定期推出新菜品</w:t>
      </w:r>
      <w:r>
        <w:rPr>
          <w:rFonts w:hint="eastAsia" w:ascii="宋体" w:hAnsi="宋体" w:eastAsia="宋体"/>
          <w:color w:val="000000" w:themeColor="text1"/>
          <w:szCs w:val="21"/>
          <w:lang w:val="en-US" w:eastAsia="zh-CN"/>
          <w14:textFill>
            <w14:solidFill>
              <w14:schemeClr w14:val="tx1"/>
            </w14:solidFill>
          </w14:textFill>
        </w:rPr>
        <w:t>，负责每餐</w:t>
      </w:r>
      <w:r>
        <w:rPr>
          <w:rFonts w:hint="eastAsia" w:ascii="宋体" w:hAnsi="宋体" w:eastAsia="宋体"/>
          <w:color w:val="000000" w:themeColor="text1"/>
          <w:szCs w:val="21"/>
          <w:lang w:val="en-US" w:eastAsia="en-US"/>
          <w14:textFill>
            <w14:solidFill>
              <w14:schemeClr w14:val="tx1"/>
            </w14:solidFill>
          </w14:textFill>
        </w:rPr>
        <w:t>饭菜制作。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（2）厨师（副厨兼面点师，1人）：</w:t>
      </w:r>
      <w:r>
        <w:rPr>
          <w:rFonts w:hint="eastAsia" w:ascii="宋体" w:hAnsi="宋体" w:eastAsia="宋体"/>
          <w:color w:val="000000" w:themeColor="text1"/>
          <w:szCs w:val="21"/>
          <w:lang w:val="en-US" w:eastAsia="en-US"/>
          <w14:textFill>
            <w14:solidFill>
              <w14:schemeClr w14:val="tx1"/>
            </w14:solidFill>
          </w14:textFill>
        </w:rPr>
        <w:t>懂菜品制作、小菜腌制、加工一般类面食：馒头、包子、花卷、米糕及其他家常面食制作等</w:t>
      </w:r>
      <w:r>
        <w:rPr>
          <w:rFonts w:hint="eastAsia" w:ascii="宋体" w:hAnsi="宋体" w:eastAsia="宋体"/>
          <w:color w:val="000000" w:themeColor="text1"/>
          <w:szCs w:val="21"/>
          <w:lang w:val="en-US" w:eastAsia="zh-CN"/>
          <w14:textFill>
            <w14:solidFill>
              <w14:schemeClr w14:val="tx1"/>
            </w14:solidFill>
          </w14:textFill>
        </w:rPr>
        <w:t>，配合厨师长</w:t>
      </w:r>
      <w:r>
        <w:rPr>
          <w:rFonts w:hint="eastAsia" w:ascii="宋体" w:hAnsi="宋体" w:eastAsia="宋体"/>
          <w:color w:val="000000" w:themeColor="text1"/>
          <w:szCs w:val="21"/>
          <w:lang w:val="en-US" w:eastAsia="en-US"/>
          <w14:textFill>
            <w14:solidFill>
              <w14:schemeClr w14:val="tx1"/>
            </w14:solidFill>
          </w14:textFill>
        </w:rPr>
        <w:t>制作饭菜</w:t>
      </w:r>
      <w:r>
        <w:rPr>
          <w:rFonts w:hint="eastAsia" w:ascii="宋体" w:hAnsi="宋体" w:eastAsia="宋体"/>
          <w:color w:val="000000" w:themeColor="text1"/>
          <w:szCs w:val="21"/>
          <w:lang w:val="en-US" w:eastAsia="zh-CN"/>
          <w14:textFill>
            <w14:solidFill>
              <w14:schemeClr w14:val="tx1"/>
            </w14:solidFill>
          </w14:textFill>
        </w:rPr>
        <w:t>。</w:t>
      </w:r>
    </w:p>
    <w:p>
      <w:pPr>
        <w:spacing w:line="460" w:lineRule="exact"/>
        <w:rPr>
          <w:rFonts w:hint="eastAsia" w:ascii="宋体" w:hAnsi="宋体" w:eastAsia="宋体"/>
          <w:color w:val="000000" w:themeColor="text1"/>
          <w:szCs w:val="21"/>
          <w:lang w:val="en-US"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（3）厨工（刀工，1人）：</w:t>
      </w:r>
      <w:r>
        <w:rPr>
          <w:rFonts w:hint="eastAsia" w:ascii="宋体" w:hAnsi="宋体" w:eastAsia="宋体"/>
          <w:color w:val="000000" w:themeColor="text1"/>
          <w:szCs w:val="21"/>
          <w:lang w:val="en-US" w:eastAsia="en-US"/>
          <w14:textFill>
            <w14:solidFill>
              <w14:schemeClr w14:val="tx1"/>
            </w14:solidFill>
          </w14:textFill>
        </w:rPr>
        <w:t>按厨师及菜谱要求，配制菜品，并协助厨师搞好厨房内部卫生、后勤保障服务等。</w:t>
      </w:r>
    </w:p>
    <w:p>
      <w:pPr>
        <w:spacing w:line="460" w:lineRule="exact"/>
        <w:rPr>
          <w:rFonts w:hint="default" w:ascii="仿宋_GB2312" w:hAnsi="仿宋_GB2312" w:eastAsia="仿宋_GB2312" w:cs="仿宋_GB2312"/>
          <w:sz w:val="32"/>
          <w:szCs w:val="32"/>
          <w:lang w:val="en-US" w:eastAsia="zh-CN"/>
        </w:rPr>
      </w:pPr>
      <w:r>
        <w:rPr>
          <w:rFonts w:hint="eastAsia" w:ascii="宋体" w:hAnsi="宋体" w:eastAsia="宋体"/>
          <w:color w:val="000000" w:themeColor="text1"/>
          <w:szCs w:val="21"/>
          <w:lang w:val="en-US" w:eastAsia="zh-CN"/>
          <w14:textFill>
            <w14:solidFill>
              <w14:schemeClr w14:val="tx1"/>
            </w14:solidFill>
          </w14:textFill>
        </w:rPr>
        <w:t>（4）勤杂工（3人）：每餐负责分餐、公务接待的上菜、收台、清洗餐具、饭堂区域的清洁等后勤服务工作。</w:t>
      </w:r>
    </w:p>
    <w:p>
      <w:pPr>
        <w:spacing w:line="460" w:lineRule="exact"/>
        <w:rPr>
          <w:rFonts w:hint="eastAsia" w:ascii="宋体" w:hAnsi="宋体" w:eastAsia="宋体"/>
          <w:b/>
          <w:bCs/>
          <w:color w:val="000000" w:themeColor="text1"/>
          <w:szCs w:val="21"/>
          <w:lang w:val="en-US" w:eastAsia="en-US"/>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八、物资配置</w:t>
      </w:r>
      <w:r>
        <w:rPr>
          <w:rFonts w:hint="eastAsia" w:ascii="宋体" w:hAnsi="宋体" w:eastAsia="宋体"/>
          <w:b/>
          <w:bCs/>
          <w:color w:val="000000" w:themeColor="text1"/>
          <w:szCs w:val="21"/>
          <w:lang w:val="en-US" w:eastAsia="en-US"/>
          <w14:textFill>
            <w14:solidFill>
              <w14:schemeClr w14:val="tx1"/>
            </w14:solidFill>
          </w14:textFill>
        </w:rPr>
        <w:t>表</w:t>
      </w:r>
    </w:p>
    <w:p>
      <w:pPr>
        <w:pStyle w:val="2"/>
        <w:rPr>
          <w:rFonts w:hint="eastAsia" w:eastAsia="宋体"/>
          <w:lang w:val="en-US" w:eastAsia="zh-CN"/>
        </w:rPr>
      </w:pPr>
      <w:r>
        <w:rPr>
          <w:rFonts w:hint="eastAsia" w:ascii="宋体" w:hAnsi="宋体" w:cs="Times New Roman"/>
          <w:color w:val="0D0D0D"/>
          <w:szCs w:val="21"/>
          <w:lang w:val="en-US" w:eastAsia="zh-CN"/>
        </w:rPr>
        <w:t>成交供应商</w:t>
      </w:r>
      <w:r>
        <w:rPr>
          <w:rFonts w:hint="eastAsia" w:ascii="宋体" w:hAnsi="宋体" w:eastAsia="宋体" w:cs="Times New Roman"/>
          <w:color w:val="0D0D0D"/>
          <w:szCs w:val="21"/>
        </w:rPr>
        <w:t>需</w:t>
      </w:r>
      <w:r>
        <w:rPr>
          <w:rFonts w:hint="eastAsia" w:ascii="宋体" w:hAnsi="宋体" w:cs="Times New Roman"/>
          <w:color w:val="0D0D0D"/>
          <w:szCs w:val="21"/>
          <w:lang w:val="en-US" w:eastAsia="zh-CN"/>
        </w:rPr>
        <w:t>自行</w:t>
      </w:r>
      <w:r>
        <w:rPr>
          <w:rFonts w:hint="eastAsia" w:ascii="宋体" w:hAnsi="宋体" w:eastAsia="宋体" w:cs="Times New Roman"/>
          <w:color w:val="0D0D0D"/>
          <w:szCs w:val="21"/>
        </w:rPr>
        <w:t>配置以下使用</w:t>
      </w:r>
      <w:r>
        <w:rPr>
          <w:rFonts w:hint="eastAsia" w:ascii="宋体" w:hAnsi="宋体" w:cs="Times New Roman"/>
          <w:color w:val="0D0D0D"/>
          <w:szCs w:val="21"/>
          <w:lang w:val="en-US" w:eastAsia="zh-CN"/>
        </w:rPr>
        <w:t>物质</w:t>
      </w:r>
      <w:r>
        <w:rPr>
          <w:rFonts w:hint="eastAsia" w:ascii="宋体" w:hAnsi="宋体" w:cs="Times New Roman"/>
          <w:color w:val="0D0D0D"/>
          <w:szCs w:val="21"/>
          <w:lang w:eastAsia="zh-CN"/>
        </w:rPr>
        <w:t>：</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744"/>
        <w:gridCol w:w="1084"/>
        <w:gridCol w:w="256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61" w:type="dxa"/>
            <w:gridSpan w:val="5"/>
            <w:noWrap w:val="0"/>
            <w:vAlign w:val="center"/>
          </w:tcPr>
          <w:p>
            <w:pPr>
              <w:spacing w:line="460" w:lineRule="exact"/>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钦州市中级人民法院物业管理服务物资</w:t>
            </w:r>
            <w:r>
              <w:rPr>
                <w:rFonts w:hint="eastAsia" w:ascii="宋体" w:hAnsi="宋体" w:eastAsia="宋体"/>
                <w:b/>
                <w:bCs/>
                <w:color w:val="000000" w:themeColor="text1"/>
                <w:szCs w:val="21"/>
                <w:lang w:val="en-US" w:eastAsia="en-US"/>
                <w14:textFill>
                  <w14:solidFill>
                    <w14:schemeClr w14:val="tx1"/>
                  </w14:solidFill>
                </w14:textFill>
              </w:rPr>
              <w:t>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序号</w:t>
            </w:r>
          </w:p>
        </w:tc>
        <w:tc>
          <w:tcPr>
            <w:tcW w:w="2744"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物品名称</w:t>
            </w:r>
          </w:p>
        </w:tc>
        <w:tc>
          <w:tcPr>
            <w:tcW w:w="1084" w:type="dxa"/>
            <w:noWrap w:val="0"/>
            <w:vAlign w:val="center"/>
          </w:tcPr>
          <w:p>
            <w:pPr>
              <w:spacing w:line="460" w:lineRule="exact"/>
              <w:rPr>
                <w:rFonts w:hint="eastAsia" w:ascii="宋体" w:hAnsi="宋体" w:eastAsia="宋体"/>
                <w:color w:val="000000" w:themeColor="text1"/>
                <w:szCs w:val="21"/>
                <w:lang w:val="zh-C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单位</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数量</w:t>
            </w:r>
          </w:p>
        </w:tc>
        <w:tc>
          <w:tcPr>
            <w:tcW w:w="2641"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1</w:t>
            </w:r>
          </w:p>
        </w:tc>
        <w:tc>
          <w:tcPr>
            <w:tcW w:w="2744"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对讲机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2</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盾牌</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个</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3</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警棍</w:t>
            </w:r>
          </w:p>
        </w:tc>
        <w:tc>
          <w:tcPr>
            <w:tcW w:w="1084" w:type="dxa"/>
            <w:noWrap w:val="0"/>
            <w:vAlign w:val="center"/>
          </w:tcPr>
          <w:p>
            <w:pPr>
              <w:spacing w:line="460" w:lineRule="exact"/>
              <w:rPr>
                <w:rFonts w:hint="eastAsia" w:ascii="宋体" w:hAnsi="宋体" w:eastAsia="宋体"/>
                <w:color w:val="000000" w:themeColor="text1"/>
                <w:szCs w:val="21"/>
                <w:lang w:val="zh-C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把</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钢盔</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个</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zh-C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安保制服</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13</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物业公司制服</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w:t>
            </w:r>
          </w:p>
        </w:tc>
        <w:tc>
          <w:tcPr>
            <w:tcW w:w="2744"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会务专用制服</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8</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吸尘器</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9</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洗地机</w:t>
            </w:r>
          </w:p>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（高压水枪）</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10</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移动式排水泵</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11</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扫把</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个</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20</w:t>
            </w:r>
          </w:p>
        </w:tc>
        <w:tc>
          <w:tcPr>
            <w:tcW w:w="2641" w:type="dxa"/>
            <w:vMerge w:val="restart"/>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根据使用情况及时更换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12</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拖把</w:t>
            </w:r>
          </w:p>
        </w:tc>
        <w:tc>
          <w:tcPr>
            <w:tcW w:w="1084"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个</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16</w:t>
            </w:r>
          </w:p>
        </w:tc>
        <w:tc>
          <w:tcPr>
            <w:tcW w:w="2641" w:type="dxa"/>
            <w:vMerge w:val="continue"/>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13</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抹布</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块</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20</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14</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园林剪刀</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把</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15</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电动修剪机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16</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割草机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17</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bookmarkStart w:id="49" w:name="OLE_LINK1"/>
            <w:r>
              <w:rPr>
                <w:rFonts w:hint="eastAsia" w:ascii="宋体" w:hAnsi="宋体" w:eastAsia="宋体"/>
                <w:color w:val="000000" w:themeColor="text1"/>
                <w:szCs w:val="21"/>
                <w:lang w:val="zh-CN" w:eastAsia="en-US"/>
                <w14:textFill>
                  <w14:solidFill>
                    <w14:schemeClr w14:val="tx1"/>
                  </w14:solidFill>
                </w14:textFill>
              </w:rPr>
              <w:t>梯子</w:t>
            </w:r>
            <w:bookmarkEnd w:id="49"/>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架</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18</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考勤机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19</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平板车</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20</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消防服</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21</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消防靴</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双</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22</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雨衣</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件</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10</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23</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强力</w:t>
            </w:r>
            <w:r>
              <w:rPr>
                <w:rFonts w:hint="eastAsia" w:ascii="宋体" w:hAnsi="宋体" w:eastAsia="宋体"/>
                <w:color w:val="000000" w:themeColor="text1"/>
                <w:szCs w:val="21"/>
                <w:lang w:val="zh-CN" w:eastAsia="zh-CN"/>
                <w14:textFill>
                  <w14:solidFill>
                    <w14:schemeClr w14:val="tx1"/>
                  </w14:solidFill>
                </w14:textFill>
              </w:rPr>
              <w:t>探</w:t>
            </w:r>
            <w:r>
              <w:rPr>
                <w:rFonts w:hint="eastAsia" w:ascii="宋体" w:hAnsi="宋体" w:eastAsia="宋体"/>
                <w:color w:val="000000" w:themeColor="text1"/>
                <w:szCs w:val="21"/>
                <w:lang w:val="zh-CN" w:eastAsia="en-US"/>
                <w14:textFill>
                  <w14:solidFill>
                    <w14:schemeClr w14:val="tx1"/>
                  </w14:solidFill>
                </w14:textFill>
              </w:rPr>
              <w:t>照灯</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只</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24</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角磨机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25</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切割机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26</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电焊机</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台</w:t>
            </w:r>
          </w:p>
        </w:tc>
        <w:tc>
          <w:tcPr>
            <w:tcW w:w="2560"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27</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水电维修工具</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扳手、起子、电工钳、电笔、电钻、万用表、钳形表等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2" w:type="dxa"/>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28</w:t>
            </w:r>
          </w:p>
        </w:tc>
        <w:tc>
          <w:tcPr>
            <w:tcW w:w="274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物业管理软件</w:t>
            </w:r>
          </w:p>
        </w:tc>
        <w:tc>
          <w:tcPr>
            <w:tcW w:w="1084"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r>
              <w:rPr>
                <w:rFonts w:hint="eastAsia" w:ascii="宋体" w:hAnsi="宋体" w:eastAsia="宋体"/>
                <w:color w:val="000000" w:themeColor="text1"/>
                <w:szCs w:val="21"/>
                <w:lang w:val="zh-CN" w:eastAsia="en-US"/>
                <w14:textFill>
                  <w14:solidFill>
                    <w14:schemeClr w14:val="tx1"/>
                  </w14:solidFill>
                </w14:textFill>
              </w:rPr>
              <w:t>套</w:t>
            </w:r>
          </w:p>
        </w:tc>
        <w:tc>
          <w:tcPr>
            <w:tcW w:w="2560" w:type="dxa"/>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2641" w:type="dxa"/>
            <w:noWrap w:val="0"/>
            <w:vAlign w:val="center"/>
          </w:tcPr>
          <w:p>
            <w:pPr>
              <w:spacing w:line="460" w:lineRule="exact"/>
              <w:rPr>
                <w:rFonts w:hint="eastAsia" w:ascii="宋体" w:hAnsi="宋体" w:eastAsia="宋体"/>
                <w:color w:val="000000" w:themeColor="text1"/>
                <w:szCs w:val="21"/>
                <w:lang w:val="zh-CN" w:eastAsia="en-US"/>
                <w14:textFill>
                  <w14:solidFill>
                    <w14:schemeClr w14:val="tx1"/>
                  </w14:solidFill>
                </w14:textFill>
              </w:rPr>
            </w:pPr>
          </w:p>
        </w:tc>
      </w:tr>
    </w:tbl>
    <w:p>
      <w:pPr>
        <w:pStyle w:val="2"/>
        <w:rPr>
          <w:rFonts w:hint="default"/>
          <w:lang w:val="en-US" w:eastAsia="zh-CN"/>
        </w:rPr>
      </w:pP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九</w:t>
      </w:r>
      <w:r>
        <w:rPr>
          <w:rFonts w:hint="eastAsia" w:ascii="宋体" w:hAnsi="宋体" w:eastAsia="宋体"/>
          <w:b/>
          <w:bCs/>
          <w:color w:val="000000" w:themeColor="text1"/>
          <w:szCs w:val="21"/>
          <w:lang w:val="en-US" w:eastAsia="zh-CN"/>
          <w14:textFill>
            <w14:solidFill>
              <w14:schemeClr w14:val="tx1"/>
            </w14:solidFill>
          </w14:textFill>
        </w:rPr>
        <w:t>、其它费用约定</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（一）因</w:t>
      </w:r>
      <w:r>
        <w:rPr>
          <w:rFonts w:hint="eastAsia" w:ascii="宋体" w:hAnsi="宋体"/>
          <w:color w:val="000000" w:themeColor="text1"/>
          <w:szCs w:val="21"/>
          <w:lang w:val="en-US" w:eastAsia="zh-CN"/>
          <w14:textFill>
            <w14:solidFill>
              <w14:schemeClr w14:val="tx1"/>
            </w14:solidFill>
          </w14:textFill>
        </w:rPr>
        <w:t>采购</w:t>
      </w:r>
      <w:r>
        <w:rPr>
          <w:rFonts w:hint="eastAsia" w:ascii="宋体" w:hAnsi="宋体" w:eastAsia="宋体"/>
          <w:color w:val="000000" w:themeColor="text1"/>
          <w:szCs w:val="21"/>
          <w:lang w:val="en-US" w:eastAsia="zh-CN"/>
          <w14:textFill>
            <w14:solidFill>
              <w14:schemeClr w14:val="tx1"/>
            </w14:solidFill>
          </w14:textFill>
        </w:rPr>
        <w:t>人所产生的用品（如厕所用纸，洗手液，会议所用的饮品，杯具等）由</w:t>
      </w:r>
      <w:r>
        <w:rPr>
          <w:rFonts w:hint="eastAsia" w:ascii="宋体" w:hAnsi="宋体"/>
          <w:color w:val="000000" w:themeColor="text1"/>
          <w:szCs w:val="21"/>
          <w:lang w:val="en-US" w:eastAsia="zh-CN"/>
          <w14:textFill>
            <w14:solidFill>
              <w14:schemeClr w14:val="tx1"/>
            </w14:solidFill>
          </w14:textFill>
        </w:rPr>
        <w:t>采购人</w:t>
      </w:r>
      <w:r>
        <w:rPr>
          <w:rFonts w:hint="eastAsia" w:ascii="宋体" w:hAnsi="宋体" w:eastAsia="宋体"/>
          <w:color w:val="000000" w:themeColor="text1"/>
          <w:szCs w:val="21"/>
          <w:lang w:val="en-US" w:eastAsia="zh-CN"/>
          <w14:textFill>
            <w14:solidFill>
              <w14:schemeClr w14:val="tx1"/>
            </w14:solidFill>
          </w14:textFill>
        </w:rPr>
        <w:t>承担，其余均由</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承担。</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（二）场所消毒以及保洁、绿化所需工具及耗材消防演练、防汛物资、各类警示牌标等由</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提供，自行测算到管理费用中。</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（三）工程维修等费用。水电维修不含主材料，但工资计入物业管理费。消防等设施设备的维保、更换材料配件由业主方另行承担。空调、电梯的维保由业主另行委托，</w:t>
      </w:r>
      <w:r>
        <w:rPr>
          <w:rFonts w:hint="eastAsia" w:ascii="宋体" w:hAnsi="宋体"/>
          <w:color w:val="000000" w:themeColor="text1"/>
          <w:szCs w:val="21"/>
          <w:lang w:val="en-US" w:eastAsia="zh-CN"/>
          <w14:textFill>
            <w14:solidFill>
              <w14:schemeClr w14:val="tx1"/>
            </w14:solidFill>
          </w14:textFill>
        </w:rPr>
        <w:t>成交</w:t>
      </w:r>
      <w:r>
        <w:rPr>
          <w:rFonts w:hint="eastAsia" w:ascii="宋体" w:hAnsi="宋体" w:eastAsia="宋体"/>
          <w:color w:val="000000" w:themeColor="text1"/>
          <w:szCs w:val="21"/>
          <w:lang w:val="en-US" w:eastAsia="zh-CN"/>
          <w14:textFill>
            <w14:solidFill>
              <w14:schemeClr w14:val="tx1"/>
            </w14:solidFill>
          </w14:textFill>
        </w:rPr>
        <w:t>人必须做好配合工作。</w:t>
      </w:r>
    </w:p>
    <w:p>
      <w:pPr>
        <w:spacing w:line="460" w:lineRule="exact"/>
        <w:rPr>
          <w:rFonts w:hint="eastAsia" w:ascii="仿宋_GB2312" w:hAnsi="仿宋_GB2312" w:eastAsia="仿宋_GB2312" w:cs="仿宋_GB2312"/>
          <w:kern w:val="0"/>
          <w:sz w:val="30"/>
          <w:szCs w:val="30"/>
          <w:lang w:val="en-US" w:eastAsia="zh-CN"/>
        </w:rPr>
      </w:pPr>
      <w:r>
        <w:rPr>
          <w:rFonts w:hint="eastAsia" w:ascii="宋体" w:hAnsi="宋体" w:eastAsia="宋体"/>
          <w:color w:val="000000" w:themeColor="text1"/>
          <w:szCs w:val="21"/>
          <w:lang w:val="en-US" w:eastAsia="zh-CN"/>
          <w14:textFill>
            <w14:solidFill>
              <w14:schemeClr w14:val="tx1"/>
            </w14:solidFill>
          </w14:textFill>
        </w:rPr>
        <w:t>（四）餐饮服务的水、电费用由</w:t>
      </w:r>
      <w:r>
        <w:rPr>
          <w:rFonts w:hint="eastAsia" w:ascii="宋体" w:hAnsi="宋体"/>
          <w:color w:val="000000" w:themeColor="text1"/>
          <w:szCs w:val="21"/>
          <w:lang w:val="en-US" w:eastAsia="zh-CN"/>
          <w14:textFill>
            <w14:solidFill>
              <w14:schemeClr w14:val="tx1"/>
            </w14:solidFill>
          </w14:textFill>
        </w:rPr>
        <w:t>采购人</w:t>
      </w:r>
      <w:r>
        <w:rPr>
          <w:rFonts w:hint="eastAsia" w:ascii="宋体" w:hAnsi="宋体" w:eastAsia="宋体"/>
          <w:color w:val="000000" w:themeColor="text1"/>
          <w:szCs w:val="21"/>
          <w:lang w:val="en-US" w:eastAsia="zh-CN"/>
          <w14:textFill>
            <w14:solidFill>
              <w14:schemeClr w14:val="tx1"/>
            </w14:solidFill>
          </w14:textFill>
        </w:rPr>
        <w:t>承担。</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十、服务考核标准及奖惩办法</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bookmarkStart w:id="50" w:name="_Toc301188614"/>
      <w:bookmarkEnd w:id="50"/>
      <w:r>
        <w:rPr>
          <w:rFonts w:hint="eastAsia" w:ascii="宋体" w:hAnsi="宋体" w:eastAsia="宋体"/>
          <w:color w:val="000000" w:themeColor="text1"/>
          <w:szCs w:val="21"/>
          <w:lang w:val="en-US" w:eastAsia="zh-CN"/>
          <w14:textFill>
            <w14:solidFill>
              <w14:schemeClr w14:val="tx1"/>
            </w14:solidFill>
          </w14:textFill>
        </w:rPr>
        <w:t>（一）服务考核标准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完成三个月的服务后进行一次考核，总分为100分，分两部分进行，机关安保部分由法警支队负责考核，物业管理服务部分由办公室（行装科）负责考核。</w:t>
      </w:r>
    </w:p>
    <w:p>
      <w:pPr>
        <w:spacing w:line="460" w:lineRule="exact"/>
        <w:rPr>
          <w:rFonts w:hint="eastAsia" w:ascii="宋体" w:hAnsi="宋体" w:eastAsia="宋体"/>
          <w:color w:val="000000" w:themeColor="text1"/>
          <w:szCs w:val="21"/>
          <w:lang w:val="en" w:eastAsia="zh-CN"/>
          <w14:textFill>
            <w14:solidFill>
              <w14:schemeClr w14:val="tx1"/>
            </w14:solidFill>
          </w14:textFill>
        </w:rPr>
      </w:pPr>
      <w:r>
        <w:rPr>
          <w:rFonts w:hint="default" w:ascii="宋体" w:hAnsi="宋体" w:eastAsia="宋体"/>
          <w:color w:val="000000" w:themeColor="text1"/>
          <w:szCs w:val="21"/>
          <w:lang w:val="en" w:eastAsia="zh-CN"/>
          <w14:textFill>
            <w14:solidFill>
              <w14:schemeClr w14:val="tx1"/>
            </w14:solidFill>
          </w14:textFill>
        </w:rPr>
        <w:t>1.</w:t>
      </w:r>
      <w:r>
        <w:rPr>
          <w:rFonts w:hint="eastAsia" w:ascii="宋体" w:hAnsi="宋体" w:eastAsia="宋体"/>
          <w:color w:val="000000" w:themeColor="text1"/>
          <w:szCs w:val="21"/>
          <w:lang w:val="en" w:eastAsia="zh-CN"/>
          <w14:textFill>
            <w14:solidFill>
              <w14:schemeClr w14:val="tx1"/>
            </w14:solidFill>
          </w14:textFill>
        </w:rPr>
        <w:t>机关安保部分（</w:t>
      </w:r>
      <w:r>
        <w:rPr>
          <w:rFonts w:hint="eastAsia" w:ascii="宋体" w:hAnsi="宋体" w:eastAsia="宋体"/>
          <w:color w:val="000000" w:themeColor="text1"/>
          <w:szCs w:val="21"/>
          <w:lang w:val="en-US" w:eastAsia="zh-CN"/>
          <w14:textFill>
            <w14:solidFill>
              <w14:schemeClr w14:val="tx1"/>
            </w14:solidFill>
          </w14:textFill>
        </w:rPr>
        <w:t>30分</w:t>
      </w:r>
      <w:r>
        <w:rPr>
          <w:rFonts w:hint="eastAsia" w:ascii="宋体" w:hAnsi="宋体" w:eastAsia="宋体"/>
          <w:color w:val="000000" w:themeColor="text1"/>
          <w:szCs w:val="21"/>
          <w:lang w:val="en" w:eastAsia="zh-CN"/>
          <w14:textFill>
            <w14:solidFill>
              <w14:schemeClr w14:val="tx1"/>
            </w14:solidFill>
          </w14:textFill>
        </w:rPr>
        <w:t>）</w:t>
      </w:r>
    </w:p>
    <w:tbl>
      <w:tblPr>
        <w:tblStyle w:val="39"/>
        <w:tblpPr w:leftFromText="180" w:rightFromText="180" w:vertAnchor="text" w:horzAnchor="page" w:tblpX="1449" w:tblpY="677"/>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63"/>
        <w:gridCol w:w="1001"/>
        <w:gridCol w:w="2768"/>
        <w:gridCol w:w="2454"/>
        <w:gridCol w:w="696"/>
        <w:gridCol w:w="718"/>
        <w:gridCol w:w="67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97" w:hRule="atLeast"/>
        </w:trPr>
        <w:tc>
          <w:tcPr>
            <w:tcW w:w="463"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序号</w:t>
            </w: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一级指标</w:t>
            </w: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二级指标</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评分细则</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权值</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（30分）</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自评分</w:t>
            </w: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考核分</w:t>
            </w: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2" w:hRule="atLeast"/>
        </w:trPr>
        <w:tc>
          <w:tcPr>
            <w:tcW w:w="463"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w:t>
            </w:r>
          </w:p>
        </w:tc>
        <w:tc>
          <w:tcPr>
            <w:tcW w:w="1001"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安全保卫（20分）</w:t>
            </w: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1.安保人员为13人。保安人员的年龄结构、身高、学历等综合素质符合要求.</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未达标准</w:t>
            </w:r>
            <w:r>
              <w:rPr>
                <w:rFonts w:hint="eastAsia" w:ascii="宋体" w:hAnsi="宋体" w:eastAsia="宋体"/>
                <w:color w:val="000000" w:themeColor="text1"/>
                <w:szCs w:val="21"/>
                <w:lang w:val="en-US" w:eastAsia="zh-CN"/>
                <w14:textFill>
                  <w14:solidFill>
                    <w14:schemeClr w14:val="tx1"/>
                  </w14:solidFill>
                </w14:textFill>
              </w:rPr>
              <w:t>每人次扣0.1分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2.保安人员要着保安制服，要服从命令、听从指挥、精神饱满、仪表整洁、文明服务、礼貌待人</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违者每人次扣0.1分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2"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3.建立南门、西门岗位值班记录本，记录各种情况，对外来人员进行检查登记。每月最后1天号向法警支队、行装科报告当月的值班人员岗位安排表及值班情况</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缺项扣0.5分，发现没有登记进入办公楼每人每次扣0.1分，如没登记进入办公楼的外来人员，且造成重大影响扣2分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1060"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4.巡逻岗每天按规定进行巡更，并及时采集当天数据，定期或不定期进行检查</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不按要求落实，缺乏记录，未及时巡逻每次扣0.1分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60"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5.对运出院内的大件、大量物品有登记，经甲方同意后放行并记录。</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违者每次扣0.5分，如因工作失误，造成重大影响扣1分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02"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6.出现紧急情况，需第一时间报法警支队及行装科分管领导，确保对突发事情进行有效管控</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报告不及时或处置不当的每次扣0.1分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40"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7.值班人员失职，导致发生偷盗和火灾，造成人员伤亡和财产损失的</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出现该情况扣7分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75"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8.每月进行保安和消防培训，保存培训方案等相关资料，半年度进行一次突发事件的应急演练</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无培训方案扣0.2分，1个月内没有安排培训扣0.3分，无演练操作扣0.5分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99" w:hRule="atLeast"/>
        </w:trPr>
        <w:tc>
          <w:tcPr>
            <w:tcW w:w="463"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w:t>
            </w:r>
          </w:p>
        </w:tc>
        <w:tc>
          <w:tcPr>
            <w:tcW w:w="1001"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车辆管理（10分）</w:t>
            </w: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1.保证区域内道路交通畅通，车辆停放整齐有序，交通设施完好，对区域内违规停放车辆要及时上前劝阻。</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违者每次扣0.1分，发现问题不及时报告的每次扣0.1分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2"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2.重点位置（如主楼、指挥中心周围、主楼门前广场）保安人员要维护交通秩序，引导车辆行驶，停放在停车位内</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违者每次扣0.1分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3.加强地下室及车库巡逻，发现可疑人员要及时询问、处理、报告</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未及时询问、处理、报告的每次扣0.1分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790"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4.发现车辆漏油、漏水、门窗未关等应重点看管，通知车主并及时上报</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未及时处理每次扣0.1分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5.安排好重大活动车辆的停放</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未按要求执行每次扣0.2分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3" w:hRule="atLeast"/>
        </w:trPr>
        <w:tc>
          <w:tcPr>
            <w:tcW w:w="463"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6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6.受到服务对象有效意见投诉，经查属实的</w:t>
            </w:r>
          </w:p>
        </w:tc>
        <w:tc>
          <w:tcPr>
            <w:tcW w:w="2454"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每出现一次投诉扣0.2分</w:t>
            </w:r>
          </w:p>
        </w:tc>
        <w:tc>
          <w:tcPr>
            <w:tcW w:w="696"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6686" w:type="dxa"/>
            <w:gridSpan w:val="4"/>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合计</w:t>
            </w:r>
          </w:p>
        </w:tc>
        <w:tc>
          <w:tcPr>
            <w:tcW w:w="696"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30</w:t>
            </w:r>
          </w:p>
        </w:tc>
        <w:tc>
          <w:tcPr>
            <w:tcW w:w="718"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0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81" w:hRule="atLeast"/>
        </w:trPr>
        <w:tc>
          <w:tcPr>
            <w:tcW w:w="9776" w:type="dxa"/>
            <w:gridSpan w:val="8"/>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说明：</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1.本考核表为季度考核表，每三个月（季度）考核一次，表一由2个部分组成，总分30分，扣分极限为该项权值分。表（一）由法警支队负责组织考核（支队可根据此表进一步细化考核指标）。</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2.考核完成后，交办公室（行装科）进行汇总，表（一）与表（二）合计考核成绩9</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zh-CN"/>
                <w14:textFill>
                  <w14:solidFill>
                    <w14:schemeClr w14:val="tx1"/>
                  </w14:solidFill>
                </w14:textFill>
              </w:rPr>
              <w:t>-100分，该季度按合同支付足额的服务费；考核成绩90-8</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US" w:eastAsia="zh-CN"/>
                <w14:textFill>
                  <w14:solidFill>
                    <w14:schemeClr w14:val="tx1"/>
                  </w14:solidFill>
                </w14:textFill>
              </w:rPr>
              <w:t>分，扣除服务费总额的1%；考核成绩85-80分，扣除服务费总额的2%；考核成绩低于80分，则扣除服务费总额的5%；考核成绩低于70分，则讨论是否终止服务合同。</w:t>
            </w:r>
          </w:p>
        </w:tc>
      </w:tr>
    </w:tbl>
    <w:p>
      <w:pPr>
        <w:spacing w:line="460" w:lineRule="exact"/>
        <w:rPr>
          <w:rFonts w:hint="eastAsia" w:ascii="宋体" w:hAnsi="宋体" w:eastAsia="宋体"/>
          <w:color w:val="000000" w:themeColor="text1"/>
          <w:szCs w:val="21"/>
          <w:lang w:val="en" w:eastAsia="zh-CN"/>
          <w14:textFill>
            <w14:solidFill>
              <w14:schemeClr w14:val="tx1"/>
            </w14:solidFill>
          </w14:textFill>
        </w:rPr>
      </w:pPr>
    </w:p>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2.物业管理服务部分（70分）</w:t>
      </w:r>
    </w:p>
    <w:tbl>
      <w:tblPr>
        <w:tblStyle w:val="39"/>
        <w:tblpPr w:leftFromText="180" w:rightFromText="180" w:vertAnchor="text" w:horzAnchor="page" w:tblpX="1449" w:tblpY="677"/>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82"/>
        <w:gridCol w:w="1092"/>
        <w:gridCol w:w="2787"/>
        <w:gridCol w:w="2471"/>
        <w:gridCol w:w="579"/>
        <w:gridCol w:w="710"/>
        <w:gridCol w:w="675"/>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2" w:hRule="atLeast"/>
        </w:trPr>
        <w:tc>
          <w:tcPr>
            <w:tcW w:w="482"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序号</w:t>
            </w:r>
          </w:p>
        </w:tc>
        <w:tc>
          <w:tcPr>
            <w:tcW w:w="1092"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一级指标</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二级指标</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评分细则</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权值（70分）</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自评分</w:t>
            </w: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考核分</w:t>
            </w: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20"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人员配备情况（8分）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1.总人员配备总数为23人。其中，项目经理1人、绿化人员1人、保洁人员10人、会议服务员2人、水电维护员1人、消防管理员</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lang w:val="en-US" w:eastAsia="zh-CN"/>
                <w14:textFill>
                  <w14:solidFill>
                    <w14:schemeClr w14:val="tx1"/>
                  </w14:solidFill>
                </w14:textFill>
              </w:rPr>
              <w:t>人,餐饮服务员6人。</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每少1人扣0.2分，每月扣除物业管理费1810元。</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2"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2.管理人员在职在位，认真履行职责，加强物业管理</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管理人员无故不在岗，不请假离开工作岗位1天以上每次扣0.5分。经理需向行装科分管领导请假。</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3.每月按时足额发放员工工资。</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不按时发放员工工资的，每</w:t>
            </w:r>
            <w:r>
              <w:rPr>
                <w:rFonts w:hint="eastAsia" w:ascii="宋体" w:hAnsi="宋体"/>
                <w:color w:val="000000" w:themeColor="text1"/>
                <w:szCs w:val="21"/>
                <w:lang w:val="en-US" w:eastAsia="zh-CN"/>
                <w14:textFill>
                  <w14:solidFill>
                    <w14:schemeClr w14:val="tx1"/>
                  </w14:solidFill>
                </w14:textFill>
              </w:rPr>
              <w:t>次</w:t>
            </w:r>
            <w:r>
              <w:rPr>
                <w:rFonts w:hint="eastAsia" w:ascii="宋体" w:hAnsi="宋体" w:eastAsia="宋体"/>
                <w:color w:val="000000" w:themeColor="text1"/>
                <w:szCs w:val="21"/>
                <w:lang w:val="en-US" w:eastAsia="zh-CN"/>
                <w14:textFill>
                  <w14:solidFill>
                    <w14:schemeClr w14:val="tx1"/>
                  </w14:solidFill>
                </w14:textFill>
              </w:rPr>
              <w:t>扣2分。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水电维护维修（7分）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1.给水排水系统检查记录</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无记录扣1分，每月少于4次记录，每次扣0.5分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2.中央空调监检查记录</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无记录扣1分，每月少于4次记录，每次扣0.5分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3.供配电系统检查记录</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无记录扣1分，每月少于4次记录，每次扣0.5分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4.定期巡查各楼层的用水及排水设施情况，及时修理损坏的给排水设施</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未检查扣2分，每发现一次扣0.2分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5,接到报修后，急修不超过10分钟到场，小修不超过两个小时完成</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未按规定时间到达报修地和完成维修的每次扣0.2分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1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6.每天巡查公共区域的灯光照明情况，及时修理坏了的照明设备</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未检查扣1分，每发现一次扣0.2分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三</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会务服务（10分）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1.每月组织会务服务人员定期开展专业技能培训，保存会务人员培训方案</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无会务人员培训方案扣0.5分，每月少于1次培训扣0.5分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2.保护各楼栋会议室设备设施，每年固定设备设施完好率需达99.8%，会议室专用茶杯完好率需达98%</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设备设施完好率每低1个百分点扣0.2分，因主观故意造成的损耗损失须由物业公司照价赔偿，扣2分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9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3.做好会议茶具的清洗、消毒工作；会前要将室内空气进行一次换气后，将温度调到最佳温度，准备所需各类服务用品的准备工作。</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 xml:space="preserve"> 发生一次不做会前准备扣0.5分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4.会务服务人员应遵守保密工作纪律，会议内容不得外传和泄露。</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发生一次泄密事件扣２分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5.设施设备的台账建立，设备损耗及时上报； 无丢失和人为损坏情况。</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设备丢失每次扣1分，并责令物业公司按原设备配齐</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6.及时搞好会务卫生，保证会场清洁和及时运转</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每抽查一次会场不清洁扣0.2分，如影响会场运作的每次扣0.5分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02"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四</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卫生保洁（15分）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1.办公楼卫生间玻璃镜面、洗手台面和地面无积水、无明显污渍、无杂物、无异味，地面无脚印</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未达要求，每处每次扣0.2分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2"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2.卫生间（含楼栋和室外景观中的卫生间）墙面瓷砖、门窗</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无灰尘；大、小便池内无污物，卫生间其他设施完好</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未达到要求的每处每次扣0.2分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3.保洁区域内无瓜果壳、烟头、纸屑、痰迹等杂物；地面无积水、无污渍，如发现应及时清扫</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未及时清扫的，每处每次扣0.2分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4.天花板、天棚、灯罩、烟感器、风口、指示灯无灰尘和蜘蛛网</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如未清扫每处每次扣0.2分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5.垃圾箱外表无污迹、黏附物，并及时清理垃圾箱周围散落垃圾和积水、污渍</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发现一次每处扣0.2分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135"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6.雨、污水管井的井底无沉淀物，水流畅通，井盖上无锈迹。盖板无污渍，牢固平稳，并按计划进行清理，确保畅通</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未达标的每次扣0.2分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15"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7.天面、平台、地漏完好无堵塞，无积水；明沟、暗沟排水畅通，无垃圾，无溢流</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未达到要求每处每次扣0.4分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8.垃圾箱的垃圾应及时转运、清理</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未及时处理每次扣0.2分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5"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9.杜绝乱张贴现象，发现乱贴现象应及时处理</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未及时处理的每次每处扣0.2分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37"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10.水箱及时清洗换水、确保干净清澈，水面无浮萍、垃圾、杂物等</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如未及时清理，每次扣0.2分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7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11.楼道、楼梯扶手每天清扫、擦拭1次。室外标示、宣传栏等每星期擦拭1次。电梯轿厢内无手印、灰尘、污迹，干净</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光亮、无异味，地毯干净无污迹。</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未按规定进行每次每处扣0.2分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0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12.配合对各楼公共区域进行日常植物、花卉摆放；重大节日（元旦、春节、“五一”、“十一”）对公共区域及各楼栋公共区域进行节日灯饰布置、花卉摆放</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未按要求摆放和布置的每处（次）扣0.5分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1"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13.每月对保洁人员进行培训，保存培训方案等相关资料</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无培训方案扣0.5分，每月少于1次培训扣0.15分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0"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五</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绿化维护（10分）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1.绿地保持卫生整洁，枯死树枝和草皮及时清理处置</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检查发现不合格，每1处扣0.2分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2"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2.绿地杂草清除，主要场所和重要路段周围的绿化必须保持整齐美观</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清除不及时，监督不到位，每1次扣0.2分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5"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3.及时对花草树木及绿地的除虫防病</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工作不及时，发现有虫或病死树木，每次扣0.5分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66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4.出现枯死草地及灌木要及时还绿，不要露黄</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处置不及时，每次扣0.2分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5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5.合理安排时间，对院内的花草树木和绿地进行浇水施肥，使全区域的环境更美化。</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工作不及时，每次扣0.2分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0"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6.对造型树木和绿蓠的及时修剪</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不及时修剪，每次扣0.2分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六</w:t>
            </w:r>
          </w:p>
        </w:tc>
        <w:tc>
          <w:tcPr>
            <w:tcW w:w="1092" w:type="dxa"/>
            <w:vMerge w:val="restart"/>
            <w:shd w:val="clear" w:color="auto" w:fill="FFFFFF"/>
            <w:noWrap w:val="0"/>
            <w:textDirection w:val="tbRl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消防管理（5分）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1.制订并落实消防管理责任制</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没有制度的，扣0.5分，没有落实责任制，扣1分。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2.值班制度，值班日记、监控记录齐全</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发现一次值班缺岗扣0.1分，缺少一次值班日记、监控记录扣0.1分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15"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3.对物业区域内进行火灾隐患检查并及时甲方相关负责人报告</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无检查整改记录扣0.5分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4"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实施24小时消防值班制度</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缺勤1次扣1分。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restart"/>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七</w:t>
            </w:r>
          </w:p>
        </w:tc>
        <w:tc>
          <w:tcPr>
            <w:tcW w:w="1092" w:type="dxa"/>
            <w:vMerge w:val="restart"/>
            <w:shd w:val="clear" w:color="auto" w:fill="FFFFFF"/>
            <w:noWrap w:val="0"/>
            <w:textDirection w:val="tbLrV"/>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餐饮服务（15分）</w:t>
            </w: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1.员工需持健康证上岗，并公示。</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缺1人扣0.5分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2.每天做好留样，同时做好记录。并按要求完成甲方的公务接待任务。</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发现1次不留样扣0.5分。不配合进行公务接待的一次扣1分。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3.统一着装，佩戴围裙、一次性手套、口罩、帽子，做好日常个人卫生。</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违反此规定每人次扣0.2分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4.建立厨房设备耗损及消毒次数、时间等情况的记录</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记录少1天扣0.2分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5.对食堂内外卫生进行清扫，及时清理垃圾。</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发现违反此规定1次扣0.1分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6.设备和厨具等，负责保管和养护，遇设备故障及时上报</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因不妥善保管厨具导致损坏1次扣1分，不及时报告故障1次扣0.2分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48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1092" w:type="dxa"/>
            <w:vMerge w:val="continue"/>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2787"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进行节约能源的管理，不得发生长明灯、长流水等浪费行为</w:t>
            </w:r>
            <w:r>
              <w:rPr>
                <w:rFonts w:hint="eastAsia" w:ascii="宋体" w:hAnsi="宋体"/>
                <w:color w:val="000000" w:themeColor="text1"/>
                <w:szCs w:val="21"/>
                <w:lang w:val="en-US" w:eastAsia="zh-CN"/>
                <w14:textFill>
                  <w14:solidFill>
                    <w14:schemeClr w14:val="tx1"/>
                  </w14:solidFill>
                </w14:textFill>
              </w:rPr>
              <w:t>。</w:t>
            </w:r>
          </w:p>
        </w:tc>
        <w:tc>
          <w:tcPr>
            <w:tcW w:w="2471"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发现违反此规定1次扣0.1分</w:t>
            </w:r>
          </w:p>
        </w:tc>
        <w:tc>
          <w:tcPr>
            <w:tcW w:w="579"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p>
        </w:tc>
        <w:tc>
          <w:tcPr>
            <w:tcW w:w="71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675"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39" w:hRule="atLeast"/>
        </w:trPr>
        <w:tc>
          <w:tcPr>
            <w:tcW w:w="6832" w:type="dxa"/>
            <w:gridSpan w:val="4"/>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合计</w:t>
            </w:r>
          </w:p>
        </w:tc>
        <w:tc>
          <w:tcPr>
            <w:tcW w:w="579" w:type="dxa"/>
            <w:shd w:val="clear" w:color="auto" w:fill="FFFFFF"/>
            <w:noWrap w:val="0"/>
            <w:vAlign w:val="center"/>
          </w:tcPr>
          <w:p>
            <w:pPr>
              <w:spacing w:line="460" w:lineRule="exact"/>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70</w:t>
            </w:r>
          </w:p>
        </w:tc>
        <w:tc>
          <w:tcPr>
            <w:tcW w:w="710"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675" w:type="dxa"/>
            <w:shd w:val="clear" w:color="auto" w:fill="FFFFFF"/>
            <w:noWrap w:val="0"/>
            <w:vAlign w:val="center"/>
          </w:tcPr>
          <w:p>
            <w:pPr>
              <w:spacing w:line="460" w:lineRule="exact"/>
              <w:rPr>
                <w:rFonts w:hint="default" w:ascii="宋体" w:hAnsi="宋体" w:eastAsia="宋体"/>
                <w:color w:val="000000" w:themeColor="text1"/>
                <w:szCs w:val="21"/>
                <w:lang w:val="en" w:eastAsia="zh-CN"/>
                <w14:textFill>
                  <w14:solidFill>
                    <w14:schemeClr w14:val="tx1"/>
                  </w14:solidFill>
                </w14:textFill>
              </w:rPr>
            </w:pPr>
          </w:p>
        </w:tc>
        <w:tc>
          <w:tcPr>
            <w:tcW w:w="980" w:type="dxa"/>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81" w:hRule="atLeast"/>
        </w:trPr>
        <w:tc>
          <w:tcPr>
            <w:tcW w:w="9776" w:type="dxa"/>
            <w:gridSpan w:val="8"/>
            <w:shd w:val="clear" w:color="auto" w:fill="FFFFFF"/>
            <w:noWrap w:val="0"/>
            <w:vAlign w:val="center"/>
          </w:tcPr>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备注：</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1.本考核表为季度考核表，每三个月（季度）考核一次，表（二）由7个部分组成，总分70分，扣分极限为该项权值分。表（二）由办公室（行装科）负责组织考核。</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2.考核完成后，由办公室（行装科）对表（一）与表（二）进行汇总，合计考核成绩9</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zh-CN"/>
                <w14:textFill>
                  <w14:solidFill>
                    <w14:schemeClr w14:val="tx1"/>
                  </w14:solidFill>
                </w14:textFill>
              </w:rPr>
              <w:t>-100分，该季度按合同支付足额的服务费；考核成绩90-8</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US" w:eastAsia="zh-CN"/>
                <w14:textFill>
                  <w14:solidFill>
                    <w14:schemeClr w14:val="tx1"/>
                  </w14:solidFill>
                </w14:textFill>
              </w:rPr>
              <w:t>分，扣除服务费总额的1%；考核成绩85-80分，扣除服务费总额的2%；考核成绩低于80分，则扣除服务费总额的5%；考核成绩低于70分，则讨论是否终止服务合同。</w:t>
            </w:r>
          </w:p>
        </w:tc>
      </w:tr>
    </w:tbl>
    <w:p>
      <w:pPr>
        <w:spacing w:line="460" w:lineRule="exact"/>
        <w:rPr>
          <w:rFonts w:hint="eastAsia" w:ascii="宋体" w:hAnsi="宋体" w:eastAsia="宋体"/>
          <w:color w:val="000000" w:themeColor="text1"/>
          <w:szCs w:val="21"/>
          <w:lang w:val="en-US" w:eastAsia="zh-CN"/>
          <w14:textFill>
            <w14:solidFill>
              <w14:schemeClr w14:val="tx1"/>
            </w14:solidFill>
          </w14:textFill>
        </w:rPr>
      </w:pP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（二）奖惩办法</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1．为加强对服务质量的考核，由</w:t>
      </w:r>
      <w:r>
        <w:rPr>
          <w:rFonts w:hint="eastAsia" w:ascii="宋体" w:hAnsi="宋体"/>
          <w:color w:val="000000" w:themeColor="text1"/>
          <w:szCs w:val="21"/>
          <w:lang w:val="en-US" w:eastAsia="zh-CN"/>
          <w14:textFill>
            <w14:solidFill>
              <w14:schemeClr w14:val="tx1"/>
            </w14:solidFill>
          </w14:textFill>
        </w:rPr>
        <w:t>采购人</w:t>
      </w:r>
      <w:r>
        <w:rPr>
          <w:rFonts w:hint="eastAsia" w:ascii="宋体" w:hAnsi="宋体" w:eastAsia="宋体"/>
          <w:color w:val="000000" w:themeColor="text1"/>
          <w:szCs w:val="21"/>
          <w:lang w:val="en-US" w:eastAsia="zh-CN"/>
          <w14:textFill>
            <w14:solidFill>
              <w14:schemeClr w14:val="tx1"/>
            </w14:solidFill>
          </w14:textFill>
        </w:rPr>
        <w:t>主管部门组织人员对服务方物业管理工作实行评分考核。</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2．考核每季度进行一次，考核过程中</w:t>
      </w:r>
      <w:r>
        <w:rPr>
          <w:rFonts w:hint="eastAsia" w:ascii="宋体" w:hAnsi="宋体"/>
          <w:color w:val="000000" w:themeColor="text1"/>
          <w:szCs w:val="21"/>
          <w:lang w:val="en-US" w:eastAsia="zh-CN"/>
          <w14:textFill>
            <w14:solidFill>
              <w14:schemeClr w14:val="tx1"/>
            </w14:solidFill>
          </w14:textFill>
        </w:rPr>
        <w:t>采购人</w:t>
      </w:r>
      <w:r>
        <w:rPr>
          <w:rFonts w:hint="eastAsia" w:ascii="宋体" w:hAnsi="宋体" w:eastAsia="宋体"/>
          <w:color w:val="000000" w:themeColor="text1"/>
          <w:szCs w:val="21"/>
          <w:lang w:val="en-US"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双方人员全程参与，发现问题，业主方随时做出记录，服务方签字确认，以此作为考核的凭据。</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3．考核实行百分制评分。考核成绩9</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eastAsia="宋体"/>
          <w:color w:val="000000" w:themeColor="text1"/>
          <w:szCs w:val="21"/>
          <w:lang w:val="en-US" w:eastAsia="zh-CN"/>
          <w14:textFill>
            <w14:solidFill>
              <w14:schemeClr w14:val="tx1"/>
            </w14:solidFill>
          </w14:textFill>
        </w:rPr>
        <w:t>-100分，配备的人数达到要求，该季度按合同支付足额的管理费用；考核成绩90-8</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US" w:eastAsia="zh-CN"/>
          <w14:textFill>
            <w14:solidFill>
              <w14:schemeClr w14:val="tx1"/>
            </w14:solidFill>
          </w14:textFill>
        </w:rPr>
        <w:t>分，扣除管理费用总额的1%；考核成绩85-80分，扣除管理费用总额的2%；考核成绩低于80分，则扣除管理费用总额的5%；考核成绩低于70分，则讨论是否终止服务合同。</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十</w:t>
      </w:r>
      <w:r>
        <w:rPr>
          <w:rFonts w:hint="eastAsia" w:ascii="宋体" w:hAnsi="宋体"/>
          <w:b/>
          <w:bCs/>
          <w:color w:val="000000" w:themeColor="text1"/>
          <w:szCs w:val="21"/>
          <w:lang w:val="en-US" w:eastAsia="zh-CN"/>
          <w14:textFill>
            <w14:solidFill>
              <w14:schemeClr w14:val="tx1"/>
            </w14:solidFill>
          </w14:textFill>
        </w:rPr>
        <w:t>一</w:t>
      </w:r>
      <w:r>
        <w:rPr>
          <w:rFonts w:hint="eastAsia" w:ascii="宋体" w:hAnsi="宋体" w:eastAsia="宋体"/>
          <w:b/>
          <w:bCs/>
          <w:color w:val="000000" w:themeColor="text1"/>
          <w:szCs w:val="21"/>
          <w:lang w:val="en-US" w:eastAsia="zh-CN"/>
          <w14:textFill>
            <w14:solidFill>
              <w14:schemeClr w14:val="tx1"/>
            </w14:solidFill>
          </w14:textFill>
        </w:rPr>
        <w:t>、商务要求</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w:t>
      </w:r>
      <w:r>
        <w:rPr>
          <w:rFonts w:hint="eastAsia" w:ascii="宋体" w:hAnsi="宋体" w:eastAsia="宋体"/>
          <w:b/>
          <w:bCs/>
          <w:color w:val="000000" w:themeColor="text1"/>
          <w:szCs w:val="21"/>
          <w:lang w:val="en-US" w:eastAsia="zh-CN"/>
          <w14:textFill>
            <w14:solidFill>
              <w14:schemeClr w14:val="tx1"/>
            </w14:solidFill>
          </w14:textFill>
        </w:rPr>
        <w:t>服务期限：</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服务期限：1年(2024年7月1日至2025年6月30日）,期满后根据季度考核标准达标以及结合综合评价进行继签，最长服务期限不超过3年。</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2.响应报价</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响应报价应包括为完成《项目需求》中所有服务内容所需要的所有费用，包含本项目人员工资、加班费、社会保险费等所有人员支出、安保工具耗材</w:t>
      </w:r>
      <w:r>
        <w:rPr>
          <w:rFonts w:hint="eastAsia" w:ascii="宋体" w:hAnsi="宋体"/>
          <w:b/>
          <w:bCs/>
          <w:color w:val="000000" w:themeColor="text1"/>
          <w:szCs w:val="21"/>
          <w:lang w:val="en-US" w:eastAsia="zh-CN"/>
          <w14:textFill>
            <w14:solidFill>
              <w14:schemeClr w14:val="tx1"/>
            </w14:solidFill>
          </w14:textFill>
        </w:rPr>
        <w:t>物质</w:t>
      </w:r>
      <w:r>
        <w:rPr>
          <w:rFonts w:hint="eastAsia" w:ascii="宋体" w:hAnsi="宋体" w:eastAsia="宋体"/>
          <w:b/>
          <w:bCs/>
          <w:color w:val="000000" w:themeColor="text1"/>
          <w:szCs w:val="21"/>
          <w:lang w:val="en-US" w:eastAsia="zh-CN"/>
          <w14:textFill>
            <w14:solidFill>
              <w14:schemeClr w14:val="tx1"/>
            </w14:solidFill>
          </w14:textFill>
        </w:rPr>
        <w:t>、服务和管理服务费、税费等。</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3.付款方式</w:t>
      </w:r>
    </w:p>
    <w:p>
      <w:pPr>
        <w:spacing w:line="460" w:lineRule="exact"/>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eastAsia="宋体"/>
          <w:b/>
          <w:bCs/>
          <w:color w:val="000000" w:themeColor="text1"/>
          <w:szCs w:val="21"/>
          <w:lang w:val="en-US" w:eastAsia="zh-CN"/>
          <w14:textFill>
            <w14:solidFill>
              <w14:schemeClr w14:val="tx1"/>
            </w14:solidFill>
          </w14:textFill>
        </w:rPr>
        <w:t>服务费按季度支付。合同签订后先支付人民币20万元，第一个季度结束后根据考核情况支付本季度余下的服务费。其余季度先服务，之后根据考核情况支付相应的服务费。</w:t>
      </w: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其它要求</w:t>
      </w:r>
    </w:p>
    <w:p>
      <w:pPr>
        <w:spacing w:line="460" w:lineRule="exac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合同签订时间：成交通知书发出之日起15日内。</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lang w:val="en-US" w:eastAsia="zh-CN"/>
          <w14:textFill>
            <w14:solidFill>
              <w14:schemeClr w14:val="tx1"/>
            </w14:solidFill>
          </w14:textFill>
        </w:rPr>
        <w:t>安保人员日常接受钦州市中级人民法院法警部门的管理。在突发应急的情况下，法警部门有直接管理、调动保安人员的权力；有权要求中标公司及时更换不服从管理、违纪或其他原因不适合继续在钦州市中级人民法院工作的保安人员。</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成交供应商</w:t>
      </w:r>
      <w:r>
        <w:rPr>
          <w:rFonts w:hint="eastAsia" w:ascii="宋体" w:hAnsi="宋体" w:eastAsia="宋体"/>
          <w:color w:val="000000" w:themeColor="text1"/>
          <w:szCs w:val="21"/>
          <w:lang w:val="en-US" w:eastAsia="zh-CN"/>
          <w14:textFill>
            <w14:solidFill>
              <w14:schemeClr w14:val="tx1"/>
            </w14:solidFill>
          </w14:textFill>
        </w:rPr>
        <w:t>中标后不得转包、分包，物业服务公司不得以挂靠形式承揽该项目，一经发现视为违约。</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成交供应商</w:t>
      </w:r>
      <w:r>
        <w:rPr>
          <w:rFonts w:hint="eastAsia" w:ascii="宋体" w:hAnsi="宋体" w:eastAsia="宋体"/>
          <w:color w:val="000000" w:themeColor="text1"/>
          <w:szCs w:val="21"/>
          <w:lang w:val="en-US" w:eastAsia="zh-CN"/>
          <w14:textFill>
            <w14:solidFill>
              <w14:schemeClr w14:val="tx1"/>
            </w14:solidFill>
          </w14:textFill>
        </w:rPr>
        <w:t>应为服务人员支付不低于钦州市最低工资标准的工资（不包含加班费），必须按国家政策缴交养老保险、医疗保险、工伤保险、失业保险，投标人必须对所有工作人员的社会保险及意外伤害险进行承诺。上述人员涉及用工方面的劳务纠纷、福利纠纷和劳动事故均由中标单位负责，与</w:t>
      </w:r>
      <w:r>
        <w:rPr>
          <w:rFonts w:hint="eastAsia" w:ascii="宋体" w:hAnsi="宋体"/>
          <w:color w:val="000000" w:themeColor="text1"/>
          <w:szCs w:val="21"/>
          <w:lang w:val="en-US" w:eastAsia="zh-CN"/>
          <w14:textFill>
            <w14:solidFill>
              <w14:schemeClr w14:val="tx1"/>
            </w14:solidFill>
          </w14:textFill>
        </w:rPr>
        <w:t>采购人</w:t>
      </w:r>
      <w:r>
        <w:rPr>
          <w:rFonts w:hint="eastAsia" w:ascii="宋体" w:hAnsi="宋体" w:eastAsia="宋体"/>
          <w:color w:val="000000" w:themeColor="text1"/>
          <w:szCs w:val="21"/>
          <w:lang w:val="en-US" w:eastAsia="zh-CN"/>
          <w14:textFill>
            <w14:solidFill>
              <w14:schemeClr w14:val="tx1"/>
            </w14:solidFill>
          </w14:textFill>
        </w:rPr>
        <w:t>无关。</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lang w:val="en-US" w:eastAsia="zh-CN"/>
          <w14:textFill>
            <w14:solidFill>
              <w14:schemeClr w14:val="tx1"/>
            </w14:solidFill>
          </w14:textFill>
        </w:rPr>
        <w:t>服务人员必须是热爱祖国，政治素质良好，遵纪守法，无不良品行，服从发包方管理，自觉遵守业主单位的规章制度，有良好的职业道德，爱岗敬业，佩戴注明工作人员姓名、相片的工作证，着装统一，持证上岗</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上岗人员要与投标文件所附证书的人员一致</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服务人员入职前均需交无犯罪记录证明到业主方进行备案。服务过程中如有人员提出辞职时，要提前一个月报备，</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找到替换人员后才能辞职，不能出现中途缺人现象。新进人员的个人信息及无犯罪记录证明等材料在入职前同时交一份到法院后勤管理部门备案。</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lang w:val="en-US" w:eastAsia="zh-CN"/>
          <w14:textFill>
            <w14:solidFill>
              <w14:schemeClr w14:val="tx1"/>
            </w14:solidFill>
          </w14:textFill>
        </w:rPr>
        <w:t>在承包期间，院内如发生突发事件，中标公司应在第一时间到现场维护秩序并向业主报告，及时控制事态，并配合做好处理工作。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成交供应商</w:t>
      </w:r>
      <w:r>
        <w:rPr>
          <w:rFonts w:hint="eastAsia" w:ascii="宋体" w:hAnsi="宋体" w:eastAsia="宋体"/>
          <w:color w:val="000000" w:themeColor="text1"/>
          <w:szCs w:val="21"/>
          <w:lang w:val="en-US" w:eastAsia="zh-CN"/>
          <w14:textFill>
            <w14:solidFill>
              <w14:schemeClr w14:val="tx1"/>
            </w14:solidFill>
          </w14:textFill>
        </w:rPr>
        <w:t>须在原物业服务到期前一周派出特殊岗位的相关人员以及管理人员进场熟悉各业务的工作流程，为进驻后顺利开展工作做好相关准备。服务期满后，必须配合做好与下一期物业服务公司的交换工作。</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lang w:val="en-US" w:eastAsia="zh-CN"/>
          <w14:textFill>
            <w14:solidFill>
              <w14:schemeClr w14:val="tx1"/>
            </w14:solidFill>
          </w14:textFill>
        </w:rPr>
        <w:t>每个岗位必须配备对讲机一台及相关器械。物业公司在承包期间，因发生撬门、撬窗、入室盗窃案件的，造成财产损失的，由物业公司负责赔偿。</w:t>
      </w:r>
    </w:p>
    <w:p>
      <w:pPr>
        <w:spacing w:line="360" w:lineRule="exact"/>
        <w:rPr>
          <w:rFonts w:hint="eastAsia" w:ascii="宋体" w:hAnsi="宋体" w:eastAsia="宋体" w:cs="Times New Roman"/>
          <w:color w:val="000000" w:themeColor="text1"/>
          <w:szCs w:val="21"/>
          <w:lang w:val="en-US" w:eastAsia="zh-CN"/>
          <w14:textFill>
            <w14:solidFill>
              <w14:schemeClr w14:val="tx1"/>
            </w14:solidFill>
          </w14:textFill>
        </w:rPr>
      </w:pPr>
      <w:r>
        <w:rPr>
          <w:rFonts w:hint="eastAsia" w:ascii="宋体" w:hAnsi="宋体"/>
          <w:color w:val="000000" w:themeColor="text1"/>
          <w:szCs w:val="21"/>
          <w:lang w:val="en"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lang w:val="en" w:eastAsia="zh-CN"/>
          <w14:textFill>
            <w14:solidFill>
              <w14:schemeClr w14:val="tx1"/>
            </w14:solidFill>
          </w14:textFill>
        </w:rPr>
        <w:t>）</w:t>
      </w:r>
      <w:r>
        <w:rPr>
          <w:rFonts w:hint="eastAsia" w:ascii="宋体" w:hAnsi="宋体"/>
          <w:szCs w:val="21"/>
        </w:rPr>
        <w:t>供应商应</w:t>
      </w:r>
      <w:r>
        <w:rPr>
          <w:rFonts w:hint="eastAsia" w:ascii="宋体" w:hAnsi="宋体" w:eastAsia="宋体" w:cs="Times New Roman"/>
          <w:color w:val="000000" w:themeColor="text1"/>
          <w:szCs w:val="21"/>
          <w:lang w:val="en-US" w:eastAsia="zh-CN"/>
          <w14:textFill>
            <w14:solidFill>
              <w14:schemeClr w14:val="tx1"/>
            </w14:solidFill>
          </w14:textFill>
        </w:rPr>
        <w:t>可根据自身情况编写承诺项目实施方案，内容可以包括但不限于：（1）服务承诺方案；（2）管理规章制度方案；（3）人员配置方案；（4）物资配置方案；（5）服务方案；（6）应急预案；（7）物业维修服务方案。</w:t>
      </w:r>
    </w:p>
    <w:p>
      <w:pPr>
        <w:spacing w:line="460" w:lineRule="exact"/>
        <w:rPr>
          <w:rFonts w:hint="default"/>
          <w:lang w:val="en-US" w:eastAsia="zh-CN"/>
        </w:rPr>
      </w:pPr>
      <w:r>
        <w:rPr>
          <w:rFonts w:hint="eastAsia" w:ascii="宋体" w:hAnsi="宋体"/>
          <w:color w:val="000000" w:themeColor="text1"/>
          <w:szCs w:val="21"/>
          <w:lang w:val="en-US" w:eastAsia="zh-CN"/>
          <w14:textFill>
            <w14:solidFill>
              <w14:schemeClr w14:val="tx1"/>
            </w14:solidFill>
          </w14:textFill>
        </w:rPr>
        <w:t>（10）采</w:t>
      </w:r>
      <w:r>
        <w:rPr>
          <w:rFonts w:hint="eastAsia" w:ascii="宋体" w:hAnsi="宋体" w:eastAsia="宋体" w:cs="Times New Roman"/>
          <w:color w:val="000000" w:themeColor="text1"/>
          <w:szCs w:val="21"/>
          <w:lang w:val="en-US" w:eastAsia="zh-CN"/>
          <w14:textFill>
            <w14:solidFill>
              <w14:schemeClr w14:val="tx1"/>
            </w14:solidFill>
          </w14:textFill>
        </w:rPr>
        <w:t>购人</w:t>
      </w:r>
      <w:r>
        <w:rPr>
          <w:rFonts w:hint="eastAsia" w:ascii="宋体" w:hAnsi="宋体" w:eastAsia="宋体" w:cs="Times New Roman"/>
          <w:color w:val="000000" w:themeColor="text1"/>
          <w:szCs w:val="21"/>
          <w:lang w:val="en" w:eastAsia="zh-CN"/>
          <w14:textFill>
            <w14:solidFill>
              <w14:schemeClr w14:val="tx1"/>
            </w14:solidFill>
          </w14:textFill>
        </w:rPr>
        <w:t>如因业务需要而增补、调整机关安保服务内容，</w:t>
      </w:r>
      <w:r>
        <w:rPr>
          <w:rFonts w:hint="eastAsia" w:ascii="宋体" w:hAnsi="宋体" w:eastAsia="宋体" w:cs="Times New Roman"/>
          <w:color w:val="000000" w:themeColor="text1"/>
          <w:szCs w:val="21"/>
          <w:lang w:val="en-US" w:eastAsia="zh-CN"/>
          <w14:textFill>
            <w14:solidFill>
              <w14:schemeClr w14:val="tx1"/>
            </w14:solidFill>
          </w14:textFill>
        </w:rPr>
        <w:t>成交人</w:t>
      </w:r>
      <w:r>
        <w:rPr>
          <w:rFonts w:hint="eastAsia" w:ascii="宋体" w:hAnsi="宋体" w:eastAsia="宋体" w:cs="Times New Roman"/>
          <w:color w:val="000000" w:themeColor="text1"/>
          <w:szCs w:val="21"/>
          <w:lang w:val="en" w:eastAsia="zh-CN"/>
          <w14:textFill>
            <w14:solidFill>
              <w14:schemeClr w14:val="tx1"/>
            </w14:solidFill>
          </w14:textFill>
        </w:rPr>
        <w:t>应配合，</w:t>
      </w:r>
      <w:r>
        <w:rPr>
          <w:rFonts w:hint="eastAsia" w:ascii="宋体" w:hAnsi="宋体" w:eastAsia="宋体"/>
          <w:color w:val="000000" w:themeColor="text1"/>
          <w:szCs w:val="21"/>
          <w:lang w:val="en-US" w:eastAsia="zh-CN"/>
          <w14:textFill>
            <w14:solidFill>
              <w14:schemeClr w14:val="tx1"/>
            </w14:solidFill>
          </w14:textFill>
        </w:rPr>
        <w:t>物业档案要归档及时，资料齐全，分类成册、管理完善，查找便捷。</w:t>
      </w: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11</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供应商在采购活动中提供虚假材料，以及提供的服务与响应文件不一致的，报采购监管部门查处。</w:t>
      </w:r>
    </w:p>
    <w:p>
      <w:pPr>
        <w:spacing w:line="4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成交供应商所供服务不按响应文件履约的，将按照《中华人民共和国政府采购法》及其实施条例、《政府采购竞争性磋商采购方式管理暂行办法》等有关规定等严肃处理。</w:t>
      </w:r>
    </w:p>
    <w:p>
      <w:pPr>
        <w:widowControl/>
        <w:jc w:val="left"/>
        <w:rPr>
          <w:rFonts w:ascii="方正小标宋_GBK" w:hAnsi="宋体" w:eastAsia="方正小标宋_GBK" w:cs="宋体"/>
          <w:kern w:val="0"/>
          <w:sz w:val="32"/>
          <w:szCs w:val="32"/>
        </w:rPr>
      </w:pPr>
      <w:r>
        <w:rPr>
          <w:rFonts w:ascii="方正小标宋_GBK" w:hAnsi="宋体" w:eastAsia="方正小标宋_GBK" w:cs="宋体"/>
          <w:kern w:val="0"/>
          <w:sz w:val="32"/>
          <w:szCs w:val="32"/>
        </w:rPr>
        <w:br w:type="page"/>
      </w:r>
    </w:p>
    <w:p>
      <w:pPr>
        <w:widowControl/>
        <w:spacing w:line="460" w:lineRule="exact"/>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
      <w:pPr>
        <w:pStyle w:val="3"/>
        <w:spacing w:line="400" w:lineRule="exact"/>
        <w:rPr>
          <w:rFonts w:ascii="方正小标宋简体" w:eastAsia="方正小标宋简体"/>
        </w:rPr>
      </w:pPr>
      <w:bookmarkStart w:id="51" w:name="_Toc92355025"/>
      <w:r>
        <w:rPr>
          <w:rFonts w:hint="eastAsia" w:ascii="方正小标宋简体" w:eastAsia="方正小标宋简体"/>
        </w:rPr>
        <w:t>第三章  供应商须知</w:t>
      </w:r>
      <w:bookmarkEnd w:id="45"/>
      <w:bookmarkEnd w:id="46"/>
      <w:bookmarkEnd w:id="51"/>
    </w:p>
    <w:p>
      <w:pPr>
        <w:jc w:val="center"/>
        <w:rPr>
          <w:rFonts w:ascii="仿宋_GB2312" w:hAnsi="宋体" w:eastAsia="仿宋_GB2312"/>
          <w:b/>
          <w:sz w:val="32"/>
          <w:szCs w:val="32"/>
        </w:rPr>
      </w:pPr>
      <w:bookmarkStart w:id="52" w:name="_Toc354479499"/>
      <w:bookmarkStart w:id="53" w:name="_Toc350325671"/>
      <w:bookmarkStart w:id="54" w:name="_Toc357157408"/>
      <w:bookmarkStart w:id="55" w:name="_Toc358477281"/>
      <w:r>
        <w:rPr>
          <w:rFonts w:ascii="仿宋_GB2312" w:hAnsi="宋体" w:eastAsia="仿宋_GB2312"/>
          <w:b/>
          <w:sz w:val="32"/>
          <w:szCs w:val="32"/>
        </w:rPr>
        <w:br w:type="page"/>
      </w:r>
    </w:p>
    <w:p/>
    <w:p>
      <w:pPr>
        <w:jc w:val="center"/>
        <w:rPr>
          <w:rFonts w:ascii="黑体" w:hAnsi="黑体" w:eastAsia="黑体"/>
          <w:b/>
          <w:sz w:val="32"/>
          <w:szCs w:val="32"/>
        </w:rPr>
      </w:pPr>
      <w:r>
        <w:rPr>
          <w:rFonts w:hint="eastAsia" w:ascii="黑体" w:hAnsi="黑体" w:eastAsia="黑体"/>
          <w:b/>
          <w:sz w:val="32"/>
          <w:szCs w:val="32"/>
        </w:rPr>
        <w:t>一、供应商须知前附表</w:t>
      </w:r>
    </w:p>
    <w:tbl>
      <w:tblPr>
        <w:tblStyle w:val="39"/>
        <w:tblW w:w="9351" w:type="dxa"/>
        <w:jc w:val="center"/>
        <w:tblLayout w:type="fixed"/>
        <w:tblCellMar>
          <w:top w:w="0" w:type="dxa"/>
          <w:left w:w="108" w:type="dxa"/>
          <w:bottom w:w="0" w:type="dxa"/>
          <w:right w:w="108" w:type="dxa"/>
        </w:tblCellMar>
      </w:tblPr>
      <w:tblGrid>
        <w:gridCol w:w="704"/>
        <w:gridCol w:w="8647"/>
      </w:tblGrid>
      <w:tr>
        <w:tblPrEx>
          <w:tblCellMar>
            <w:top w:w="0" w:type="dxa"/>
            <w:left w:w="108" w:type="dxa"/>
            <w:bottom w:w="0" w:type="dxa"/>
            <w:right w:w="108" w:type="dxa"/>
          </w:tblCellMar>
        </w:tblPrEx>
        <w:trPr>
          <w:trHeight w:val="502"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cs="宋体"/>
                <w:kern w:val="0"/>
                <w:szCs w:val="21"/>
              </w:rPr>
            </w:pPr>
            <w:r>
              <w:rPr>
                <w:rFonts w:hint="eastAsia" w:ascii="宋体" w:hAnsi="宋体" w:cs="宋体"/>
                <w:kern w:val="0"/>
                <w:szCs w:val="21"/>
              </w:rPr>
              <w:t>页码</w:t>
            </w:r>
          </w:p>
        </w:tc>
        <w:tc>
          <w:tcPr>
            <w:tcW w:w="8647"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宋体" w:hAnsi="宋体" w:cs="宋体"/>
                <w:kern w:val="0"/>
                <w:szCs w:val="21"/>
              </w:rPr>
            </w:pPr>
            <w:r>
              <w:rPr>
                <w:rFonts w:hint="eastAsia" w:ascii="宋体" w:hAnsi="宋体" w:cs="宋体"/>
                <w:kern w:val="0"/>
                <w:szCs w:val="21"/>
              </w:rPr>
              <w:t>内    容</w:t>
            </w:r>
          </w:p>
        </w:tc>
      </w:tr>
      <w:tr>
        <w:tblPrEx>
          <w:tblCellMar>
            <w:top w:w="0" w:type="dxa"/>
            <w:left w:w="108" w:type="dxa"/>
            <w:bottom w:w="0" w:type="dxa"/>
            <w:right w:w="108" w:type="dxa"/>
          </w:tblCellMar>
        </w:tblPrEx>
        <w:trPr>
          <w:trHeight w:val="119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hint="eastAsia" w:ascii="宋体" w:hAnsi="宋体" w:cs="宋体"/>
                <w:kern w:val="0"/>
                <w:szCs w:val="21"/>
              </w:rPr>
              <w:t>1</w:t>
            </w:r>
          </w:p>
        </w:tc>
        <w:tc>
          <w:tcPr>
            <w:tcW w:w="8647" w:type="dxa"/>
            <w:tcBorders>
              <w:top w:val="single" w:color="000000" w:sz="4" w:space="0"/>
              <w:left w:val="nil"/>
              <w:bottom w:val="single" w:color="000000" w:sz="4" w:space="0"/>
              <w:right w:val="single" w:color="000000" w:sz="4" w:space="0"/>
            </w:tcBorders>
            <w:vAlign w:val="center"/>
          </w:tcPr>
          <w:p>
            <w:pPr>
              <w:spacing w:line="440" w:lineRule="exact"/>
              <w:ind w:right="-334" w:rightChars="-159"/>
              <w:rPr>
                <w:rStyle w:val="46"/>
                <w:rFonts w:hint="eastAsia" w:eastAsia="宋体"/>
                <w:color w:val="auto"/>
                <w:szCs w:val="21"/>
                <w:u w:val="none"/>
                <w:lang w:eastAsia="zh-CN"/>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HYPERLINK </w:instrText>
            </w:r>
            <w:r>
              <w:rPr>
                <w:rFonts w:ascii="宋体" w:hAnsi="宋体" w:cs="宋体"/>
                <w:kern w:val="0"/>
                <w:szCs w:val="21"/>
              </w:rPr>
              <w:instrText xml:space="preserve"> \l "_一、总_则" </w:instrText>
            </w:r>
            <w:r>
              <w:rPr>
                <w:rFonts w:ascii="宋体" w:hAnsi="宋体" w:cs="宋体"/>
                <w:kern w:val="0"/>
                <w:szCs w:val="21"/>
              </w:rPr>
              <w:fldChar w:fldCharType="separate"/>
            </w:r>
            <w:r>
              <w:rPr>
                <w:rStyle w:val="46"/>
                <w:rFonts w:hint="eastAsia" w:ascii="宋体" w:hAnsi="宋体" w:cs="宋体"/>
                <w:color w:val="auto"/>
                <w:kern w:val="0"/>
                <w:szCs w:val="21"/>
                <w:u w:val="none"/>
              </w:rPr>
              <w:t>项目名称：</w:t>
            </w:r>
            <w:r>
              <w:rPr>
                <w:rFonts w:hint="eastAsia"/>
                <w:lang w:eastAsia="zh-CN"/>
              </w:rPr>
              <w:t>钦州市中级人民法院2024年7月至2025年6月机关安保和物业管理服务</w:t>
            </w:r>
          </w:p>
          <w:p>
            <w:pPr>
              <w:widowControl/>
              <w:spacing w:line="440" w:lineRule="exact"/>
              <w:rPr>
                <w:rFonts w:hint="eastAsia" w:ascii="宋体" w:hAnsi="宋体" w:eastAsia="宋体"/>
                <w:szCs w:val="21"/>
                <w:lang w:eastAsia="zh-CN"/>
              </w:rPr>
            </w:pPr>
            <w:r>
              <w:rPr>
                <w:rStyle w:val="46"/>
                <w:rFonts w:hint="eastAsia" w:ascii="宋体" w:hAnsi="宋体"/>
                <w:color w:val="auto"/>
                <w:szCs w:val="21"/>
                <w:u w:val="none"/>
              </w:rPr>
              <w:t>项目编号：</w:t>
            </w:r>
            <w:r>
              <w:rPr>
                <w:rFonts w:ascii="宋体" w:hAnsi="宋体" w:cs="宋体"/>
                <w:kern w:val="0"/>
                <w:szCs w:val="21"/>
              </w:rPr>
              <w:fldChar w:fldCharType="end"/>
            </w:r>
            <w:r>
              <w:rPr>
                <w:rFonts w:hint="eastAsia"/>
                <w:lang w:eastAsia="zh-CN"/>
              </w:rPr>
              <w:t>QZZC2024-C3-00013-CGZX</w:t>
            </w:r>
          </w:p>
        </w:tc>
      </w:tr>
      <w:tr>
        <w:tblPrEx>
          <w:tblCellMar>
            <w:top w:w="0" w:type="dxa"/>
            <w:left w:w="108" w:type="dxa"/>
            <w:bottom w:w="0" w:type="dxa"/>
            <w:right w:w="108" w:type="dxa"/>
          </w:tblCellMar>
        </w:tblPrEx>
        <w:trPr>
          <w:trHeight w:val="11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hint="eastAsia" w:ascii="宋体" w:hAnsi="宋体" w:cs="宋体"/>
                <w:kern w:val="0"/>
                <w:szCs w:val="21"/>
              </w:rPr>
              <w:t>2</w:t>
            </w:r>
          </w:p>
        </w:tc>
        <w:tc>
          <w:tcPr>
            <w:tcW w:w="8647" w:type="dxa"/>
            <w:tcBorders>
              <w:top w:val="single" w:color="000000" w:sz="4" w:space="0"/>
              <w:left w:val="nil"/>
              <w:bottom w:val="single" w:color="000000" w:sz="4" w:space="0"/>
              <w:right w:val="single" w:color="000000" w:sz="4" w:space="0"/>
            </w:tcBorders>
            <w:vAlign w:val="center"/>
          </w:tcPr>
          <w:p>
            <w:pPr>
              <w:spacing w:line="440" w:lineRule="exact"/>
              <w:rPr>
                <w:rStyle w:val="46"/>
                <w:rFonts w:ascii="宋体" w:hAnsi="宋体"/>
                <w:color w:val="000000" w:themeColor="text1"/>
                <w:szCs w:val="21"/>
                <w:u w:val="none"/>
                <w14:textFill>
                  <w14:solidFill>
                    <w14:schemeClr w14:val="tx1"/>
                  </w14:solidFill>
                </w14:textFill>
              </w:rPr>
            </w:pPr>
            <w:r>
              <w:rPr>
                <w:rStyle w:val="46"/>
                <w:rFonts w:ascii="宋体" w:hAnsi="宋体"/>
                <w:color w:val="000000" w:themeColor="text1"/>
                <w:szCs w:val="21"/>
                <w:u w:val="none"/>
                <w14:textFill>
                  <w14:solidFill>
                    <w14:schemeClr w14:val="tx1"/>
                  </w14:solidFill>
                </w14:textFill>
              </w:rPr>
              <w:fldChar w:fldCharType="begin"/>
            </w:r>
            <w:r>
              <w:rPr>
                <w:rStyle w:val="46"/>
                <w:rFonts w:ascii="宋体" w:hAnsi="宋体"/>
                <w:color w:val="000000" w:themeColor="text1"/>
                <w:szCs w:val="21"/>
                <w:u w:val="none"/>
                <w14:textFill>
                  <w14:solidFill>
                    <w14:schemeClr w14:val="tx1"/>
                  </w14:solidFill>
                </w14:textFill>
              </w:rPr>
              <w:instrText xml:space="preserve"> </w:instrText>
            </w:r>
            <w:r>
              <w:rPr>
                <w:rStyle w:val="46"/>
                <w:rFonts w:hint="eastAsia" w:ascii="宋体" w:hAnsi="宋体"/>
                <w:color w:val="000000" w:themeColor="text1"/>
                <w:szCs w:val="21"/>
                <w:u w:val="none"/>
                <w14:textFill>
                  <w14:solidFill>
                    <w14:schemeClr w14:val="tx1"/>
                  </w14:solidFill>
                </w14:textFill>
              </w:rPr>
              <w:instrText xml:space="preserve">HYPERLINK </w:instrText>
            </w:r>
            <w:r>
              <w:rPr>
                <w:rStyle w:val="46"/>
                <w:rFonts w:ascii="宋体" w:hAnsi="宋体"/>
                <w:color w:val="000000" w:themeColor="text1"/>
                <w:szCs w:val="21"/>
                <w:u w:val="none"/>
                <w14:textFill>
                  <w14:solidFill>
                    <w14:schemeClr w14:val="tx1"/>
                  </w14:solidFill>
                </w14:textFill>
              </w:rPr>
              <w:instrText xml:space="preserve"> \l "_一、总_则" </w:instrText>
            </w:r>
            <w:r>
              <w:rPr>
                <w:rStyle w:val="46"/>
                <w:rFonts w:ascii="宋体" w:hAnsi="宋体"/>
                <w:color w:val="000000" w:themeColor="text1"/>
                <w:szCs w:val="21"/>
                <w:u w:val="none"/>
                <w14:textFill>
                  <w14:solidFill>
                    <w14:schemeClr w14:val="tx1"/>
                  </w14:solidFill>
                </w14:textFill>
              </w:rPr>
              <w:fldChar w:fldCharType="separate"/>
            </w:r>
            <w:r>
              <w:rPr>
                <w:rStyle w:val="46"/>
                <w:rFonts w:hint="eastAsia" w:ascii="宋体" w:hAnsi="宋体"/>
                <w:color w:val="000000" w:themeColor="text1"/>
                <w:szCs w:val="21"/>
                <w:u w:val="none"/>
                <w14:textFill>
                  <w14:solidFill>
                    <w14:schemeClr w14:val="tx1"/>
                  </w14:solidFill>
                </w14:textFill>
              </w:rPr>
              <w:t>供应商资格：</w:t>
            </w:r>
          </w:p>
          <w:p>
            <w:pPr>
              <w:spacing w:line="440" w:lineRule="exact"/>
              <w:rPr>
                <w:rStyle w:val="46"/>
                <w:rFonts w:ascii="宋体" w:hAnsi="宋体"/>
                <w:color w:val="000000" w:themeColor="text1"/>
                <w:szCs w:val="21"/>
                <w:u w:val="none"/>
                <w14:textFill>
                  <w14:solidFill>
                    <w14:schemeClr w14:val="tx1"/>
                  </w14:solidFill>
                </w14:textFill>
              </w:rPr>
            </w:pPr>
            <w:r>
              <w:rPr>
                <w:rStyle w:val="46"/>
                <w:rFonts w:hint="eastAsia" w:ascii="宋体" w:hAnsi="宋体"/>
                <w:color w:val="000000" w:themeColor="text1"/>
                <w:szCs w:val="21"/>
                <w:u w:val="none"/>
                <w14:textFill>
                  <w14:solidFill>
                    <w14:schemeClr w14:val="tx1"/>
                  </w14:solidFill>
                </w14:textFill>
              </w:rPr>
              <w:t>1.满足《中华人民共和国政府采购法》第二十二条规定</w:t>
            </w:r>
          </w:p>
          <w:p>
            <w:pPr>
              <w:spacing w:line="440" w:lineRule="exact"/>
              <w:rPr>
                <w:rStyle w:val="46"/>
                <w:rFonts w:ascii="宋体" w:hAnsi="宋体"/>
                <w:color w:val="000000" w:themeColor="text1"/>
                <w:szCs w:val="21"/>
                <w:u w:val="none"/>
                <w14:textFill>
                  <w14:solidFill>
                    <w14:schemeClr w14:val="tx1"/>
                  </w14:solidFill>
                </w14:textFill>
              </w:rPr>
            </w:pPr>
            <w:r>
              <w:rPr>
                <w:rStyle w:val="46"/>
                <w:rFonts w:hint="eastAsia" w:ascii="宋体" w:hAnsi="宋体"/>
                <w:color w:val="000000" w:themeColor="text1"/>
                <w:szCs w:val="21"/>
                <w:u w:val="none"/>
                <w14:textFill>
                  <w14:solidFill>
                    <w14:schemeClr w14:val="tx1"/>
                  </w14:solidFill>
                </w14:textFill>
              </w:rPr>
              <w:t>2.落实政府采购政策需满足的资格要求：服务全部由符合政策要求的中小企业承接</w:t>
            </w:r>
          </w:p>
          <w:p>
            <w:pPr>
              <w:spacing w:line="440" w:lineRule="exact"/>
              <w:rPr>
                <w:rFonts w:ascii="宋体" w:hAnsi="宋体"/>
                <w:szCs w:val="21"/>
              </w:rPr>
            </w:pPr>
            <w:r>
              <w:rPr>
                <w:rStyle w:val="46"/>
                <w:rFonts w:hint="eastAsia" w:ascii="宋体" w:hAnsi="宋体"/>
                <w:color w:val="000000" w:themeColor="text1"/>
                <w:szCs w:val="21"/>
                <w:u w:val="none"/>
                <w14:textFill>
                  <w14:solidFill>
                    <w14:schemeClr w14:val="tx1"/>
                  </w14:solidFill>
                </w14:textFill>
              </w:rPr>
              <w:t>3.本项目的特定资格要求：无</w:t>
            </w:r>
            <w:r>
              <w:rPr>
                <w:rStyle w:val="46"/>
                <w:rFonts w:ascii="宋体" w:hAnsi="宋体"/>
                <w:color w:val="000000" w:themeColor="text1"/>
                <w:szCs w:val="21"/>
                <w:u w:val="none"/>
                <w14:textFill>
                  <w14:solidFill>
                    <w14:schemeClr w14:val="tx1"/>
                  </w14:solidFill>
                </w14:textFill>
              </w:rPr>
              <w:fldChar w:fldCharType="end"/>
            </w:r>
          </w:p>
        </w:tc>
      </w:tr>
      <w:tr>
        <w:tblPrEx>
          <w:tblCellMar>
            <w:top w:w="0" w:type="dxa"/>
            <w:left w:w="108" w:type="dxa"/>
            <w:bottom w:w="0" w:type="dxa"/>
            <w:right w:w="108" w:type="dxa"/>
          </w:tblCellMar>
        </w:tblPrEx>
        <w:trPr>
          <w:trHeight w:val="1112"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ascii="宋体" w:hAnsi="宋体" w:cs="宋体"/>
                <w:kern w:val="0"/>
                <w:szCs w:val="21"/>
              </w:rPr>
              <w:t>3</w:t>
            </w:r>
          </w:p>
        </w:tc>
        <w:tc>
          <w:tcPr>
            <w:tcW w:w="8647" w:type="dxa"/>
            <w:tcBorders>
              <w:top w:val="single" w:color="000000" w:sz="4" w:space="0"/>
              <w:left w:val="nil"/>
              <w:bottom w:val="single" w:color="000000" w:sz="4" w:space="0"/>
              <w:right w:val="single" w:color="000000" w:sz="4" w:space="0"/>
            </w:tcBorders>
            <w:vAlign w:val="center"/>
          </w:tcPr>
          <w:p>
            <w:pPr>
              <w:spacing w:line="440" w:lineRule="exact"/>
              <w:rPr>
                <w:rFonts w:ascii="宋体" w:hAnsi="宋体"/>
              </w:rPr>
            </w:pPr>
            <w:r>
              <w:fldChar w:fldCharType="begin"/>
            </w:r>
            <w:r>
              <w:instrText xml:space="preserve"> HYPERLINK \l "_（五）报价" </w:instrText>
            </w:r>
            <w:r>
              <w:fldChar w:fldCharType="separate"/>
            </w:r>
            <w:r>
              <w:rPr>
                <w:rStyle w:val="46"/>
                <w:rFonts w:hint="eastAsia" w:ascii="宋体" w:hAnsi="宋体" w:cs="宋体"/>
                <w:color w:val="auto"/>
                <w:kern w:val="0"/>
                <w:szCs w:val="21"/>
                <w:u w:val="none"/>
              </w:rPr>
              <w:t>报价：供应商的报价必须按采购文件或政采云平台规定的格式填写，并在规定时间内提交最后报价。</w:t>
            </w:r>
            <w:r>
              <w:rPr>
                <w:rStyle w:val="46"/>
                <w:rFonts w:hint="eastAsia" w:ascii="宋体" w:hAnsi="宋体" w:cs="宋体"/>
                <w:color w:val="auto"/>
                <w:kern w:val="0"/>
                <w:szCs w:val="21"/>
                <w:u w:val="none"/>
              </w:rPr>
              <w:fldChar w:fldCharType="end"/>
            </w:r>
          </w:p>
        </w:tc>
      </w:tr>
      <w:tr>
        <w:tblPrEx>
          <w:tblCellMar>
            <w:top w:w="0" w:type="dxa"/>
            <w:left w:w="108" w:type="dxa"/>
            <w:bottom w:w="0" w:type="dxa"/>
            <w:right w:w="108" w:type="dxa"/>
          </w:tblCellMar>
        </w:tblPrEx>
        <w:trPr>
          <w:trHeight w:val="26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ascii="宋体" w:hAnsi="宋体" w:cs="宋体"/>
                <w:kern w:val="0"/>
                <w:szCs w:val="21"/>
              </w:rPr>
              <w:t>4</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6"/>
                <w:rFonts w:ascii="宋体" w:hAnsi="宋体" w:cs="宋体"/>
                <w:color w:val="auto"/>
                <w:kern w:val="0"/>
                <w:szCs w:val="21"/>
                <w:u w:val="none"/>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HYPERLINK </w:instrText>
            </w:r>
            <w:r>
              <w:rPr>
                <w:rFonts w:ascii="宋体" w:hAnsi="宋体" w:cs="宋体"/>
                <w:kern w:val="0"/>
                <w:szCs w:val="21"/>
              </w:rPr>
              <w:instrText xml:space="preserve"> \l "_（六）磋商保证金" </w:instrText>
            </w:r>
            <w:r>
              <w:rPr>
                <w:rFonts w:ascii="宋体" w:hAnsi="宋体" w:cs="宋体"/>
                <w:kern w:val="0"/>
                <w:szCs w:val="21"/>
              </w:rPr>
              <w:fldChar w:fldCharType="separate"/>
            </w:r>
            <w:r>
              <w:rPr>
                <w:rStyle w:val="46"/>
                <w:rFonts w:hint="eastAsia" w:ascii="宋体" w:hAnsi="宋体" w:cs="宋体"/>
                <w:color w:val="auto"/>
                <w:kern w:val="0"/>
                <w:szCs w:val="21"/>
                <w:u w:val="none"/>
              </w:rPr>
              <w:t>磋商保证金：壹万</w:t>
            </w:r>
            <w:r>
              <w:rPr>
                <w:rStyle w:val="46"/>
                <w:rFonts w:hint="eastAsia" w:ascii="宋体" w:hAnsi="宋体" w:cs="宋体"/>
                <w:color w:val="auto"/>
                <w:kern w:val="0"/>
                <w:szCs w:val="21"/>
                <w:u w:val="none"/>
                <w:lang w:val="en-US" w:eastAsia="zh-CN"/>
              </w:rPr>
              <w:t>陆</w:t>
            </w:r>
            <w:r>
              <w:rPr>
                <w:rStyle w:val="46"/>
                <w:rFonts w:hint="eastAsia" w:ascii="宋体" w:hAnsi="宋体" w:cs="宋体"/>
                <w:color w:val="auto"/>
                <w:kern w:val="0"/>
                <w:szCs w:val="21"/>
                <w:u w:val="none"/>
              </w:rPr>
              <w:t>仟</w:t>
            </w:r>
            <w:r>
              <w:rPr>
                <w:rFonts w:hint="eastAsia"/>
              </w:rPr>
              <w:t>元整(￥1</w:t>
            </w:r>
            <w:r>
              <w:rPr>
                <w:rFonts w:hint="eastAsia"/>
                <w:lang w:val="en-US" w:eastAsia="zh-CN"/>
              </w:rPr>
              <w:t>6</w:t>
            </w:r>
            <w:r>
              <w:rPr>
                <w:rFonts w:hint="eastAsia"/>
              </w:rPr>
              <w:t>,</w:t>
            </w:r>
            <w:r>
              <w:t>000.00)</w:t>
            </w:r>
          </w:p>
          <w:p>
            <w:pPr>
              <w:widowControl/>
              <w:spacing w:line="440" w:lineRule="exact"/>
              <w:rPr>
                <w:rStyle w:val="46"/>
                <w:b/>
                <w:bCs/>
                <w:color w:val="auto"/>
                <w:szCs w:val="21"/>
                <w:u w:val="none"/>
              </w:rPr>
            </w:pPr>
            <w:r>
              <w:rPr>
                <w:rStyle w:val="46"/>
                <w:rFonts w:hint="eastAsia" w:ascii="宋体"/>
                <w:b/>
                <w:bCs/>
                <w:color w:val="auto"/>
                <w:szCs w:val="21"/>
                <w:u w:val="none"/>
              </w:rPr>
              <w:t>注：1</w:t>
            </w:r>
            <w:r>
              <w:rPr>
                <w:rStyle w:val="46"/>
                <w:rFonts w:ascii="宋体"/>
                <w:b/>
                <w:bCs/>
                <w:color w:val="auto"/>
                <w:szCs w:val="21"/>
                <w:u w:val="none"/>
              </w:rPr>
              <w:t>.</w:t>
            </w:r>
            <w:r>
              <w:rPr>
                <w:rStyle w:val="46"/>
                <w:rFonts w:hint="eastAsia"/>
                <w:b/>
                <w:bCs/>
                <w:color w:val="auto"/>
                <w:szCs w:val="21"/>
                <w:u w:val="none"/>
              </w:rPr>
              <w:t>以支票、汇票、本票、保函等方式提交保证金的，供应商必须将票据、保函等原件于响应文件提交截止时间前递交至本中心财务室。</w:t>
            </w:r>
          </w:p>
          <w:p>
            <w:pPr>
              <w:widowControl/>
              <w:spacing w:line="440" w:lineRule="exact"/>
              <w:rPr>
                <w:rFonts w:ascii="宋体" w:hAnsi="宋体" w:cs="宋体"/>
                <w:kern w:val="0"/>
                <w:szCs w:val="21"/>
              </w:rPr>
            </w:pPr>
            <w:r>
              <w:rPr>
                <w:rStyle w:val="46"/>
                <w:color w:val="auto"/>
                <w:szCs w:val="21"/>
                <w:u w:val="none"/>
              </w:rPr>
              <w:t>2.</w:t>
            </w:r>
            <w:r>
              <w:rPr>
                <w:rStyle w:val="46"/>
                <w:rFonts w:hint="eastAsia"/>
                <w:color w:val="auto"/>
                <w:szCs w:val="21"/>
                <w:u w:val="none"/>
              </w:rPr>
              <w:t>网上银行支付形式提交保证金的，供应商必须于响应文件提交截止时间前从供应商账户缴存至本中心银行账户（以到账时间为准）。</w:t>
            </w:r>
            <w:r>
              <w:rPr>
                <w:rFonts w:ascii="宋体" w:hAnsi="宋体" w:cs="宋体"/>
                <w:kern w:val="0"/>
                <w:szCs w:val="21"/>
              </w:rPr>
              <w:fldChar w:fldCharType="end"/>
            </w:r>
          </w:p>
        </w:tc>
      </w:tr>
      <w:tr>
        <w:tblPrEx>
          <w:tblCellMar>
            <w:top w:w="0" w:type="dxa"/>
            <w:left w:w="108" w:type="dxa"/>
            <w:bottom w:w="0" w:type="dxa"/>
            <w:right w:w="108" w:type="dxa"/>
          </w:tblCellMar>
        </w:tblPrEx>
        <w:trPr>
          <w:trHeight w:val="2173"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hint="eastAsia" w:ascii="宋体" w:hAnsi="宋体" w:cs="宋体"/>
                <w:kern w:val="0"/>
                <w:szCs w:val="21"/>
              </w:rPr>
              <w:t>5</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6"/>
                <w:rFonts w:ascii="宋体" w:hAnsi="宋体"/>
                <w:color w:val="auto"/>
                <w:szCs w:val="21"/>
                <w:u w:val="none"/>
              </w:rPr>
            </w:pPr>
            <w:r>
              <w:rPr>
                <w:rFonts w:ascii="宋体" w:hAnsi="宋体" w:cs="宋体"/>
                <w:kern w:val="0"/>
                <w:szCs w:val="21"/>
              </w:rPr>
              <w:fldChar w:fldCharType="begin"/>
            </w:r>
            <w:r>
              <w:rPr>
                <w:rFonts w:ascii="宋体" w:hAnsi="宋体" w:cs="宋体"/>
                <w:kern w:val="0"/>
                <w:szCs w:val="21"/>
              </w:rPr>
              <w:instrText xml:space="preserve"> </w:instrText>
            </w:r>
            <w:r>
              <w:rPr>
                <w:rFonts w:hint="eastAsia" w:ascii="宋体" w:hAnsi="宋体" w:cs="宋体"/>
                <w:kern w:val="0"/>
                <w:szCs w:val="21"/>
              </w:rPr>
              <w:instrText xml:space="preserve">HYPERLINK </w:instrText>
            </w:r>
            <w:r>
              <w:rPr>
                <w:rFonts w:ascii="宋体" w:hAnsi="宋体" w:cs="宋体"/>
                <w:kern w:val="0"/>
                <w:szCs w:val="21"/>
              </w:rPr>
              <w:instrText xml:space="preserve"> \l "_四、响应文件开启" </w:instrText>
            </w:r>
            <w:r>
              <w:rPr>
                <w:rFonts w:ascii="宋体" w:hAnsi="宋体" w:cs="宋体"/>
                <w:kern w:val="0"/>
                <w:szCs w:val="21"/>
              </w:rPr>
              <w:fldChar w:fldCharType="separate"/>
            </w:r>
            <w:r>
              <w:rPr>
                <w:rStyle w:val="46"/>
                <w:rFonts w:hint="eastAsia" w:ascii="宋体" w:hAnsi="宋体" w:cs="宋体"/>
                <w:color w:val="auto"/>
                <w:kern w:val="0"/>
                <w:szCs w:val="21"/>
                <w:u w:val="none"/>
              </w:rPr>
              <w:t>响应文件提交截止时间及开启时间：</w:t>
            </w:r>
            <w:r>
              <w:rPr>
                <w:rStyle w:val="46"/>
                <w:rFonts w:hint="eastAsia" w:ascii="宋体" w:hAnsi="宋体"/>
                <w:color w:val="auto"/>
                <w:szCs w:val="21"/>
                <w:u w:val="none"/>
              </w:rPr>
              <w:t>202</w:t>
            </w:r>
            <w:r>
              <w:rPr>
                <w:rStyle w:val="46"/>
                <w:rFonts w:ascii="宋体" w:hAnsi="宋体"/>
                <w:color w:val="auto"/>
                <w:szCs w:val="21"/>
                <w:u w:val="none"/>
              </w:rPr>
              <w:t>4</w:t>
            </w:r>
            <w:r>
              <w:rPr>
                <w:rStyle w:val="46"/>
                <w:rFonts w:hint="eastAsia" w:ascii="宋体" w:hAnsi="宋体"/>
                <w:color w:val="auto"/>
                <w:szCs w:val="21"/>
                <w:u w:val="none"/>
              </w:rPr>
              <w:t>年</w:t>
            </w:r>
            <w:r>
              <w:rPr>
                <w:rStyle w:val="46"/>
                <w:rFonts w:ascii="宋体" w:hAnsi="宋体"/>
                <w:color w:val="auto"/>
                <w:szCs w:val="21"/>
                <w:u w:val="none"/>
              </w:rPr>
              <w:t>0</w:t>
            </w:r>
            <w:r>
              <w:rPr>
                <w:rStyle w:val="46"/>
                <w:rFonts w:hint="eastAsia" w:ascii="宋体" w:hAnsi="宋体"/>
                <w:color w:val="auto"/>
                <w:szCs w:val="21"/>
                <w:u w:val="none"/>
              </w:rPr>
              <w:t>6月</w:t>
            </w:r>
            <w:r>
              <w:rPr>
                <w:rStyle w:val="46"/>
                <w:rFonts w:hint="eastAsia" w:ascii="宋体" w:hAnsi="宋体"/>
                <w:color w:val="auto"/>
                <w:szCs w:val="21"/>
                <w:u w:val="none"/>
                <w:lang w:val="en-US" w:eastAsia="zh-CN"/>
              </w:rPr>
              <w:t>26</w:t>
            </w:r>
            <w:r>
              <w:rPr>
                <w:rStyle w:val="46"/>
                <w:rFonts w:hint="eastAsia" w:ascii="宋体" w:hAnsi="宋体"/>
                <w:color w:val="auto"/>
                <w:szCs w:val="21"/>
                <w:u w:val="none"/>
              </w:rPr>
              <w:t xml:space="preserve"> 日</w:t>
            </w:r>
            <w:r>
              <w:rPr>
                <w:rStyle w:val="46"/>
                <w:rFonts w:hint="eastAsia" w:ascii="宋体" w:hAnsi="宋体"/>
                <w:color w:val="auto"/>
                <w:szCs w:val="21"/>
                <w:u w:val="none"/>
                <w:lang w:eastAsia="zh-CN"/>
              </w:rPr>
              <w:t>9:30</w:t>
            </w:r>
            <w:r>
              <w:rPr>
                <w:rStyle w:val="46"/>
                <w:rFonts w:hint="eastAsia" w:ascii="宋体" w:hAnsi="宋体"/>
                <w:color w:val="auto"/>
                <w:szCs w:val="21"/>
                <w:u w:val="none"/>
              </w:rPr>
              <w:t>(北京时间)</w:t>
            </w:r>
          </w:p>
          <w:p>
            <w:pPr>
              <w:widowControl/>
              <w:spacing w:line="440" w:lineRule="exact"/>
            </w:pPr>
            <w:r>
              <w:rPr>
                <w:rStyle w:val="46"/>
                <w:rFonts w:hint="eastAsia"/>
                <w:b/>
                <w:color w:val="auto"/>
                <w:szCs w:val="21"/>
                <w:u w:val="none"/>
              </w:rPr>
              <w:t>注意事项：</w:t>
            </w:r>
            <w:r>
              <w:rPr>
                <w:rStyle w:val="46"/>
                <w:rFonts w:hint="eastAsia"/>
                <w:bCs/>
                <w:color w:val="auto"/>
                <w:u w:val="none"/>
              </w:rPr>
              <w:t>供应商法定代表人或委托代理人须按时登陆政采云远程开标大厅，保持全程在线并关注评审磋商进度，评审期间磋商小组提出澄清等要求时，供应商须在规定时间内进行在线应答，否则按采购文件或政采云平台的相关规定执行。</w:t>
            </w:r>
            <w:r>
              <w:rPr>
                <w:rFonts w:ascii="宋体" w:hAnsi="宋体" w:cs="宋体"/>
                <w:kern w:val="0"/>
                <w:szCs w:val="21"/>
              </w:rPr>
              <w:fldChar w:fldCharType="end"/>
            </w:r>
          </w:p>
        </w:tc>
      </w:tr>
      <w:tr>
        <w:tblPrEx>
          <w:tblCellMar>
            <w:top w:w="0" w:type="dxa"/>
            <w:left w:w="108" w:type="dxa"/>
            <w:bottom w:w="0" w:type="dxa"/>
            <w:right w:w="108" w:type="dxa"/>
          </w:tblCellMar>
        </w:tblPrEx>
        <w:trPr>
          <w:trHeight w:val="92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hint="eastAsia" w:ascii="宋体" w:hAnsi="宋体" w:cs="宋体"/>
                <w:kern w:val="0"/>
                <w:szCs w:val="21"/>
              </w:rPr>
              <w:t>6</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Style w:val="46"/>
                <w:rFonts w:ascii="宋体" w:hAnsi="宋体" w:cs="宋体"/>
                <w:color w:val="auto"/>
                <w:kern w:val="0"/>
                <w:szCs w:val="21"/>
                <w:u w:val="none"/>
              </w:rPr>
            </w:pPr>
            <w:r>
              <w:rPr>
                <w:rFonts w:ascii="宋体" w:hAnsi="宋体" w:cs="宋体"/>
                <w:kern w:val="0"/>
                <w:szCs w:val="21"/>
              </w:rPr>
              <w:fldChar w:fldCharType="begin"/>
            </w:r>
            <w:r>
              <w:rPr>
                <w:rFonts w:ascii="宋体" w:hAnsi="宋体" w:cs="宋体"/>
                <w:kern w:val="0"/>
                <w:szCs w:val="21"/>
              </w:rPr>
              <w:instrText xml:space="preserve"> HYPERLINK  \l "_五、评审与磋商" </w:instrText>
            </w:r>
            <w:r>
              <w:rPr>
                <w:rFonts w:ascii="宋体" w:hAnsi="宋体" w:cs="宋体"/>
                <w:kern w:val="0"/>
                <w:szCs w:val="21"/>
              </w:rPr>
              <w:fldChar w:fldCharType="separate"/>
            </w:r>
            <w:r>
              <w:rPr>
                <w:rStyle w:val="46"/>
                <w:rFonts w:ascii="宋体" w:hAnsi="宋体" w:cs="宋体"/>
                <w:color w:val="auto"/>
                <w:kern w:val="0"/>
                <w:szCs w:val="21"/>
                <w:u w:val="none"/>
              </w:rPr>
              <w:t>评审及磋商：</w:t>
            </w:r>
          </w:p>
          <w:p>
            <w:pPr>
              <w:widowControl/>
              <w:spacing w:line="440" w:lineRule="exact"/>
              <w:rPr>
                <w:rFonts w:ascii="宋体" w:hAnsi="宋体" w:cs="宋体"/>
                <w:kern w:val="0"/>
                <w:szCs w:val="21"/>
              </w:rPr>
            </w:pPr>
            <w:r>
              <w:rPr>
                <w:rStyle w:val="46"/>
                <w:rFonts w:hint="eastAsia" w:ascii="宋体" w:hAnsi="宋体" w:cs="宋体"/>
                <w:color w:val="auto"/>
                <w:kern w:val="0"/>
                <w:szCs w:val="21"/>
                <w:u w:val="none"/>
              </w:rPr>
              <w:t>磋商小组成员根据磋商文件规定的评审程序、评审方法和评审标准进行独立评审，与符合条件的供应商就采购货物和服务事宜进行磋商，供应商按照磋商文件的要求提交报价。</w:t>
            </w:r>
            <w:r>
              <w:rPr>
                <w:rFonts w:ascii="宋体" w:hAnsi="宋体" w:cs="宋体"/>
                <w:kern w:val="0"/>
                <w:szCs w:val="21"/>
              </w:rPr>
              <w:fldChar w:fldCharType="end"/>
            </w:r>
          </w:p>
        </w:tc>
      </w:tr>
      <w:tr>
        <w:tblPrEx>
          <w:tblCellMar>
            <w:top w:w="0" w:type="dxa"/>
            <w:left w:w="108" w:type="dxa"/>
            <w:bottom w:w="0" w:type="dxa"/>
            <w:right w:w="108" w:type="dxa"/>
          </w:tblCellMar>
        </w:tblPrEx>
        <w:trPr>
          <w:trHeight w:val="801"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ascii="宋体" w:hAnsi="宋体" w:cs="宋体"/>
                <w:kern w:val="0"/>
                <w:szCs w:val="21"/>
              </w:rPr>
              <w:t>7</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Fonts w:ascii="宋体" w:hAnsi="宋体" w:cs="宋体"/>
                <w:kern w:val="0"/>
                <w:szCs w:val="21"/>
              </w:rPr>
            </w:pPr>
            <w:r>
              <w:fldChar w:fldCharType="begin"/>
            </w:r>
            <w:r>
              <w:instrText xml:space="preserve"> HYPERLINK \l "_第四章__评定标准及推荐原则" </w:instrText>
            </w:r>
            <w:r>
              <w:fldChar w:fldCharType="separate"/>
            </w:r>
            <w:r>
              <w:rPr>
                <w:rStyle w:val="46"/>
                <w:rFonts w:hint="eastAsia" w:ascii="宋体" w:hAnsi="宋体" w:cs="宋体"/>
                <w:color w:val="auto"/>
                <w:kern w:val="0"/>
                <w:szCs w:val="21"/>
                <w:u w:val="none"/>
              </w:rPr>
              <w:t>评定方法：</w:t>
            </w:r>
            <w:r>
              <w:rPr>
                <w:rStyle w:val="46"/>
                <w:rFonts w:hint="eastAsia"/>
                <w:color w:val="auto"/>
                <w:u w:val="none"/>
              </w:rPr>
              <w:t>详见第四章《评定标准及推荐原则》。</w:t>
            </w:r>
            <w:r>
              <w:rPr>
                <w:rStyle w:val="46"/>
                <w:rFonts w:hint="eastAsia"/>
                <w:color w:val="auto"/>
                <w:u w:val="none"/>
              </w:rPr>
              <w:fldChar w:fldCharType="end"/>
            </w:r>
          </w:p>
        </w:tc>
      </w:tr>
      <w:tr>
        <w:tblPrEx>
          <w:tblCellMar>
            <w:top w:w="0" w:type="dxa"/>
            <w:left w:w="108" w:type="dxa"/>
            <w:bottom w:w="0" w:type="dxa"/>
            <w:right w:w="108" w:type="dxa"/>
          </w:tblCellMar>
        </w:tblPrEx>
        <w:trPr>
          <w:trHeight w:val="1136"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宋体" w:hAnsi="宋体" w:cs="宋体"/>
                <w:kern w:val="0"/>
                <w:szCs w:val="21"/>
              </w:rPr>
            </w:pPr>
            <w:r>
              <w:rPr>
                <w:rFonts w:ascii="宋体" w:hAnsi="宋体" w:cs="宋体"/>
                <w:kern w:val="0"/>
                <w:szCs w:val="21"/>
              </w:rPr>
              <w:t>8</w:t>
            </w:r>
          </w:p>
        </w:tc>
        <w:tc>
          <w:tcPr>
            <w:tcW w:w="8647" w:type="dxa"/>
            <w:tcBorders>
              <w:top w:val="single" w:color="000000" w:sz="4" w:space="0"/>
              <w:left w:val="nil"/>
              <w:bottom w:val="single" w:color="000000" w:sz="4" w:space="0"/>
              <w:right w:val="single" w:color="000000" w:sz="4" w:space="0"/>
            </w:tcBorders>
            <w:vAlign w:val="center"/>
          </w:tcPr>
          <w:p>
            <w:pPr>
              <w:widowControl/>
              <w:spacing w:line="440" w:lineRule="exact"/>
              <w:rPr>
                <w:rFonts w:ascii="宋体" w:hAnsi="宋体" w:cs="宋体"/>
                <w:kern w:val="0"/>
                <w:szCs w:val="21"/>
              </w:rPr>
            </w:pPr>
            <w:r>
              <w:fldChar w:fldCharType="begin"/>
            </w:r>
            <w:r>
              <w:instrText xml:space="preserve"> HYPERLINK \l "_十、其他事项" </w:instrText>
            </w:r>
            <w:r>
              <w:fldChar w:fldCharType="separate"/>
            </w:r>
            <w:r>
              <w:rPr>
                <w:rStyle w:val="46"/>
                <w:rFonts w:hint="eastAsia" w:ascii="宋体" w:hAnsi="宋体" w:cs="宋体"/>
                <w:color w:val="auto"/>
                <w:kern w:val="0"/>
                <w:szCs w:val="21"/>
                <w:u w:val="none"/>
              </w:rPr>
              <w:t>代理服务费：按钦州市物价局“钦市价费﹝2013﹞4号”文件，以差额定率累进法计算。成交供应商须按成交金额缴纳相应的代理服务费。</w:t>
            </w:r>
            <w:r>
              <w:rPr>
                <w:rStyle w:val="46"/>
                <w:rFonts w:hint="eastAsia" w:ascii="宋体" w:hAnsi="宋体" w:cs="宋体"/>
                <w:color w:val="auto"/>
                <w:kern w:val="0"/>
                <w:szCs w:val="21"/>
                <w:u w:val="none"/>
              </w:rPr>
              <w:fldChar w:fldCharType="end"/>
            </w:r>
          </w:p>
        </w:tc>
      </w:tr>
    </w:tbl>
    <w:p>
      <w:bookmarkStart w:id="56" w:name="_Toc420505403"/>
    </w:p>
    <w:p>
      <w:pPr>
        <w:widowControl/>
        <w:jc w:val="center"/>
      </w:pPr>
      <w:r>
        <w:br w:type="page"/>
      </w:r>
      <w:r>
        <w:rPr>
          <w:rFonts w:hint="eastAsia" w:ascii="黑体" w:hAnsi="黑体" w:eastAsia="黑体"/>
          <w:b/>
          <w:bCs/>
          <w:sz w:val="32"/>
          <w:szCs w:val="32"/>
        </w:rPr>
        <w:t>二、供应商须知</w:t>
      </w:r>
      <w:bookmarkEnd w:id="56"/>
    </w:p>
    <w:p>
      <w:pPr>
        <w:pStyle w:val="4"/>
        <w:spacing w:line="420" w:lineRule="exact"/>
      </w:pPr>
      <w:bookmarkStart w:id="57" w:name="_一、总_则"/>
      <w:bookmarkEnd w:id="57"/>
      <w:r>
        <w:rPr>
          <w:rFonts w:hint="eastAsia"/>
        </w:rPr>
        <w:t>一、总　则</w:t>
      </w:r>
    </w:p>
    <w:p>
      <w:pPr>
        <w:spacing w:line="406" w:lineRule="exact"/>
        <w:ind w:firstLine="210" w:firstLineChars="100"/>
        <w:rPr>
          <w:rFonts w:ascii="宋体" w:hAnsi="宋体"/>
          <w:szCs w:val="21"/>
        </w:rPr>
      </w:pPr>
      <w:r>
        <w:rPr>
          <w:rFonts w:hint="eastAsia" w:ascii="宋体" w:hAnsi="宋体"/>
          <w:szCs w:val="21"/>
        </w:rPr>
        <w:t>（一）适用范围</w:t>
      </w:r>
    </w:p>
    <w:p>
      <w:pPr>
        <w:spacing w:line="406" w:lineRule="exact"/>
        <w:ind w:right="-334" w:rightChars="-159" w:firstLine="420"/>
        <w:rPr>
          <w:rFonts w:hint="eastAsia" w:eastAsia="宋体"/>
          <w:szCs w:val="21"/>
          <w:lang w:eastAsia="zh-CN"/>
        </w:rPr>
      </w:pPr>
      <w:r>
        <w:rPr>
          <w:rFonts w:ascii="宋体"/>
        </w:rPr>
        <w:t>1.</w:t>
      </w:r>
      <w:r>
        <w:rPr>
          <w:rFonts w:hint="eastAsia" w:ascii="宋体"/>
        </w:rPr>
        <w:t>项目名称：</w:t>
      </w:r>
      <w:r>
        <w:rPr>
          <w:rFonts w:hint="eastAsia"/>
          <w:lang w:eastAsia="zh-CN"/>
        </w:rPr>
        <w:t>钦州市中级人民法院2024年7月至2025年6月机关安保和物业管理服务</w:t>
      </w:r>
    </w:p>
    <w:p>
      <w:pPr>
        <w:spacing w:line="406" w:lineRule="exact"/>
        <w:ind w:right="-334" w:rightChars="-159" w:firstLine="420"/>
        <w:rPr>
          <w:rFonts w:hint="eastAsia" w:eastAsia="宋体"/>
          <w:lang w:eastAsia="zh-CN"/>
        </w:rPr>
      </w:pPr>
      <w:r>
        <w:rPr>
          <w:szCs w:val="21"/>
        </w:rPr>
        <w:t>2.</w:t>
      </w:r>
      <w:r>
        <w:rPr>
          <w:rFonts w:hint="eastAsia"/>
        </w:rPr>
        <w:t>项目编号：</w:t>
      </w:r>
      <w:r>
        <w:rPr>
          <w:rFonts w:hint="eastAsia"/>
          <w:lang w:eastAsia="zh-CN"/>
        </w:rPr>
        <w:t>QZZC2024-C3-00013-CGZX</w:t>
      </w:r>
    </w:p>
    <w:p>
      <w:pPr>
        <w:spacing w:line="406" w:lineRule="exact"/>
        <w:ind w:right="-334" w:rightChars="-159" w:firstLine="420"/>
        <w:rPr>
          <w:szCs w:val="21"/>
        </w:rPr>
      </w:pPr>
      <w:r>
        <w:rPr>
          <w:rFonts w:hint="eastAsia" w:hAnsi="宋体"/>
        </w:rPr>
        <w:t>本文件仅适用于本文件中所叙述的货物、服务类政府采购项目。</w:t>
      </w:r>
    </w:p>
    <w:p>
      <w:pPr>
        <w:spacing w:line="406" w:lineRule="exact"/>
        <w:ind w:firstLine="210" w:firstLineChars="100"/>
        <w:rPr>
          <w:rFonts w:ascii="宋体" w:hAnsi="宋体"/>
          <w:szCs w:val="21"/>
        </w:rPr>
      </w:pPr>
      <w:r>
        <w:rPr>
          <w:rFonts w:hint="eastAsia" w:ascii="宋体" w:hAnsi="宋体"/>
          <w:szCs w:val="21"/>
        </w:rPr>
        <w:t>（二）定义</w:t>
      </w:r>
    </w:p>
    <w:p>
      <w:pPr>
        <w:spacing w:line="406" w:lineRule="exact"/>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采购人</w:t>
      </w:r>
      <w:r>
        <w:rPr>
          <w:rFonts w:hint="eastAsia" w:ascii="宋体" w:hAnsi="宋体"/>
          <w:szCs w:val="21"/>
        </w:rPr>
        <w:t>”</w:t>
      </w:r>
      <w:r>
        <w:rPr>
          <w:rFonts w:ascii="宋体" w:hAnsi="宋体"/>
          <w:szCs w:val="21"/>
        </w:rPr>
        <w:t>是指依法进行政府采购的国家机关、事业单位、团体组织。</w:t>
      </w:r>
    </w:p>
    <w:p>
      <w:pPr>
        <w:spacing w:line="406" w:lineRule="exact"/>
        <w:ind w:firstLine="420" w:firstLineChars="200"/>
        <w:rPr>
          <w:rFonts w:ascii="宋体" w:hAnsi="宋体"/>
          <w:szCs w:val="21"/>
        </w:rPr>
      </w:pPr>
      <w:r>
        <w:rPr>
          <w:rFonts w:hint="eastAsia" w:ascii="宋体" w:hAnsi="宋体"/>
          <w:szCs w:val="21"/>
        </w:rPr>
        <w:t>2.“供应商”是指响应本文件要求，参加磋商的法人或其他组织。如果该供应商在本次采购项目中成交，即成为“成交供应商”。</w:t>
      </w:r>
    </w:p>
    <w:p>
      <w:pPr>
        <w:spacing w:line="406"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“采购代理机构”是指</w:t>
      </w:r>
      <w:r>
        <w:rPr>
          <w:rFonts w:hint="eastAsia" w:ascii="宋体" w:hAnsi="宋体"/>
        </w:rPr>
        <w:t>钦州市政府采购中心。</w:t>
      </w:r>
    </w:p>
    <w:p>
      <w:pPr>
        <w:spacing w:line="406" w:lineRule="exact"/>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“货物和服务”是指本次采购文件中所采购的各种形态和种类的产品以及其提供的服务。</w:t>
      </w:r>
    </w:p>
    <w:p>
      <w:pPr>
        <w:spacing w:line="406"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“竞争性磋商采购文件”是指采用竞争性磋商方式进行政府采购的指导文件，简称“磋商文件”或“采购文件”。</w:t>
      </w:r>
    </w:p>
    <w:p>
      <w:pPr>
        <w:spacing w:line="406" w:lineRule="exact"/>
        <w:ind w:firstLine="420" w:firstLineChars="200"/>
        <w:rPr>
          <w:rFonts w:ascii="宋体" w:hAnsi="宋体"/>
          <w:szCs w:val="21"/>
        </w:rPr>
      </w:pPr>
      <w:r>
        <w:rPr>
          <w:rFonts w:ascii="宋体" w:hAnsi="宋体"/>
          <w:szCs w:val="21"/>
        </w:rPr>
        <w:t>6.</w:t>
      </w:r>
      <w:r>
        <w:rPr>
          <w:rFonts w:hint="eastAsia" w:ascii="宋体" w:hAnsi="宋体"/>
          <w:szCs w:val="21"/>
        </w:rPr>
        <w:t>“响应文件”是指供应商根据采购文件要求，编制包含技术、服务和报价等所有内容的响应文件。</w:t>
      </w:r>
    </w:p>
    <w:p>
      <w:pPr>
        <w:spacing w:line="406" w:lineRule="exact"/>
        <w:ind w:firstLine="420" w:firstLineChars="200"/>
        <w:rPr>
          <w:rFonts w:ascii="宋体" w:hAnsi="宋体"/>
          <w:szCs w:val="21"/>
        </w:rPr>
      </w:pPr>
      <w:r>
        <w:rPr>
          <w:rFonts w:ascii="宋体" w:hAnsi="宋体"/>
          <w:szCs w:val="21"/>
        </w:rPr>
        <w:t>7.</w:t>
      </w:r>
      <w:r>
        <w:rPr>
          <w:rFonts w:hint="eastAsia" w:ascii="宋体" w:hAnsi="宋体"/>
          <w:szCs w:val="21"/>
        </w:rPr>
        <w:t>“书面形式”</w:t>
      </w:r>
      <w:r>
        <w:rPr>
          <w:rFonts w:ascii="Helvetica" w:hAnsi="Helvetica"/>
          <w:szCs w:val="21"/>
        </w:rPr>
        <w:t>是</w:t>
      </w:r>
      <w:r>
        <w:rPr>
          <w:rFonts w:hint="eastAsia" w:ascii="Helvetica" w:hAnsi="Helvetica"/>
          <w:szCs w:val="21"/>
        </w:rPr>
        <w:t>指</w:t>
      </w:r>
      <w:r>
        <w:rPr>
          <w:rFonts w:ascii="Helvetica" w:hAnsi="Helvetica"/>
          <w:szCs w:val="21"/>
        </w:rPr>
        <w:t>合同书、信件、电报、电传、传真等可以有形地表现所载内容的形式。</w:t>
      </w:r>
    </w:p>
    <w:p>
      <w:pPr>
        <w:spacing w:line="406" w:lineRule="exact"/>
        <w:ind w:firstLine="211" w:firstLineChars="100"/>
        <w:rPr>
          <w:rFonts w:ascii="宋体" w:hAnsi="宋体"/>
          <w:b/>
          <w:szCs w:val="21"/>
        </w:rPr>
      </w:pPr>
      <w:r>
        <w:rPr>
          <w:rFonts w:hint="eastAsia" w:ascii="宋体" w:hAnsi="宋体"/>
          <w:b/>
          <w:szCs w:val="21"/>
        </w:rPr>
        <w:t>（三）供应商资格</w:t>
      </w:r>
    </w:p>
    <w:p>
      <w:pPr>
        <w:spacing w:line="406" w:lineRule="exact"/>
        <w:ind w:firstLine="420" w:firstLineChars="200"/>
      </w:pPr>
      <w:r>
        <w:rPr>
          <w:rFonts w:hint="eastAsia"/>
        </w:rPr>
        <w:t>1.满足《中华人民共和国政府采购法》第二十二条规定</w:t>
      </w:r>
    </w:p>
    <w:p>
      <w:pPr>
        <w:spacing w:line="406" w:lineRule="exact"/>
        <w:ind w:firstLine="420" w:firstLineChars="200"/>
      </w:pPr>
      <w:r>
        <w:rPr>
          <w:rFonts w:hint="eastAsia"/>
        </w:rPr>
        <w:t>2.落实政府采购政策需满足的资格要求：服务全部由符合政策要求的中小企业承接</w:t>
      </w:r>
    </w:p>
    <w:p>
      <w:pPr>
        <w:spacing w:line="406" w:lineRule="exact"/>
        <w:ind w:firstLine="420" w:firstLineChars="200"/>
      </w:pPr>
      <w:r>
        <w:rPr>
          <w:rFonts w:hint="eastAsia"/>
        </w:rPr>
        <w:t>3.本项目的特定资格要求：无</w:t>
      </w:r>
    </w:p>
    <w:p>
      <w:pPr>
        <w:spacing w:line="406" w:lineRule="exact"/>
        <w:ind w:firstLine="211" w:firstLineChars="100"/>
        <w:rPr>
          <w:b/>
          <w:bCs/>
        </w:rPr>
      </w:pPr>
      <w:r>
        <w:rPr>
          <w:rFonts w:hint="eastAsia"/>
          <w:b/>
          <w:bCs/>
        </w:rPr>
        <w:t>（四）采购方式</w:t>
      </w:r>
    </w:p>
    <w:p>
      <w:pPr>
        <w:snapToGrid w:val="0"/>
        <w:spacing w:line="406" w:lineRule="exact"/>
        <w:ind w:firstLine="420" w:firstLineChars="200"/>
        <w:rPr>
          <w:rFonts w:ascii="宋体" w:hAnsi="宋体"/>
          <w:szCs w:val="21"/>
        </w:rPr>
      </w:pPr>
      <w:r>
        <w:rPr>
          <w:rFonts w:hint="eastAsia" w:ascii="宋体" w:hAnsi="宋体"/>
          <w:szCs w:val="21"/>
        </w:rPr>
        <w:t>竞争性磋商</w:t>
      </w:r>
    </w:p>
    <w:p>
      <w:pPr>
        <w:spacing w:line="406" w:lineRule="exact"/>
        <w:ind w:firstLine="211" w:firstLineChars="100"/>
        <w:rPr>
          <w:b/>
          <w:bCs/>
        </w:rPr>
      </w:pPr>
      <w:bookmarkStart w:id="58" w:name="_Toc254970530"/>
      <w:bookmarkStart w:id="59" w:name="_Toc353785281"/>
      <w:bookmarkStart w:id="60" w:name="_Toc352700410"/>
      <w:bookmarkStart w:id="61" w:name="_Toc254970671"/>
      <w:r>
        <w:rPr>
          <w:rFonts w:hint="eastAsia"/>
          <w:b/>
          <w:bCs/>
        </w:rPr>
        <w:t>（五）代理委托</w:t>
      </w:r>
      <w:bookmarkEnd w:id="58"/>
      <w:bookmarkEnd w:id="59"/>
      <w:bookmarkEnd w:id="60"/>
      <w:bookmarkEnd w:id="61"/>
    </w:p>
    <w:p>
      <w:pPr>
        <w:snapToGrid w:val="0"/>
        <w:spacing w:line="406" w:lineRule="exact"/>
        <w:ind w:firstLine="420" w:firstLineChars="200"/>
        <w:rPr>
          <w:rFonts w:ascii="宋体" w:hAnsi="宋体" w:cs="Courier New"/>
          <w:bCs/>
          <w:szCs w:val="21"/>
        </w:rPr>
      </w:pPr>
      <w:r>
        <w:rPr>
          <w:rFonts w:hint="eastAsia" w:ascii="宋体" w:hAnsi="宋体" w:cs="Courier New"/>
          <w:bCs/>
          <w:szCs w:val="21"/>
        </w:rPr>
        <w:t>委托磋商的供应商须提供授权委托书（格式见第六章）。</w:t>
      </w:r>
    </w:p>
    <w:p>
      <w:pPr>
        <w:spacing w:line="406" w:lineRule="exact"/>
        <w:ind w:firstLine="211" w:firstLineChars="100"/>
        <w:rPr>
          <w:b/>
          <w:bCs/>
        </w:rPr>
      </w:pPr>
      <w:bookmarkStart w:id="62" w:name="_Toc254970672"/>
      <w:bookmarkStart w:id="63" w:name="_Toc254970531"/>
      <w:bookmarkStart w:id="64" w:name="_Toc352700411"/>
      <w:bookmarkStart w:id="65" w:name="_Toc353785282"/>
      <w:r>
        <w:rPr>
          <w:rFonts w:hint="eastAsia"/>
          <w:b/>
          <w:bCs/>
        </w:rPr>
        <w:t>（六）磋商费用</w:t>
      </w:r>
      <w:bookmarkEnd w:id="62"/>
      <w:bookmarkEnd w:id="63"/>
      <w:bookmarkEnd w:id="64"/>
      <w:bookmarkEnd w:id="65"/>
    </w:p>
    <w:p>
      <w:pPr>
        <w:snapToGrid w:val="0"/>
        <w:spacing w:line="406" w:lineRule="exact"/>
        <w:ind w:firstLine="420" w:firstLineChars="200"/>
        <w:rPr>
          <w:rFonts w:ascii="宋体" w:hAnsi="宋体"/>
          <w:szCs w:val="21"/>
        </w:rPr>
      </w:pPr>
      <w:r>
        <w:rPr>
          <w:rFonts w:hint="eastAsia" w:ascii="宋体" w:hAnsi="宋体"/>
          <w:szCs w:val="21"/>
        </w:rPr>
        <w:t>供应商自行承担所有与磋商有关的全部费用。</w:t>
      </w:r>
    </w:p>
    <w:p>
      <w:pPr>
        <w:spacing w:line="406" w:lineRule="exact"/>
        <w:ind w:firstLine="211" w:firstLineChars="100"/>
        <w:rPr>
          <w:b/>
          <w:bCs/>
        </w:rPr>
      </w:pPr>
      <w:bookmarkStart w:id="66" w:name="_Toc352700413"/>
      <w:bookmarkStart w:id="67" w:name="_Toc353785283"/>
      <w:r>
        <w:rPr>
          <w:rFonts w:hint="eastAsia"/>
          <w:b/>
          <w:bCs/>
        </w:rPr>
        <w:t>（七）转包与分包</w:t>
      </w:r>
      <w:bookmarkEnd w:id="66"/>
      <w:bookmarkEnd w:id="67"/>
    </w:p>
    <w:p>
      <w:pPr>
        <w:snapToGrid w:val="0"/>
        <w:spacing w:line="406" w:lineRule="exact"/>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本项目不允许转包。</w:t>
      </w:r>
    </w:p>
    <w:p>
      <w:pPr>
        <w:snapToGrid w:val="0"/>
        <w:spacing w:line="406" w:lineRule="exact"/>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采购人允许采用分包方式履行合同的，应当在采购文件中明确可以分包履行的具体内容、金额或者比例。</w:t>
      </w:r>
    </w:p>
    <w:p>
      <w:pPr>
        <w:snapToGrid w:val="0"/>
        <w:spacing w:line="406" w:lineRule="exact"/>
        <w:ind w:firstLine="420" w:firstLineChars="200"/>
        <w:rPr>
          <w:rFonts w:ascii="宋体" w:hAnsi="宋体" w:cs="宋体"/>
          <w:kern w:val="0"/>
          <w:szCs w:val="21"/>
        </w:rPr>
      </w:pPr>
      <w:r>
        <w:rPr>
          <w:rFonts w:ascii="宋体" w:hAnsi="宋体" w:cs="宋体"/>
          <w:kern w:val="0"/>
          <w:szCs w:val="21"/>
        </w:rPr>
        <w:t>3.</w:t>
      </w:r>
      <w:r>
        <w:rPr>
          <w:rFonts w:hint="eastAsia" w:ascii="宋体" w:hAnsi="宋体" w:cs="宋体"/>
          <w:kern w:val="0"/>
          <w:szCs w:val="21"/>
        </w:rPr>
        <w:t>依据《政府采购促进中小企业发展管理办法》规定享受扶持政策获得政府采购合同的，小微企业不得将合同分包给大中型企业，中型企业不得将合同分包给大型企业。</w:t>
      </w:r>
    </w:p>
    <w:p>
      <w:pPr>
        <w:spacing w:line="406" w:lineRule="exact"/>
        <w:ind w:firstLine="211" w:firstLineChars="100"/>
        <w:rPr>
          <w:b/>
          <w:bCs/>
        </w:rPr>
      </w:pPr>
      <w:bookmarkStart w:id="68" w:name="_Toc353785284"/>
      <w:bookmarkStart w:id="69" w:name="_Toc254970673"/>
      <w:bookmarkStart w:id="70" w:name="_Toc254970532"/>
      <w:bookmarkStart w:id="71" w:name="_Toc352700414"/>
      <w:r>
        <w:rPr>
          <w:rFonts w:hint="eastAsia"/>
          <w:b/>
          <w:bCs/>
        </w:rPr>
        <w:t>（八）特别说明</w:t>
      </w:r>
      <w:bookmarkEnd w:id="68"/>
      <w:bookmarkEnd w:id="69"/>
      <w:bookmarkEnd w:id="70"/>
      <w:bookmarkEnd w:id="71"/>
    </w:p>
    <w:p>
      <w:pPr>
        <w:pStyle w:val="22"/>
        <w:snapToGrid w:val="0"/>
        <w:spacing w:line="406" w:lineRule="exact"/>
        <w:ind w:firstLine="420"/>
        <w:rPr>
          <w:rFonts w:hAnsi="宋体"/>
        </w:rPr>
      </w:pPr>
      <w:r>
        <w:rPr>
          <w:rFonts w:hAnsi="宋体"/>
        </w:rPr>
        <w:t>1.</w:t>
      </w:r>
      <w:r>
        <w:rPr>
          <w:rFonts w:hint="eastAsia" w:hAnsi="宋体"/>
        </w:rPr>
        <w:t>单位负责人为同一人或者存在直接控股、管理关系的不同的供应商，不得参加同一合同项下的政府采购活动，否则其响应文件将被视为无效。为采购项目提供整体设计、规范编制或者项目管理、监理、检测等服务的供应商，不得再参加该采购项目的其他采购活动。</w:t>
      </w:r>
    </w:p>
    <w:p>
      <w:pPr>
        <w:pStyle w:val="22"/>
        <w:snapToGrid w:val="0"/>
        <w:spacing w:line="406" w:lineRule="exact"/>
        <w:ind w:firstLine="420"/>
        <w:rPr>
          <w:rFonts w:hAnsi="宋体"/>
        </w:rPr>
      </w:pPr>
      <w:r>
        <w:rPr>
          <w:rFonts w:hAnsi="宋体"/>
        </w:rPr>
        <w:t>2.</w:t>
      </w:r>
      <w:r>
        <w:rPr>
          <w:rFonts w:hint="eastAsia" w:hAnsi="宋体"/>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本中心将终止竞争性磋商采购活动，发布项目终止公告并说明原因，重新开展采购活动。</w:t>
      </w:r>
    </w:p>
    <w:p>
      <w:pPr>
        <w:spacing w:line="406" w:lineRule="exact"/>
        <w:ind w:firstLine="211" w:firstLineChars="100"/>
        <w:rPr>
          <w:b/>
          <w:bCs/>
        </w:rPr>
      </w:pPr>
      <w:bookmarkStart w:id="72" w:name="_Toc352700415"/>
      <w:bookmarkStart w:id="73" w:name="_Toc254970674"/>
      <w:bookmarkStart w:id="74" w:name="_Toc254970533"/>
      <w:bookmarkStart w:id="75" w:name="_Toc353785285"/>
      <w:r>
        <w:rPr>
          <w:rFonts w:hint="eastAsia"/>
          <w:b/>
          <w:bCs/>
        </w:rPr>
        <w:t>（九）询问、质疑和投诉</w:t>
      </w:r>
      <w:bookmarkEnd w:id="72"/>
      <w:bookmarkEnd w:id="73"/>
      <w:bookmarkEnd w:id="74"/>
      <w:bookmarkEnd w:id="75"/>
    </w:p>
    <w:p>
      <w:pPr>
        <w:pStyle w:val="22"/>
        <w:snapToGrid w:val="0"/>
        <w:spacing w:line="406" w:lineRule="exact"/>
        <w:ind w:firstLine="420"/>
        <w:rPr>
          <w:rFonts w:hAnsi="宋体"/>
          <w:bCs/>
        </w:rPr>
      </w:pPr>
      <w:r>
        <w:rPr>
          <w:rFonts w:hAnsi="宋体"/>
          <w:bCs/>
        </w:rPr>
        <w:t>1.</w:t>
      </w:r>
      <w:r>
        <w:rPr>
          <w:rFonts w:hint="eastAsia" w:ascii="Arial" w:hAnsi="Arial" w:cs="Arial"/>
          <w:kern w:val="0"/>
        </w:rPr>
        <w:t>供应商</w:t>
      </w:r>
      <w:r>
        <w:rPr>
          <w:rFonts w:ascii="Arial" w:hAnsi="Arial" w:cs="Arial"/>
          <w:kern w:val="0"/>
        </w:rPr>
        <w:t>对政府采购活动事项有疑问的，可以向采购人</w:t>
      </w:r>
      <w:r>
        <w:rPr>
          <w:rFonts w:hint="eastAsia" w:ascii="Arial" w:hAnsi="Arial" w:cs="Arial"/>
          <w:kern w:val="0"/>
        </w:rPr>
        <w:t>或本中心</w:t>
      </w:r>
      <w:r>
        <w:rPr>
          <w:rFonts w:ascii="Arial" w:hAnsi="Arial" w:cs="Arial"/>
          <w:kern w:val="0"/>
        </w:rPr>
        <w:t>提出询问，采购人</w:t>
      </w:r>
      <w:r>
        <w:rPr>
          <w:rFonts w:hint="eastAsia" w:ascii="Arial" w:hAnsi="Arial" w:cs="Arial"/>
          <w:kern w:val="0"/>
        </w:rPr>
        <w:t>或本中心当在3个工作日内对供应商依法提出的询问作出答复</w:t>
      </w:r>
      <w:r>
        <w:rPr>
          <w:rFonts w:ascii="Arial" w:hAnsi="Arial" w:cs="Arial"/>
          <w:kern w:val="0"/>
        </w:rPr>
        <w:t>，但答复的内容不得涉及商业秘密。</w:t>
      </w:r>
    </w:p>
    <w:p>
      <w:pPr>
        <w:pStyle w:val="22"/>
        <w:snapToGrid w:val="0"/>
        <w:spacing w:line="406" w:lineRule="exact"/>
        <w:ind w:firstLine="420"/>
        <w:rPr>
          <w:rFonts w:hAnsi="宋体"/>
          <w:bCs/>
        </w:rPr>
      </w:pPr>
      <w:r>
        <w:rPr>
          <w:rFonts w:hAnsi="宋体"/>
          <w:bCs/>
        </w:rPr>
        <w:t>2.</w:t>
      </w:r>
      <w:r>
        <w:rPr>
          <w:rFonts w:hint="eastAsia" w:hAnsi="宋体"/>
          <w:bCs/>
        </w:rPr>
        <w:t>供应商认为采购文件、采购过程或成交结果使自己的合法权益受到损害的，</w:t>
      </w:r>
      <w:r>
        <w:rPr>
          <w:rFonts w:hAnsi="宋体"/>
          <w:bCs/>
        </w:rPr>
        <w:t>可以在知道或者应知其权益受到损害之日起7个工作日内</w:t>
      </w:r>
      <w:r>
        <w:rPr>
          <w:rFonts w:hint="eastAsia" w:hAnsi="宋体"/>
          <w:bCs/>
        </w:rPr>
        <w:t>，</w:t>
      </w:r>
      <w:r>
        <w:rPr>
          <w:rFonts w:cs="Arial"/>
        </w:rPr>
        <w:t>以书面形式(</w:t>
      </w:r>
      <w:r>
        <w:rPr>
          <w:rFonts w:hint="eastAsia" w:cs="Arial"/>
        </w:rPr>
        <w:t>政采云平台</w:t>
      </w:r>
      <w:r>
        <w:rPr>
          <w:rFonts w:cs="Arial"/>
        </w:rPr>
        <w:t>)</w:t>
      </w:r>
      <w:r>
        <w:rPr>
          <w:rFonts w:hint="eastAsia" w:cs="Arial"/>
        </w:rPr>
        <w:t>向</w:t>
      </w:r>
      <w:r>
        <w:rPr>
          <w:rFonts w:cs="Arial"/>
        </w:rPr>
        <w:t>采购人、</w:t>
      </w:r>
      <w:r>
        <w:rPr>
          <w:rFonts w:hint="eastAsia" w:cs="Arial"/>
        </w:rPr>
        <w:t>本中心</w:t>
      </w:r>
      <w:r>
        <w:rPr>
          <w:rFonts w:cs="Arial"/>
        </w:rPr>
        <w:t>提出质疑。</w:t>
      </w:r>
      <w:r>
        <w:rPr>
          <w:rFonts w:hint="eastAsia" w:hAnsi="宋体"/>
          <w:bCs/>
        </w:rPr>
        <w:t>供应商必须在法定质疑期内一次性提出针对同一采购程序环节的质疑。</w:t>
      </w:r>
      <w:r>
        <w:rPr>
          <w:rFonts w:hint="eastAsia" w:hAnsi="宋体" w:cs="宋体"/>
        </w:rPr>
        <w:t>供应商应知其权益受到损害之日，是指：</w:t>
      </w:r>
    </w:p>
    <w:p>
      <w:pPr>
        <w:pStyle w:val="22"/>
        <w:adjustRightInd w:val="0"/>
        <w:snapToGrid w:val="0"/>
        <w:spacing w:line="406" w:lineRule="exact"/>
        <w:ind w:firstLine="308" w:firstLineChars="147"/>
        <w:rPr>
          <w:rFonts w:hAnsi="宋体"/>
          <w:bCs/>
        </w:rPr>
      </w:pPr>
      <w:r>
        <w:rPr>
          <w:rFonts w:hint="eastAsia" w:hAnsi="宋体"/>
          <w:bCs/>
        </w:rPr>
        <w:t>(</w:t>
      </w:r>
      <w:r>
        <w:rPr>
          <w:rFonts w:hAnsi="宋体"/>
          <w:bCs/>
        </w:rPr>
        <w:t>1)</w:t>
      </w:r>
      <w:r>
        <w:rPr>
          <w:rFonts w:hint="eastAsia" w:hAnsi="宋体"/>
          <w:bCs/>
        </w:rPr>
        <w:t>对采购文件提出质疑的，为获取采购文件之日；</w:t>
      </w:r>
    </w:p>
    <w:p>
      <w:pPr>
        <w:pStyle w:val="22"/>
        <w:adjustRightInd w:val="0"/>
        <w:snapToGrid w:val="0"/>
        <w:spacing w:line="406" w:lineRule="exact"/>
        <w:ind w:firstLine="308" w:firstLineChars="147"/>
        <w:rPr>
          <w:rFonts w:hAnsi="宋体"/>
          <w:bCs/>
        </w:rPr>
      </w:pPr>
      <w:r>
        <w:rPr>
          <w:rFonts w:hint="eastAsia" w:hAnsi="宋体"/>
          <w:bCs/>
        </w:rPr>
        <w:t>(</w:t>
      </w:r>
      <w:r>
        <w:rPr>
          <w:rFonts w:hAnsi="宋体"/>
          <w:bCs/>
        </w:rPr>
        <w:t>2)</w:t>
      </w:r>
      <w:r>
        <w:rPr>
          <w:rFonts w:hint="eastAsia" w:hAnsi="宋体"/>
          <w:bCs/>
        </w:rPr>
        <w:t>对采购过程提出质疑的，为各采购程序环节结束之日；</w:t>
      </w:r>
    </w:p>
    <w:p>
      <w:pPr>
        <w:widowControl/>
        <w:adjustRightInd w:val="0"/>
        <w:snapToGrid w:val="0"/>
        <w:spacing w:line="406" w:lineRule="exact"/>
        <w:ind w:firstLine="102" w:firstLineChars="49"/>
        <w:jc w:val="left"/>
        <w:rPr>
          <w:rFonts w:ascii="宋体" w:hAnsi="宋体" w:cs="Courier New"/>
          <w:bCs/>
          <w:szCs w:val="21"/>
        </w:rPr>
      </w:pPr>
      <w:r>
        <w:rPr>
          <w:rFonts w:hint="eastAsia" w:ascii="宋体" w:hAnsi="宋体" w:cs="Courier New"/>
          <w:bCs/>
          <w:szCs w:val="21"/>
        </w:rPr>
        <w:t xml:space="preserve">  (</w:t>
      </w:r>
      <w:r>
        <w:rPr>
          <w:rFonts w:ascii="宋体" w:hAnsi="宋体" w:cs="Courier New"/>
          <w:bCs/>
          <w:szCs w:val="21"/>
        </w:rPr>
        <w:t>3)</w:t>
      </w:r>
      <w:r>
        <w:rPr>
          <w:rFonts w:hint="eastAsia" w:ascii="宋体" w:hAnsi="宋体" w:cs="Courier New"/>
          <w:bCs/>
          <w:szCs w:val="21"/>
        </w:rPr>
        <w:t>对成交结果提出质疑的，为成交结果公告期限届满之日。</w:t>
      </w:r>
    </w:p>
    <w:p>
      <w:pPr>
        <w:widowControl/>
        <w:adjustRightInd w:val="0"/>
        <w:snapToGrid w:val="0"/>
        <w:spacing w:line="406" w:lineRule="exact"/>
        <w:ind w:firstLine="420"/>
        <w:jc w:val="left"/>
        <w:rPr>
          <w:rFonts w:ascii="宋体" w:hAnsi="宋体" w:cs="Courier New"/>
          <w:bCs/>
          <w:szCs w:val="21"/>
        </w:rPr>
      </w:pPr>
      <w:r>
        <w:rPr>
          <w:rFonts w:ascii="宋体" w:hAnsi="宋体" w:cs="Courier New"/>
          <w:bCs/>
          <w:szCs w:val="21"/>
        </w:rPr>
        <w:t>3.</w:t>
      </w:r>
      <w:r>
        <w:rPr>
          <w:rFonts w:hint="eastAsia" w:hAnsi="宋体"/>
        </w:rPr>
        <w:t>供应商对采购人、本中心质疑答复不满意或者采购人、本中心未在规定时间内作出答复的，可以在答复期满后十五个工作日内向同级采购监管部门投诉。</w:t>
      </w:r>
    </w:p>
    <w:p>
      <w:pPr>
        <w:pStyle w:val="22"/>
        <w:snapToGrid w:val="0"/>
        <w:spacing w:line="406" w:lineRule="exact"/>
        <w:ind w:firstLine="420"/>
        <w:rPr>
          <w:rFonts w:hAnsi="宋体"/>
          <w:bCs/>
        </w:rPr>
      </w:pPr>
      <w:r>
        <w:rPr>
          <w:rFonts w:hAnsi="宋体"/>
          <w:bCs/>
        </w:rPr>
        <w:t>4.</w:t>
      </w:r>
      <w:r>
        <w:rPr>
          <w:rFonts w:hint="eastAsia" w:hAnsi="宋体"/>
          <w:bCs/>
        </w:rPr>
        <w:t>质疑、投诉应当采用书面形式，质疑书、投诉书均应明确阐述采购文件、采购过程或成交结果中使自己合法权益受到损害的实质性内容，提供相关事实、依据和证据及其来源或线索，便于有关单位调查、答复和处理。（质疑、投诉不接受传真形式）</w:t>
      </w:r>
    </w:p>
    <w:p>
      <w:pPr>
        <w:spacing w:line="406" w:lineRule="exact"/>
        <w:ind w:firstLine="420"/>
      </w:pPr>
      <w:r>
        <w:rPr>
          <w:rFonts w:hint="eastAsia"/>
        </w:rPr>
        <w:t xml:space="preserve">质疑部门联系方式：钦州市政府采购中心  </w:t>
      </w:r>
      <w:r>
        <w:t xml:space="preserve"> </w:t>
      </w:r>
      <w:r>
        <w:rPr>
          <w:rFonts w:hint="eastAsia"/>
        </w:rPr>
        <w:t xml:space="preserve"> 0777-288600</w:t>
      </w:r>
      <w:r>
        <w:t>2</w:t>
      </w:r>
    </w:p>
    <w:p>
      <w:pPr>
        <w:spacing w:line="406" w:lineRule="exact"/>
        <w:ind w:firstLine="420"/>
      </w:pPr>
      <w:r>
        <w:rPr>
          <w:rFonts w:hint="eastAsia"/>
        </w:rPr>
        <w:t xml:space="preserve">采购监管部门联系方式：钦州市财政局      </w:t>
      </w:r>
      <w:r>
        <w:t>077</w:t>
      </w:r>
      <w:r>
        <w:rPr>
          <w:rFonts w:hint="eastAsia"/>
        </w:rPr>
        <w:t>7-2895258</w:t>
      </w:r>
    </w:p>
    <w:p>
      <w:pPr>
        <w:spacing w:line="406" w:lineRule="exact"/>
        <w:ind w:firstLine="211" w:firstLineChars="100"/>
        <w:rPr>
          <w:b/>
          <w:bCs/>
        </w:rPr>
      </w:pPr>
      <w:r>
        <w:rPr>
          <w:rFonts w:hint="eastAsia"/>
          <w:b/>
          <w:bCs/>
        </w:rPr>
        <w:t xml:space="preserve">（十）查询媒体 </w:t>
      </w:r>
      <w:r>
        <w:rPr>
          <w:rFonts w:hint="eastAsia"/>
        </w:rPr>
        <w:t>中国政府采购网、</w:t>
      </w:r>
      <w:r>
        <w:fldChar w:fldCharType="begin"/>
      </w:r>
      <w:r>
        <w:instrText xml:space="preserve"> HYPERLINK "http://zfcg.gxzf.gov.cn/" </w:instrText>
      </w:r>
      <w:r>
        <w:fldChar w:fldCharType="separate"/>
      </w:r>
      <w:r>
        <w:rPr>
          <w:rStyle w:val="46"/>
          <w:rFonts w:hint="eastAsia" w:hAnsi="宋体"/>
          <w:color w:val="auto"/>
          <w:u w:val="none"/>
        </w:rPr>
        <w:t>广西政府采购网</w:t>
      </w:r>
      <w:r>
        <w:rPr>
          <w:rStyle w:val="46"/>
          <w:rFonts w:hint="eastAsia" w:hAnsi="宋体"/>
          <w:color w:val="auto"/>
          <w:u w:val="none"/>
        </w:rPr>
        <w:fldChar w:fldCharType="end"/>
      </w:r>
      <w:r>
        <w:rPr>
          <w:rFonts w:hint="eastAsia" w:hAnsi="宋体"/>
        </w:rPr>
        <w:t>。</w:t>
      </w:r>
    </w:p>
    <w:p>
      <w:pPr>
        <w:pStyle w:val="4"/>
        <w:spacing w:line="406" w:lineRule="exact"/>
      </w:pPr>
      <w:bookmarkStart w:id="76" w:name="_Toc353785286"/>
      <w:bookmarkStart w:id="77" w:name="_Toc352700416"/>
      <w:r>
        <w:rPr>
          <w:rFonts w:hint="eastAsia"/>
        </w:rPr>
        <w:t>二、竞争性磋商采购文件</w:t>
      </w:r>
      <w:bookmarkEnd w:id="76"/>
      <w:bookmarkEnd w:id="77"/>
    </w:p>
    <w:p>
      <w:pPr>
        <w:spacing w:line="406" w:lineRule="exact"/>
        <w:ind w:firstLine="211" w:firstLineChars="100"/>
        <w:rPr>
          <w:b/>
          <w:bCs/>
        </w:rPr>
      </w:pPr>
      <w:bookmarkStart w:id="78" w:name="_Toc352700417"/>
      <w:bookmarkStart w:id="79" w:name="_Toc353785287"/>
      <w:r>
        <w:rPr>
          <w:rFonts w:hint="eastAsia"/>
          <w:b/>
          <w:bCs/>
        </w:rPr>
        <w:t>（一）竞争性磋商采购文件的组成</w:t>
      </w:r>
      <w:bookmarkEnd w:id="78"/>
      <w:bookmarkEnd w:id="79"/>
    </w:p>
    <w:p>
      <w:pPr>
        <w:pStyle w:val="22"/>
        <w:snapToGrid w:val="0"/>
        <w:spacing w:line="406" w:lineRule="exact"/>
        <w:ind w:firstLine="420" w:firstLineChars="200"/>
        <w:rPr>
          <w:rFonts w:hAnsi="宋体"/>
        </w:rPr>
      </w:pPr>
      <w:r>
        <w:rPr>
          <w:rFonts w:hint="eastAsia" w:hAnsi="宋体"/>
        </w:rPr>
        <w:t>第一章 竞争性磋商公告</w:t>
      </w:r>
    </w:p>
    <w:p>
      <w:pPr>
        <w:pStyle w:val="22"/>
        <w:snapToGrid w:val="0"/>
        <w:spacing w:line="406" w:lineRule="exact"/>
        <w:ind w:firstLine="420" w:firstLineChars="200"/>
        <w:rPr>
          <w:rFonts w:hAnsi="宋体"/>
        </w:rPr>
      </w:pPr>
      <w:r>
        <w:rPr>
          <w:rFonts w:hint="eastAsia" w:hAnsi="宋体"/>
        </w:rPr>
        <w:t>第二章 项目需求</w:t>
      </w:r>
    </w:p>
    <w:p>
      <w:pPr>
        <w:pStyle w:val="22"/>
        <w:snapToGrid w:val="0"/>
        <w:spacing w:line="406" w:lineRule="exact"/>
        <w:ind w:firstLine="420" w:firstLineChars="200"/>
        <w:rPr>
          <w:rFonts w:hAnsi="宋体"/>
        </w:rPr>
      </w:pPr>
      <w:r>
        <w:rPr>
          <w:rFonts w:hint="eastAsia" w:hAnsi="宋体"/>
        </w:rPr>
        <w:t>第三章 供应商须知</w:t>
      </w:r>
    </w:p>
    <w:p>
      <w:pPr>
        <w:pStyle w:val="22"/>
        <w:snapToGrid w:val="0"/>
        <w:spacing w:line="406" w:lineRule="exact"/>
        <w:ind w:firstLine="420" w:firstLineChars="200"/>
        <w:rPr>
          <w:rFonts w:hAnsi="宋体"/>
        </w:rPr>
      </w:pPr>
      <w:r>
        <w:rPr>
          <w:rFonts w:hint="eastAsia" w:hAnsi="宋体"/>
        </w:rPr>
        <w:t>第四章 评定标准及推荐原则</w:t>
      </w:r>
    </w:p>
    <w:p>
      <w:pPr>
        <w:pStyle w:val="22"/>
        <w:snapToGrid w:val="0"/>
        <w:spacing w:line="406" w:lineRule="exact"/>
        <w:ind w:firstLine="420" w:firstLineChars="200"/>
        <w:rPr>
          <w:rFonts w:hAnsi="宋体"/>
        </w:rPr>
      </w:pPr>
      <w:r>
        <w:rPr>
          <w:rFonts w:hint="eastAsia" w:hAnsi="宋体"/>
        </w:rPr>
        <w:t>第五章 合同文本</w:t>
      </w:r>
    </w:p>
    <w:p>
      <w:pPr>
        <w:pStyle w:val="22"/>
        <w:snapToGrid w:val="0"/>
        <w:spacing w:line="406" w:lineRule="exact"/>
        <w:ind w:firstLine="420" w:firstLineChars="200"/>
        <w:rPr>
          <w:rFonts w:hAnsi="宋体"/>
        </w:rPr>
      </w:pPr>
      <w:r>
        <w:rPr>
          <w:rFonts w:hint="eastAsia" w:hAnsi="宋体"/>
        </w:rPr>
        <w:t>第六章 响应文件格式</w:t>
      </w:r>
    </w:p>
    <w:p>
      <w:pPr>
        <w:spacing w:line="406" w:lineRule="exact"/>
        <w:ind w:firstLine="211" w:firstLineChars="100"/>
        <w:rPr>
          <w:b/>
          <w:bCs/>
        </w:rPr>
      </w:pPr>
      <w:bookmarkStart w:id="80" w:name="_Toc352700419"/>
      <w:bookmarkStart w:id="81" w:name="_Toc353785289"/>
      <w:r>
        <w:rPr>
          <w:rFonts w:hint="eastAsia"/>
          <w:b/>
          <w:bCs/>
        </w:rPr>
        <w:t>（二）竞争性磋商采购文件的澄清与修改</w:t>
      </w:r>
      <w:bookmarkEnd w:id="80"/>
      <w:bookmarkEnd w:id="81"/>
    </w:p>
    <w:p>
      <w:pPr>
        <w:pStyle w:val="22"/>
        <w:snapToGrid w:val="0"/>
        <w:spacing w:line="406" w:lineRule="exact"/>
        <w:ind w:firstLine="420"/>
        <w:jc w:val="left"/>
        <w:rPr>
          <w:rFonts w:hAnsi="宋体"/>
        </w:rPr>
      </w:pPr>
      <w:r>
        <w:rPr>
          <w:rFonts w:hint="eastAsia" w:hAnsi="宋体"/>
        </w:rPr>
        <w:t>1</w:t>
      </w:r>
      <w:r>
        <w:rPr>
          <w:rFonts w:hAnsi="宋体"/>
        </w:rPr>
        <w:t>.</w:t>
      </w:r>
      <w:r>
        <w:rPr>
          <w:rFonts w:hint="eastAsia" w:hAnsi="宋体"/>
        </w:rPr>
        <w:t>提交首次响应文件截止之日前，采购人、本中心或者磋商小组可以对已发出的磋商文件进行必要的澄清或者修改，澄清或者修改的内容作为磋商文件的组成部分。澄清或者修改应当在原公告发布媒体上发布澄清公告。澄清或者修改的内容可能影响响应文件编制的，采购人、本中心应当在提交首次响应文件截止至少</w:t>
      </w:r>
      <w:r>
        <w:rPr>
          <w:rFonts w:hAnsi="宋体"/>
        </w:rPr>
        <w:t>5</w:t>
      </w:r>
      <w:r>
        <w:rPr>
          <w:rFonts w:hint="eastAsia" w:hAnsi="宋体"/>
        </w:rPr>
        <w:t>日前，以书面形式通知所有依法获取磋商文件的供应商，不足</w:t>
      </w:r>
      <w:r>
        <w:rPr>
          <w:rFonts w:hAnsi="宋体"/>
        </w:rPr>
        <w:t>5</w:t>
      </w:r>
      <w:r>
        <w:rPr>
          <w:rFonts w:hint="eastAsia" w:hAnsi="宋体"/>
        </w:rPr>
        <w:t>日的，采购人、本中心应当顺延提交首次响应文件截止之日。</w:t>
      </w:r>
    </w:p>
    <w:p>
      <w:pPr>
        <w:pStyle w:val="22"/>
        <w:snapToGrid w:val="0"/>
        <w:spacing w:line="406" w:lineRule="exact"/>
        <w:ind w:firstLine="420"/>
        <w:jc w:val="left"/>
        <w:rPr>
          <w:rFonts w:hAnsi="宋体"/>
        </w:rPr>
      </w:pPr>
      <w:r>
        <w:rPr>
          <w:rFonts w:hint="eastAsia" w:hAnsi="宋体"/>
        </w:rPr>
        <w:t>2</w:t>
      </w:r>
      <w:r>
        <w:rPr>
          <w:rFonts w:hAnsi="宋体"/>
        </w:rPr>
        <w:t>.</w:t>
      </w:r>
      <w:r>
        <w:rPr>
          <w:rFonts w:hint="eastAsia" w:hAnsi="宋体"/>
        </w:rPr>
        <w:t>提供期限届满后，获取磋商文件的供应商不足3家的，本中心可以顺延提供期限，并予公告。</w:t>
      </w:r>
    </w:p>
    <w:p>
      <w:pPr>
        <w:pStyle w:val="4"/>
        <w:spacing w:line="406" w:lineRule="exact"/>
      </w:pPr>
      <w:bookmarkStart w:id="82" w:name="_三、响应文件"/>
      <w:bookmarkEnd w:id="82"/>
      <w:r>
        <w:rPr>
          <w:rFonts w:hint="eastAsia"/>
        </w:rPr>
        <w:t>三、响应文件</w:t>
      </w:r>
    </w:p>
    <w:p>
      <w:pPr>
        <w:spacing w:line="406" w:lineRule="exact"/>
        <w:ind w:firstLine="211" w:firstLineChars="100"/>
        <w:rPr>
          <w:rFonts w:hAnsi="宋体"/>
          <w:b/>
          <w:bCs/>
        </w:rPr>
      </w:pPr>
      <w:r>
        <w:rPr>
          <w:rFonts w:hint="eastAsia" w:hAnsi="宋体"/>
          <w:b/>
          <w:bCs/>
        </w:rPr>
        <w:t>（一）供应商的风险</w:t>
      </w:r>
    </w:p>
    <w:p>
      <w:pPr>
        <w:spacing w:line="406" w:lineRule="exact"/>
        <w:ind w:firstLine="420"/>
        <w:rPr>
          <w:rFonts w:hAnsi="宋体"/>
        </w:rPr>
      </w:pPr>
      <w:r>
        <w:rPr>
          <w:rFonts w:hAnsi="宋体"/>
        </w:rPr>
        <w:t>1.</w:t>
      </w:r>
      <w:r>
        <w:rPr>
          <w:rFonts w:hint="eastAsia" w:hAnsi="宋体"/>
        </w:rPr>
        <w:t>供应商应当按照磋商文件的要求编制响应文件，并对其提交的响应文件的真实性、合法性承担法律责任。</w:t>
      </w:r>
    </w:p>
    <w:p>
      <w:pPr>
        <w:spacing w:line="406" w:lineRule="exact"/>
        <w:ind w:firstLine="420"/>
        <w:rPr>
          <w:rFonts w:hAnsi="宋体"/>
          <w:color w:val="000000"/>
        </w:rPr>
      </w:pPr>
      <w:r>
        <w:rPr>
          <w:rFonts w:hAnsi="宋体"/>
          <w:color w:val="000000"/>
        </w:rPr>
        <w:t>2.</w:t>
      </w:r>
      <w:r>
        <w:rPr>
          <w:rFonts w:hint="eastAsia" w:hAnsi="宋体"/>
          <w:color w:val="000000"/>
        </w:rPr>
        <w:t>供应商在采购活动中提供任何虚假材料的，磋商小组将报财政部门查处。</w:t>
      </w:r>
    </w:p>
    <w:p>
      <w:pPr>
        <w:snapToGrid w:val="0"/>
        <w:spacing w:line="406" w:lineRule="exact"/>
        <w:ind w:firstLine="211" w:firstLineChars="100"/>
        <w:rPr>
          <w:rFonts w:ascii="宋体" w:hAnsi="宋体"/>
          <w:b/>
          <w:szCs w:val="21"/>
        </w:rPr>
      </w:pPr>
      <w:r>
        <w:rPr>
          <w:rFonts w:hint="eastAsia" w:hAnsi="宋体"/>
          <w:b/>
          <w:bCs/>
        </w:rPr>
        <w:t>（二）</w:t>
      </w:r>
      <w:r>
        <w:rPr>
          <w:rFonts w:hint="eastAsia" w:ascii="宋体" w:hAnsi="宋体"/>
          <w:b/>
          <w:szCs w:val="21"/>
        </w:rPr>
        <w:t>响应文件的组成</w:t>
      </w:r>
    </w:p>
    <w:p>
      <w:pPr>
        <w:snapToGrid w:val="0"/>
        <w:spacing w:line="406" w:lineRule="exact"/>
        <w:ind w:firstLine="422"/>
        <w:rPr>
          <w:rFonts w:ascii="宋体" w:hAnsi="宋体"/>
          <w:b/>
          <w:szCs w:val="21"/>
        </w:rPr>
      </w:pPr>
      <w:bookmarkStart w:id="83" w:name="_Hlk92285760"/>
      <w:r>
        <w:rPr>
          <w:rFonts w:ascii="宋体" w:hAnsi="宋体"/>
          <w:b/>
          <w:szCs w:val="21"/>
        </w:rPr>
        <w:t>1.</w:t>
      </w:r>
      <w:r>
        <w:rPr>
          <w:rFonts w:hint="eastAsia" w:ascii="宋体" w:hAnsi="宋体"/>
          <w:b/>
          <w:szCs w:val="21"/>
        </w:rPr>
        <w:t>资格文件：</w:t>
      </w:r>
    </w:p>
    <w:p>
      <w:pPr>
        <w:tabs>
          <w:tab w:val="left" w:pos="3870"/>
          <w:tab w:val="left" w:pos="4085"/>
        </w:tabs>
        <w:snapToGrid w:val="0"/>
        <w:spacing w:line="406" w:lineRule="exact"/>
        <w:ind w:firstLine="420"/>
        <w:rPr>
          <w:rFonts w:ascii="宋体" w:hAnsi="宋体"/>
          <w:color w:val="000000" w:themeColor="text1"/>
          <w:szCs w:val="21"/>
          <w14:textFill>
            <w14:solidFill>
              <w14:schemeClr w14:val="tx1"/>
            </w14:solidFill>
          </w14:textFill>
        </w:rPr>
      </w:pPr>
      <w:r>
        <w:rPr>
          <w:rFonts w:hint="eastAsia" w:ascii="宋体" w:hAnsi="宋体" w:cs="宋体"/>
          <w:bCs/>
          <w:kern w:val="0"/>
          <w:szCs w:val="21"/>
        </w:rPr>
        <w:t>★</w:t>
      </w:r>
      <w:bookmarkStart w:id="84" w:name="_Hlk90369149"/>
      <w:r>
        <w:rPr>
          <w:rFonts w:hint="eastAsia" w:ascii="宋体" w:hAnsi="宋体"/>
          <w:szCs w:val="21"/>
        </w:rPr>
        <w:t>(</w:t>
      </w:r>
      <w:r>
        <w:rPr>
          <w:rFonts w:ascii="宋体" w:hAnsi="宋体"/>
          <w:szCs w:val="21"/>
        </w:rPr>
        <w:t>1)</w:t>
      </w:r>
      <w:r>
        <w:rPr>
          <w:rFonts w:hint="eastAsia" w:ascii="宋体" w:hAnsi="宋体"/>
          <w:szCs w:val="21"/>
        </w:rPr>
        <w:t>法人或者其他组织的营业执照等证明</w:t>
      </w:r>
      <w:r>
        <w:rPr>
          <w:rFonts w:hint="eastAsia" w:ascii="宋体" w:hAnsi="宋体"/>
          <w:color w:val="000000" w:themeColor="text1"/>
          <w:szCs w:val="21"/>
          <w14:textFill>
            <w14:solidFill>
              <w14:schemeClr w14:val="tx1"/>
            </w14:solidFill>
          </w14:textFill>
        </w:rPr>
        <w:t>文件</w:t>
      </w:r>
    </w:p>
    <w:bookmarkEnd w:id="84"/>
    <w:p>
      <w:pPr>
        <w:tabs>
          <w:tab w:val="left" w:pos="3870"/>
          <w:tab w:val="left" w:pos="4085"/>
        </w:tabs>
        <w:snapToGrid w:val="0"/>
        <w:spacing w:line="406" w:lineRule="exact"/>
        <w:ind w:firstLine="420"/>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ascii="宋体" w:hAnsi="宋体" w:cs="宋体"/>
          <w:bCs/>
          <w:color w:val="000000" w:themeColor="text1"/>
          <w:kern w:val="0"/>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供应商具备参加政府采购活动条件的承诺书</w:t>
      </w:r>
      <w:r>
        <w:rPr>
          <w:rFonts w:hint="eastAsia" w:ascii="宋体" w:hAnsi="宋体" w:cs="宋体"/>
          <w:color w:val="000000" w:themeColor="text1"/>
          <w:szCs w:val="21"/>
          <w14:textFill>
            <w14:solidFill>
              <w14:schemeClr w14:val="tx1"/>
            </w14:solidFill>
          </w14:textFill>
        </w:rPr>
        <w:t>(格式见第六章</w:t>
      </w:r>
      <w:r>
        <w:rPr>
          <w:rFonts w:ascii="宋体" w:hAnsi="宋体" w:cs="宋体"/>
          <w:color w:val="000000" w:themeColor="text1"/>
          <w:szCs w:val="21"/>
          <w14:textFill>
            <w14:solidFill>
              <w14:schemeClr w14:val="tx1"/>
            </w14:solidFill>
          </w14:textFill>
        </w:rPr>
        <w:t>）</w:t>
      </w:r>
    </w:p>
    <w:p>
      <w:pPr>
        <w:tabs>
          <w:tab w:val="left" w:pos="3870"/>
          <w:tab w:val="left" w:pos="4085"/>
        </w:tabs>
        <w:snapToGrid w:val="0"/>
        <w:spacing w:line="406" w:lineRule="exact"/>
        <w:ind w:firstLine="420"/>
        <w:rPr>
          <w:rFonts w:hAnsi="宋体"/>
          <w:spacing w:val="-4"/>
        </w:rPr>
      </w:pPr>
      <w:r>
        <w:rPr>
          <w:rFonts w:hint="eastAsia" w:ascii="宋体" w:hAnsi="宋体" w:cs="宋体"/>
          <w:bCs/>
          <w:kern w:val="0"/>
          <w:szCs w:val="21"/>
        </w:rPr>
        <w:t>★(</w:t>
      </w:r>
      <w:r>
        <w:rPr>
          <w:rFonts w:ascii="宋体" w:hAnsi="宋体" w:cs="宋体"/>
          <w:bCs/>
          <w:kern w:val="0"/>
          <w:szCs w:val="21"/>
        </w:rPr>
        <w:t>3)</w:t>
      </w:r>
      <w:r>
        <w:rPr>
          <w:rFonts w:hint="eastAsia" w:hAnsi="宋体"/>
          <w:spacing w:val="-4"/>
        </w:rPr>
        <w:t>参加政府采购活动前3年内在经营活动中没有重大违法记录的书面声明</w:t>
      </w:r>
      <w:bookmarkStart w:id="85" w:name="_Hlk108683109"/>
      <w:r>
        <w:rPr>
          <w:rFonts w:hint="eastAsia" w:hAnsi="宋体"/>
          <w:spacing w:val="-4"/>
        </w:rPr>
        <w:t>(格式见第六章)</w:t>
      </w:r>
      <w:bookmarkEnd w:id="85"/>
    </w:p>
    <w:p>
      <w:pPr>
        <w:tabs>
          <w:tab w:val="left" w:pos="3870"/>
          <w:tab w:val="left" w:pos="4085"/>
        </w:tabs>
        <w:snapToGrid w:val="0"/>
        <w:spacing w:line="406" w:lineRule="exact"/>
        <w:ind w:firstLine="420"/>
        <w:rPr>
          <w:rFonts w:ascii="宋体" w:hAnsi="宋体" w:cs="宋体"/>
          <w:bCs/>
          <w:kern w:val="0"/>
          <w:szCs w:val="21"/>
        </w:rPr>
      </w:pPr>
      <w:bookmarkStart w:id="86" w:name="_Hlk111726071"/>
      <w:r>
        <w:rPr>
          <w:rFonts w:hint="eastAsia" w:ascii="宋体" w:hAnsi="宋体" w:cs="宋体"/>
          <w:bCs/>
          <w:kern w:val="0"/>
          <w:szCs w:val="21"/>
        </w:rPr>
        <w:t>★(</w:t>
      </w:r>
      <w:r>
        <w:rPr>
          <w:rFonts w:ascii="宋体" w:hAnsi="宋体" w:cs="宋体"/>
          <w:bCs/>
          <w:kern w:val="0"/>
          <w:szCs w:val="21"/>
        </w:rPr>
        <w:t>4)</w:t>
      </w:r>
      <w:r>
        <w:rPr>
          <w:rFonts w:hint="eastAsia"/>
        </w:rPr>
        <w:t>《</w:t>
      </w:r>
      <w:r>
        <w:rPr>
          <w:rFonts w:hint="eastAsia" w:ascii="宋体" w:hAnsi="宋体" w:cs="宋体"/>
          <w:bCs/>
          <w:kern w:val="0"/>
          <w:szCs w:val="21"/>
        </w:rPr>
        <w:t>中小企业声明函</w:t>
      </w:r>
      <w:r>
        <w:rPr>
          <w:rFonts w:hint="eastAsia"/>
        </w:rPr>
        <w:t>》</w:t>
      </w:r>
      <w:r>
        <w:rPr>
          <w:rFonts w:hint="eastAsia" w:ascii="宋体" w:hAnsi="宋体" w:cs="宋体"/>
          <w:bCs/>
          <w:kern w:val="0"/>
          <w:szCs w:val="21"/>
        </w:rPr>
        <w:t>(格式见第六章)</w:t>
      </w:r>
    </w:p>
    <w:bookmarkEnd w:id="86"/>
    <w:p>
      <w:pPr>
        <w:snapToGrid w:val="0"/>
        <w:spacing w:line="406" w:lineRule="exact"/>
        <w:ind w:firstLine="422"/>
        <w:rPr>
          <w:rFonts w:ascii="宋体" w:hAnsi="宋体"/>
          <w:b/>
          <w:szCs w:val="21"/>
        </w:rPr>
      </w:pPr>
      <w:r>
        <w:rPr>
          <w:rFonts w:ascii="宋体" w:hAnsi="宋体"/>
          <w:b/>
          <w:szCs w:val="21"/>
        </w:rPr>
        <w:t>2.</w:t>
      </w:r>
      <w:r>
        <w:rPr>
          <w:rFonts w:hint="eastAsia" w:ascii="宋体" w:hAnsi="宋体"/>
          <w:b/>
          <w:szCs w:val="21"/>
        </w:rPr>
        <w:t>商务技术文件：</w:t>
      </w:r>
    </w:p>
    <w:p>
      <w:pPr>
        <w:snapToGrid w:val="0"/>
        <w:spacing w:line="406" w:lineRule="exact"/>
        <w:ind w:firstLine="422" w:firstLineChars="200"/>
        <w:rPr>
          <w:rFonts w:ascii="宋体" w:hAnsi="宋体"/>
          <w:szCs w:val="21"/>
        </w:rPr>
      </w:pPr>
      <w:r>
        <w:rPr>
          <w:rFonts w:hint="eastAsia" w:ascii="宋体" w:hAnsi="宋体"/>
          <w:b/>
          <w:szCs w:val="21"/>
        </w:rPr>
        <w:t xml:space="preserve"> </w:t>
      </w:r>
      <w:r>
        <w:rPr>
          <w:rFonts w:ascii="宋体" w:hAnsi="宋体"/>
          <w:b/>
          <w:szCs w:val="21"/>
        </w:rPr>
        <w:t xml:space="preserve"> </w:t>
      </w:r>
      <w:r>
        <w:rPr>
          <w:rFonts w:ascii="宋体" w:hAnsi="宋体"/>
          <w:szCs w:val="21"/>
        </w:rPr>
        <w:t>(1)</w:t>
      </w:r>
      <w:bookmarkStart w:id="87" w:name="_Hlk97803518"/>
      <w:r>
        <w:rPr>
          <w:rFonts w:hint="eastAsia" w:ascii="宋体" w:hAnsi="宋体"/>
          <w:szCs w:val="21"/>
        </w:rPr>
        <w:t>磋商保证金票据或转账凭证扫描件(户名、账号及开户行等信息须清晰可辨）</w:t>
      </w:r>
      <w:bookmarkEnd w:id="87"/>
    </w:p>
    <w:p>
      <w:pPr>
        <w:snapToGrid w:val="0"/>
        <w:spacing w:line="406"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bCs/>
          <w:kern w:val="0"/>
          <w:szCs w:val="21"/>
        </w:rPr>
        <w:t>★</w:t>
      </w:r>
      <w:r>
        <w:rPr>
          <w:rFonts w:hint="eastAsia" w:ascii="宋体" w:hAnsi="宋体"/>
          <w:szCs w:val="21"/>
        </w:rPr>
        <w:t>(</w:t>
      </w:r>
      <w:r>
        <w:rPr>
          <w:rFonts w:ascii="宋体" w:hAnsi="宋体"/>
          <w:szCs w:val="21"/>
        </w:rPr>
        <w:t>2)</w:t>
      </w:r>
      <w:r>
        <w:rPr>
          <w:rFonts w:hint="eastAsia" w:ascii="宋体" w:hAnsi="宋体"/>
          <w:szCs w:val="21"/>
        </w:rPr>
        <w:t>磋商函（格式见第六章）</w:t>
      </w:r>
    </w:p>
    <w:p>
      <w:pPr>
        <w:tabs>
          <w:tab w:val="left" w:pos="3870"/>
          <w:tab w:val="left" w:pos="4085"/>
        </w:tabs>
        <w:snapToGrid w:val="0"/>
        <w:spacing w:line="406"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法定代表人身份证</w:t>
      </w:r>
    </w:p>
    <w:p>
      <w:pPr>
        <w:tabs>
          <w:tab w:val="left" w:pos="3870"/>
          <w:tab w:val="left" w:pos="4085"/>
        </w:tabs>
        <w:snapToGrid w:val="0"/>
        <w:spacing w:line="406"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法定代表人授权委托书和代理人身份证（委托代理时必须提供，格式见第六章）</w:t>
      </w:r>
    </w:p>
    <w:p>
      <w:pPr>
        <w:snapToGrid w:val="0"/>
        <w:spacing w:line="406" w:lineRule="exact"/>
        <w:ind w:firstLine="422" w:firstLineChars="20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hint="eastAsia" w:ascii="宋体" w:hAnsi="宋体"/>
          <w:color w:val="000000"/>
        </w:rPr>
        <w:t>(</w:t>
      </w:r>
      <w:r>
        <w:rPr>
          <w:rFonts w:ascii="宋体" w:hAnsi="宋体"/>
          <w:color w:val="000000" w:themeColor="text1"/>
          <w:szCs w:val="21"/>
          <w14:textFill>
            <w14:solidFill>
              <w14:schemeClr w14:val="tx1"/>
            </w14:solidFill>
          </w14:textFill>
        </w:rPr>
        <w:t>5</w:t>
      </w:r>
      <w:r>
        <w:rPr>
          <w:rFonts w:ascii="宋体" w:hAnsi="宋体"/>
          <w:color w:val="000000"/>
        </w:rPr>
        <w:t>)</w:t>
      </w:r>
      <w:r>
        <w:rPr>
          <w:rFonts w:ascii="宋体" w:hAnsi="宋体"/>
          <w:color w:val="000000" w:themeColor="text1"/>
          <w14:textFill>
            <w14:solidFill>
              <w14:schemeClr w14:val="tx1"/>
            </w14:solidFill>
          </w14:textFill>
        </w:rPr>
        <w:t>商务响应表(格式见第六章)</w:t>
      </w:r>
    </w:p>
    <w:p>
      <w:pPr>
        <w:snapToGrid w:val="0"/>
        <w:spacing w:line="406" w:lineRule="exact"/>
        <w:ind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w:t>
      </w:r>
      <w:r>
        <w:rPr>
          <w:rFonts w:ascii="宋体" w:hAnsi="宋体"/>
          <w:color w:val="000000"/>
        </w:rPr>
        <w:t>6</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技术响应表</w:t>
      </w:r>
      <w:r>
        <w:rPr>
          <w:rFonts w:ascii="宋体" w:hAnsi="宋体"/>
          <w:color w:val="000000" w:themeColor="text1"/>
          <w14:textFill>
            <w14:solidFill>
              <w14:schemeClr w14:val="tx1"/>
            </w14:solidFill>
          </w14:textFill>
        </w:rPr>
        <w:t>(格式见第六章)</w:t>
      </w:r>
    </w:p>
    <w:p>
      <w:pPr>
        <w:snapToGrid w:val="0"/>
        <w:spacing w:line="406" w:lineRule="exact"/>
        <w:ind w:firstLine="630" w:firstLineChars="300"/>
        <w:rPr>
          <w:rFonts w:ascii="宋体" w:hAnsi="宋体"/>
          <w:color w:val="000000"/>
        </w:rPr>
      </w:pPr>
      <w:r>
        <w:rPr>
          <w:rFonts w:hint="eastAsia" w:ascii="宋体" w:hAnsi="宋体"/>
          <w:color w:val="000000" w:themeColor="text1"/>
          <w:szCs w:val="21"/>
          <w14:textFill>
            <w14:solidFill>
              <w14:schemeClr w14:val="tx1"/>
            </w14:solidFill>
          </w14:textFill>
        </w:rPr>
        <w:t>(</w:t>
      </w:r>
      <w:r>
        <w:rPr>
          <w:rFonts w:hint="eastAsia" w:ascii="宋体" w:hAnsi="宋体"/>
          <w:color w:val="000000"/>
        </w:rPr>
        <w:t>7</w:t>
      </w:r>
      <w:r>
        <w:rPr>
          <w:rFonts w:ascii="宋体" w:hAnsi="宋体"/>
          <w:color w:val="000000" w:themeColor="text1"/>
          <w:szCs w:val="21"/>
          <w14:textFill>
            <w14:solidFill>
              <w14:schemeClr w14:val="tx1"/>
            </w14:solidFill>
          </w14:textFill>
        </w:rPr>
        <w:t>)</w:t>
      </w:r>
      <w:r>
        <w:rPr>
          <w:rFonts w:hint="eastAsia" w:ascii="宋体" w:hAnsi="宋体"/>
          <w:color w:val="000000"/>
          <w:szCs w:val="21"/>
        </w:rPr>
        <w:t>实施方案（</w:t>
      </w:r>
      <w:r>
        <w:rPr>
          <w:rFonts w:hint="eastAsia" w:ascii="宋体" w:hAnsi="宋体"/>
          <w:color w:val="000000"/>
          <w:szCs w:val="21"/>
          <w:lang w:val="en-US" w:eastAsia="zh-CN"/>
        </w:rPr>
        <w:t>包括</w:t>
      </w:r>
      <w:r>
        <w:rPr>
          <w:rFonts w:hint="eastAsia" w:ascii="宋体" w:hAnsi="Courier New" w:eastAsia="宋体" w:cs="Courier New"/>
          <w:bCs/>
          <w:color w:val="000000"/>
          <w:szCs w:val="21"/>
        </w:rPr>
        <w:t>①</w:t>
      </w:r>
      <w:r>
        <w:rPr>
          <w:rFonts w:hint="eastAsia" w:hAnsi="宋体"/>
        </w:rPr>
        <w:t>服务承诺</w:t>
      </w:r>
      <w:r>
        <w:rPr>
          <w:rFonts w:hint="eastAsia" w:hAnsi="宋体"/>
          <w:lang w:val="en-US" w:eastAsia="zh-CN"/>
        </w:rPr>
        <w:t>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w:t>
      </w:r>
      <w:r>
        <w:rPr>
          <w:rFonts w:hint="eastAsia" w:ascii="宋体" w:hAnsi="Courier New" w:eastAsia="宋体" w:cs="Courier New"/>
          <w:bCs/>
          <w:color w:val="000000"/>
          <w:szCs w:val="21"/>
        </w:rPr>
        <w:t>②</w:t>
      </w:r>
      <w:r>
        <w:rPr>
          <w:rFonts w:hint="eastAsia" w:hAnsi="宋体"/>
          <w:lang w:val="en-US" w:eastAsia="zh-CN"/>
        </w:rPr>
        <w:t>管理规章制度方案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w:t>
      </w:r>
      <w:r>
        <w:rPr>
          <w:rFonts w:hint="eastAsia" w:ascii="宋体" w:hAnsi="Courier New" w:eastAsia="宋体" w:cs="Courier New"/>
          <w:bCs/>
          <w:color w:val="000000"/>
          <w:szCs w:val="21"/>
        </w:rPr>
        <w:t>③</w:t>
      </w:r>
      <w:r>
        <w:rPr>
          <w:rFonts w:hint="eastAsia" w:hAnsi="宋体"/>
          <w:lang w:val="en-US" w:eastAsia="zh-CN"/>
        </w:rPr>
        <w:t>人员配置方案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w:t>
      </w:r>
      <w:r>
        <w:rPr>
          <w:rFonts w:hint="eastAsia" w:ascii="宋体" w:hAnsi="Courier New" w:eastAsia="宋体" w:cs="Courier New"/>
          <w:bCs/>
          <w:color w:val="000000"/>
          <w:szCs w:val="21"/>
        </w:rPr>
        <w:t>④</w:t>
      </w:r>
      <w:r>
        <w:rPr>
          <w:rFonts w:hint="eastAsia" w:hAnsi="宋体"/>
          <w:lang w:val="en-US" w:eastAsia="zh-CN"/>
        </w:rPr>
        <w:t>物资配置方案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w:t>
      </w:r>
      <w:r>
        <w:rPr>
          <w:rFonts w:hint="eastAsia" w:ascii="宋体" w:hAnsi="Courier New" w:eastAsia="宋体" w:cs="Courier New"/>
          <w:bCs/>
          <w:color w:val="000000"/>
          <w:szCs w:val="21"/>
        </w:rPr>
        <w:t>⑤</w:t>
      </w:r>
      <w:r>
        <w:rPr>
          <w:rFonts w:hint="eastAsia" w:hAnsi="宋体"/>
          <w:lang w:val="en-US" w:eastAsia="zh-CN"/>
        </w:rPr>
        <w:t>服务方案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w:t>
      </w:r>
      <w:r>
        <w:rPr>
          <w:rFonts w:hint="eastAsia" w:ascii="宋体" w:hAnsi="Courier New" w:eastAsia="宋体" w:cs="Courier New"/>
          <w:bCs/>
          <w:color w:val="000000"/>
          <w:szCs w:val="21"/>
          <w:lang w:val="en-US" w:eastAsia="zh-CN"/>
        </w:rPr>
        <w:fldChar w:fldCharType="begin"/>
      </w:r>
      <w:r>
        <w:rPr>
          <w:rFonts w:hint="eastAsia" w:ascii="宋体" w:hAnsi="Courier New" w:eastAsia="宋体" w:cs="Courier New"/>
          <w:bCs/>
          <w:color w:val="000000"/>
          <w:szCs w:val="21"/>
          <w:lang w:val="en-US" w:eastAsia="zh-CN"/>
        </w:rPr>
        <w:instrText xml:space="preserve"> = 6 \* GB3 \* MERGEFORMAT </w:instrText>
      </w:r>
      <w:r>
        <w:rPr>
          <w:rFonts w:hint="eastAsia" w:ascii="宋体" w:hAnsi="Courier New" w:eastAsia="宋体" w:cs="Courier New"/>
          <w:bCs/>
          <w:color w:val="000000"/>
          <w:szCs w:val="21"/>
          <w:lang w:val="en-US" w:eastAsia="zh-CN"/>
        </w:rPr>
        <w:fldChar w:fldCharType="separate"/>
      </w:r>
      <w:r>
        <w:t>⑥</w:t>
      </w:r>
      <w:r>
        <w:rPr>
          <w:rFonts w:hint="eastAsia" w:ascii="宋体" w:hAnsi="Courier New" w:eastAsia="宋体" w:cs="Courier New"/>
          <w:bCs/>
          <w:color w:val="000000"/>
          <w:szCs w:val="21"/>
          <w:lang w:val="en-US" w:eastAsia="zh-CN"/>
        </w:rPr>
        <w:fldChar w:fldCharType="end"/>
      </w:r>
      <w:r>
        <w:rPr>
          <w:rFonts w:hint="eastAsia" w:hAnsi="宋体"/>
          <w:lang w:val="en-US" w:eastAsia="zh-CN"/>
        </w:rPr>
        <w:t>应急预案</w:t>
      </w:r>
      <w:r>
        <w:rPr>
          <w:rFonts w:hint="eastAsia" w:ascii="宋体" w:hAnsi="Courier New" w:eastAsia="宋体" w:cs="Courier New"/>
          <w:bCs/>
          <w:color w:val="000000"/>
          <w:szCs w:val="21"/>
        </w:rPr>
        <w:t>响应</w:t>
      </w:r>
      <w:r>
        <w:rPr>
          <w:rFonts w:hint="eastAsia" w:ascii="宋体" w:hAnsi="宋体"/>
          <w:color w:val="000000"/>
          <w:szCs w:val="21"/>
        </w:rPr>
        <w:t>表</w:t>
      </w:r>
      <w:r>
        <w:rPr>
          <w:rFonts w:hint="eastAsia" w:ascii="宋体" w:hAnsi="宋体" w:eastAsia="宋体" w:cs="Times New Roman"/>
          <w:color w:val="000000"/>
          <w:szCs w:val="21"/>
          <w:lang w:val="en-US" w:eastAsia="zh-CN"/>
        </w:rPr>
        <w:t xml:space="preserve"> </w:t>
      </w:r>
      <w:r>
        <w:rPr>
          <w:rFonts w:hint="eastAsia" w:ascii="宋体" w:hAnsi="宋体" w:eastAsia="宋体" w:cs="Times New Roman"/>
          <w:color w:val="000000"/>
          <w:szCs w:val="21"/>
          <w:lang w:val="en-US" w:eastAsia="zh-CN"/>
        </w:rPr>
        <w:fldChar w:fldCharType="begin"/>
      </w:r>
      <w:r>
        <w:rPr>
          <w:rFonts w:hint="eastAsia" w:ascii="宋体" w:hAnsi="宋体" w:eastAsia="宋体" w:cs="Times New Roman"/>
          <w:color w:val="000000"/>
          <w:szCs w:val="21"/>
          <w:lang w:val="en-US" w:eastAsia="zh-CN"/>
        </w:rPr>
        <w:instrText xml:space="preserve"> = 7 \* GB3 \* MERGEFORMAT </w:instrText>
      </w:r>
      <w:r>
        <w:rPr>
          <w:rFonts w:hint="eastAsia" w:ascii="宋体" w:hAnsi="宋体" w:eastAsia="宋体" w:cs="Times New Roman"/>
          <w:color w:val="000000"/>
          <w:szCs w:val="21"/>
          <w:lang w:val="en-US" w:eastAsia="zh-CN"/>
        </w:rPr>
        <w:fldChar w:fldCharType="separate"/>
      </w:r>
      <w:r>
        <w:t>⑦</w:t>
      </w:r>
      <w:r>
        <w:rPr>
          <w:rFonts w:hint="eastAsia" w:ascii="宋体" w:hAnsi="宋体" w:eastAsia="宋体" w:cs="Times New Roman"/>
          <w:color w:val="000000"/>
          <w:szCs w:val="21"/>
          <w:lang w:val="en-US" w:eastAsia="zh-CN"/>
        </w:rPr>
        <w:fldChar w:fldCharType="end"/>
      </w:r>
      <w:r>
        <w:rPr>
          <w:rFonts w:hint="eastAsia" w:hAnsi="宋体"/>
          <w:lang w:val="en-US" w:eastAsia="zh-CN"/>
        </w:rPr>
        <w:t>物业维修服务方案</w:t>
      </w:r>
      <w:r>
        <w:rPr>
          <w:rFonts w:hint="eastAsia" w:ascii="宋体" w:hAnsi="Courier New" w:eastAsia="宋体" w:cs="Courier New"/>
          <w:bCs/>
          <w:color w:val="000000"/>
          <w:szCs w:val="21"/>
        </w:rPr>
        <w:t>响应表</w:t>
      </w:r>
      <w:r>
        <w:rPr>
          <w:rFonts w:hint="eastAsia" w:ascii="宋体" w:hAnsi="Courier New" w:eastAsia="宋体" w:cs="Courier New"/>
          <w:bCs/>
          <w:color w:val="000000"/>
          <w:szCs w:val="21"/>
          <w:lang w:val="en-US" w:eastAsia="zh-CN"/>
        </w:rPr>
        <w:t xml:space="preserve"> 供应商</w:t>
      </w:r>
      <w:r>
        <w:rPr>
          <w:rFonts w:hint="eastAsia" w:ascii="宋体" w:hAnsi="宋体"/>
          <w:color w:val="000000"/>
          <w:szCs w:val="21"/>
        </w:rPr>
        <w:t>根据项目需求及评分细则要求提供，格式</w:t>
      </w:r>
      <w:r>
        <w:rPr>
          <w:rFonts w:hint="eastAsia" w:ascii="宋体" w:hAnsi="宋体"/>
          <w:color w:val="000000"/>
          <w:szCs w:val="21"/>
          <w:lang w:val="en-US" w:eastAsia="zh-CN"/>
        </w:rPr>
        <w:t>见第六章或</w:t>
      </w:r>
      <w:r>
        <w:rPr>
          <w:rFonts w:hint="eastAsia" w:ascii="宋体" w:hAnsi="宋体"/>
          <w:color w:val="000000"/>
          <w:szCs w:val="21"/>
        </w:rPr>
        <w:t>自拟）</w:t>
      </w:r>
    </w:p>
    <w:p>
      <w:pPr>
        <w:snapToGrid w:val="0"/>
        <w:spacing w:line="406" w:lineRule="exact"/>
        <w:ind w:firstLine="630" w:firstLineChars="300"/>
        <w:rPr>
          <w:rFonts w:ascii="宋体" w:hAnsi="Courier New" w:cs="Courier New"/>
          <w:bCs/>
          <w:color w:val="000000" w:themeColor="text1"/>
          <w:szCs w:val="21"/>
          <w14:textFill>
            <w14:solidFill>
              <w14:schemeClr w14:val="tx1"/>
            </w14:solidFill>
          </w14:textFill>
        </w:rPr>
      </w:pPr>
      <w:r>
        <w:rPr>
          <w:rFonts w:hint="eastAsia" w:ascii="宋体" w:hAnsi="Courier New" w:cs="Courier New"/>
          <w:bCs/>
          <w:color w:val="000000" w:themeColor="text1"/>
          <w:szCs w:val="21"/>
          <w14:textFill>
            <w14:solidFill>
              <w14:schemeClr w14:val="tx1"/>
            </w14:solidFill>
          </w14:textFill>
        </w:rPr>
        <w:t>(8)供应商拟投入本项目的服务人员、设备情况（根据评分细则要求提供，格式自拟）</w:t>
      </w:r>
    </w:p>
    <w:p>
      <w:pPr>
        <w:snapToGrid w:val="0"/>
        <w:spacing w:line="406" w:lineRule="exact"/>
        <w:ind w:firstLine="630" w:firstLineChars="300"/>
        <w:rPr>
          <w:rFonts w:ascii="宋体" w:hAnsi="Courier New" w:cs="Courier New"/>
          <w:bCs/>
          <w:color w:val="000000" w:themeColor="text1"/>
          <w:szCs w:val="21"/>
          <w14:textFill>
            <w14:solidFill>
              <w14:schemeClr w14:val="tx1"/>
            </w14:solidFill>
          </w14:textFill>
        </w:rPr>
      </w:pPr>
      <w:r>
        <w:rPr>
          <w:rFonts w:hint="eastAsia" w:ascii="宋体" w:hAnsi="Courier New" w:cs="Courier New"/>
          <w:bCs/>
          <w:color w:val="000000" w:themeColor="text1"/>
          <w:szCs w:val="21"/>
          <w14:textFill>
            <w14:solidFill>
              <w14:schemeClr w14:val="tx1"/>
            </w14:solidFill>
          </w14:textFill>
        </w:rPr>
        <w:t>(9</w:t>
      </w:r>
      <w:r>
        <w:rPr>
          <w:rFonts w:ascii="宋体" w:hAnsi="Courier New" w:cs="Courier New"/>
          <w:bCs/>
          <w:color w:val="000000" w:themeColor="text1"/>
          <w:szCs w:val="21"/>
          <w14:textFill>
            <w14:solidFill>
              <w14:schemeClr w14:val="tx1"/>
            </w14:solidFill>
          </w14:textFill>
        </w:rPr>
        <w:t>)</w:t>
      </w:r>
      <w:r>
        <w:rPr>
          <w:rFonts w:hint="eastAsia" w:ascii="宋体" w:hAnsi="Courier New" w:cs="Courier New"/>
          <w:bCs/>
          <w:color w:val="000000" w:themeColor="text1"/>
          <w:szCs w:val="21"/>
          <w14:textFill>
            <w14:solidFill>
              <w14:schemeClr w14:val="tx1"/>
            </w14:solidFill>
          </w14:textFill>
        </w:rPr>
        <w:t>供应商获得相关认证、资质证书证明材料</w:t>
      </w:r>
    </w:p>
    <w:p>
      <w:pPr>
        <w:snapToGrid w:val="0"/>
        <w:spacing w:line="406" w:lineRule="exact"/>
        <w:ind w:firstLine="630" w:firstLineChars="300"/>
        <w:rPr>
          <w:rFonts w:ascii="宋体" w:hAnsi="Courier New" w:cs="Courier New"/>
          <w:bCs/>
          <w:color w:val="000000" w:themeColor="text1"/>
          <w:szCs w:val="21"/>
          <w14:textFill>
            <w14:solidFill>
              <w14:schemeClr w14:val="tx1"/>
            </w14:solidFill>
          </w14:textFill>
        </w:rPr>
      </w:pPr>
      <w:r>
        <w:rPr>
          <w:rFonts w:ascii="宋体" w:hAnsi="Courier New" w:cs="Courier New"/>
          <w:bCs/>
          <w:color w:val="000000" w:themeColor="text1"/>
          <w:szCs w:val="21"/>
          <w14:textFill>
            <w14:solidFill>
              <w14:schemeClr w14:val="tx1"/>
            </w14:solidFill>
          </w14:textFill>
        </w:rPr>
        <w:t>(1</w:t>
      </w:r>
      <w:r>
        <w:rPr>
          <w:rFonts w:hint="eastAsia" w:ascii="宋体" w:hAnsi="Courier New" w:cs="Courier New"/>
          <w:bCs/>
          <w:color w:val="000000" w:themeColor="text1"/>
          <w:szCs w:val="21"/>
          <w14:textFill>
            <w14:solidFill>
              <w14:schemeClr w14:val="tx1"/>
            </w14:solidFill>
          </w14:textFill>
        </w:rPr>
        <w:t>0</w:t>
      </w:r>
      <w:r>
        <w:rPr>
          <w:rFonts w:ascii="宋体" w:hAnsi="Courier New" w:cs="Courier New"/>
          <w:bCs/>
          <w:color w:val="000000" w:themeColor="text1"/>
          <w:szCs w:val="21"/>
          <w14:textFill>
            <w14:solidFill>
              <w14:schemeClr w14:val="tx1"/>
            </w14:solidFill>
          </w14:textFill>
        </w:rPr>
        <w:t>)</w:t>
      </w:r>
      <w:r>
        <w:rPr>
          <w:rFonts w:hint="eastAsia" w:ascii="宋体" w:hAnsi="Courier New" w:cs="Courier New"/>
          <w:bCs/>
          <w:color w:val="000000" w:themeColor="text1"/>
          <w:szCs w:val="21"/>
          <w14:textFill>
            <w14:solidFill>
              <w14:schemeClr w14:val="tx1"/>
            </w14:solidFill>
          </w14:textFill>
        </w:rPr>
        <w:t>供应商承担过的类似项目业绩证明材料</w:t>
      </w:r>
    </w:p>
    <w:p>
      <w:pPr>
        <w:snapToGrid w:val="0"/>
        <w:spacing w:line="406" w:lineRule="exact"/>
        <w:ind w:firstLine="630" w:firstLineChars="300"/>
        <w:rPr>
          <w:rFonts w:ascii="宋体" w:hAnsi="Courier New" w:cs="Courier New"/>
          <w:bCs/>
          <w:color w:val="000000" w:themeColor="text1"/>
          <w:szCs w:val="21"/>
          <w14:textFill>
            <w14:solidFill>
              <w14:schemeClr w14:val="tx1"/>
            </w14:solidFill>
          </w14:textFill>
        </w:rPr>
      </w:pPr>
      <w:r>
        <w:rPr>
          <w:rFonts w:hint="eastAsia" w:ascii="宋体" w:hAnsi="Courier New" w:cs="Courier New"/>
          <w:bCs/>
          <w:color w:val="000000" w:themeColor="text1"/>
          <w:szCs w:val="21"/>
          <w14:textFill>
            <w14:solidFill>
              <w14:schemeClr w14:val="tx1"/>
            </w14:solidFill>
          </w14:textFill>
        </w:rPr>
        <w:t>(11)</w:t>
      </w:r>
      <w:r>
        <w:rPr>
          <w:rFonts w:ascii="宋体" w:hAnsi="宋体" w:cs="宋体"/>
        </w:rPr>
        <w:t>供应商</w:t>
      </w:r>
      <w:r>
        <w:rPr>
          <w:rFonts w:hint="eastAsia" w:ascii="宋体" w:hAnsi="宋体" w:cs="宋体"/>
        </w:rPr>
        <w:t>获得相关奖项或荣誉证书证明材料</w:t>
      </w:r>
    </w:p>
    <w:p>
      <w:pPr>
        <w:snapToGrid w:val="0"/>
        <w:spacing w:line="406"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供应商认为有必要提供的声明或材料</w:t>
      </w:r>
    </w:p>
    <w:p>
      <w:pPr>
        <w:snapToGrid w:val="0"/>
        <w:spacing w:line="406" w:lineRule="exact"/>
        <w:ind w:firstLine="422"/>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3.</w:t>
      </w:r>
      <w:r>
        <w:rPr>
          <w:rFonts w:hint="eastAsia" w:ascii="宋体" w:hAnsi="宋体"/>
          <w:b/>
          <w:color w:val="000000" w:themeColor="text1"/>
          <w:szCs w:val="21"/>
          <w14:textFill>
            <w14:solidFill>
              <w14:schemeClr w14:val="tx1"/>
            </w14:solidFill>
          </w14:textFill>
        </w:rPr>
        <w:t>报价文件</w:t>
      </w:r>
    </w:p>
    <w:p>
      <w:pPr>
        <w:snapToGrid w:val="0"/>
        <w:spacing w:line="406" w:lineRule="exact"/>
        <w:rPr>
          <w:rFonts w:ascii="宋体" w:hAnsi="宋体"/>
          <w:bCs/>
          <w:szCs w:val="21"/>
        </w:rPr>
      </w:pPr>
      <w:bookmarkStart w:id="88" w:name="_Hlk92265738"/>
      <w:r>
        <w:rPr>
          <w:rFonts w:hint="eastAsia" w:ascii="宋体" w:hAnsi="宋体"/>
          <w:bCs/>
          <w:szCs w:val="21"/>
        </w:rPr>
        <w:t xml:space="preserve"> </w:t>
      </w:r>
      <w:r>
        <w:rPr>
          <w:rFonts w:ascii="宋体" w:hAnsi="宋体"/>
          <w:bCs/>
          <w:szCs w:val="21"/>
        </w:rPr>
        <w:t xml:space="preserve">   </w:t>
      </w:r>
      <w:r>
        <w:rPr>
          <w:rFonts w:hint="eastAsia" w:ascii="宋体" w:hAnsi="宋体"/>
          <w:bCs/>
          <w:szCs w:val="21"/>
        </w:rPr>
        <w:t>★报价明细表</w:t>
      </w:r>
      <w:bookmarkEnd w:id="88"/>
      <w:r>
        <w:rPr>
          <w:rFonts w:hint="eastAsia" w:ascii="宋体" w:hAnsi="宋体"/>
          <w:bCs/>
          <w:szCs w:val="21"/>
        </w:rPr>
        <w:t>(格式见第六章)。</w:t>
      </w:r>
    </w:p>
    <w:bookmarkEnd w:id="83"/>
    <w:p>
      <w:pPr>
        <w:snapToGrid w:val="0"/>
        <w:spacing w:line="406" w:lineRule="exact"/>
        <w:ind w:firstLine="422"/>
        <w:rPr>
          <w:rFonts w:ascii="宋体" w:hAnsi="宋体"/>
          <w:szCs w:val="21"/>
        </w:rPr>
      </w:pPr>
      <w:r>
        <w:rPr>
          <w:rFonts w:hint="eastAsia" w:ascii="宋体" w:hAnsi="宋体"/>
          <w:szCs w:val="21"/>
        </w:rPr>
        <w:t>注：①标注★号的材料均为必须提供的材料须由供应商加盖公章，授权委托书必须由法定代表人签名，否则视为无效响应文件。</w:t>
      </w:r>
    </w:p>
    <w:p>
      <w:pPr>
        <w:spacing w:line="406" w:lineRule="exact"/>
        <w:ind w:firstLine="210" w:firstLineChars="100"/>
        <w:rPr>
          <w:rFonts w:ascii="宋体" w:hAnsi="宋体" w:cs="Courier New"/>
          <w:szCs w:val="21"/>
        </w:rPr>
      </w:pPr>
      <w:bookmarkStart w:id="89" w:name="_Hlk90906323"/>
      <w:r>
        <w:rPr>
          <w:rFonts w:hint="eastAsia" w:ascii="宋体" w:hAnsi="宋体"/>
          <w:szCs w:val="21"/>
        </w:rPr>
        <w:t>②</w:t>
      </w:r>
      <w:bookmarkStart w:id="90" w:name="_Hlk111726335"/>
      <w:r>
        <w:rPr>
          <w:rFonts w:hint="eastAsia" w:ascii="宋体" w:hAnsi="宋体" w:cs="Courier New"/>
          <w:szCs w:val="21"/>
        </w:rPr>
        <w:t>供应商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供应商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见第六章），并对声明的真实性负责。</w:t>
      </w:r>
      <w:bookmarkEnd w:id="90"/>
    </w:p>
    <w:p>
      <w:pPr>
        <w:spacing w:line="406" w:lineRule="exact"/>
        <w:ind w:firstLine="211" w:firstLineChars="100"/>
        <w:rPr>
          <w:rFonts w:ascii="宋体" w:hAnsi="宋体"/>
          <w:b/>
          <w:bCs/>
          <w:szCs w:val="21"/>
        </w:rPr>
      </w:pPr>
      <w:r>
        <w:rPr>
          <w:rFonts w:hint="eastAsia" w:ascii="宋体" w:hAnsi="宋体"/>
          <w:b/>
          <w:szCs w:val="21"/>
        </w:rPr>
        <w:t>（三）</w:t>
      </w:r>
      <w:bookmarkStart w:id="91" w:name="_Toc254970537"/>
      <w:bookmarkStart w:id="92" w:name="_Toc254970678"/>
      <w:bookmarkStart w:id="93" w:name="_Toc353785292"/>
      <w:bookmarkStart w:id="94" w:name="_Toc352700422"/>
      <w:r>
        <w:rPr>
          <w:rFonts w:hint="eastAsia" w:ascii="宋体" w:hAnsi="宋体"/>
          <w:b/>
          <w:bCs/>
          <w:szCs w:val="21"/>
        </w:rPr>
        <w:t>响应文件的编制、签署及加密</w:t>
      </w:r>
    </w:p>
    <w:p>
      <w:pPr>
        <w:spacing w:line="406" w:lineRule="exact"/>
        <w:ind w:firstLine="420"/>
        <w:rPr>
          <w:rFonts w:ascii="宋体" w:hAnsi="宋体"/>
          <w:szCs w:val="21"/>
        </w:rPr>
      </w:pPr>
      <w:r>
        <w:rPr>
          <w:rFonts w:ascii="宋体" w:hAnsi="宋体"/>
          <w:szCs w:val="21"/>
        </w:rPr>
        <w:t>1.</w:t>
      </w:r>
      <w:r>
        <w:rPr>
          <w:rFonts w:hint="eastAsia" w:ascii="宋体" w:hAnsi="宋体"/>
          <w:szCs w:val="21"/>
        </w:rPr>
        <w:t>供应商应认真阅读、并充分理解采购文件的全部内容（包括所有的补充、修改内容），承诺履行其各项条款的规定并按要求编制，</w:t>
      </w:r>
      <w:r>
        <w:rPr>
          <w:rFonts w:hint="eastAsia" w:ascii="宋体" w:hAnsi="宋体"/>
          <w:color w:val="000000" w:themeColor="text1"/>
          <w:szCs w:val="21"/>
          <w14:textFill>
            <w14:solidFill>
              <w14:schemeClr w14:val="tx1"/>
            </w14:solidFill>
          </w14:textFill>
        </w:rPr>
        <w:t>响应文件应为电子文件或扫描件(样品除外)。</w:t>
      </w:r>
    </w:p>
    <w:p>
      <w:pPr>
        <w:spacing w:line="406" w:lineRule="exact"/>
        <w:ind w:firstLine="420"/>
        <w:rPr>
          <w:rFonts w:ascii="宋体" w:hAnsi="宋体"/>
          <w:szCs w:val="21"/>
        </w:rPr>
      </w:pPr>
      <w:r>
        <w:rPr>
          <w:rFonts w:ascii="宋体" w:hAnsi="宋体"/>
          <w:szCs w:val="21"/>
        </w:rPr>
        <w:t>2.</w:t>
      </w:r>
      <w:r>
        <w:rPr>
          <w:rFonts w:hint="eastAsia" w:ascii="宋体" w:hAnsi="宋体"/>
          <w:szCs w:val="21"/>
        </w:rPr>
        <w:t>供应商应通过广西政府采购云平台客户端编制加密响应文件。</w:t>
      </w:r>
    </w:p>
    <w:p>
      <w:pPr>
        <w:spacing w:line="406" w:lineRule="exact"/>
        <w:ind w:firstLine="420"/>
        <w:rPr>
          <w:rFonts w:ascii="宋体" w:hAnsi="宋体"/>
          <w:szCs w:val="21"/>
        </w:rPr>
      </w:pPr>
      <w:r>
        <w:rPr>
          <w:rFonts w:ascii="宋体" w:hAnsi="宋体"/>
          <w:szCs w:val="21"/>
        </w:rPr>
        <w:t>3.</w:t>
      </w:r>
      <w:r>
        <w:rPr>
          <w:rFonts w:hint="eastAsia" w:ascii="宋体" w:hAnsi="宋体"/>
          <w:szCs w:val="21"/>
        </w:rPr>
        <w:t>响应文件由资格文件、商务技术文件和报价文件组成，供应商应按规定的顺序编制并标注页码、准确设置评审关联点，未设置或未正确设置关联点而导致响应文件被误读、漏读或者查找不到相关响应内容的责任和后果由供应商承担。</w:t>
      </w:r>
    </w:p>
    <w:p>
      <w:pPr>
        <w:spacing w:line="406" w:lineRule="exact"/>
        <w:rPr>
          <w:rFonts w:ascii="宋体" w:hAnsi="宋体"/>
          <w:b/>
          <w:bCs/>
          <w:szCs w:val="21"/>
        </w:rPr>
      </w:pPr>
      <w:r>
        <w:rPr>
          <w:rFonts w:ascii="宋体" w:hAnsi="宋体"/>
          <w:szCs w:val="21"/>
        </w:rPr>
        <w:tab/>
      </w:r>
      <w:r>
        <w:rPr>
          <w:rFonts w:ascii="宋体" w:hAnsi="宋体"/>
          <w:b/>
          <w:bCs/>
          <w:szCs w:val="21"/>
        </w:rPr>
        <w:t>4.</w:t>
      </w:r>
      <w:r>
        <w:rPr>
          <w:rFonts w:hint="eastAsia" w:ascii="宋体" w:hAnsi="宋体"/>
          <w:b/>
          <w:bCs/>
          <w:szCs w:val="21"/>
        </w:rPr>
        <w:t>响应文件由供应商在规定位置由法定代表人或授权委托人签名（可为电子签名）、填写供应商名称并加盖公章(简称“盖章”，可为电子公章)，供应商名称应写全称。</w:t>
      </w:r>
    </w:p>
    <w:p>
      <w:pPr>
        <w:snapToGrid w:val="0"/>
        <w:spacing w:line="406" w:lineRule="exact"/>
        <w:ind w:firstLine="210" w:firstLineChars="100"/>
        <w:rPr>
          <w:rFonts w:ascii="宋体" w:hAnsi="宋体"/>
          <w:b/>
          <w:bCs/>
          <w:szCs w:val="21"/>
        </w:rPr>
      </w:pPr>
      <w:r>
        <w:rPr>
          <w:rFonts w:ascii="宋体" w:hAnsi="宋体"/>
          <w:szCs w:val="21"/>
        </w:rPr>
        <w:tab/>
      </w:r>
      <w:r>
        <w:rPr>
          <w:rFonts w:ascii="宋体" w:hAnsi="宋体"/>
          <w:szCs w:val="21"/>
        </w:rPr>
        <w:t>5.</w:t>
      </w:r>
      <w:r>
        <w:rPr>
          <w:rFonts w:hint="eastAsia" w:ascii="宋体" w:hAnsi="宋体"/>
          <w:szCs w:val="21"/>
        </w:rPr>
        <w:t>响应文件内容不完整、编排混乱、不清晰等原因导致被误读或漏读的责任和后果由供应商承担。</w:t>
      </w:r>
    </w:p>
    <w:bookmarkEnd w:id="89"/>
    <w:p>
      <w:pPr>
        <w:spacing w:line="406" w:lineRule="exact"/>
        <w:ind w:firstLine="211" w:firstLineChars="100"/>
      </w:pPr>
      <w:r>
        <w:rPr>
          <w:rFonts w:hint="eastAsia"/>
          <w:b/>
          <w:bCs/>
        </w:rPr>
        <w:t>（四）响应文件的语言及计量</w:t>
      </w:r>
      <w:bookmarkEnd w:id="91"/>
      <w:bookmarkEnd w:id="92"/>
      <w:bookmarkEnd w:id="93"/>
      <w:bookmarkEnd w:id="94"/>
    </w:p>
    <w:p>
      <w:pPr>
        <w:snapToGrid w:val="0"/>
        <w:spacing w:line="406" w:lineRule="exact"/>
        <w:ind w:firstLine="420"/>
        <w:rPr>
          <w:rFonts w:ascii="宋体" w:hAnsi="宋体"/>
          <w:szCs w:val="21"/>
        </w:rPr>
      </w:pPr>
      <w:r>
        <w:rPr>
          <w:rFonts w:ascii="宋体" w:hAnsi="宋体"/>
          <w:szCs w:val="21"/>
        </w:rPr>
        <w:t>1.</w:t>
      </w:r>
      <w:r>
        <w:rPr>
          <w:rFonts w:hint="eastAsia" w:ascii="宋体" w:hAnsi="宋体"/>
          <w:szCs w:val="21"/>
        </w:rPr>
        <w:t>响应文件以及供应商与采购人、本中心就有关事宜的所有来往函电，均应以中文汉语书写。除签名、盖章、专用名称等特殊情形外，以中文汉语以外的文字表述的视为无效文件。</w:t>
      </w:r>
    </w:p>
    <w:p>
      <w:pPr>
        <w:snapToGrid w:val="0"/>
        <w:spacing w:line="406" w:lineRule="exact"/>
        <w:ind w:firstLine="420"/>
        <w:rPr>
          <w:rFonts w:ascii="宋体" w:hAnsi="宋体"/>
          <w:szCs w:val="21"/>
        </w:rPr>
      </w:pPr>
      <w:r>
        <w:rPr>
          <w:rFonts w:ascii="宋体" w:hAnsi="宋体"/>
          <w:szCs w:val="21"/>
        </w:rPr>
        <w:t>2.响应</w:t>
      </w:r>
      <w:r>
        <w:rPr>
          <w:rFonts w:hint="eastAsia" w:ascii="宋体" w:hAnsi="宋体"/>
          <w:szCs w:val="21"/>
        </w:rPr>
        <w:t>文件的计量单位，采购文件已有明确规定的，使用采购文件规定的计量单位；采购文件没有规定的，应采用中华人民共和国法定计量单位（货币单位：人民币元），否则视为无效响应文件。</w:t>
      </w:r>
    </w:p>
    <w:p>
      <w:pPr>
        <w:pStyle w:val="4"/>
        <w:spacing w:before="0" w:after="0" w:line="406" w:lineRule="exact"/>
        <w:ind w:firstLine="211" w:firstLineChars="100"/>
        <w:rPr>
          <w:rFonts w:ascii="宋体" w:hAnsi="宋体" w:eastAsia="宋体"/>
          <w:sz w:val="21"/>
          <w:szCs w:val="21"/>
        </w:rPr>
      </w:pPr>
      <w:bookmarkStart w:id="95" w:name="_（五）报价"/>
      <w:bookmarkEnd w:id="95"/>
      <w:bookmarkStart w:id="96" w:name="_Toc254970538"/>
      <w:bookmarkStart w:id="97" w:name="_Toc353785293"/>
      <w:bookmarkStart w:id="98" w:name="_Toc254970679"/>
      <w:bookmarkStart w:id="99" w:name="_Toc352700423"/>
      <w:r>
        <w:rPr>
          <w:rFonts w:hint="eastAsia" w:ascii="宋体" w:hAnsi="宋体" w:eastAsia="宋体"/>
          <w:sz w:val="21"/>
          <w:szCs w:val="21"/>
        </w:rPr>
        <w:t>（五）报价</w:t>
      </w:r>
      <w:bookmarkEnd w:id="96"/>
      <w:bookmarkEnd w:id="97"/>
      <w:bookmarkEnd w:id="98"/>
      <w:bookmarkEnd w:id="99"/>
    </w:p>
    <w:p>
      <w:pPr>
        <w:pStyle w:val="22"/>
        <w:snapToGrid w:val="0"/>
        <w:spacing w:line="406" w:lineRule="exact"/>
        <w:ind w:firstLine="420"/>
        <w:rPr>
          <w:rFonts w:hAnsi="宋体"/>
        </w:rPr>
      </w:pPr>
      <w:r>
        <w:rPr>
          <w:rFonts w:hAnsi="宋体"/>
        </w:rPr>
        <w:t>1.</w:t>
      </w:r>
      <w:r>
        <w:rPr>
          <w:rFonts w:hint="eastAsia" w:hAnsi="宋体"/>
        </w:rPr>
        <w:t>采购文件中未列明，而供应商认为必需的费用也须列入总报价。在合同实施时，采购人将不予支付成交供应商没有列入总报价的项目费用，并认为此项费用已包含在总报价中。</w:t>
      </w:r>
    </w:p>
    <w:p>
      <w:pPr>
        <w:pStyle w:val="22"/>
        <w:snapToGrid w:val="0"/>
        <w:spacing w:line="406" w:lineRule="exact"/>
        <w:ind w:firstLine="420"/>
      </w:pPr>
      <w:r>
        <w:rPr>
          <w:rFonts w:hAnsi="宋体"/>
        </w:rPr>
        <w:t>2</w:t>
      </w:r>
      <w:r>
        <w:rPr>
          <w:rFonts w:hint="eastAsia" w:hAnsi="宋体"/>
        </w:rPr>
        <w:t>供应商</w:t>
      </w:r>
      <w:r>
        <w:rPr>
          <w:rFonts w:hint="eastAsia"/>
        </w:rPr>
        <w:t>必须就《项目需求》货物和服务的内容作完整唯一报价</w:t>
      </w:r>
      <w:r>
        <w:rPr>
          <w:rFonts w:hint="eastAsia" w:hAnsi="宋体"/>
        </w:rPr>
        <w:t>，有选择的或有条件的报价视为无效响应文件。</w:t>
      </w:r>
    </w:p>
    <w:p>
      <w:pPr>
        <w:tabs>
          <w:tab w:val="left" w:pos="525"/>
        </w:tabs>
        <w:snapToGrid w:val="0"/>
        <w:spacing w:line="406" w:lineRule="exact"/>
        <w:ind w:firstLine="420"/>
        <w:rPr>
          <w:rFonts w:ascii="宋体" w:hAnsi="宋体"/>
          <w:szCs w:val="21"/>
        </w:rPr>
      </w:pPr>
      <w:r>
        <w:rPr>
          <w:rFonts w:ascii="宋体" w:hAnsi="宋体"/>
          <w:szCs w:val="21"/>
        </w:rPr>
        <w:t>3.</w:t>
      </w:r>
      <w:r>
        <w:rPr>
          <w:rFonts w:hint="eastAsia" w:ascii="宋体" w:hAnsi="宋体"/>
          <w:szCs w:val="21"/>
        </w:rPr>
        <w:t>供应商的报价必须按采购文件或政采云平台规定的格式填写，并在规定时间内提交最后报价。</w:t>
      </w:r>
    </w:p>
    <w:p>
      <w:pPr>
        <w:tabs>
          <w:tab w:val="left" w:pos="525"/>
        </w:tabs>
        <w:snapToGrid w:val="0"/>
        <w:spacing w:line="406" w:lineRule="exact"/>
        <w:ind w:firstLine="420"/>
        <w:rPr>
          <w:rFonts w:ascii="宋体" w:hAnsi="宋体"/>
          <w:szCs w:val="21"/>
        </w:rPr>
      </w:pPr>
      <w:r>
        <w:rPr>
          <w:rFonts w:ascii="宋体" w:hAnsi="宋体"/>
          <w:szCs w:val="21"/>
        </w:rPr>
        <w:t>4.</w:t>
      </w:r>
      <w:r>
        <w:rPr>
          <w:rFonts w:hint="eastAsia" w:ascii="宋体" w:hAnsi="宋体"/>
          <w:szCs w:val="21"/>
        </w:rPr>
        <w:t>最后报价是供应商响应文件的有效组成部分。</w:t>
      </w:r>
    </w:p>
    <w:p>
      <w:pPr>
        <w:pStyle w:val="4"/>
        <w:spacing w:before="0" w:after="0" w:line="406" w:lineRule="exact"/>
        <w:ind w:firstLine="211" w:firstLineChars="100"/>
        <w:rPr>
          <w:rFonts w:ascii="宋体" w:hAnsi="宋体" w:eastAsia="宋体"/>
          <w:sz w:val="21"/>
          <w:szCs w:val="21"/>
        </w:rPr>
      </w:pPr>
      <w:bookmarkStart w:id="100" w:name="_（六）磋商保证金"/>
      <w:bookmarkEnd w:id="100"/>
      <w:bookmarkStart w:id="101" w:name="_Toc352700425"/>
      <w:bookmarkStart w:id="102" w:name="_Toc254970541"/>
      <w:bookmarkStart w:id="103" w:name="_Toc353785295"/>
      <w:bookmarkStart w:id="104" w:name="_Toc254970682"/>
      <w:r>
        <w:rPr>
          <w:rFonts w:hint="eastAsia" w:ascii="宋体" w:hAnsi="宋体" w:eastAsia="宋体"/>
          <w:sz w:val="21"/>
          <w:szCs w:val="21"/>
        </w:rPr>
        <w:t>（六）磋商保证金</w:t>
      </w:r>
      <w:bookmarkEnd w:id="101"/>
      <w:bookmarkEnd w:id="102"/>
      <w:bookmarkEnd w:id="103"/>
      <w:bookmarkEnd w:id="104"/>
    </w:p>
    <w:p>
      <w:pPr>
        <w:snapToGrid w:val="0"/>
        <w:spacing w:line="406" w:lineRule="exact"/>
        <w:ind w:firstLine="420" w:firstLineChars="200"/>
        <w:rPr>
          <w:rFonts w:ascii="宋体" w:hAnsi="宋体"/>
          <w:szCs w:val="21"/>
        </w:rPr>
      </w:pPr>
      <w:bookmarkStart w:id="105" w:name="_Toc353785296"/>
      <w:bookmarkStart w:id="106" w:name="_Toc352700426"/>
      <w:bookmarkStart w:id="107" w:name="_Toc254970683"/>
      <w:bookmarkStart w:id="108" w:name="_Toc254970542"/>
      <w:r>
        <w:rPr>
          <w:rFonts w:hint="eastAsia" w:ascii="宋体" w:hAnsi="宋体"/>
          <w:szCs w:val="21"/>
        </w:rPr>
        <w:t>1</w:t>
      </w:r>
      <w:r>
        <w:rPr>
          <w:rFonts w:ascii="宋体" w:hAnsi="宋体"/>
          <w:szCs w:val="21"/>
        </w:rPr>
        <w:t>.</w:t>
      </w:r>
      <w:r>
        <w:rPr>
          <w:rFonts w:hint="eastAsia" w:ascii="宋体" w:hAnsi="宋体"/>
          <w:szCs w:val="21"/>
        </w:rPr>
        <w:t>磋商保证金金额：壹万</w:t>
      </w:r>
      <w:r>
        <w:rPr>
          <w:rFonts w:hint="eastAsia" w:ascii="宋体" w:hAnsi="宋体"/>
          <w:szCs w:val="21"/>
          <w:lang w:val="en-US" w:eastAsia="zh-CN"/>
        </w:rPr>
        <w:t>陆</w:t>
      </w:r>
      <w:r>
        <w:rPr>
          <w:rFonts w:hint="eastAsia" w:ascii="宋体" w:hAnsi="宋体"/>
          <w:szCs w:val="21"/>
        </w:rPr>
        <w:t>仟元整(￥1</w:t>
      </w:r>
      <w:r>
        <w:rPr>
          <w:rFonts w:hint="eastAsia" w:ascii="宋体" w:hAnsi="宋体"/>
          <w:szCs w:val="21"/>
          <w:lang w:val="en-US" w:eastAsia="zh-CN"/>
        </w:rPr>
        <w:t>6</w:t>
      </w:r>
      <w:r>
        <w:rPr>
          <w:rFonts w:hint="eastAsia" w:ascii="宋体" w:hAnsi="宋体"/>
          <w:szCs w:val="21"/>
        </w:rPr>
        <w:t>,000.00)</w:t>
      </w:r>
    </w:p>
    <w:p>
      <w:pPr>
        <w:snapToGrid w:val="0"/>
        <w:spacing w:line="406" w:lineRule="exact"/>
        <w:ind w:firstLine="420" w:firstLineChars="200"/>
        <w:rPr>
          <w:rFonts w:ascii="宋体" w:hAnsi="宋体"/>
          <w:szCs w:val="21"/>
        </w:rPr>
      </w:pPr>
      <w:r>
        <w:rPr>
          <w:rFonts w:ascii="宋体" w:hAnsi="宋体"/>
          <w:szCs w:val="21"/>
        </w:rPr>
        <w:t>2.</w:t>
      </w:r>
      <w:r>
        <w:rPr>
          <w:rFonts w:hint="eastAsia" w:ascii="宋体" w:hAnsi="宋体"/>
          <w:szCs w:val="21"/>
        </w:rPr>
        <w:t>提交形式：以支票、汇票、本票、网上银行支付</w:t>
      </w:r>
      <w:bookmarkStart w:id="109" w:name="_Hlk91771269"/>
      <w:r>
        <w:rPr>
          <w:rFonts w:hint="eastAsia" w:ascii="宋体" w:hAnsi="宋体"/>
          <w:szCs w:val="21"/>
        </w:rPr>
        <w:t>或者金融机构、担保机构出具的保函</w:t>
      </w:r>
      <w:bookmarkEnd w:id="109"/>
      <w:r>
        <w:rPr>
          <w:rFonts w:hint="eastAsia" w:ascii="宋体" w:hAnsi="宋体"/>
          <w:szCs w:val="21"/>
        </w:rPr>
        <w:t>等非现金形式提交。</w:t>
      </w:r>
    </w:p>
    <w:p>
      <w:pPr>
        <w:snapToGrid w:val="0"/>
        <w:spacing w:line="406"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以支票、汇票、本票或者金融机构、担保机构出具的保函等形式提交保证金的，供应商必须将票据、保函等原件于响应文件提交截止时间前递交至本中心财务室（地址:广西钦州市钦南区水东街区金海湾东大街8号市政务服务中心二楼市政府采购中心财务室，联系方式:0777-2886026）。</w:t>
      </w:r>
    </w:p>
    <w:p>
      <w:pPr>
        <w:snapToGrid w:val="0"/>
        <w:spacing w:line="406" w:lineRule="exact"/>
        <w:ind w:firstLine="420" w:firstLineChars="200"/>
        <w:rPr>
          <w:rFonts w:ascii="宋体" w:hAnsi="宋体"/>
          <w:szCs w:val="21"/>
        </w:rPr>
      </w:pPr>
      <w:r>
        <w:rPr>
          <w:rFonts w:ascii="宋体" w:hAnsi="宋体"/>
          <w:szCs w:val="21"/>
        </w:rPr>
        <w:t>(2)</w:t>
      </w:r>
      <w:r>
        <w:rPr>
          <w:rFonts w:hint="eastAsia" w:ascii="宋体" w:hAnsi="宋体"/>
          <w:szCs w:val="21"/>
        </w:rPr>
        <w:t>以网上银行形式提交保证金的，供应商必须于响应文件提交截止时间前</w:t>
      </w:r>
      <w:bookmarkStart w:id="110" w:name="_Hlk92456464"/>
      <w:r>
        <w:rPr>
          <w:rFonts w:hint="eastAsia" w:ascii="宋体" w:hAnsi="宋体"/>
          <w:szCs w:val="21"/>
        </w:rPr>
        <w:t>从供应商账户缴存至</w:t>
      </w:r>
      <w:bookmarkEnd w:id="110"/>
      <w:r>
        <w:rPr>
          <w:rFonts w:hint="eastAsia" w:ascii="宋体" w:hAnsi="宋体"/>
          <w:szCs w:val="21"/>
        </w:rPr>
        <w:t>本中心银行账户并确保到账，否则视为无效保证金。</w:t>
      </w:r>
    </w:p>
    <w:p>
      <w:pPr>
        <w:snapToGrid w:val="0"/>
        <w:spacing w:line="406" w:lineRule="exact"/>
        <w:rPr>
          <w:rFonts w:ascii="宋体" w:hAnsi="宋体"/>
          <w:bCs/>
          <w:szCs w:val="21"/>
        </w:rPr>
      </w:pPr>
      <w:r>
        <w:rPr>
          <w:rFonts w:hint="eastAsia" w:ascii="宋体" w:hAnsi="宋体"/>
          <w:bCs/>
          <w:szCs w:val="21"/>
        </w:rPr>
        <w:tab/>
      </w:r>
      <w:r>
        <w:rPr>
          <w:rFonts w:hint="eastAsia" w:ascii="宋体" w:hAnsi="宋体"/>
          <w:bCs/>
          <w:szCs w:val="21"/>
        </w:rPr>
        <w:t>本中心银行账户：</w:t>
      </w:r>
    </w:p>
    <w:p>
      <w:pPr>
        <w:snapToGrid w:val="0"/>
        <w:spacing w:line="406" w:lineRule="exact"/>
        <w:rPr>
          <w:rFonts w:ascii="宋体" w:hAnsi="宋体"/>
          <w:szCs w:val="21"/>
        </w:rPr>
      </w:pPr>
      <w:r>
        <w:rPr>
          <w:rFonts w:hint="eastAsia" w:ascii="宋体" w:hAnsi="宋体"/>
          <w:bCs/>
          <w:szCs w:val="21"/>
        </w:rPr>
        <w:tab/>
      </w:r>
      <w:r>
        <w:rPr>
          <w:rFonts w:hint="eastAsia" w:ascii="宋体" w:hAnsi="宋体"/>
          <w:bCs/>
          <w:szCs w:val="21"/>
        </w:rPr>
        <w:t>开户名称：钦州市政府采购中心</w:t>
      </w:r>
    </w:p>
    <w:p>
      <w:pPr>
        <w:snapToGrid w:val="0"/>
        <w:spacing w:line="406" w:lineRule="exact"/>
        <w:rPr>
          <w:rFonts w:ascii="宋体" w:hAnsi="宋体"/>
          <w:szCs w:val="21"/>
        </w:rPr>
      </w:pPr>
      <w:r>
        <w:rPr>
          <w:rFonts w:hint="eastAsia" w:ascii="宋体" w:hAnsi="宋体"/>
          <w:bCs/>
          <w:szCs w:val="21"/>
        </w:rPr>
        <w:tab/>
      </w:r>
      <w:r>
        <w:rPr>
          <w:rFonts w:hint="eastAsia" w:ascii="宋体" w:hAnsi="宋体"/>
          <w:bCs/>
          <w:szCs w:val="21"/>
        </w:rPr>
        <w:t>开户银行：中国工商银行股份有限公司钦州市永福东支行</w:t>
      </w:r>
    </w:p>
    <w:p>
      <w:pPr>
        <w:snapToGrid w:val="0"/>
        <w:spacing w:line="406" w:lineRule="exact"/>
        <w:ind w:firstLine="420"/>
        <w:rPr>
          <w:rFonts w:ascii="宋体" w:hAnsi="宋体"/>
          <w:bCs/>
          <w:szCs w:val="21"/>
        </w:rPr>
      </w:pPr>
      <w:r>
        <w:rPr>
          <w:rFonts w:hint="eastAsia" w:ascii="宋体" w:hAnsi="宋体"/>
          <w:bCs/>
          <w:szCs w:val="21"/>
        </w:rPr>
        <w:t>银行账号：2115591229100078724</w:t>
      </w:r>
    </w:p>
    <w:p>
      <w:pPr>
        <w:snapToGrid w:val="0"/>
        <w:spacing w:line="406" w:lineRule="exact"/>
        <w:ind w:firstLine="42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注：供应商无法选择以上开户银行的，请选择“中国工商银行股份有限公司钦州分行”进行缴存。</w:t>
      </w:r>
    </w:p>
    <w:p>
      <w:pPr>
        <w:snapToGrid w:val="0"/>
        <w:spacing w:line="406" w:lineRule="exact"/>
        <w:rPr>
          <w:rFonts w:ascii="宋体" w:hAnsi="宋体"/>
          <w:szCs w:val="21"/>
        </w:rPr>
      </w:pPr>
      <w:r>
        <w:rPr>
          <w:rFonts w:hint="eastAsia" w:ascii="宋体" w:hAnsi="宋体"/>
          <w:szCs w:val="21"/>
        </w:rPr>
        <w:tab/>
      </w:r>
      <w:r>
        <w:rPr>
          <w:rFonts w:ascii="宋体" w:hAnsi="宋体"/>
          <w:szCs w:val="21"/>
        </w:rPr>
        <w:t>3.</w:t>
      </w:r>
      <w:r>
        <w:rPr>
          <w:rFonts w:hint="eastAsia" w:ascii="宋体" w:hAnsi="宋体"/>
          <w:szCs w:val="21"/>
        </w:rPr>
        <w:t>磋商小组将以供应商递交的支票、汇票、本票、保函原件以及本中心财务室出具的《保证金收缴情况表》作为评审依据，对未按规定提交保证金的响应文件作无效处理。</w:t>
      </w:r>
    </w:p>
    <w:p>
      <w:pPr>
        <w:snapToGrid w:val="0"/>
        <w:spacing w:line="406" w:lineRule="exact"/>
        <w:ind w:firstLine="420" w:firstLineChars="200"/>
        <w:rPr>
          <w:rFonts w:ascii="宋体" w:hAnsi="宋体"/>
          <w:szCs w:val="21"/>
        </w:rPr>
      </w:pPr>
      <w:r>
        <w:rPr>
          <w:rFonts w:ascii="宋体" w:hAnsi="宋体"/>
          <w:szCs w:val="21"/>
        </w:rPr>
        <w:t>4.</w:t>
      </w:r>
      <w:r>
        <w:rPr>
          <w:rFonts w:hint="eastAsia" w:ascii="宋体" w:hAnsi="宋体"/>
          <w:szCs w:val="21"/>
        </w:rPr>
        <w:t>保证金的退付：</w:t>
      </w:r>
    </w:p>
    <w:tbl>
      <w:tblPr>
        <w:tblStyle w:val="39"/>
        <w:tblW w:w="9781"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4394"/>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l2br w:val="single" w:color="auto" w:sz="4" w:space="0"/>
            </w:tcBorders>
            <w:vAlign w:val="center"/>
          </w:tcPr>
          <w:p>
            <w:pPr>
              <w:spacing w:line="406" w:lineRule="exact"/>
              <w:rPr>
                <w:sz w:val="18"/>
                <w:szCs w:val="18"/>
              </w:rPr>
            </w:pPr>
            <w:r>
              <w:rPr>
                <w:rFonts w:hint="eastAsia"/>
                <w:szCs w:val="21"/>
              </w:rPr>
              <w:t xml:space="preserve">     </w:t>
            </w:r>
            <w:r>
              <w:rPr>
                <w:szCs w:val="21"/>
              </w:rPr>
              <w:t xml:space="preserve">   </w:t>
            </w:r>
            <w:r>
              <w:rPr>
                <w:rFonts w:hint="eastAsia"/>
                <w:sz w:val="18"/>
                <w:szCs w:val="18"/>
              </w:rPr>
              <w:t>提交形式</w:t>
            </w:r>
          </w:p>
          <w:p>
            <w:pPr>
              <w:spacing w:line="406" w:lineRule="exact"/>
              <w:rPr>
                <w:sz w:val="18"/>
                <w:szCs w:val="18"/>
              </w:rPr>
            </w:pPr>
            <w:r>
              <w:rPr>
                <w:rFonts w:hint="eastAsia"/>
                <w:sz w:val="18"/>
                <w:szCs w:val="18"/>
              </w:rPr>
              <w:t xml:space="preserve"> 供应商</w:t>
            </w:r>
          </w:p>
        </w:tc>
        <w:tc>
          <w:tcPr>
            <w:tcW w:w="4394" w:type="dxa"/>
            <w:vAlign w:val="center"/>
          </w:tcPr>
          <w:p>
            <w:pPr>
              <w:spacing w:line="406" w:lineRule="exact"/>
              <w:jc w:val="center"/>
              <w:rPr>
                <w:szCs w:val="21"/>
              </w:rPr>
            </w:pPr>
            <w:r>
              <w:rPr>
                <w:rFonts w:hint="eastAsia"/>
                <w:szCs w:val="21"/>
              </w:rPr>
              <w:t>网上银行形式</w:t>
            </w:r>
          </w:p>
        </w:tc>
        <w:tc>
          <w:tcPr>
            <w:tcW w:w="3544" w:type="dxa"/>
            <w:vAlign w:val="center"/>
          </w:tcPr>
          <w:p>
            <w:pPr>
              <w:snapToGrid w:val="0"/>
              <w:spacing w:line="406" w:lineRule="exact"/>
              <w:jc w:val="center"/>
              <w:rPr>
                <w:rFonts w:ascii="宋体"/>
                <w:szCs w:val="21"/>
              </w:rPr>
            </w:pPr>
            <w:r>
              <w:rPr>
                <w:rFonts w:hint="eastAsia"/>
                <w:szCs w:val="21"/>
              </w:rPr>
              <w:t>支票、汇票、本票、保函等形式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center"/>
          </w:tcPr>
          <w:p>
            <w:pPr>
              <w:spacing w:line="406" w:lineRule="exact"/>
              <w:jc w:val="center"/>
              <w:rPr>
                <w:szCs w:val="21"/>
              </w:rPr>
            </w:pPr>
            <w:r>
              <w:rPr>
                <w:rFonts w:hint="eastAsia" w:ascii="宋体"/>
                <w:szCs w:val="21"/>
              </w:rPr>
              <w:t>未成交供应商</w:t>
            </w:r>
          </w:p>
        </w:tc>
        <w:tc>
          <w:tcPr>
            <w:tcW w:w="4394" w:type="dxa"/>
            <w:vAlign w:val="center"/>
          </w:tcPr>
          <w:p>
            <w:pPr>
              <w:spacing w:line="406" w:lineRule="exact"/>
              <w:rPr>
                <w:szCs w:val="21"/>
              </w:rPr>
            </w:pPr>
            <w:r>
              <w:rPr>
                <w:rFonts w:hint="eastAsia" w:ascii="宋体"/>
                <w:szCs w:val="21"/>
              </w:rPr>
              <w:t>成交通知书(结果公告)发出之日起四个工作日内以</w:t>
            </w:r>
            <w:r>
              <w:rPr>
                <w:rFonts w:hint="eastAsia"/>
                <w:szCs w:val="21"/>
              </w:rPr>
              <w:t>网上银行形式</w:t>
            </w:r>
            <w:r>
              <w:rPr>
                <w:rFonts w:hint="eastAsia" w:ascii="宋体"/>
                <w:szCs w:val="21"/>
              </w:rPr>
              <w:t>退回到供应商银行账户。</w:t>
            </w:r>
          </w:p>
        </w:tc>
        <w:tc>
          <w:tcPr>
            <w:tcW w:w="3544" w:type="dxa"/>
            <w:vAlign w:val="center"/>
          </w:tcPr>
          <w:p>
            <w:pPr>
              <w:spacing w:line="406" w:lineRule="exact"/>
              <w:rPr>
                <w:szCs w:val="21"/>
              </w:rPr>
            </w:pPr>
            <w:r>
              <w:rPr>
                <w:rFonts w:hint="eastAsia"/>
                <w:szCs w:val="21"/>
              </w:rPr>
              <w:t>成交通知书(结果公告)发出之日起四个工作日内退还。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843" w:type="dxa"/>
            <w:vAlign w:val="center"/>
          </w:tcPr>
          <w:p>
            <w:pPr>
              <w:spacing w:line="406" w:lineRule="exact"/>
              <w:jc w:val="center"/>
              <w:rPr>
                <w:szCs w:val="21"/>
              </w:rPr>
            </w:pPr>
            <w:r>
              <w:rPr>
                <w:rFonts w:hint="eastAsia" w:ascii="宋体"/>
                <w:szCs w:val="21"/>
              </w:rPr>
              <w:t>成交供应商</w:t>
            </w:r>
          </w:p>
        </w:tc>
        <w:tc>
          <w:tcPr>
            <w:tcW w:w="4394" w:type="dxa"/>
            <w:vAlign w:val="center"/>
          </w:tcPr>
          <w:p>
            <w:pPr>
              <w:spacing w:line="406" w:lineRule="exact"/>
              <w:rPr>
                <w:szCs w:val="21"/>
              </w:rPr>
            </w:pPr>
            <w:r>
              <w:rPr>
                <w:rFonts w:hint="eastAsia" w:ascii="宋体"/>
                <w:szCs w:val="21"/>
              </w:rPr>
              <w:t>在政府采购合同签订之日起四个工作日内以</w:t>
            </w:r>
            <w:r>
              <w:rPr>
                <w:rFonts w:hint="eastAsia"/>
                <w:szCs w:val="21"/>
              </w:rPr>
              <w:t>网上银行形式</w:t>
            </w:r>
            <w:r>
              <w:rPr>
                <w:rFonts w:hint="eastAsia" w:ascii="宋体"/>
                <w:szCs w:val="21"/>
              </w:rPr>
              <w:t>退回到供应商银行账户。</w:t>
            </w:r>
          </w:p>
        </w:tc>
        <w:tc>
          <w:tcPr>
            <w:tcW w:w="3544" w:type="dxa"/>
            <w:vAlign w:val="center"/>
          </w:tcPr>
          <w:p>
            <w:pPr>
              <w:spacing w:line="406" w:lineRule="exact"/>
              <w:rPr>
                <w:szCs w:val="21"/>
              </w:rPr>
            </w:pPr>
            <w:r>
              <w:rPr>
                <w:rFonts w:hint="eastAsia" w:hAnsi="宋体"/>
              </w:rPr>
              <w:t>在政府采购合同签订之日起</w:t>
            </w:r>
            <w:r>
              <w:rPr>
                <w:rFonts w:hint="eastAsia" w:ascii="宋体"/>
                <w:szCs w:val="21"/>
              </w:rPr>
              <w:t>四个工作日内</w:t>
            </w:r>
            <w:r>
              <w:rPr>
                <w:rFonts w:hint="eastAsia"/>
                <w:szCs w:val="21"/>
              </w:rPr>
              <w:t>退还。</w:t>
            </w:r>
          </w:p>
        </w:tc>
      </w:tr>
    </w:tbl>
    <w:p>
      <w:pPr>
        <w:widowControl/>
        <w:spacing w:line="406" w:lineRule="exact"/>
        <w:ind w:firstLine="315" w:firstLineChars="150"/>
        <w:jc w:val="left"/>
        <w:rPr>
          <w:rFonts w:ascii="宋体" w:hAnsi="宋体"/>
          <w:szCs w:val="21"/>
        </w:rPr>
      </w:pPr>
      <w:r>
        <w:rPr>
          <w:rFonts w:hint="eastAsia" w:ascii="宋体" w:hAnsi="宋体"/>
          <w:szCs w:val="21"/>
        </w:rPr>
        <w:t>注：</w:t>
      </w:r>
      <w:r>
        <w:rPr>
          <w:rFonts w:hint="eastAsia"/>
          <w:szCs w:val="21"/>
        </w:rPr>
        <w:t>因供应商自身原因导致无法及时退还的除外</w:t>
      </w:r>
    </w:p>
    <w:p>
      <w:pPr>
        <w:widowControl/>
        <w:spacing w:line="406" w:lineRule="exact"/>
        <w:ind w:firstLine="315" w:firstLineChars="150"/>
        <w:jc w:val="left"/>
        <w:rPr>
          <w:rFonts w:hAnsi="宋体"/>
        </w:rPr>
      </w:pPr>
      <w:r>
        <w:rPr>
          <w:rFonts w:ascii="宋体" w:hAnsi="宋体"/>
          <w:szCs w:val="21"/>
        </w:rPr>
        <w:t>5.</w:t>
      </w:r>
      <w:r>
        <w:rPr>
          <w:rFonts w:hint="eastAsia" w:ascii="宋体" w:hAnsi="宋体"/>
          <w:szCs w:val="21"/>
        </w:rPr>
        <w:t>供应商有下列情形之一的，保证金将不予退还：</w:t>
      </w:r>
    </w:p>
    <w:p>
      <w:pPr>
        <w:widowControl/>
        <w:spacing w:line="406" w:lineRule="exact"/>
        <w:ind w:firstLine="420" w:firstLineChars="200"/>
        <w:jc w:val="left"/>
      </w:pPr>
      <w:r>
        <w:rPr>
          <w:rFonts w:hint="eastAsia"/>
        </w:rPr>
        <w:t>(</w:t>
      </w:r>
      <w:r>
        <w:t>1)</w:t>
      </w:r>
      <w:r>
        <w:rPr>
          <w:rFonts w:hint="eastAsia"/>
        </w:rPr>
        <w:t>供应商在响应文件提交截止时间后撤回响应文件的；</w:t>
      </w:r>
    </w:p>
    <w:p>
      <w:pPr>
        <w:widowControl/>
        <w:spacing w:line="406" w:lineRule="exact"/>
        <w:ind w:firstLine="420" w:firstLineChars="200"/>
        <w:jc w:val="left"/>
      </w:pPr>
      <w:r>
        <w:rPr>
          <w:rFonts w:hint="eastAsia"/>
        </w:rPr>
        <w:t>(</w:t>
      </w:r>
      <w:r>
        <w:t>2)</w:t>
      </w:r>
      <w:r>
        <w:rPr>
          <w:rFonts w:hint="eastAsia"/>
        </w:rPr>
        <w:t>供应商在响应文件中提供虚假材料的；</w:t>
      </w:r>
    </w:p>
    <w:p>
      <w:pPr>
        <w:widowControl/>
        <w:spacing w:line="406" w:lineRule="exact"/>
        <w:ind w:firstLine="420" w:firstLineChars="200"/>
        <w:jc w:val="left"/>
      </w:pPr>
      <w:r>
        <w:rPr>
          <w:rFonts w:hint="eastAsia"/>
        </w:rPr>
        <w:t>(</w:t>
      </w:r>
      <w:r>
        <w:t>3)</w:t>
      </w:r>
      <w:r>
        <w:rPr>
          <w:rFonts w:hint="eastAsia"/>
        </w:rPr>
        <w:t>除因不可抗力或磋商文件认可的情形以外，成交供应商不与采购人签订合同的；</w:t>
      </w:r>
    </w:p>
    <w:p>
      <w:pPr>
        <w:widowControl/>
        <w:spacing w:line="406" w:lineRule="exact"/>
        <w:ind w:firstLine="420" w:firstLineChars="200"/>
        <w:jc w:val="left"/>
      </w:pPr>
      <w:r>
        <w:rPr>
          <w:rFonts w:hint="eastAsia"/>
        </w:rPr>
        <w:t>(</w:t>
      </w:r>
      <w:r>
        <w:t>4)</w:t>
      </w:r>
      <w:r>
        <w:rPr>
          <w:rFonts w:hint="eastAsia"/>
        </w:rPr>
        <w:t>供应商与采购人、其他供应商或采购代理机构恶意串通的；</w:t>
      </w:r>
    </w:p>
    <w:p>
      <w:pPr>
        <w:widowControl/>
        <w:spacing w:line="406" w:lineRule="exact"/>
        <w:ind w:firstLine="420" w:firstLineChars="200"/>
        <w:jc w:val="left"/>
      </w:pPr>
      <w:r>
        <w:rPr>
          <w:rFonts w:hint="eastAsia"/>
        </w:rPr>
        <w:t>(</w:t>
      </w:r>
      <w:r>
        <w:t>5)</w:t>
      </w:r>
      <w:r>
        <w:rPr>
          <w:rFonts w:hint="eastAsia"/>
        </w:rPr>
        <w:t>采购文件规定的其他情形。</w:t>
      </w:r>
    </w:p>
    <w:bookmarkEnd w:id="105"/>
    <w:bookmarkEnd w:id="106"/>
    <w:bookmarkEnd w:id="107"/>
    <w:bookmarkEnd w:id="108"/>
    <w:p>
      <w:pPr>
        <w:spacing w:line="406" w:lineRule="exact"/>
        <w:ind w:firstLine="211" w:firstLineChars="100"/>
        <w:rPr>
          <w:b/>
          <w:bCs/>
        </w:rPr>
      </w:pPr>
      <w:r>
        <w:rPr>
          <w:rFonts w:hint="eastAsia"/>
          <w:b/>
          <w:bCs/>
        </w:rPr>
        <w:t>（七）响应文件的上传、提交、修改、撤回</w:t>
      </w:r>
    </w:p>
    <w:p>
      <w:pPr>
        <w:snapToGrid w:val="0"/>
        <w:spacing w:line="406" w:lineRule="exact"/>
        <w:ind w:firstLine="420" w:firstLineChars="200"/>
        <w:rPr>
          <w:rFonts w:ascii="宋体" w:hAnsi="宋体"/>
          <w:szCs w:val="21"/>
        </w:rPr>
      </w:pPr>
      <w:r>
        <w:rPr>
          <w:rFonts w:ascii="宋体" w:hAnsi="宋体"/>
          <w:szCs w:val="21"/>
        </w:rPr>
        <w:t>1.</w:t>
      </w:r>
      <w:r>
        <w:rPr>
          <w:rFonts w:hint="eastAsia" w:ascii="宋体" w:hAnsi="宋体"/>
          <w:szCs w:val="21"/>
        </w:rPr>
        <w:t>响应文件的上传和提交:供应商须将编制好的加密响应文件上传至政采云平台，并在响应文件提交截止时间前提交，否则政采云平台将予以拒收。</w:t>
      </w:r>
    </w:p>
    <w:p>
      <w:pPr>
        <w:snapToGrid w:val="0"/>
        <w:spacing w:line="406" w:lineRule="exact"/>
        <w:ind w:firstLine="420" w:firstLineChars="200"/>
        <w:rPr>
          <w:rFonts w:ascii="宋体" w:hAnsi="宋体"/>
          <w:szCs w:val="21"/>
        </w:rPr>
      </w:pPr>
      <w:r>
        <w:rPr>
          <w:rFonts w:ascii="宋体" w:hAnsi="宋体"/>
          <w:szCs w:val="21"/>
        </w:rPr>
        <w:t>2.</w:t>
      </w:r>
      <w:r>
        <w:rPr>
          <w:rFonts w:hint="eastAsia" w:ascii="宋体" w:hAnsi="宋体"/>
          <w:szCs w:val="21"/>
        </w:rPr>
        <w:t>响应文件的修改和撤回：</w:t>
      </w:r>
      <w:r>
        <w:rPr>
          <w:rFonts w:hint="eastAsia"/>
          <w:szCs w:val="21"/>
        </w:rPr>
        <w:t>供应商在提交响应文件截止时间前，可以对所提交的响应文件进行补充、修改或者撤回</w:t>
      </w:r>
      <w:r>
        <w:rPr>
          <w:rFonts w:hint="eastAsia" w:ascii="宋体" w:hAnsi="宋体"/>
          <w:szCs w:val="21"/>
        </w:rPr>
        <w:t>。补充或者修改响应文件的，应当先行撤回原响应文件，补充、修改后重新上传、提交。响应文件提交截止时间前未完成重新提交的，视为撤回响应文件，响应文件提交截止时间后提交响应文件的，政采云平台将予以拒收。响应文件提交截止时间后，供应商不得撤回响应文件。</w:t>
      </w:r>
      <w:r>
        <w:rPr>
          <w:rFonts w:hint="eastAsia"/>
          <w:szCs w:val="21"/>
        </w:rPr>
        <w:t>补充、修改的内容作为响应文件的组成部分。补充、修改的内容与响应文件不一致的，以补充、修改的内容为准。</w:t>
      </w:r>
    </w:p>
    <w:p>
      <w:pPr>
        <w:pStyle w:val="4"/>
        <w:spacing w:line="406" w:lineRule="exact"/>
      </w:pPr>
      <w:bookmarkStart w:id="111" w:name="_四、响应文件开启"/>
      <w:bookmarkEnd w:id="111"/>
      <w:r>
        <w:rPr>
          <w:rFonts w:hint="eastAsia"/>
        </w:rPr>
        <w:t>四、</w:t>
      </w:r>
      <w:bookmarkStart w:id="112" w:name="_Toc352700430"/>
      <w:bookmarkStart w:id="113" w:name="_Toc353785300"/>
      <w:r>
        <w:rPr>
          <w:rFonts w:hint="eastAsia"/>
        </w:rPr>
        <w:t>响应文件开启</w:t>
      </w:r>
    </w:p>
    <w:bookmarkEnd w:id="112"/>
    <w:bookmarkEnd w:id="113"/>
    <w:p>
      <w:pPr>
        <w:spacing w:line="406" w:lineRule="exact"/>
        <w:ind w:firstLine="210" w:firstLineChars="100"/>
        <w:rPr>
          <w:rFonts w:ascii="方正小标宋_GBK" w:hAnsi="Arial" w:eastAsia="方正小标宋_GBK"/>
          <w:bCs/>
          <w:sz w:val="24"/>
        </w:rPr>
      </w:pPr>
      <w:r>
        <w:rPr>
          <w:rFonts w:hint="eastAsia"/>
        </w:rPr>
        <w:t>（一）本中心将在响应文件提交截止时间后在</w:t>
      </w:r>
      <w:bookmarkStart w:id="114" w:name="_Hlk90300735"/>
      <w:r>
        <w:rPr>
          <w:rFonts w:hint="eastAsia"/>
        </w:rPr>
        <w:t>政采云远程开标大厅</w:t>
      </w:r>
      <w:bookmarkEnd w:id="114"/>
      <w:r>
        <w:rPr>
          <w:rFonts w:hint="eastAsia"/>
        </w:rPr>
        <w:t>进行响应文件开启，供应商法定代表人或委托代理人须按时登陆</w:t>
      </w:r>
      <w:bookmarkStart w:id="115" w:name="_Hlk90300780"/>
      <w:r>
        <w:rPr>
          <w:rFonts w:hint="eastAsia"/>
        </w:rPr>
        <w:t>政采云远程开标大厅</w:t>
      </w:r>
      <w:bookmarkEnd w:id="115"/>
      <w:r>
        <w:rPr>
          <w:rFonts w:hint="eastAsia"/>
        </w:rPr>
        <w:t>（政采云平台-应用中心-项目采购-开标评标），保持全程在线并关注评审、磋商进度，评审期间磋商小组提出澄清等要求时，供应商须在规定时间内进行应答，否则按采购文件或政采云平台的相关规定执行。</w:t>
      </w:r>
      <w:bookmarkStart w:id="116" w:name="_Toc352700431"/>
      <w:bookmarkStart w:id="117" w:name="_Toc353785301"/>
    </w:p>
    <w:p>
      <w:pPr>
        <w:spacing w:line="406" w:lineRule="exact"/>
        <w:ind w:firstLine="210" w:firstLineChars="100"/>
        <w:rPr>
          <w:rFonts w:ascii="方正小标宋_GBK" w:hAnsi="Arial" w:eastAsia="方正小标宋_GBK"/>
          <w:bCs/>
          <w:sz w:val="24"/>
        </w:rPr>
      </w:pPr>
      <w:r>
        <w:rPr>
          <w:rFonts w:hint="eastAsia"/>
        </w:rPr>
        <w:t>（二）</w:t>
      </w:r>
      <w:bookmarkEnd w:id="116"/>
      <w:bookmarkEnd w:id="117"/>
      <w:r>
        <w:rPr>
          <w:rFonts w:hint="eastAsia"/>
        </w:rPr>
        <w:t>解密</w:t>
      </w:r>
    </w:p>
    <w:p>
      <w:pPr>
        <w:spacing w:line="406" w:lineRule="exact"/>
        <w:ind w:firstLine="420" w:firstLineChars="200"/>
      </w:pPr>
      <w:r>
        <w:rPr>
          <w:rFonts w:hint="eastAsia"/>
        </w:rPr>
        <w:t>响应文件提交时间截止后，我中心将向各提交响应文件的供应商发出电子加密响应文件解密通知，供应商代表应当在接到解密通知后30分钟内对已加密的电子响应文件进行在线解密。供应商未在规定时间内完成解密的，政采云平台视为供应商自主放弃磋商。</w:t>
      </w:r>
    </w:p>
    <w:p>
      <w:pPr>
        <w:spacing w:line="406" w:lineRule="exact"/>
        <w:ind w:firstLine="211" w:firstLineChars="100"/>
        <w:rPr>
          <w:b/>
          <w:bCs/>
        </w:rPr>
      </w:pPr>
      <w:r>
        <w:rPr>
          <w:rFonts w:hint="eastAsia"/>
          <w:b/>
          <w:bCs/>
        </w:rPr>
        <w:t>（三）资格审查</w:t>
      </w:r>
    </w:p>
    <w:p>
      <w:pPr>
        <w:spacing w:line="406" w:lineRule="exact"/>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采购人依法对供应商的资格进行审查，资格性审查时，如发现下列情形之一的，响应文件将被视为无效：</w:t>
      </w:r>
    </w:p>
    <w:p>
      <w:pPr>
        <w:spacing w:line="406" w:lineRule="exact"/>
        <w:ind w:firstLine="420" w:firstLineChars="200"/>
        <w:rPr>
          <w:rFonts w:ascii="宋体" w:hAnsi="宋体"/>
          <w:szCs w:val="21"/>
        </w:rPr>
      </w:pPr>
      <w:r>
        <w:rPr>
          <w:rFonts w:hint="eastAsia" w:ascii="宋体" w:hAnsi="宋体"/>
          <w:szCs w:val="21"/>
        </w:rPr>
        <w:t>(1)超越了按照法律法规规定必须获得行政许可或者行政审批的经营范围的；</w:t>
      </w:r>
    </w:p>
    <w:p>
      <w:pPr>
        <w:spacing w:line="406" w:lineRule="exact"/>
        <w:ind w:firstLine="420" w:firstLineChars="200"/>
        <w:rPr>
          <w:rFonts w:ascii="宋体" w:hAnsi="宋体"/>
          <w:szCs w:val="21"/>
        </w:rPr>
      </w:pPr>
      <w:r>
        <w:rPr>
          <w:rFonts w:hint="eastAsia" w:ascii="宋体" w:hAnsi="宋体"/>
          <w:szCs w:val="21"/>
        </w:rPr>
        <w:t>(2)资格证明文件不全的，或者不符合采购文件标明的资格要求的。</w:t>
      </w:r>
    </w:p>
    <w:p>
      <w:pPr>
        <w:snapToGrid w:val="0"/>
        <w:spacing w:line="406" w:lineRule="exact"/>
        <w:ind w:firstLine="420" w:firstLineChars="200"/>
        <w:jc w:val="left"/>
        <w:rPr>
          <w:rFonts w:ascii="宋体" w:hAnsi="宋体"/>
          <w:szCs w:val="21"/>
        </w:rPr>
      </w:pPr>
      <w:r>
        <w:rPr>
          <w:rFonts w:ascii="宋体" w:hAnsi="宋体"/>
          <w:szCs w:val="21"/>
        </w:rPr>
        <w:t>2.</w:t>
      </w:r>
      <w:r>
        <w:rPr>
          <w:rFonts w:hint="eastAsia" w:ascii="宋体" w:hAnsi="宋体"/>
          <w:szCs w:val="21"/>
        </w:rPr>
        <w:t>采购人或本中心将通过信用中国网站（www.creditchina.gov.cn）、中国政府采购网（www.ccgp.gov.cn）等渠道查询供应商的信用信息记录。供应商被列入失信被执行人、重大税收违法案件当事人名单、政府采购严重违法失信行为记录名单且有效期在响应文件递交截止时间的，将被拒绝参与本项目政府采购活动。</w:t>
      </w:r>
    </w:p>
    <w:p>
      <w:pPr>
        <w:pStyle w:val="4"/>
        <w:spacing w:line="406" w:lineRule="exact"/>
        <w:rPr>
          <w:rFonts w:ascii="宋体" w:hAnsi="宋体"/>
          <w:szCs w:val="21"/>
        </w:rPr>
      </w:pPr>
      <w:bookmarkStart w:id="118" w:name="_五、评审与磋商"/>
      <w:bookmarkEnd w:id="118"/>
      <w:bookmarkStart w:id="119" w:name="_Toc352700432"/>
      <w:bookmarkStart w:id="120" w:name="_Toc254970686"/>
      <w:bookmarkStart w:id="121" w:name="_Toc353785302"/>
      <w:bookmarkStart w:id="122" w:name="_Toc254970545"/>
      <w:r>
        <w:rPr>
          <w:rFonts w:hint="eastAsia"/>
        </w:rPr>
        <w:t>五、</w:t>
      </w:r>
      <w:bookmarkEnd w:id="119"/>
      <w:bookmarkEnd w:id="120"/>
      <w:bookmarkEnd w:id="121"/>
      <w:bookmarkEnd w:id="122"/>
      <w:r>
        <w:rPr>
          <w:rFonts w:hint="eastAsia" w:ascii="宋体" w:hAnsi="宋体"/>
          <w:szCs w:val="21"/>
        </w:rPr>
        <w:t>评审与磋商</w:t>
      </w:r>
    </w:p>
    <w:p>
      <w:pPr>
        <w:snapToGrid w:val="0"/>
        <w:spacing w:line="406" w:lineRule="exact"/>
        <w:ind w:firstLine="211" w:firstLineChars="100"/>
        <w:rPr>
          <w:rFonts w:ascii="宋体" w:hAnsi="宋体"/>
          <w:b/>
          <w:bCs/>
          <w:szCs w:val="21"/>
        </w:rPr>
      </w:pPr>
      <w:bookmarkStart w:id="123" w:name="_Toc353785303"/>
      <w:bookmarkStart w:id="124" w:name="_Toc352700433"/>
      <w:r>
        <w:rPr>
          <w:rFonts w:hint="eastAsia" w:ascii="宋体" w:hAnsi="宋体"/>
          <w:b/>
          <w:bCs/>
          <w:szCs w:val="21"/>
        </w:rPr>
        <w:t>（一）评审原则：</w:t>
      </w:r>
    </w:p>
    <w:p>
      <w:pPr>
        <w:snapToGrid w:val="0"/>
        <w:spacing w:line="406" w:lineRule="exact"/>
        <w:ind w:firstLine="420" w:firstLineChars="200"/>
        <w:rPr>
          <w:rFonts w:ascii="宋体" w:hAnsi="宋体"/>
          <w:szCs w:val="21"/>
        </w:rPr>
      </w:pPr>
      <w:r>
        <w:rPr>
          <w:rFonts w:ascii="宋体" w:hAnsi="宋体"/>
          <w:szCs w:val="21"/>
        </w:rPr>
        <w:t>1.</w:t>
      </w:r>
      <w:r>
        <w:rPr>
          <w:rFonts w:hint="eastAsia" w:ascii="宋体" w:hAnsi="宋体"/>
          <w:szCs w:val="21"/>
        </w:rPr>
        <w:t>磋商小组必须公平、公正、客观，不带任何倾向性和启发性；不得向外界透露任何与评审有关的内容；任何单位和个人不得干扰、影响评审的正常进行；磋商小组及有关工作人员不得私下接触供应商。</w:t>
      </w:r>
    </w:p>
    <w:p>
      <w:pPr>
        <w:snapToGrid w:val="0"/>
        <w:spacing w:line="406" w:lineRule="exact"/>
        <w:ind w:firstLine="420" w:firstLineChars="200"/>
        <w:rPr>
          <w:rFonts w:ascii="宋体" w:hAnsi="宋体" w:cs="Courier New"/>
          <w:szCs w:val="21"/>
        </w:rPr>
      </w:pPr>
      <w:r>
        <w:rPr>
          <w:rFonts w:ascii="宋体" w:hAnsi="宋体"/>
          <w:szCs w:val="21"/>
        </w:rPr>
        <w:t>2.</w:t>
      </w:r>
      <w:r>
        <w:rPr>
          <w:rFonts w:hint="eastAsia" w:ascii="宋体" w:hAnsi="宋体" w:cs="Courier New"/>
          <w:szCs w:val="21"/>
        </w:rPr>
        <w:t>本项目采用不公开方式评审，评审的依据为采购文件和响应文件。</w:t>
      </w:r>
    </w:p>
    <w:p>
      <w:pPr>
        <w:snapToGrid w:val="0"/>
        <w:spacing w:line="406" w:lineRule="exact"/>
        <w:ind w:firstLine="211" w:firstLineChars="100"/>
        <w:rPr>
          <w:rFonts w:ascii="宋体" w:hAnsi="宋体"/>
          <w:b/>
          <w:bCs/>
          <w:szCs w:val="21"/>
        </w:rPr>
      </w:pPr>
      <w:r>
        <w:rPr>
          <w:rFonts w:hint="eastAsia"/>
          <w:b/>
          <w:bCs/>
        </w:rPr>
        <w:t>（二）成立磋商小组</w:t>
      </w:r>
    </w:p>
    <w:p>
      <w:pPr>
        <w:snapToGrid w:val="0"/>
        <w:spacing w:line="406" w:lineRule="exact"/>
        <w:ind w:firstLine="420" w:firstLineChars="200"/>
        <w:rPr>
          <w:rFonts w:ascii="宋体" w:hAnsi="宋体"/>
          <w:szCs w:val="21"/>
        </w:rPr>
      </w:pPr>
      <w:r>
        <w:rPr>
          <w:rFonts w:hint="eastAsia" w:ascii="宋体" w:hAnsi="宋体" w:cs="Courier New"/>
          <w:bCs/>
          <w:szCs w:val="21"/>
        </w:rPr>
        <w:t>磋商小组</w:t>
      </w:r>
      <w:bookmarkEnd w:id="123"/>
      <w:bookmarkEnd w:id="124"/>
      <w:r>
        <w:rPr>
          <w:rFonts w:hint="eastAsia" w:ascii="宋体" w:hAnsi="宋体" w:cs="Courier New"/>
          <w:bCs/>
          <w:szCs w:val="21"/>
        </w:rPr>
        <w:t>由采购人代表和评审专家共3人以上单数组成，其中评审专家人数不得少于磋商小组成员总数的2/3。</w:t>
      </w:r>
    </w:p>
    <w:p>
      <w:pPr>
        <w:spacing w:line="406" w:lineRule="exact"/>
        <w:ind w:firstLine="211" w:firstLineChars="100"/>
        <w:rPr>
          <w:rFonts w:ascii="宋体" w:hAnsi="宋体" w:cs="Courier New"/>
          <w:szCs w:val="21"/>
        </w:rPr>
      </w:pPr>
      <w:r>
        <w:rPr>
          <w:rFonts w:hint="eastAsia" w:ascii="宋体" w:hAnsi="宋体"/>
          <w:b/>
          <w:bCs/>
          <w:szCs w:val="21"/>
        </w:rPr>
        <w:t>（三）实质性审查</w:t>
      </w:r>
    </w:p>
    <w:p>
      <w:pPr>
        <w:snapToGrid w:val="0"/>
        <w:spacing w:line="406" w:lineRule="exact"/>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磋商小组成员根据磋商文件规定的评审程序、评审方法和评审标准进行独立评审。未实质性响应磋商文件的响应文件按无效响应处理，磋商小组应当告知提交响应文件的供应商。</w:t>
      </w:r>
    </w:p>
    <w:p>
      <w:pPr>
        <w:snapToGrid w:val="0"/>
        <w:spacing w:line="406" w:lineRule="exact"/>
        <w:ind w:firstLine="422" w:firstLineChars="200"/>
        <w:rPr>
          <w:rFonts w:ascii="宋体" w:hAnsi="宋体"/>
          <w:b/>
          <w:bCs/>
          <w:szCs w:val="21"/>
        </w:rPr>
      </w:pPr>
      <w:r>
        <w:rPr>
          <w:rFonts w:hint="eastAsia" w:ascii="宋体" w:hAnsi="宋体"/>
          <w:b/>
          <w:bCs/>
          <w:szCs w:val="21"/>
        </w:rPr>
        <w:t>2</w:t>
      </w:r>
      <w:r>
        <w:rPr>
          <w:rFonts w:ascii="宋体" w:hAnsi="宋体"/>
          <w:b/>
          <w:bCs/>
          <w:szCs w:val="21"/>
        </w:rPr>
        <w:t>.</w:t>
      </w:r>
      <w:r>
        <w:rPr>
          <w:rFonts w:hint="eastAsia" w:ascii="宋体" w:hAnsi="宋体"/>
          <w:b/>
          <w:bCs/>
          <w:szCs w:val="21"/>
        </w:rPr>
        <w:t>实质性审查时，如发现下列情形之一的，响应文件将被视为无效：</w:t>
      </w:r>
    </w:p>
    <w:p>
      <w:pPr>
        <w:snapToGrid w:val="0"/>
        <w:spacing w:line="406" w:lineRule="exact"/>
        <w:ind w:firstLine="525" w:firstLineChars="250"/>
        <w:rPr>
          <w:rFonts w:ascii="宋体" w:hAnsi="宋体"/>
          <w:color w:val="000000"/>
          <w:szCs w:val="21"/>
        </w:rPr>
      </w:pPr>
      <w:r>
        <w:rPr>
          <w:rFonts w:hint="eastAsia" w:ascii="宋体" w:hAnsi="宋体"/>
          <w:color w:val="000000" w:themeColor="text1"/>
          <w:szCs w:val="21"/>
          <w14:textFill>
            <w14:solidFill>
              <w14:schemeClr w14:val="tx1"/>
            </w14:solidFill>
          </w14:textFill>
        </w:rPr>
        <w:t>①应交未交磋商</w:t>
      </w:r>
      <w:r>
        <w:rPr>
          <w:rFonts w:hint="eastAsia" w:ascii="宋体" w:hAnsi="宋体"/>
          <w:color w:val="000000"/>
          <w:szCs w:val="21"/>
        </w:rPr>
        <w:t>保证金的；</w:t>
      </w:r>
    </w:p>
    <w:p>
      <w:pPr>
        <w:snapToGrid w:val="0"/>
        <w:spacing w:line="406" w:lineRule="exact"/>
        <w:ind w:firstLine="525" w:firstLineChars="250"/>
        <w:rPr>
          <w:rFonts w:ascii="宋体" w:hAnsi="宋体"/>
          <w:color w:val="000000"/>
          <w:szCs w:val="21"/>
        </w:rPr>
      </w:pPr>
      <w:r>
        <w:rPr>
          <w:rFonts w:hint="eastAsia" w:ascii="宋体" w:hAnsi="宋体"/>
          <w:color w:val="000000"/>
          <w:szCs w:val="21"/>
        </w:rPr>
        <w:t>②响应文件未按响应文件编制要求提供或内容虚假的；</w:t>
      </w:r>
    </w:p>
    <w:p>
      <w:pPr>
        <w:snapToGrid w:val="0"/>
        <w:spacing w:line="406" w:lineRule="exact"/>
        <w:ind w:firstLine="525" w:firstLineChars="250"/>
        <w:rPr>
          <w:rFonts w:ascii="宋体" w:hAnsi="宋体"/>
          <w:color w:val="000000"/>
          <w:szCs w:val="21"/>
        </w:rPr>
      </w:pPr>
      <w:r>
        <w:rPr>
          <w:rFonts w:hint="eastAsia" w:ascii="宋体" w:hAnsi="宋体"/>
          <w:color w:val="000000"/>
          <w:szCs w:val="21"/>
        </w:rPr>
        <w:t>③响应文件无法定代表人或其委托代理人签署、未提供授权委托书，或未按规定盖章的；</w:t>
      </w:r>
    </w:p>
    <w:p>
      <w:pPr>
        <w:snapToGrid w:val="0"/>
        <w:spacing w:line="406" w:lineRule="exact"/>
        <w:ind w:firstLine="525" w:firstLineChars="250"/>
        <w:rPr>
          <w:rFonts w:ascii="宋体" w:hAnsi="宋体"/>
          <w:color w:val="000000"/>
          <w:szCs w:val="21"/>
        </w:rPr>
      </w:pPr>
      <w:r>
        <w:rPr>
          <w:rFonts w:hint="eastAsia" w:ascii="宋体" w:hAnsi="宋体"/>
          <w:color w:val="000000"/>
          <w:szCs w:val="21"/>
        </w:rPr>
        <w:t>④供应商代表未能出具身份证明或与法定代表人委托代理人身份不符的；</w:t>
      </w:r>
    </w:p>
    <w:p>
      <w:pPr>
        <w:snapToGrid w:val="0"/>
        <w:spacing w:line="406" w:lineRule="exact"/>
        <w:ind w:firstLine="525" w:firstLineChars="250"/>
        <w:rPr>
          <w:rFonts w:ascii="宋体" w:hAnsi="宋体"/>
          <w:color w:val="000000"/>
          <w:szCs w:val="21"/>
        </w:rPr>
      </w:pPr>
      <w:r>
        <w:rPr>
          <w:rFonts w:hint="eastAsia" w:ascii="宋体" w:hAnsi="宋体"/>
          <w:color w:val="000000"/>
          <w:szCs w:val="21"/>
        </w:rPr>
        <w:t>⑤经磋商未实质性响应采购文件采购需求的技术、服务要求的；</w:t>
      </w:r>
    </w:p>
    <w:p>
      <w:pPr>
        <w:snapToGrid w:val="0"/>
        <w:spacing w:line="406" w:lineRule="exact"/>
        <w:ind w:firstLine="525" w:firstLineChars="250"/>
        <w:rPr>
          <w:rFonts w:ascii="宋体" w:hAnsi="宋体"/>
          <w:color w:val="000000"/>
          <w:szCs w:val="21"/>
        </w:rPr>
      </w:pPr>
      <w:r>
        <w:rPr>
          <w:rFonts w:hint="eastAsia" w:ascii="宋体" w:hAnsi="宋体"/>
          <w:color w:val="000000"/>
          <w:szCs w:val="21"/>
        </w:rPr>
        <w:t>⑥经磋商</w:t>
      </w:r>
      <w:r>
        <w:rPr>
          <w:rFonts w:hint="eastAsia" w:ascii="宋体" w:hAnsi="宋体"/>
          <w:color w:val="000000"/>
          <w:spacing w:val="-4"/>
          <w:szCs w:val="21"/>
        </w:rPr>
        <w:t>不符合采购文件要求的质量标准，或者与采购文件中的技术指标、功能、服务事项发生较大偏离，已不符合采购人需求的；</w:t>
      </w:r>
    </w:p>
    <w:p>
      <w:pPr>
        <w:snapToGrid w:val="0"/>
        <w:spacing w:line="406" w:lineRule="exact"/>
        <w:ind w:firstLine="505" w:firstLineChars="250"/>
        <w:rPr>
          <w:rFonts w:ascii="宋体" w:hAnsi="宋体"/>
          <w:color w:val="000000"/>
          <w:szCs w:val="21"/>
        </w:rPr>
      </w:pPr>
      <w:r>
        <w:rPr>
          <w:rFonts w:hint="eastAsia" w:ascii="宋体" w:hAnsi="宋体"/>
          <w:color w:val="000000"/>
          <w:spacing w:val="-4"/>
          <w:szCs w:val="21"/>
        </w:rPr>
        <w:t>⑦</w:t>
      </w:r>
      <w:r>
        <w:rPr>
          <w:rFonts w:hint="eastAsia" w:ascii="宋体" w:hAnsi="宋体"/>
          <w:color w:val="000000"/>
          <w:szCs w:val="21"/>
        </w:rPr>
        <w:t>响应文件有采购人不能接受的附加条件的；</w:t>
      </w:r>
    </w:p>
    <w:p>
      <w:pPr>
        <w:snapToGrid w:val="0"/>
        <w:spacing w:line="406" w:lineRule="exact"/>
        <w:ind w:firstLine="525" w:firstLineChars="250"/>
        <w:rPr>
          <w:rFonts w:ascii="宋体" w:hAnsi="宋体"/>
          <w:color w:val="000000"/>
          <w:spacing w:val="-4"/>
          <w:szCs w:val="21"/>
        </w:rPr>
      </w:pPr>
      <w:r>
        <w:rPr>
          <w:rFonts w:hint="eastAsia" w:ascii="宋体" w:hAnsi="宋体"/>
          <w:color w:val="000000"/>
          <w:szCs w:val="21"/>
        </w:rPr>
        <w:t>⑧</w:t>
      </w:r>
      <w:r>
        <w:rPr>
          <w:rFonts w:hint="eastAsia" w:ascii="宋体" w:hAnsi="宋体"/>
          <w:color w:val="000000"/>
          <w:spacing w:val="-4"/>
          <w:szCs w:val="21"/>
        </w:rPr>
        <w:t>响应文件技术方案不明确，存在一个或一个以上备选(替代)响应方案的；</w:t>
      </w:r>
    </w:p>
    <w:p>
      <w:pPr>
        <w:snapToGrid w:val="0"/>
        <w:spacing w:line="406" w:lineRule="exact"/>
        <w:ind w:firstLine="505" w:firstLineChars="250"/>
        <w:rPr>
          <w:rFonts w:ascii="宋体" w:hAnsi="宋体"/>
          <w:color w:val="000000"/>
          <w:szCs w:val="21"/>
        </w:rPr>
      </w:pPr>
      <w:r>
        <w:rPr>
          <w:rFonts w:hint="eastAsia" w:ascii="宋体" w:hAnsi="宋体"/>
          <w:color w:val="000000"/>
          <w:spacing w:val="-4"/>
          <w:szCs w:val="21"/>
        </w:rPr>
        <w:t>⑨</w:t>
      </w:r>
      <w:r>
        <w:rPr>
          <w:rFonts w:hint="eastAsia" w:ascii="宋体" w:hAnsi="宋体"/>
          <w:color w:val="000000"/>
          <w:szCs w:val="21"/>
        </w:rPr>
        <w:t>响应文件的实质性内容未使用中文表述、意思表述不明确、前后矛盾或者使用计量单位不符合采购文件要求的。</w:t>
      </w:r>
    </w:p>
    <w:p>
      <w:pPr>
        <w:spacing w:line="406" w:lineRule="exact"/>
        <w:ind w:firstLine="211" w:firstLineChars="100"/>
        <w:rPr>
          <w:b/>
          <w:bCs/>
        </w:rPr>
      </w:pPr>
      <w:r>
        <w:rPr>
          <w:rFonts w:hint="eastAsia"/>
          <w:b/>
          <w:bCs/>
        </w:rPr>
        <w:t>（四）磋商</w:t>
      </w:r>
    </w:p>
    <w:p>
      <w:pPr>
        <w:pStyle w:val="22"/>
        <w:spacing w:line="406" w:lineRule="exact"/>
        <w:ind w:firstLine="420" w:firstLineChars="200"/>
        <w:rPr>
          <w:rFonts w:hAnsi="宋体"/>
          <w:bCs/>
        </w:rPr>
      </w:pPr>
      <w:r>
        <w:rPr>
          <w:rFonts w:hint="eastAsia" w:hAnsi="宋体"/>
          <w:bCs/>
        </w:rPr>
        <w:t>1</w:t>
      </w:r>
      <w:r>
        <w:rPr>
          <w:rFonts w:hAnsi="宋体"/>
          <w:bCs/>
        </w:rPr>
        <w:t>.</w:t>
      </w:r>
      <w:r>
        <w:rPr>
          <w:rFonts w:hint="eastAsia" w:hAnsi="宋体"/>
          <w:bCs/>
        </w:rPr>
        <w:t>磋商小组所有成员应当集中与单一供应商分别进行磋商，并给予所有参加磋商的供应商平等的磋商机会。</w:t>
      </w:r>
    </w:p>
    <w:p>
      <w:pPr>
        <w:pStyle w:val="22"/>
        <w:spacing w:line="406" w:lineRule="exact"/>
        <w:ind w:firstLine="420" w:firstLineChars="200"/>
        <w:rPr>
          <w:rFonts w:hAnsi="宋体"/>
          <w:bCs/>
        </w:rPr>
      </w:pPr>
      <w:r>
        <w:rPr>
          <w:rFonts w:hAnsi="宋体"/>
          <w:bCs/>
        </w:rPr>
        <w:t>2.</w:t>
      </w:r>
      <w:r>
        <w:rPr>
          <w:rFonts w:hint="eastAsia" w:hAnsi="宋体"/>
          <w:bCs/>
        </w:rPr>
        <w:t>磋商小组可以根据磋商文件和磋商情况实质性变动采购需求中的技术、服务要求以及合同草案条款，但不得变动磋商文件中的其他内容。实质性变动的内容，须经采购人代表确认。</w:t>
      </w:r>
    </w:p>
    <w:p>
      <w:pPr>
        <w:pStyle w:val="22"/>
        <w:spacing w:line="406" w:lineRule="exact"/>
        <w:ind w:firstLine="420" w:firstLineChars="200"/>
        <w:rPr>
          <w:rFonts w:hAnsi="宋体"/>
          <w:bCs/>
        </w:rPr>
      </w:pPr>
      <w:r>
        <w:rPr>
          <w:rFonts w:hAnsi="宋体"/>
          <w:bCs/>
        </w:rPr>
        <w:t>3.</w:t>
      </w:r>
      <w:r>
        <w:rPr>
          <w:rFonts w:hint="eastAsia" w:hAnsi="宋体"/>
          <w:bCs/>
        </w:rPr>
        <w:t>对磋商文件作出的实质性变动是磋商文件的有效组成部分，磋商小组应当及时以书面形式同时通知所有参加磋商的供应商。</w:t>
      </w:r>
    </w:p>
    <w:p>
      <w:pPr>
        <w:pStyle w:val="22"/>
        <w:spacing w:line="406" w:lineRule="exact"/>
        <w:ind w:firstLine="420" w:firstLineChars="200"/>
        <w:rPr>
          <w:rFonts w:hAnsi="宋体"/>
          <w:bCs/>
        </w:rPr>
      </w:pPr>
      <w:r>
        <w:rPr>
          <w:rFonts w:hAnsi="宋体"/>
          <w:bCs/>
        </w:rPr>
        <w:t>4.</w:t>
      </w:r>
      <w:r>
        <w:rPr>
          <w:rFonts w:hint="eastAsia" w:hAnsi="宋体"/>
          <w:bCs/>
        </w:rPr>
        <w:t>供应商应当按照磋商文件的变动情况和磋商小组的要求重新提交响应文件，并由其法定代表人或授权代表签名或者加盖公章。由授权代表签名的，应当附法定代表人授权书。供应商为自然人的，应当由本人签名并附身份证明。逾时不提交的，视同退出磋商。</w:t>
      </w:r>
    </w:p>
    <w:p>
      <w:pPr>
        <w:pStyle w:val="22"/>
        <w:spacing w:line="406" w:lineRule="exact"/>
        <w:ind w:firstLine="420" w:firstLineChars="200"/>
        <w:rPr>
          <w:rFonts w:hAnsi="宋体"/>
          <w:bCs/>
        </w:rPr>
      </w:pPr>
      <w:r>
        <w:rPr>
          <w:rFonts w:hAnsi="宋体"/>
          <w:bCs/>
        </w:rPr>
        <w:t>5.</w:t>
      </w:r>
      <w:r>
        <w:rPr>
          <w:rFonts w:hint="eastAsia" w:hAnsi="宋体"/>
          <w:bCs/>
        </w:rPr>
        <w:t>已提交响应文件的供应商，在提交最后报价之前，可以根据磋商情况退出磋商。</w:t>
      </w:r>
    </w:p>
    <w:p>
      <w:pPr>
        <w:spacing w:line="406" w:lineRule="exact"/>
        <w:ind w:firstLine="211" w:firstLineChars="100"/>
        <w:rPr>
          <w:b/>
          <w:bCs/>
        </w:rPr>
      </w:pPr>
      <w:r>
        <w:rPr>
          <w:rFonts w:hint="eastAsia"/>
          <w:b/>
          <w:bCs/>
        </w:rPr>
        <w:t>（五）最后报价</w:t>
      </w:r>
    </w:p>
    <w:p>
      <w:pPr>
        <w:spacing w:line="406" w:lineRule="exact"/>
        <w:ind w:firstLine="420" w:firstLineChars="200"/>
      </w:pPr>
      <w:r>
        <w:t>1.</w:t>
      </w:r>
      <w:r>
        <w:rPr>
          <w:rFonts w:hint="eastAsia"/>
        </w:rPr>
        <w:t>磋商文件能够详细列明采购标的的技术、服务要求的，磋商结束后，磋商小组应当要求所有实质性响应的供应商在规定时间内提交最后报价，提交最后报价的供应商不得少于3家。</w:t>
      </w:r>
    </w:p>
    <w:p>
      <w:pPr>
        <w:spacing w:line="406" w:lineRule="exact"/>
        <w:ind w:firstLine="420" w:firstLineChars="200"/>
      </w:pPr>
      <w:r>
        <w:rPr>
          <w:rFonts w:hint="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6" w:lineRule="exact"/>
        <w:ind w:firstLine="420" w:firstLineChars="200"/>
      </w:pPr>
      <w:bookmarkStart w:id="125" w:name="_Hlk101270484"/>
      <w:r>
        <w:rPr>
          <w:rFonts w:hint="eastAsia"/>
        </w:rPr>
        <w:t>市场竞争不充分的科研项目，以及需要扶持的科技成果转化项目</w:t>
      </w:r>
      <w:bookmarkEnd w:id="125"/>
      <w:r>
        <w:rPr>
          <w:rFonts w:hint="eastAsia"/>
        </w:rPr>
        <w:t>提交最后报价的供应商可以为2家。</w:t>
      </w:r>
    </w:p>
    <w:p>
      <w:pPr>
        <w:spacing w:line="406" w:lineRule="exact"/>
        <w:ind w:firstLine="420" w:firstLineChars="200"/>
      </w:pPr>
      <w:r>
        <w:t>2.</w:t>
      </w:r>
      <w:r>
        <w:rPr>
          <w:rFonts w:hint="eastAsia"/>
        </w:rPr>
        <w:t>最后报价应由其法定代表人或授权代表签名或者加盖公章，最后报价即系供应商响应报价。</w:t>
      </w:r>
    </w:p>
    <w:p>
      <w:pPr>
        <w:snapToGrid w:val="0"/>
        <w:spacing w:line="406" w:lineRule="exact"/>
        <w:ind w:firstLine="422" w:firstLineChars="200"/>
        <w:rPr>
          <w:rFonts w:ascii="宋体" w:hAnsi="宋体"/>
          <w:szCs w:val="21"/>
        </w:rPr>
      </w:pPr>
      <w:r>
        <w:rPr>
          <w:rFonts w:hint="eastAsia"/>
          <w:b/>
          <w:bCs/>
        </w:rPr>
        <w:t>3</w:t>
      </w:r>
      <w:r>
        <w:rPr>
          <w:b/>
          <w:bCs/>
        </w:rPr>
        <w:t>.</w:t>
      </w:r>
      <w:r>
        <w:rPr>
          <w:rFonts w:hint="eastAsia" w:ascii="宋体" w:hAnsi="宋体" w:cs="Courier New"/>
          <w:b/>
          <w:szCs w:val="21"/>
        </w:rPr>
        <w:t>在报价评审时，如发现下列情形之一的，响应文件将被视为无效：</w:t>
      </w:r>
    </w:p>
    <w:p>
      <w:pPr>
        <w:snapToGrid w:val="0"/>
        <w:spacing w:line="406"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报价未采用人民币或者未按照采购文件标明的币种报价的；</w:t>
      </w:r>
    </w:p>
    <w:p>
      <w:pPr>
        <w:snapToGrid w:val="0"/>
        <w:spacing w:line="406"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报价明细表中货物品牌、规格、型号、服务事项未明确或与响应文件中相应内容不一致的；</w:t>
      </w:r>
    </w:p>
    <w:p>
      <w:pPr>
        <w:snapToGrid w:val="0"/>
        <w:spacing w:line="406"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报价具有选择性的；</w:t>
      </w:r>
    </w:p>
    <w:p>
      <w:pPr>
        <w:snapToGrid w:val="0"/>
        <w:spacing w:line="406" w:lineRule="exact"/>
        <w:ind w:firstLine="420" w:firstLineChars="200"/>
        <w:rPr>
          <w:rFonts w:ascii="宋体" w:hAnsi="宋体"/>
          <w:color w:val="0D0D0D" w:themeColor="text1" w:themeTint="F2"/>
          <w:szCs w:val="21"/>
          <w14:textFill>
            <w14:solidFill>
              <w14:schemeClr w14:val="tx1">
                <w14:lumMod w14:val="95000"/>
                <w14:lumOff w14:val="5000"/>
              </w14:schemeClr>
            </w14:solidFill>
          </w14:textFill>
        </w:rPr>
      </w:pPr>
      <w:r>
        <w:rPr>
          <w:rFonts w:ascii="宋体" w:hAnsi="宋体"/>
          <w:color w:val="0D0D0D" w:themeColor="text1" w:themeTint="F2"/>
          <w:szCs w:val="21"/>
          <w14:textFill>
            <w14:solidFill>
              <w14:schemeClr w14:val="tx1">
                <w14:lumMod w14:val="95000"/>
                <w14:lumOff w14:val="5000"/>
              </w14:schemeClr>
            </w14:solidFill>
          </w14:textFill>
        </w:rPr>
        <w:t>(4)</w:t>
      </w:r>
      <w:r>
        <w:rPr>
          <w:rFonts w:hint="eastAsia" w:ascii="宋体" w:hAnsi="宋体"/>
          <w:color w:val="000000"/>
          <w:szCs w:val="21"/>
        </w:rPr>
        <w:t>报价未按采购文件或政采云平台规定的格式填写，或未在规定时间内提交最后报价的。</w:t>
      </w:r>
    </w:p>
    <w:p>
      <w:pPr>
        <w:spacing w:line="406" w:lineRule="exact"/>
        <w:ind w:firstLine="211" w:firstLineChars="100"/>
        <w:rPr>
          <w:b/>
          <w:bCs/>
        </w:rPr>
      </w:pPr>
      <w:r>
        <w:rPr>
          <w:rFonts w:hint="eastAsia"/>
          <w:b/>
          <w:bCs/>
        </w:rPr>
        <w:t>（六）澄清、说明或者更正的形式</w:t>
      </w:r>
    </w:p>
    <w:p>
      <w:pPr>
        <w:pStyle w:val="22"/>
        <w:spacing w:line="406" w:lineRule="exact"/>
        <w:ind w:firstLine="420"/>
        <w:rPr>
          <w:rFonts w:hAnsi="宋体"/>
          <w:bCs/>
        </w:rPr>
      </w:pPr>
      <w:r>
        <w:rPr>
          <w:rFonts w:hint="eastAsia" w:hAnsi="宋体"/>
          <w:bCs/>
        </w:rPr>
        <w:t>1</w:t>
      </w:r>
      <w:r>
        <w:rPr>
          <w:rFonts w:hAnsi="宋体"/>
          <w:bCs/>
        </w:rPr>
        <w:t>.</w:t>
      </w:r>
      <w:r>
        <w:rPr>
          <w:rFonts w:hint="eastAsia" w:hAnsi="宋体"/>
          <w:bCs/>
        </w:rPr>
        <w:t>磋商小组在对响应文件的有效性、完整性和响应程度进行审查时，可以要求供应商对响应文件中含义不明确、同类问题表述不一致或者有明显文字和计算错误的内容等作出必要的</w:t>
      </w:r>
      <w:bookmarkStart w:id="126" w:name="_Hlk92462362"/>
      <w:r>
        <w:rPr>
          <w:rFonts w:hint="eastAsia" w:hAnsi="宋体"/>
          <w:bCs/>
        </w:rPr>
        <w:t>澄清、说明或者更正</w:t>
      </w:r>
      <w:bookmarkEnd w:id="126"/>
      <w:r>
        <w:rPr>
          <w:rFonts w:hint="eastAsia" w:hAnsi="宋体"/>
          <w:bCs/>
        </w:rPr>
        <w:t>。供应商的澄清、说明或者更正不得超出响应文件的范围或者改变响应文件的实质性内容。</w:t>
      </w:r>
    </w:p>
    <w:p>
      <w:pPr>
        <w:pStyle w:val="22"/>
        <w:spacing w:line="406" w:lineRule="exact"/>
        <w:ind w:firstLine="420"/>
        <w:rPr>
          <w:rFonts w:hAnsi="宋体"/>
          <w:bCs/>
        </w:rPr>
      </w:pPr>
      <w:r>
        <w:rPr>
          <w:rFonts w:hint="eastAsia" w:hAnsi="宋体"/>
          <w:bCs/>
        </w:rPr>
        <w:t>2</w:t>
      </w:r>
      <w:r>
        <w:rPr>
          <w:rFonts w:hAnsi="宋体"/>
          <w:bCs/>
        </w:rPr>
        <w:t>.</w:t>
      </w:r>
      <w:r>
        <w:rPr>
          <w:rFonts w:hint="eastAsia" w:hAnsi="宋体"/>
          <w:bCs/>
        </w:rPr>
        <w:t>磋商小组要求供应商澄清、说明或者更正响应文件应当以书面形式作出。供应商的澄清、说明或者更正应当由法定代表人或其授权代表签名或者加盖公章。由授权代表签名的，应当附法定代表人授权书。供应商为自然人的，应当由本人签名并附身份证明。</w:t>
      </w:r>
    </w:p>
    <w:p>
      <w:pPr>
        <w:spacing w:line="406" w:lineRule="exact"/>
        <w:ind w:firstLine="211" w:firstLineChars="100"/>
        <w:rPr>
          <w:b/>
          <w:bCs/>
        </w:rPr>
      </w:pPr>
      <w:r>
        <w:rPr>
          <w:rFonts w:hint="eastAsia"/>
          <w:b/>
          <w:bCs/>
        </w:rPr>
        <w:t>（七）综合评分</w:t>
      </w:r>
    </w:p>
    <w:p>
      <w:pPr>
        <w:spacing w:line="406" w:lineRule="exact"/>
        <w:ind w:firstLine="420" w:firstLineChars="200"/>
        <w:rPr>
          <w:rFonts w:ascii="宋体" w:hAnsi="Courier New" w:cs="Courier New"/>
          <w:szCs w:val="21"/>
        </w:rPr>
      </w:pPr>
      <w:r>
        <w:rPr>
          <w:rFonts w:hint="eastAsia" w:ascii="宋体" w:hAnsi="Courier New" w:cs="Courier New"/>
          <w:szCs w:val="21"/>
        </w:rPr>
        <w:t>1</w:t>
      </w:r>
      <w:r>
        <w:rPr>
          <w:rFonts w:ascii="宋体" w:hAnsi="Courier New" w:cs="Courier New"/>
          <w:szCs w:val="21"/>
        </w:rPr>
        <w:t>.</w:t>
      </w:r>
      <w:r>
        <w:rPr>
          <w:rFonts w:hint="eastAsia" w:ascii="宋体" w:hAnsi="Courier New" w:cs="Courier New"/>
          <w:szCs w:val="21"/>
        </w:rPr>
        <w:t>经磋商确定最终采购需求和提交最后报价的供应商后，由磋商小组采用综合评分法对提交最后报价的供应商的响应文件和最后报价进行综合评分。</w:t>
      </w:r>
    </w:p>
    <w:p>
      <w:pPr>
        <w:spacing w:line="406" w:lineRule="exact"/>
        <w:ind w:firstLine="420" w:firstLineChars="200"/>
      </w:pPr>
      <w:r>
        <w:rPr>
          <w:rFonts w:hint="eastAsia" w:ascii="宋体" w:hAnsi="Courier New" w:cs="Courier New"/>
          <w:szCs w:val="21"/>
        </w:rPr>
        <w:t>2</w:t>
      </w:r>
      <w:r>
        <w:rPr>
          <w:rFonts w:ascii="宋体" w:hAnsi="Courier New" w:cs="Courier New"/>
          <w:szCs w:val="21"/>
        </w:rPr>
        <w:t>.</w:t>
      </w:r>
      <w:r>
        <w:rPr>
          <w:rFonts w:hint="eastAsia" w:ascii="宋体" w:hAnsi="Courier New" w:cs="Courier New"/>
          <w:szCs w:val="21"/>
        </w:rPr>
        <w:t>综合评分法：响应文件满足磋商文件全部实质性要求且按评审因素的量化指标评审得分最高的供应商为成交候选供应商，详见第四章《评定标准及推荐原则》。</w:t>
      </w:r>
    </w:p>
    <w:p>
      <w:pPr>
        <w:pStyle w:val="22"/>
        <w:spacing w:line="406" w:lineRule="exact"/>
        <w:ind w:firstLine="211" w:firstLineChars="100"/>
        <w:rPr>
          <w:rFonts w:hAnsi="宋体"/>
          <w:b/>
        </w:rPr>
      </w:pPr>
      <w:r>
        <w:rPr>
          <w:rFonts w:hint="eastAsia" w:hAnsi="宋体"/>
          <w:b/>
        </w:rPr>
        <w:t>（八）供应商有下列情形之一的，属于恶意串通：</w:t>
      </w:r>
    </w:p>
    <w:p>
      <w:pPr>
        <w:pStyle w:val="22"/>
        <w:spacing w:line="406" w:lineRule="exact"/>
        <w:ind w:firstLine="420" w:firstLineChars="200"/>
        <w:rPr>
          <w:rFonts w:hAnsi="宋体" w:cs="Times New Roman"/>
        </w:rPr>
      </w:pPr>
      <w:r>
        <w:rPr>
          <w:rFonts w:hint="eastAsia" w:hAnsi="宋体" w:cs="Times New Roman"/>
        </w:rPr>
        <w:t>1</w:t>
      </w:r>
      <w:r>
        <w:rPr>
          <w:rFonts w:hAnsi="宋体" w:cs="Times New Roman"/>
        </w:rPr>
        <w:t>.</w:t>
      </w:r>
      <w:r>
        <w:rPr>
          <w:rFonts w:hint="eastAsia" w:hAnsi="宋体" w:cs="Times New Roman"/>
        </w:rPr>
        <w:t>供应商直接或者间接从采购人或者采购代理机构处获得其他供应商的相关情况并修改其响应文件；</w:t>
      </w:r>
    </w:p>
    <w:p>
      <w:pPr>
        <w:pStyle w:val="22"/>
        <w:spacing w:line="406" w:lineRule="exact"/>
        <w:ind w:firstLine="420" w:firstLineChars="200"/>
        <w:rPr>
          <w:rFonts w:hAnsi="宋体" w:cs="Times New Roman"/>
        </w:rPr>
      </w:pPr>
      <w:r>
        <w:rPr>
          <w:rFonts w:hint="eastAsia" w:hAnsi="宋体" w:cs="Times New Roman"/>
        </w:rPr>
        <w:t>2</w:t>
      </w:r>
      <w:r>
        <w:rPr>
          <w:rFonts w:hAnsi="宋体" w:cs="Times New Roman"/>
        </w:rPr>
        <w:t>.</w:t>
      </w:r>
      <w:r>
        <w:rPr>
          <w:rFonts w:hint="eastAsia" w:hAnsi="宋体" w:cs="Times New Roman"/>
        </w:rPr>
        <w:t>供应商按照采购人或者采购代理机构的授意撤换、修改响应文件；</w:t>
      </w:r>
    </w:p>
    <w:p>
      <w:pPr>
        <w:pStyle w:val="22"/>
        <w:spacing w:line="406" w:lineRule="exact"/>
        <w:ind w:firstLine="420" w:firstLineChars="200"/>
        <w:rPr>
          <w:rFonts w:hAnsi="宋体" w:cs="Times New Roman"/>
        </w:rPr>
      </w:pPr>
      <w:r>
        <w:rPr>
          <w:rFonts w:hint="eastAsia" w:hAnsi="宋体" w:cs="Times New Roman"/>
        </w:rPr>
        <w:t>3</w:t>
      </w:r>
      <w:r>
        <w:rPr>
          <w:rFonts w:hAnsi="宋体" w:cs="Times New Roman"/>
        </w:rPr>
        <w:t>.</w:t>
      </w:r>
      <w:r>
        <w:rPr>
          <w:rFonts w:hint="eastAsia" w:hAnsi="宋体" w:cs="Times New Roman"/>
        </w:rPr>
        <w:t>供应商之间协商报价、技术方案等响应文件的实质性内容；</w:t>
      </w:r>
    </w:p>
    <w:p>
      <w:pPr>
        <w:pStyle w:val="22"/>
        <w:spacing w:line="406" w:lineRule="exact"/>
        <w:ind w:firstLine="420" w:firstLineChars="200"/>
        <w:rPr>
          <w:rFonts w:hAnsi="宋体" w:cs="Times New Roman"/>
        </w:rPr>
      </w:pPr>
      <w:r>
        <w:rPr>
          <w:rFonts w:hint="eastAsia" w:hAnsi="宋体" w:cs="Times New Roman"/>
        </w:rPr>
        <w:t>4</w:t>
      </w:r>
      <w:r>
        <w:rPr>
          <w:rFonts w:hAnsi="宋体" w:cs="Times New Roman"/>
        </w:rPr>
        <w:t>.</w:t>
      </w:r>
      <w:r>
        <w:rPr>
          <w:rFonts w:hint="eastAsia" w:hAnsi="宋体" w:cs="Times New Roman"/>
        </w:rPr>
        <w:t>属于同一集团、协会、商会等组织成员的供应商按照该组织要求协同参加政府采购活动；</w:t>
      </w:r>
    </w:p>
    <w:p>
      <w:pPr>
        <w:pStyle w:val="22"/>
        <w:spacing w:line="406" w:lineRule="exact"/>
        <w:ind w:firstLine="420" w:firstLineChars="200"/>
        <w:rPr>
          <w:rFonts w:hAnsi="宋体" w:cs="Times New Roman"/>
        </w:rPr>
      </w:pPr>
      <w:r>
        <w:rPr>
          <w:rFonts w:hint="eastAsia" w:hAnsi="宋体" w:cs="Times New Roman"/>
        </w:rPr>
        <w:t>5</w:t>
      </w:r>
      <w:r>
        <w:rPr>
          <w:rFonts w:hAnsi="宋体" w:cs="Times New Roman"/>
        </w:rPr>
        <w:t>.</w:t>
      </w:r>
      <w:r>
        <w:rPr>
          <w:rFonts w:hint="eastAsia" w:hAnsi="宋体" w:cs="Times New Roman"/>
        </w:rPr>
        <w:t>供应商之间事先约定由某一特定供应商成交；</w:t>
      </w:r>
    </w:p>
    <w:p>
      <w:pPr>
        <w:pStyle w:val="22"/>
        <w:spacing w:line="406" w:lineRule="exact"/>
        <w:ind w:firstLine="420" w:firstLineChars="200"/>
        <w:rPr>
          <w:rFonts w:hAnsi="宋体" w:cs="Times New Roman"/>
        </w:rPr>
      </w:pPr>
      <w:r>
        <w:rPr>
          <w:rFonts w:hint="eastAsia" w:hAnsi="宋体" w:cs="Times New Roman"/>
        </w:rPr>
        <w:t>6</w:t>
      </w:r>
      <w:r>
        <w:rPr>
          <w:rFonts w:hAnsi="宋体" w:cs="Times New Roman"/>
        </w:rPr>
        <w:t>.</w:t>
      </w:r>
      <w:r>
        <w:rPr>
          <w:rFonts w:hint="eastAsia" w:hAnsi="宋体" w:cs="Times New Roman"/>
        </w:rPr>
        <w:t>供应商之间商定部分供应商放弃参加政府采购活动或者放弃成交；</w:t>
      </w:r>
    </w:p>
    <w:p>
      <w:pPr>
        <w:pStyle w:val="22"/>
        <w:spacing w:line="406" w:lineRule="exact"/>
        <w:ind w:firstLine="420" w:firstLineChars="200"/>
        <w:rPr>
          <w:rFonts w:hAnsi="宋体" w:cs="Times New Roman"/>
        </w:rPr>
      </w:pPr>
      <w:r>
        <w:rPr>
          <w:rFonts w:hint="eastAsia" w:hAnsi="宋体" w:cs="Times New Roman"/>
        </w:rPr>
        <w:t>7</w:t>
      </w:r>
      <w:r>
        <w:rPr>
          <w:rFonts w:hAnsi="宋体" w:cs="Times New Roman"/>
        </w:rPr>
        <w:t>.</w:t>
      </w:r>
      <w:r>
        <w:rPr>
          <w:rFonts w:hint="eastAsia" w:hAnsi="宋体" w:cs="Times New Roman"/>
        </w:rPr>
        <w:t>供应商与采购人或者采购代理机构之间、供应商相互之间，为谋求特定供应商成交或者排斥其他供应商的其他串通行为。</w:t>
      </w:r>
    </w:p>
    <w:p>
      <w:pPr>
        <w:pStyle w:val="22"/>
        <w:spacing w:line="406" w:lineRule="exact"/>
        <w:ind w:firstLine="211" w:firstLineChars="100"/>
        <w:rPr>
          <w:rFonts w:hAnsi="宋体"/>
          <w:b/>
        </w:rPr>
      </w:pPr>
      <w:r>
        <w:rPr>
          <w:rFonts w:hint="eastAsia" w:hAnsi="宋体"/>
          <w:b/>
        </w:rPr>
        <w:t>（九）评审报告</w:t>
      </w:r>
    </w:p>
    <w:p>
      <w:pPr>
        <w:widowControl/>
        <w:tabs>
          <w:tab w:val="left" w:pos="540"/>
        </w:tabs>
        <w:spacing w:line="406" w:lineRule="exact"/>
        <w:ind w:firstLine="420" w:firstLineChars="200"/>
        <w:jc w:val="left"/>
        <w:rPr>
          <w:szCs w:val="21"/>
        </w:rPr>
      </w:pPr>
      <w:r>
        <w:rPr>
          <w:rFonts w:hint="eastAsia"/>
          <w:szCs w:val="21"/>
        </w:rPr>
        <w:t>1</w:t>
      </w:r>
      <w:r>
        <w:rPr>
          <w:szCs w:val="21"/>
        </w:rPr>
        <w:t>.</w:t>
      </w:r>
      <w:r>
        <w:rPr>
          <w:rFonts w:hint="eastAsia"/>
          <w:szCs w:val="21"/>
        </w:rPr>
        <w:t>磋商小组应当根据评审记录和评审结果编写评审报告，主要内容包括：</w:t>
      </w:r>
    </w:p>
    <w:p>
      <w:pPr>
        <w:widowControl/>
        <w:tabs>
          <w:tab w:val="left" w:pos="540"/>
        </w:tabs>
        <w:spacing w:line="406" w:lineRule="exact"/>
        <w:ind w:firstLine="420" w:firstLineChars="200"/>
        <w:jc w:val="left"/>
        <w:rPr>
          <w:szCs w:val="21"/>
        </w:rPr>
      </w:pPr>
      <w:r>
        <w:rPr>
          <w:rFonts w:hint="eastAsia"/>
          <w:szCs w:val="21"/>
        </w:rPr>
        <w:t>(</w:t>
      </w:r>
      <w:r>
        <w:rPr>
          <w:szCs w:val="21"/>
        </w:rPr>
        <w:t>1)</w:t>
      </w:r>
      <w:r>
        <w:rPr>
          <w:rFonts w:hint="eastAsia"/>
          <w:szCs w:val="21"/>
        </w:rPr>
        <w:t>邀请供应商参加采购活动的具体方式和相关情况；</w:t>
      </w:r>
    </w:p>
    <w:p>
      <w:pPr>
        <w:widowControl/>
        <w:tabs>
          <w:tab w:val="left" w:pos="540"/>
        </w:tabs>
        <w:spacing w:line="406" w:lineRule="exact"/>
        <w:ind w:firstLine="420" w:firstLineChars="200"/>
        <w:jc w:val="left"/>
        <w:rPr>
          <w:szCs w:val="21"/>
        </w:rPr>
      </w:pPr>
      <w:r>
        <w:rPr>
          <w:rFonts w:hint="eastAsia"/>
          <w:szCs w:val="21"/>
        </w:rPr>
        <w:t>(</w:t>
      </w:r>
      <w:r>
        <w:rPr>
          <w:szCs w:val="21"/>
        </w:rPr>
        <w:t>2)</w:t>
      </w:r>
      <w:r>
        <w:rPr>
          <w:rFonts w:hint="eastAsia"/>
          <w:szCs w:val="21"/>
        </w:rPr>
        <w:t>响应文件开启日期和地点；</w:t>
      </w:r>
    </w:p>
    <w:p>
      <w:pPr>
        <w:widowControl/>
        <w:tabs>
          <w:tab w:val="left" w:pos="540"/>
        </w:tabs>
        <w:spacing w:line="406" w:lineRule="exact"/>
        <w:ind w:firstLine="420" w:firstLineChars="200"/>
        <w:jc w:val="left"/>
        <w:rPr>
          <w:szCs w:val="21"/>
        </w:rPr>
      </w:pPr>
      <w:r>
        <w:rPr>
          <w:rFonts w:hint="eastAsia"/>
          <w:szCs w:val="21"/>
        </w:rPr>
        <w:t>(</w:t>
      </w:r>
      <w:r>
        <w:rPr>
          <w:szCs w:val="21"/>
        </w:rPr>
        <w:t>3)</w:t>
      </w:r>
      <w:r>
        <w:rPr>
          <w:rFonts w:hint="eastAsia"/>
          <w:szCs w:val="21"/>
        </w:rPr>
        <w:t>获取磋商文件的供应商名单和磋商小组成员名单；</w:t>
      </w:r>
    </w:p>
    <w:p>
      <w:pPr>
        <w:widowControl/>
        <w:tabs>
          <w:tab w:val="left" w:pos="540"/>
        </w:tabs>
        <w:spacing w:line="406" w:lineRule="exact"/>
        <w:ind w:firstLine="420" w:firstLineChars="200"/>
        <w:jc w:val="left"/>
        <w:rPr>
          <w:szCs w:val="21"/>
        </w:rPr>
      </w:pPr>
      <w:r>
        <w:rPr>
          <w:rFonts w:hint="eastAsia"/>
          <w:szCs w:val="21"/>
        </w:rPr>
        <w:t>(</w:t>
      </w:r>
      <w:r>
        <w:rPr>
          <w:szCs w:val="21"/>
        </w:rPr>
        <w:t>4)</w:t>
      </w:r>
      <w:r>
        <w:rPr>
          <w:rFonts w:hint="eastAsia"/>
          <w:szCs w:val="21"/>
        </w:rPr>
        <w:t>评审情况记录和说明，包括对供应商的资格审查情况、供应商响应文件评审情况、磋商情况、报价情况等；</w:t>
      </w:r>
    </w:p>
    <w:p>
      <w:pPr>
        <w:widowControl/>
        <w:tabs>
          <w:tab w:val="left" w:pos="540"/>
        </w:tabs>
        <w:spacing w:line="406" w:lineRule="exact"/>
        <w:ind w:firstLine="420" w:firstLineChars="200"/>
        <w:jc w:val="left"/>
        <w:rPr>
          <w:szCs w:val="21"/>
        </w:rPr>
      </w:pPr>
      <w:r>
        <w:rPr>
          <w:rFonts w:hint="eastAsia"/>
          <w:szCs w:val="21"/>
        </w:rPr>
        <w:t>(</w:t>
      </w:r>
      <w:r>
        <w:rPr>
          <w:szCs w:val="21"/>
        </w:rPr>
        <w:t>5)</w:t>
      </w:r>
      <w:r>
        <w:rPr>
          <w:rFonts w:hint="eastAsia"/>
          <w:szCs w:val="21"/>
        </w:rPr>
        <w:t>提出的成交候选供应商的排序名单及理由。</w:t>
      </w:r>
    </w:p>
    <w:p>
      <w:pPr>
        <w:widowControl/>
        <w:tabs>
          <w:tab w:val="left" w:pos="540"/>
        </w:tabs>
        <w:spacing w:line="406" w:lineRule="exact"/>
        <w:ind w:firstLine="420" w:firstLineChars="200"/>
        <w:jc w:val="left"/>
        <w:rPr>
          <w:szCs w:val="21"/>
        </w:rPr>
      </w:pPr>
      <w:r>
        <w:rPr>
          <w:rFonts w:hint="eastAsia"/>
          <w:szCs w:val="21"/>
        </w:rPr>
        <w:t>2</w:t>
      </w:r>
      <w:r>
        <w:rPr>
          <w:szCs w:val="21"/>
        </w:rPr>
        <w:t>.</w:t>
      </w:r>
      <w:r>
        <w:rPr>
          <w:rFonts w:hint="eastAsia"/>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pStyle w:val="22"/>
        <w:spacing w:line="406" w:lineRule="exact"/>
        <w:ind w:firstLine="211" w:firstLineChars="100"/>
        <w:rPr>
          <w:rFonts w:hAnsi="宋体"/>
        </w:rPr>
      </w:pPr>
      <w:r>
        <w:rPr>
          <w:rFonts w:hint="eastAsia" w:hAnsi="宋体"/>
          <w:b/>
          <w:bCs/>
        </w:rPr>
        <w:t>（十）</w:t>
      </w:r>
      <w:r>
        <w:rPr>
          <w:rFonts w:hint="eastAsia" w:hAnsi="宋体"/>
          <w:b/>
        </w:rPr>
        <w:t>出现下列情形之一的，本中心将终止竞争性磋商采购活动：</w:t>
      </w:r>
    </w:p>
    <w:p>
      <w:pPr>
        <w:pStyle w:val="22"/>
        <w:spacing w:line="406" w:lineRule="exact"/>
        <w:ind w:firstLine="420" w:firstLineChars="200"/>
        <w:rPr>
          <w:rFonts w:hAnsi="宋体"/>
        </w:rPr>
      </w:pPr>
      <w:r>
        <w:rPr>
          <w:rFonts w:hint="eastAsia" w:hAnsi="宋体"/>
        </w:rPr>
        <w:t>1</w:t>
      </w:r>
      <w:r>
        <w:rPr>
          <w:rFonts w:hAnsi="宋体"/>
        </w:rPr>
        <w:t>.</w:t>
      </w:r>
      <w:r>
        <w:rPr>
          <w:rFonts w:hint="eastAsia" w:hAnsi="宋体"/>
        </w:rPr>
        <w:t>因情况变化，不再符合规定的竞争性磋商采购方式适用情形的；</w:t>
      </w:r>
    </w:p>
    <w:p>
      <w:pPr>
        <w:pStyle w:val="22"/>
        <w:spacing w:line="406" w:lineRule="exact"/>
        <w:ind w:firstLine="420" w:firstLineChars="200"/>
        <w:rPr>
          <w:rFonts w:hAnsi="宋体"/>
        </w:rPr>
      </w:pPr>
      <w:r>
        <w:rPr>
          <w:rFonts w:hint="eastAsia" w:hAnsi="宋体"/>
        </w:rPr>
        <w:t>2</w:t>
      </w:r>
      <w:r>
        <w:rPr>
          <w:rFonts w:hAnsi="宋体"/>
        </w:rPr>
        <w:t>.</w:t>
      </w:r>
      <w:r>
        <w:rPr>
          <w:rFonts w:hint="eastAsia" w:hAnsi="宋体"/>
        </w:rPr>
        <w:t>出现影响采购公正的违法、违规行为的；</w:t>
      </w:r>
    </w:p>
    <w:p>
      <w:pPr>
        <w:pStyle w:val="22"/>
        <w:spacing w:line="406" w:lineRule="exact"/>
        <w:ind w:firstLine="420" w:firstLineChars="200"/>
        <w:rPr>
          <w:rFonts w:hAnsi="宋体"/>
        </w:rPr>
      </w:pPr>
      <w:r>
        <w:rPr>
          <w:rFonts w:hint="eastAsia" w:hAnsi="宋体"/>
        </w:rPr>
        <w:t>3</w:t>
      </w:r>
      <w:r>
        <w:rPr>
          <w:rFonts w:hAnsi="宋体"/>
        </w:rPr>
        <w:t>.</w:t>
      </w:r>
      <w:r>
        <w:rPr>
          <w:rFonts w:hint="eastAsia" w:hAnsi="宋体"/>
        </w:rPr>
        <w:t>除特殊情况外，在采购过程中符合要求的供应商或者报价未超过采购预算的供应商不足3家的。</w:t>
      </w:r>
    </w:p>
    <w:p>
      <w:pPr>
        <w:pStyle w:val="4"/>
        <w:tabs>
          <w:tab w:val="left" w:pos="5580"/>
        </w:tabs>
        <w:spacing w:line="406" w:lineRule="exact"/>
      </w:pPr>
      <w:r>
        <w:rPr>
          <w:rFonts w:hint="eastAsia"/>
        </w:rPr>
        <w:t>六、确定成交供应商</w:t>
      </w:r>
      <w:r>
        <w:tab/>
      </w:r>
    </w:p>
    <w:p>
      <w:pPr>
        <w:pStyle w:val="22"/>
        <w:spacing w:line="406" w:lineRule="exact"/>
        <w:ind w:firstLine="420"/>
        <w:rPr>
          <w:rFonts w:hAnsi="宋体"/>
        </w:rPr>
      </w:pPr>
      <w:r>
        <w:rPr>
          <w:rFonts w:hint="eastAsia" w:hAnsi="宋体"/>
        </w:rPr>
        <w:t>1</w:t>
      </w:r>
      <w:r>
        <w:rPr>
          <w:rFonts w:hAnsi="宋体"/>
        </w:rPr>
        <w:t>.</w:t>
      </w:r>
      <w:r>
        <w:rPr>
          <w:rFonts w:hint="eastAsia" w:hAnsi="宋体"/>
        </w:rPr>
        <w:t>本中心应当在评审结束后2个工作日内将评审报告送采购人确认。</w:t>
      </w:r>
    </w:p>
    <w:p>
      <w:pPr>
        <w:pStyle w:val="22"/>
        <w:spacing w:line="406" w:lineRule="exact"/>
        <w:ind w:firstLine="420"/>
        <w:rPr>
          <w:rFonts w:hAnsi="宋体"/>
        </w:rPr>
      </w:pPr>
      <w:r>
        <w:rPr>
          <w:rFonts w:hAnsi="宋体"/>
        </w:rPr>
        <w:t>2.</w:t>
      </w:r>
      <w:r>
        <w:rPr>
          <w:rFonts w:hint="eastAsia" w:hAnsi="宋体"/>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line="406" w:lineRule="exact"/>
      </w:pPr>
      <w:r>
        <w:rPr>
          <w:rFonts w:hint="eastAsia"/>
        </w:rPr>
        <w:t>七、结果公告</w:t>
      </w:r>
    </w:p>
    <w:p>
      <w:pPr>
        <w:pStyle w:val="22"/>
        <w:spacing w:line="406" w:lineRule="exact"/>
        <w:ind w:firstLine="420" w:firstLineChars="200"/>
        <w:rPr>
          <w:rFonts w:hAnsi="宋体"/>
        </w:rPr>
      </w:pPr>
      <w:r>
        <w:rPr>
          <w:rFonts w:hint="eastAsia" w:hAnsi="宋体"/>
        </w:rPr>
        <w:t>本中心在成交供应商确定后2个工作日内，</w:t>
      </w:r>
      <w:r>
        <w:rPr>
          <w:rFonts w:hint="eastAsia"/>
        </w:rPr>
        <w:t>在省级以上财政部门指定的媒体上公告</w:t>
      </w:r>
      <w:r>
        <w:rPr>
          <w:rFonts w:hint="eastAsia" w:hAnsi="宋体"/>
        </w:rPr>
        <w:t>成交结果，同时向成交供应商发出成交通知书。</w:t>
      </w:r>
    </w:p>
    <w:p>
      <w:pPr>
        <w:pStyle w:val="4"/>
        <w:spacing w:line="406" w:lineRule="exact"/>
      </w:pPr>
      <w:r>
        <w:rPr>
          <w:rFonts w:hint="eastAsia"/>
        </w:rPr>
        <w:t>八、签订合同</w:t>
      </w:r>
    </w:p>
    <w:p>
      <w:pPr>
        <w:spacing w:line="406" w:lineRule="exact"/>
        <w:ind w:firstLine="210" w:firstLineChars="100"/>
        <w:rPr>
          <w:rFonts w:ascii="宋体" w:hAnsi="宋体" w:cs="Courier New"/>
          <w:szCs w:val="21"/>
        </w:rPr>
      </w:pPr>
      <w:r>
        <w:rPr>
          <w:rFonts w:hint="eastAsia" w:ascii="宋体" w:hAnsi="宋体"/>
          <w:szCs w:val="21"/>
        </w:rPr>
        <w:t>（一）</w:t>
      </w:r>
      <w:r>
        <w:rPr>
          <w:rFonts w:hint="eastAsia" w:ascii="宋体" w:hAnsi="宋体" w:cs="Courier New"/>
          <w:szCs w:val="21"/>
        </w:rPr>
        <w:t>采购人与成交供应商应当在成交通知书发出之日起</w:t>
      </w:r>
      <w:r>
        <w:rPr>
          <w:rFonts w:ascii="宋体" w:hAnsi="宋体" w:cs="Courier New"/>
          <w:szCs w:val="21"/>
        </w:rPr>
        <w:t>15</w:t>
      </w:r>
      <w:r>
        <w:rPr>
          <w:rFonts w:hint="eastAsia" w:ascii="宋体" w:hAnsi="宋体" w:cs="Courier New"/>
          <w:szCs w:val="21"/>
        </w:rPr>
        <w:t>日内，按照磋商文件确定的合同文本以及采购标的、规格型号、采购金额、采购数量、技术和服务要求等事项签订政府采购合同。</w:t>
      </w:r>
    </w:p>
    <w:p>
      <w:pPr>
        <w:widowControl/>
        <w:spacing w:line="406" w:lineRule="exact"/>
        <w:ind w:firstLine="210" w:firstLineChars="100"/>
        <w:jc w:val="left"/>
        <w:rPr>
          <w:rFonts w:ascii="宋体" w:hAnsi="宋体" w:cs="宋体"/>
          <w:kern w:val="0"/>
          <w:szCs w:val="21"/>
        </w:rPr>
      </w:pPr>
      <w:r>
        <w:rPr>
          <w:rFonts w:hint="eastAsia" w:ascii="宋体" w:hAnsi="宋体" w:cs="Courier New"/>
          <w:szCs w:val="21"/>
        </w:rPr>
        <w:t>（二）</w:t>
      </w:r>
      <w:r>
        <w:rPr>
          <w:rFonts w:hint="eastAsia" w:ascii="宋体" w:hAnsi="宋体" w:cs="宋体"/>
          <w:kern w:val="0"/>
          <w:szCs w:val="21"/>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widowControl/>
        <w:spacing w:line="406" w:lineRule="exact"/>
        <w:ind w:firstLine="210" w:firstLineChars="100"/>
        <w:jc w:val="left"/>
        <w:rPr>
          <w:rFonts w:ascii="宋体" w:hAnsi="宋体" w:cs="宋体"/>
          <w:kern w:val="0"/>
          <w:szCs w:val="21"/>
        </w:rPr>
      </w:pPr>
      <w:r>
        <w:rPr>
          <w:rFonts w:hint="eastAsia" w:ascii="宋体" w:hAnsi="宋体" w:cs="宋体"/>
          <w:kern w:val="0"/>
          <w:szCs w:val="21"/>
        </w:rPr>
        <w:t>（三）供应商可凭成交通知书或政府采购合同等在内的相关材料、信息，通过中征应收账款融资服务平台向银行业金融机构在线申请</w:t>
      </w:r>
      <w:r>
        <w:rPr>
          <w:rFonts w:ascii="宋体" w:hAnsi="宋体" w:cs="宋体"/>
          <w:kern w:val="0"/>
          <w:szCs w:val="21"/>
        </w:rPr>
        <w:t>“</w:t>
      </w:r>
      <w:r>
        <w:rPr>
          <w:rFonts w:hint="eastAsia" w:ascii="宋体" w:hAnsi="宋体" w:cs="宋体"/>
          <w:kern w:val="0"/>
          <w:szCs w:val="21"/>
        </w:rPr>
        <w:t>政采贷”融资。</w:t>
      </w:r>
    </w:p>
    <w:p>
      <w:pPr>
        <w:widowControl/>
        <w:spacing w:line="406" w:lineRule="exact"/>
        <w:ind w:firstLine="210" w:firstLineChars="100"/>
        <w:jc w:val="left"/>
        <w:rPr>
          <w:rFonts w:ascii="宋体" w:hAnsi="宋体" w:cs="宋体"/>
          <w:kern w:val="0"/>
          <w:szCs w:val="21"/>
        </w:rPr>
      </w:pPr>
      <w:r>
        <w:rPr>
          <w:rFonts w:hint="eastAsia" w:ascii="宋体" w:hAnsi="宋体" w:cs="宋体"/>
          <w:kern w:val="0"/>
          <w:szCs w:val="21"/>
        </w:rPr>
        <w:t>（四）除不可抗力等因素外，成交后无正当理由拒不与采购人签订政府采购合同的，应当承担相应的法律责任。</w:t>
      </w:r>
    </w:p>
    <w:p>
      <w:pPr>
        <w:widowControl/>
        <w:spacing w:line="406" w:lineRule="exact"/>
        <w:ind w:firstLine="210" w:firstLineChars="100"/>
        <w:jc w:val="left"/>
        <w:rPr>
          <w:rFonts w:ascii="宋体" w:hAnsi="宋体" w:cs="宋体"/>
          <w:kern w:val="0"/>
          <w:szCs w:val="21"/>
        </w:rPr>
      </w:pPr>
      <w:r>
        <w:rPr>
          <w:rFonts w:hint="eastAsia" w:ascii="宋体" w:hAnsi="宋体" w:cs="宋体"/>
          <w:kern w:val="0"/>
          <w:szCs w:val="21"/>
        </w:rPr>
        <w:t>（五）</w:t>
      </w:r>
      <w:r>
        <w:rPr>
          <w:rFonts w:ascii="Arial" w:hAnsi="Arial" w:cs="Arial"/>
          <w:kern w:val="0"/>
          <w:szCs w:val="21"/>
        </w:rPr>
        <w:t>政府采购合同</w:t>
      </w:r>
      <w:r>
        <w:rPr>
          <w:rFonts w:hint="eastAsia" w:hAnsi="宋体"/>
        </w:rPr>
        <w:t>适用《中华人民共和国民法典》合同编</w:t>
      </w:r>
      <w:r>
        <w:rPr>
          <w:rFonts w:ascii="Arial" w:hAnsi="Arial" w:cs="Arial"/>
          <w:kern w:val="0"/>
          <w:szCs w:val="21"/>
        </w:rPr>
        <w:t>。</w:t>
      </w:r>
    </w:p>
    <w:p>
      <w:pPr>
        <w:widowControl/>
        <w:spacing w:line="406" w:lineRule="exact"/>
        <w:ind w:firstLine="210" w:firstLineChars="100"/>
        <w:jc w:val="left"/>
        <w:rPr>
          <w:rFonts w:ascii="宋体" w:hAnsi="宋体" w:cs="宋体"/>
          <w:kern w:val="0"/>
          <w:szCs w:val="21"/>
        </w:rPr>
      </w:pPr>
      <w:r>
        <w:rPr>
          <w:rFonts w:hint="eastAsia" w:ascii="宋体" w:hAnsi="宋体" w:cs="宋体"/>
          <w:kern w:val="0"/>
          <w:szCs w:val="21"/>
        </w:rPr>
        <w:t>（六）成交供应商拒绝签订政府采购合同的，采购人可以按照推荐原则确定其他供应商作为成交供应商并签订政府采购合同，也可以重新开展采购活动。拒绝签订政府采购合同的成交供应商不得参加对该项目重新开展的采购活动。</w:t>
      </w:r>
    </w:p>
    <w:p>
      <w:pPr>
        <w:pStyle w:val="4"/>
        <w:spacing w:line="406" w:lineRule="exact"/>
      </w:pPr>
      <w:r>
        <w:rPr>
          <w:rFonts w:hint="eastAsia"/>
        </w:rPr>
        <w:t>九、适用法律</w:t>
      </w:r>
    </w:p>
    <w:p>
      <w:pPr>
        <w:spacing w:line="406" w:lineRule="exact"/>
        <w:ind w:firstLine="420" w:firstLineChars="200"/>
        <w:rPr>
          <w:rFonts w:ascii="宋体" w:hAnsi="宋体"/>
          <w:szCs w:val="21"/>
        </w:rPr>
      </w:pPr>
      <w:bookmarkStart w:id="127" w:name="_Hlk92794186"/>
      <w:r>
        <w:rPr>
          <w:rFonts w:hint="eastAsia" w:ascii="宋体" w:hAnsi="宋体"/>
          <w:szCs w:val="21"/>
        </w:rPr>
        <w:t>本项目采购活动适用于《中华人民共和国政府采购法》及其实施条例、《政府采购竞争性磋商采购方式管理暂行办法》等规定。</w:t>
      </w:r>
    </w:p>
    <w:bookmarkEnd w:id="127"/>
    <w:p>
      <w:pPr>
        <w:pStyle w:val="4"/>
        <w:spacing w:line="406" w:lineRule="exact"/>
      </w:pPr>
      <w:bookmarkStart w:id="128" w:name="_十、其他事项"/>
      <w:bookmarkEnd w:id="128"/>
      <w:r>
        <w:rPr>
          <w:rFonts w:hint="eastAsia"/>
        </w:rPr>
        <w:t>十、其他事项</w:t>
      </w:r>
    </w:p>
    <w:p>
      <w:pPr>
        <w:spacing w:line="406" w:lineRule="exact"/>
        <w:ind w:firstLine="210" w:firstLineChars="100"/>
        <w:rPr>
          <w:rFonts w:hAnsi="宋体"/>
        </w:rPr>
      </w:pPr>
      <w:bookmarkStart w:id="129" w:name="_Hlk94168058"/>
      <w:r>
        <w:rPr>
          <w:rFonts w:hint="eastAsia" w:hAnsi="宋体"/>
        </w:rPr>
        <w:t>（一）</w:t>
      </w:r>
      <w:bookmarkEnd w:id="129"/>
      <w:r>
        <w:rPr>
          <w:rFonts w:hint="eastAsia" w:hAnsi="宋体"/>
        </w:rPr>
        <w:t>代理服务费</w:t>
      </w:r>
    </w:p>
    <w:p>
      <w:pPr>
        <w:spacing w:line="406" w:lineRule="exact"/>
        <w:ind w:firstLine="420" w:firstLineChars="200"/>
        <w:rPr>
          <w:rFonts w:hAnsi="宋体"/>
        </w:rPr>
      </w:pPr>
      <w:r>
        <w:rPr>
          <w:rFonts w:hint="eastAsia" w:hAnsi="宋体"/>
        </w:rPr>
        <w:t>1</w:t>
      </w:r>
      <w:r>
        <w:rPr>
          <w:rFonts w:hAnsi="宋体"/>
        </w:rPr>
        <w:t>.</w:t>
      </w:r>
      <w:r>
        <w:rPr>
          <w:rFonts w:hint="eastAsia" w:hAnsi="宋体"/>
        </w:rPr>
        <w:t>本中心按钦州市物价局“钦市价费﹝2013﹞4号”文件规定向成交供应商收取代理服务费，成交供应商须向本中心一次付清代理服务费。</w:t>
      </w:r>
    </w:p>
    <w:p>
      <w:pPr>
        <w:spacing w:line="406" w:lineRule="exact"/>
        <w:ind w:firstLine="420" w:firstLineChars="200"/>
        <w:rPr>
          <w:rFonts w:hint="eastAsia" w:hAnsi="宋体"/>
          <w:bCs/>
        </w:rPr>
      </w:pPr>
      <w:r>
        <w:rPr>
          <w:rFonts w:hint="eastAsia" w:hAnsi="宋体"/>
        </w:rPr>
        <w:t>2</w:t>
      </w:r>
      <w:r>
        <w:rPr>
          <w:rFonts w:hAnsi="宋体"/>
        </w:rPr>
        <w:t>.</w:t>
      </w:r>
      <w:r>
        <w:rPr>
          <w:rFonts w:hint="eastAsia" w:hAnsi="宋体"/>
          <w:bCs/>
        </w:rPr>
        <w:t>代理服务收费标准：</w:t>
      </w:r>
    </w:p>
    <w:p>
      <w:pPr>
        <w:pStyle w:val="38"/>
      </w:pPr>
    </w:p>
    <w:tbl>
      <w:tblPr>
        <w:tblStyle w:val="39"/>
        <w:tblW w:w="9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8"/>
        <w:gridCol w:w="1932"/>
        <w:gridCol w:w="180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3438" w:type="dxa"/>
            <w:vMerge w:val="restart"/>
          </w:tcPr>
          <w:p>
            <w:pPr>
              <w:spacing w:line="330" w:lineRule="exact"/>
              <w:ind w:firstLine="2310" w:firstLineChars="1100"/>
              <w:rPr>
                <w:rFonts w:hAnsi="宋体"/>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21590</wp:posOffset>
                      </wp:positionV>
                      <wp:extent cx="2172335" cy="1444625"/>
                      <wp:effectExtent l="6350" t="5080" r="12065" b="7620"/>
                      <wp:wrapNone/>
                      <wp:docPr id="4" name="直线 3"/>
                      <wp:cNvGraphicFramePr/>
                      <a:graphic xmlns:a="http://schemas.openxmlformats.org/drawingml/2006/main">
                        <a:graphicData uri="http://schemas.microsoft.com/office/word/2010/wordprocessingShape">
                          <wps:wsp>
                            <wps:cNvCnPr>
                              <a:cxnSpLocks noChangeShapeType="1"/>
                            </wps:cNvCnPr>
                            <wps:spPr bwMode="auto">
                              <a:xfrm flipH="1" flipV="1">
                                <a:off x="0" y="0"/>
                                <a:ext cx="2172335" cy="1444625"/>
                              </a:xfrm>
                              <a:prstGeom prst="line">
                                <a:avLst/>
                              </a:prstGeom>
                              <a:noFill/>
                              <a:ln w="9525">
                                <a:solidFill>
                                  <a:srgbClr val="000000"/>
                                </a:solidFill>
                                <a:round/>
                              </a:ln>
                            </wps:spPr>
                            <wps:bodyPr/>
                          </wps:wsp>
                        </a:graphicData>
                      </a:graphic>
                    </wp:anchor>
                  </w:drawing>
                </mc:Choice>
                <mc:Fallback>
                  <w:pict>
                    <v:line id="直线 3" o:spid="_x0000_s1026" o:spt="20" style="position:absolute;left:0pt;flip:x y;margin-left:-6.7pt;margin-top:1.7pt;height:113.75pt;width:171.05pt;z-index:251660288;mso-width-relative:page;mso-height-relative:page;" filled="f" stroked="t" coordsize="21600,21600" o:gfxdata="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bw0+dUAAAAJ&#10;AQAADwAAAAAAAAABACAAAAAiAAAAZHJzL2Rvd25yZXYueG1sUEsBAhQAFAAAAAgAh07iQHWmW7Lm&#10;AQAAuwMAAA4AAAAAAAAAAQAgAAAAJAEAAGRycy9lMm9Eb2MueG1sUEsFBgAAAAAGAAYAWQEAAHwF&#10;AAAAAA==&#10;">
                      <v:fill on="f" focussize="0,0"/>
                      <v:stroke color="#000000" joinstyle="round"/>
                      <v:imagedata o:title=""/>
                      <o:lock v:ext="edit" aspectratio="f"/>
                    </v:line>
                  </w:pict>
                </mc:Fallback>
              </mc:AlternateContent>
            </w:r>
            <w:r>
              <w:rPr>
                <w:rFonts w:hAnsi="宋体"/>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19685</wp:posOffset>
                      </wp:positionV>
                      <wp:extent cx="1143635" cy="1444625"/>
                      <wp:effectExtent l="12700" t="12700" r="5715" b="9525"/>
                      <wp:wrapNone/>
                      <wp:docPr id="3" name="直线 4"/>
                      <wp:cNvGraphicFramePr/>
                      <a:graphic xmlns:a="http://schemas.openxmlformats.org/drawingml/2006/main">
                        <a:graphicData uri="http://schemas.microsoft.com/office/word/2010/wordprocessingShape">
                          <wps:wsp>
                            <wps:cNvCnPr>
                              <a:cxnSpLocks noChangeShapeType="1"/>
                            </wps:cNvCnPr>
                            <wps:spPr bwMode="auto">
                              <a:xfrm flipH="1" flipV="1">
                                <a:off x="0" y="0"/>
                                <a:ext cx="1143635" cy="1444625"/>
                              </a:xfrm>
                              <a:prstGeom prst="line">
                                <a:avLst/>
                              </a:prstGeom>
                              <a:noFill/>
                              <a:ln w="9525">
                                <a:solidFill>
                                  <a:srgbClr val="000000"/>
                                </a:solidFill>
                                <a:round/>
                              </a:ln>
                            </wps:spPr>
                            <wps:bodyPr/>
                          </wps:wsp>
                        </a:graphicData>
                      </a:graphic>
                    </wp:anchor>
                  </w:drawing>
                </mc:Choice>
                <mc:Fallback>
                  <w:pict>
                    <v:line id="直线 4" o:spid="_x0000_s1026" o:spt="20" style="position:absolute;left:0pt;flip:x y;margin-left:74.05pt;margin-top:1.55pt;height:113.75pt;width:90.05pt;z-index:251659264;mso-width-relative:page;mso-height-relative:page;" filled="f" stroked="t" coordsize="21600,21600" o:gfxdata="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sssL1AAAAAkB&#10;AAAPAAAAAAAAAAEAIAAAACIAAABkcnMvZG93bnJldi54bWxQSwECFAAUAAAACACHTuJA8flnDOYB&#10;AAC7AwAADgAAAAAAAAABACAAAAAjAQAAZHJzL2Uyb0RvYy54bWxQSwUGAAAAAAYABgBZAQAAewUA&#10;AAAA&#10;">
                      <v:fill on="f" focussize="0,0"/>
                      <v:stroke color="#000000" joinstyle="round"/>
                      <v:imagedata o:title=""/>
                      <o:lock v:ext="edit" aspectratio="f"/>
                    </v:line>
                  </w:pict>
                </mc:Fallback>
              </mc:AlternateContent>
            </w:r>
            <w:r>
              <w:rPr>
                <w:rFonts w:hint="eastAsia" w:hAnsi="宋体"/>
              </w:rPr>
              <w:t>采购类型</w:t>
            </w:r>
          </w:p>
          <w:p>
            <w:pPr>
              <w:spacing w:line="330" w:lineRule="exact"/>
              <w:rPr>
                <w:rFonts w:hAnsi="宋体"/>
              </w:rPr>
            </w:pPr>
          </w:p>
          <w:p>
            <w:pPr>
              <w:spacing w:line="330" w:lineRule="exact"/>
              <w:ind w:firstLine="1575" w:firstLineChars="750"/>
              <w:jc w:val="left"/>
              <w:rPr>
                <w:rFonts w:hAnsi="宋体"/>
              </w:rPr>
            </w:pPr>
            <w:r>
              <w:rPr>
                <w:rFonts w:hint="eastAsia" w:hAnsi="宋体"/>
              </w:rPr>
              <w:t>费率</w:t>
            </w:r>
          </w:p>
          <w:p>
            <w:pPr>
              <w:spacing w:line="330" w:lineRule="exact"/>
              <w:ind w:leftChars="-1" w:hanging="2" w:hangingChars="1"/>
              <w:jc w:val="left"/>
              <w:rPr>
                <w:rFonts w:hAnsi="宋体"/>
              </w:rPr>
            </w:pPr>
          </w:p>
          <w:p>
            <w:pPr>
              <w:spacing w:line="330" w:lineRule="exact"/>
              <w:ind w:leftChars="-1" w:hanging="2" w:hangingChars="1"/>
              <w:jc w:val="left"/>
              <w:rPr>
                <w:rFonts w:hAnsi="宋体"/>
              </w:rPr>
            </w:pPr>
          </w:p>
          <w:p>
            <w:pPr>
              <w:spacing w:line="330" w:lineRule="exact"/>
              <w:jc w:val="left"/>
              <w:rPr>
                <w:rFonts w:hAnsi="宋体"/>
              </w:rPr>
            </w:pPr>
            <w:r>
              <w:rPr>
                <w:rFonts w:hint="eastAsia" w:hAnsi="宋体"/>
              </w:rPr>
              <w:t>成交金额（万元）</w:t>
            </w:r>
          </w:p>
        </w:tc>
        <w:tc>
          <w:tcPr>
            <w:tcW w:w="5708" w:type="dxa"/>
            <w:gridSpan w:val="3"/>
            <w:vAlign w:val="center"/>
          </w:tcPr>
          <w:p>
            <w:pPr>
              <w:spacing w:line="330" w:lineRule="exact"/>
              <w:jc w:val="center"/>
              <w:rPr>
                <w:rFonts w:hAnsi="宋体"/>
              </w:rPr>
            </w:pPr>
            <w:r>
              <w:rPr>
                <w:rFonts w:hint="eastAsia" w:hAnsi="宋体"/>
              </w:rPr>
              <w:t>公开招标、邀请招标、竞争性谈判方式采购代理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3438" w:type="dxa"/>
            <w:vMerge w:val="continue"/>
          </w:tcPr>
          <w:p>
            <w:pPr>
              <w:spacing w:line="330" w:lineRule="exact"/>
              <w:ind w:firstLine="2620" w:firstLineChars="1248"/>
              <w:rPr>
                <w:rFonts w:hAnsi="宋体"/>
              </w:rPr>
            </w:pPr>
          </w:p>
        </w:tc>
        <w:tc>
          <w:tcPr>
            <w:tcW w:w="1932" w:type="dxa"/>
            <w:vAlign w:val="center"/>
          </w:tcPr>
          <w:p>
            <w:pPr>
              <w:spacing w:line="330" w:lineRule="exact"/>
              <w:jc w:val="center"/>
              <w:rPr>
                <w:rFonts w:hAnsi="宋体"/>
              </w:rPr>
            </w:pPr>
            <w:r>
              <w:rPr>
                <w:rFonts w:hint="eastAsia" w:hAnsi="宋体"/>
              </w:rPr>
              <w:t>货物类</w:t>
            </w:r>
          </w:p>
        </w:tc>
        <w:tc>
          <w:tcPr>
            <w:tcW w:w="1800" w:type="dxa"/>
            <w:vAlign w:val="center"/>
          </w:tcPr>
          <w:p>
            <w:pPr>
              <w:spacing w:line="330" w:lineRule="exact"/>
              <w:jc w:val="center"/>
              <w:rPr>
                <w:rFonts w:hAnsi="宋体"/>
              </w:rPr>
            </w:pPr>
            <w:r>
              <w:rPr>
                <w:rFonts w:hint="eastAsia" w:hAnsi="宋体"/>
              </w:rPr>
              <w:t>服务类</w:t>
            </w:r>
          </w:p>
        </w:tc>
        <w:tc>
          <w:tcPr>
            <w:tcW w:w="1976" w:type="dxa"/>
            <w:vAlign w:val="center"/>
          </w:tcPr>
          <w:p>
            <w:pPr>
              <w:widowControl/>
              <w:spacing w:line="330" w:lineRule="exact"/>
              <w:jc w:val="center"/>
              <w:rPr>
                <w:rFonts w:hAnsi="宋体"/>
              </w:rPr>
            </w:pPr>
            <w:r>
              <w:rPr>
                <w:rFonts w:hint="eastAsia" w:hAnsi="宋体"/>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438" w:type="dxa"/>
            <w:vAlign w:val="center"/>
          </w:tcPr>
          <w:p>
            <w:pPr>
              <w:spacing w:line="330" w:lineRule="exact"/>
              <w:jc w:val="center"/>
              <w:rPr>
                <w:rFonts w:hAnsi="宋体"/>
              </w:rPr>
            </w:pPr>
            <w:r>
              <w:rPr>
                <w:rFonts w:hint="eastAsia" w:hAnsi="宋体"/>
              </w:rPr>
              <w:t>100以下</w:t>
            </w:r>
          </w:p>
        </w:tc>
        <w:tc>
          <w:tcPr>
            <w:tcW w:w="1932" w:type="dxa"/>
            <w:vAlign w:val="center"/>
          </w:tcPr>
          <w:p>
            <w:pPr>
              <w:spacing w:line="330" w:lineRule="exact"/>
              <w:jc w:val="center"/>
              <w:rPr>
                <w:rFonts w:hAnsi="宋体"/>
              </w:rPr>
            </w:pPr>
            <w:r>
              <w:rPr>
                <w:rFonts w:hint="eastAsia" w:hAnsi="宋体"/>
              </w:rPr>
              <w:t>1.2%</w:t>
            </w:r>
          </w:p>
        </w:tc>
        <w:tc>
          <w:tcPr>
            <w:tcW w:w="1800" w:type="dxa"/>
            <w:vAlign w:val="center"/>
          </w:tcPr>
          <w:p>
            <w:pPr>
              <w:spacing w:line="330" w:lineRule="exact"/>
              <w:jc w:val="center"/>
              <w:rPr>
                <w:rFonts w:hAnsi="宋体"/>
              </w:rPr>
            </w:pPr>
            <w:r>
              <w:rPr>
                <w:rFonts w:hint="eastAsia" w:hAnsi="宋体"/>
              </w:rPr>
              <w:t>1.2%</w:t>
            </w:r>
          </w:p>
        </w:tc>
        <w:tc>
          <w:tcPr>
            <w:tcW w:w="1976" w:type="dxa"/>
            <w:vAlign w:val="center"/>
          </w:tcPr>
          <w:p>
            <w:pPr>
              <w:spacing w:line="330" w:lineRule="exact"/>
              <w:jc w:val="center"/>
              <w:rPr>
                <w:rFonts w:hAnsi="宋体"/>
              </w:rPr>
            </w:pPr>
            <w:r>
              <w:rPr>
                <w:rFonts w:hint="eastAsia" w:hAnsi="宋体"/>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8" w:type="dxa"/>
            <w:vAlign w:val="center"/>
          </w:tcPr>
          <w:p>
            <w:pPr>
              <w:spacing w:line="330" w:lineRule="exact"/>
              <w:jc w:val="center"/>
              <w:rPr>
                <w:rFonts w:hAnsi="宋体"/>
              </w:rPr>
            </w:pPr>
            <w:r>
              <w:rPr>
                <w:rFonts w:hint="eastAsia" w:hAnsi="宋体"/>
              </w:rPr>
              <w:t>100-500</w:t>
            </w:r>
          </w:p>
        </w:tc>
        <w:tc>
          <w:tcPr>
            <w:tcW w:w="1932" w:type="dxa"/>
            <w:vAlign w:val="center"/>
          </w:tcPr>
          <w:p>
            <w:pPr>
              <w:spacing w:line="330" w:lineRule="exact"/>
              <w:jc w:val="center"/>
              <w:rPr>
                <w:rFonts w:hAnsi="宋体"/>
              </w:rPr>
            </w:pPr>
            <w:r>
              <w:rPr>
                <w:rFonts w:hint="eastAsia" w:hAnsi="宋体"/>
              </w:rPr>
              <w:t>0.88%</w:t>
            </w:r>
          </w:p>
        </w:tc>
        <w:tc>
          <w:tcPr>
            <w:tcW w:w="1800" w:type="dxa"/>
            <w:vAlign w:val="center"/>
          </w:tcPr>
          <w:p>
            <w:pPr>
              <w:spacing w:line="330" w:lineRule="exact"/>
              <w:jc w:val="center"/>
              <w:rPr>
                <w:rFonts w:hAnsi="宋体"/>
              </w:rPr>
            </w:pPr>
            <w:r>
              <w:rPr>
                <w:rFonts w:hint="eastAsia" w:hAnsi="宋体"/>
              </w:rPr>
              <w:t>0.64%</w:t>
            </w:r>
          </w:p>
        </w:tc>
        <w:tc>
          <w:tcPr>
            <w:tcW w:w="1976" w:type="dxa"/>
            <w:vAlign w:val="center"/>
          </w:tcPr>
          <w:p>
            <w:pPr>
              <w:spacing w:line="330" w:lineRule="exact"/>
              <w:jc w:val="center"/>
              <w:rPr>
                <w:rFonts w:hAnsi="宋体"/>
              </w:rPr>
            </w:pPr>
            <w:r>
              <w:rPr>
                <w:rFonts w:hint="eastAsia" w:hAnsi="宋体"/>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438" w:type="dxa"/>
            <w:vAlign w:val="center"/>
          </w:tcPr>
          <w:p>
            <w:pPr>
              <w:spacing w:line="330" w:lineRule="exact"/>
              <w:jc w:val="center"/>
              <w:rPr>
                <w:rFonts w:hAnsi="宋体"/>
              </w:rPr>
            </w:pPr>
            <w:r>
              <w:rPr>
                <w:rFonts w:hint="eastAsia" w:hAnsi="宋体"/>
              </w:rPr>
              <w:t>500-1000</w:t>
            </w:r>
          </w:p>
        </w:tc>
        <w:tc>
          <w:tcPr>
            <w:tcW w:w="1932" w:type="dxa"/>
            <w:vAlign w:val="center"/>
          </w:tcPr>
          <w:p>
            <w:pPr>
              <w:spacing w:line="330" w:lineRule="exact"/>
              <w:jc w:val="center"/>
              <w:rPr>
                <w:rFonts w:hAnsi="宋体"/>
              </w:rPr>
            </w:pPr>
            <w:r>
              <w:rPr>
                <w:rFonts w:hint="eastAsia" w:hAnsi="宋体"/>
              </w:rPr>
              <w:t>0.64%</w:t>
            </w:r>
          </w:p>
        </w:tc>
        <w:tc>
          <w:tcPr>
            <w:tcW w:w="1800" w:type="dxa"/>
            <w:vAlign w:val="center"/>
          </w:tcPr>
          <w:p>
            <w:pPr>
              <w:spacing w:line="330" w:lineRule="exact"/>
              <w:jc w:val="center"/>
              <w:rPr>
                <w:rFonts w:hAnsi="宋体"/>
              </w:rPr>
            </w:pPr>
            <w:r>
              <w:rPr>
                <w:rFonts w:hint="eastAsia" w:hAnsi="宋体"/>
              </w:rPr>
              <w:t>0.36%</w:t>
            </w:r>
          </w:p>
        </w:tc>
        <w:tc>
          <w:tcPr>
            <w:tcW w:w="1976" w:type="dxa"/>
            <w:vAlign w:val="center"/>
          </w:tcPr>
          <w:p>
            <w:pPr>
              <w:spacing w:line="330" w:lineRule="exact"/>
              <w:jc w:val="center"/>
              <w:rPr>
                <w:rFonts w:hAnsi="宋体"/>
              </w:rPr>
            </w:pPr>
            <w:r>
              <w:rPr>
                <w:rFonts w:hint="eastAsia" w:hAnsi="宋体"/>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438" w:type="dxa"/>
            <w:vAlign w:val="center"/>
          </w:tcPr>
          <w:p>
            <w:pPr>
              <w:spacing w:line="330" w:lineRule="exact"/>
              <w:jc w:val="center"/>
              <w:rPr>
                <w:rFonts w:hAnsi="宋体"/>
              </w:rPr>
            </w:pPr>
            <w:r>
              <w:rPr>
                <w:rFonts w:hint="eastAsia" w:hAnsi="宋体"/>
              </w:rPr>
              <w:t>1000-5000</w:t>
            </w:r>
          </w:p>
        </w:tc>
        <w:tc>
          <w:tcPr>
            <w:tcW w:w="1932" w:type="dxa"/>
            <w:vAlign w:val="center"/>
          </w:tcPr>
          <w:p>
            <w:pPr>
              <w:spacing w:line="330" w:lineRule="exact"/>
              <w:jc w:val="center"/>
              <w:rPr>
                <w:rFonts w:hAnsi="宋体"/>
              </w:rPr>
            </w:pPr>
            <w:r>
              <w:rPr>
                <w:rFonts w:hint="eastAsia" w:hAnsi="宋体"/>
              </w:rPr>
              <w:t>0.4%</w:t>
            </w:r>
          </w:p>
        </w:tc>
        <w:tc>
          <w:tcPr>
            <w:tcW w:w="1800" w:type="dxa"/>
            <w:vAlign w:val="center"/>
          </w:tcPr>
          <w:p>
            <w:pPr>
              <w:spacing w:line="330" w:lineRule="exact"/>
              <w:jc w:val="center"/>
              <w:rPr>
                <w:rFonts w:hAnsi="宋体"/>
              </w:rPr>
            </w:pPr>
            <w:r>
              <w:rPr>
                <w:rFonts w:hint="eastAsia" w:hAnsi="宋体"/>
              </w:rPr>
              <w:t>0.2%</w:t>
            </w:r>
          </w:p>
        </w:tc>
        <w:tc>
          <w:tcPr>
            <w:tcW w:w="1976" w:type="dxa"/>
            <w:vAlign w:val="center"/>
          </w:tcPr>
          <w:p>
            <w:pPr>
              <w:spacing w:line="330" w:lineRule="exact"/>
              <w:jc w:val="center"/>
              <w:rPr>
                <w:rFonts w:hAnsi="宋体"/>
              </w:rPr>
            </w:pPr>
            <w:r>
              <w:rPr>
                <w:rFonts w:hint="eastAsia" w:hAnsi="宋体"/>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438" w:type="dxa"/>
            <w:vAlign w:val="center"/>
          </w:tcPr>
          <w:p>
            <w:pPr>
              <w:spacing w:line="330" w:lineRule="exact"/>
              <w:jc w:val="center"/>
              <w:rPr>
                <w:rFonts w:hAnsi="宋体"/>
              </w:rPr>
            </w:pPr>
            <w:r>
              <w:rPr>
                <w:rFonts w:hint="eastAsia" w:hAnsi="宋体"/>
              </w:rPr>
              <w:t>5000-10000</w:t>
            </w:r>
          </w:p>
        </w:tc>
        <w:tc>
          <w:tcPr>
            <w:tcW w:w="1932" w:type="dxa"/>
            <w:vAlign w:val="center"/>
          </w:tcPr>
          <w:p>
            <w:pPr>
              <w:spacing w:line="330" w:lineRule="exact"/>
              <w:jc w:val="center"/>
              <w:rPr>
                <w:rFonts w:hAnsi="宋体"/>
              </w:rPr>
            </w:pPr>
            <w:r>
              <w:rPr>
                <w:rFonts w:hint="eastAsia" w:hAnsi="宋体"/>
              </w:rPr>
              <w:t>0.2%</w:t>
            </w:r>
          </w:p>
        </w:tc>
        <w:tc>
          <w:tcPr>
            <w:tcW w:w="1800" w:type="dxa"/>
            <w:vAlign w:val="center"/>
          </w:tcPr>
          <w:p>
            <w:pPr>
              <w:spacing w:line="330" w:lineRule="exact"/>
              <w:jc w:val="center"/>
              <w:rPr>
                <w:rFonts w:hAnsi="宋体"/>
              </w:rPr>
            </w:pPr>
            <w:r>
              <w:rPr>
                <w:rFonts w:hint="eastAsia" w:hAnsi="宋体"/>
              </w:rPr>
              <w:t>0.08%</w:t>
            </w:r>
          </w:p>
        </w:tc>
        <w:tc>
          <w:tcPr>
            <w:tcW w:w="1976" w:type="dxa"/>
            <w:vAlign w:val="center"/>
          </w:tcPr>
          <w:p>
            <w:pPr>
              <w:spacing w:line="330" w:lineRule="exact"/>
              <w:jc w:val="center"/>
              <w:rPr>
                <w:rFonts w:hAnsi="宋体"/>
              </w:rPr>
            </w:pPr>
            <w:r>
              <w:rPr>
                <w:rFonts w:hint="eastAsia" w:hAnsi="宋体"/>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438" w:type="dxa"/>
            <w:vAlign w:val="center"/>
          </w:tcPr>
          <w:p>
            <w:pPr>
              <w:spacing w:line="330" w:lineRule="exact"/>
              <w:jc w:val="center"/>
              <w:rPr>
                <w:rFonts w:hAnsi="宋体"/>
              </w:rPr>
            </w:pPr>
            <w:r>
              <w:rPr>
                <w:rFonts w:hint="eastAsia" w:hAnsi="宋体"/>
              </w:rPr>
              <w:t>10000-100000</w:t>
            </w:r>
          </w:p>
        </w:tc>
        <w:tc>
          <w:tcPr>
            <w:tcW w:w="1932" w:type="dxa"/>
            <w:vAlign w:val="center"/>
          </w:tcPr>
          <w:p>
            <w:pPr>
              <w:spacing w:line="330" w:lineRule="exact"/>
              <w:jc w:val="center"/>
              <w:rPr>
                <w:rFonts w:hAnsi="宋体"/>
              </w:rPr>
            </w:pPr>
            <w:r>
              <w:rPr>
                <w:rFonts w:hint="eastAsia" w:hAnsi="宋体"/>
              </w:rPr>
              <w:t>0.04%</w:t>
            </w:r>
          </w:p>
        </w:tc>
        <w:tc>
          <w:tcPr>
            <w:tcW w:w="1800" w:type="dxa"/>
            <w:vAlign w:val="center"/>
          </w:tcPr>
          <w:p>
            <w:pPr>
              <w:spacing w:line="330" w:lineRule="exact"/>
              <w:jc w:val="center"/>
              <w:rPr>
                <w:rFonts w:hAnsi="宋体"/>
              </w:rPr>
            </w:pPr>
            <w:r>
              <w:rPr>
                <w:rFonts w:hint="eastAsia" w:hAnsi="宋体"/>
              </w:rPr>
              <w:t>0.04%</w:t>
            </w:r>
          </w:p>
        </w:tc>
        <w:tc>
          <w:tcPr>
            <w:tcW w:w="1976" w:type="dxa"/>
            <w:vAlign w:val="center"/>
          </w:tcPr>
          <w:p>
            <w:pPr>
              <w:spacing w:line="330" w:lineRule="exact"/>
              <w:jc w:val="center"/>
              <w:rPr>
                <w:rFonts w:hAnsi="宋体"/>
              </w:rPr>
            </w:pPr>
            <w:r>
              <w:rPr>
                <w:rFonts w:hint="eastAsia" w:hAnsi="宋体"/>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438" w:type="dxa"/>
            <w:vAlign w:val="center"/>
          </w:tcPr>
          <w:p>
            <w:pPr>
              <w:spacing w:line="330" w:lineRule="exact"/>
              <w:jc w:val="center"/>
              <w:rPr>
                <w:rFonts w:hAnsi="宋体"/>
              </w:rPr>
            </w:pPr>
            <w:r>
              <w:rPr>
                <w:rFonts w:hint="eastAsia" w:hAnsi="宋体"/>
              </w:rPr>
              <w:t>100000以上</w:t>
            </w:r>
          </w:p>
        </w:tc>
        <w:tc>
          <w:tcPr>
            <w:tcW w:w="1932" w:type="dxa"/>
            <w:vAlign w:val="center"/>
          </w:tcPr>
          <w:p>
            <w:pPr>
              <w:spacing w:line="330" w:lineRule="exact"/>
              <w:jc w:val="center"/>
              <w:rPr>
                <w:rFonts w:hAnsi="宋体"/>
              </w:rPr>
            </w:pPr>
            <w:r>
              <w:rPr>
                <w:rFonts w:hint="eastAsia" w:hAnsi="宋体"/>
              </w:rPr>
              <w:t>0.008%</w:t>
            </w:r>
          </w:p>
        </w:tc>
        <w:tc>
          <w:tcPr>
            <w:tcW w:w="1800" w:type="dxa"/>
            <w:vAlign w:val="center"/>
          </w:tcPr>
          <w:p>
            <w:pPr>
              <w:spacing w:line="330" w:lineRule="exact"/>
              <w:jc w:val="center"/>
              <w:rPr>
                <w:rFonts w:hAnsi="宋体"/>
              </w:rPr>
            </w:pPr>
            <w:r>
              <w:rPr>
                <w:rFonts w:hint="eastAsia" w:hAnsi="宋体"/>
              </w:rPr>
              <w:t>0.008%</w:t>
            </w:r>
          </w:p>
        </w:tc>
        <w:tc>
          <w:tcPr>
            <w:tcW w:w="1976" w:type="dxa"/>
            <w:vAlign w:val="center"/>
          </w:tcPr>
          <w:p>
            <w:pPr>
              <w:spacing w:line="330" w:lineRule="exact"/>
              <w:jc w:val="center"/>
              <w:rPr>
                <w:rFonts w:hAnsi="宋体"/>
              </w:rPr>
            </w:pPr>
            <w:r>
              <w:rPr>
                <w:rFonts w:hint="eastAsia" w:hAnsi="宋体"/>
              </w:rPr>
              <w:t>0.008%</w:t>
            </w:r>
          </w:p>
        </w:tc>
      </w:tr>
    </w:tbl>
    <w:p>
      <w:pPr>
        <w:pStyle w:val="22"/>
        <w:spacing w:line="430" w:lineRule="exact"/>
        <w:ind w:firstLine="420" w:firstLineChars="200"/>
        <w:rPr>
          <w:rFonts w:hAnsi="宋体"/>
          <w:b/>
        </w:rPr>
      </w:pPr>
      <w:r>
        <w:rPr>
          <w:rFonts w:hint="eastAsia" w:hAnsi="宋体"/>
        </w:rPr>
        <w:t>注：代理服务收费按差额定率累进法计算，本项目收费标准按以上标准的60%执行</w:t>
      </w:r>
    </w:p>
    <w:p>
      <w:pPr>
        <w:pStyle w:val="22"/>
        <w:spacing w:line="430" w:lineRule="exact"/>
        <w:ind w:firstLine="210" w:firstLineChars="100"/>
        <w:rPr>
          <w:rFonts w:hAnsi="宋体"/>
          <w:spacing w:val="-4"/>
        </w:rPr>
      </w:pPr>
      <w:r>
        <w:rPr>
          <w:rFonts w:hint="eastAsia" w:hAnsi="宋体"/>
          <w:bCs/>
        </w:rPr>
        <w:t>（二）解释权：</w:t>
      </w:r>
      <w:r>
        <w:rPr>
          <w:rFonts w:hint="eastAsia" w:hAnsi="宋体"/>
          <w:spacing w:val="-4"/>
        </w:rPr>
        <w:t>本采购文件解释权属本中心。</w:t>
      </w:r>
    </w:p>
    <w:p>
      <w:pPr>
        <w:pStyle w:val="22"/>
        <w:spacing w:line="430" w:lineRule="exact"/>
        <w:ind w:firstLine="210" w:firstLineChars="100"/>
        <w:rPr>
          <w:rFonts w:hAnsi="宋体"/>
          <w:spacing w:val="-4"/>
        </w:rPr>
      </w:pPr>
      <w:r>
        <w:rPr>
          <w:rFonts w:hint="eastAsia" w:hAnsi="宋体"/>
          <w:bCs/>
        </w:rPr>
        <w:t>（三）有关事宜</w:t>
      </w:r>
    </w:p>
    <w:p>
      <w:pPr>
        <w:spacing w:line="430" w:lineRule="exact"/>
        <w:ind w:firstLine="420" w:firstLineChars="200"/>
      </w:pPr>
      <w:r>
        <w:rPr>
          <w:rFonts w:hint="eastAsia"/>
        </w:rPr>
        <w:t>所有与采购文件有关的函件请按下列通讯地址联系：</w:t>
      </w:r>
    </w:p>
    <w:p>
      <w:pPr>
        <w:widowControl/>
        <w:spacing w:line="430" w:lineRule="exact"/>
        <w:ind w:firstLine="420" w:firstLineChars="200"/>
        <w:jc w:val="left"/>
      </w:pPr>
      <w:r>
        <w:rPr>
          <w:rFonts w:hint="eastAsia"/>
        </w:rPr>
        <w:t>钦州市政府采购中心</w:t>
      </w:r>
    </w:p>
    <w:p>
      <w:pPr>
        <w:widowControl/>
        <w:spacing w:line="430" w:lineRule="exact"/>
        <w:ind w:firstLine="420" w:firstLineChars="200"/>
        <w:jc w:val="left"/>
      </w:pPr>
      <w:r>
        <w:rPr>
          <w:rFonts w:hint="eastAsia"/>
        </w:rPr>
        <w:t>通讯地址：钦州市金海湾东大街8号</w:t>
      </w:r>
    </w:p>
    <w:p>
      <w:pPr>
        <w:widowControl/>
        <w:spacing w:line="430" w:lineRule="exact"/>
        <w:ind w:firstLine="420" w:firstLineChars="200"/>
        <w:jc w:val="left"/>
      </w:pPr>
      <w:r>
        <w:rPr>
          <w:rFonts w:hint="eastAsia"/>
        </w:rPr>
        <w:t>邮政编码：535000</w:t>
      </w:r>
    </w:p>
    <w:p>
      <w:pPr>
        <w:widowControl/>
        <w:spacing w:line="430" w:lineRule="exact"/>
        <w:ind w:firstLine="420" w:firstLineChars="200"/>
        <w:jc w:val="left"/>
      </w:pPr>
      <w:bookmarkStart w:id="130" w:name="_Hlk108515537"/>
      <w:r>
        <w:rPr>
          <w:rFonts w:hint="eastAsia"/>
        </w:rPr>
        <w:t>咨询：</w:t>
      </w:r>
    </w:p>
    <w:p>
      <w:pPr>
        <w:widowControl/>
        <w:spacing w:line="430" w:lineRule="exact"/>
        <w:ind w:firstLine="420" w:firstLineChars="200"/>
        <w:jc w:val="left"/>
      </w:pPr>
      <w:r>
        <w:rPr>
          <w:rFonts w:hint="eastAsia"/>
        </w:rPr>
        <w:t>(1)采购部(采购文件)</w:t>
      </w:r>
    </w:p>
    <w:p>
      <w:pPr>
        <w:widowControl/>
        <w:spacing w:line="430" w:lineRule="exact"/>
        <w:ind w:firstLine="420" w:firstLineChars="200"/>
        <w:jc w:val="left"/>
      </w:pPr>
      <w:r>
        <w:rPr>
          <w:rFonts w:hint="eastAsia"/>
        </w:rPr>
        <w:t>联系人：</w:t>
      </w:r>
      <w:r>
        <w:rPr>
          <w:rFonts w:hint="eastAsia"/>
          <w:lang w:val="en-US" w:eastAsia="zh-CN"/>
        </w:rPr>
        <w:t>梁林明</w:t>
      </w:r>
      <w:r>
        <w:t xml:space="preserve">  </w:t>
      </w:r>
      <w:r>
        <w:rPr>
          <w:rFonts w:hint="eastAsia"/>
        </w:rPr>
        <w:t>联系方式：0777-2886022</w:t>
      </w:r>
    </w:p>
    <w:p>
      <w:pPr>
        <w:widowControl/>
        <w:spacing w:line="430" w:lineRule="exact"/>
        <w:ind w:firstLine="420" w:firstLineChars="200"/>
        <w:jc w:val="left"/>
      </w:pPr>
      <w:r>
        <w:rPr>
          <w:rFonts w:hint="eastAsia"/>
        </w:rPr>
        <w:t>(2)综合二部(保证金、评审、磋商、成交及合同管理)</w:t>
      </w:r>
    </w:p>
    <w:p>
      <w:pPr>
        <w:widowControl/>
        <w:spacing w:line="430" w:lineRule="exact"/>
        <w:ind w:firstLine="420" w:firstLineChars="200"/>
        <w:jc w:val="left"/>
      </w:pPr>
      <w:r>
        <w:rPr>
          <w:rFonts w:hint="eastAsia"/>
        </w:rPr>
        <w:t xml:space="preserve">联系人：陈启梅、陈侃 </w:t>
      </w:r>
      <w:r>
        <w:t xml:space="preserve">  </w:t>
      </w:r>
      <w:r>
        <w:rPr>
          <w:rFonts w:hint="eastAsia"/>
        </w:rPr>
        <w:t>联系方式：0777-2886006</w:t>
      </w:r>
    </w:p>
    <w:p>
      <w:pPr>
        <w:widowControl/>
        <w:spacing w:line="430" w:lineRule="exact"/>
        <w:ind w:firstLine="420" w:firstLineChars="200"/>
        <w:jc w:val="left"/>
      </w:pPr>
      <w:r>
        <w:rPr>
          <w:rFonts w:hint="eastAsia"/>
        </w:rPr>
        <w:t>(</w:t>
      </w:r>
      <w:r>
        <w:t>3)</w:t>
      </w:r>
      <w:r>
        <w:rPr>
          <w:rFonts w:hint="eastAsia"/>
        </w:rPr>
        <w:t>邮箱：qzzfcgzx@126.com</w:t>
      </w:r>
    </w:p>
    <w:p>
      <w:pPr>
        <w:widowControl/>
        <w:spacing w:line="430" w:lineRule="exact"/>
        <w:ind w:firstLine="420" w:firstLineChars="200"/>
        <w:jc w:val="left"/>
      </w:pPr>
      <w:r>
        <w:t>(4)</w:t>
      </w:r>
      <w:r>
        <w:rPr>
          <w:rFonts w:hint="eastAsia"/>
        </w:rPr>
        <w:t>政采云技术支持热线：</w:t>
      </w:r>
      <w:r>
        <w:t>95763</w:t>
      </w:r>
    </w:p>
    <w:bookmarkEnd w:id="130"/>
    <w:p>
      <w:pPr>
        <w:widowControl/>
        <w:jc w:val="left"/>
      </w:pPr>
      <w:r>
        <w:br w:type="page"/>
      </w:r>
    </w:p>
    <w:p>
      <w:pPr>
        <w:widowControl/>
        <w:jc w:val="left"/>
      </w:pPr>
    </w:p>
    <w:p>
      <w:pPr>
        <w:spacing w:line="320" w:lineRule="exact"/>
      </w:pPr>
    </w:p>
    <w:p>
      <w:pPr>
        <w:widowControl/>
        <w:spacing w:line="320" w:lineRule="exact"/>
        <w:jc w:val="lef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pStyle w:val="3"/>
        <w:spacing w:line="400" w:lineRule="exact"/>
        <w:rPr>
          <w:rFonts w:ascii="方正小标宋_GBK" w:hAnsi="宋体" w:eastAsia="方正小标宋_GBK"/>
        </w:rPr>
      </w:pPr>
      <w:bookmarkStart w:id="131" w:name="_第四章__评定标准及推荐原则"/>
      <w:bookmarkEnd w:id="131"/>
      <w:bookmarkStart w:id="132" w:name="_Toc92355026"/>
      <w:r>
        <w:rPr>
          <w:rFonts w:hint="eastAsia" w:ascii="方正小标宋_GBK" w:hAnsi="宋体" w:eastAsia="方正小标宋_GBK"/>
        </w:rPr>
        <w:t>第四章  评定标准及推荐原则</w:t>
      </w:r>
      <w:bookmarkEnd w:id="132"/>
    </w:p>
    <w:p>
      <w:pPr>
        <w:pStyle w:val="22"/>
        <w:spacing w:line="280" w:lineRule="exact"/>
        <w:jc w:val="center"/>
        <w:rPr>
          <w:rFonts w:hAnsi="宋体"/>
          <w:b/>
          <w:bCs/>
          <w:sz w:val="30"/>
          <w:szCs w:val="30"/>
        </w:rPr>
      </w:pPr>
      <w:r>
        <w:rPr>
          <w:rFonts w:hAnsi="宋体"/>
          <w:b/>
          <w:bCs/>
        </w:rPr>
        <w:br w:type="page"/>
      </w:r>
    </w:p>
    <w:p/>
    <w:p>
      <w:pPr>
        <w:pStyle w:val="22"/>
        <w:spacing w:line="500" w:lineRule="exact"/>
        <w:jc w:val="center"/>
        <w:rPr>
          <w:rFonts w:hAnsi="宋体"/>
          <w:b/>
          <w:bCs/>
          <w:sz w:val="44"/>
          <w:szCs w:val="44"/>
        </w:rPr>
      </w:pPr>
      <w:bookmarkStart w:id="133" w:name="_Hlk92463826"/>
      <w:r>
        <w:rPr>
          <w:rFonts w:hint="eastAsia" w:hAnsi="宋体"/>
          <w:b/>
          <w:bCs/>
          <w:sz w:val="44"/>
          <w:szCs w:val="44"/>
        </w:rPr>
        <w:t>评定标准及推荐原则</w:t>
      </w:r>
    </w:p>
    <w:bookmarkEnd w:id="133"/>
    <w:p>
      <w:pPr>
        <w:spacing w:line="440" w:lineRule="exact"/>
      </w:pPr>
    </w:p>
    <w:p>
      <w:pPr>
        <w:pStyle w:val="22"/>
        <w:spacing w:line="440" w:lineRule="exact"/>
        <w:rPr>
          <w:rFonts w:hAnsi="宋体"/>
          <w:b/>
          <w:bCs/>
        </w:rPr>
      </w:pPr>
      <w:r>
        <w:rPr>
          <w:rFonts w:hint="eastAsia" w:hAnsi="宋体"/>
          <w:b/>
          <w:bCs/>
        </w:rPr>
        <w:t>一、评审原则</w:t>
      </w:r>
    </w:p>
    <w:p>
      <w:pPr>
        <w:pStyle w:val="22"/>
        <w:spacing w:line="440" w:lineRule="exact"/>
        <w:ind w:firstLine="210" w:firstLineChars="100"/>
        <w:rPr>
          <w:rFonts w:hAnsi="宋体"/>
          <w:bCs/>
          <w:color w:val="000000" w:themeColor="text1"/>
          <w14:textFill>
            <w14:solidFill>
              <w14:schemeClr w14:val="tx1"/>
            </w14:solidFill>
          </w14:textFill>
        </w:rPr>
      </w:pPr>
      <w:r>
        <w:rPr>
          <w:rFonts w:hint="eastAsia" w:hAnsi="宋体"/>
          <w:bCs/>
        </w:rPr>
        <w:t>(一)</w:t>
      </w:r>
      <w:r>
        <w:rPr>
          <w:rFonts w:hint="eastAsia" w:hAnsi="宋体"/>
        </w:rPr>
        <w:t>评审依据：以竞争性磋商采购文件和响应</w:t>
      </w:r>
      <w:r>
        <w:rPr>
          <w:rFonts w:hint="eastAsia" w:hAnsi="宋体"/>
          <w:color w:val="000000" w:themeColor="text1"/>
          <w14:textFill>
            <w14:solidFill>
              <w14:schemeClr w14:val="tx1"/>
            </w14:solidFill>
          </w14:textFill>
        </w:rPr>
        <w:t>文件为评定依据。</w:t>
      </w:r>
    </w:p>
    <w:p>
      <w:pPr>
        <w:pStyle w:val="22"/>
        <w:spacing w:line="440" w:lineRule="exact"/>
        <w:ind w:firstLine="210" w:firstLineChars="100"/>
        <w:rPr>
          <w:rFonts w:hAnsi="宋体"/>
          <w:bCs/>
        </w:rPr>
      </w:pPr>
      <w:r>
        <w:rPr>
          <w:rFonts w:hint="eastAsia" w:hAnsi="宋体"/>
          <w:bCs/>
          <w:color w:val="000000" w:themeColor="text1"/>
          <w14:textFill>
            <w14:solidFill>
              <w14:schemeClr w14:val="tx1"/>
            </w14:solidFill>
          </w14:textFill>
        </w:rPr>
        <w:t>(二)磋商小组：</w:t>
      </w:r>
      <w:bookmarkStart w:id="134" w:name="_Hlk89353643"/>
      <w:r>
        <w:rPr>
          <w:rFonts w:hint="eastAsia" w:hAnsi="宋体"/>
          <w:bCs/>
          <w:color w:val="000000" w:themeColor="text1"/>
          <w14:textFill>
            <w14:solidFill>
              <w14:schemeClr w14:val="tx1"/>
            </w14:solidFill>
          </w14:textFill>
        </w:rPr>
        <w:t>由采购人代表和评</w:t>
      </w:r>
      <w:r>
        <w:rPr>
          <w:rFonts w:hint="eastAsia" w:hAnsi="宋体"/>
          <w:bCs/>
        </w:rPr>
        <w:t>审专家共3人以上单数组成，其中评审专家人数不得少于磋商小组成员总数的2/3。</w:t>
      </w:r>
      <w:bookmarkEnd w:id="134"/>
    </w:p>
    <w:p>
      <w:pPr>
        <w:pStyle w:val="22"/>
        <w:spacing w:line="440" w:lineRule="exact"/>
        <w:ind w:firstLine="210" w:firstLineChars="100"/>
        <w:jc w:val="left"/>
        <w:rPr>
          <w:rFonts w:hAnsi="宋体"/>
        </w:rPr>
      </w:pPr>
      <w:r>
        <w:rPr>
          <w:rFonts w:hint="eastAsia" w:hAnsi="宋体"/>
          <w:bCs/>
        </w:rPr>
        <w:t>(三</w:t>
      </w:r>
      <w:r>
        <w:rPr>
          <w:rFonts w:hAnsi="宋体"/>
          <w:bCs/>
        </w:rPr>
        <w:t>)</w:t>
      </w:r>
      <w:r>
        <w:rPr>
          <w:rFonts w:hint="eastAsia" w:hAnsi="宋体"/>
        </w:rPr>
        <w:t>评分方式：磋商小组各成员独立对每个有效响应文件进行评价、打分，汇总每个供应商每项评分因素的得分。</w:t>
      </w:r>
    </w:p>
    <w:p>
      <w:pPr>
        <w:pStyle w:val="22"/>
        <w:spacing w:line="440" w:lineRule="exact"/>
        <w:rPr>
          <w:rFonts w:hAnsi="宋体"/>
          <w:b/>
          <w:bCs/>
        </w:rPr>
      </w:pPr>
      <w:r>
        <w:rPr>
          <w:rFonts w:hint="eastAsia" w:hAnsi="宋体"/>
          <w:b/>
          <w:bCs/>
        </w:rPr>
        <w:t>二、</w:t>
      </w:r>
      <w:bookmarkStart w:id="135" w:name="_Hlk114131094"/>
      <w:r>
        <w:rPr>
          <w:rFonts w:hint="eastAsia" w:hAnsi="宋体"/>
          <w:b/>
          <w:bCs/>
        </w:rPr>
        <w:t>评分细则</w:t>
      </w:r>
      <w:bookmarkEnd w:id="135"/>
    </w:p>
    <w:p>
      <w:pPr>
        <w:spacing w:line="440" w:lineRule="exact"/>
        <w:ind w:firstLine="211" w:firstLineChars="100"/>
        <w:rPr>
          <w:b/>
          <w:bCs/>
        </w:rPr>
      </w:pPr>
      <w:r>
        <w:rPr>
          <w:rFonts w:hint="eastAsia"/>
          <w:b/>
          <w:bCs/>
        </w:rPr>
        <w:t>（一）磋商报价得分（</w:t>
      </w:r>
      <w:r>
        <w:rPr>
          <w:rFonts w:hint="eastAsia"/>
          <w:b/>
          <w:bCs/>
          <w:lang w:val="en-US" w:eastAsia="zh-CN"/>
        </w:rPr>
        <w:t>2</w:t>
      </w:r>
      <w:r>
        <w:rPr>
          <w:rFonts w:hint="eastAsia"/>
          <w:b/>
          <w:bCs/>
        </w:rPr>
        <w:t>0分）</w:t>
      </w:r>
    </w:p>
    <w:p>
      <w:pPr>
        <w:spacing w:line="440" w:lineRule="exact"/>
        <w:ind w:firstLine="420"/>
        <w:jc w:val="left"/>
        <w:rPr>
          <w:rFonts w:ascii="宋体" w:hAnsi="宋体" w:cs="Courier New"/>
          <w:szCs w:val="21"/>
        </w:rPr>
      </w:pPr>
      <w:r>
        <w:rPr>
          <w:rFonts w:ascii="宋体" w:hAnsi="宋体" w:cs="Courier New"/>
          <w:szCs w:val="21"/>
        </w:rPr>
        <w:t>满足磋商文件要求且最后报价最低的供应商的价格为磋商基准价，其价格分为满分。其他供应商的价格分统一按照下列公式计算：</w:t>
      </w:r>
    </w:p>
    <w:p>
      <w:pPr>
        <w:spacing w:line="440" w:lineRule="exact"/>
        <w:jc w:val="left"/>
        <w:rPr>
          <w:rFonts w:ascii="宋体" w:hAnsi="宋体" w:cs="Courier New"/>
          <w:szCs w:val="21"/>
        </w:rPr>
      </w:pPr>
      <w:r>
        <w:rPr>
          <w:rFonts w:ascii="宋体" w:hAnsi="宋体" w:cs="Courier New"/>
          <w:szCs w:val="21"/>
        </w:rPr>
        <w:t>　　磋商报价得分=（磋商基准价/最后磋商报价）×</w:t>
      </w:r>
      <w:r>
        <w:rPr>
          <w:rFonts w:hint="eastAsia" w:ascii="宋体" w:hAnsi="宋体" w:cs="Courier New"/>
          <w:szCs w:val="21"/>
          <w:lang w:val="en-US" w:eastAsia="zh-CN"/>
        </w:rPr>
        <w:t>2</w:t>
      </w:r>
      <w:r>
        <w:rPr>
          <w:rFonts w:hint="eastAsia" w:ascii="宋体" w:hAnsi="宋体" w:cs="Courier New"/>
          <w:szCs w:val="21"/>
        </w:rPr>
        <w:t>0分</w:t>
      </w:r>
    </w:p>
    <w:p>
      <w:pPr>
        <w:spacing w:line="440" w:lineRule="exact"/>
        <w:ind w:firstLine="211" w:firstLineChars="100"/>
        <w:rPr>
          <w:rFonts w:ascii="宋体" w:cs="Courier New"/>
          <w:b/>
          <w:bCs/>
          <w:szCs w:val="21"/>
        </w:rPr>
      </w:pPr>
      <w:r>
        <w:rPr>
          <w:rFonts w:hint="eastAsia" w:ascii="宋体" w:cs="Courier New"/>
          <w:b/>
          <w:bCs/>
          <w:szCs w:val="21"/>
        </w:rPr>
        <w:t>（二）商务技术分</w:t>
      </w:r>
      <w:r>
        <w:rPr>
          <w:rFonts w:hint="eastAsia"/>
          <w:b/>
          <w:bCs/>
        </w:rPr>
        <w:t>（8</w:t>
      </w:r>
      <w:r>
        <w:rPr>
          <w:rFonts w:hint="eastAsia"/>
          <w:b/>
          <w:bCs/>
          <w:lang w:val="en-US" w:eastAsia="zh-CN"/>
        </w:rPr>
        <w:t>0</w:t>
      </w:r>
      <w:r>
        <w:rPr>
          <w:rFonts w:hint="eastAsia"/>
          <w:b/>
          <w:bCs/>
        </w:rPr>
        <w:t>分）</w:t>
      </w:r>
    </w:p>
    <w:p>
      <w:pPr>
        <w:spacing w:line="440" w:lineRule="exact"/>
        <w:rPr>
          <w:rFonts w:ascii="宋体" w:hAnsi="Courier New" w:cs="Courier New"/>
          <w:b/>
          <w:szCs w:val="21"/>
        </w:rPr>
      </w:pPr>
      <w:r>
        <w:rPr>
          <w:rFonts w:hint="eastAsia" w:ascii="宋体" w:hAnsi="Courier New" w:cs="Courier New"/>
          <w:b/>
          <w:szCs w:val="21"/>
        </w:rPr>
        <w:t>1.技术分（满分6</w:t>
      </w:r>
      <w:r>
        <w:rPr>
          <w:rFonts w:hint="eastAsia" w:ascii="宋体" w:hAnsi="Courier New" w:cs="Courier New"/>
          <w:b/>
          <w:szCs w:val="21"/>
          <w:lang w:val="en-US" w:eastAsia="zh-CN"/>
        </w:rPr>
        <w:t>6</w:t>
      </w:r>
      <w:r>
        <w:rPr>
          <w:rFonts w:hint="eastAsia" w:ascii="宋体" w:hAnsi="Courier New" w:cs="Courier New"/>
          <w:b/>
          <w:szCs w:val="21"/>
        </w:rPr>
        <w:t>分）</w:t>
      </w:r>
    </w:p>
    <w:p>
      <w:pPr>
        <w:pStyle w:val="38"/>
        <w:ind w:left="0" w:leftChars="0" w:firstLine="0" w:firstLineChars="0"/>
        <w:rPr>
          <w:rFonts w:hint="eastAsia" w:ascii="宋体" w:hAnsi="Courier New" w:eastAsia="宋体" w:cs="Courier New"/>
          <w:b/>
          <w:kern w:val="2"/>
          <w:sz w:val="21"/>
          <w:szCs w:val="21"/>
          <w:lang w:val="en-US" w:eastAsia="zh-CN" w:bidi="ar-SA"/>
        </w:rPr>
      </w:pPr>
    </w:p>
    <w:p>
      <w:pPr>
        <w:pStyle w:val="38"/>
        <w:ind w:left="0" w:leftChars="0" w:firstLine="0" w:firstLineChars="0"/>
        <w:rPr>
          <w:rFonts w:hint="eastAsia" w:ascii="宋体" w:hAnsi="Courier New" w:eastAsia="宋体" w:cs="Courier New"/>
          <w:b/>
          <w:kern w:val="2"/>
          <w:sz w:val="21"/>
          <w:szCs w:val="21"/>
          <w:lang w:val="en-US" w:eastAsia="zh-CN" w:bidi="ar-SA"/>
        </w:rPr>
      </w:pPr>
      <w:r>
        <w:rPr>
          <w:rFonts w:hint="eastAsia" w:ascii="宋体" w:hAnsi="Courier New" w:eastAsia="宋体" w:cs="Courier New"/>
          <w:b/>
          <w:kern w:val="2"/>
          <w:sz w:val="21"/>
          <w:szCs w:val="21"/>
          <w:lang w:val="en-US" w:eastAsia="zh-CN" w:bidi="ar-SA"/>
        </w:rPr>
        <w:t>1.</w:t>
      </w:r>
      <w:r>
        <w:rPr>
          <w:rFonts w:hint="eastAsia" w:hAnsi="Courier New" w:cs="Courier New"/>
          <w:b/>
          <w:kern w:val="2"/>
          <w:sz w:val="21"/>
          <w:szCs w:val="21"/>
          <w:lang w:val="en-US" w:eastAsia="zh-CN" w:bidi="ar-SA"/>
        </w:rPr>
        <w:t>1</w:t>
      </w:r>
      <w:r>
        <w:rPr>
          <w:rFonts w:hint="eastAsia" w:ascii="宋体" w:hAnsi="Courier New" w:eastAsia="宋体" w:cs="Courier New"/>
          <w:b/>
          <w:kern w:val="2"/>
          <w:sz w:val="21"/>
          <w:szCs w:val="21"/>
          <w:lang w:val="en-US" w:eastAsia="zh-CN" w:bidi="ar-SA"/>
        </w:rPr>
        <w:t>服务承诺</w:t>
      </w:r>
      <w:r>
        <w:rPr>
          <w:rFonts w:hint="eastAsia" w:hAnsi="Courier New" w:cs="Courier New"/>
          <w:b/>
          <w:kern w:val="2"/>
          <w:sz w:val="21"/>
          <w:szCs w:val="21"/>
          <w:lang w:val="en-US" w:eastAsia="zh-CN" w:bidi="ar-SA"/>
        </w:rPr>
        <w:t>方案</w:t>
      </w:r>
      <w:r>
        <w:rPr>
          <w:rFonts w:hint="eastAsia" w:ascii="宋体" w:hAnsi="Courier New" w:eastAsia="宋体" w:cs="Courier New"/>
          <w:b/>
          <w:kern w:val="2"/>
          <w:sz w:val="21"/>
          <w:szCs w:val="21"/>
          <w:lang w:val="en-US" w:eastAsia="zh-CN" w:bidi="ar-SA"/>
        </w:rPr>
        <w:t>分（</w:t>
      </w:r>
      <w:r>
        <w:rPr>
          <w:rFonts w:hint="eastAsia" w:hAnsi="Courier New" w:cs="Courier New"/>
          <w:b/>
          <w:kern w:val="2"/>
          <w:sz w:val="21"/>
          <w:szCs w:val="21"/>
          <w:lang w:val="en-US" w:eastAsia="zh-CN" w:bidi="ar-SA"/>
        </w:rPr>
        <w:t>12</w:t>
      </w:r>
      <w:r>
        <w:rPr>
          <w:rFonts w:hint="eastAsia" w:ascii="宋体" w:hAnsi="Courier New" w:eastAsia="宋体" w:cs="Courier New"/>
          <w:b/>
          <w:kern w:val="2"/>
          <w:sz w:val="21"/>
          <w:szCs w:val="21"/>
          <w:lang w:val="en-US" w:eastAsia="zh-CN" w:bidi="ar-SA"/>
        </w:rPr>
        <w:t>分）</w:t>
      </w:r>
    </w:p>
    <w:p>
      <w:pPr>
        <w:pStyle w:val="22"/>
        <w:spacing w:line="440" w:lineRule="exact"/>
        <w:ind w:firstLine="210" w:firstLineChars="100"/>
        <w:rPr>
          <w:rFonts w:hint="eastAsia" w:hAnsi="宋体"/>
        </w:rPr>
      </w:pPr>
      <w:r>
        <w:rPr>
          <w:rFonts w:hint="eastAsia" w:hAnsi="宋体"/>
        </w:rPr>
        <w:t>由磋商小组对供应商提供的服务承诺</w:t>
      </w:r>
      <w:r>
        <w:rPr>
          <w:rFonts w:hint="eastAsia" w:hAnsi="宋体"/>
          <w:lang w:val="en-US" w:eastAsia="zh-CN"/>
        </w:rPr>
        <w:t>方案</w:t>
      </w:r>
      <w:r>
        <w:rPr>
          <w:rFonts w:hint="eastAsia" w:hAnsi="宋体"/>
        </w:rPr>
        <w:t>按以下规则进行评分：</w:t>
      </w:r>
    </w:p>
    <w:p>
      <w:pPr>
        <w:pStyle w:val="22"/>
        <w:spacing w:line="440" w:lineRule="exact"/>
        <w:ind w:firstLine="210" w:firstLineChars="100"/>
        <w:rPr>
          <w:rFonts w:hint="eastAsia" w:hAnsi="宋体" w:eastAsia="宋体"/>
          <w:lang w:eastAsia="zh-CN"/>
        </w:rPr>
      </w:pPr>
      <w:r>
        <w:rPr>
          <w:rFonts w:hint="eastAsia" w:hAnsi="宋体"/>
          <w:lang w:val="en-US" w:eastAsia="zh-CN"/>
        </w:rPr>
        <w:t>一档（3分）：投标人提供</w:t>
      </w:r>
      <w:r>
        <w:rPr>
          <w:rFonts w:hint="eastAsia" w:hAnsi="宋体"/>
        </w:rPr>
        <w:t>方案的服务承诺和质量保证措施满足采购需求的</w:t>
      </w:r>
      <w:r>
        <w:rPr>
          <w:rFonts w:hint="eastAsia" w:hAnsi="宋体"/>
          <w:lang w:eastAsia="zh-CN"/>
        </w:rPr>
        <w:t>。</w:t>
      </w:r>
    </w:p>
    <w:p>
      <w:pPr>
        <w:pStyle w:val="22"/>
        <w:spacing w:line="440" w:lineRule="exact"/>
        <w:ind w:firstLine="210" w:firstLineChars="100"/>
        <w:rPr>
          <w:rFonts w:hint="default" w:hAnsi="宋体"/>
          <w:lang w:val="en-US" w:eastAsia="zh-CN"/>
        </w:rPr>
      </w:pPr>
      <w:r>
        <w:rPr>
          <w:rFonts w:hint="eastAsia" w:hAnsi="宋体"/>
          <w:lang w:val="en-US" w:eastAsia="zh-CN"/>
        </w:rPr>
        <w:t>二档（6分）：投标人提供</w:t>
      </w:r>
      <w:r>
        <w:rPr>
          <w:rFonts w:hint="eastAsia" w:hAnsi="宋体"/>
        </w:rPr>
        <w:t>方案</w:t>
      </w:r>
      <w:r>
        <w:rPr>
          <w:rFonts w:hint="eastAsia" w:hAnsi="宋体"/>
          <w:lang w:val="en-US" w:eastAsia="zh-CN"/>
        </w:rPr>
        <w:t>满足一档的基础上，提供本项目服务方案、服务内容、服务要求及规定，人员的派遣分配，人员配置规划等内容满足采购需求的。</w:t>
      </w:r>
    </w:p>
    <w:p>
      <w:pPr>
        <w:pStyle w:val="22"/>
        <w:spacing w:line="440" w:lineRule="exact"/>
        <w:ind w:firstLine="210" w:firstLineChars="100"/>
        <w:rPr>
          <w:rFonts w:hint="eastAsia" w:hAnsi="宋体"/>
        </w:rPr>
      </w:pPr>
      <w:r>
        <w:rPr>
          <w:rFonts w:hint="eastAsia" w:hAnsi="宋体"/>
          <w:lang w:val="en-US" w:eastAsia="zh-CN"/>
        </w:rPr>
        <w:t>三档（9分）：投标人提供</w:t>
      </w:r>
      <w:r>
        <w:rPr>
          <w:rFonts w:hint="eastAsia" w:hAnsi="宋体"/>
        </w:rPr>
        <w:t>方案</w:t>
      </w:r>
      <w:r>
        <w:rPr>
          <w:rFonts w:hint="eastAsia" w:hAnsi="宋体"/>
          <w:lang w:val="en-US" w:eastAsia="zh-CN"/>
        </w:rPr>
        <w:t>满足一、二档的基础上，提供的本项目</w:t>
      </w:r>
      <w:r>
        <w:rPr>
          <w:rFonts w:hint="eastAsia" w:hAnsi="宋体"/>
        </w:rPr>
        <w:t>工作安排及计划，</w:t>
      </w:r>
      <w:r>
        <w:rPr>
          <w:rFonts w:hint="eastAsia" w:hAnsi="宋体"/>
          <w:lang w:val="en-US" w:eastAsia="zh-CN"/>
        </w:rPr>
        <w:t>具备有</w:t>
      </w:r>
      <w:r>
        <w:rPr>
          <w:rFonts w:hint="eastAsia" w:hAnsi="宋体"/>
        </w:rPr>
        <w:t>组织管理体系</w:t>
      </w:r>
      <w:r>
        <w:rPr>
          <w:rFonts w:hint="eastAsia" w:hAnsi="宋体"/>
          <w:lang w:eastAsia="zh-CN"/>
        </w:rPr>
        <w:t>、</w:t>
      </w:r>
      <w:r>
        <w:rPr>
          <w:rFonts w:hint="eastAsia" w:hAnsi="宋体"/>
        </w:rPr>
        <w:t>合理完善的管理模式</w:t>
      </w:r>
      <w:r>
        <w:rPr>
          <w:rFonts w:hint="eastAsia" w:hAnsi="宋体"/>
          <w:lang w:eastAsia="zh-CN"/>
        </w:rPr>
        <w:t>、</w:t>
      </w:r>
      <w:r>
        <w:rPr>
          <w:rFonts w:hint="eastAsia" w:hAnsi="宋体"/>
        </w:rPr>
        <w:t>处理应急预案</w:t>
      </w:r>
      <w:r>
        <w:rPr>
          <w:rFonts w:hint="eastAsia" w:hAnsi="宋体"/>
          <w:lang w:val="en-US" w:eastAsia="zh-CN"/>
        </w:rPr>
        <w:t>等</w:t>
      </w:r>
      <w:r>
        <w:rPr>
          <w:rFonts w:hint="eastAsia" w:hAnsi="宋体"/>
        </w:rPr>
        <w:t>，针对本项目提供完善的日常考核单</w:t>
      </w:r>
      <w:r>
        <w:rPr>
          <w:rFonts w:hint="eastAsia" w:hAnsi="宋体"/>
          <w:lang w:val="en-US" w:eastAsia="zh-CN"/>
        </w:rPr>
        <w:t>满足采购需求的。</w:t>
      </w:r>
    </w:p>
    <w:p>
      <w:pPr>
        <w:pStyle w:val="22"/>
        <w:spacing w:line="440" w:lineRule="exact"/>
        <w:ind w:firstLine="210" w:firstLineChars="100"/>
        <w:rPr>
          <w:rFonts w:hint="eastAsia" w:hAnsi="宋体"/>
          <w:lang w:val="en-US" w:eastAsia="zh-CN"/>
        </w:rPr>
      </w:pPr>
      <w:r>
        <w:rPr>
          <w:rFonts w:hint="eastAsia" w:hAnsi="宋体"/>
          <w:lang w:val="en-US" w:eastAsia="zh-CN"/>
        </w:rPr>
        <w:t>四档（12分）：投标人提供</w:t>
      </w:r>
      <w:r>
        <w:rPr>
          <w:rFonts w:hint="eastAsia" w:hAnsi="宋体"/>
        </w:rPr>
        <w:t>方案</w:t>
      </w:r>
      <w:r>
        <w:rPr>
          <w:rFonts w:hint="eastAsia" w:hAnsi="宋体"/>
          <w:lang w:val="en-US" w:eastAsia="zh-CN"/>
        </w:rPr>
        <w:t>满足一、二档、三档的基础上，提供的方案针对本项目服务内容有详细的服务流程规范及要求、人员的派遣分配，人员配置规划等内容符合采购需求，具有管理经验、组织管理体系，针对本项目制定规范，满足采购需求方案的。（需提供详细的文字描述及各种工作制度的工作流程图）。</w:t>
      </w:r>
    </w:p>
    <w:p>
      <w:pPr>
        <w:pStyle w:val="22"/>
        <w:spacing w:line="440" w:lineRule="exact"/>
        <w:ind w:firstLine="210" w:firstLineChars="100"/>
        <w:rPr>
          <w:rFonts w:hint="eastAsia" w:hAnsi="宋体"/>
        </w:rPr>
      </w:pPr>
      <w:r>
        <w:rPr>
          <w:rFonts w:hint="eastAsia" w:hAnsi="宋体"/>
          <w:lang w:val="en-US" w:eastAsia="zh-CN"/>
        </w:rPr>
        <w:t>该项评分不累计加分，满分12分。</w:t>
      </w:r>
    </w:p>
    <w:p>
      <w:pPr>
        <w:spacing w:line="440" w:lineRule="exact"/>
        <w:rPr>
          <w:rFonts w:hint="eastAsia" w:ascii="宋体" w:cs="Courier New"/>
          <w:b/>
          <w:szCs w:val="21"/>
        </w:rPr>
      </w:pPr>
    </w:p>
    <w:p>
      <w:pPr>
        <w:spacing w:line="440" w:lineRule="exact"/>
        <w:rPr>
          <w:rFonts w:ascii="宋体" w:cs="Courier New"/>
          <w:b/>
          <w:szCs w:val="21"/>
        </w:rPr>
      </w:pPr>
      <w:r>
        <w:rPr>
          <w:rFonts w:hint="eastAsia" w:ascii="宋体" w:cs="Courier New"/>
          <w:b/>
          <w:szCs w:val="21"/>
        </w:rPr>
        <w:t>1.2管理规章制度</w:t>
      </w:r>
      <w:r>
        <w:rPr>
          <w:rFonts w:hint="eastAsia" w:ascii="宋体" w:cs="Courier New"/>
          <w:b/>
          <w:szCs w:val="21"/>
          <w:lang w:val="en-US" w:eastAsia="zh-CN"/>
        </w:rPr>
        <w:t>方案</w:t>
      </w:r>
      <w:r>
        <w:rPr>
          <w:rFonts w:hint="eastAsia" w:ascii="宋体" w:cs="Courier New"/>
          <w:b/>
          <w:szCs w:val="21"/>
        </w:rPr>
        <w:t>分（</w:t>
      </w:r>
      <w:r>
        <w:rPr>
          <w:rFonts w:hint="eastAsia" w:ascii="宋体" w:cs="Courier New"/>
          <w:b/>
          <w:szCs w:val="21"/>
          <w:lang w:val="en-US" w:eastAsia="zh-CN"/>
        </w:rPr>
        <w:t>9</w:t>
      </w:r>
      <w:r>
        <w:rPr>
          <w:rFonts w:hint="eastAsia" w:ascii="宋体" w:cs="Courier New"/>
          <w:b/>
          <w:szCs w:val="21"/>
        </w:rPr>
        <w:t>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由磋商小组对供应商提供的管理规章制度方案按以下规则进行评分：</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一档（3分）：投标人提供本项目管理规章制度基本满足采购需求的。</w:t>
      </w:r>
    </w:p>
    <w:p>
      <w:pPr>
        <w:pStyle w:val="22"/>
        <w:spacing w:line="440" w:lineRule="exact"/>
        <w:ind w:firstLine="210" w:firstLineChars="100"/>
        <w:rPr>
          <w:rFonts w:hint="eastAsia" w:hAnsi="宋体"/>
          <w:lang w:val="en-US" w:eastAsia="zh-CN"/>
        </w:rPr>
      </w:pPr>
      <w:r>
        <w:rPr>
          <w:rFonts w:hint="eastAsia" w:hAnsi="宋体"/>
          <w:lang w:val="en-US" w:eastAsia="zh-CN"/>
        </w:rPr>
        <w:t>二档（6分）：投标人提供方案满足一档的基础上，提供本项目</w:t>
      </w:r>
      <w:r>
        <w:rPr>
          <w:rFonts w:hint="eastAsia"/>
          <w:bCs/>
        </w:rPr>
        <w:t>公共管理制度</w:t>
      </w:r>
      <w:r>
        <w:rPr>
          <w:rFonts w:hint="eastAsia" w:hAnsi="宋体"/>
          <w:lang w:val="en-US" w:eastAsia="zh-CN"/>
        </w:rPr>
        <w:t>、</w:t>
      </w:r>
      <w:r>
        <w:rPr>
          <w:rFonts w:hint="eastAsia"/>
          <w:bCs/>
        </w:rPr>
        <w:t>内部岗位责任制</w:t>
      </w:r>
      <w:r>
        <w:rPr>
          <w:rFonts w:hint="eastAsia" w:hAnsi="宋体"/>
          <w:lang w:val="en-US" w:eastAsia="zh-CN"/>
        </w:rPr>
        <w:t>，</w:t>
      </w:r>
      <w:r>
        <w:rPr>
          <w:rFonts w:hint="eastAsia"/>
          <w:bCs/>
        </w:rPr>
        <w:t>管理运作制度及标准</w:t>
      </w:r>
      <w:r>
        <w:rPr>
          <w:rFonts w:hint="eastAsia" w:hAnsi="宋体"/>
          <w:lang w:val="en-US" w:eastAsia="zh-CN"/>
        </w:rPr>
        <w:t>满足采购需求的。</w:t>
      </w:r>
    </w:p>
    <w:p>
      <w:pPr>
        <w:pStyle w:val="22"/>
        <w:spacing w:line="440" w:lineRule="exact"/>
        <w:ind w:firstLine="210" w:firstLineChars="100"/>
        <w:rPr>
          <w:rFonts w:hint="eastAsia" w:hAnsi="宋体" w:eastAsia="宋体"/>
          <w:lang w:val="en-US" w:eastAsia="zh-CN"/>
        </w:rPr>
      </w:pPr>
      <w:r>
        <w:rPr>
          <w:rFonts w:hint="eastAsia" w:hAnsi="宋体"/>
          <w:lang w:val="en-US" w:eastAsia="zh-CN"/>
        </w:rPr>
        <w:t>三档（9分）：投标人提供方案满足一、二档的基础上，提供</w:t>
      </w:r>
      <w:r>
        <w:rPr>
          <w:rFonts w:hint="eastAsia"/>
          <w:bCs/>
        </w:rPr>
        <w:t>管理人员考核</w:t>
      </w:r>
      <w:r>
        <w:rPr>
          <w:rFonts w:hint="eastAsia" w:hAnsi="宋体"/>
          <w:lang w:val="en-US" w:eastAsia="zh-CN"/>
        </w:rPr>
        <w:t>，</w:t>
      </w:r>
      <w:r>
        <w:rPr>
          <w:rFonts w:hint="eastAsia"/>
          <w:bCs/>
        </w:rPr>
        <w:t>档案的建立及归档管理制度(利用办公自动化对档案进行管理)满足</w:t>
      </w:r>
      <w:r>
        <w:rPr>
          <w:rFonts w:hint="eastAsia"/>
          <w:bCs/>
          <w:lang w:val="en-US" w:eastAsia="zh-CN"/>
        </w:rPr>
        <w:t>本</w:t>
      </w:r>
      <w:r>
        <w:rPr>
          <w:rFonts w:hint="eastAsia"/>
          <w:bCs/>
        </w:rPr>
        <w:t>项目</w:t>
      </w:r>
      <w:r>
        <w:rPr>
          <w:rFonts w:hint="eastAsia"/>
          <w:bCs/>
          <w:lang w:val="en-US" w:eastAsia="zh-CN"/>
        </w:rPr>
        <w:t>采购</w:t>
      </w:r>
      <w:r>
        <w:rPr>
          <w:rFonts w:hint="eastAsia"/>
          <w:bCs/>
        </w:rPr>
        <w:t>需求的</w:t>
      </w:r>
      <w:r>
        <w:rPr>
          <w:rFonts w:hint="eastAsia"/>
          <w:bCs/>
          <w:lang w:eastAsia="zh-CN"/>
        </w:rPr>
        <w:t>。</w:t>
      </w:r>
    </w:p>
    <w:p>
      <w:pPr>
        <w:pStyle w:val="22"/>
        <w:spacing w:line="440" w:lineRule="exact"/>
        <w:ind w:firstLine="210" w:firstLineChars="100"/>
        <w:rPr>
          <w:rFonts w:hint="eastAsia" w:hAnsi="宋体"/>
          <w:lang w:val="en-US" w:eastAsia="zh-CN"/>
        </w:rPr>
      </w:pPr>
      <w:r>
        <w:rPr>
          <w:rFonts w:hint="eastAsia" w:hAnsi="宋体"/>
          <w:lang w:val="en-US" w:eastAsia="zh-CN"/>
        </w:rPr>
        <w:t>该项评分不累计加分，满分9分。</w:t>
      </w:r>
    </w:p>
    <w:p>
      <w:pPr>
        <w:spacing w:line="440" w:lineRule="exact"/>
        <w:rPr>
          <w:rFonts w:hint="eastAsia" w:ascii="宋体" w:hAnsi="Times New Roman" w:cs="Courier New"/>
          <w:b/>
          <w:szCs w:val="21"/>
          <w:lang w:val="en-US" w:eastAsia="zh-CN"/>
        </w:rPr>
      </w:pPr>
    </w:p>
    <w:p>
      <w:pPr>
        <w:spacing w:line="440" w:lineRule="exact"/>
        <w:rPr>
          <w:rFonts w:hint="eastAsia" w:ascii="宋体" w:hAnsi="Times New Roman" w:cs="Courier New"/>
          <w:b/>
          <w:szCs w:val="21"/>
          <w:lang w:val="en-US" w:eastAsia="zh-CN"/>
        </w:rPr>
      </w:pPr>
      <w:r>
        <w:rPr>
          <w:rFonts w:hint="eastAsia" w:ascii="宋体" w:hAnsi="Times New Roman" w:cs="Courier New"/>
          <w:b/>
          <w:szCs w:val="21"/>
          <w:lang w:val="en-US" w:eastAsia="zh-CN"/>
        </w:rPr>
        <w:t>1.3人员配置</w:t>
      </w:r>
      <w:r>
        <w:rPr>
          <w:rFonts w:hint="eastAsia" w:ascii="宋体" w:cs="Courier New"/>
          <w:b/>
          <w:szCs w:val="21"/>
          <w:lang w:val="en-US" w:eastAsia="zh-CN"/>
        </w:rPr>
        <w:t>方案</w:t>
      </w:r>
      <w:r>
        <w:rPr>
          <w:rFonts w:hint="eastAsia" w:ascii="宋体" w:hAnsi="Times New Roman" w:cs="Courier New"/>
          <w:b/>
          <w:szCs w:val="21"/>
          <w:lang w:val="en-US" w:eastAsia="zh-CN"/>
        </w:rPr>
        <w:t>分（9分）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人员配置方案按以下规则进行评分：人员配置方案分①管理人员的配备，包括：物业服务中心经理简历，各类人员数量，文化素质和专业素质、各岗人员的配置等。②管理人员的培训。③管理人员的管理，包括：录用及考核，淘汰机制，协调关系，服务意识等。</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一档（3分）：投标人提供本项目制订管理人员的配备方案，物业服务中心经理简历，各类人员数量，文化素质和专业素质、各岗人员的配置响应本项目需求；</w:t>
      </w:r>
    </w:p>
    <w:p>
      <w:pPr>
        <w:pStyle w:val="22"/>
        <w:spacing w:line="440" w:lineRule="exact"/>
        <w:ind w:firstLine="210" w:firstLineChars="100"/>
        <w:rPr>
          <w:rFonts w:hint="eastAsia" w:hAnsi="宋体"/>
          <w:lang w:val="en-US" w:eastAsia="zh-CN"/>
        </w:rPr>
      </w:pPr>
      <w:r>
        <w:rPr>
          <w:rFonts w:hint="eastAsia" w:hAnsi="宋体"/>
          <w:lang w:val="en-US" w:eastAsia="zh-CN"/>
        </w:rPr>
        <w:t>二档（6分）：投标人提供本项目配置方案满足一档的基础上，人员配置方案的管理人员的培训方案满足本项目实际需求。</w:t>
      </w:r>
    </w:p>
    <w:p>
      <w:pPr>
        <w:pStyle w:val="22"/>
        <w:spacing w:line="440" w:lineRule="exact"/>
        <w:ind w:firstLine="210" w:firstLineChars="100"/>
        <w:rPr>
          <w:rFonts w:hint="eastAsia" w:hAnsi="宋体"/>
          <w:lang w:val="en-US" w:eastAsia="zh-CN"/>
        </w:rPr>
      </w:pPr>
      <w:r>
        <w:rPr>
          <w:rFonts w:hint="eastAsia" w:hAnsi="宋体"/>
          <w:lang w:val="en-US" w:eastAsia="zh-CN"/>
        </w:rPr>
        <w:t>三档（9分）：投标人提供本项目配置方案满足一、二档的基础上，人员配置方案的考核方式及考核标准，淘汰机制，协调关系，服务意识等满足本项目采购需求方案。</w:t>
      </w:r>
    </w:p>
    <w:p>
      <w:pPr>
        <w:pStyle w:val="22"/>
        <w:spacing w:line="440" w:lineRule="exact"/>
        <w:ind w:firstLine="210" w:firstLineChars="100"/>
        <w:rPr>
          <w:rFonts w:hint="eastAsia" w:hAnsi="宋体"/>
          <w:lang w:val="en-US" w:eastAsia="zh-CN"/>
        </w:rPr>
      </w:pPr>
      <w:r>
        <w:rPr>
          <w:rFonts w:hint="eastAsia" w:hAnsi="宋体"/>
          <w:lang w:val="en-US" w:eastAsia="zh-CN"/>
        </w:rPr>
        <w:t>该项评分不累计加分，满分9分。</w:t>
      </w:r>
    </w:p>
    <w:p>
      <w:pPr>
        <w:spacing w:line="440" w:lineRule="exact"/>
        <w:rPr>
          <w:rFonts w:hint="eastAsia" w:ascii="宋体" w:hAnsi="Times New Roman" w:cs="Courier New"/>
          <w:b/>
          <w:szCs w:val="21"/>
          <w:lang w:val="en-US" w:eastAsia="zh-CN"/>
        </w:rPr>
      </w:pPr>
    </w:p>
    <w:p>
      <w:pPr>
        <w:spacing w:line="440" w:lineRule="exact"/>
        <w:rPr>
          <w:rFonts w:hint="eastAsia" w:ascii="宋体" w:hAnsi="Times New Roman" w:cs="Courier New"/>
          <w:b/>
          <w:szCs w:val="21"/>
          <w:lang w:val="en-US" w:eastAsia="zh-CN"/>
        </w:rPr>
      </w:pPr>
      <w:r>
        <w:rPr>
          <w:rFonts w:hint="eastAsia" w:ascii="宋体" w:hAnsi="Times New Roman" w:cs="Courier New"/>
          <w:b/>
          <w:szCs w:val="21"/>
          <w:lang w:val="en-US" w:eastAsia="zh-CN"/>
        </w:rPr>
        <w:t>1.4物资配置方案（9分）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由磋商小组对供应商提供的物资配置方案按以下规则进行评分：</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一档（3分）：投标人提供物资配置方案、装备配备方案响应本项目服务需求。</w:t>
      </w:r>
    </w:p>
    <w:p>
      <w:pPr>
        <w:pStyle w:val="22"/>
        <w:spacing w:line="440" w:lineRule="exact"/>
        <w:ind w:firstLine="210" w:firstLineChars="100"/>
        <w:rPr>
          <w:rFonts w:hint="eastAsia" w:hAnsi="宋体"/>
          <w:lang w:val="en-US" w:eastAsia="zh-CN"/>
        </w:rPr>
      </w:pPr>
      <w:r>
        <w:rPr>
          <w:rFonts w:hint="eastAsia" w:hAnsi="宋体"/>
          <w:lang w:val="en-US" w:eastAsia="zh-CN"/>
        </w:rPr>
        <w:t>二档（6分）：投标人提供本项目物资配置方案，满足一档的基础上</w:t>
      </w:r>
      <w:r>
        <w:rPr>
          <w:rFonts w:hint="eastAsia" w:ascii="宋体" w:hAnsi="宋体" w:eastAsia="宋体"/>
          <w:color w:val="000000" w:themeColor="text1"/>
          <w:szCs w:val="21"/>
          <w:lang w:val="en-US" w:eastAsia="zh-CN"/>
          <w14:textFill>
            <w14:solidFill>
              <w14:schemeClr w14:val="tx1"/>
            </w14:solidFill>
          </w14:textFill>
        </w:rPr>
        <w:t>所需工具及耗材消防演练、防汛物资、各类警示牌标等</w:t>
      </w:r>
      <w:r>
        <w:rPr>
          <w:rFonts w:hint="eastAsia" w:hAnsi="宋体"/>
          <w:lang w:val="en-US" w:eastAsia="zh-CN"/>
        </w:rPr>
        <w:t>物资配置满足项目服务需求。</w:t>
      </w:r>
    </w:p>
    <w:p>
      <w:pPr>
        <w:pStyle w:val="22"/>
        <w:spacing w:line="440" w:lineRule="exact"/>
        <w:ind w:firstLine="210" w:firstLineChars="100"/>
        <w:rPr>
          <w:rFonts w:hint="eastAsia" w:hAnsi="宋体"/>
          <w:lang w:val="en-US" w:eastAsia="zh-CN"/>
        </w:rPr>
      </w:pPr>
      <w:r>
        <w:rPr>
          <w:rFonts w:hint="eastAsia" w:hAnsi="宋体"/>
          <w:lang w:val="en-US" w:eastAsia="zh-CN"/>
        </w:rPr>
        <w:t>三档（9分）：投标人提供的物资配置方案，满足二档的基础上物资配置方案的保安、保洁、绿化及会议服务人员配备的工具、服装及装备等，满足采购人方案需求的。</w:t>
      </w:r>
    </w:p>
    <w:p>
      <w:pPr>
        <w:pStyle w:val="22"/>
        <w:spacing w:line="440" w:lineRule="exact"/>
        <w:ind w:firstLine="210" w:firstLineChars="100"/>
        <w:rPr>
          <w:rFonts w:hint="eastAsia" w:hAnsi="宋体"/>
          <w:lang w:val="en-US" w:eastAsia="zh-CN"/>
        </w:rPr>
      </w:pPr>
      <w:r>
        <w:rPr>
          <w:rFonts w:hint="eastAsia" w:hAnsi="宋体"/>
          <w:lang w:val="en-US" w:eastAsia="zh-CN"/>
        </w:rPr>
        <w:t>该项评分不累计加分，满分9分。</w:t>
      </w:r>
    </w:p>
    <w:p>
      <w:pPr>
        <w:pStyle w:val="22"/>
        <w:spacing w:line="440" w:lineRule="exact"/>
        <w:ind w:firstLine="211" w:firstLineChars="100"/>
        <w:rPr>
          <w:rFonts w:hint="eastAsia" w:ascii="宋体" w:hAnsi="Times New Roman" w:eastAsia="宋体" w:cs="Courier New"/>
          <w:b/>
          <w:kern w:val="2"/>
          <w:sz w:val="21"/>
          <w:szCs w:val="21"/>
          <w:lang w:val="en-US" w:eastAsia="zh-CN" w:bidi="ar-SA"/>
        </w:rPr>
      </w:pPr>
    </w:p>
    <w:p>
      <w:pPr>
        <w:pStyle w:val="22"/>
        <w:spacing w:line="440" w:lineRule="exact"/>
        <w:ind w:firstLine="211" w:firstLineChars="100"/>
        <w:rPr>
          <w:rFonts w:hint="eastAsia" w:ascii="宋体" w:hAnsi="Times New Roman" w:eastAsia="宋体" w:cs="Courier New"/>
          <w:b/>
          <w:kern w:val="2"/>
          <w:sz w:val="21"/>
          <w:szCs w:val="21"/>
          <w:lang w:val="en-US" w:eastAsia="zh-CN" w:bidi="ar-SA"/>
        </w:rPr>
      </w:pPr>
      <w:r>
        <w:rPr>
          <w:rFonts w:hint="eastAsia" w:ascii="宋体" w:hAnsi="Times New Roman" w:eastAsia="宋体" w:cs="Courier New"/>
          <w:b/>
          <w:kern w:val="2"/>
          <w:sz w:val="21"/>
          <w:szCs w:val="21"/>
          <w:lang w:val="en-US" w:eastAsia="zh-CN" w:bidi="ar-SA"/>
        </w:rPr>
        <w:t>1.5服务方案分（9分）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由磋商小组对供应商提供的服务方案按以下规则进行评分：</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一档（3分）：投标人提供本项目服务方案、服务内容、服务要求及规定，人员的派遣分配，人员配置规划等内容满足采购需求的。</w:t>
      </w:r>
    </w:p>
    <w:p>
      <w:pPr>
        <w:pStyle w:val="22"/>
        <w:spacing w:line="440" w:lineRule="exact"/>
        <w:ind w:firstLine="210" w:firstLineChars="100"/>
        <w:rPr>
          <w:rFonts w:hint="default" w:hAnsi="宋体"/>
          <w:lang w:val="en-US" w:eastAsia="zh-CN"/>
        </w:rPr>
      </w:pPr>
      <w:r>
        <w:rPr>
          <w:rFonts w:hint="eastAsia" w:hAnsi="宋体"/>
          <w:lang w:val="en-US" w:eastAsia="zh-CN"/>
        </w:rPr>
        <w:t>二档（6分）：投标人提供方案满足一档的基础上，提供的本项目工作安排及计划，具备有组织管理体系、合理完善的管理模式、处理应急预案等，提供完善的日常考核单满足采购需求的。</w:t>
      </w:r>
    </w:p>
    <w:p>
      <w:pPr>
        <w:pStyle w:val="22"/>
        <w:spacing w:line="440" w:lineRule="exact"/>
        <w:ind w:firstLine="210" w:firstLineChars="100"/>
        <w:rPr>
          <w:rFonts w:hint="eastAsia" w:hAnsi="宋体"/>
          <w:lang w:val="en-US" w:eastAsia="zh-CN"/>
        </w:rPr>
      </w:pPr>
      <w:r>
        <w:rPr>
          <w:rFonts w:hint="eastAsia" w:hAnsi="宋体"/>
          <w:lang w:val="en-US" w:eastAsia="zh-CN"/>
        </w:rPr>
        <w:t>三档（9分）：投标人提供方案满足一、二档的基础上，提供针对本项目服务内容有详细的服务流程规范及要求、人员的派遣分配，人员配置规划等内容符合采购需求，具有管理经验、组织管理体系，满足采购需求方案、优于采购人需求的（需提供详细的文字描述及各种工作制度的工作流程图）。</w:t>
      </w:r>
    </w:p>
    <w:p>
      <w:pPr>
        <w:pStyle w:val="22"/>
        <w:spacing w:line="440" w:lineRule="exact"/>
        <w:ind w:firstLine="210" w:firstLineChars="100"/>
        <w:rPr>
          <w:rFonts w:hint="eastAsia" w:hAnsi="宋体"/>
          <w:lang w:val="en-US" w:eastAsia="zh-CN"/>
        </w:rPr>
      </w:pPr>
      <w:r>
        <w:rPr>
          <w:rFonts w:hint="eastAsia" w:hAnsi="宋体"/>
          <w:lang w:val="en-US" w:eastAsia="zh-CN"/>
        </w:rPr>
        <w:t>该项评分不累计加分，满分9分。</w:t>
      </w:r>
    </w:p>
    <w:p>
      <w:pPr>
        <w:pStyle w:val="22"/>
        <w:spacing w:line="440" w:lineRule="exact"/>
        <w:ind w:firstLine="210" w:firstLineChars="100"/>
        <w:rPr>
          <w:rFonts w:hint="eastAsia" w:hAnsi="宋体"/>
          <w:lang w:val="en-US" w:eastAsia="zh-CN"/>
        </w:rPr>
      </w:pPr>
    </w:p>
    <w:p>
      <w:pPr>
        <w:pStyle w:val="22"/>
        <w:spacing w:line="440" w:lineRule="exact"/>
        <w:ind w:firstLine="211" w:firstLineChars="100"/>
        <w:rPr>
          <w:rFonts w:hint="default" w:ascii="宋体" w:hAnsi="Times New Roman" w:eastAsia="宋体" w:cs="Courier New"/>
          <w:b/>
          <w:kern w:val="2"/>
          <w:sz w:val="21"/>
          <w:szCs w:val="21"/>
          <w:lang w:val="en-US" w:eastAsia="zh-CN" w:bidi="ar-SA"/>
        </w:rPr>
      </w:pPr>
      <w:r>
        <w:rPr>
          <w:rFonts w:hint="eastAsia" w:ascii="宋体" w:hAnsi="Times New Roman" w:eastAsia="宋体" w:cs="Courier New"/>
          <w:b/>
          <w:kern w:val="2"/>
          <w:sz w:val="21"/>
          <w:szCs w:val="21"/>
          <w:lang w:val="en-US" w:eastAsia="zh-CN" w:bidi="ar-SA"/>
        </w:rPr>
        <w:t>1.6应急预案分（9分）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由磋商小组对供应商提供的应急预案，按以下：安全、消防、水电、设备故障处置措施等方面规则进行评分。</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一档（3分）：投标人提供应急预案中安全、消防等故障能及时排除，确保服务工作的正常运转。</w:t>
      </w:r>
    </w:p>
    <w:p>
      <w:pPr>
        <w:pStyle w:val="22"/>
        <w:spacing w:line="440" w:lineRule="exact"/>
        <w:ind w:firstLine="210" w:firstLineChars="100"/>
        <w:rPr>
          <w:rFonts w:hint="eastAsia" w:hAnsi="宋体"/>
          <w:lang w:val="en-US" w:eastAsia="zh-CN"/>
        </w:rPr>
      </w:pPr>
      <w:r>
        <w:rPr>
          <w:rFonts w:hint="eastAsia" w:hAnsi="宋体"/>
          <w:lang w:val="en-US" w:eastAsia="zh-CN"/>
        </w:rPr>
        <w:t>二档（6分）：投标人提供应急预案满足一档的基础上，有水电故障排除和应急方案。</w:t>
      </w:r>
    </w:p>
    <w:p>
      <w:pPr>
        <w:pStyle w:val="22"/>
        <w:spacing w:line="440" w:lineRule="exact"/>
        <w:ind w:firstLine="210" w:firstLineChars="100"/>
        <w:rPr>
          <w:rFonts w:hint="eastAsia" w:hAnsi="宋体"/>
          <w:lang w:val="en-US" w:eastAsia="zh-CN"/>
        </w:rPr>
      </w:pPr>
      <w:r>
        <w:rPr>
          <w:rFonts w:hint="eastAsia" w:hAnsi="宋体"/>
          <w:lang w:val="en-US" w:eastAsia="zh-CN"/>
        </w:rPr>
        <w:t>三档（9分）：投标人提供针应急预案满足一、二档的基础上，对服务工作的设备故障处置和应急预案等满足或优于本项目采购需求的。</w:t>
      </w:r>
    </w:p>
    <w:p>
      <w:pPr>
        <w:pStyle w:val="22"/>
        <w:spacing w:line="440" w:lineRule="exact"/>
        <w:ind w:firstLine="210" w:firstLineChars="100"/>
        <w:rPr>
          <w:rFonts w:hint="eastAsia" w:hAnsi="宋体"/>
          <w:lang w:val="en-US" w:eastAsia="zh-CN"/>
        </w:rPr>
      </w:pPr>
      <w:r>
        <w:rPr>
          <w:rFonts w:hint="eastAsia" w:hAnsi="宋体"/>
          <w:lang w:val="en-US" w:eastAsia="zh-CN"/>
        </w:rPr>
        <w:t>本项不累计加分，满分9分。</w:t>
      </w:r>
    </w:p>
    <w:p>
      <w:pPr>
        <w:pStyle w:val="22"/>
        <w:spacing w:line="440" w:lineRule="exact"/>
        <w:ind w:firstLine="210" w:firstLineChars="100"/>
        <w:rPr>
          <w:rFonts w:hint="eastAsia" w:hAnsi="宋体"/>
          <w:lang w:val="en-US" w:eastAsia="zh-CN"/>
        </w:rPr>
      </w:pPr>
    </w:p>
    <w:p>
      <w:pPr>
        <w:pStyle w:val="22"/>
        <w:spacing w:line="440" w:lineRule="exact"/>
        <w:ind w:firstLine="211" w:firstLineChars="100"/>
        <w:rPr>
          <w:rFonts w:hint="eastAsia" w:ascii="宋体" w:hAnsi="Times New Roman" w:eastAsia="宋体" w:cs="Courier New"/>
          <w:b/>
          <w:kern w:val="2"/>
          <w:sz w:val="21"/>
          <w:szCs w:val="21"/>
          <w:lang w:val="en-US" w:eastAsia="zh-CN" w:bidi="ar-SA"/>
        </w:rPr>
      </w:pPr>
      <w:r>
        <w:rPr>
          <w:rFonts w:hint="eastAsia" w:ascii="宋体" w:hAnsi="Times New Roman" w:eastAsia="宋体" w:cs="Courier New"/>
          <w:b/>
          <w:kern w:val="2"/>
          <w:sz w:val="21"/>
          <w:szCs w:val="21"/>
          <w:lang w:val="en-US" w:eastAsia="zh-CN" w:bidi="ar-SA"/>
        </w:rPr>
        <w:t>1.7物业维修服务方案分（满分9分）</w:t>
      </w:r>
    </w:p>
    <w:p>
      <w:pPr>
        <w:pStyle w:val="22"/>
        <w:spacing w:line="440" w:lineRule="exact"/>
        <w:ind w:firstLine="210" w:firstLineChars="100"/>
        <w:rPr>
          <w:rFonts w:hint="eastAsia" w:hAnsi="宋体"/>
          <w:lang w:val="en-US" w:eastAsia="zh-CN"/>
        </w:rPr>
      </w:pPr>
      <w:r>
        <w:rPr>
          <w:rFonts w:hint="eastAsia" w:hAnsi="宋体"/>
          <w:lang w:val="en-US" w:eastAsia="zh-CN"/>
        </w:rPr>
        <w:t>由磋商小组对供应商提供的物业维修服务方案按以下规则进行评分：</w:t>
      </w:r>
    </w:p>
    <w:p>
      <w:pPr>
        <w:pStyle w:val="22"/>
        <w:spacing w:line="440" w:lineRule="exact"/>
        <w:ind w:firstLine="210" w:firstLineChars="100"/>
        <w:rPr>
          <w:rFonts w:hint="eastAsia" w:hAnsi="宋体"/>
          <w:lang w:val="en-US" w:eastAsia="zh-CN"/>
        </w:rPr>
      </w:pPr>
      <w:r>
        <w:rPr>
          <w:rFonts w:hint="eastAsia" w:hAnsi="宋体"/>
          <w:lang w:val="en-US" w:eastAsia="zh-CN"/>
        </w:rPr>
        <w:t>一档（3分）：投标人提供方案内容符合采购需求。</w:t>
      </w:r>
    </w:p>
    <w:p>
      <w:pPr>
        <w:pStyle w:val="22"/>
        <w:spacing w:line="440" w:lineRule="exact"/>
        <w:ind w:firstLine="210" w:firstLineChars="100"/>
        <w:rPr>
          <w:rFonts w:hint="eastAsia" w:hAnsi="宋体"/>
          <w:lang w:val="en-US" w:eastAsia="zh-CN"/>
        </w:rPr>
      </w:pPr>
      <w:r>
        <w:rPr>
          <w:rFonts w:hint="eastAsia" w:hAnsi="宋体"/>
          <w:lang w:val="en-US" w:eastAsia="zh-CN"/>
        </w:rPr>
        <w:t>二档（6分）：投标人提供方案满足一档的基础上，提供针对本项目服务维修方案、维修服务计划、保养计划满足采购需求的。</w:t>
      </w:r>
    </w:p>
    <w:p>
      <w:pPr>
        <w:pStyle w:val="22"/>
        <w:spacing w:line="440" w:lineRule="exact"/>
        <w:ind w:firstLine="210" w:firstLineChars="100"/>
        <w:rPr>
          <w:rFonts w:hint="eastAsia" w:hAnsi="宋体"/>
          <w:lang w:val="en-US" w:eastAsia="zh-CN"/>
        </w:rPr>
      </w:pPr>
      <w:r>
        <w:rPr>
          <w:rFonts w:hint="eastAsia" w:hAnsi="宋体"/>
          <w:lang w:val="en-US" w:eastAsia="zh-CN"/>
        </w:rPr>
        <w:t>三档（9分）：投标人提供方案满足一、二档的基础上有新技术、新方法（须提供相关证明材料）提升工程维修服务质量被认可并满足采购需求的。</w:t>
      </w:r>
    </w:p>
    <w:p>
      <w:pPr>
        <w:pStyle w:val="22"/>
        <w:spacing w:line="440" w:lineRule="exact"/>
        <w:ind w:firstLine="210" w:firstLineChars="100"/>
        <w:rPr>
          <w:rFonts w:hint="eastAsia" w:hAnsi="宋体"/>
          <w:lang w:val="en-US" w:eastAsia="zh-CN"/>
        </w:rPr>
      </w:pPr>
      <w:r>
        <w:rPr>
          <w:rFonts w:hint="eastAsia" w:hAnsi="宋体"/>
          <w:lang w:val="en-US" w:eastAsia="zh-CN"/>
        </w:rPr>
        <w:t>该项评分不累计加分，满分9分。</w:t>
      </w:r>
    </w:p>
    <w:p>
      <w:pPr>
        <w:pStyle w:val="22"/>
        <w:spacing w:line="440" w:lineRule="exact"/>
        <w:ind w:firstLine="210" w:firstLineChars="100"/>
        <w:rPr>
          <w:rFonts w:hint="eastAsia" w:hAnsi="宋体"/>
          <w:lang w:val="en-US" w:eastAsia="zh-CN"/>
        </w:rPr>
      </w:pPr>
    </w:p>
    <w:p>
      <w:pPr>
        <w:pStyle w:val="22"/>
        <w:spacing w:line="440" w:lineRule="exact"/>
        <w:ind w:firstLine="211" w:firstLineChars="100"/>
        <w:rPr>
          <w:rFonts w:hint="eastAsia" w:ascii="宋体" w:hAnsi="Times New Roman" w:eastAsia="宋体" w:cs="Courier New"/>
          <w:b/>
          <w:kern w:val="2"/>
          <w:sz w:val="21"/>
          <w:szCs w:val="21"/>
          <w:lang w:val="en-US" w:eastAsia="zh-CN" w:bidi="ar-SA"/>
        </w:rPr>
      </w:pPr>
      <w:r>
        <w:rPr>
          <w:rFonts w:hint="eastAsia" w:ascii="宋体" w:hAnsi="Times New Roman" w:eastAsia="宋体" w:cs="Courier New"/>
          <w:b/>
          <w:kern w:val="2"/>
          <w:sz w:val="21"/>
          <w:szCs w:val="21"/>
          <w:lang w:val="en-US" w:eastAsia="zh-CN" w:bidi="ar-SA"/>
        </w:rPr>
        <w:t>2.信誉及业绩分（满分14分）</w:t>
      </w:r>
    </w:p>
    <w:p>
      <w:pPr>
        <w:spacing w:line="360" w:lineRule="auto"/>
        <w:rPr>
          <w:rFonts w:hint="default" w:hAnsi="宋体"/>
          <w:lang w:val="en-US" w:eastAsia="zh-CN"/>
        </w:rPr>
      </w:pPr>
      <w:r>
        <w:rPr>
          <w:rFonts w:hint="eastAsia" w:hAnsi="宋体"/>
          <w:lang w:val="en-US" w:eastAsia="zh-CN"/>
        </w:rPr>
        <w:t>2.1供应商</w:t>
      </w:r>
      <w:r>
        <w:rPr>
          <w:rFonts w:hint="eastAsia" w:ascii="宋体" w:hAnsi="宋体" w:cs="宋体"/>
          <w:color w:val="auto"/>
          <w:kern w:val="0"/>
          <w:sz w:val="21"/>
          <w:szCs w:val="21"/>
          <w:highlight w:val="none"/>
        </w:rPr>
        <w:t>持有有效职业健康安全体系认证、 质量管理体系认证、环境管理体系认证的；</w:t>
      </w:r>
      <w:r>
        <w:rPr>
          <w:rFonts w:hint="eastAsia" w:hAnsi="宋体"/>
          <w:lang w:val="en-US" w:eastAsia="zh-CN"/>
        </w:rPr>
        <w:t>且证书在有效期内的，每项得1分，满分3分。</w:t>
      </w:r>
      <w:bookmarkStart w:id="136" w:name="_Hlk162427537"/>
      <w:r>
        <w:rPr>
          <w:rFonts w:hint="eastAsia" w:hAnsi="宋体"/>
          <w:lang w:val="en-US" w:eastAsia="zh-CN"/>
        </w:rPr>
        <w:t>（须提供证书并加盖供应商公章）</w:t>
      </w:r>
      <w:bookmarkEnd w:id="136"/>
    </w:p>
    <w:p>
      <w:pPr>
        <w:pStyle w:val="22"/>
        <w:spacing w:line="440" w:lineRule="exact"/>
        <w:rPr>
          <w:rFonts w:hint="eastAsia" w:hAnsi="宋体"/>
          <w:lang w:val="en-US" w:eastAsia="zh-CN"/>
        </w:rPr>
      </w:pPr>
      <w:bookmarkStart w:id="137" w:name="_Hlk166242857"/>
      <w:r>
        <w:rPr>
          <w:rFonts w:hint="eastAsia" w:hAnsi="宋体"/>
          <w:lang w:val="en-US" w:eastAsia="zh-CN"/>
        </w:rPr>
        <w:t>2.</w:t>
      </w:r>
      <w:bookmarkEnd w:id="137"/>
      <w:r>
        <w:rPr>
          <w:rFonts w:hint="eastAsia" w:hAnsi="宋体"/>
          <w:lang w:val="en-US" w:eastAsia="zh-CN"/>
        </w:rPr>
        <w:t>2供应商2020年1月1日（以签订合同日期为准）以来承接的物业服务项目（服务内容包含安保、保洁、绿化、维修、餐饮服务、会务服务中至少五项），每项得2分，满分为4分。（提供合同或中标/成交通知书或验收报告或项目业主单位出具的证明等证明文件，原件备查，同一项目多次中标/成交不可重复计分。）</w:t>
      </w:r>
      <w:bookmarkStart w:id="155" w:name="_GoBack"/>
      <w:bookmarkEnd w:id="155"/>
    </w:p>
    <w:p>
      <w:pPr>
        <w:pStyle w:val="22"/>
        <w:spacing w:line="440" w:lineRule="exact"/>
        <w:rPr>
          <w:rFonts w:hint="eastAsia" w:hAnsi="宋体"/>
          <w:lang w:val="en-US" w:eastAsia="zh-CN"/>
        </w:rPr>
      </w:pPr>
      <w:r>
        <w:rPr>
          <w:rFonts w:hint="eastAsia" w:hAnsi="宋体"/>
          <w:lang w:val="en-US" w:eastAsia="zh-CN"/>
        </w:rPr>
        <w:t>2.3供应商在满足本项目人员岗位需求的前提下，拟派驻本项目人员持有证书加分的条件如下：</w:t>
      </w:r>
    </w:p>
    <w:p>
      <w:pPr>
        <w:pStyle w:val="22"/>
        <w:spacing w:line="440" w:lineRule="exact"/>
        <w:ind w:firstLine="210" w:firstLineChars="100"/>
        <w:rPr>
          <w:rFonts w:hint="eastAsia" w:hAnsi="宋体"/>
          <w:lang w:val="en-US" w:eastAsia="zh-CN"/>
        </w:rPr>
      </w:pPr>
      <w:r>
        <w:rPr>
          <w:rFonts w:hint="eastAsia" w:hAnsi="宋体"/>
          <w:lang w:val="en-US" w:eastAsia="zh-CN"/>
        </w:rPr>
        <w:fldChar w:fldCharType="begin"/>
      </w:r>
      <w:r>
        <w:rPr>
          <w:rFonts w:hint="eastAsia" w:hAnsi="宋体"/>
          <w:lang w:val="en-US" w:eastAsia="zh-CN"/>
        </w:rPr>
        <w:instrText xml:space="preserve"> = 1 \* GB3 \* MERGEFORMAT </w:instrText>
      </w:r>
      <w:r>
        <w:rPr>
          <w:rFonts w:hint="eastAsia" w:hAnsi="宋体"/>
          <w:lang w:val="en-US" w:eastAsia="zh-CN"/>
        </w:rPr>
        <w:fldChar w:fldCharType="separate"/>
      </w:r>
      <w:r>
        <w:rPr>
          <w:rFonts w:hint="eastAsia" w:hAnsi="宋体"/>
          <w:lang w:val="en-US" w:eastAsia="zh-CN"/>
        </w:rPr>
        <w:t>①</w:t>
      </w:r>
      <w:r>
        <w:rPr>
          <w:rFonts w:hint="eastAsia" w:hAnsi="宋体"/>
          <w:lang w:val="en-US" w:eastAsia="zh-CN"/>
        </w:rPr>
        <w:fldChar w:fldCharType="end"/>
      </w:r>
      <w:r>
        <w:rPr>
          <w:rFonts w:hint="eastAsia" w:hAnsi="宋体"/>
          <w:lang w:val="en-US" w:eastAsia="zh-CN"/>
        </w:rPr>
        <w:t>项目经理：持有相关部门颁发的高级及以上职称证得2分，满分2分。</w:t>
      </w:r>
    </w:p>
    <w:p>
      <w:pPr>
        <w:pStyle w:val="22"/>
        <w:spacing w:line="440" w:lineRule="exact"/>
        <w:ind w:firstLine="210" w:firstLineChars="100"/>
        <w:rPr>
          <w:rFonts w:hint="eastAsia" w:hAnsi="宋体"/>
          <w:lang w:val="en-US" w:eastAsia="zh-CN"/>
        </w:rPr>
      </w:pPr>
      <w:r>
        <w:rPr>
          <w:rFonts w:hint="eastAsia" w:hAnsi="宋体"/>
          <w:lang w:val="en-US" w:eastAsia="zh-CN"/>
        </w:rPr>
        <w:fldChar w:fldCharType="begin"/>
      </w:r>
      <w:r>
        <w:rPr>
          <w:rFonts w:hint="eastAsia" w:hAnsi="宋体"/>
          <w:lang w:val="en-US" w:eastAsia="zh-CN"/>
        </w:rPr>
        <w:instrText xml:space="preserve"> = 2 \* GB3 \* MERGEFORMAT </w:instrText>
      </w:r>
      <w:r>
        <w:rPr>
          <w:rFonts w:hint="eastAsia" w:hAnsi="宋体"/>
          <w:lang w:val="en-US" w:eastAsia="zh-CN"/>
        </w:rPr>
        <w:fldChar w:fldCharType="separate"/>
      </w:r>
      <w:r>
        <w:rPr>
          <w:rFonts w:hint="eastAsia" w:hAnsi="宋体"/>
          <w:lang w:val="en-US" w:eastAsia="zh-CN"/>
        </w:rPr>
        <w:t>②</w:t>
      </w:r>
      <w:r>
        <w:rPr>
          <w:rFonts w:hint="eastAsia" w:hAnsi="宋体"/>
          <w:lang w:val="en-US" w:eastAsia="zh-CN"/>
        </w:rPr>
        <w:fldChar w:fldCharType="end"/>
      </w:r>
      <w:r>
        <w:rPr>
          <w:rFonts w:hint="eastAsia" w:hAnsi="宋体"/>
          <w:lang w:val="en-US" w:eastAsia="zh-CN"/>
        </w:rPr>
        <w:t xml:space="preserve"> 绿化人员：持有</w:t>
      </w:r>
      <w:r>
        <w:rPr>
          <w:rFonts w:hint="eastAsia" w:ascii="宋体" w:hAnsi="宋体" w:eastAsia="宋体"/>
          <w:color w:val="000000" w:themeColor="text1"/>
          <w:szCs w:val="21"/>
          <w:lang w:val="en-US" w:eastAsia="en-US"/>
          <w14:textFill>
            <w14:solidFill>
              <w14:schemeClr w14:val="tx1"/>
            </w14:solidFill>
          </w14:textFill>
        </w:rPr>
        <w:t>大专以上学历</w:t>
      </w:r>
      <w:r>
        <w:rPr>
          <w:rFonts w:hint="eastAsia" w:hAnsi="宋体"/>
          <w:lang w:val="en-US" w:eastAsia="zh-CN"/>
        </w:rPr>
        <w:t>或绿化工中（高）级工证书，得1分，满分1分。</w:t>
      </w:r>
    </w:p>
    <w:p>
      <w:pPr>
        <w:pStyle w:val="22"/>
        <w:spacing w:line="440" w:lineRule="exact"/>
        <w:ind w:firstLine="210" w:firstLineChars="100"/>
        <w:rPr>
          <w:rFonts w:hint="eastAsia" w:hAnsi="宋体"/>
          <w:lang w:val="en-US" w:eastAsia="zh-CN"/>
        </w:rPr>
      </w:pPr>
      <w:r>
        <w:rPr>
          <w:rFonts w:hint="eastAsia" w:hAnsi="宋体"/>
          <w:lang w:val="en-US" w:eastAsia="zh-CN"/>
        </w:rPr>
        <w:fldChar w:fldCharType="begin"/>
      </w:r>
      <w:r>
        <w:rPr>
          <w:rFonts w:hint="eastAsia" w:hAnsi="宋体"/>
          <w:lang w:val="en-US" w:eastAsia="zh-CN"/>
        </w:rPr>
        <w:instrText xml:space="preserve"> = 3 \* GB3 \* MERGEFORMAT </w:instrText>
      </w:r>
      <w:r>
        <w:rPr>
          <w:rFonts w:hint="eastAsia" w:hAnsi="宋体"/>
          <w:lang w:val="en-US" w:eastAsia="zh-CN"/>
        </w:rPr>
        <w:fldChar w:fldCharType="separate"/>
      </w:r>
      <w:r>
        <w:rPr>
          <w:rFonts w:hint="eastAsia" w:hAnsi="宋体"/>
          <w:lang w:val="en-US" w:eastAsia="zh-CN"/>
        </w:rPr>
        <w:t>③</w:t>
      </w:r>
      <w:r>
        <w:rPr>
          <w:rFonts w:hint="eastAsia" w:hAnsi="宋体"/>
          <w:lang w:val="en-US" w:eastAsia="zh-CN"/>
        </w:rPr>
        <w:fldChar w:fldCharType="end"/>
      </w:r>
      <w:r>
        <w:rPr>
          <w:rFonts w:hint="eastAsia" w:hAnsi="宋体"/>
          <w:lang w:val="en-US" w:eastAsia="zh-CN"/>
        </w:rPr>
        <w:t>水电维修员：持有应急管理部门（原安监部门）颁发且在有效期内的中（高）</w:t>
      </w:r>
      <w:r>
        <w:rPr>
          <w:rFonts w:hint="default" w:ascii="宋体" w:hAnsi="宋体" w:eastAsia="宋体"/>
          <w:color w:val="000000" w:themeColor="text1"/>
          <w:szCs w:val="21"/>
          <w:lang w:val="en-US" w:eastAsia="zh-CN"/>
          <w14:textFill>
            <w14:solidFill>
              <w14:schemeClr w14:val="tx1"/>
            </w14:solidFill>
          </w14:textFill>
        </w:rPr>
        <w:t>级</w:t>
      </w:r>
      <w:r>
        <w:rPr>
          <w:rFonts w:hint="eastAsia" w:ascii="宋体" w:hAnsi="宋体" w:eastAsia="宋体"/>
          <w:color w:val="000000" w:themeColor="text1"/>
          <w:szCs w:val="21"/>
          <w:lang w:val="en-US" w:eastAsia="zh-CN"/>
          <w14:textFill>
            <w14:solidFill>
              <w14:schemeClr w14:val="tx1"/>
            </w14:solidFill>
          </w14:textFill>
        </w:rPr>
        <w:t>高压电工证和</w:t>
      </w:r>
      <w:r>
        <w:rPr>
          <w:rFonts w:hint="eastAsia" w:hAnsi="宋体"/>
          <w:color w:val="000000" w:themeColor="text1"/>
          <w:szCs w:val="21"/>
          <w:lang w:val="en-US" w:eastAsia="zh-CN"/>
          <w14:textFill>
            <w14:solidFill>
              <w14:schemeClr w14:val="tx1"/>
            </w14:solidFill>
          </w14:textFill>
        </w:rPr>
        <w:t>中</w:t>
      </w:r>
      <w:r>
        <w:rPr>
          <w:rFonts w:hint="eastAsia" w:hAnsi="宋体"/>
          <w:lang w:val="en-US" w:eastAsia="zh-CN"/>
        </w:rPr>
        <w:t>（高）</w:t>
      </w:r>
      <w:r>
        <w:rPr>
          <w:rFonts w:hint="default" w:ascii="宋体" w:hAnsi="宋体" w:eastAsia="宋体"/>
          <w:color w:val="000000" w:themeColor="text1"/>
          <w:szCs w:val="21"/>
          <w:lang w:val="en-US" w:eastAsia="zh-CN"/>
          <w14:textFill>
            <w14:solidFill>
              <w14:schemeClr w14:val="tx1"/>
            </w14:solidFill>
          </w14:textFill>
        </w:rPr>
        <w:t>级</w:t>
      </w:r>
      <w:r>
        <w:rPr>
          <w:rFonts w:hint="eastAsia" w:ascii="宋体" w:hAnsi="宋体"/>
          <w:color w:val="000000" w:themeColor="text1"/>
          <w:szCs w:val="21"/>
          <w:lang w:val="en-US" w:eastAsia="zh-CN"/>
          <w14:textFill>
            <w14:solidFill>
              <w14:schemeClr w14:val="tx1"/>
            </w14:solidFill>
          </w14:textFill>
        </w:rPr>
        <w:t>低</w:t>
      </w:r>
      <w:r>
        <w:rPr>
          <w:rFonts w:hint="eastAsia" w:ascii="宋体" w:hAnsi="宋体" w:eastAsia="宋体"/>
          <w:color w:val="000000" w:themeColor="text1"/>
          <w:szCs w:val="21"/>
          <w:lang w:val="en-US" w:eastAsia="zh-CN"/>
          <w14:textFill>
            <w14:solidFill>
              <w14:schemeClr w14:val="tx1"/>
            </w14:solidFill>
          </w14:textFill>
        </w:rPr>
        <w:t>压电工证</w:t>
      </w:r>
      <w:r>
        <w:rPr>
          <w:rFonts w:hint="eastAsia" w:hAnsi="宋体"/>
          <w:lang w:val="en-US" w:eastAsia="zh-CN"/>
        </w:rPr>
        <w:t>，每人每证得1分，满分2分。</w:t>
      </w:r>
    </w:p>
    <w:p>
      <w:pPr>
        <w:pStyle w:val="22"/>
        <w:spacing w:line="440" w:lineRule="exact"/>
        <w:ind w:firstLine="210" w:firstLineChars="100"/>
        <w:rPr>
          <w:rFonts w:hint="default" w:hAnsi="宋体"/>
          <w:lang w:val="en-US" w:eastAsia="zh-CN"/>
        </w:rPr>
      </w:pPr>
      <w:r>
        <w:rPr>
          <w:rFonts w:hint="eastAsia" w:hAnsi="宋体"/>
          <w:lang w:val="en-US" w:eastAsia="zh-CN"/>
        </w:rPr>
        <w:fldChar w:fldCharType="begin"/>
      </w:r>
      <w:r>
        <w:rPr>
          <w:rFonts w:hint="eastAsia" w:hAnsi="宋体"/>
          <w:lang w:val="en-US" w:eastAsia="zh-CN"/>
        </w:rPr>
        <w:instrText xml:space="preserve"> = 4 \* GB3 \* MERGEFORMAT </w:instrText>
      </w:r>
      <w:r>
        <w:rPr>
          <w:rFonts w:hint="eastAsia" w:hAnsi="宋体"/>
          <w:lang w:val="en-US" w:eastAsia="zh-CN"/>
        </w:rPr>
        <w:fldChar w:fldCharType="separate"/>
      </w:r>
      <w:r>
        <w:rPr>
          <w:rFonts w:hint="eastAsia" w:hAnsi="宋体"/>
          <w:lang w:val="en-US" w:eastAsia="zh-CN"/>
        </w:rPr>
        <w:t>④</w:t>
      </w:r>
      <w:r>
        <w:rPr>
          <w:rFonts w:hint="eastAsia" w:hAnsi="宋体"/>
          <w:lang w:val="en-US" w:eastAsia="zh-CN"/>
        </w:rPr>
        <w:fldChar w:fldCharType="end"/>
      </w:r>
      <w:r>
        <w:rPr>
          <w:rFonts w:hint="eastAsia" w:hAnsi="宋体"/>
          <w:lang w:val="en-US" w:eastAsia="zh-CN"/>
        </w:rPr>
        <w:t xml:space="preserve">消防管理员：消防管理员持有中级消防设施操作员（四级）或者高级消防设施操作员（三级）及以上证书的，得2分。                    </w:t>
      </w:r>
    </w:p>
    <w:p>
      <w:pPr>
        <w:pStyle w:val="22"/>
        <w:spacing w:line="440" w:lineRule="exact"/>
        <w:ind w:firstLine="210" w:firstLineChars="100"/>
        <w:rPr>
          <w:rFonts w:hint="eastAsia" w:hAnsi="宋体"/>
          <w:lang w:val="en-US" w:eastAsia="zh-CN"/>
        </w:rPr>
      </w:pPr>
      <w:r>
        <w:rPr>
          <w:rFonts w:hint="eastAsia" w:hAnsi="宋体"/>
          <w:lang w:val="en-US" w:eastAsia="zh-CN"/>
        </w:rPr>
        <w:t>【备注：投标人须按本项目需求提供人员投入情况总表，同时提供《拟投入本项目的管理人员及持证上岗人员一览表》；投标人拟投入的以上相关人员身份证件及上述所有相关证书证件的扫描件，投标截止之日前双方签订的劳动合同或拟聘用协议。】</w:t>
      </w:r>
    </w:p>
    <w:p>
      <w:pPr>
        <w:pStyle w:val="22"/>
        <w:spacing w:line="440" w:lineRule="exact"/>
        <w:ind w:firstLine="210" w:firstLineChars="100"/>
        <w:rPr>
          <w:rFonts w:hint="eastAsia" w:hAnsi="宋体"/>
          <w:lang w:val="en-US" w:eastAsia="zh-CN"/>
        </w:rPr>
      </w:pPr>
      <w:r>
        <w:rPr>
          <w:rFonts w:hint="eastAsia" w:hAnsi="宋体"/>
          <w:lang w:val="en-US" w:eastAsia="zh-CN"/>
        </w:rPr>
        <w:t>三、总得分=磋商报价得分+商务技术分</w:t>
      </w:r>
    </w:p>
    <w:p>
      <w:pPr>
        <w:pStyle w:val="22"/>
        <w:spacing w:line="440" w:lineRule="exact"/>
        <w:ind w:firstLine="210" w:firstLineChars="100"/>
        <w:rPr>
          <w:rFonts w:hint="eastAsia" w:hAnsi="宋体"/>
          <w:lang w:val="en-US" w:eastAsia="zh-CN"/>
        </w:rPr>
      </w:pPr>
      <w:r>
        <w:rPr>
          <w:rFonts w:hint="eastAsia" w:hAnsi="宋体"/>
          <w:lang w:val="en-US" w:eastAsia="zh-CN"/>
        </w:rPr>
        <w:t>四、成交供应商的推荐</w:t>
      </w:r>
    </w:p>
    <w:p>
      <w:pPr>
        <w:pStyle w:val="22"/>
        <w:spacing w:line="440" w:lineRule="exact"/>
        <w:ind w:firstLine="210" w:firstLineChars="100"/>
        <w:rPr>
          <w:rFonts w:hint="eastAsia" w:hAnsi="宋体"/>
          <w:lang w:val="en-US" w:eastAsia="zh-CN"/>
        </w:rPr>
      </w:pPr>
      <w:r>
        <w:rPr>
          <w:rFonts w:hint="eastAsia" w:hAnsi="宋体"/>
          <w:lang w:val="en-US" w:eastAsia="zh-CN"/>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市场竞争不充分的科研项目，以及需要扶持的科技成果转化项目或政府购买服务项目，可以推荐2家成交候选供应商。</w:t>
      </w:r>
    </w:p>
    <w:p>
      <w:pPr>
        <w:widowControl/>
        <w:jc w:val="left"/>
        <w:rPr>
          <w:rFonts w:cs="Courier New"/>
          <w:b/>
          <w:bCs/>
          <w:sz w:val="32"/>
          <w:szCs w:val="32"/>
        </w:rPr>
      </w:pPr>
    </w:p>
    <w:p/>
    <w:p/>
    <w:p/>
    <w:p/>
    <w:p/>
    <w:p/>
    <w:p/>
    <w:p/>
    <w:p/>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spacing w:line="400" w:lineRule="exact"/>
        <w:jc w:val="both"/>
        <w:rPr>
          <w:rFonts w:hint="eastAsia" w:ascii="方正小标宋_GBK" w:eastAsia="方正小标宋_GBK"/>
        </w:rPr>
      </w:pPr>
      <w:bookmarkStart w:id="138" w:name="_Toc92355027"/>
    </w:p>
    <w:p>
      <w:pPr>
        <w:pStyle w:val="3"/>
        <w:spacing w:line="400" w:lineRule="exact"/>
        <w:rPr>
          <w:rFonts w:hint="eastAsia" w:ascii="方正小标宋_GBK" w:eastAsia="方正小标宋_GBK"/>
        </w:rPr>
      </w:pPr>
    </w:p>
    <w:p>
      <w:pPr>
        <w:pStyle w:val="3"/>
        <w:pageBreakBefore w:val="0"/>
        <w:widowControl w:val="0"/>
        <w:kinsoku/>
        <w:wordWrap/>
        <w:overflowPunct/>
        <w:topLinePunct w:val="0"/>
        <w:autoSpaceDE/>
        <w:autoSpaceDN/>
        <w:bidi w:val="0"/>
        <w:adjustRightInd/>
        <w:snapToGrid/>
        <w:spacing w:line="480" w:lineRule="exact"/>
        <w:textAlignment w:val="auto"/>
        <w:rPr>
          <w:rFonts w:ascii="方正小标宋_GBK" w:eastAsia="方正小标宋_GBK"/>
        </w:rPr>
      </w:pPr>
      <w:r>
        <w:rPr>
          <w:rFonts w:hint="eastAsia" w:ascii="方正小标宋_GBK" w:eastAsia="方正小标宋_GBK"/>
        </w:rPr>
        <w:t>第五章  合同文本</w:t>
      </w:r>
      <w:bookmarkEnd w:id="138"/>
    </w:p>
    <w:p>
      <w:pPr>
        <w:pStyle w:val="22"/>
        <w:pageBreakBefore w:val="0"/>
        <w:widowControl w:val="0"/>
        <w:kinsoku/>
        <w:wordWrap/>
        <w:overflowPunct/>
        <w:topLinePunct w:val="0"/>
        <w:autoSpaceDE/>
        <w:autoSpaceDN/>
        <w:bidi w:val="0"/>
        <w:adjustRightInd/>
        <w:snapToGrid/>
        <w:spacing w:line="480" w:lineRule="exact"/>
        <w:jc w:val="center"/>
        <w:textAlignment w:val="auto"/>
        <w:rPr>
          <w:rFonts w:ascii="Times New Roman" w:hAnsi="宋体"/>
          <w:b/>
          <w:bCs/>
          <w:sz w:val="28"/>
          <w:szCs w:val="28"/>
        </w:rPr>
      </w:pPr>
      <w:r>
        <w:rPr>
          <w:rFonts w:hint="eastAsia" w:ascii="Times New Roman" w:hAnsi="宋体"/>
          <w:b/>
          <w:bCs/>
          <w:sz w:val="28"/>
          <w:szCs w:val="28"/>
        </w:rPr>
        <w:t>（参考格式）</w:t>
      </w:r>
    </w:p>
    <w:p>
      <w:pPr>
        <w:pStyle w:val="22"/>
        <w:spacing w:line="500" w:lineRule="exact"/>
        <w:jc w:val="center"/>
        <w:rPr>
          <w:rFonts w:hAnsi="宋体"/>
          <w:b/>
          <w:bCs/>
          <w:sz w:val="28"/>
        </w:rPr>
      </w:pPr>
      <w:r>
        <w:rPr>
          <w:rFonts w:hAnsi="宋体"/>
          <w:b/>
          <w:bCs/>
          <w:sz w:val="28"/>
        </w:rPr>
        <w:br w:type="page"/>
      </w:r>
    </w:p>
    <w:p/>
    <w:p>
      <w:pPr>
        <w:pStyle w:val="4"/>
        <w:spacing w:line="620" w:lineRule="exact"/>
        <w:jc w:val="center"/>
        <w:rPr>
          <w:rFonts w:hint="eastAsia" w:ascii="宋体" w:hAnsi="宋体" w:eastAsia="宋体" w:cs="宋体"/>
          <w:color w:val="000000"/>
          <w:sz w:val="52"/>
          <w:szCs w:val="52"/>
        </w:rPr>
      </w:pPr>
      <w:r>
        <w:rPr>
          <w:rFonts w:hint="eastAsia" w:ascii="宋体" w:hAnsi="宋体" w:eastAsia="宋体" w:cs="宋体"/>
          <w:color w:val="000000"/>
          <w:sz w:val="52"/>
          <w:szCs w:val="52"/>
        </w:rPr>
        <w:t>钦州市中级人民法院</w:t>
      </w:r>
    </w:p>
    <w:p>
      <w:pPr>
        <w:pStyle w:val="4"/>
        <w:spacing w:line="620" w:lineRule="exact"/>
        <w:jc w:val="center"/>
        <w:rPr>
          <w:rFonts w:hint="eastAsia" w:ascii="宋体" w:hAnsi="宋体" w:eastAsia="宋体" w:cs="宋体"/>
          <w:color w:val="000000"/>
          <w:sz w:val="52"/>
          <w:szCs w:val="52"/>
        </w:rPr>
      </w:pPr>
      <w:r>
        <w:rPr>
          <w:rFonts w:hint="eastAsia" w:ascii="宋体" w:hAnsi="宋体" w:eastAsia="宋体" w:cs="宋体"/>
          <w:color w:val="000000"/>
          <w:sz w:val="52"/>
          <w:szCs w:val="52"/>
          <w:lang w:eastAsia="zh-CN"/>
        </w:rPr>
        <w:t>机关安保和</w:t>
      </w:r>
      <w:r>
        <w:rPr>
          <w:rFonts w:hint="eastAsia" w:ascii="宋体" w:hAnsi="宋体" w:eastAsia="宋体" w:cs="宋体"/>
          <w:color w:val="000000"/>
          <w:sz w:val="52"/>
          <w:szCs w:val="52"/>
        </w:rPr>
        <w:t>物业管理服务合同</w:t>
      </w:r>
    </w:p>
    <w:p>
      <w:pPr>
        <w:snapToGrid w:val="0"/>
        <w:spacing w:line="400" w:lineRule="exact"/>
        <w:ind w:right="480"/>
        <w:rPr>
          <w:rFonts w:hAnsi="宋体"/>
          <w:b/>
          <w:color w:val="000000"/>
          <w:sz w:val="32"/>
          <w:szCs w:val="32"/>
        </w:rPr>
      </w:pPr>
    </w:p>
    <w:p>
      <w:pPr>
        <w:snapToGrid w:val="0"/>
        <w:spacing w:line="440" w:lineRule="atLeast"/>
        <w:ind w:right="480" w:firstLine="4830" w:firstLineChars="2300"/>
        <w:rPr>
          <w:rFonts w:ascii="宋体" w:hAnsi="宋体" w:cs="仿宋_GB2312"/>
          <w:bCs/>
          <w:color w:val="000000"/>
          <w:szCs w:val="21"/>
          <w:u w:val="single"/>
        </w:rPr>
      </w:pPr>
      <w:r>
        <w:rPr>
          <w:rFonts w:hint="eastAsia" w:ascii="宋体" w:hAnsi="宋体" w:cs="仿宋_GB2312"/>
          <w:bCs/>
          <w:color w:val="000000"/>
          <w:szCs w:val="21"/>
        </w:rPr>
        <w:t>合同编号：</w:t>
      </w:r>
      <w:r>
        <w:rPr>
          <w:rFonts w:hint="eastAsia" w:ascii="宋体" w:hAnsi="宋体" w:cs="仿宋_GB2312"/>
          <w:color w:val="000000"/>
          <w:spacing w:val="-20"/>
          <w:szCs w:val="21"/>
          <w:u w:val="single"/>
        </w:rPr>
        <w:t xml:space="preserve">                             </w:t>
      </w:r>
    </w:p>
    <w:p>
      <w:pPr>
        <w:snapToGrid w:val="0"/>
        <w:spacing w:line="440" w:lineRule="atLeast"/>
        <w:rPr>
          <w:rFonts w:ascii="宋体" w:hAnsi="宋体" w:cs="仿宋_GB2312"/>
          <w:color w:val="000000"/>
          <w:szCs w:val="21"/>
        </w:rPr>
      </w:pPr>
    </w:p>
    <w:p>
      <w:pPr>
        <w:spacing w:line="406" w:lineRule="exact"/>
        <w:rPr>
          <w:rFonts w:hint="eastAsia" w:ascii="宋体" w:hAnsi="宋体" w:cs="仿宋_GB2312"/>
          <w:color w:val="000000"/>
          <w:szCs w:val="21"/>
        </w:rPr>
      </w:pPr>
      <w:r>
        <w:rPr>
          <w:rFonts w:hint="eastAsia" w:ascii="宋体" w:hAnsi="宋体" w:cs="仿宋_GB2312"/>
          <w:color w:val="000000"/>
          <w:szCs w:val="21"/>
        </w:rPr>
        <w:t xml:space="preserve">采购单位（甲方）：                         采 购 计 划 号：                          </w:t>
      </w:r>
    </w:p>
    <w:p>
      <w:pPr>
        <w:spacing w:line="406" w:lineRule="exact"/>
        <w:rPr>
          <w:rFonts w:hint="eastAsia" w:ascii="宋体" w:hAnsi="宋体" w:cs="仿宋_GB2312"/>
          <w:color w:val="000000"/>
          <w:szCs w:val="21"/>
        </w:rPr>
      </w:pPr>
      <w:r>
        <w:rPr>
          <w:rFonts w:hint="eastAsia" w:ascii="宋体" w:hAnsi="宋体" w:cs="仿宋_GB2312"/>
          <w:color w:val="000000"/>
          <w:szCs w:val="21"/>
        </w:rPr>
        <w:t xml:space="preserve">供应商（乙方）：                           项目编号：                                      </w:t>
      </w:r>
    </w:p>
    <w:p>
      <w:pPr>
        <w:spacing w:line="406" w:lineRule="exact"/>
        <w:rPr>
          <w:rFonts w:hint="eastAsia" w:ascii="宋体" w:hAnsi="宋体" w:cs="仿宋_GB2312"/>
          <w:color w:val="000000"/>
          <w:szCs w:val="21"/>
        </w:rPr>
      </w:pPr>
      <w:r>
        <w:rPr>
          <w:rFonts w:hint="eastAsia" w:ascii="宋体" w:hAnsi="宋体" w:cs="仿宋_GB2312"/>
          <w:color w:val="000000"/>
          <w:szCs w:val="21"/>
        </w:rPr>
        <w:t xml:space="preserve">签订地点：                                 签订时间：                        </w:t>
      </w:r>
    </w:p>
    <w:p>
      <w:pPr>
        <w:spacing w:line="440" w:lineRule="atLeast"/>
        <w:ind w:firstLine="1260"/>
        <w:jc w:val="center"/>
        <w:rPr>
          <w:rFonts w:ascii="宋体" w:hAnsi="宋体"/>
          <w:color w:val="000000"/>
          <w:szCs w:val="21"/>
        </w:rPr>
      </w:pPr>
      <w:r>
        <w:rPr>
          <w:rFonts w:hint="eastAsia" w:ascii="宋体" w:hAnsi="宋体"/>
          <w:color w:val="000000"/>
          <w:szCs w:val="21"/>
        </w:rPr>
        <w:t xml:space="preserve"> </w:t>
      </w:r>
    </w:p>
    <w:p>
      <w:pPr>
        <w:spacing w:line="440" w:lineRule="atLeast"/>
        <w:jc w:val="center"/>
        <w:rPr>
          <w:rFonts w:ascii="宋体" w:hAnsi="宋体"/>
          <w:b/>
          <w:bCs/>
          <w:color w:val="000000"/>
          <w:szCs w:val="21"/>
        </w:rPr>
      </w:pPr>
      <w:r>
        <w:rPr>
          <w:rFonts w:hint="eastAsia" w:ascii="宋体" w:hAnsi="宋体"/>
          <w:b/>
          <w:bCs/>
          <w:color w:val="000000"/>
          <w:szCs w:val="21"/>
        </w:rPr>
        <w:t>第一章   总则</w:t>
      </w:r>
    </w:p>
    <w:p>
      <w:pPr>
        <w:tabs>
          <w:tab w:val="left" w:pos="420"/>
        </w:tabs>
        <w:spacing w:line="406" w:lineRule="exact"/>
        <w:rPr>
          <w:rFonts w:ascii="宋体" w:hAnsi="宋体" w:cs="仿宋_GB2312"/>
          <w:color w:val="000000"/>
          <w:szCs w:val="21"/>
        </w:rPr>
      </w:pPr>
      <w:r>
        <w:rPr>
          <w:rFonts w:hint="eastAsia" w:ascii="宋体" w:hAnsi="宋体"/>
          <w:color w:val="000000"/>
          <w:szCs w:val="21"/>
        </w:rPr>
        <w:t xml:space="preserve">  </w:t>
      </w:r>
      <w:r>
        <w:rPr>
          <w:rFonts w:hint="eastAsia" w:ascii="宋体" w:hAnsi="宋体" w:cs="仿宋_GB2312"/>
          <w:b/>
          <w:bCs/>
          <w:color w:val="000000"/>
          <w:szCs w:val="21"/>
        </w:rPr>
        <w:t>第一条</w:t>
      </w:r>
      <w:r>
        <w:rPr>
          <w:rFonts w:hint="eastAsia" w:ascii="宋体" w:hAnsi="宋体" w:cs="仿宋_GB2312"/>
          <w:color w:val="000000"/>
          <w:szCs w:val="21"/>
        </w:rPr>
        <w:t xml:space="preserve"> 本合同当事人</w:t>
      </w:r>
    </w:p>
    <w:p>
      <w:pPr>
        <w:spacing w:line="406" w:lineRule="exact"/>
        <w:ind w:firstLine="420" w:firstLineChars="200"/>
        <w:rPr>
          <w:rFonts w:ascii="宋体" w:hAnsi="宋体" w:cs="仿宋_GB2312"/>
          <w:color w:val="000000"/>
          <w:szCs w:val="21"/>
          <w:u w:val="single"/>
        </w:rPr>
      </w:pPr>
      <w:r>
        <w:rPr>
          <w:rFonts w:hint="eastAsia" w:ascii="宋体" w:hAnsi="宋体" w:cs="仿宋_GB2312"/>
          <w:color w:val="000000"/>
          <w:szCs w:val="21"/>
        </w:rPr>
        <w:t>委托方（以下简称甲方）：</w:t>
      </w:r>
      <w:r>
        <w:rPr>
          <w:rFonts w:hint="eastAsia" w:ascii="宋体" w:hAnsi="宋体" w:cs="仿宋_GB2312"/>
          <w:color w:val="000000"/>
          <w:szCs w:val="21"/>
          <w:u w:val="single"/>
        </w:rPr>
        <w:t xml:space="preserve">                        </w:t>
      </w:r>
    </w:p>
    <w:p>
      <w:pPr>
        <w:spacing w:line="406" w:lineRule="exact"/>
        <w:ind w:firstLine="420" w:firstLineChars="200"/>
        <w:rPr>
          <w:rFonts w:ascii="宋体" w:hAnsi="宋体" w:cs="仿宋_GB2312"/>
          <w:color w:val="000000"/>
          <w:szCs w:val="21"/>
          <w:u w:val="single"/>
        </w:rPr>
      </w:pPr>
      <w:r>
        <w:rPr>
          <w:rFonts w:hint="eastAsia" w:ascii="宋体" w:hAnsi="宋体" w:cs="仿宋_GB2312"/>
          <w:color w:val="000000"/>
          <w:szCs w:val="21"/>
        </w:rPr>
        <w:t>受托方（以下简称乙方）：</w:t>
      </w:r>
      <w:r>
        <w:rPr>
          <w:rFonts w:hint="eastAsia" w:ascii="宋体" w:hAnsi="宋体" w:cs="仿宋_GB2312"/>
          <w:color w:val="000000"/>
          <w:szCs w:val="21"/>
          <w:u w:val="single"/>
        </w:rPr>
        <w:t xml:space="preserve">                        </w:t>
      </w:r>
    </w:p>
    <w:p>
      <w:pPr>
        <w:spacing w:line="406" w:lineRule="exact"/>
        <w:ind w:firstLine="420" w:firstLineChars="200"/>
        <w:rPr>
          <w:rFonts w:ascii="宋体" w:hAnsi="宋体" w:cs="仿宋_GB2312"/>
          <w:color w:val="000000"/>
          <w:szCs w:val="21"/>
        </w:rPr>
      </w:pPr>
      <w:r>
        <w:rPr>
          <w:rFonts w:hint="eastAsia" w:ascii="宋体" w:hAnsi="宋体" w:cs="仿宋_GB2312"/>
          <w:color w:val="000000"/>
          <w:szCs w:val="21"/>
        </w:rPr>
        <w:t>根据《中华人民共和国政府采购法》、《中华人民共和国合同法》及国家地方有关物业管理法律法规和相关政策，经竞争性磋商方式采购，在平等、自愿、协商一致的基础上，甲乙双方就</w:t>
      </w:r>
      <w:r>
        <w:rPr>
          <w:rFonts w:hint="eastAsia" w:ascii="宋体" w:hAnsi="宋体" w:cs="仿宋_GB2312"/>
          <w:color w:val="000000"/>
          <w:szCs w:val="21"/>
          <w:u w:val="single"/>
        </w:rPr>
        <w:t xml:space="preserve">               </w:t>
      </w:r>
      <w:r>
        <w:rPr>
          <w:rFonts w:hint="eastAsia" w:ascii="宋体" w:hAnsi="宋体" w:cs="仿宋_GB2312"/>
          <w:color w:val="000000"/>
          <w:szCs w:val="21"/>
        </w:rPr>
        <w:t>事项，订立本合同。</w:t>
      </w:r>
    </w:p>
    <w:p>
      <w:pPr>
        <w:spacing w:line="406" w:lineRule="exact"/>
        <w:ind w:firstLine="211" w:firstLineChars="100"/>
        <w:rPr>
          <w:rFonts w:ascii="宋体" w:hAnsi="宋体" w:cs="仿宋_GB2312"/>
          <w:color w:val="000000"/>
          <w:szCs w:val="21"/>
        </w:rPr>
      </w:pPr>
      <w:r>
        <w:rPr>
          <w:rFonts w:hint="eastAsia" w:ascii="宋体" w:hAnsi="宋体" w:cs="仿宋_GB2312"/>
          <w:b/>
          <w:bCs/>
          <w:color w:val="000000"/>
          <w:szCs w:val="21"/>
        </w:rPr>
        <w:t>第二条</w:t>
      </w:r>
      <w:r>
        <w:rPr>
          <w:rFonts w:hint="eastAsia" w:ascii="宋体" w:hAnsi="宋体" w:cs="仿宋_GB2312"/>
          <w:color w:val="000000"/>
          <w:szCs w:val="21"/>
        </w:rPr>
        <w:t xml:space="preserve"> 物业基本情况</w:t>
      </w:r>
    </w:p>
    <w:p>
      <w:pPr>
        <w:spacing w:line="406" w:lineRule="exact"/>
        <w:rPr>
          <w:rFonts w:ascii="宋体" w:hAnsi="宋体" w:cs="仿宋_GB2312"/>
          <w:color w:val="000000"/>
          <w:szCs w:val="21"/>
        </w:rPr>
      </w:pPr>
      <w:r>
        <w:rPr>
          <w:rFonts w:hint="eastAsia" w:ascii="宋体" w:hAnsi="宋体" w:cs="仿宋_GB2312"/>
          <w:color w:val="000000"/>
          <w:szCs w:val="21"/>
        </w:rPr>
        <w:tab/>
      </w:r>
      <w:r>
        <w:rPr>
          <w:rFonts w:hint="eastAsia" w:ascii="宋体" w:hAnsi="宋体" w:eastAsia="宋体"/>
          <w:color w:val="000000" w:themeColor="text1"/>
          <w:szCs w:val="21"/>
          <w14:textFill>
            <w14:solidFill>
              <w14:schemeClr w14:val="tx1"/>
            </w14:solidFill>
          </w14:textFill>
        </w:rPr>
        <w:t>占地面积：总用地面积约</w:t>
      </w:r>
      <w:r>
        <w:rPr>
          <w:rFonts w:hint="eastAsia" w:ascii="宋体" w:hAnsi="宋体" w:eastAsia="宋体"/>
          <w:color w:val="000000" w:themeColor="text1"/>
          <w:szCs w:val="21"/>
          <w:lang w:val="en-US" w:eastAsia="zh-CN"/>
          <w14:textFill>
            <w14:solidFill>
              <w14:schemeClr w14:val="tx1"/>
            </w14:solidFill>
          </w14:textFill>
        </w:rPr>
        <w:t>2000</w:t>
      </w:r>
      <w:r>
        <w:rPr>
          <w:rFonts w:hint="eastAsia" w:ascii="宋体" w:hAnsi="宋体" w:eastAsia="宋体"/>
          <w:color w:val="000000" w:themeColor="text1"/>
          <w:szCs w:val="21"/>
          <w14:textFill>
            <w14:solidFill>
              <w14:schemeClr w14:val="tx1"/>
            </w14:solidFill>
          </w14:textFill>
        </w:rPr>
        <w:t>0㎡，</w:t>
      </w:r>
      <w:r>
        <w:rPr>
          <w:rFonts w:hint="eastAsia" w:ascii="宋体" w:hAnsi="宋体" w:eastAsia="宋体"/>
          <w:color w:val="000000" w:themeColor="text1"/>
          <w:szCs w:val="21"/>
          <w:lang w:eastAsia="zh-CN"/>
          <w14:textFill>
            <w14:solidFill>
              <w14:schemeClr w14:val="tx1"/>
            </w14:solidFill>
          </w14:textFill>
        </w:rPr>
        <w:t>共有办公楼两栋，其中综合审判楼</w:t>
      </w:r>
      <w:r>
        <w:rPr>
          <w:rFonts w:hint="eastAsia" w:ascii="宋体" w:hAnsi="宋体" w:eastAsia="宋体"/>
          <w:color w:val="000000" w:themeColor="text1"/>
          <w:szCs w:val="21"/>
          <w14:textFill>
            <w14:solidFill>
              <w14:schemeClr w14:val="tx1"/>
            </w14:solidFill>
          </w14:textFill>
        </w:rPr>
        <w:t>建筑占地面积</w:t>
      </w:r>
      <w:r>
        <w:rPr>
          <w:rFonts w:hint="eastAsia" w:ascii="宋体" w:hAnsi="宋体"/>
          <w:color w:val="000000" w:themeColor="text1"/>
          <w:szCs w:val="21"/>
          <w:lang w:val="en-US" w:eastAsia="zh-CN"/>
          <w14:textFill>
            <w14:solidFill>
              <w14:schemeClr w14:val="tx1"/>
            </w14:solidFill>
          </w14:textFill>
        </w:rPr>
        <w:t>3338</w:t>
      </w:r>
      <w:r>
        <w:rPr>
          <w:rFonts w:hint="eastAsia" w:ascii="宋体" w:hAnsi="宋体" w:eastAsia="宋体"/>
          <w:color w:val="000000" w:themeColor="text1"/>
          <w:szCs w:val="21"/>
          <w14:textFill>
            <w14:solidFill>
              <w14:schemeClr w14:val="tx1"/>
            </w14:solidFill>
          </w14:textFill>
        </w:rPr>
        <w:t xml:space="preserve"> ㎡，建筑面积约20500（其中1层停车场和设备用房建筑面积4450㎡，2至5层审判区建筑面积12100㎡，6至7层办公区建筑面积8950㎡），道路广场面积</w:t>
      </w:r>
      <w:r>
        <w:rPr>
          <w:rFonts w:hint="eastAsia" w:ascii="宋体" w:hAnsi="宋体" w:eastAsia="宋体"/>
          <w:color w:val="000000" w:themeColor="text1"/>
          <w:szCs w:val="21"/>
          <w:lang w:val="en-US" w:eastAsia="zh-CN"/>
          <w14:textFill>
            <w14:solidFill>
              <w14:schemeClr w14:val="tx1"/>
            </w14:solidFill>
          </w14:textFill>
        </w:rPr>
        <w:t>6</w:t>
      </w:r>
      <w:r>
        <w:rPr>
          <w:rFonts w:hint="eastAsia" w:ascii="宋体" w:hAnsi="宋体" w:eastAsia="宋体"/>
          <w:color w:val="000000" w:themeColor="text1"/>
          <w:szCs w:val="21"/>
          <w14:textFill>
            <w14:solidFill>
              <w14:schemeClr w14:val="tx1"/>
            </w14:solidFill>
          </w14:textFill>
        </w:rPr>
        <w:t>500 ㎡，绿地面积</w:t>
      </w:r>
      <w:r>
        <w:rPr>
          <w:rFonts w:hint="eastAsia" w:ascii="宋体" w:hAnsi="宋体" w:eastAsia="宋体"/>
          <w:color w:val="000000" w:themeColor="text1"/>
          <w:szCs w:val="21"/>
          <w:lang w:val="en-US" w:eastAsia="zh-CN"/>
          <w14:textFill>
            <w14:solidFill>
              <w14:schemeClr w14:val="tx1"/>
            </w14:solidFill>
          </w14:textFill>
        </w:rPr>
        <w:t>9</w:t>
      </w:r>
      <w:r>
        <w:rPr>
          <w:rFonts w:hint="eastAsia" w:ascii="宋体" w:hAnsi="宋体" w:eastAsia="宋体"/>
          <w:color w:val="000000" w:themeColor="text1"/>
          <w:szCs w:val="21"/>
          <w14:textFill>
            <w14:solidFill>
              <w14:schemeClr w14:val="tx1"/>
            </w14:solidFill>
          </w14:textFill>
        </w:rPr>
        <w:t>200㎡。执行指挥中心建筑占地面积</w:t>
      </w:r>
      <w:r>
        <w:rPr>
          <w:rFonts w:hint="eastAsia" w:ascii="宋体" w:hAnsi="宋体" w:eastAsia="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val="en-US" w:eastAsia="zh-CN"/>
          <w14:textFill>
            <w14:solidFill>
              <w14:schemeClr w14:val="tx1"/>
            </w14:solidFill>
          </w14:textFill>
        </w:rPr>
        <w:t>220</w:t>
      </w:r>
      <w:r>
        <w:rPr>
          <w:rFonts w:hint="eastAsia" w:ascii="宋体" w:hAnsi="宋体" w:eastAsia="宋体"/>
          <w:color w:val="000000" w:themeColor="text1"/>
          <w:szCs w:val="21"/>
          <w14:textFill>
            <w14:solidFill>
              <w14:schemeClr w14:val="tx1"/>
            </w14:solidFill>
          </w14:textFill>
        </w:rPr>
        <w:t xml:space="preserve"> ㎡，建筑面积约</w:t>
      </w:r>
      <w:r>
        <w:rPr>
          <w:rFonts w:hint="eastAsia" w:ascii="宋体" w:hAnsi="宋体"/>
          <w:color w:val="000000" w:themeColor="text1"/>
          <w:szCs w:val="21"/>
          <w:lang w:val="en-US" w:eastAsia="zh-CN"/>
          <w14:textFill>
            <w14:solidFill>
              <w14:schemeClr w14:val="tx1"/>
            </w14:solidFill>
          </w14:textFill>
        </w:rPr>
        <w:t>5955</w:t>
      </w:r>
      <w:r>
        <w:rPr>
          <w:rFonts w:hint="eastAsia"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,共6层（包括负一楼车库）</w:t>
      </w:r>
      <w:r>
        <w:rPr>
          <w:rFonts w:hint="eastAsia" w:ascii="宋体" w:hAnsi="宋体" w:eastAsia="宋体"/>
          <w:color w:val="000000" w:themeColor="text1"/>
          <w:szCs w:val="21"/>
          <w14:textFill>
            <w14:solidFill>
              <w14:schemeClr w14:val="tx1"/>
            </w14:solidFill>
          </w14:textFill>
        </w:rPr>
        <w:t>。</w:t>
      </w:r>
    </w:p>
    <w:p>
      <w:pPr>
        <w:pStyle w:val="161"/>
        <w:spacing w:line="406" w:lineRule="exact"/>
      </w:pPr>
    </w:p>
    <w:p>
      <w:pPr>
        <w:spacing w:line="406" w:lineRule="exact"/>
        <w:jc w:val="center"/>
        <w:rPr>
          <w:rFonts w:ascii="宋体" w:hAnsi="宋体"/>
          <w:b/>
          <w:bCs/>
          <w:color w:val="000000"/>
          <w:szCs w:val="21"/>
        </w:rPr>
      </w:pPr>
      <w:r>
        <w:rPr>
          <w:rFonts w:hint="eastAsia" w:ascii="宋体" w:hAnsi="宋体"/>
          <w:b/>
          <w:bCs/>
          <w:color w:val="000000"/>
          <w:szCs w:val="21"/>
        </w:rPr>
        <w:t>第二章  物业管理服务内容</w:t>
      </w:r>
    </w:p>
    <w:p>
      <w:pPr>
        <w:tabs>
          <w:tab w:val="left" w:pos="0"/>
          <w:tab w:val="left" w:pos="435"/>
        </w:tabs>
        <w:spacing w:line="406" w:lineRule="exact"/>
        <w:ind w:firstLine="211" w:firstLineChars="100"/>
        <w:rPr>
          <w:rFonts w:ascii="宋体" w:hAnsi="宋体"/>
          <w:color w:val="000000"/>
          <w:szCs w:val="21"/>
        </w:rPr>
      </w:pPr>
      <w:r>
        <w:rPr>
          <w:rFonts w:hint="eastAsia" w:ascii="宋体" w:hAnsi="宋体"/>
          <w:b/>
          <w:bCs/>
          <w:color w:val="000000"/>
          <w:szCs w:val="21"/>
        </w:rPr>
        <w:t>第三条</w:t>
      </w:r>
      <w:r>
        <w:rPr>
          <w:rFonts w:hint="eastAsia" w:ascii="宋体" w:hAnsi="宋体"/>
          <w:b/>
          <w:color w:val="000000"/>
          <w:szCs w:val="21"/>
        </w:rPr>
        <w:t xml:space="preserve"> </w:t>
      </w:r>
      <w:r>
        <w:rPr>
          <w:rFonts w:hint="eastAsia" w:ascii="宋体" w:hAnsi="宋体"/>
          <w:color w:val="000000"/>
          <w:szCs w:val="21"/>
        </w:rPr>
        <w:t>办公楼区域</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(一)房屋的维护和管理服务。要求做好办公楼的日常养护、维修、管理、清洁卫生和垃圾的分类收集清运。</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(二)安全保卫服务。要求有专业的安保团队，24小时值班巡逻，预防、发现、制止各种犯罪行为，防范漏洞，平息突发事故和意外事件，维护采购人区域内正常的工作秩序，在紧急情况下组织人员疏散。</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(三)消防管理服务。要求建立完善的消防管理制度，严格对消防设施、器材定期进行检查、保养、维护和维修，确保其处于能正常使用的状态。定期进行防火防灾宣传，抓好日常设备管理和训练演练。</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(四)会务服务。根据会议需求，对会场进行布置，提供茶水，引导宾客等，确保会议顺利召开，达到预期效果。</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(五)绿化养护管理服务。要求定期对采购人范围内花草树木进行浇水、除草、松土、施肥、整形、修剪、补种和病虫害防治等，确保花草树木长势良好，保持环境优美。</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(六)文体活动协助服务。要求协助文体活动举办、相关设施用品运送等，热情周到，最大限度地满足服务需求。</w:t>
      </w:r>
    </w:p>
    <w:p>
      <w:pPr>
        <w:tabs>
          <w:tab w:val="left" w:pos="0"/>
          <w:tab w:val="left" w:pos="435"/>
        </w:tabs>
        <w:spacing w:line="406" w:lineRule="exact"/>
        <w:ind w:firstLine="211" w:firstLineChars="100"/>
        <w:rPr>
          <w:rFonts w:ascii="宋体" w:hAnsi="宋体"/>
          <w:color w:val="000000"/>
          <w:szCs w:val="21"/>
        </w:rPr>
      </w:pPr>
      <w:r>
        <w:rPr>
          <w:rFonts w:hint="eastAsia" w:ascii="宋体" w:hAnsi="宋体"/>
          <w:b/>
          <w:bCs/>
          <w:color w:val="000000"/>
          <w:szCs w:val="21"/>
        </w:rPr>
        <w:t>第四条</w:t>
      </w:r>
      <w:r>
        <w:rPr>
          <w:rFonts w:hint="eastAsia" w:ascii="宋体" w:hAnsi="宋体"/>
          <w:color w:val="000000"/>
          <w:szCs w:val="21"/>
        </w:rPr>
        <w:t xml:space="preserve"> 公共区域</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(一)配套设施的日常养护和管理，包括：围墙、大门、停车场、道路、上下水管道、值班室及其他建筑设施、市政排水设施等。</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(二)公共区域绿化的养护和管理。</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(三)公共区域的清洁卫生，垃圾的分类收集清运。</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(四)对外来车辆进行检查、登记、指挥停放，确保安全有序，保持区域内和进出口车道的通畅。</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(五)维护公共安全，包括门岗值班、巡视、防盗、防火、灭火，在紧急情况下组织人员疏散。</w:t>
      </w:r>
    </w:p>
    <w:p>
      <w:pPr>
        <w:tabs>
          <w:tab w:val="left" w:pos="0"/>
          <w:tab w:val="left" w:pos="435"/>
        </w:tabs>
        <w:spacing w:line="406" w:lineRule="exact"/>
        <w:ind w:firstLine="211" w:firstLineChars="100"/>
        <w:rPr>
          <w:rFonts w:ascii="宋体" w:hAnsi="宋体"/>
          <w:color w:val="000000"/>
          <w:szCs w:val="21"/>
        </w:rPr>
      </w:pPr>
      <w:r>
        <w:rPr>
          <w:rFonts w:hint="eastAsia" w:ascii="宋体" w:hAnsi="宋体"/>
          <w:b/>
          <w:bCs/>
          <w:color w:val="000000"/>
          <w:szCs w:val="21"/>
        </w:rPr>
        <w:t>第五条</w:t>
      </w:r>
      <w:r>
        <w:rPr>
          <w:rFonts w:hint="eastAsia" w:ascii="宋体" w:hAnsi="宋体"/>
          <w:color w:val="000000"/>
          <w:szCs w:val="21"/>
        </w:rPr>
        <w:t xml:space="preserve"> 其他服务内容</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(一)乙方需每月5日前将上一月物业总体情况向甲方相关领导汇报并形成书面报告。</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(二)乙方不得擅自占用公共设施或更改使用功能，如需变更或扩建，需与甲方协商，经甲方同意后方可实施。</w:t>
      </w:r>
    </w:p>
    <w:p>
      <w:pPr>
        <w:tabs>
          <w:tab w:val="left" w:pos="0"/>
          <w:tab w:val="left" w:pos="435"/>
        </w:tabs>
        <w:spacing w:line="406" w:lineRule="exact"/>
        <w:ind w:firstLine="210" w:firstLineChars="100"/>
        <w:rPr>
          <w:rFonts w:ascii="宋体" w:hAnsi="宋体"/>
          <w:color w:val="000000"/>
          <w:szCs w:val="21"/>
        </w:rPr>
      </w:pPr>
      <w:r>
        <w:rPr>
          <w:rFonts w:hint="eastAsia" w:ascii="宋体" w:hAnsi="宋体"/>
          <w:color w:val="000000"/>
          <w:szCs w:val="21"/>
        </w:rPr>
        <w:t>(三)乙方需自行负责安保、绿化、保洁等服务的设备和用品购置。</w:t>
      </w:r>
    </w:p>
    <w:p>
      <w:pPr>
        <w:pStyle w:val="161"/>
        <w:spacing w:line="406" w:lineRule="exact"/>
      </w:pPr>
    </w:p>
    <w:p>
      <w:pPr>
        <w:tabs>
          <w:tab w:val="left" w:pos="0"/>
          <w:tab w:val="left" w:pos="435"/>
        </w:tabs>
        <w:spacing w:line="406" w:lineRule="exact"/>
        <w:ind w:firstLine="211" w:firstLineChars="100"/>
        <w:rPr>
          <w:rFonts w:ascii="宋体" w:hAnsi="宋体"/>
          <w:color w:val="000000"/>
          <w:szCs w:val="21"/>
        </w:rPr>
      </w:pPr>
      <w:r>
        <w:rPr>
          <w:rFonts w:hint="eastAsia" w:ascii="宋体" w:hAnsi="宋体"/>
          <w:b/>
          <w:bCs/>
          <w:color w:val="000000"/>
          <w:szCs w:val="21"/>
        </w:rPr>
        <w:t>第六条</w:t>
      </w:r>
      <w:r>
        <w:rPr>
          <w:rFonts w:hint="eastAsia" w:ascii="宋体" w:hAnsi="宋体"/>
          <w:color w:val="000000"/>
          <w:szCs w:val="21"/>
        </w:rPr>
        <w:t xml:space="preserve"> 其他委托管理服务事项：</w:t>
      </w:r>
    </w:p>
    <w:p>
      <w:pPr>
        <w:spacing w:line="406" w:lineRule="exact"/>
        <w:ind w:firstLine="210" w:firstLineChars="100"/>
        <w:rPr>
          <w:rFonts w:ascii="宋体" w:hAnsi="宋体"/>
          <w:color w:val="000000"/>
          <w:szCs w:val="21"/>
          <w:u w:val="single"/>
        </w:rPr>
      </w:pPr>
      <w:r>
        <w:rPr>
          <w:rFonts w:hint="eastAsia" w:ascii="宋体" w:hAnsi="宋体"/>
          <w:color w:val="000000"/>
          <w:szCs w:val="21"/>
        </w:rPr>
        <w:t>(一)采购文件、响应文件纳入本合同组成部分，乙方响应文件约定的其他服务管理事项。</w:t>
      </w:r>
    </w:p>
    <w:p>
      <w:pPr>
        <w:spacing w:line="406" w:lineRule="exact"/>
        <w:ind w:firstLine="210"/>
        <w:rPr>
          <w:rFonts w:ascii="宋体" w:hAnsi="宋体"/>
          <w:color w:val="000000"/>
          <w:szCs w:val="21"/>
        </w:rPr>
      </w:pPr>
      <w:r>
        <w:rPr>
          <w:rFonts w:hint="eastAsia" w:ascii="宋体" w:hAnsi="宋体"/>
          <w:color w:val="000000"/>
          <w:szCs w:val="21"/>
        </w:rPr>
        <w:t>(二)</w:t>
      </w:r>
      <w:r>
        <w:rPr>
          <w:rFonts w:hint="eastAsia" w:ascii="宋体" w:hAnsi="宋体"/>
          <w:color w:val="000000"/>
          <w:szCs w:val="21"/>
          <w:u w:val="single"/>
        </w:rPr>
        <w:t>合同文件组成包括但不限于通用合同条件、专用合同条件、技术条款、协议书、图纸、成交通知书以及其它明确列入中标函和合同协议书中的文件。例如劳务费、材料供应协议；补遗；采购期间甲乙方的来往信件；澄清会议纪要；现场条件资料等</w:t>
      </w:r>
      <w:r>
        <w:rPr>
          <w:rFonts w:hint="eastAsia" w:ascii="宋体" w:hAnsi="宋体"/>
          <w:color w:val="000000"/>
          <w:szCs w:val="21"/>
        </w:rPr>
        <w:t>。具体工作内容及要求见附件1(项目需求)。</w:t>
      </w:r>
    </w:p>
    <w:p>
      <w:pPr>
        <w:tabs>
          <w:tab w:val="left" w:pos="0"/>
          <w:tab w:val="left" w:pos="435"/>
        </w:tabs>
        <w:spacing w:line="406" w:lineRule="exact"/>
        <w:rPr>
          <w:rFonts w:ascii="宋体" w:hAnsi="宋体"/>
          <w:color w:val="000000"/>
          <w:szCs w:val="21"/>
        </w:rPr>
      </w:pPr>
    </w:p>
    <w:p>
      <w:pPr>
        <w:spacing w:line="406" w:lineRule="exact"/>
        <w:jc w:val="center"/>
        <w:rPr>
          <w:rFonts w:ascii="宋体" w:hAnsi="宋体"/>
          <w:b/>
          <w:color w:val="000000"/>
          <w:szCs w:val="21"/>
        </w:rPr>
      </w:pPr>
      <w:r>
        <w:rPr>
          <w:rFonts w:hint="eastAsia" w:ascii="宋体" w:hAnsi="宋体"/>
          <w:b/>
          <w:color w:val="000000"/>
          <w:szCs w:val="21"/>
        </w:rPr>
        <w:t>第四章  物业管理服务期限</w:t>
      </w:r>
    </w:p>
    <w:p>
      <w:pPr>
        <w:adjustRightInd w:val="0"/>
        <w:snapToGrid w:val="0"/>
        <w:spacing w:line="406" w:lineRule="exact"/>
        <w:ind w:firstLine="211" w:firstLineChars="100"/>
        <w:rPr>
          <w:rFonts w:ascii="宋体" w:hAnsi="宋体"/>
          <w:b/>
          <w:bCs/>
          <w:color w:val="000000"/>
          <w:szCs w:val="21"/>
        </w:rPr>
      </w:pPr>
      <w:r>
        <w:rPr>
          <w:rFonts w:hint="eastAsia" w:ascii="宋体" w:hAnsi="宋体"/>
          <w:b/>
          <w:bCs/>
          <w:color w:val="000000"/>
          <w:szCs w:val="21"/>
        </w:rPr>
        <w:t xml:space="preserve">第十七条 </w:t>
      </w:r>
      <w:r>
        <w:rPr>
          <w:rFonts w:hint="eastAsia" w:ascii="宋体" w:hAnsi="宋体"/>
          <w:bCs/>
          <w:color w:val="000000"/>
          <w:szCs w:val="21"/>
        </w:rPr>
        <w:t>本合同物业管理服务期限为</w:t>
      </w:r>
      <w:r>
        <w:rPr>
          <w:rFonts w:hint="eastAsia" w:ascii="宋体" w:hAnsi="宋体"/>
          <w:bCs/>
          <w:color w:val="000000"/>
          <w:szCs w:val="21"/>
          <w:u w:val="single"/>
        </w:rPr>
        <w:t xml:space="preserve">    </w:t>
      </w:r>
      <w:r>
        <w:rPr>
          <w:rFonts w:hint="eastAsia" w:ascii="宋体" w:hAnsi="宋体"/>
          <w:bCs/>
          <w:color w:val="000000"/>
          <w:szCs w:val="21"/>
        </w:rPr>
        <w:t>个月，自</w:t>
      </w:r>
      <w:r>
        <w:rPr>
          <w:rFonts w:hint="eastAsia" w:ascii="宋体" w:hAnsi="宋体"/>
          <w:bCs/>
          <w:color w:val="000000"/>
          <w:szCs w:val="21"/>
          <w:u w:val="single"/>
        </w:rPr>
        <w:t>2024</w:t>
      </w:r>
      <w:r>
        <w:rPr>
          <w:rFonts w:hint="eastAsia" w:ascii="宋体" w:hAnsi="宋体"/>
          <w:bCs/>
          <w:color w:val="000000"/>
          <w:szCs w:val="21"/>
        </w:rPr>
        <w:t>年</w:t>
      </w:r>
      <w:r>
        <w:rPr>
          <w:rFonts w:hint="eastAsia" w:ascii="宋体" w:hAnsi="宋体"/>
          <w:bCs/>
          <w:color w:val="000000"/>
          <w:szCs w:val="21"/>
          <w:u w:val="single"/>
        </w:rPr>
        <w:t xml:space="preserve">   </w:t>
      </w:r>
      <w:r>
        <w:rPr>
          <w:rFonts w:hint="eastAsia" w:ascii="宋体" w:hAnsi="宋体"/>
          <w:bCs/>
          <w:color w:val="000000"/>
          <w:szCs w:val="21"/>
        </w:rPr>
        <w:t>月</w:t>
      </w:r>
      <w:r>
        <w:rPr>
          <w:rFonts w:hint="eastAsia" w:ascii="宋体" w:hAnsi="宋体"/>
          <w:bCs/>
          <w:color w:val="000000"/>
          <w:szCs w:val="21"/>
          <w:u w:val="single"/>
        </w:rPr>
        <w:t xml:space="preserve">    </w:t>
      </w:r>
      <w:r>
        <w:rPr>
          <w:rFonts w:hint="eastAsia" w:ascii="宋体" w:hAnsi="宋体"/>
          <w:bCs/>
          <w:color w:val="000000"/>
          <w:szCs w:val="21"/>
        </w:rPr>
        <w:t>日起至</w:t>
      </w:r>
      <w:r>
        <w:rPr>
          <w:rFonts w:hint="eastAsia" w:ascii="宋体" w:hAnsi="宋体"/>
          <w:bCs/>
          <w:color w:val="000000"/>
          <w:szCs w:val="21"/>
          <w:u w:val="single"/>
        </w:rPr>
        <w:t xml:space="preserve"> 2025</w:t>
      </w:r>
      <w:r>
        <w:rPr>
          <w:rFonts w:hint="eastAsia" w:ascii="宋体" w:hAnsi="宋体"/>
          <w:bCs/>
          <w:color w:val="000000"/>
          <w:szCs w:val="21"/>
        </w:rPr>
        <w:t>年</w:t>
      </w:r>
      <w:r>
        <w:rPr>
          <w:rFonts w:hint="eastAsia" w:ascii="宋体" w:hAnsi="宋体"/>
          <w:bCs/>
          <w:color w:val="000000"/>
          <w:szCs w:val="21"/>
          <w:u w:val="single"/>
        </w:rPr>
        <w:t xml:space="preserve">   </w:t>
      </w:r>
      <w:r>
        <w:rPr>
          <w:rFonts w:hint="eastAsia" w:ascii="宋体" w:hAnsi="宋体"/>
          <w:bCs/>
          <w:color w:val="000000"/>
          <w:szCs w:val="21"/>
        </w:rPr>
        <w:t>月</w:t>
      </w:r>
      <w:r>
        <w:rPr>
          <w:rFonts w:hint="eastAsia" w:ascii="宋体" w:hAnsi="宋体"/>
          <w:bCs/>
          <w:color w:val="000000"/>
          <w:szCs w:val="21"/>
          <w:u w:val="single"/>
        </w:rPr>
        <w:t xml:space="preserve">    </w:t>
      </w:r>
      <w:r>
        <w:rPr>
          <w:rFonts w:hint="eastAsia" w:ascii="宋体" w:hAnsi="宋体"/>
          <w:bCs/>
          <w:color w:val="000000"/>
          <w:szCs w:val="21"/>
        </w:rPr>
        <w:t>日止。</w:t>
      </w:r>
    </w:p>
    <w:p>
      <w:pPr>
        <w:adjustRightInd w:val="0"/>
        <w:snapToGrid w:val="0"/>
        <w:spacing w:line="406" w:lineRule="exact"/>
        <w:rPr>
          <w:rFonts w:ascii="宋体" w:hAnsi="宋体"/>
          <w:color w:val="000000"/>
          <w:szCs w:val="21"/>
        </w:rPr>
      </w:pPr>
    </w:p>
    <w:p>
      <w:pPr>
        <w:spacing w:line="406" w:lineRule="exact"/>
        <w:jc w:val="center"/>
        <w:rPr>
          <w:rFonts w:ascii="宋体" w:hAnsi="宋体"/>
          <w:b/>
          <w:color w:val="000000"/>
          <w:szCs w:val="21"/>
        </w:rPr>
      </w:pPr>
      <w:r>
        <w:rPr>
          <w:rFonts w:hint="eastAsia" w:ascii="宋体" w:hAnsi="宋体"/>
          <w:b/>
          <w:color w:val="000000"/>
          <w:szCs w:val="21"/>
        </w:rPr>
        <w:t>第五章  物业管理服务费用</w:t>
      </w:r>
    </w:p>
    <w:p>
      <w:pPr>
        <w:spacing w:line="406" w:lineRule="exact"/>
        <w:ind w:firstLine="211" w:firstLineChars="100"/>
        <w:rPr>
          <w:rFonts w:ascii="宋体" w:hAnsi="宋体"/>
          <w:color w:val="000000"/>
          <w:szCs w:val="21"/>
        </w:rPr>
      </w:pPr>
      <w:r>
        <w:rPr>
          <w:rFonts w:hint="eastAsia" w:ascii="宋体" w:hAnsi="宋体"/>
          <w:b/>
          <w:color w:val="000000"/>
          <w:szCs w:val="21"/>
        </w:rPr>
        <w:t xml:space="preserve">第十八条 </w:t>
      </w:r>
      <w:r>
        <w:rPr>
          <w:rFonts w:hint="eastAsia" w:ascii="宋体" w:hAnsi="宋体"/>
          <w:color w:val="000000"/>
          <w:szCs w:val="21"/>
        </w:rPr>
        <w:t>物业服务费用：本合同物业管理费总价为人民币</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元整（¥</w:t>
      </w:r>
      <w:r>
        <w:rPr>
          <w:rFonts w:hint="eastAsia" w:ascii="宋体" w:hAnsi="宋体"/>
          <w:color w:val="000000"/>
          <w:szCs w:val="21"/>
          <w:u w:val="single"/>
        </w:rPr>
        <w:t xml:space="preserve">        </w:t>
      </w:r>
      <w:r>
        <w:rPr>
          <w:rFonts w:hint="eastAsia" w:ascii="宋体" w:hAnsi="宋体"/>
          <w:color w:val="000000"/>
          <w:szCs w:val="21"/>
        </w:rPr>
        <w:t>）。</w:t>
      </w:r>
    </w:p>
    <w:p>
      <w:pPr>
        <w:spacing w:line="406" w:lineRule="exact"/>
        <w:ind w:firstLine="211"/>
        <w:rPr>
          <w:rFonts w:ascii="宋体" w:hAnsi="宋体"/>
          <w:color w:val="000000"/>
          <w:szCs w:val="21"/>
        </w:rPr>
      </w:pPr>
      <w:r>
        <w:rPr>
          <w:rFonts w:hint="eastAsia" w:ascii="宋体" w:hAnsi="宋体"/>
          <w:color w:val="000000"/>
          <w:szCs w:val="21"/>
        </w:rPr>
        <w:t>付款方式：</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6" w:lineRule="exact"/>
        <w:ind w:firstLine="211" w:firstLineChars="100"/>
        <w:rPr>
          <w:rFonts w:ascii="宋体" w:hAnsi="宋体"/>
          <w:color w:val="000000"/>
          <w:szCs w:val="21"/>
        </w:rPr>
      </w:pPr>
      <w:r>
        <w:rPr>
          <w:rFonts w:hint="eastAsia" w:ascii="宋体" w:hAnsi="宋体"/>
          <w:b/>
          <w:color w:val="000000"/>
          <w:szCs w:val="21"/>
        </w:rPr>
        <w:t xml:space="preserve">第十九条 </w:t>
      </w:r>
      <w:r>
        <w:rPr>
          <w:rFonts w:hint="eastAsia" w:ascii="宋体" w:hAnsi="宋体"/>
          <w:color w:val="000000"/>
          <w:szCs w:val="21"/>
        </w:rPr>
        <w:t xml:space="preserve"> 对用户物业自用部位、自用设备维修养护及其他特约服务的收费价格由甲乙双方协商而定。</w:t>
      </w:r>
    </w:p>
    <w:p>
      <w:pPr>
        <w:spacing w:line="406" w:lineRule="exact"/>
        <w:ind w:firstLine="211" w:firstLineChars="100"/>
        <w:rPr>
          <w:rFonts w:ascii="宋体" w:hAnsi="宋体"/>
          <w:color w:val="000000"/>
          <w:szCs w:val="21"/>
        </w:rPr>
      </w:pPr>
      <w:r>
        <w:rPr>
          <w:rFonts w:hint="eastAsia" w:ascii="宋体" w:hAnsi="宋体"/>
          <w:b/>
          <w:bCs/>
          <w:color w:val="000000"/>
          <w:szCs w:val="21"/>
        </w:rPr>
        <w:t>第二十条</w:t>
      </w:r>
      <w:r>
        <w:rPr>
          <w:rFonts w:hint="eastAsia" w:ascii="宋体" w:hAnsi="宋体"/>
          <w:color w:val="000000"/>
          <w:szCs w:val="21"/>
        </w:rPr>
        <w:t xml:space="preserve"> 乙方在物业设施、设备的使用、维护和管理中，属正常的维修、更新或使用中的消耗物品，所产生的费用及在管理服务中所需使用的工具由乙方负责。</w:t>
      </w:r>
    </w:p>
    <w:p>
      <w:pPr>
        <w:spacing w:line="406" w:lineRule="exact"/>
        <w:ind w:firstLine="211" w:firstLineChars="100"/>
        <w:rPr>
          <w:rFonts w:ascii="宋体" w:hAnsi="宋体"/>
          <w:color w:val="000000"/>
          <w:szCs w:val="21"/>
        </w:rPr>
      </w:pPr>
      <w:r>
        <w:rPr>
          <w:rFonts w:hint="eastAsia" w:ascii="宋体" w:hAnsi="宋体"/>
          <w:b/>
          <w:bCs/>
          <w:color w:val="000000"/>
          <w:szCs w:val="21"/>
        </w:rPr>
        <w:t xml:space="preserve">第二十一条 </w:t>
      </w:r>
      <w:r>
        <w:rPr>
          <w:rFonts w:hint="eastAsia" w:ascii="宋体" w:hAnsi="宋体"/>
          <w:color w:val="000000"/>
          <w:szCs w:val="21"/>
        </w:rPr>
        <w:t>现行税法规定对甲方征收的与本合同有关的一切税费均应由甲方负担。</w:t>
      </w:r>
    </w:p>
    <w:p>
      <w:pPr>
        <w:spacing w:line="406" w:lineRule="exact"/>
        <w:ind w:firstLine="211" w:firstLineChars="100"/>
        <w:rPr>
          <w:rFonts w:ascii="宋体" w:hAnsi="宋体"/>
          <w:color w:val="000000"/>
          <w:szCs w:val="21"/>
        </w:rPr>
      </w:pPr>
      <w:r>
        <w:rPr>
          <w:rFonts w:hint="eastAsia" w:ascii="宋体" w:hAnsi="宋体"/>
          <w:b/>
          <w:bCs/>
          <w:color w:val="000000"/>
          <w:szCs w:val="21"/>
        </w:rPr>
        <w:t>第二十二条</w:t>
      </w:r>
      <w:r>
        <w:rPr>
          <w:rFonts w:hint="eastAsia" w:ascii="宋体" w:hAnsi="宋体"/>
          <w:color w:val="000000"/>
          <w:szCs w:val="21"/>
        </w:rPr>
        <w:t xml:space="preserve"> 现行税法规定对乙方及其雇员征收的与本合同有关的一切税费均应由乙方负担。</w:t>
      </w:r>
    </w:p>
    <w:p>
      <w:pPr>
        <w:spacing w:line="406" w:lineRule="exact"/>
        <w:ind w:firstLine="420" w:firstLineChars="200"/>
        <w:rPr>
          <w:rFonts w:ascii="宋体" w:hAnsi="宋体"/>
          <w:color w:val="000000"/>
          <w:szCs w:val="21"/>
        </w:rPr>
      </w:pPr>
    </w:p>
    <w:p>
      <w:pPr>
        <w:spacing w:line="406" w:lineRule="exact"/>
        <w:jc w:val="center"/>
        <w:rPr>
          <w:rFonts w:ascii="宋体" w:hAnsi="宋体"/>
          <w:b/>
          <w:bCs/>
          <w:color w:val="000000"/>
          <w:szCs w:val="21"/>
        </w:rPr>
      </w:pPr>
      <w:r>
        <w:rPr>
          <w:rFonts w:hint="eastAsia" w:ascii="宋体" w:hAnsi="宋体"/>
          <w:b/>
          <w:color w:val="000000"/>
          <w:szCs w:val="21"/>
        </w:rPr>
        <w:t>第六章  双方权利义务</w:t>
      </w:r>
    </w:p>
    <w:p>
      <w:pPr>
        <w:spacing w:line="406" w:lineRule="exact"/>
        <w:ind w:firstLine="211" w:firstLineChars="100"/>
        <w:rPr>
          <w:rFonts w:ascii="宋体" w:hAnsi="宋体"/>
          <w:color w:val="000000"/>
          <w:szCs w:val="21"/>
        </w:rPr>
      </w:pPr>
      <w:r>
        <w:rPr>
          <w:rFonts w:hint="eastAsia" w:ascii="宋体" w:hAnsi="宋体"/>
          <w:b/>
          <w:bCs/>
          <w:color w:val="000000"/>
          <w:szCs w:val="21"/>
        </w:rPr>
        <w:t xml:space="preserve">第二十三条 </w:t>
      </w:r>
      <w:r>
        <w:rPr>
          <w:rFonts w:hint="eastAsia" w:ascii="宋体" w:hAnsi="宋体"/>
          <w:color w:val="000000"/>
          <w:szCs w:val="21"/>
        </w:rPr>
        <w:t>甲方权利义务</w:t>
      </w:r>
    </w:p>
    <w:p>
      <w:pPr>
        <w:spacing w:line="406" w:lineRule="exact"/>
        <w:ind w:firstLine="420" w:firstLineChars="200"/>
        <w:rPr>
          <w:rFonts w:ascii="宋体" w:hAnsi="宋体"/>
          <w:color w:val="000000"/>
          <w:szCs w:val="21"/>
        </w:rPr>
      </w:pPr>
      <w:r>
        <w:rPr>
          <w:rFonts w:hint="eastAsia" w:ascii="宋体" w:hAnsi="宋体"/>
          <w:color w:val="000000"/>
          <w:szCs w:val="21"/>
        </w:rPr>
        <w:t>（一）代表和维护产权人、使用人的合法权益；</w:t>
      </w:r>
    </w:p>
    <w:p>
      <w:pPr>
        <w:spacing w:line="406" w:lineRule="exact"/>
        <w:ind w:firstLine="420" w:firstLineChars="200"/>
        <w:rPr>
          <w:rFonts w:ascii="宋体" w:hAnsi="宋体"/>
          <w:color w:val="000000"/>
          <w:szCs w:val="21"/>
        </w:rPr>
      </w:pPr>
      <w:r>
        <w:rPr>
          <w:rFonts w:hint="eastAsia" w:ascii="宋体" w:hAnsi="宋体"/>
          <w:color w:val="000000"/>
          <w:szCs w:val="21"/>
        </w:rPr>
        <w:t>（二）审定乙方拟定的物业管理制度，并支持乙方为此而开展的管理服务工作；</w:t>
      </w:r>
    </w:p>
    <w:p>
      <w:pPr>
        <w:spacing w:line="406" w:lineRule="exact"/>
        <w:ind w:firstLine="420" w:firstLineChars="200"/>
        <w:rPr>
          <w:rFonts w:ascii="宋体" w:hAnsi="宋体"/>
          <w:color w:val="000000"/>
          <w:szCs w:val="21"/>
        </w:rPr>
      </w:pPr>
      <w:r>
        <w:rPr>
          <w:rFonts w:hint="eastAsia" w:ascii="宋体" w:hAnsi="宋体"/>
          <w:color w:val="000000"/>
          <w:szCs w:val="21"/>
        </w:rPr>
        <w:t>（三）检查监督乙方管理工作的实施及制度的执行情况；</w:t>
      </w:r>
    </w:p>
    <w:p>
      <w:pPr>
        <w:spacing w:line="406" w:lineRule="exact"/>
        <w:ind w:firstLine="420" w:firstLineChars="200"/>
        <w:rPr>
          <w:rFonts w:ascii="宋体" w:hAnsi="宋体"/>
          <w:color w:val="000000"/>
          <w:szCs w:val="21"/>
        </w:rPr>
      </w:pPr>
      <w:r>
        <w:rPr>
          <w:rFonts w:hint="eastAsia" w:ascii="宋体" w:hAnsi="宋体"/>
          <w:color w:val="000000"/>
          <w:szCs w:val="21"/>
        </w:rPr>
        <w:t>（四）审定乙方提出的物业管理服务工作计划、年度管理计划、财务预算（决算），甲方有权检查乙方的财务报表及资料，对不合理的分配支出甲方有权提出调整意见；</w:t>
      </w:r>
    </w:p>
    <w:p>
      <w:pPr>
        <w:spacing w:line="406" w:lineRule="exact"/>
        <w:ind w:firstLine="420" w:firstLineChars="200"/>
        <w:rPr>
          <w:rFonts w:ascii="宋体" w:hAnsi="宋体"/>
          <w:color w:val="000000"/>
          <w:szCs w:val="21"/>
        </w:rPr>
      </w:pPr>
      <w:r>
        <w:rPr>
          <w:rFonts w:hint="eastAsia" w:ascii="宋体" w:hAnsi="宋体"/>
          <w:color w:val="000000"/>
          <w:szCs w:val="21"/>
        </w:rPr>
        <w:t>（五）协助乙方做好物业区域内的物业管理工作；</w:t>
      </w:r>
    </w:p>
    <w:p>
      <w:pPr>
        <w:spacing w:line="406" w:lineRule="exact"/>
        <w:ind w:firstLine="420" w:firstLineChars="200"/>
        <w:rPr>
          <w:rFonts w:ascii="宋体" w:hAnsi="宋体"/>
          <w:color w:val="000000"/>
          <w:szCs w:val="21"/>
        </w:rPr>
      </w:pPr>
      <w:r>
        <w:rPr>
          <w:rFonts w:hint="eastAsia" w:ascii="宋体" w:hAnsi="宋体"/>
          <w:color w:val="000000"/>
          <w:szCs w:val="21"/>
        </w:rPr>
        <w:t>（六）按时依合同约定向乙方支付物业管理服务费用；</w:t>
      </w:r>
    </w:p>
    <w:p>
      <w:pPr>
        <w:spacing w:line="406" w:lineRule="exact"/>
        <w:ind w:firstLine="420" w:firstLineChars="200"/>
        <w:rPr>
          <w:rFonts w:ascii="宋体" w:hAnsi="宋体"/>
          <w:b/>
          <w:bCs/>
          <w:color w:val="000000"/>
          <w:szCs w:val="21"/>
        </w:rPr>
      </w:pPr>
      <w:r>
        <w:rPr>
          <w:rFonts w:hint="eastAsia" w:ascii="宋体" w:hAnsi="宋体"/>
          <w:color w:val="000000"/>
          <w:szCs w:val="21"/>
        </w:rPr>
        <w:t>（七）对于甲方临时的业务调动，如属于正常的业务调动，乙方应无偿积极予以配合。</w:t>
      </w:r>
    </w:p>
    <w:p>
      <w:pPr>
        <w:spacing w:line="406" w:lineRule="exact"/>
        <w:ind w:firstLine="211" w:firstLineChars="100"/>
        <w:rPr>
          <w:rFonts w:ascii="宋体" w:hAnsi="宋体"/>
          <w:color w:val="000000"/>
          <w:szCs w:val="21"/>
        </w:rPr>
      </w:pPr>
      <w:r>
        <w:rPr>
          <w:rFonts w:hint="eastAsia" w:ascii="宋体" w:hAnsi="宋体"/>
          <w:b/>
          <w:color w:val="000000"/>
          <w:szCs w:val="21"/>
        </w:rPr>
        <w:t>第二十四条</w:t>
      </w:r>
      <w:r>
        <w:rPr>
          <w:rFonts w:hint="eastAsia" w:ascii="宋体" w:hAnsi="宋体"/>
          <w:color w:val="000000"/>
          <w:szCs w:val="21"/>
        </w:rPr>
        <w:t xml:space="preserve"> 乙方权利义务</w:t>
      </w:r>
    </w:p>
    <w:p>
      <w:pPr>
        <w:spacing w:line="406" w:lineRule="exact"/>
        <w:ind w:firstLine="420" w:firstLineChars="200"/>
        <w:rPr>
          <w:rFonts w:ascii="宋体" w:hAnsi="宋体"/>
          <w:color w:val="000000"/>
          <w:szCs w:val="21"/>
        </w:rPr>
      </w:pPr>
      <w:r>
        <w:rPr>
          <w:rFonts w:hint="eastAsia" w:ascii="宋体" w:hAnsi="宋体"/>
          <w:color w:val="000000"/>
          <w:szCs w:val="21"/>
        </w:rPr>
        <w:t>（一）根据甲方的授权和有关法律、法规及本合同的约定，在本物业区域内实施物业管理，组织实施经甲方审定通过后的物业管理活动和制度；</w:t>
      </w:r>
    </w:p>
    <w:p>
      <w:pPr>
        <w:spacing w:line="406" w:lineRule="exact"/>
        <w:ind w:firstLine="420" w:firstLineChars="200"/>
        <w:rPr>
          <w:rFonts w:ascii="宋体" w:hAnsi="宋体"/>
          <w:color w:val="000000"/>
          <w:szCs w:val="21"/>
        </w:rPr>
      </w:pPr>
      <w:r>
        <w:rPr>
          <w:rFonts w:hint="eastAsia" w:ascii="宋体" w:hAnsi="宋体"/>
          <w:color w:val="000000"/>
          <w:szCs w:val="21"/>
        </w:rPr>
        <w:t>（二）对物业使用人违反物业管理制度的行为，有权根据情节轻重，采取劝阻、制止、提请甲方处理等措施；</w:t>
      </w:r>
    </w:p>
    <w:p>
      <w:pPr>
        <w:spacing w:line="406" w:lineRule="exact"/>
        <w:ind w:firstLine="420" w:firstLineChars="200"/>
        <w:rPr>
          <w:rFonts w:ascii="宋体" w:hAnsi="宋体"/>
          <w:color w:val="000000"/>
          <w:szCs w:val="21"/>
        </w:rPr>
      </w:pPr>
      <w:r>
        <w:rPr>
          <w:rFonts w:hint="eastAsia" w:ascii="宋体" w:hAnsi="宋体"/>
          <w:color w:val="000000"/>
          <w:szCs w:val="21"/>
        </w:rPr>
        <w:t>（三）向物业使用人告知物业的使用有关规定，并有权要求甲方及物业使用人配合乙方的管理服务行为；</w:t>
      </w:r>
    </w:p>
    <w:p>
      <w:pPr>
        <w:spacing w:line="406" w:lineRule="exact"/>
        <w:ind w:firstLine="420" w:firstLineChars="200"/>
        <w:rPr>
          <w:rFonts w:ascii="宋体" w:hAnsi="宋体"/>
          <w:color w:val="000000"/>
          <w:szCs w:val="21"/>
        </w:rPr>
      </w:pPr>
      <w:r>
        <w:rPr>
          <w:rFonts w:hint="eastAsia" w:ascii="宋体" w:hAnsi="宋体"/>
          <w:color w:val="000000"/>
          <w:szCs w:val="21"/>
        </w:rPr>
        <w:t>（四）未经甲方书面同意，乙方不得将本物业的管理责任转让给第三方，不允许乙方分包或转包甲方委托的管理事宜；</w:t>
      </w:r>
    </w:p>
    <w:p>
      <w:pPr>
        <w:spacing w:line="406" w:lineRule="exact"/>
        <w:ind w:firstLine="420" w:firstLineChars="200"/>
        <w:rPr>
          <w:rFonts w:ascii="宋体" w:hAnsi="宋体"/>
          <w:color w:val="000000"/>
          <w:szCs w:val="21"/>
        </w:rPr>
      </w:pPr>
      <w:r>
        <w:rPr>
          <w:rFonts w:hint="eastAsia" w:ascii="宋体" w:hAnsi="宋体"/>
          <w:color w:val="000000"/>
          <w:szCs w:val="21"/>
        </w:rPr>
        <w:t>（五）对所聘用人员严格审核，保证聘用人员无违法犯罪记录并进行严格体检，有上岗资格证；</w:t>
      </w:r>
    </w:p>
    <w:p>
      <w:pPr>
        <w:spacing w:line="406" w:lineRule="exact"/>
        <w:ind w:firstLine="420" w:firstLineChars="200"/>
        <w:rPr>
          <w:rFonts w:ascii="宋体" w:hAnsi="宋体"/>
          <w:color w:val="000000"/>
          <w:szCs w:val="21"/>
        </w:rPr>
      </w:pPr>
      <w:r>
        <w:rPr>
          <w:rFonts w:hint="eastAsia" w:ascii="宋体" w:hAnsi="宋体"/>
          <w:color w:val="000000"/>
          <w:szCs w:val="21"/>
        </w:rPr>
        <w:t>（六）保证各类管理人员按岗位统一着装，佩带工作牌号，言行规范，文明礼貌，有良好的仪容仪表，公众形象；</w:t>
      </w:r>
    </w:p>
    <w:p>
      <w:pPr>
        <w:spacing w:line="406" w:lineRule="exact"/>
        <w:ind w:firstLine="420" w:firstLineChars="200"/>
        <w:rPr>
          <w:rFonts w:ascii="宋体" w:hAnsi="宋体"/>
          <w:color w:val="000000"/>
          <w:szCs w:val="21"/>
        </w:rPr>
      </w:pPr>
      <w:r>
        <w:rPr>
          <w:rFonts w:hint="eastAsia" w:ascii="宋体" w:hAnsi="宋体"/>
          <w:color w:val="000000"/>
          <w:szCs w:val="21"/>
        </w:rPr>
        <w:t>（七）建立资料的收集、分类整理、归档管理制度。在日常管理中要建立交接班、项目故障与维修、保养等登记制度；</w:t>
      </w:r>
    </w:p>
    <w:p>
      <w:pPr>
        <w:spacing w:line="406" w:lineRule="exact"/>
        <w:ind w:firstLine="420" w:firstLineChars="200"/>
        <w:rPr>
          <w:rFonts w:ascii="宋体" w:hAnsi="宋体"/>
          <w:color w:val="000000"/>
          <w:szCs w:val="21"/>
        </w:rPr>
      </w:pPr>
      <w:r>
        <w:rPr>
          <w:rFonts w:hint="eastAsia" w:ascii="宋体" w:hAnsi="宋体"/>
          <w:color w:val="000000"/>
          <w:szCs w:val="21"/>
        </w:rPr>
        <w:t>（八）应负责除属于专业公司承包维修和养护范围之外的设施、设备的日常运行、维护和保养工作。乙方要按照甲方与专业公司签订的质保协议和设施设备的各项要求，制定日常使用运行和维修保养制度，配备熟练、专职、有上岗证及资格证的专业工程技术人员，负责日常运行、维护、管理，定人、定时开、关设备，及时发现设备使用过程中的隐患并通知和监督专业公司进行维修、保养工作；</w:t>
      </w:r>
    </w:p>
    <w:p>
      <w:pPr>
        <w:spacing w:line="406" w:lineRule="exact"/>
        <w:ind w:firstLine="420" w:firstLineChars="200"/>
        <w:rPr>
          <w:rFonts w:ascii="宋体" w:hAnsi="宋体"/>
          <w:color w:val="000000"/>
          <w:szCs w:val="21"/>
        </w:rPr>
      </w:pPr>
      <w:r>
        <w:rPr>
          <w:rFonts w:hint="eastAsia" w:ascii="宋体" w:hAnsi="宋体"/>
          <w:color w:val="000000"/>
          <w:szCs w:val="21"/>
        </w:rPr>
        <w:t>（九）乙方的员工在工作期间发生的安全责任由乙方承担；</w:t>
      </w:r>
    </w:p>
    <w:p>
      <w:pPr>
        <w:spacing w:line="406" w:lineRule="exact"/>
        <w:ind w:firstLine="420" w:firstLineChars="200"/>
        <w:rPr>
          <w:rFonts w:ascii="宋体" w:hAnsi="宋体"/>
          <w:color w:val="000000"/>
          <w:szCs w:val="21"/>
        </w:rPr>
      </w:pPr>
      <w:r>
        <w:rPr>
          <w:rFonts w:hint="eastAsia" w:ascii="宋体" w:hAnsi="宋体"/>
          <w:color w:val="000000"/>
          <w:szCs w:val="21"/>
        </w:rPr>
        <w:t>（十）乙方应采取合理的节能化措施，降低大楼能耗；</w:t>
      </w:r>
    </w:p>
    <w:p>
      <w:pPr>
        <w:spacing w:line="406" w:lineRule="exact"/>
        <w:ind w:firstLine="420" w:firstLineChars="200"/>
        <w:rPr>
          <w:rFonts w:ascii="宋体" w:hAnsi="宋体"/>
          <w:color w:val="000000"/>
          <w:szCs w:val="21"/>
        </w:rPr>
      </w:pPr>
      <w:r>
        <w:rPr>
          <w:rFonts w:hint="eastAsia" w:ascii="宋体" w:hAnsi="宋体"/>
          <w:color w:val="000000"/>
          <w:szCs w:val="21"/>
        </w:rPr>
        <w:t>（十一）对本物业的公用设施不得擅自占用和改变使用功能，如需要在本物业内改、扩建或完善配套项目，须与甲方协商，经甲方同意后报有关部门批准方可实施。</w:t>
      </w:r>
    </w:p>
    <w:p>
      <w:pPr>
        <w:spacing w:line="406" w:lineRule="exact"/>
        <w:rPr>
          <w:rFonts w:ascii="宋体" w:hAnsi="宋体"/>
          <w:color w:val="000000"/>
          <w:szCs w:val="21"/>
        </w:rPr>
      </w:pPr>
    </w:p>
    <w:p>
      <w:pPr>
        <w:spacing w:line="406" w:lineRule="exact"/>
        <w:ind w:left="420"/>
        <w:jc w:val="center"/>
        <w:rPr>
          <w:rFonts w:ascii="宋体" w:hAnsi="宋体"/>
          <w:b/>
          <w:bCs/>
          <w:color w:val="000000"/>
          <w:szCs w:val="21"/>
        </w:rPr>
      </w:pPr>
      <w:r>
        <w:rPr>
          <w:rFonts w:hint="eastAsia" w:ascii="宋体" w:hAnsi="宋体"/>
          <w:b/>
          <w:bCs/>
          <w:color w:val="000000"/>
          <w:szCs w:val="21"/>
        </w:rPr>
        <w:t>第九章  违约责任</w:t>
      </w:r>
    </w:p>
    <w:p>
      <w:pPr>
        <w:spacing w:line="406" w:lineRule="exact"/>
        <w:ind w:firstLine="211" w:firstLineChars="100"/>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color w:val="000000"/>
          <w:szCs w:val="21"/>
        </w:rPr>
        <w:t xml:space="preserve">第二十九条 </w:t>
      </w:r>
      <w:r>
        <w:rPr>
          <w:rFonts w:hint="eastAsia" w:ascii="宋体" w:hAnsi="宋体"/>
          <w:color w:val="000000"/>
          <w:szCs w:val="21"/>
        </w:rPr>
        <w:t>因甲方违约导致乙方不能提供约定服务的，乙方有权要求甲方在一定期限内解决，逾期未解决且严重违约的，乙方有权提前解除合同。造成乙方经济损失的，甲方应给予乙方经济赔偿。</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（一）管理期间，每月每少配物业人员一名或脱岗二次扣物业管理费2000元，发现存在问题书面2次警告后15天未改正的，采购人有权终止合同。</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（二）外来车辆原则上在路边停车位整齐停放，如需停放在停车场，须经业主方同意方可进入，发现私自放行停放在停车场的，发现一次扣物业管理金200元。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（三）外来人员需经登记、询问被访人后方可进入，门卫保安岗位负责检查来访人员登记表；发现来访者无登记进入的，发现一次扣物业管理金200元；发现推销人员进入的，发现一次扣物业管理金500元。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（四）严格按要求打扫卫生并达到规定标准，发现卫生达不到标准发现一次扣物业管理金50元。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（五）及时负责水电维修，不按标准和规定时间完成维修任务的，发现一次扣物业管理金50元。停电或切换电源未事先告知（电业局外供电线路突然故障的除外）的发现一次扣物业管理金1000元。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（六）确保院内车辆安全。发现车辆丢失，物业公司除照价赔偿外，并扣罚物业管理金2000元。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（七）积极完成采购人临时交待的工作任务，工作发现推诿的，发现一次扣物业管理金100元。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（八）严防火灾事故，做好火灾日常维护和突发事件演练。发生火灾事故，扣物业管理金2000元。</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（九）合同规定的物业管理项目未完成的，按投标内容规定的本项目价格加倍扣罚。保安人员在执勤工作中若出现打架、斗殴等造成自身或他人人身伤害的由乙方承担一切责任，并将案件移交公安机关处理。</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（十）绿化的花、草、苗木等，若出现管理原因导致死亡，由投标人自行完成补种，费用由投标人承担，或由招标人补种，费用从物业费扣除。</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（十一）物业人员必须遵守业主的各项规章制度，不能打听、传播、转发与审判执行工作有关的内容信息，一经发现追究其法律责任，并解除该合同。</w:t>
      </w:r>
    </w:p>
    <w:p>
      <w:pPr>
        <w:spacing w:line="460" w:lineRule="exact"/>
        <w:rPr>
          <w:rFonts w:hint="default"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（十二）</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必须按业主方的公务接待要求完成饭菜的制作，如接待任务较重时，必须临时增加持有健康证服务人员，增加的服务不再另行收费。</w:t>
      </w:r>
    </w:p>
    <w:p>
      <w:pPr>
        <w:spacing w:line="460" w:lineRule="exac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（十三）</w:t>
      </w:r>
      <w:r>
        <w:rPr>
          <w:rFonts w:hint="eastAsia" w:ascii="宋体" w:hAnsi="宋体"/>
          <w:color w:val="000000" w:themeColor="text1"/>
          <w:szCs w:val="21"/>
          <w:lang w:val="en-US" w:eastAsia="zh-CN"/>
          <w14:textFill>
            <w14:solidFill>
              <w14:schemeClr w14:val="tx1"/>
            </w14:solidFill>
          </w14:textFill>
        </w:rPr>
        <w:t>成交人</w:t>
      </w:r>
      <w:r>
        <w:rPr>
          <w:rFonts w:hint="eastAsia" w:ascii="宋体" w:hAnsi="宋体" w:eastAsia="宋体"/>
          <w:color w:val="000000" w:themeColor="text1"/>
          <w:szCs w:val="21"/>
          <w:lang w:val="en-US" w:eastAsia="zh-CN"/>
          <w14:textFill>
            <w14:solidFill>
              <w14:schemeClr w14:val="tx1"/>
            </w14:solidFill>
          </w14:textFill>
        </w:rPr>
        <w:t>进驻之日起必须配备具有相应资质的水电管理员及消防管理员。如配备的人员不具有相应资质的，给予7天的整改期，如整改期过后仍未达到要求的，业主有权终止合同。</w:t>
      </w:r>
    </w:p>
    <w:p>
      <w:pPr>
        <w:pStyle w:val="2"/>
      </w:pPr>
    </w:p>
    <w:p>
      <w:pPr>
        <w:spacing w:line="406" w:lineRule="exact"/>
        <w:ind w:firstLine="211" w:firstLineChars="100"/>
        <w:rPr>
          <w:rFonts w:ascii="宋体" w:hAnsi="宋体"/>
          <w:color w:val="000000"/>
          <w:szCs w:val="21"/>
        </w:rPr>
      </w:pPr>
      <w:r>
        <w:rPr>
          <w:rFonts w:hint="eastAsia" w:ascii="宋体" w:hAnsi="宋体"/>
          <w:b/>
          <w:bCs/>
          <w:color w:val="000000"/>
          <w:szCs w:val="21"/>
        </w:rPr>
        <w:t>第</w:t>
      </w:r>
      <w:r>
        <w:rPr>
          <w:rFonts w:hint="eastAsia" w:ascii="宋体" w:hAnsi="宋体"/>
          <w:b/>
          <w:color w:val="000000"/>
          <w:szCs w:val="21"/>
        </w:rPr>
        <w:t>三十</w:t>
      </w:r>
      <w:r>
        <w:rPr>
          <w:rFonts w:hint="eastAsia" w:ascii="宋体" w:hAnsi="宋体"/>
          <w:b/>
          <w:bCs/>
          <w:color w:val="000000"/>
          <w:szCs w:val="21"/>
        </w:rPr>
        <w:t xml:space="preserve">条 </w:t>
      </w:r>
      <w:r>
        <w:rPr>
          <w:rFonts w:hint="eastAsia" w:ascii="宋体" w:hAnsi="宋体"/>
          <w:color w:val="000000"/>
          <w:szCs w:val="21"/>
        </w:rPr>
        <w:t>乙方未能按合同约定提供服务、或者未能达到服务质量标准的，甲方有权要求乙方限期整改，乙方逾期未整改、或者存在其他严重违约情形的，甲方有权解除合同，乙方的行为给甲方造成经济损失的，乙方应给予甲方经济赔偿。</w:t>
      </w:r>
    </w:p>
    <w:p>
      <w:pPr>
        <w:spacing w:line="406" w:lineRule="exact"/>
        <w:ind w:firstLine="211" w:firstLineChars="100"/>
        <w:rPr>
          <w:rFonts w:ascii="宋体" w:hAnsi="宋体"/>
          <w:color w:val="000000"/>
          <w:szCs w:val="21"/>
        </w:rPr>
      </w:pPr>
      <w:r>
        <w:rPr>
          <w:rFonts w:hint="eastAsia" w:ascii="宋体" w:hAnsi="宋体"/>
          <w:b/>
          <w:bCs/>
          <w:color w:val="000000"/>
          <w:szCs w:val="21"/>
        </w:rPr>
        <w:t>第三十</w:t>
      </w:r>
      <w:r>
        <w:rPr>
          <w:rFonts w:hint="eastAsia" w:ascii="宋体" w:hAnsi="宋体"/>
          <w:b/>
          <w:color w:val="000000"/>
          <w:szCs w:val="21"/>
        </w:rPr>
        <w:t>一</w:t>
      </w:r>
      <w:r>
        <w:rPr>
          <w:rFonts w:hint="eastAsia" w:ascii="宋体" w:hAnsi="宋体"/>
          <w:b/>
          <w:bCs/>
          <w:color w:val="000000"/>
          <w:szCs w:val="21"/>
        </w:rPr>
        <w:t>条</w:t>
      </w:r>
      <w:r>
        <w:rPr>
          <w:rFonts w:hint="eastAsia" w:ascii="宋体" w:hAnsi="宋体"/>
          <w:color w:val="000000"/>
          <w:szCs w:val="21"/>
        </w:rPr>
        <w:t xml:space="preserve"> 任何一方无正当理由提前解除合同的，应向对方支付一个月的服务费作为违约金；应解除合同造成的经济损失超过违约金的，对超出部分还应给予赔偿。</w:t>
      </w:r>
    </w:p>
    <w:p>
      <w:pPr>
        <w:spacing w:line="406" w:lineRule="exact"/>
        <w:ind w:firstLine="211" w:firstLineChars="100"/>
        <w:rPr>
          <w:rFonts w:ascii="宋体" w:hAnsi="宋体"/>
          <w:b/>
          <w:bCs/>
          <w:color w:val="000000"/>
          <w:szCs w:val="21"/>
        </w:rPr>
      </w:pPr>
      <w:r>
        <w:rPr>
          <w:rFonts w:hint="eastAsia" w:ascii="宋体" w:hAnsi="宋体"/>
          <w:b/>
          <w:bCs/>
          <w:color w:val="000000"/>
          <w:szCs w:val="21"/>
        </w:rPr>
        <w:t xml:space="preserve">第三十二条 </w:t>
      </w:r>
      <w:r>
        <w:rPr>
          <w:rFonts w:hint="eastAsia" w:ascii="宋体" w:hAnsi="宋体"/>
          <w:color w:val="000000"/>
          <w:szCs w:val="21"/>
        </w:rPr>
        <w:t>为维护公众、物业使用人的切身利益，在不可预见情况下，如发生煤气泄露、漏电、火灾、水淹、水管破裂、救助人命、协助公安机关执行任务等情况时，因乙方采取紧急避险措施而造成甲方财产损失的，乙方应当在事故发生后3日内向甲方报告并提供相关证明材料，经甲方核实符合法律规定紧急避险条件的，乙方可不承担赔偿责任。</w:t>
      </w:r>
    </w:p>
    <w:p>
      <w:pPr>
        <w:spacing w:line="406" w:lineRule="exact"/>
        <w:ind w:firstLine="211" w:firstLineChars="100"/>
        <w:rPr>
          <w:rFonts w:ascii="宋体" w:hAnsi="宋体"/>
          <w:color w:val="000000"/>
          <w:szCs w:val="21"/>
        </w:rPr>
      </w:pPr>
      <w:r>
        <w:rPr>
          <w:rFonts w:hint="eastAsia" w:ascii="宋体" w:hAnsi="宋体"/>
          <w:b/>
          <w:bCs/>
          <w:color w:val="000000"/>
          <w:szCs w:val="21"/>
        </w:rPr>
        <w:t>第三十三条</w:t>
      </w:r>
      <w:r>
        <w:rPr>
          <w:rFonts w:hint="eastAsia" w:ascii="宋体" w:hAnsi="宋体"/>
          <w:color w:val="000000"/>
          <w:szCs w:val="21"/>
        </w:rPr>
        <w:t xml:space="preserve"> 按合同约定或双方提前解除合同或合同期满时，乙方应将管理的全部技术资料及档案自合同解除之日起15日内移交给甲方，不得拖延。</w:t>
      </w:r>
    </w:p>
    <w:p>
      <w:pPr>
        <w:spacing w:line="406" w:lineRule="exact"/>
        <w:ind w:firstLine="420" w:firstLineChars="200"/>
        <w:rPr>
          <w:rFonts w:ascii="宋体" w:hAnsi="宋体"/>
          <w:color w:val="000000"/>
          <w:szCs w:val="21"/>
        </w:rPr>
      </w:pPr>
    </w:p>
    <w:p>
      <w:pPr>
        <w:spacing w:line="406" w:lineRule="exact"/>
        <w:ind w:left="420"/>
        <w:jc w:val="center"/>
        <w:rPr>
          <w:rFonts w:ascii="宋体" w:hAnsi="宋体"/>
          <w:b/>
          <w:bCs/>
          <w:color w:val="000000"/>
          <w:szCs w:val="21"/>
        </w:rPr>
      </w:pPr>
      <w:r>
        <w:rPr>
          <w:rFonts w:hint="eastAsia" w:ascii="宋体" w:hAnsi="宋体"/>
          <w:b/>
          <w:bCs/>
          <w:color w:val="000000"/>
          <w:szCs w:val="21"/>
        </w:rPr>
        <w:t>第十章  附则</w:t>
      </w:r>
    </w:p>
    <w:p>
      <w:pPr>
        <w:spacing w:line="406" w:lineRule="exact"/>
        <w:ind w:firstLine="211" w:firstLineChars="100"/>
        <w:rPr>
          <w:rFonts w:ascii="宋体" w:hAnsi="宋体"/>
          <w:color w:val="000000"/>
          <w:szCs w:val="21"/>
        </w:rPr>
      </w:pPr>
      <w:r>
        <w:rPr>
          <w:rFonts w:hint="eastAsia" w:ascii="宋体" w:hAnsi="宋体"/>
          <w:b/>
          <w:bCs/>
          <w:color w:val="000000"/>
          <w:szCs w:val="21"/>
        </w:rPr>
        <w:t xml:space="preserve">第三十四条 </w:t>
      </w:r>
      <w:r>
        <w:rPr>
          <w:rFonts w:hint="eastAsia" w:ascii="宋体" w:hAnsi="宋体"/>
          <w:color w:val="000000"/>
          <w:szCs w:val="21"/>
        </w:rPr>
        <w:t>双方约定自本合同生效之日起</w:t>
      </w:r>
      <w:r>
        <w:rPr>
          <w:rFonts w:hint="eastAsia" w:ascii="宋体" w:hAnsi="宋体"/>
          <w:color w:val="000000"/>
          <w:szCs w:val="21"/>
          <w:u w:val="single"/>
        </w:rPr>
        <w:t>30</w:t>
      </w:r>
      <w:r>
        <w:rPr>
          <w:rFonts w:hint="eastAsia" w:ascii="宋体" w:hAnsi="宋体"/>
          <w:color w:val="000000"/>
          <w:szCs w:val="21"/>
        </w:rPr>
        <w:t>日内，根据甲方委托管理事项，办理接管验收手续。</w:t>
      </w:r>
    </w:p>
    <w:p>
      <w:pPr>
        <w:spacing w:line="406" w:lineRule="exact"/>
        <w:ind w:firstLine="211" w:firstLineChars="100"/>
        <w:rPr>
          <w:rFonts w:ascii="宋体" w:hAnsi="宋体"/>
          <w:bCs/>
          <w:color w:val="000000"/>
          <w:szCs w:val="21"/>
        </w:rPr>
      </w:pPr>
      <w:r>
        <w:rPr>
          <w:rFonts w:hint="eastAsia" w:ascii="宋体" w:hAnsi="宋体"/>
          <w:b/>
          <w:bCs/>
          <w:color w:val="000000"/>
          <w:szCs w:val="21"/>
        </w:rPr>
        <w:t xml:space="preserve">第三十五条 </w:t>
      </w:r>
      <w:r>
        <w:rPr>
          <w:rFonts w:hint="eastAsia" w:ascii="宋体" w:hAnsi="宋体"/>
          <w:bCs/>
          <w:color w:val="000000"/>
          <w:szCs w:val="21"/>
        </w:rPr>
        <w:t>本合同包括:</w:t>
      </w:r>
    </w:p>
    <w:p>
      <w:pPr>
        <w:spacing w:line="406" w:lineRule="exact"/>
        <w:ind w:firstLine="420" w:firstLineChars="200"/>
        <w:rPr>
          <w:rFonts w:ascii="宋体" w:hAnsi="宋体"/>
          <w:color w:val="000000"/>
          <w:szCs w:val="21"/>
        </w:rPr>
      </w:pPr>
      <w:r>
        <w:rPr>
          <w:rFonts w:hint="eastAsia" w:ascii="宋体" w:hAnsi="宋体"/>
          <w:color w:val="000000"/>
          <w:szCs w:val="21"/>
        </w:rPr>
        <w:t>（一）本合同条款；</w:t>
      </w:r>
    </w:p>
    <w:p>
      <w:pPr>
        <w:spacing w:line="406" w:lineRule="exact"/>
        <w:ind w:firstLine="420" w:firstLineChars="200"/>
        <w:rPr>
          <w:rFonts w:ascii="宋体" w:hAnsi="宋体"/>
          <w:color w:val="000000"/>
          <w:szCs w:val="21"/>
        </w:rPr>
      </w:pPr>
      <w:r>
        <w:rPr>
          <w:rFonts w:hint="eastAsia" w:ascii="宋体" w:hAnsi="宋体"/>
          <w:color w:val="000000"/>
          <w:szCs w:val="21"/>
        </w:rPr>
        <w:t>（二）乙方的《响应文件》及其物业管理质量标准及服务承诺、各项管理制度、节能措施；</w:t>
      </w:r>
    </w:p>
    <w:p>
      <w:pPr>
        <w:spacing w:line="406" w:lineRule="exact"/>
        <w:ind w:firstLine="420" w:firstLineChars="200"/>
        <w:rPr>
          <w:rFonts w:ascii="宋体" w:hAnsi="宋体"/>
          <w:color w:val="000000"/>
          <w:szCs w:val="21"/>
        </w:rPr>
      </w:pPr>
      <w:r>
        <w:rPr>
          <w:rFonts w:hint="eastAsia" w:ascii="宋体" w:hAnsi="宋体"/>
          <w:color w:val="000000"/>
          <w:szCs w:val="21"/>
        </w:rPr>
        <w:t>（三）采购文件和成交通知书；</w:t>
      </w:r>
    </w:p>
    <w:p>
      <w:pPr>
        <w:spacing w:line="406" w:lineRule="exact"/>
        <w:ind w:firstLine="420" w:firstLineChars="200"/>
        <w:rPr>
          <w:rFonts w:ascii="宋体" w:hAnsi="宋体"/>
          <w:color w:val="000000"/>
          <w:szCs w:val="21"/>
        </w:rPr>
      </w:pPr>
      <w:r>
        <w:rPr>
          <w:rFonts w:hint="eastAsia" w:ascii="宋体" w:hAnsi="宋体"/>
          <w:color w:val="000000"/>
          <w:szCs w:val="21"/>
        </w:rPr>
        <w:t>（四）物业管理范围红线图、项目竣工图纸和资料；</w:t>
      </w:r>
    </w:p>
    <w:p>
      <w:pPr>
        <w:spacing w:line="406" w:lineRule="exact"/>
        <w:rPr>
          <w:rFonts w:ascii="宋体" w:hAnsi="宋体"/>
          <w:bCs/>
          <w:color w:val="000000"/>
          <w:szCs w:val="21"/>
        </w:rPr>
      </w:pPr>
      <w:r>
        <w:rPr>
          <w:rFonts w:hint="eastAsia" w:ascii="宋体" w:hAnsi="宋体"/>
          <w:color w:val="000000"/>
          <w:szCs w:val="21"/>
        </w:rPr>
        <w:tab/>
      </w:r>
      <w:r>
        <w:rPr>
          <w:rFonts w:hint="eastAsia" w:ascii="宋体" w:hAnsi="宋体"/>
          <w:color w:val="000000"/>
          <w:szCs w:val="21"/>
        </w:rPr>
        <w:t>（五）</w:t>
      </w:r>
      <w:r>
        <w:rPr>
          <w:rFonts w:hint="eastAsia" w:ascii="宋体" w:hAnsi="宋体"/>
          <w:bCs/>
          <w:color w:val="000000"/>
          <w:szCs w:val="21"/>
        </w:rPr>
        <w:t>物业管理服务质量承诺。</w:t>
      </w:r>
    </w:p>
    <w:p>
      <w:pPr>
        <w:spacing w:line="406" w:lineRule="exact"/>
        <w:ind w:firstLine="211" w:firstLineChars="100"/>
        <w:rPr>
          <w:rFonts w:ascii="宋体" w:hAnsi="宋体"/>
          <w:bCs/>
          <w:color w:val="000000"/>
          <w:szCs w:val="21"/>
        </w:rPr>
      </w:pPr>
      <w:r>
        <w:rPr>
          <w:rFonts w:hint="eastAsia" w:ascii="宋体" w:hAnsi="宋体"/>
          <w:b/>
          <w:bCs/>
          <w:color w:val="000000"/>
          <w:szCs w:val="21"/>
        </w:rPr>
        <w:t xml:space="preserve">第三十六条 </w:t>
      </w:r>
      <w:r>
        <w:rPr>
          <w:rFonts w:hint="eastAsia" w:ascii="宋体" w:hAnsi="宋体"/>
          <w:color w:val="000000"/>
          <w:szCs w:val="21"/>
        </w:rPr>
        <w:t>本合同正本连同附件共</w:t>
      </w:r>
      <w:r>
        <w:rPr>
          <w:rFonts w:hint="eastAsia" w:ascii="宋体" w:hAnsi="宋体"/>
          <w:color w:val="000000"/>
          <w:szCs w:val="21"/>
          <w:u w:val="single"/>
        </w:rPr>
        <w:t xml:space="preserve">     </w:t>
      </w:r>
      <w:r>
        <w:rPr>
          <w:rFonts w:hint="eastAsia" w:ascii="宋体" w:hAnsi="宋体"/>
          <w:color w:val="000000"/>
          <w:szCs w:val="21"/>
        </w:rPr>
        <w:t>页，甲乙双方各执二份，具有同等法律效力。</w:t>
      </w:r>
    </w:p>
    <w:p>
      <w:pPr>
        <w:spacing w:line="406" w:lineRule="exact"/>
        <w:ind w:firstLine="211" w:firstLineChars="100"/>
        <w:rPr>
          <w:rFonts w:ascii="宋体" w:hAnsi="宋体"/>
          <w:color w:val="000000"/>
          <w:szCs w:val="21"/>
        </w:rPr>
      </w:pPr>
      <w:r>
        <w:rPr>
          <w:rFonts w:hint="eastAsia" w:ascii="宋体" w:hAnsi="宋体"/>
          <w:b/>
          <w:color w:val="000000"/>
          <w:szCs w:val="21"/>
        </w:rPr>
        <w:t>第三十</w:t>
      </w:r>
      <w:r>
        <w:rPr>
          <w:rFonts w:hint="eastAsia" w:ascii="宋体" w:hAnsi="宋体"/>
          <w:b/>
          <w:bCs/>
          <w:color w:val="000000"/>
          <w:szCs w:val="21"/>
        </w:rPr>
        <w:t>七</w:t>
      </w:r>
      <w:r>
        <w:rPr>
          <w:rFonts w:hint="eastAsia" w:ascii="宋体" w:hAnsi="宋体"/>
          <w:b/>
          <w:color w:val="000000"/>
          <w:szCs w:val="21"/>
        </w:rPr>
        <w:t>条</w:t>
      </w:r>
      <w:r>
        <w:rPr>
          <w:rFonts w:hint="eastAsia" w:ascii="宋体" w:hAnsi="宋体"/>
          <w:color w:val="000000"/>
          <w:szCs w:val="21"/>
        </w:rPr>
        <w:t xml:space="preserve"> 经双方协商同意，可对本合同的条款进行补充，以书面形式签订补充协议，补充协议与本合同具有同等效力。</w:t>
      </w:r>
    </w:p>
    <w:p>
      <w:pPr>
        <w:spacing w:line="406" w:lineRule="exact"/>
        <w:ind w:firstLine="211" w:firstLineChars="100"/>
        <w:rPr>
          <w:rFonts w:ascii="宋体" w:hAnsi="宋体"/>
          <w:color w:val="000000"/>
          <w:szCs w:val="21"/>
        </w:rPr>
      </w:pPr>
      <w:r>
        <w:rPr>
          <w:rFonts w:hint="eastAsia" w:ascii="宋体" w:hAnsi="宋体"/>
          <w:b/>
          <w:color w:val="000000"/>
          <w:szCs w:val="21"/>
        </w:rPr>
        <w:t xml:space="preserve">第三十八条 </w:t>
      </w:r>
      <w:r>
        <w:rPr>
          <w:rFonts w:hint="eastAsia" w:ascii="宋体" w:hAnsi="宋体"/>
          <w:color w:val="000000"/>
          <w:szCs w:val="21"/>
        </w:rPr>
        <w:t>本合同在履行中，如甲乙双方发生争议，应协商解决，协商不成时，通过物业所在地人民法院诉讼解决。</w:t>
      </w:r>
    </w:p>
    <w:p>
      <w:pPr>
        <w:spacing w:line="406" w:lineRule="exact"/>
        <w:ind w:firstLine="211" w:firstLineChars="100"/>
        <w:rPr>
          <w:rFonts w:ascii="宋体" w:hAnsi="宋体"/>
          <w:color w:val="000000"/>
          <w:szCs w:val="21"/>
        </w:rPr>
      </w:pPr>
      <w:r>
        <w:rPr>
          <w:rFonts w:hint="eastAsia" w:ascii="宋体" w:hAnsi="宋体"/>
          <w:b/>
          <w:bCs/>
          <w:color w:val="000000"/>
          <w:szCs w:val="21"/>
        </w:rPr>
        <w:t>第</w:t>
      </w:r>
      <w:r>
        <w:rPr>
          <w:rFonts w:hint="eastAsia" w:ascii="宋体" w:hAnsi="宋体"/>
          <w:b/>
          <w:color w:val="000000"/>
          <w:szCs w:val="21"/>
        </w:rPr>
        <w:t>三十九</w:t>
      </w:r>
      <w:r>
        <w:rPr>
          <w:rFonts w:hint="eastAsia" w:ascii="宋体" w:hAnsi="宋体"/>
          <w:b/>
          <w:bCs/>
          <w:color w:val="000000"/>
          <w:szCs w:val="21"/>
        </w:rPr>
        <w:t>条</w:t>
      </w:r>
      <w:r>
        <w:rPr>
          <w:rFonts w:hint="eastAsia" w:ascii="宋体" w:hAnsi="宋体"/>
          <w:color w:val="000000"/>
          <w:szCs w:val="21"/>
        </w:rPr>
        <w:t xml:space="preserve"> 合同生效：</w:t>
      </w:r>
    </w:p>
    <w:p>
      <w:pPr>
        <w:spacing w:line="406" w:lineRule="exact"/>
        <w:ind w:firstLine="420" w:firstLineChars="200"/>
        <w:rPr>
          <w:rFonts w:ascii="宋体" w:hAnsi="宋体"/>
          <w:color w:val="000000"/>
          <w:szCs w:val="21"/>
        </w:rPr>
      </w:pPr>
      <w:r>
        <w:rPr>
          <w:rFonts w:hint="eastAsia" w:ascii="宋体" w:hAnsi="宋体"/>
          <w:color w:val="000000"/>
          <w:szCs w:val="21"/>
        </w:rPr>
        <w:t>本合同自双方签字盖章后生效。</w:t>
      </w:r>
    </w:p>
    <w:p>
      <w:pPr>
        <w:spacing w:line="406" w:lineRule="exact"/>
        <w:ind w:firstLine="420"/>
        <w:rPr>
          <w:rFonts w:ascii="宋体" w:hAnsi="宋体"/>
          <w:color w:val="000000"/>
          <w:szCs w:val="21"/>
          <w:u w:val="single"/>
        </w:rPr>
      </w:pPr>
      <w:r>
        <w:rPr>
          <w:rFonts w:hint="eastAsia" w:ascii="宋体" w:hAnsi="宋体"/>
          <w:color w:val="000000"/>
          <w:szCs w:val="21"/>
        </w:rPr>
        <w:t>甲方签章：</w:t>
      </w:r>
      <w:r>
        <w:rPr>
          <w:rFonts w:hint="eastAsia" w:ascii="宋体" w:hAnsi="宋体"/>
          <w:color w:val="000000"/>
          <w:szCs w:val="21"/>
          <w:u w:val="single"/>
        </w:rPr>
        <w:t xml:space="preserve">                        </w:t>
      </w:r>
      <w:r>
        <w:rPr>
          <w:rFonts w:hint="eastAsia" w:ascii="宋体" w:hAnsi="宋体"/>
          <w:color w:val="000000"/>
          <w:szCs w:val="21"/>
        </w:rPr>
        <w:t xml:space="preserve">     乙方签章：</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单位地址：</w:t>
      </w:r>
      <w:r>
        <w:rPr>
          <w:rFonts w:hint="eastAsia" w:ascii="宋体" w:hAnsi="宋体"/>
          <w:color w:val="000000"/>
          <w:szCs w:val="21"/>
          <w:u w:val="single"/>
        </w:rPr>
        <w:t xml:space="preserve">                        </w:t>
      </w:r>
      <w:r>
        <w:rPr>
          <w:rFonts w:hint="eastAsia" w:ascii="宋体" w:hAnsi="宋体"/>
          <w:color w:val="000000"/>
          <w:szCs w:val="21"/>
        </w:rPr>
        <w:t xml:space="preserve">     单位地址：</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代 表 人：</w:t>
      </w:r>
      <w:r>
        <w:rPr>
          <w:rFonts w:hint="eastAsia" w:ascii="宋体" w:hAnsi="宋体"/>
          <w:color w:val="000000"/>
          <w:szCs w:val="21"/>
          <w:u w:val="single"/>
        </w:rPr>
        <w:t xml:space="preserve">                        </w:t>
      </w:r>
      <w:r>
        <w:rPr>
          <w:rFonts w:hint="eastAsia" w:ascii="宋体" w:hAnsi="宋体"/>
          <w:color w:val="000000"/>
          <w:szCs w:val="21"/>
        </w:rPr>
        <w:t xml:space="preserve">     代 表 人：</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联系电话：</w:t>
      </w:r>
      <w:r>
        <w:rPr>
          <w:rFonts w:hint="eastAsia" w:ascii="宋体" w:hAnsi="宋体"/>
          <w:color w:val="000000"/>
          <w:szCs w:val="21"/>
          <w:u w:val="single"/>
        </w:rPr>
        <w:t xml:space="preserve">                        </w:t>
      </w:r>
      <w:r>
        <w:rPr>
          <w:rFonts w:hint="eastAsia" w:ascii="宋体" w:hAnsi="宋体"/>
          <w:color w:val="000000"/>
          <w:szCs w:val="21"/>
        </w:rPr>
        <w:t xml:space="preserve">     联系电话：</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开户银行：</w:t>
      </w:r>
      <w:r>
        <w:rPr>
          <w:rFonts w:hint="eastAsia" w:ascii="宋体" w:hAnsi="宋体"/>
          <w:color w:val="000000"/>
          <w:szCs w:val="21"/>
          <w:u w:val="single"/>
        </w:rPr>
        <w:t xml:space="preserve">                        </w:t>
      </w:r>
      <w:r>
        <w:rPr>
          <w:rFonts w:hint="eastAsia" w:ascii="宋体" w:hAnsi="宋体"/>
          <w:color w:val="000000"/>
          <w:szCs w:val="21"/>
        </w:rPr>
        <w:t xml:space="preserve">     开户银行：</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账    号：</w:t>
      </w:r>
      <w:r>
        <w:rPr>
          <w:rFonts w:hint="eastAsia" w:ascii="宋体" w:hAnsi="宋体"/>
          <w:color w:val="000000"/>
          <w:szCs w:val="21"/>
          <w:u w:val="single"/>
        </w:rPr>
        <w:t xml:space="preserve">                        </w:t>
      </w:r>
      <w:r>
        <w:rPr>
          <w:rFonts w:hint="eastAsia" w:ascii="宋体" w:hAnsi="宋体"/>
          <w:color w:val="000000"/>
          <w:szCs w:val="21"/>
        </w:rPr>
        <w:t xml:space="preserve">     账    号：</w:t>
      </w:r>
      <w:r>
        <w:rPr>
          <w:rFonts w:hint="eastAsia" w:ascii="宋体" w:hAnsi="宋体"/>
          <w:color w:val="000000"/>
          <w:szCs w:val="21"/>
          <w:u w:val="single"/>
        </w:rPr>
        <w:t xml:space="preserve">                          </w:t>
      </w:r>
    </w:p>
    <w:p>
      <w:pPr>
        <w:spacing w:line="406" w:lineRule="exact"/>
        <w:ind w:firstLine="420"/>
        <w:rPr>
          <w:rFonts w:ascii="宋体" w:hAnsi="宋体"/>
          <w:color w:val="000000"/>
          <w:szCs w:val="21"/>
          <w:u w:val="single"/>
        </w:rPr>
      </w:pPr>
      <w:r>
        <w:rPr>
          <w:rFonts w:hint="eastAsia" w:ascii="宋体" w:hAnsi="宋体"/>
          <w:color w:val="000000"/>
          <w:szCs w:val="21"/>
        </w:rPr>
        <w:t>社会信用代码：</w:t>
      </w:r>
      <w:r>
        <w:rPr>
          <w:rFonts w:hint="eastAsia" w:ascii="宋体" w:hAnsi="宋体"/>
          <w:color w:val="000000"/>
          <w:szCs w:val="21"/>
          <w:u w:val="single"/>
        </w:rPr>
        <w:t xml:space="preserve">                    </w:t>
      </w:r>
      <w:r>
        <w:rPr>
          <w:rFonts w:hint="eastAsia" w:ascii="宋体" w:hAnsi="宋体"/>
          <w:color w:val="000000"/>
          <w:szCs w:val="21"/>
        </w:rPr>
        <w:t xml:space="preserve">     社会信用代码：</w:t>
      </w:r>
      <w:r>
        <w:rPr>
          <w:rFonts w:hint="eastAsia" w:ascii="宋体" w:hAnsi="宋体"/>
          <w:color w:val="000000"/>
          <w:szCs w:val="21"/>
          <w:u w:val="single"/>
        </w:rPr>
        <w:t xml:space="preserve">                      </w:t>
      </w:r>
    </w:p>
    <w:p>
      <w:pPr>
        <w:spacing w:line="406" w:lineRule="exact"/>
        <w:ind w:firstLine="420"/>
        <w:rPr>
          <w:rFonts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 xml:space="preserve">     日    期：</w:t>
      </w:r>
      <w:r>
        <w:rPr>
          <w:rFonts w:hint="eastAsia" w:ascii="宋体" w:hAnsi="宋体"/>
          <w:color w:val="000000"/>
          <w:szCs w:val="21"/>
          <w:u w:val="single"/>
        </w:rPr>
        <w:t xml:space="preserve">                          </w:t>
      </w:r>
    </w:p>
    <w:p>
      <w:pPr>
        <w:pStyle w:val="5"/>
        <w:tabs>
          <w:tab w:val="left" w:pos="420"/>
          <w:tab w:val="left" w:pos="3600"/>
        </w:tabs>
        <w:rPr>
          <w:rFonts w:ascii="宋体" w:hAnsi="宋体"/>
          <w:bCs w:val="0"/>
          <w:szCs w:val="21"/>
        </w:rPr>
      </w:pPr>
      <w:r>
        <w:rPr>
          <w:rFonts w:ascii="宋体" w:hAnsi="宋体"/>
          <w:szCs w:val="21"/>
        </w:rPr>
        <w:br w:type="page"/>
      </w:r>
    </w:p>
    <w:p>
      <w:pPr>
        <w:widowControl/>
        <w:jc w:val="left"/>
        <w:rPr>
          <w:rFonts w:ascii="宋体" w:hAnsi="宋体"/>
          <w:bCs/>
          <w:szCs w:val="21"/>
        </w:rPr>
      </w:pPr>
    </w:p>
    <w:p>
      <w:pPr>
        <w:widowControl/>
        <w:jc w:val="left"/>
        <w:rPr>
          <w:rFonts w:ascii="宋体" w:hAnsi="宋体"/>
          <w:bCs/>
          <w:szCs w:val="21"/>
        </w:rPr>
      </w:pPr>
    </w:p>
    <w:p/>
    <w:p>
      <w:pPr>
        <w:pStyle w:val="22"/>
        <w:jc w:val="left"/>
      </w:pPr>
    </w:p>
    <w:p/>
    <w:p/>
    <w:p/>
    <w:p/>
    <w:p/>
    <w:p/>
    <w:p/>
    <w:p/>
    <w:p/>
    <w:p/>
    <w:p/>
    <w:p>
      <w:pPr>
        <w:pStyle w:val="3"/>
        <w:spacing w:line="400" w:lineRule="exact"/>
        <w:rPr>
          <w:rFonts w:ascii="方正小标宋_GBK" w:hAnsi="方正小标宋_GBK" w:eastAsia="方正小标宋_GBK"/>
        </w:rPr>
      </w:pPr>
      <w:bookmarkStart w:id="139" w:name="_Toc92355028"/>
      <w:bookmarkStart w:id="140" w:name="_Toc397585460"/>
      <w:r>
        <w:rPr>
          <w:rFonts w:hint="eastAsia" w:ascii="方正小标宋_GBK" w:hAnsi="方正小标宋_GBK" w:eastAsia="方正小标宋_GBK"/>
        </w:rPr>
        <w:t>第六章  响应文件格式</w:t>
      </w:r>
      <w:bookmarkEnd w:id="139"/>
      <w:bookmarkEnd w:id="140"/>
    </w:p>
    <w:p>
      <w:pPr>
        <w:jc w:val="left"/>
        <w:rPr>
          <w:rFonts w:hAnsi="宋体"/>
          <w:sz w:val="36"/>
          <w:szCs w:val="36"/>
        </w:rPr>
      </w:pPr>
      <w:r>
        <w:rPr>
          <w:b/>
          <w:sz w:val="30"/>
          <w:szCs w:val="30"/>
        </w:rPr>
        <w:br w:type="page"/>
      </w:r>
      <w:r>
        <w:rPr>
          <w:rFonts w:hint="eastAsia" w:ascii="仿宋_GB2312"/>
          <w:b/>
          <w:bCs/>
          <w:sz w:val="36"/>
          <w:szCs w:val="36"/>
        </w:rPr>
        <w:t>一、供应商资格文件</w:t>
      </w:r>
    </w:p>
    <w:p>
      <w:pPr>
        <w:tabs>
          <w:tab w:val="left" w:pos="3402"/>
        </w:tabs>
        <w:rPr>
          <w:rFonts w:ascii="仿宋_GB2312" w:hAnsi="仿宋" w:eastAsia="仿宋_GB2312"/>
          <w:b/>
          <w:color w:val="000000"/>
          <w:spacing w:val="10"/>
          <w:szCs w:val="21"/>
        </w:rPr>
      </w:pPr>
      <w:bookmarkStart w:id="141" w:name="_Hlk108530892"/>
    </w:p>
    <w:p>
      <w:pPr>
        <w:tabs>
          <w:tab w:val="left" w:pos="3402"/>
        </w:tabs>
        <w:ind w:firstLine="602"/>
        <w:jc w:val="center"/>
        <w:rPr>
          <w:rFonts w:ascii="仿宋_GB2312" w:hAnsi="Adobe 仿宋 Std R" w:eastAsia="仿宋_GB2312"/>
          <w:b/>
          <w:color w:val="000000"/>
          <w:spacing w:val="10"/>
          <w:sz w:val="32"/>
          <w:szCs w:val="32"/>
        </w:rPr>
      </w:pPr>
      <w:r>
        <w:rPr>
          <w:rFonts w:hint="eastAsia" w:ascii="仿宋_GB2312" w:hAnsi="Adobe 仿宋 Std R" w:eastAsia="仿宋_GB2312"/>
          <w:b/>
          <w:color w:val="000000"/>
          <w:spacing w:val="10"/>
          <w:sz w:val="32"/>
          <w:szCs w:val="32"/>
        </w:rPr>
        <w:t>供应商具备参加政府采购活动条件的承诺书</w:t>
      </w:r>
      <w:r>
        <w:rPr>
          <w:rFonts w:hint="eastAsia" w:ascii="仿宋_GB2312" w:hAnsi="Adobe 仿宋 Std R" w:eastAsia="仿宋_GB2312" w:cs="黑体"/>
          <w:bCs/>
          <w:sz w:val="24"/>
        </w:rPr>
        <w:t>(格式)</w:t>
      </w:r>
    </w:p>
    <w:p>
      <w:pPr>
        <w:tabs>
          <w:tab w:val="left" w:pos="3402"/>
        </w:tabs>
        <w:jc w:val="left"/>
        <w:rPr>
          <w:rFonts w:ascii="仿宋_GB2312" w:hAnsi="仿宋" w:eastAsia="仿宋_GB2312"/>
          <w:b/>
          <w:color w:val="000000"/>
          <w:spacing w:val="10"/>
          <w:szCs w:val="21"/>
        </w:rPr>
      </w:pPr>
    </w:p>
    <w:p>
      <w:pPr>
        <w:spacing w:line="520" w:lineRule="exact"/>
        <w:rPr>
          <w:rFonts w:ascii="宋体" w:hAnsi="宋体"/>
          <w:bCs/>
          <w:color w:val="000000"/>
          <w:szCs w:val="22"/>
        </w:rPr>
      </w:pPr>
      <w:r>
        <w:rPr>
          <w:rFonts w:hint="eastAsia" w:ascii="宋体" w:hAnsi="宋体"/>
          <w:bCs/>
          <w:color w:val="000000"/>
          <w:szCs w:val="22"/>
        </w:rPr>
        <w:t>钦州市政府采购中心：</w:t>
      </w:r>
    </w:p>
    <w:p>
      <w:pPr>
        <w:spacing w:line="520" w:lineRule="exact"/>
        <w:ind w:firstLine="420"/>
        <w:rPr>
          <w:rFonts w:ascii="宋体" w:hAnsi="宋体"/>
          <w:bCs/>
          <w:color w:val="000000"/>
          <w:szCs w:val="22"/>
        </w:rPr>
      </w:pPr>
      <w:r>
        <w:rPr>
          <w:rFonts w:hint="eastAsia" w:ascii="宋体" w:hAnsi="宋体"/>
          <w:bCs/>
          <w:color w:val="000000"/>
          <w:szCs w:val="22"/>
        </w:rPr>
        <w:t>根据《中华人民共和国政府采购法》实施条例第十七条的规定，现郑重承诺：</w:t>
      </w:r>
    </w:p>
    <w:p>
      <w:pPr>
        <w:spacing w:line="520" w:lineRule="exact"/>
        <w:ind w:firstLine="420"/>
        <w:rPr>
          <w:rFonts w:ascii="宋体" w:hAnsi="宋体"/>
          <w:bCs/>
          <w:color w:val="000000"/>
          <w:szCs w:val="22"/>
        </w:rPr>
      </w:pPr>
      <w:r>
        <w:rPr>
          <w:rFonts w:ascii="宋体" w:hAnsi="宋体"/>
          <w:bCs/>
          <w:color w:val="000000"/>
          <w:szCs w:val="22"/>
          <w:u w:val="single"/>
        </w:rPr>
        <w:t>(</w:t>
      </w:r>
      <w:r>
        <w:rPr>
          <w:rFonts w:hint="eastAsia" w:ascii="宋体" w:hAnsi="宋体"/>
          <w:bCs/>
          <w:color w:val="A6A6A6"/>
          <w:szCs w:val="22"/>
          <w:u w:val="single"/>
        </w:rPr>
        <w:t>供应商名称</w:t>
      </w:r>
      <w:r>
        <w:rPr>
          <w:rFonts w:hint="eastAsia" w:ascii="宋体" w:hAnsi="宋体"/>
          <w:bCs/>
          <w:color w:val="000000"/>
          <w:szCs w:val="22"/>
          <w:u w:val="single"/>
        </w:rPr>
        <w:t>)</w:t>
      </w:r>
      <w:r>
        <w:rPr>
          <w:rFonts w:hint="eastAsia" w:ascii="宋体" w:hAnsi="宋体"/>
          <w:bCs/>
          <w:color w:val="000000"/>
          <w:szCs w:val="22"/>
        </w:rPr>
        <w:t>具有良好的商业信誉和健全的财务会计制度，具有履行合同所必需的设备和专业技术能力，有依法缴纳税收和社会保障资金的良好记录。</w:t>
      </w:r>
    </w:p>
    <w:p>
      <w:pPr>
        <w:spacing w:line="520" w:lineRule="exact"/>
        <w:ind w:firstLine="420"/>
        <w:rPr>
          <w:rFonts w:ascii="宋体" w:hAnsi="宋体"/>
          <w:bCs/>
          <w:color w:val="000000"/>
          <w:szCs w:val="22"/>
        </w:rPr>
      </w:pPr>
      <w:r>
        <w:rPr>
          <w:rFonts w:hint="eastAsia" w:ascii="宋体" w:hAnsi="宋体"/>
          <w:bCs/>
          <w:color w:val="000000"/>
          <w:szCs w:val="22"/>
        </w:rPr>
        <w:t>本单位对上述承诺内容事项真实性负责，如有虚假，由我单位承担相关法律责任。</w:t>
      </w:r>
    </w:p>
    <w:p>
      <w:pPr>
        <w:spacing w:line="520" w:lineRule="exact"/>
        <w:ind w:firstLine="420"/>
        <w:rPr>
          <w:rFonts w:ascii="宋体" w:hAnsi="宋体"/>
          <w:bCs/>
          <w:color w:val="000000"/>
          <w:szCs w:val="22"/>
        </w:rPr>
      </w:pPr>
      <w:r>
        <w:rPr>
          <w:rFonts w:hint="eastAsia" w:ascii="宋体" w:hAnsi="宋体"/>
          <w:bCs/>
          <w:color w:val="000000"/>
          <w:szCs w:val="22"/>
        </w:rPr>
        <w:t>特此承诺。</w:t>
      </w:r>
    </w:p>
    <w:p/>
    <w:p/>
    <w:p/>
    <w:p>
      <w:pPr>
        <w:spacing w:line="400" w:lineRule="exact"/>
        <w:ind w:right="1050" w:rightChars="500" w:firstLine="5103" w:firstLineChars="2430"/>
        <w:jc w:val="left"/>
        <w:rPr>
          <w:rFonts w:ascii="宋体" w:hAnsi="宋体"/>
          <w:bCs/>
        </w:rPr>
      </w:pPr>
      <w:r>
        <w:rPr>
          <w:rFonts w:hint="eastAsia" w:ascii="宋体" w:hAnsi="宋体"/>
          <w:bCs/>
          <w:color w:val="000000"/>
          <w:szCs w:val="22"/>
        </w:rPr>
        <w:t xml:space="preserve"> </w:t>
      </w:r>
      <w:r>
        <w:rPr>
          <w:rFonts w:ascii="宋体" w:hAnsi="宋体"/>
          <w:bCs/>
          <w:color w:val="000000"/>
          <w:szCs w:val="22"/>
        </w:rPr>
        <w:t xml:space="preserve">     </w:t>
      </w:r>
      <w:r>
        <w:rPr>
          <w:rFonts w:hint="eastAsia" w:ascii="宋体" w:hAnsi="宋体"/>
          <w:bCs/>
        </w:rPr>
        <w:t>供应商（盖章）：</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pacing w:line="400" w:lineRule="exact"/>
        <w:ind w:right="1050" w:rightChars="500"/>
        <w:jc w:val="right"/>
        <w:rPr>
          <w:rFonts w:ascii="宋体" w:hAnsi="宋体"/>
          <w:bCs/>
        </w:rPr>
      </w:pPr>
      <w:r>
        <w:rPr>
          <w:rFonts w:hint="eastAsia" w:ascii="宋体" w:hAnsi="宋体"/>
          <w:bCs/>
        </w:rPr>
        <w:t>日期：</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p/>
    <w:p>
      <w:pPr>
        <w:pStyle w:val="5"/>
      </w:pPr>
    </w:p>
    <w:p>
      <w:pPr>
        <w:tabs>
          <w:tab w:val="left" w:pos="3402"/>
        </w:tabs>
        <w:spacing w:line="460" w:lineRule="exact"/>
        <w:jc w:val="center"/>
        <w:rPr>
          <w:rFonts w:ascii="仿宋_GB2312" w:hAnsi="仿宋" w:eastAsia="仿宋_GB2312"/>
          <w:b/>
          <w:spacing w:val="10"/>
          <w:sz w:val="32"/>
          <w:szCs w:val="32"/>
        </w:rPr>
      </w:pPr>
      <w:r>
        <w:rPr>
          <w:rFonts w:hint="eastAsia" w:ascii="仿宋_GB2312" w:hAnsi="仿宋" w:eastAsia="仿宋_GB2312"/>
          <w:b/>
          <w:spacing w:val="10"/>
          <w:sz w:val="32"/>
          <w:szCs w:val="32"/>
        </w:rPr>
        <w:t>无重大违法记录的书面声明</w:t>
      </w:r>
      <w:bookmarkStart w:id="142" w:name="_Hlk108528701"/>
      <w:r>
        <w:rPr>
          <w:rFonts w:hint="eastAsia" w:ascii="仿宋" w:hAnsi="仿宋" w:eastAsia="仿宋" w:cs="黑体"/>
          <w:bCs/>
          <w:sz w:val="24"/>
        </w:rPr>
        <w:t>(格式</w:t>
      </w:r>
      <w:r>
        <w:rPr>
          <w:rFonts w:ascii="仿宋" w:hAnsi="仿宋" w:eastAsia="仿宋" w:cs="黑体"/>
          <w:bCs/>
          <w:sz w:val="24"/>
        </w:rPr>
        <w:t>)</w:t>
      </w:r>
      <w:bookmarkEnd w:id="142"/>
    </w:p>
    <w:p>
      <w:pPr>
        <w:spacing w:line="400" w:lineRule="exact"/>
        <w:rPr>
          <w:rFonts w:ascii="宋体" w:hAnsi="宋体"/>
          <w:b/>
        </w:rPr>
      </w:pPr>
    </w:p>
    <w:p>
      <w:pPr>
        <w:spacing w:line="520" w:lineRule="exact"/>
        <w:rPr>
          <w:rFonts w:ascii="宋体" w:hAnsi="宋体"/>
          <w:bCs/>
        </w:rPr>
      </w:pPr>
      <w:r>
        <w:rPr>
          <w:rFonts w:hint="eastAsia" w:ascii="宋体" w:hAnsi="宋体"/>
          <w:bCs/>
        </w:rPr>
        <w:t>钦州市政府采购中心：</w:t>
      </w:r>
    </w:p>
    <w:p>
      <w:pPr>
        <w:spacing w:line="520" w:lineRule="exact"/>
        <w:ind w:firstLine="420"/>
        <w:rPr>
          <w:rFonts w:ascii="宋体" w:hAnsi="宋体"/>
          <w:bCs/>
        </w:rPr>
      </w:pPr>
      <w:r>
        <w:rPr>
          <w:rFonts w:hint="eastAsia" w:ascii="宋体" w:hAnsi="宋体"/>
          <w:bCs/>
        </w:rPr>
        <w:t>根据《中华人民共和国政府采购法实施条例》第十七条第一款第(四)项的规定，现郑重声明：</w:t>
      </w:r>
    </w:p>
    <w:p>
      <w:pPr>
        <w:spacing w:line="520" w:lineRule="exact"/>
        <w:ind w:firstLine="420"/>
        <w:rPr>
          <w:rFonts w:ascii="宋体" w:hAnsi="宋体"/>
          <w:bCs/>
        </w:rPr>
      </w:pPr>
      <w:r>
        <w:rPr>
          <w:rFonts w:ascii="宋体" w:hAnsi="宋体"/>
          <w:bCs/>
          <w:u w:val="single"/>
        </w:rPr>
        <w:t>(</w:t>
      </w:r>
      <w:r>
        <w:rPr>
          <w:rFonts w:hint="eastAsia" w:ascii="宋体" w:hAnsi="宋体"/>
          <w:bCs/>
          <w:color w:val="BFBFBF" w:themeColor="background1" w:themeShade="BF"/>
          <w:u w:val="single"/>
        </w:rPr>
        <w:t>供应商名称</w:t>
      </w:r>
      <w:r>
        <w:rPr>
          <w:rFonts w:hint="eastAsia" w:ascii="宋体" w:hAnsi="宋体"/>
          <w:bCs/>
          <w:u w:val="single"/>
        </w:rPr>
        <w:t>)</w:t>
      </w:r>
      <w:r>
        <w:rPr>
          <w:rFonts w:hint="eastAsia" w:ascii="宋体" w:hAnsi="宋体"/>
          <w:bCs/>
        </w:rPr>
        <w:t>在参加本次政府采购活动前3年内在经营活动中没有重大违法记录（</w:t>
      </w:r>
      <w:r>
        <w:rPr>
          <w:rFonts w:hint="eastAsia" w:ascii="宋体" w:hAnsi="宋体"/>
          <w:bCs/>
          <w:u w:val="single"/>
        </w:rPr>
        <w:t>即因违法经营受到刑事处罚或者责令停产停业、吊销许可证或者执照、较大数额罚款等行政处罚的行为</w:t>
      </w:r>
      <w:r>
        <w:rPr>
          <w:rFonts w:hint="eastAsia" w:ascii="宋体" w:hAnsi="宋体"/>
          <w:bCs/>
        </w:rPr>
        <w:t>）。</w:t>
      </w:r>
    </w:p>
    <w:p>
      <w:pPr>
        <w:spacing w:line="520" w:lineRule="exact"/>
        <w:ind w:firstLine="420"/>
        <w:rPr>
          <w:rFonts w:ascii="宋体" w:hAnsi="宋体"/>
          <w:bCs/>
        </w:rPr>
      </w:pPr>
      <w:r>
        <w:rPr>
          <w:rFonts w:hint="eastAsia" w:ascii="宋体" w:hAnsi="宋体"/>
          <w:bCs/>
        </w:rPr>
        <w:t>本单位对上述声明内容事项真实性负责，如有虚假，由我单位承担相关法律责任。</w:t>
      </w:r>
    </w:p>
    <w:p>
      <w:pPr>
        <w:spacing w:line="520" w:lineRule="exact"/>
        <w:ind w:firstLine="420"/>
        <w:rPr>
          <w:rFonts w:ascii="宋体" w:hAnsi="宋体"/>
          <w:bCs/>
        </w:rPr>
      </w:pPr>
      <w:r>
        <w:rPr>
          <w:rFonts w:hint="eastAsia" w:ascii="宋体" w:hAnsi="宋体"/>
          <w:bCs/>
        </w:rPr>
        <w:t>特此声明。</w:t>
      </w:r>
    </w:p>
    <w:p/>
    <w:p/>
    <w:p/>
    <w:p>
      <w:pPr>
        <w:spacing w:line="400" w:lineRule="exact"/>
        <w:ind w:right="1050" w:rightChars="500" w:firstLine="5810" w:firstLineChars="2767"/>
        <w:jc w:val="left"/>
        <w:rPr>
          <w:rFonts w:ascii="宋体" w:hAnsi="宋体"/>
          <w:bCs/>
        </w:rPr>
      </w:pPr>
      <w:bookmarkStart w:id="143" w:name="_Hlk112311442"/>
      <w:r>
        <w:rPr>
          <w:rFonts w:hint="eastAsia" w:ascii="宋体" w:hAnsi="宋体"/>
          <w:bCs/>
        </w:rPr>
        <w:t>供应商（盖章）：</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pacing w:line="400" w:lineRule="exact"/>
        <w:ind w:right="735" w:rightChars="350" w:firstLine="5810" w:firstLineChars="2767"/>
        <w:jc w:val="left"/>
        <w:rPr>
          <w:rFonts w:ascii="宋体" w:hAnsi="宋体"/>
          <w:bCs/>
        </w:rPr>
      </w:pPr>
      <w:r>
        <w:rPr>
          <w:rFonts w:hint="eastAsia" w:ascii="宋体" w:hAnsi="宋体"/>
          <w:bCs/>
        </w:rPr>
        <w:t>日期：</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bookmarkEnd w:id="143"/>
      <w:r>
        <w:br w:type="page"/>
      </w:r>
    </w:p>
    <w:p/>
    <w:p>
      <w:pPr>
        <w:spacing w:line="440" w:lineRule="exact"/>
        <w:jc w:val="center"/>
        <w:rPr>
          <w:rFonts w:ascii="仿宋_GB2312" w:hAnsi="宋体" w:eastAsia="仿宋_GB2312"/>
          <w:b/>
          <w:color w:val="000000"/>
          <w:sz w:val="36"/>
          <w:szCs w:val="36"/>
        </w:rPr>
      </w:pPr>
      <w:r>
        <w:rPr>
          <w:rFonts w:hint="eastAsia" w:ascii="仿宋_GB2312" w:hAnsi="宋体" w:eastAsia="仿宋_GB2312"/>
          <w:b/>
          <w:color w:val="000000"/>
          <w:sz w:val="36"/>
          <w:szCs w:val="36"/>
        </w:rPr>
        <w:t>中小企业声明函</w:t>
      </w:r>
    </w:p>
    <w:p>
      <w:pPr>
        <w:spacing w:line="440" w:lineRule="exact"/>
        <w:jc w:val="left"/>
        <w:rPr>
          <w:rFonts w:hAnsi="宋体"/>
          <w:bCs/>
          <w:color w:val="000000"/>
          <w:szCs w:val="21"/>
        </w:rPr>
      </w:pPr>
    </w:p>
    <w:p>
      <w:pPr>
        <w:spacing w:line="600" w:lineRule="exact"/>
        <w:ind w:firstLine="294" w:firstLineChars="140"/>
        <w:jc w:val="left"/>
        <w:rPr>
          <w:rFonts w:ascii="宋体" w:hAnsi="宋体"/>
          <w:bCs/>
          <w:szCs w:val="21"/>
        </w:rPr>
      </w:pPr>
      <w:r>
        <w:rPr>
          <w:rFonts w:hint="eastAsia" w:ascii="宋体" w:hAnsi="宋体"/>
          <w:bCs/>
          <w:szCs w:val="21"/>
        </w:rPr>
        <w:t>本公司郑重声明，根据《政府采购促进中小企业发展管理办法》</w:t>
      </w:r>
      <w:bookmarkStart w:id="144" w:name="_Hlk60836554"/>
      <w:r>
        <w:rPr>
          <w:rFonts w:hint="eastAsia" w:ascii="宋体" w:hAnsi="宋体"/>
          <w:bCs/>
          <w:szCs w:val="21"/>
        </w:rPr>
        <w:t>（财库﹝2020﹞46号）</w:t>
      </w:r>
      <w:bookmarkEnd w:id="144"/>
      <w:r>
        <w:rPr>
          <w:rFonts w:hint="eastAsia" w:ascii="宋体" w:hAnsi="宋体"/>
          <w:bCs/>
          <w:szCs w:val="21"/>
        </w:rPr>
        <w:t>的规定，本公司参加（</w:t>
      </w:r>
      <w:r>
        <w:rPr>
          <w:rFonts w:hint="eastAsia" w:ascii="宋体" w:hAnsi="宋体"/>
          <w:bCs/>
          <w:color w:val="AEAAAA"/>
          <w:szCs w:val="21"/>
          <w:u w:val="single"/>
        </w:rPr>
        <w:t>单位名称</w:t>
      </w:r>
      <w:r>
        <w:rPr>
          <w:rFonts w:hint="eastAsia" w:ascii="宋体" w:hAnsi="宋体"/>
          <w:bCs/>
          <w:szCs w:val="21"/>
        </w:rPr>
        <w:t>）的（</w:t>
      </w:r>
      <w:r>
        <w:rPr>
          <w:rFonts w:hint="eastAsia" w:ascii="宋体" w:hAnsi="宋体"/>
          <w:bCs/>
          <w:color w:val="AEAAAA"/>
          <w:szCs w:val="21"/>
          <w:u w:val="single"/>
        </w:rPr>
        <w:t>项目名称</w:t>
      </w:r>
      <w:r>
        <w:rPr>
          <w:rFonts w:hint="eastAsia" w:ascii="宋体" w:hAnsi="宋体"/>
          <w:bCs/>
          <w:szCs w:val="21"/>
        </w:rPr>
        <w:t>）采购活动，</w:t>
      </w:r>
      <w:bookmarkStart w:id="145" w:name="_Hlk108682836"/>
      <w:r>
        <w:rPr>
          <w:rFonts w:hint="eastAsia" w:ascii="宋体" w:hAnsi="宋体"/>
          <w:bCs/>
          <w:szCs w:val="21"/>
        </w:rPr>
        <w:t>服务全部由符合政策要求的中小企业承接</w:t>
      </w:r>
      <w:bookmarkEnd w:id="145"/>
      <w:r>
        <w:rPr>
          <w:rFonts w:hint="eastAsia" w:ascii="宋体" w:hAnsi="宋体"/>
          <w:bCs/>
          <w:szCs w:val="21"/>
        </w:rPr>
        <w:t>。相关企业的具体情况如下：</w:t>
      </w:r>
    </w:p>
    <w:p>
      <w:pPr>
        <w:spacing w:line="600" w:lineRule="exact"/>
        <w:ind w:firstLine="294" w:firstLineChars="140"/>
        <w:jc w:val="left"/>
        <w:rPr>
          <w:rFonts w:ascii="宋体" w:hAnsi="宋体"/>
          <w:bCs/>
          <w:szCs w:val="21"/>
        </w:rPr>
      </w:pPr>
      <w:r>
        <w:rPr>
          <w:rFonts w:hint="eastAsia" w:ascii="宋体" w:hAnsi="宋体"/>
          <w:bCs/>
          <w:szCs w:val="21"/>
        </w:rPr>
        <w:t>1.</w:t>
      </w:r>
      <w:bookmarkStart w:id="146" w:name="_Hlk60836996"/>
      <w:r>
        <w:rPr>
          <w:rFonts w:hint="eastAsia" w:ascii="宋体" w:hAnsi="宋体"/>
          <w:bCs/>
          <w:szCs w:val="21"/>
        </w:rPr>
        <w:t>（</w:t>
      </w:r>
      <w:r>
        <w:rPr>
          <w:rFonts w:hint="eastAsia" w:ascii="宋体" w:hAnsi="宋体"/>
          <w:bCs/>
          <w:color w:val="AEAAAA"/>
          <w:szCs w:val="21"/>
          <w:u w:val="single"/>
        </w:rPr>
        <w:t>标的名称</w:t>
      </w:r>
      <w:r>
        <w:rPr>
          <w:rFonts w:hint="eastAsia" w:ascii="宋体" w:hAnsi="宋体"/>
          <w:bCs/>
          <w:szCs w:val="21"/>
        </w:rPr>
        <w:t>），属于（</w:t>
      </w:r>
      <w:r>
        <w:rPr>
          <w:rFonts w:hint="eastAsia" w:ascii="宋体" w:hAnsi="宋体"/>
          <w:bCs/>
          <w:color w:val="AEAAAA"/>
          <w:szCs w:val="21"/>
          <w:u w:val="single"/>
        </w:rPr>
        <w:t>采购文件中明确的所属行业</w:t>
      </w:r>
      <w:r>
        <w:rPr>
          <w:rFonts w:hint="eastAsia" w:ascii="宋体" w:hAnsi="宋体"/>
          <w:bCs/>
          <w:szCs w:val="21"/>
        </w:rPr>
        <w:t>）行业；承接企业为（</w:t>
      </w:r>
      <w:r>
        <w:rPr>
          <w:rFonts w:hint="eastAsia" w:ascii="宋体" w:hAnsi="宋体"/>
          <w:bCs/>
          <w:color w:val="AEAAAA"/>
          <w:szCs w:val="21"/>
          <w:u w:val="single"/>
        </w:rPr>
        <w:t>企业名称</w:t>
      </w:r>
      <w:r>
        <w:rPr>
          <w:rFonts w:hint="eastAsia" w:ascii="宋体" w:hAnsi="宋体"/>
          <w:bCs/>
          <w:szCs w:val="21"/>
        </w:rPr>
        <w:t>），从业人员</w:t>
      </w:r>
      <w:r>
        <w:rPr>
          <w:rFonts w:ascii="宋体" w:hAnsi="宋体"/>
          <w:bCs/>
          <w:szCs w:val="21"/>
          <w:u w:val="single"/>
        </w:rPr>
        <w:t xml:space="preserve">  </w:t>
      </w:r>
      <w:r>
        <w:rPr>
          <w:rFonts w:hint="eastAsia" w:ascii="宋体" w:hAnsi="宋体"/>
          <w:bCs/>
          <w:szCs w:val="21"/>
        </w:rPr>
        <w:t>人，营业收入为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万元，资产总额为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万元，属于（</w:t>
      </w:r>
      <w:r>
        <w:rPr>
          <w:rFonts w:hint="eastAsia" w:ascii="宋体" w:hAnsi="宋体"/>
          <w:bCs/>
          <w:color w:val="AEAAAA"/>
          <w:szCs w:val="21"/>
          <w:u w:val="single"/>
        </w:rPr>
        <w:t>中型企业、小型企业、微型企业</w:t>
      </w:r>
      <w:r>
        <w:rPr>
          <w:rFonts w:hint="eastAsia" w:ascii="宋体" w:hAnsi="宋体"/>
          <w:bCs/>
          <w:szCs w:val="21"/>
        </w:rPr>
        <w:t>）；</w:t>
      </w:r>
      <w:bookmarkEnd w:id="146"/>
    </w:p>
    <w:p>
      <w:pPr>
        <w:spacing w:line="600" w:lineRule="exact"/>
        <w:ind w:firstLine="294" w:firstLineChars="140"/>
        <w:jc w:val="left"/>
        <w:rPr>
          <w:rFonts w:ascii="宋体" w:hAnsi="宋体"/>
          <w:bCs/>
          <w:szCs w:val="21"/>
        </w:rPr>
      </w:pPr>
      <w:r>
        <w:rPr>
          <w:rFonts w:hint="eastAsia" w:ascii="宋体" w:hAnsi="宋体"/>
          <w:bCs/>
          <w:szCs w:val="21"/>
        </w:rPr>
        <w:t>2.（</w:t>
      </w:r>
      <w:r>
        <w:rPr>
          <w:rFonts w:hint="eastAsia" w:ascii="宋体" w:hAnsi="宋体"/>
          <w:bCs/>
          <w:color w:val="AEAAAA"/>
          <w:szCs w:val="21"/>
          <w:u w:val="single"/>
        </w:rPr>
        <w:t>标的名称</w:t>
      </w:r>
      <w:r>
        <w:rPr>
          <w:rFonts w:hint="eastAsia" w:ascii="宋体" w:hAnsi="宋体"/>
          <w:bCs/>
          <w:szCs w:val="21"/>
        </w:rPr>
        <w:t>），属于（</w:t>
      </w:r>
      <w:r>
        <w:rPr>
          <w:rFonts w:hint="eastAsia" w:ascii="宋体" w:hAnsi="宋体"/>
          <w:bCs/>
          <w:color w:val="AEAAAA"/>
          <w:szCs w:val="21"/>
          <w:u w:val="single"/>
        </w:rPr>
        <w:t>采购文件中明确的所属行业</w:t>
      </w:r>
      <w:r>
        <w:rPr>
          <w:rFonts w:hint="eastAsia" w:ascii="宋体" w:hAnsi="宋体"/>
          <w:bCs/>
          <w:szCs w:val="21"/>
        </w:rPr>
        <w:t>）行业；承接企业为（</w:t>
      </w:r>
      <w:r>
        <w:rPr>
          <w:rFonts w:hint="eastAsia" w:ascii="宋体" w:hAnsi="宋体"/>
          <w:bCs/>
          <w:color w:val="AEAAAA"/>
          <w:szCs w:val="21"/>
          <w:u w:val="single"/>
        </w:rPr>
        <w:t>企业名称</w:t>
      </w:r>
      <w:r>
        <w:rPr>
          <w:rFonts w:hint="eastAsia" w:ascii="宋体" w:hAnsi="宋体"/>
          <w:bCs/>
          <w:szCs w:val="21"/>
        </w:rPr>
        <w:t>），从业人员</w:t>
      </w:r>
      <w:r>
        <w:rPr>
          <w:rFonts w:ascii="宋体" w:hAnsi="宋体"/>
          <w:bCs/>
          <w:szCs w:val="21"/>
          <w:u w:val="single"/>
        </w:rPr>
        <w:t xml:space="preserve">  </w:t>
      </w:r>
      <w:r>
        <w:rPr>
          <w:rFonts w:hint="eastAsia" w:ascii="宋体" w:hAnsi="宋体"/>
          <w:bCs/>
          <w:szCs w:val="21"/>
        </w:rPr>
        <w:t>人，营业收入为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万元，资产总额为</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万元，属于（</w:t>
      </w:r>
      <w:r>
        <w:rPr>
          <w:rFonts w:hint="eastAsia" w:ascii="宋体" w:hAnsi="宋体"/>
          <w:bCs/>
          <w:color w:val="AEAAAA"/>
          <w:szCs w:val="21"/>
          <w:u w:val="single"/>
        </w:rPr>
        <w:t>中型企业、小型企业、微型企业</w:t>
      </w:r>
      <w:r>
        <w:rPr>
          <w:rFonts w:hint="eastAsia" w:ascii="宋体" w:hAnsi="宋体"/>
          <w:bCs/>
          <w:szCs w:val="21"/>
        </w:rPr>
        <w:t>）；</w:t>
      </w:r>
    </w:p>
    <w:p>
      <w:pPr>
        <w:spacing w:line="600" w:lineRule="exact"/>
        <w:ind w:firstLine="294" w:firstLineChars="140"/>
        <w:jc w:val="left"/>
        <w:rPr>
          <w:rFonts w:ascii="宋体" w:hAnsi="宋体"/>
          <w:bCs/>
          <w:szCs w:val="21"/>
        </w:rPr>
      </w:pPr>
      <w:r>
        <w:rPr>
          <w:rFonts w:hint="eastAsia" w:ascii="宋体" w:hAnsi="宋体"/>
          <w:bCs/>
          <w:szCs w:val="21"/>
        </w:rPr>
        <w:t>……</w:t>
      </w:r>
    </w:p>
    <w:p>
      <w:pPr>
        <w:spacing w:line="600" w:lineRule="exact"/>
        <w:ind w:firstLine="294" w:firstLineChars="140"/>
        <w:jc w:val="left"/>
        <w:rPr>
          <w:rFonts w:ascii="宋体" w:hAnsi="宋体"/>
          <w:bCs/>
          <w:color w:val="000000"/>
          <w:szCs w:val="21"/>
        </w:rPr>
      </w:pPr>
      <w:r>
        <w:rPr>
          <w:rFonts w:hint="eastAsia" w:ascii="宋体" w:hAnsi="宋体"/>
          <w:bCs/>
          <w:color w:val="000000"/>
          <w:szCs w:val="21"/>
        </w:rPr>
        <w:t>以上企业，不属于大企业的分支机构，不存在控股股东为大企业的情形，也不存在与大企业的负责人为同一人的情形。</w:t>
      </w:r>
    </w:p>
    <w:p>
      <w:pPr>
        <w:spacing w:line="600" w:lineRule="exact"/>
        <w:ind w:firstLine="294" w:firstLineChars="140"/>
        <w:jc w:val="left"/>
        <w:rPr>
          <w:rFonts w:ascii="宋体" w:hAnsi="宋体"/>
          <w:bCs/>
          <w:color w:val="000000"/>
          <w:szCs w:val="21"/>
        </w:rPr>
      </w:pPr>
      <w:r>
        <w:rPr>
          <w:rFonts w:hint="eastAsia" w:ascii="宋体" w:hAnsi="宋体"/>
          <w:bCs/>
          <w:color w:val="000000"/>
          <w:szCs w:val="21"/>
        </w:rPr>
        <w:t>本企业对上述声明内容的真实性负责。如有虚假，将依法承担相应责任。</w:t>
      </w:r>
    </w:p>
    <w:p>
      <w:pPr>
        <w:spacing w:line="400" w:lineRule="exact"/>
        <w:rPr>
          <w:szCs w:val="21"/>
        </w:rPr>
      </w:pPr>
    </w:p>
    <w:p>
      <w:pPr>
        <w:spacing w:line="400" w:lineRule="exact"/>
        <w:rPr>
          <w:szCs w:val="21"/>
        </w:rPr>
      </w:pPr>
    </w:p>
    <w:p>
      <w:pPr>
        <w:spacing w:line="400" w:lineRule="exact"/>
        <w:rPr>
          <w:szCs w:val="21"/>
        </w:rPr>
      </w:pPr>
    </w:p>
    <w:p>
      <w:pPr>
        <w:spacing w:line="500" w:lineRule="exact"/>
        <w:ind w:right="451" w:rightChars="215" w:firstLine="3570" w:firstLineChars="1700"/>
        <w:jc w:val="center"/>
        <w:rPr>
          <w:rFonts w:ascii="宋体" w:hAnsi="宋体"/>
          <w:bCs/>
          <w:color w:val="000000"/>
          <w:szCs w:val="21"/>
        </w:rPr>
      </w:pPr>
      <w:r>
        <w:rPr>
          <w:rFonts w:hint="eastAsia" w:ascii="宋体" w:hAnsi="宋体"/>
          <w:bCs/>
          <w:color w:val="000000"/>
          <w:szCs w:val="21"/>
        </w:rPr>
        <w:t>企业名称（盖章）：</w:t>
      </w:r>
      <w:r>
        <w:rPr>
          <w:rFonts w:hint="eastAsia" w:ascii="宋体" w:hAnsi="宋体"/>
          <w:bCs/>
          <w:color w:val="000000"/>
          <w:szCs w:val="21"/>
          <w:u w:val="single"/>
        </w:rPr>
        <w:t xml:space="preserve"> </w:t>
      </w:r>
      <w:r>
        <w:rPr>
          <w:rFonts w:ascii="宋体" w:hAnsi="宋体"/>
          <w:bCs/>
          <w:color w:val="000000"/>
          <w:szCs w:val="21"/>
          <w:u w:val="single"/>
        </w:rPr>
        <w:t xml:space="preserve">                 </w:t>
      </w:r>
    </w:p>
    <w:p>
      <w:pPr>
        <w:spacing w:line="500" w:lineRule="exact"/>
        <w:ind w:right="309" w:rightChars="147" w:firstLine="5670" w:firstLineChars="2700"/>
        <w:rPr>
          <w:rFonts w:ascii="宋体" w:hAnsi="宋体"/>
          <w:bCs/>
          <w:color w:val="000000"/>
          <w:szCs w:val="21"/>
        </w:rPr>
      </w:pPr>
      <w:r>
        <w:rPr>
          <w:rFonts w:hint="eastAsia" w:ascii="宋体" w:hAnsi="宋体"/>
          <w:bCs/>
          <w:color w:val="000000"/>
          <w:szCs w:val="21"/>
        </w:rPr>
        <w:t>日 期：</w:t>
      </w:r>
      <w:r>
        <w:rPr>
          <w:rFonts w:hint="eastAsia" w:ascii="宋体" w:hAnsi="宋体"/>
          <w:bCs/>
          <w:color w:val="000000"/>
          <w:szCs w:val="21"/>
          <w:u w:val="single"/>
        </w:rPr>
        <w:t xml:space="preserve"> </w:t>
      </w:r>
      <w:r>
        <w:rPr>
          <w:rFonts w:ascii="宋体" w:hAnsi="宋体"/>
          <w:bCs/>
          <w:color w:val="000000"/>
          <w:szCs w:val="21"/>
          <w:u w:val="single"/>
        </w:rPr>
        <w:t xml:space="preserve">                           </w:t>
      </w:r>
    </w:p>
    <w:p/>
    <w:p/>
    <w:p/>
    <w:p/>
    <w:p/>
    <w:p/>
    <w:p/>
    <w:p/>
    <w:p/>
    <w:p/>
    <w:p>
      <w:pPr>
        <w:spacing w:line="320" w:lineRule="exact"/>
        <w:jc w:val="left"/>
        <w:rPr>
          <w:rFonts w:hAnsi="宋体"/>
          <w:bCs/>
          <w:sz w:val="18"/>
          <w:szCs w:val="18"/>
        </w:rPr>
      </w:pPr>
      <w:bookmarkStart w:id="147" w:name="_Hlk82091879"/>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),从)</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),业)</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),人)</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),员)</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),营)</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),业)</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),收)</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),入)</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),资)</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),产)</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),总)</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),额)</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),填)</w:instrText>
      </w:r>
      <w:r>
        <w:rPr>
          <w:rFonts w:hAnsi="宋体"/>
          <w:bCs/>
          <w:sz w:val="18"/>
          <w:szCs w:val="18"/>
        </w:rPr>
        <w:fldChar w:fldCharType="end"/>
      </w:r>
      <w:r>
        <w:rPr>
          <w:rFonts w:hAnsi="宋体"/>
          <w:bCs/>
          <w:sz w:val="18"/>
          <w:szCs w:val="18"/>
        </w:rPr>
        <w:fldChar w:fldCharType="begin"/>
      </w:r>
      <w:r>
        <w:rPr>
          <w:rFonts w:hAnsi="宋体"/>
          <w:bCs/>
          <w:sz w:val="18"/>
          <w:szCs w:val="18"/>
        </w:rPr>
        <w:instrText xml:space="preserve">EQ \* jc2 \* hps9 \o\ad(\s\up 8(</w:instrText>
      </w:r>
      <w:r>
        <w:rPr>
          <w:rFonts w:ascii="宋体" w:hAnsi="宋体"/>
          <w:bCs/>
          <w:sz w:val="18"/>
          <w:szCs w:val="18"/>
        </w:rPr>
        <w:instrText xml:space="preserve">——</w:instrText>
      </w:r>
      <w:r>
        <w:rPr>
          <w:rFonts w:hAnsi="宋体"/>
          <w:bCs/>
          <w:sz w:val="18"/>
          <w:szCs w:val="18"/>
        </w:rPr>
        <w:instrText xml:space="preserve">),报)</w:instrText>
      </w:r>
      <w:r>
        <w:rPr>
          <w:rFonts w:hAnsi="宋体"/>
          <w:bCs/>
          <w:sz w:val="18"/>
          <w:szCs w:val="18"/>
        </w:rPr>
        <w:fldChar w:fldCharType="end"/>
      </w:r>
      <w:bookmarkEnd w:id="147"/>
      <w:r>
        <w:rPr>
          <w:rFonts w:hint="eastAsia" w:hAnsi="宋体"/>
          <w:bCs/>
          <w:sz w:val="18"/>
          <w:szCs w:val="18"/>
        </w:rPr>
        <w:t>上一年度数据，无上一年度数据的新成立企业可不填报。</w:t>
      </w:r>
      <w:bookmarkEnd w:id="141"/>
    </w:p>
    <w:p>
      <w:pPr>
        <w:pStyle w:val="5"/>
      </w:pPr>
      <w:r>
        <w:br w:type="page"/>
      </w:r>
    </w:p>
    <w:tbl>
      <w:tblPr>
        <w:tblStyle w:val="39"/>
        <w:tblW w:w="9952" w:type="dxa"/>
        <w:tblInd w:w="150" w:type="dxa"/>
        <w:shd w:val="clear" w:color="auto" w:fill="FFFFFF"/>
        <w:tblLayout w:type="autofit"/>
        <w:tblCellMar>
          <w:top w:w="15" w:type="dxa"/>
          <w:left w:w="15" w:type="dxa"/>
          <w:bottom w:w="15" w:type="dxa"/>
          <w:right w:w="15" w:type="dxa"/>
        </w:tblCellMar>
      </w:tblPr>
      <w:tblGrid>
        <w:gridCol w:w="2127"/>
        <w:gridCol w:w="1413"/>
        <w:gridCol w:w="714"/>
        <w:gridCol w:w="1275"/>
        <w:gridCol w:w="1843"/>
        <w:gridCol w:w="1559"/>
        <w:gridCol w:w="1021"/>
      </w:tblGrid>
      <w:tr>
        <w:tblPrEx>
          <w:shd w:val="clear" w:color="auto" w:fill="FFFFFF"/>
          <w:tblCellMar>
            <w:top w:w="15" w:type="dxa"/>
            <w:left w:w="15" w:type="dxa"/>
            <w:bottom w:w="15" w:type="dxa"/>
            <w:right w:w="15" w:type="dxa"/>
          </w:tblCellMar>
        </w:tblPrEx>
        <w:trPr>
          <w:trHeight w:val="330" w:hRule="atLeast"/>
        </w:trPr>
        <w:tc>
          <w:tcPr>
            <w:tcW w:w="9952" w:type="dxa"/>
            <w:gridSpan w:val="7"/>
            <w:tcBorders>
              <w:top w:val="nil"/>
              <w:left w:val="nil"/>
              <w:bottom w:val="single" w:color="auto" w:sz="6" w:space="0"/>
              <w:right w:val="nil"/>
            </w:tcBorders>
            <w:shd w:val="clear" w:color="auto" w:fill="FFFFFF"/>
            <w:tcMar>
              <w:top w:w="30" w:type="dxa"/>
              <w:left w:w="150" w:type="dxa"/>
              <w:bottom w:w="30" w:type="dxa"/>
              <w:right w:w="150" w:type="dxa"/>
            </w:tcMar>
            <w:vAlign w:val="center"/>
          </w:tcPr>
          <w:p>
            <w:pPr>
              <w:widowControl/>
              <w:spacing w:line="440" w:lineRule="exact"/>
              <w:jc w:val="center"/>
              <w:rPr>
                <w:rFonts w:ascii="Helvetica" w:hAnsi="Helvetica" w:cs="Helvetica"/>
                <w:b/>
                <w:bCs/>
                <w:color w:val="000000" w:themeColor="text1"/>
                <w:kern w:val="0"/>
                <w:szCs w:val="21"/>
                <w14:textFill>
                  <w14:solidFill>
                    <w14:schemeClr w14:val="tx1"/>
                  </w14:solidFill>
                </w14:textFill>
              </w:rPr>
            </w:pPr>
            <w:r>
              <w:rPr>
                <w:rFonts w:ascii="Helvetica" w:hAnsi="Helvetica" w:cs="Helvetica"/>
                <w:b/>
                <w:bCs/>
                <w:color w:val="000000" w:themeColor="text1"/>
                <w:kern w:val="0"/>
                <w:szCs w:val="21"/>
                <w14:textFill>
                  <w14:solidFill>
                    <w14:schemeClr w14:val="tx1"/>
                  </w14:solidFill>
                </w14:textFill>
              </w:rPr>
              <w:t>大中小微型企业划分标准</w:t>
            </w:r>
          </w:p>
        </w:tc>
      </w:tr>
      <w:tr>
        <w:tblPrEx>
          <w:shd w:val="clear" w:color="auto" w:fill="FFFFFF"/>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bookmarkStart w:id="148" w:name="_Hlk143699200"/>
            <w:r>
              <w:rPr>
                <w:rFonts w:ascii="Helvetica" w:hAnsi="Helvetica" w:cs="Helvetica"/>
                <w:b/>
                <w:bCs/>
                <w:color w:val="000000" w:themeColor="text1"/>
                <w:kern w:val="0"/>
                <w:sz w:val="18"/>
                <w:szCs w:val="18"/>
                <w14:textFill>
                  <w14:solidFill>
                    <w14:schemeClr w14:val="tx1"/>
                  </w14:solidFill>
                </w14:textFill>
              </w:rPr>
              <w:t>行业名称</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指标名称</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计量</w:t>
            </w:r>
          </w:p>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单位</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大型</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中型</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小型</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b/>
                <w:bCs/>
                <w:color w:val="000000" w:themeColor="text1"/>
                <w:kern w:val="0"/>
                <w:sz w:val="18"/>
                <w:szCs w:val="18"/>
                <w14:textFill>
                  <w14:solidFill>
                    <w14:schemeClr w14:val="tx1"/>
                  </w14:solidFill>
                </w14:textFill>
              </w:rPr>
              <w:t>微型</w:t>
            </w:r>
          </w:p>
        </w:tc>
      </w:tr>
      <w:tr>
        <w:tblPrEx>
          <w:shd w:val="clear" w:color="auto" w:fill="FFFFFF"/>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农、林、牧、渔业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500≤Y＜20000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50≤Y＜500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Y＜50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工业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Y≥40000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2000≤Y＜40000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Y＜300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建筑业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Y≥80000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6000≤Y＜80000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300≤Y＜6000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Y＜300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Z≥80000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5000≤Z＜80000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300≤Z＜5000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Z＜300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批发业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20≤X＜200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5≤X＜20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X＜5</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Y≥40000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5000≤Y＜40000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零售业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10≤X＜50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500≤Y＜20000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100≤Y＜500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交通运输业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200≤Y＜3000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Y＜200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仓储业*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100≤X＜200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邮政业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Y≥30000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2000≤Y＜30000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住宿业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餐饮业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100≤Y＜2000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信息传输业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X≥2000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100≤X＜2000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1000≤Y＜100000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软件和信息技术服务业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Y＜50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房地产开发经营</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Y≥200000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1000≤Y＜200000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Y＜100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Z≥10000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5000≤Z＜10000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2000≤Z＜5000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Z＜2000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物业管理</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300≤X＜1000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营业收入(Y)</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Y≥5000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1000≤Y＜5000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500≤Y＜1000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Y＜500</w:t>
            </w:r>
          </w:p>
        </w:tc>
      </w:tr>
      <w:tr>
        <w:tblPrEx>
          <w:shd w:val="clear" w:color="auto" w:fill="FFFFFF"/>
          <w:tblCellMar>
            <w:top w:w="15" w:type="dxa"/>
            <w:left w:w="15" w:type="dxa"/>
            <w:bottom w:w="15" w:type="dxa"/>
            <w:right w:w="15" w:type="dxa"/>
          </w:tblCellMar>
        </w:tblPrEx>
        <w:trPr>
          <w:trHeight w:val="330" w:hRule="atLeast"/>
        </w:trPr>
        <w:tc>
          <w:tcPr>
            <w:tcW w:w="2127" w:type="dxa"/>
            <w:vMerge w:val="restart"/>
            <w:tcBorders>
              <w:top w:val="single" w:color="auto" w:sz="6" w:space="0"/>
              <w:left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租赁和商务服务业</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r>
        <w:tblPrEx>
          <w:shd w:val="clear" w:color="auto" w:fill="FFFFFF"/>
          <w:tblCellMar>
            <w:top w:w="15" w:type="dxa"/>
            <w:left w:w="15" w:type="dxa"/>
            <w:bottom w:w="15" w:type="dxa"/>
            <w:right w:w="15" w:type="dxa"/>
          </w:tblCellMar>
        </w:tblPrEx>
        <w:trPr>
          <w:trHeight w:val="330" w:hRule="atLeast"/>
        </w:trPr>
        <w:tc>
          <w:tcPr>
            <w:tcW w:w="2127" w:type="dxa"/>
            <w:vMerge w:val="continue"/>
            <w:tcBorders>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资产总额(Z)</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万元</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Z≥120000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8000≤Z＜120000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100≤Z＜8000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Z＜100</w:t>
            </w:r>
          </w:p>
        </w:tc>
      </w:tr>
      <w:tr>
        <w:tblPrEx>
          <w:shd w:val="clear" w:color="auto" w:fill="FFFFFF"/>
          <w:tblCellMar>
            <w:top w:w="15" w:type="dxa"/>
            <w:left w:w="15" w:type="dxa"/>
            <w:bottom w:w="15" w:type="dxa"/>
            <w:right w:w="15" w:type="dxa"/>
          </w:tblCellMar>
        </w:tblPrEx>
        <w:trPr>
          <w:trHeight w:val="330" w:hRule="atLeast"/>
        </w:trPr>
        <w:tc>
          <w:tcPr>
            <w:tcW w:w="2127"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其他未列明行业 *</w:t>
            </w:r>
          </w:p>
        </w:tc>
        <w:tc>
          <w:tcPr>
            <w:tcW w:w="141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从业人员(X)</w:t>
            </w:r>
          </w:p>
        </w:tc>
        <w:tc>
          <w:tcPr>
            <w:tcW w:w="71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人</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X≥300</w:t>
            </w:r>
          </w:p>
        </w:tc>
        <w:tc>
          <w:tcPr>
            <w:tcW w:w="1843"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100≤X＜300</w:t>
            </w:r>
          </w:p>
        </w:tc>
        <w:tc>
          <w:tcPr>
            <w:tcW w:w="1559"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10≤X＜100</w:t>
            </w:r>
          </w:p>
        </w:tc>
        <w:tc>
          <w:tcPr>
            <w:tcW w:w="1004" w:type="dxa"/>
            <w:tcBorders>
              <w:top w:val="single" w:color="auto" w:sz="6" w:space="0"/>
              <w:left w:val="single" w:color="auto" w:sz="6" w:space="0"/>
              <w:bottom w:val="single" w:color="auto" w:sz="6" w:space="0"/>
              <w:right w:val="single" w:color="auto" w:sz="6" w:space="0"/>
            </w:tcBorders>
            <w:shd w:val="clear" w:color="auto" w:fill="FFFFFF"/>
            <w:tcMar>
              <w:top w:w="30" w:type="dxa"/>
              <w:left w:w="150" w:type="dxa"/>
              <w:bottom w:w="30" w:type="dxa"/>
              <w:right w:w="150" w:type="dxa"/>
            </w:tcMar>
            <w:vAlign w:val="center"/>
          </w:tcPr>
          <w:p>
            <w:pPr>
              <w:widowControl/>
              <w:spacing w:line="340" w:lineRule="exact"/>
              <w:jc w:val="center"/>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X＜10</w:t>
            </w:r>
          </w:p>
        </w:tc>
      </w:tr>
    </w:tbl>
    <w:p>
      <w:pPr>
        <w:widowControl/>
        <w:shd w:val="clear" w:color="auto" w:fill="FFFFFF"/>
        <w:spacing w:line="360" w:lineRule="atLeast"/>
        <w:jc w:val="left"/>
        <w:rPr>
          <w:rFonts w:ascii="Helvetica" w:hAnsi="Helvetica" w:cs="Helvetica"/>
          <w:color w:val="000000" w:themeColor="text1"/>
          <w:kern w:val="0"/>
          <w:szCs w:val="21"/>
          <w14:textFill>
            <w14:solidFill>
              <w14:schemeClr w14:val="tx1"/>
            </w14:solidFill>
          </w14:textFill>
        </w:rPr>
      </w:pPr>
    </w:p>
    <w:bookmarkEnd w:id="148"/>
    <w:p>
      <w:pPr>
        <w:widowControl/>
        <w:shd w:val="clear" w:color="auto" w:fill="FFFFFF"/>
        <w:spacing w:line="360" w:lineRule="atLeast"/>
        <w:jc w:val="left"/>
        <w:rPr>
          <w:rFonts w:ascii="Helvetica" w:hAnsi="Helvetica" w:cs="Helvetica"/>
          <w:color w:val="000000" w:themeColor="text1"/>
          <w:kern w:val="0"/>
          <w:sz w:val="18"/>
          <w:szCs w:val="18"/>
          <w14:textFill>
            <w14:solidFill>
              <w14:schemeClr w14:val="tx1"/>
            </w14:solidFill>
          </w14:textFill>
        </w:rPr>
      </w:pPr>
      <w:r>
        <w:rPr>
          <w:color w:val="000000" w:themeColor="text1"/>
          <w14:textFill>
            <w14:solidFill>
              <w14:schemeClr w14:val="tx1"/>
            </w14:solidFill>
          </w14:textFill>
        </w:rPr>
        <w:br w:type="page"/>
      </w:r>
      <w:r>
        <w:rPr>
          <w:rFonts w:ascii="Helvetica" w:hAnsi="Helvetica" w:cs="Helvetica"/>
          <w:color w:val="000000" w:themeColor="text1"/>
          <w:kern w:val="0"/>
          <w:sz w:val="18"/>
          <w:szCs w:val="18"/>
          <w14:textFill>
            <w14:solidFill>
              <w14:schemeClr w14:val="tx1"/>
            </w14:solidFill>
          </w14:textFill>
        </w:rPr>
        <w:t>说明：</w:t>
      </w:r>
    </w:p>
    <w:p>
      <w:pPr>
        <w:widowControl/>
        <w:shd w:val="clear" w:color="auto" w:fill="FFFFFF"/>
        <w:spacing w:line="360" w:lineRule="atLeast"/>
        <w:ind w:firstLine="480"/>
        <w:jc w:val="left"/>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1.大型、中型和小型企业须同时满足所列指标的下限，否则下划一档；微型企业只须满足所列指标中的一项即可。</w:t>
      </w:r>
    </w:p>
    <w:p>
      <w:pPr>
        <w:widowControl/>
        <w:shd w:val="clear" w:color="auto" w:fill="FFFFFF"/>
        <w:spacing w:line="360" w:lineRule="atLeast"/>
        <w:ind w:firstLine="480"/>
        <w:jc w:val="left"/>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w:t>
      </w:r>
      <w:r>
        <w:fldChar w:fldCharType="begin"/>
      </w:r>
      <w:r>
        <w:instrText xml:space="preserve"> HYPERLINK "https://baike.baidu.com/item/%E5%A4%9A%E5%BC%8F%E8%81%94%E8%BF%90/3342240?fromModule=lemma_inlink"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多式联运</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和运输代理业、</w:t>
      </w:r>
      <w:r>
        <w:fldChar w:fldCharType="begin"/>
      </w:r>
      <w:r>
        <w:instrText xml:space="preserve"> HYPERLINK "https://baike.baidu.com/item/%E8%A3%85%E5%8D%B8%E6%90%AC%E8%BF%90/6511400?fromModule=lemma_inlink"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装卸搬运</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，不包括铁路运输业；</w:t>
      </w:r>
      <w:r>
        <w:fldChar w:fldCharType="begin"/>
      </w:r>
      <w:r>
        <w:instrText xml:space="preserve"> HYPERLINK "https://baike.baidu.com/item/%E4%BB%93%E5%82%A8%E4%B8%9A/3487863?fromModule=lemma_inlink"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仓储业</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包括通用仓储，低温仓储，危险品仓储，谷物、棉花等农产品仓储，中药材仓储和其他仓储业;</w:t>
      </w:r>
      <w:r>
        <w:fldChar w:fldCharType="begin"/>
      </w:r>
      <w:r>
        <w:instrText xml:space="preserve"> HYPERLINK "https://baike.baidu.com/item/%E4%BF%A1%E6%81%AF%E4%BC%A0%E8%BE%93%E4%B8%9A/61331990?fromModule=lemma_inlink"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信息传输业</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hd w:val="clear" w:color="auto" w:fill="FFFFFF"/>
        <w:spacing w:line="360" w:lineRule="atLeast"/>
        <w:ind w:firstLine="480"/>
        <w:jc w:val="left"/>
        <w:rPr>
          <w:rFonts w:ascii="Helvetica" w:hAnsi="Helvetica" w:cs="Helvetica"/>
          <w:color w:val="000000" w:themeColor="text1"/>
          <w:kern w:val="0"/>
          <w:sz w:val="18"/>
          <w:szCs w:val="18"/>
          <w14:textFill>
            <w14:solidFill>
              <w14:schemeClr w14:val="tx1"/>
            </w14:solidFill>
          </w14:textFill>
        </w:rPr>
      </w:pPr>
      <w:r>
        <w:rPr>
          <w:rFonts w:ascii="Helvetica" w:hAnsi="Helvetica" w:cs="Helvetica"/>
          <w:color w:val="000000" w:themeColor="text1"/>
          <w:kern w:val="0"/>
          <w:sz w:val="18"/>
          <w:szCs w:val="18"/>
          <w14:textFill>
            <w14:solidFill>
              <w14:schemeClr w14:val="tx1"/>
            </w14:solidFill>
          </w14:textFill>
        </w:rPr>
        <w:t>3.企业划分指标以现行</w:t>
      </w:r>
      <w:r>
        <w:fldChar w:fldCharType="begin"/>
      </w:r>
      <w:r>
        <w:instrText xml:space="preserve"> HYPERLINK "https://baike.baidu.com/item/%E7%BB%9F%E8%AE%A1%E5%88%B6%E5%BA%A6/917165?fromModule=lemma_inlink"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统计制度</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为准。（1）从业人员，是指期末从业人员数，没有期末从业人员数的，采用全年平均人员数代替。（2）</w:t>
      </w:r>
      <w:r>
        <w:fldChar w:fldCharType="begin"/>
      </w:r>
      <w:r>
        <w:instrText xml:space="preserve"> HYPERLINK "https://baike.baidu.com/item/%E8%90%A5%E4%B8%9A%E6%94%B6%E5%85%A5/5099832?fromModule=lemma_inlink"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营业收入</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w:t>
      </w:r>
      <w:r>
        <w:fldChar w:fldCharType="begin"/>
      </w:r>
      <w:r>
        <w:instrText xml:space="preserve"> HYPERLINK "https://baike.baidu.com/item/%E8%B5%84%E4%BA%A7%E6%80%BB%E9%A2%9D/716517?fromModule=lemma_inlink" \t "_blank" </w:instrText>
      </w:r>
      <w:r>
        <w:fldChar w:fldCharType="separate"/>
      </w:r>
      <w:r>
        <w:rPr>
          <w:rFonts w:ascii="Helvetica" w:hAnsi="Helvetica" w:cs="Helvetica"/>
          <w:color w:val="000000" w:themeColor="text1"/>
          <w:kern w:val="0"/>
          <w:sz w:val="18"/>
          <w:szCs w:val="18"/>
          <w:u w:val="single"/>
          <w14:textFill>
            <w14:solidFill>
              <w14:schemeClr w14:val="tx1"/>
            </w14:solidFill>
          </w14:textFill>
        </w:rPr>
        <w:t>资产总额</w:t>
      </w:r>
      <w:r>
        <w:rPr>
          <w:rFonts w:ascii="Helvetica" w:hAnsi="Helvetica" w:cs="Helvetica"/>
          <w:color w:val="000000" w:themeColor="text1"/>
          <w:kern w:val="0"/>
          <w:sz w:val="18"/>
          <w:szCs w:val="18"/>
          <w:u w:val="single"/>
          <w14:textFill>
            <w14:solidFill>
              <w14:schemeClr w14:val="tx1"/>
            </w14:solidFill>
          </w14:textFill>
        </w:rPr>
        <w:fldChar w:fldCharType="end"/>
      </w:r>
      <w:r>
        <w:rPr>
          <w:rFonts w:ascii="Helvetica" w:hAnsi="Helvetica" w:cs="Helvetica"/>
          <w:color w:val="000000" w:themeColor="text1"/>
          <w:kern w:val="0"/>
          <w:sz w:val="18"/>
          <w:szCs w:val="18"/>
          <w14:textFill>
            <w14:solidFill>
              <w14:schemeClr w14:val="tx1"/>
            </w14:solidFill>
          </w14:textFill>
        </w:rPr>
        <w:t>，采用资产总计代替。</w:t>
      </w:r>
    </w:p>
    <w:p>
      <w:pPr>
        <w:widowControl/>
        <w:jc w:val="left"/>
        <w:rPr>
          <w:b/>
          <w:bCs/>
          <w:sz w:val="32"/>
          <w:szCs w:val="32"/>
        </w:rPr>
      </w:pPr>
      <w:r>
        <w:br w:type="page"/>
      </w:r>
    </w:p>
    <w:p>
      <w:pPr>
        <w:spacing w:line="320" w:lineRule="exact"/>
        <w:jc w:val="left"/>
        <w:rPr>
          <w:rFonts w:hAnsi="宋体"/>
          <w:bCs/>
          <w:sz w:val="18"/>
          <w:szCs w:val="18"/>
        </w:rPr>
      </w:pPr>
    </w:p>
    <w:p>
      <w:pPr>
        <w:pStyle w:val="22"/>
        <w:spacing w:line="440" w:lineRule="exact"/>
        <w:jc w:val="center"/>
        <w:rPr>
          <w:rFonts w:ascii="仿宋" w:hAnsi="仿宋" w:eastAsia="仿宋"/>
          <w:b/>
          <w:kern w:val="0"/>
          <w:sz w:val="32"/>
          <w:szCs w:val="32"/>
        </w:rPr>
      </w:pPr>
      <w:r>
        <w:rPr>
          <w:rFonts w:hint="eastAsia" w:ascii="仿宋" w:hAnsi="仿宋" w:eastAsia="仿宋"/>
          <w:b/>
          <w:kern w:val="0"/>
          <w:sz w:val="32"/>
          <w:szCs w:val="32"/>
        </w:rPr>
        <w:t>残疾人福利性单位声明函</w:t>
      </w:r>
    </w:p>
    <w:p/>
    <w:p>
      <w:pPr>
        <w:spacing w:line="660" w:lineRule="exact"/>
        <w:ind w:firstLine="420" w:firstLineChars="200"/>
        <w:rPr>
          <w:rFonts w:ascii="宋体" w:hAnsi="宋体" w:cs="Courier New"/>
          <w:kern w:val="0"/>
          <w:szCs w:val="21"/>
        </w:rPr>
      </w:pPr>
      <w:r>
        <w:rPr>
          <w:rFonts w:hint="eastAsia" w:ascii="宋体" w:hAnsi="宋体" w:cs="Courier New"/>
          <w:kern w:val="0"/>
          <w:szCs w:val="21"/>
        </w:rPr>
        <w:t>本单位郑重声明，根据</w:t>
      </w:r>
      <w:bookmarkStart w:id="149" w:name="_Hlk82091361"/>
      <w:r>
        <w:rPr>
          <w:rFonts w:hint="eastAsia" w:ascii="宋体" w:hAnsi="宋体" w:cs="Courier New"/>
          <w:kern w:val="0"/>
          <w:szCs w:val="21"/>
        </w:rPr>
        <w:t>《</w:t>
      </w:r>
      <w:r>
        <w:fldChar w:fldCharType="begin"/>
      </w:r>
      <w:r>
        <w:instrText xml:space="preserve"> HYPERLINK "http://www.mof.gov.cn/gp/xxgkml/gks/201709/t20170901_2689542.htm" </w:instrText>
      </w:r>
      <w:r>
        <w:fldChar w:fldCharType="separate"/>
      </w:r>
      <w:r>
        <w:rPr>
          <w:rFonts w:hint="eastAsia" w:ascii="宋体" w:hAnsi="Courier New" w:cs="Courier New"/>
          <w:kern w:val="0"/>
          <w:szCs w:val="21"/>
        </w:rPr>
        <w:t>财政部 民政部 中国残疾人联合会关于促进残疾人就业政府采购政策的通知》（财库〔2017〕141号）</w:t>
      </w:r>
      <w:r>
        <w:rPr>
          <w:rFonts w:hint="eastAsia" w:ascii="宋体" w:hAnsi="Courier New" w:cs="Courier New"/>
          <w:kern w:val="0"/>
          <w:szCs w:val="21"/>
        </w:rPr>
        <w:fldChar w:fldCharType="end"/>
      </w:r>
      <w:bookmarkEnd w:id="149"/>
      <w:r>
        <w:rPr>
          <w:rFonts w:hint="eastAsia" w:ascii="宋体" w:hAnsi="宋体" w:cs="Courier New"/>
          <w:kern w:val="0"/>
          <w:szCs w:val="21"/>
        </w:rPr>
        <w:t>的规定，本单位为符合条件的残疾人福利性单位，且本单位参加（</w:t>
      </w:r>
      <w:r>
        <w:rPr>
          <w:rFonts w:hint="eastAsia" w:ascii="宋体" w:hAnsi="宋体" w:cs="Courier New"/>
          <w:kern w:val="0"/>
          <w:szCs w:val="21"/>
          <w:u w:val="single"/>
        </w:rPr>
        <w:t>单位名称</w:t>
      </w:r>
      <w:r>
        <w:rPr>
          <w:rFonts w:hint="eastAsia" w:ascii="宋体" w:hAnsi="宋体" w:cs="Courier New"/>
          <w:kern w:val="0"/>
          <w:szCs w:val="21"/>
        </w:rPr>
        <w:t>）的（</w:t>
      </w:r>
      <w:r>
        <w:rPr>
          <w:rFonts w:hint="eastAsia" w:ascii="宋体" w:hAnsi="宋体" w:cs="Courier New"/>
          <w:kern w:val="0"/>
          <w:szCs w:val="21"/>
          <w:u w:val="single"/>
        </w:rPr>
        <w:t>项目名称</w:t>
      </w:r>
      <w:r>
        <w:rPr>
          <w:rFonts w:hint="eastAsia" w:ascii="宋体" w:hAnsi="宋体" w:cs="Courier New"/>
          <w:kern w:val="0"/>
          <w:szCs w:val="21"/>
        </w:rPr>
        <w:t>）采购活动提供本单位制造的货物，或者提供其他残疾人福利性单位（</w:t>
      </w:r>
      <w:r>
        <w:rPr>
          <w:rFonts w:hint="eastAsia" w:ascii="宋体" w:hAnsi="宋体" w:cs="Courier New"/>
          <w:kern w:val="0"/>
          <w:szCs w:val="21"/>
          <w:u w:val="single"/>
        </w:rPr>
        <w:t>请填写具体单位名称</w:t>
      </w:r>
      <w:r>
        <w:rPr>
          <w:rFonts w:hint="eastAsia" w:ascii="宋体" w:hAnsi="宋体" w:cs="Courier New"/>
          <w:kern w:val="0"/>
          <w:szCs w:val="21"/>
        </w:rPr>
        <w:t>）制造的货物（不包括使用非残疾人福利性单位注册商标的货物）。</w:t>
      </w:r>
    </w:p>
    <w:p>
      <w:pPr>
        <w:spacing w:line="660" w:lineRule="exact"/>
        <w:ind w:firstLine="420" w:firstLineChars="200"/>
        <w:rPr>
          <w:rFonts w:ascii="宋体" w:hAnsi="宋体" w:cs="Courier New"/>
          <w:kern w:val="0"/>
          <w:szCs w:val="21"/>
        </w:rPr>
      </w:pPr>
      <w:r>
        <w:rPr>
          <w:rFonts w:hint="eastAsia" w:ascii="宋体" w:hAnsi="宋体" w:cs="Courier New"/>
          <w:kern w:val="0"/>
          <w:szCs w:val="21"/>
        </w:rPr>
        <w:t>本单位对上述声明的真实性负责。如有虚假，将依法承担相应责任。</w:t>
      </w:r>
    </w:p>
    <w:p/>
    <w:p/>
    <w:p/>
    <w:p>
      <w:pPr>
        <w:spacing w:line="500" w:lineRule="exact"/>
        <w:ind w:firstLine="5250" w:firstLineChars="2500"/>
        <w:rPr>
          <w:rFonts w:ascii="宋体" w:hAnsi="宋体" w:cs="Courier New"/>
          <w:kern w:val="0"/>
          <w:szCs w:val="21"/>
        </w:rPr>
      </w:pPr>
      <w:r>
        <w:rPr>
          <w:rFonts w:hint="eastAsia" w:ascii="宋体" w:hAnsi="宋体" w:cs="Courier New"/>
          <w:kern w:val="0"/>
          <w:szCs w:val="21"/>
        </w:rPr>
        <w:t>单位名称（盖章）：</w:t>
      </w:r>
      <w:r>
        <w:rPr>
          <w:rFonts w:hint="eastAsia" w:ascii="宋体" w:hAnsi="宋体" w:cs="Courier New"/>
          <w:szCs w:val="21"/>
          <w:u w:val="single"/>
        </w:rPr>
        <w:t xml:space="preserve"> </w:t>
      </w:r>
      <w:r>
        <w:rPr>
          <w:rFonts w:ascii="宋体" w:hAnsi="宋体" w:cs="Courier New"/>
          <w:szCs w:val="21"/>
          <w:u w:val="single"/>
        </w:rPr>
        <w:t xml:space="preserve">             </w:t>
      </w:r>
    </w:p>
    <w:p>
      <w:pPr>
        <w:spacing w:line="500" w:lineRule="exact"/>
        <w:ind w:firstLine="5250" w:firstLineChars="2500"/>
        <w:rPr>
          <w:rFonts w:ascii="宋体" w:hAnsi="宋体" w:cs="Courier New"/>
          <w:szCs w:val="21"/>
          <w:u w:val="single"/>
        </w:rPr>
      </w:pPr>
      <w:r>
        <w:rPr>
          <w:rFonts w:hint="eastAsia" w:ascii="宋体" w:hAnsi="宋体" w:cs="Courier New"/>
          <w:kern w:val="0"/>
          <w:szCs w:val="21"/>
        </w:rPr>
        <w:t>日  期：</w:t>
      </w:r>
      <w:r>
        <w:rPr>
          <w:rFonts w:hint="eastAsia" w:ascii="宋体" w:hAnsi="宋体" w:cs="Courier New"/>
          <w:szCs w:val="21"/>
          <w:u w:val="single"/>
        </w:rPr>
        <w:t xml:space="preserve"> </w:t>
      </w:r>
      <w:r>
        <w:rPr>
          <w:rFonts w:ascii="宋体" w:hAnsi="宋体" w:cs="Courier New"/>
          <w:szCs w:val="21"/>
          <w:u w:val="single"/>
        </w:rPr>
        <w:t xml:space="preserve">                       </w:t>
      </w:r>
    </w:p>
    <w:p>
      <w:pPr>
        <w:widowControl/>
        <w:jc w:val="left"/>
        <w:rPr>
          <w:rFonts w:ascii="宋体" w:hAnsi="Courier New" w:cs="Courier New"/>
          <w:sz w:val="18"/>
          <w:szCs w:val="18"/>
        </w:rPr>
      </w:pPr>
      <w:r>
        <w:rPr>
          <w:rFonts w:ascii="黑体" w:hAnsi="黑体" w:eastAsia="黑体" w:cs="黑体"/>
          <w:b/>
          <w:sz w:val="32"/>
          <w:szCs w:val="32"/>
        </w:rPr>
        <w:br w:type="page"/>
      </w:r>
      <w:r>
        <w:rPr>
          <w:rFonts w:hint="eastAsia" w:ascii="仿宋" w:hAnsi="仿宋" w:eastAsia="仿宋"/>
          <w:b/>
          <w:sz w:val="36"/>
          <w:szCs w:val="36"/>
        </w:rPr>
        <w:t>二、商务技术文件</w:t>
      </w:r>
    </w:p>
    <w:p>
      <w:pPr>
        <w:widowControl/>
        <w:jc w:val="center"/>
        <w:rPr>
          <w:rFonts w:ascii="仿宋" w:hAnsi="仿宋" w:eastAsia="仿宋" w:cs="黑体"/>
          <w:b/>
          <w:sz w:val="32"/>
          <w:szCs w:val="32"/>
        </w:rPr>
      </w:pPr>
      <w:bookmarkStart w:id="150" w:name="_Hlk92702324"/>
      <w:r>
        <w:rPr>
          <w:rFonts w:hint="eastAsia" w:ascii="仿宋" w:hAnsi="仿宋" w:eastAsia="仿宋" w:cs="黑体"/>
          <w:b/>
          <w:sz w:val="32"/>
          <w:szCs w:val="32"/>
        </w:rPr>
        <w:t>磋 商 函</w:t>
      </w:r>
      <w:bookmarkEnd w:id="150"/>
      <w:r>
        <w:rPr>
          <w:rFonts w:hint="eastAsia" w:ascii="仿宋" w:hAnsi="仿宋" w:eastAsia="仿宋" w:cs="黑体"/>
          <w:bCs/>
          <w:sz w:val="24"/>
        </w:rPr>
        <w:t>(格式</w:t>
      </w:r>
      <w:r>
        <w:rPr>
          <w:rFonts w:ascii="仿宋" w:hAnsi="仿宋" w:eastAsia="仿宋" w:cs="黑体"/>
          <w:bCs/>
          <w:sz w:val="24"/>
        </w:rPr>
        <w:t>)</w:t>
      </w:r>
    </w:p>
    <w:p>
      <w:pPr>
        <w:spacing w:line="360" w:lineRule="exact"/>
        <w:jc w:val="center"/>
        <w:rPr>
          <w:rFonts w:ascii="宋体" w:hAnsi="宋体"/>
          <w:b/>
          <w:szCs w:val="21"/>
        </w:rPr>
      </w:pPr>
    </w:p>
    <w:p>
      <w:pPr>
        <w:spacing w:line="400" w:lineRule="exact"/>
        <w:rPr>
          <w:rFonts w:ascii="宋体" w:hAnsi="宋体"/>
          <w:szCs w:val="21"/>
        </w:rPr>
      </w:pPr>
      <w:r>
        <w:rPr>
          <w:rFonts w:hint="eastAsia" w:ascii="宋体" w:hAnsi="宋体"/>
          <w:szCs w:val="21"/>
        </w:rPr>
        <w:t>致：钦州市政府采购中心：</w:t>
      </w:r>
    </w:p>
    <w:p>
      <w:pPr>
        <w:pStyle w:val="22"/>
        <w:spacing w:line="480" w:lineRule="exact"/>
        <w:ind w:firstLine="420"/>
        <w:rPr>
          <w:rFonts w:hAnsi="宋体"/>
        </w:rPr>
      </w:pPr>
      <w:r>
        <w:rPr>
          <w:rFonts w:hint="eastAsia" w:hAnsi="宋体"/>
        </w:rPr>
        <w:t>依据贵方</w:t>
      </w:r>
      <w:r>
        <w:rPr>
          <w:rFonts w:hint="eastAsia" w:hAnsi="宋体"/>
          <w:u w:val="single"/>
        </w:rPr>
        <w:t>（项目名称/文件编号）</w:t>
      </w:r>
      <w:r>
        <w:rPr>
          <w:rFonts w:hint="eastAsia" w:hAnsi="宋体"/>
        </w:rPr>
        <w:t>项目竞争性磋商采购文件，我方</w:t>
      </w:r>
      <w:r>
        <w:rPr>
          <w:rFonts w:hint="eastAsia" w:hAnsi="宋体"/>
          <w:u w:val="single"/>
        </w:rPr>
        <w:t xml:space="preserve"> （供应商名称） </w:t>
      </w:r>
      <w:r>
        <w:rPr>
          <w:rFonts w:hint="eastAsia" w:hAnsi="宋体"/>
        </w:rPr>
        <w:t>经正式授权代表</w:t>
      </w:r>
      <w:r>
        <w:rPr>
          <w:rFonts w:hint="eastAsia" w:hAnsi="宋体"/>
          <w:u w:val="single"/>
        </w:rPr>
        <w:t xml:space="preserve">   （被授权人）</w:t>
      </w:r>
      <w:r>
        <w:rPr>
          <w:rFonts w:hint="eastAsia" w:hAnsi="宋体"/>
        </w:rPr>
        <w:t>提交响应文件。</w:t>
      </w:r>
    </w:p>
    <w:p>
      <w:pPr>
        <w:spacing w:line="400" w:lineRule="exact"/>
        <w:rPr>
          <w:rFonts w:ascii="宋体" w:hAnsi="宋体"/>
          <w:szCs w:val="21"/>
        </w:rPr>
      </w:pPr>
      <w:r>
        <w:rPr>
          <w:rFonts w:ascii="宋体" w:hAnsi="宋体"/>
          <w:szCs w:val="21"/>
        </w:rPr>
        <w:tab/>
      </w:r>
      <w:r>
        <w:rPr>
          <w:rFonts w:hint="eastAsia" w:ascii="宋体" w:hAnsi="宋体"/>
          <w:szCs w:val="21"/>
        </w:rPr>
        <w:t>据此函，我公司承诺：</w:t>
      </w:r>
    </w:p>
    <w:p>
      <w:pPr>
        <w:snapToGrid w:val="0"/>
        <w:spacing w:line="360" w:lineRule="exact"/>
        <w:ind w:firstLine="420" w:firstLineChars="200"/>
        <w:rPr>
          <w:rFonts w:ascii="宋体" w:hAnsi="宋体"/>
          <w:szCs w:val="21"/>
        </w:rPr>
      </w:pPr>
      <w:r>
        <w:rPr>
          <w:rFonts w:ascii="宋体" w:hAnsi="宋体"/>
          <w:szCs w:val="21"/>
        </w:rPr>
        <w:t>1.</w:t>
      </w:r>
      <w:r>
        <w:rPr>
          <w:rFonts w:hint="eastAsia" w:ascii="宋体" w:hAnsi="宋体"/>
          <w:szCs w:val="21"/>
        </w:rPr>
        <w:t>我方已详细审阅采购文件（包括澄清或者修改文件），已经了解我方对于采购文件、采购过程、采购结果有依法进行询问、质疑、投诉的权利及相关渠道和要求。</w:t>
      </w:r>
    </w:p>
    <w:p>
      <w:pPr>
        <w:snapToGrid w:val="0"/>
        <w:spacing w:line="3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360" w:lineRule="exact"/>
        <w:ind w:firstLine="420" w:firstLineChars="200"/>
        <w:rPr>
          <w:rFonts w:ascii="宋体" w:hAnsi="宋体"/>
          <w:szCs w:val="21"/>
        </w:rPr>
      </w:pPr>
      <w:r>
        <w:rPr>
          <w:rFonts w:ascii="宋体" w:hAnsi="宋体"/>
          <w:szCs w:val="21"/>
        </w:rPr>
        <w:t>3.</w:t>
      </w:r>
      <w:r>
        <w:rPr>
          <w:rFonts w:hint="eastAsia" w:ascii="宋体" w:hAnsi="宋体"/>
          <w:szCs w:val="21"/>
        </w:rPr>
        <w:t>我方在磋商之前已经与贵方进行了充分的沟通，完全理解并接受采购文件的各项规定和要求，对采购文件的合理性、合法性不再有异议。</w:t>
      </w:r>
    </w:p>
    <w:p>
      <w:pPr>
        <w:spacing w:line="400" w:lineRule="exact"/>
        <w:rPr>
          <w:rFonts w:ascii="宋体" w:hAnsi="宋体"/>
          <w:szCs w:val="21"/>
        </w:rPr>
      </w:pPr>
      <w:r>
        <w:rPr>
          <w:rFonts w:ascii="宋体" w:hAnsi="宋体"/>
          <w:szCs w:val="21"/>
        </w:rPr>
        <w:tab/>
      </w:r>
      <w:r>
        <w:rPr>
          <w:rFonts w:ascii="宋体" w:hAnsi="宋体"/>
          <w:szCs w:val="21"/>
        </w:rPr>
        <w:t>4</w:t>
      </w:r>
      <w:r>
        <w:rPr>
          <w:rFonts w:hint="eastAsia" w:ascii="宋体" w:hAnsi="宋体"/>
          <w:szCs w:val="21"/>
        </w:rPr>
        <w:t>.我方根据采购文件的规定，承担完成合同的责任和义务。</w:t>
      </w:r>
    </w:p>
    <w:p>
      <w:pPr>
        <w:spacing w:line="400" w:lineRule="exact"/>
        <w:rPr>
          <w:rFonts w:ascii="宋体" w:hAnsi="宋体"/>
          <w:szCs w:val="21"/>
        </w:rPr>
      </w:pPr>
      <w:r>
        <w:rPr>
          <w:rFonts w:ascii="宋体" w:hAnsi="宋体"/>
          <w:szCs w:val="21"/>
        </w:rPr>
        <w:tab/>
      </w:r>
      <w:r>
        <w:rPr>
          <w:rFonts w:ascii="宋体" w:hAnsi="宋体"/>
          <w:szCs w:val="21"/>
        </w:rPr>
        <w:t>5</w:t>
      </w:r>
      <w:r>
        <w:rPr>
          <w:rFonts w:hint="eastAsia" w:ascii="宋体" w:hAnsi="宋体"/>
          <w:szCs w:val="21"/>
        </w:rPr>
        <w:t>.同意向贵方提供贵方可能要求的与本项目采购有关的人员、数据和资料。</w:t>
      </w:r>
    </w:p>
    <w:p>
      <w:pPr>
        <w:spacing w:line="400" w:lineRule="exact"/>
        <w:ind w:firstLine="424" w:firstLineChars="202"/>
        <w:rPr>
          <w:rFonts w:ascii="宋体" w:hAnsi="宋体"/>
          <w:szCs w:val="21"/>
        </w:rPr>
      </w:pPr>
      <w:r>
        <w:rPr>
          <w:rFonts w:ascii="宋体" w:hAnsi="宋体"/>
          <w:szCs w:val="21"/>
        </w:rPr>
        <w:t>6.</w:t>
      </w:r>
      <w:r>
        <w:rPr>
          <w:rFonts w:hint="eastAsia" w:ascii="宋体" w:hAnsi="宋体"/>
          <w:szCs w:val="21"/>
        </w:rPr>
        <w:t>我方向贵方提交的所有响应文件、资料都是准确的和真实的。</w:t>
      </w:r>
    </w:p>
    <w:p>
      <w:pPr>
        <w:spacing w:line="400" w:lineRule="exact"/>
        <w:rPr>
          <w:rFonts w:ascii="宋体" w:hAnsi="宋体"/>
          <w:szCs w:val="21"/>
        </w:rPr>
      </w:pPr>
    </w:p>
    <w:p>
      <w:pPr>
        <w:spacing w:line="400" w:lineRule="exact"/>
        <w:ind w:firstLine="426"/>
        <w:rPr>
          <w:rFonts w:ascii="宋体" w:hAnsi="宋体"/>
          <w:szCs w:val="21"/>
        </w:rPr>
      </w:pPr>
      <w:r>
        <w:rPr>
          <w:rFonts w:hint="eastAsia" w:ascii="宋体" w:hAnsi="宋体"/>
          <w:szCs w:val="21"/>
        </w:rPr>
        <w:t>与我公司有关的正式通讯方式：</w:t>
      </w:r>
    </w:p>
    <w:p>
      <w:pPr>
        <w:spacing w:line="400" w:lineRule="exact"/>
        <w:rPr>
          <w:rFonts w:ascii="宋体" w:hAnsi="宋体"/>
          <w:szCs w:val="21"/>
        </w:rPr>
      </w:pPr>
      <w:r>
        <w:rPr>
          <w:rFonts w:ascii="宋体" w:hAnsi="宋体"/>
          <w:szCs w:val="21"/>
        </w:rPr>
        <w:tab/>
      </w:r>
      <w:r>
        <w:rPr>
          <w:rFonts w:hint="eastAsia" w:ascii="宋体" w:hAnsi="宋体"/>
          <w:szCs w:val="21"/>
        </w:rPr>
        <w:t>地址：</w:t>
      </w:r>
      <w:r>
        <w:rPr>
          <w:rFonts w:hint="eastAsia" w:ascii="宋体" w:hAnsi="宋体"/>
          <w:szCs w:val="21"/>
          <w:u w:val="single"/>
        </w:rPr>
        <w:t xml:space="preserve">                                   </w:t>
      </w:r>
    </w:p>
    <w:p>
      <w:pPr>
        <w:spacing w:line="400" w:lineRule="exact"/>
        <w:rPr>
          <w:rFonts w:ascii="宋体" w:hAnsi="宋体"/>
          <w:szCs w:val="21"/>
        </w:rPr>
      </w:pPr>
      <w:r>
        <w:rPr>
          <w:rFonts w:ascii="宋体" w:hAnsi="宋体"/>
          <w:szCs w:val="21"/>
        </w:rPr>
        <w:tab/>
      </w:r>
      <w:r>
        <w:rPr>
          <w:rFonts w:hint="eastAsia" w:ascii="宋体" w:hAnsi="宋体"/>
          <w:szCs w:val="21"/>
        </w:rPr>
        <w:t>邮政编码：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exact"/>
        <w:rPr>
          <w:rFonts w:ascii="宋体" w:hAnsi="宋体"/>
          <w:szCs w:val="21"/>
        </w:rPr>
      </w:pPr>
      <w:r>
        <w:rPr>
          <w:rFonts w:ascii="宋体" w:hAnsi="宋体"/>
          <w:szCs w:val="21"/>
        </w:rPr>
        <w:tab/>
      </w:r>
      <w:r>
        <w:rPr>
          <w:rFonts w:hint="eastAsia" w:ascii="宋体" w:hAnsi="宋体"/>
          <w:szCs w:val="21"/>
        </w:rPr>
        <w:t>电话、电报、传真或电传：</w:t>
      </w:r>
      <w:r>
        <w:rPr>
          <w:rFonts w:hint="eastAsia" w:ascii="宋体" w:hAnsi="宋体"/>
          <w:szCs w:val="21"/>
          <w:u w:val="single"/>
        </w:rPr>
        <w:t xml:space="preserve">                 </w:t>
      </w:r>
    </w:p>
    <w:p>
      <w:pPr>
        <w:spacing w:line="400" w:lineRule="exact"/>
        <w:rPr>
          <w:rFonts w:ascii="宋体" w:hAnsi="宋体"/>
          <w:szCs w:val="21"/>
        </w:rPr>
      </w:pPr>
      <w:r>
        <w:rPr>
          <w:rFonts w:ascii="宋体" w:hAnsi="宋体"/>
          <w:szCs w:val="21"/>
        </w:rPr>
        <w:tab/>
      </w:r>
      <w:r>
        <w:rPr>
          <w:rFonts w:hint="eastAsia" w:ascii="宋体" w:hAnsi="宋体"/>
          <w:szCs w:val="21"/>
        </w:rPr>
        <w:t>开户名称：</w:t>
      </w:r>
      <w:r>
        <w:rPr>
          <w:rFonts w:hint="eastAsia" w:ascii="宋体" w:hAnsi="宋体"/>
          <w:szCs w:val="21"/>
          <w:u w:val="single"/>
        </w:rPr>
        <w:t xml:space="preserve">                               </w:t>
      </w:r>
    </w:p>
    <w:p>
      <w:pPr>
        <w:spacing w:line="400" w:lineRule="exact"/>
        <w:rPr>
          <w:rFonts w:ascii="宋体" w:hAnsi="宋体"/>
          <w:szCs w:val="21"/>
        </w:rPr>
      </w:pPr>
      <w:r>
        <w:rPr>
          <w:rFonts w:ascii="宋体" w:hAnsi="宋体"/>
          <w:szCs w:val="21"/>
        </w:rPr>
        <w:tab/>
      </w:r>
      <w:r>
        <w:rPr>
          <w:rFonts w:hint="eastAsia" w:ascii="宋体" w:hAnsi="宋体"/>
          <w:szCs w:val="21"/>
        </w:rPr>
        <w:t>开户银行：</w:t>
      </w:r>
      <w:r>
        <w:rPr>
          <w:rFonts w:hint="eastAsia" w:ascii="宋体" w:hAnsi="宋体"/>
          <w:szCs w:val="21"/>
          <w:u w:val="single"/>
        </w:rPr>
        <w:t xml:space="preserve">                               </w:t>
      </w:r>
    </w:p>
    <w:p>
      <w:pPr>
        <w:spacing w:line="400" w:lineRule="exact"/>
        <w:rPr>
          <w:rFonts w:ascii="宋体" w:hAnsi="宋体"/>
          <w:szCs w:val="21"/>
          <w:u w:val="single"/>
        </w:rPr>
      </w:pPr>
      <w:r>
        <w:rPr>
          <w:rFonts w:ascii="宋体" w:hAnsi="宋体"/>
          <w:szCs w:val="21"/>
        </w:rPr>
        <w:tab/>
      </w:r>
      <w:r>
        <w:rPr>
          <w:rFonts w:hint="eastAsia" w:ascii="宋体" w:hAnsi="宋体"/>
          <w:szCs w:val="21"/>
        </w:rPr>
        <w:t>账    号：</w:t>
      </w:r>
      <w:r>
        <w:rPr>
          <w:rFonts w:hint="eastAsia" w:ascii="宋体" w:hAnsi="宋体"/>
          <w:szCs w:val="21"/>
          <w:u w:val="single"/>
        </w:rPr>
        <w:t xml:space="preserve">                               </w:t>
      </w:r>
    </w:p>
    <w:p/>
    <w:p/>
    <w:p/>
    <w:p>
      <w:pPr>
        <w:spacing w:line="400" w:lineRule="exact"/>
        <w:rPr>
          <w:rFonts w:ascii="宋体" w:hAnsi="宋体"/>
          <w:szCs w:val="21"/>
        </w:rPr>
      </w:pPr>
      <w:r>
        <w:rPr>
          <w:rFonts w:ascii="宋体" w:hAnsi="宋体"/>
          <w:szCs w:val="21"/>
        </w:rPr>
        <w:tab/>
      </w:r>
      <w:r>
        <w:rPr>
          <w:rFonts w:ascii="宋体" w:hAnsi="宋体"/>
          <w:szCs w:val="21"/>
        </w:rPr>
        <w:t xml:space="preserve">                                  </w:t>
      </w:r>
    </w:p>
    <w:p>
      <w:pPr>
        <w:spacing w:line="400" w:lineRule="exact"/>
        <w:rPr>
          <w:rFonts w:ascii="宋体" w:hAnsi="宋体"/>
          <w:szCs w:val="21"/>
        </w:rPr>
      </w:pPr>
      <w:r>
        <w:rPr>
          <w:rFonts w:ascii="宋体" w:hAnsi="宋体"/>
          <w:szCs w:val="21"/>
        </w:rPr>
        <w:tab/>
      </w:r>
      <w:r>
        <w:rPr>
          <w:rFonts w:ascii="宋体" w:hAnsi="宋体"/>
          <w:szCs w:val="21"/>
        </w:rPr>
        <w:t xml:space="preserve">                                              </w:t>
      </w:r>
      <w:r>
        <w:rPr>
          <w:rFonts w:hint="eastAsia" w:ascii="宋体" w:hAnsi="宋体"/>
          <w:szCs w:val="21"/>
        </w:rPr>
        <w:t>供应商（盖章）：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exact"/>
        <w:rPr>
          <w:rFonts w:ascii="宋体" w:hAnsi="宋体"/>
          <w:szCs w:val="21"/>
        </w:rPr>
      </w:pPr>
      <w:r>
        <w:rPr>
          <w:rFonts w:ascii="宋体" w:hAnsi="宋体"/>
          <w:szCs w:val="21"/>
        </w:rPr>
        <w:tab/>
      </w:r>
      <w:r>
        <w:rPr>
          <w:rFonts w:ascii="宋体" w:hAnsi="宋体"/>
          <w:szCs w:val="21"/>
        </w:rPr>
        <w:t xml:space="preserve">                                              </w:t>
      </w:r>
      <w:r>
        <w:rPr>
          <w:rFonts w:hint="eastAsia" w:ascii="宋体" w:hAnsi="宋体"/>
          <w:szCs w:val="21"/>
        </w:rPr>
        <w:t>日期：</w:t>
      </w:r>
      <w:r>
        <w:rPr>
          <w:rFonts w:hint="eastAsia" w:ascii="宋体" w:hAnsi="宋体"/>
          <w:szCs w:val="21"/>
          <w:u w:val="single"/>
        </w:rPr>
        <w:t xml:space="preserve">                    </w:t>
      </w:r>
      <w:r>
        <w:rPr>
          <w:rFonts w:ascii="宋体" w:hAnsi="宋体"/>
          <w:szCs w:val="21"/>
          <w:u w:val="single"/>
        </w:rPr>
        <w:t xml:space="preserve">    </w:t>
      </w:r>
    </w:p>
    <w:p>
      <w:pPr>
        <w:widowControl/>
        <w:jc w:val="left"/>
      </w:pPr>
      <w:r>
        <w:br w:type="page"/>
      </w:r>
    </w:p>
    <w:p/>
    <w:p>
      <w:pPr>
        <w:jc w:val="center"/>
        <w:rPr>
          <w:rFonts w:ascii="仿宋" w:hAnsi="仿宋" w:eastAsia="仿宋"/>
          <w:sz w:val="32"/>
          <w:szCs w:val="32"/>
        </w:rPr>
      </w:pPr>
      <w:r>
        <w:rPr>
          <w:rFonts w:hint="eastAsia" w:ascii="仿宋" w:hAnsi="仿宋" w:eastAsia="仿宋"/>
          <w:b/>
          <w:sz w:val="32"/>
          <w:szCs w:val="32"/>
        </w:rPr>
        <w:t>授权委托书</w:t>
      </w:r>
      <w:bookmarkStart w:id="151" w:name="_Hlk92703623"/>
      <w:r>
        <w:rPr>
          <w:rFonts w:hint="eastAsia" w:ascii="仿宋" w:hAnsi="仿宋" w:eastAsia="仿宋"/>
          <w:sz w:val="24"/>
        </w:rPr>
        <w:t>(格式</w:t>
      </w:r>
      <w:r>
        <w:rPr>
          <w:rFonts w:ascii="仿宋" w:hAnsi="仿宋" w:eastAsia="仿宋"/>
          <w:sz w:val="24"/>
        </w:rPr>
        <w:t>)</w:t>
      </w:r>
      <w:bookmarkEnd w:id="151"/>
    </w:p>
    <w:p>
      <w:pPr>
        <w:snapToGrid w:val="0"/>
        <w:spacing w:before="156" w:beforeLines="50" w:after="50" w:line="500" w:lineRule="exact"/>
        <w:rPr>
          <w:rFonts w:ascii="宋体" w:hAnsi="宋体"/>
          <w:b/>
          <w:bCs/>
          <w:szCs w:val="21"/>
        </w:rPr>
      </w:pPr>
      <w:r>
        <w:rPr>
          <w:rFonts w:hint="eastAsia" w:ascii="宋体" w:hAnsi="宋体"/>
          <w:bCs/>
          <w:szCs w:val="21"/>
        </w:rPr>
        <w:t>致：</w:t>
      </w:r>
      <w:r>
        <w:rPr>
          <w:rFonts w:hint="eastAsia"/>
        </w:rPr>
        <w:t>钦州市政府采购中心</w:t>
      </w:r>
    </w:p>
    <w:p>
      <w:pPr>
        <w:snapToGrid w:val="0"/>
        <w:spacing w:before="156" w:beforeLines="50" w:after="50" w:line="50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（姓名）</w:t>
      </w: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的法定代表人，现授权委托本单位在职职工</w:t>
      </w:r>
      <w:r>
        <w:rPr>
          <w:rFonts w:hint="eastAsia" w:ascii="宋体" w:hAnsi="宋体"/>
          <w:szCs w:val="21"/>
          <w:u w:val="single"/>
        </w:rPr>
        <w:t>（姓名）</w:t>
      </w:r>
      <w:r>
        <w:rPr>
          <w:rFonts w:hint="eastAsia" w:ascii="宋体" w:hAnsi="宋体"/>
          <w:szCs w:val="21"/>
        </w:rPr>
        <w:t>以我方的名义参加</w:t>
      </w:r>
      <w:r>
        <w:rPr>
          <w:rFonts w:hint="eastAsia" w:ascii="宋体" w:hAnsi="宋体"/>
          <w:szCs w:val="21"/>
          <w:u w:val="single"/>
        </w:rPr>
        <w:t>（项目名称/项目编号）</w:t>
      </w:r>
      <w:r>
        <w:rPr>
          <w:rFonts w:hint="eastAsia" w:ascii="宋体" w:hAnsi="宋体"/>
          <w:szCs w:val="21"/>
        </w:rPr>
        <w:t>的磋商活动，并代表我方全权办理针对上述项目的磋商、签约等具体事务和签署相关文件。</w:t>
      </w:r>
    </w:p>
    <w:p>
      <w:pPr>
        <w:snapToGrid w:val="0"/>
        <w:spacing w:before="156" w:beforeLines="50" w:after="50" w:line="500" w:lineRule="exact"/>
        <w:ind w:firstLine="420" w:firstLineChars="200"/>
        <w:rPr>
          <w:rFonts w:ascii="宋体" w:hAnsi="宋体"/>
          <w:szCs w:val="21"/>
        </w:rPr>
      </w:pPr>
      <w:r>
        <w:rPr>
          <w:rFonts w:hint="eastAsia" w:ascii="宋体" w:hAnsi="宋体"/>
          <w:szCs w:val="21"/>
        </w:rPr>
        <w:t>我方对被授权人的签名事项负全部责任。</w:t>
      </w:r>
    </w:p>
    <w:p>
      <w:pPr>
        <w:snapToGrid w:val="0"/>
        <w:spacing w:before="156" w:beforeLines="50" w:after="50" w:line="500" w:lineRule="exact"/>
        <w:ind w:firstLine="420" w:firstLineChars="20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156" w:beforeLines="50" w:after="50" w:line="500" w:lineRule="exact"/>
        <w:ind w:firstLine="420" w:firstLineChars="200"/>
        <w:rPr>
          <w:rFonts w:ascii="宋体" w:hAnsi="宋体"/>
          <w:szCs w:val="21"/>
        </w:rPr>
      </w:pPr>
      <w:r>
        <w:rPr>
          <w:rFonts w:hint="eastAsia" w:ascii="宋体" w:hAnsi="宋体"/>
          <w:szCs w:val="21"/>
        </w:rPr>
        <w:t>被授权人无转委托权，特此委托。</w:t>
      </w:r>
    </w:p>
    <w:p>
      <w:pPr>
        <w:snapToGrid w:val="0"/>
        <w:spacing w:before="156" w:beforeLines="50" w:after="50" w:line="300" w:lineRule="exact"/>
        <w:ind w:firstLine="525" w:firstLineChars="250"/>
        <w:rPr>
          <w:rFonts w:ascii="宋体" w:hAnsi="宋体"/>
          <w:szCs w:val="21"/>
        </w:rPr>
      </w:pPr>
    </w:p>
    <w:p>
      <w:pPr>
        <w:snapToGrid w:val="0"/>
        <w:spacing w:before="156" w:beforeLines="50" w:after="50" w:line="300" w:lineRule="exact"/>
        <w:ind w:firstLine="420" w:firstLineChars="200"/>
        <w:rPr>
          <w:rFonts w:ascii="宋体" w:hAnsi="宋体"/>
          <w:szCs w:val="21"/>
        </w:rPr>
      </w:pPr>
      <w:r>
        <w:rPr>
          <w:rFonts w:hint="eastAsia" w:ascii="宋体" w:hAnsi="宋体"/>
          <w:szCs w:val="21"/>
        </w:rPr>
        <w:t>所在部门职务：</w:t>
      </w:r>
      <w:r>
        <w:rPr>
          <w:rFonts w:hint="eastAsia" w:ascii="宋体" w:hAnsi="宋体"/>
          <w:szCs w:val="21"/>
          <w:u w:val="single"/>
        </w:rPr>
        <w:t xml:space="preserve">                        </w:t>
      </w:r>
    </w:p>
    <w:p>
      <w:pPr>
        <w:snapToGrid w:val="0"/>
        <w:spacing w:before="156" w:beforeLines="50" w:after="50" w:line="300" w:lineRule="exact"/>
        <w:ind w:firstLine="420" w:firstLineChars="200"/>
        <w:rPr>
          <w:rFonts w:ascii="宋体" w:hAnsi="宋体"/>
          <w:szCs w:val="21"/>
          <w:u w:val="single"/>
        </w:rPr>
      </w:pPr>
      <w:r>
        <w:rPr>
          <w:rFonts w:hint="eastAsia" w:ascii="宋体" w:hAnsi="宋体"/>
          <w:szCs w:val="21"/>
        </w:rPr>
        <w:t>职务：</w:t>
      </w:r>
      <w:r>
        <w:rPr>
          <w:rFonts w:hint="eastAsia" w:ascii="宋体" w:hAnsi="宋体"/>
          <w:szCs w:val="21"/>
          <w:u w:val="single"/>
        </w:rPr>
        <w:t xml:space="preserve">                                </w:t>
      </w:r>
    </w:p>
    <w:p>
      <w:pPr>
        <w:snapToGrid w:val="0"/>
        <w:spacing w:before="156" w:beforeLines="50" w:after="50" w:line="300" w:lineRule="exact"/>
        <w:ind w:firstLine="420" w:firstLineChars="200"/>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before="156" w:beforeLines="50" w:after="50" w:line="300" w:lineRule="exact"/>
        <w:ind w:firstLine="420" w:firstLineChars="200"/>
        <w:rPr>
          <w:rFonts w:hAnsi="宋体"/>
        </w:rPr>
      </w:pPr>
      <w:r>
        <w:rPr>
          <w:rFonts w:hint="eastAsia" w:hAnsi="宋体"/>
        </w:rPr>
        <w:t>附：委托代理人身份证扫描件(正反面</w:t>
      </w:r>
      <w:r>
        <w:rPr>
          <w:rFonts w:hAnsi="宋体"/>
        </w:rPr>
        <w:t>)</w:t>
      </w:r>
    </w:p>
    <w:p/>
    <w:p/>
    <w:p/>
    <w:p/>
    <w:p/>
    <w:p>
      <w:pPr>
        <w:snapToGrid w:val="0"/>
        <w:spacing w:before="156" w:beforeLines="50" w:after="50" w:line="200" w:lineRule="exact"/>
        <w:ind w:firstLine="4620" w:firstLineChars="2200"/>
        <w:rPr>
          <w:rFonts w:ascii="宋体" w:hAnsi="宋体"/>
          <w:szCs w:val="21"/>
          <w:u w:val="single"/>
        </w:rPr>
      </w:pPr>
      <w:r>
        <w:rPr>
          <w:rFonts w:hint="eastAsia" w:ascii="宋体" w:hAnsi="宋体"/>
          <w:szCs w:val="21"/>
        </w:rPr>
        <w:t xml:space="preserve">       供应商（盖章）：</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napToGrid w:val="0"/>
        <w:spacing w:before="156" w:beforeLines="50" w:after="50" w:line="200" w:lineRule="exact"/>
        <w:ind w:firstLine="5355" w:firstLineChars="25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napToGrid w:val="0"/>
        <w:spacing w:before="156" w:beforeLines="50" w:after="50" w:line="200" w:lineRule="exact"/>
        <w:ind w:firstLine="5355" w:firstLineChars="255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jc w:val="left"/>
        <w:rPr>
          <w:rFonts w:ascii="宋体" w:hAnsi="Courier New" w:cs="Courier New"/>
          <w:b/>
          <w:bCs/>
          <w:szCs w:val="21"/>
        </w:rPr>
      </w:pPr>
      <w:r>
        <w:rPr>
          <w:b/>
          <w:bCs/>
        </w:rPr>
        <w:br w:type="page"/>
      </w:r>
    </w:p>
    <w:p/>
    <w:p>
      <w:pPr>
        <w:snapToGrid w:val="0"/>
        <w:spacing w:before="156" w:beforeLines="50" w:after="50" w:line="360" w:lineRule="exact"/>
        <w:jc w:val="center"/>
        <w:rPr>
          <w:rFonts w:ascii="仿宋_GB2312" w:eastAsia="仿宋_GB2312"/>
          <w:b/>
          <w:color w:val="000000"/>
          <w:sz w:val="28"/>
          <w:szCs w:val="28"/>
        </w:rPr>
      </w:pPr>
      <w:bookmarkStart w:id="152" w:name="_Hlk92702799"/>
      <w:r>
        <w:rPr>
          <w:rFonts w:hint="eastAsia" w:ascii="仿宋_GB2312" w:hAnsi="宋体" w:eastAsia="仿宋_GB2312"/>
          <w:b/>
          <w:color w:val="000000"/>
          <w:sz w:val="28"/>
          <w:szCs w:val="28"/>
        </w:rPr>
        <w:t>商务响应</w:t>
      </w:r>
      <w:r>
        <w:rPr>
          <w:rFonts w:hint="eastAsia" w:ascii="仿宋_GB2312" w:eastAsia="仿宋_GB2312"/>
          <w:b/>
          <w:color w:val="000000"/>
          <w:sz w:val="28"/>
          <w:szCs w:val="28"/>
        </w:rPr>
        <w:t>表</w:t>
      </w:r>
      <w:r>
        <w:rPr>
          <w:rFonts w:hint="eastAsia" w:ascii="仿宋" w:hAnsi="仿宋" w:eastAsia="仿宋"/>
          <w:sz w:val="24"/>
        </w:rPr>
        <w:t>(格式</w:t>
      </w:r>
      <w:r>
        <w:rPr>
          <w:rFonts w:ascii="仿宋" w:hAnsi="仿宋" w:eastAsia="仿宋"/>
          <w:sz w:val="24"/>
        </w:rPr>
        <w:t>)</w:t>
      </w:r>
    </w:p>
    <w:p/>
    <w:tbl>
      <w:tblPr>
        <w:tblStyle w:val="3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3240"/>
        <w:gridCol w:w="144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000000"/>
                <w:szCs w:val="21"/>
              </w:rPr>
            </w:pPr>
            <w:r>
              <w:rPr>
                <w:rFonts w:hint="eastAsia" w:ascii="宋体" w:hAnsi="宋体"/>
                <w:b/>
                <w:color w:val="000000"/>
                <w:szCs w:val="21"/>
              </w:rPr>
              <w:t>项目</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000000"/>
                <w:szCs w:val="21"/>
              </w:rPr>
            </w:pPr>
            <w:r>
              <w:rPr>
                <w:rFonts w:hint="eastAsia" w:ascii="宋体" w:hAnsi="宋体"/>
                <w:b/>
                <w:color w:val="000000"/>
                <w:szCs w:val="21"/>
              </w:rPr>
              <w:t>采购文件要求</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000000"/>
                <w:szCs w:val="21"/>
              </w:rPr>
            </w:pPr>
            <w:r>
              <w:rPr>
                <w:rFonts w:hint="eastAsia" w:ascii="宋体" w:hAnsi="宋体"/>
                <w:b/>
                <w:color w:val="000000"/>
                <w:szCs w:val="21"/>
              </w:rPr>
              <w:t>是否响应</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b/>
                <w:color w:val="000000"/>
                <w:szCs w:val="21"/>
              </w:rPr>
            </w:pPr>
            <w:r>
              <w:rPr>
                <w:rFonts w:hint="eastAsia" w:ascii="宋体" w:hAnsi="宋体"/>
                <w:b/>
                <w:color w:val="000000"/>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r>
              <w:rPr>
                <w:rFonts w:hint="eastAsia" w:ascii="宋体" w:hAnsi="宋体"/>
                <w:color w:val="000000"/>
                <w:szCs w:val="21"/>
              </w:rPr>
              <w:t>服务期</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r>
              <w:rPr>
                <w:rFonts w:hint="eastAsia" w:ascii="宋体" w:hAnsi="宋体"/>
                <w:color w:val="000000"/>
                <w:szCs w:val="21"/>
              </w:rPr>
              <w:t>服务地点</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000000"/>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43"/>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r>
              <w:rPr>
                <w:rFonts w:hint="eastAsia" w:ascii="宋体" w:hAnsi="宋体"/>
                <w:color w:val="000000"/>
                <w:szCs w:val="21"/>
              </w:rPr>
              <w:t>付款条件</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ind w:left="105"/>
              <w:jc w:val="center"/>
              <w:rPr>
                <w:rFonts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90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r>
              <w:rPr>
                <w:rFonts w:hint="eastAsia" w:ascii="宋体" w:hAnsi="宋体"/>
                <w:color w:val="000000"/>
                <w:szCs w:val="21"/>
              </w:rPr>
              <w:t>…</w:t>
            </w:r>
          </w:p>
        </w:tc>
        <w:tc>
          <w:tcPr>
            <w:tcW w:w="32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exact"/>
              <w:jc w:val="center"/>
              <w:rPr>
                <w:rFonts w:ascii="宋体" w:hAnsi="宋体"/>
                <w:color w:val="000000"/>
                <w:szCs w:val="21"/>
              </w:rPr>
            </w:pPr>
          </w:p>
        </w:tc>
      </w:tr>
    </w:tbl>
    <w:p>
      <w:pPr>
        <w:tabs>
          <w:tab w:val="left" w:pos="3870"/>
          <w:tab w:val="left" w:pos="4085"/>
        </w:tabs>
        <w:snapToGrid w:val="0"/>
        <w:spacing w:line="360" w:lineRule="exact"/>
        <w:rPr>
          <w:rFonts w:ascii="宋体" w:hAnsi="宋体"/>
          <w:b/>
          <w:color w:val="000000"/>
          <w:szCs w:val="21"/>
        </w:rPr>
      </w:pPr>
    </w:p>
    <w:p/>
    <w:p>
      <w:pPr>
        <w:tabs>
          <w:tab w:val="left" w:pos="3870"/>
          <w:tab w:val="left" w:pos="4085"/>
        </w:tabs>
        <w:snapToGrid w:val="0"/>
        <w:spacing w:line="360" w:lineRule="exact"/>
        <w:rPr>
          <w:rFonts w:ascii="宋体" w:hAnsi="宋体"/>
          <w:b/>
          <w:color w:val="000000"/>
          <w:szCs w:val="21"/>
        </w:rPr>
      </w:pPr>
    </w:p>
    <w:p>
      <w:pPr>
        <w:spacing w:line="400" w:lineRule="exact"/>
        <w:ind w:left="6092" w:leftChars="2766" w:right="592" w:rightChars="282" w:hanging="283" w:hangingChars="135"/>
        <w:jc w:val="left"/>
        <w:rPr>
          <w:rFonts w:ascii="宋体" w:hAnsi="宋体"/>
          <w:bCs/>
        </w:rPr>
      </w:pPr>
      <w:r>
        <w:rPr>
          <w:rFonts w:hint="eastAsia" w:ascii="宋体" w:hAnsi="宋体"/>
          <w:color w:val="000000"/>
          <w:szCs w:val="21"/>
        </w:rPr>
        <w:t xml:space="preserve"> </w:t>
      </w:r>
      <w:r>
        <w:rPr>
          <w:rFonts w:ascii="宋体" w:hAnsi="宋体"/>
          <w:color w:val="000000"/>
          <w:szCs w:val="21"/>
        </w:rPr>
        <w:t xml:space="preserve">                                                </w:t>
      </w:r>
      <w:bookmarkEnd w:id="152"/>
      <w:bookmarkStart w:id="153" w:name="_Hlk112311546"/>
      <w:r>
        <w:rPr>
          <w:rFonts w:hint="eastAsia" w:ascii="宋体" w:hAnsi="宋体"/>
          <w:bCs/>
        </w:rPr>
        <w:t>供应商（盖章）：</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napToGrid w:val="0"/>
        <w:spacing w:before="50" w:after="50" w:line="350" w:lineRule="exact"/>
        <w:ind w:right="-817" w:rightChars="-389" w:firstLine="6090" w:firstLineChars="2900"/>
        <w:jc w:val="left"/>
      </w:pPr>
      <w:r>
        <w:rPr>
          <w:rFonts w:hint="eastAsia" w:ascii="宋体" w:hAnsi="宋体"/>
          <w:bCs/>
        </w:rPr>
        <w:t>日期：</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bookmarkEnd w:id="153"/>
    <w:p/>
    <w:p>
      <w:pPr>
        <w:pStyle w:val="22"/>
        <w:spacing w:line="440" w:lineRule="exact"/>
        <w:ind w:firstLine="840"/>
        <w:jc w:val="center"/>
        <w:rPr>
          <w:rFonts w:ascii="仿宋" w:hAnsi="仿宋" w:eastAsia="仿宋"/>
          <w:color w:val="0D0D0D" w:themeColor="text1" w:themeTint="F2"/>
          <w14:textFill>
            <w14:solidFill>
              <w14:schemeClr w14:val="tx1">
                <w14:lumMod w14:val="95000"/>
                <w14:lumOff w14:val="5000"/>
              </w14:schemeClr>
            </w14:solidFill>
          </w14:textFill>
        </w:rPr>
      </w:pPr>
      <w:r>
        <w:rPr>
          <w:rFonts w:hint="eastAsia" w:ascii="仿宋" w:hAnsi="仿宋" w:eastAsia="仿宋" w:cs="黑体"/>
          <w:b/>
          <w:color w:val="0D0D0D" w:themeColor="text1" w:themeTint="F2"/>
          <w:sz w:val="32"/>
          <w:szCs w:val="32"/>
          <w14:textFill>
            <w14:solidFill>
              <w14:schemeClr w14:val="tx1">
                <w14:lumMod w14:val="95000"/>
                <w14:lumOff w14:val="5000"/>
              </w14:schemeClr>
            </w14:solidFill>
          </w14:textFill>
        </w:rPr>
        <w:t>技术响应表</w:t>
      </w:r>
      <w:r>
        <w:rPr>
          <w:rFonts w:hint="eastAsia" w:ascii="仿宋" w:hAnsi="仿宋" w:eastAsia="仿宋"/>
          <w:color w:val="0D0D0D" w:themeColor="text1" w:themeTint="F2"/>
          <w:sz w:val="24"/>
          <w:szCs w:val="24"/>
          <w14:textFill>
            <w14:solidFill>
              <w14:schemeClr w14:val="tx1">
                <w14:lumMod w14:val="95000"/>
                <w14:lumOff w14:val="5000"/>
              </w14:schemeClr>
            </w14:solidFill>
          </w14:textFill>
        </w:rPr>
        <w:t>(格式</w:t>
      </w:r>
      <w:r>
        <w:rPr>
          <w:rFonts w:ascii="仿宋" w:hAnsi="仿宋" w:eastAsia="仿宋"/>
          <w:color w:val="0D0D0D" w:themeColor="text1" w:themeTint="F2"/>
          <w:sz w:val="24"/>
          <w:szCs w:val="24"/>
          <w14:textFill>
            <w14:solidFill>
              <w14:schemeClr w14:val="tx1">
                <w14:lumMod w14:val="95000"/>
                <w14:lumOff w14:val="5000"/>
              </w14:schemeClr>
            </w14:solidFill>
          </w14:textFill>
        </w:rPr>
        <w:t>)</w:t>
      </w:r>
    </w:p>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采购项目编号：</w:t>
      </w:r>
      <w:r>
        <w:rPr>
          <w:rFonts w:hint="eastAsia"/>
          <w:color w:val="0D0D0D" w:themeColor="text1" w:themeTint="F2"/>
          <w:u w:val="single"/>
          <w14:textFill>
            <w14:solidFill>
              <w14:schemeClr w14:val="tx1">
                <w14:lumMod w14:val="95000"/>
                <w14:lumOff w14:val="5000"/>
              </w14:schemeClr>
            </w14:solidFill>
          </w14:textFill>
        </w:rPr>
        <w:t xml:space="preserve">                 </w:t>
      </w:r>
    </w:p>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采购项目名称：</w:t>
      </w:r>
      <w:r>
        <w:rPr>
          <w:rFonts w:hint="eastAsia"/>
          <w:color w:val="0D0D0D" w:themeColor="text1" w:themeTint="F2"/>
          <w:u w:val="single"/>
          <w14:textFill>
            <w14:solidFill>
              <w14:schemeClr w14:val="tx1">
                <w14:lumMod w14:val="95000"/>
                <w14:lumOff w14:val="5000"/>
              </w14:schemeClr>
            </w14:solidFill>
          </w14:textFill>
        </w:rPr>
        <w:t xml:space="preserve">                 </w:t>
      </w:r>
    </w:p>
    <w:tbl>
      <w:tblPr>
        <w:tblStyle w:val="39"/>
        <w:tblW w:w="9415" w:type="dxa"/>
        <w:tblInd w:w="7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480"/>
        <w:gridCol w:w="2835"/>
        <w:gridCol w:w="2268"/>
        <w:gridCol w:w="1418"/>
        <w:gridCol w:w="7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8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标的名称</w:t>
            </w:r>
          </w:p>
        </w:tc>
        <w:tc>
          <w:tcPr>
            <w:tcW w:w="283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采购文件要求</w:t>
            </w:r>
          </w:p>
        </w:tc>
        <w:tc>
          <w:tcPr>
            <w:tcW w:w="226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响应文件具体响应</w:t>
            </w:r>
          </w:p>
        </w:tc>
        <w:tc>
          <w:tcPr>
            <w:tcW w:w="1418"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响应/偏离</w:t>
            </w:r>
          </w:p>
        </w:tc>
        <w:tc>
          <w:tcPr>
            <w:tcW w:w="70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vAlign w:val="center"/>
          </w:tcPr>
          <w:p>
            <w:pPr>
              <w:rPr>
                <w:color w:val="000000" w:themeColor="text1"/>
                <w14:textFill>
                  <w14:solidFill>
                    <w14:schemeClr w14:val="tx1"/>
                  </w14:solidFill>
                </w14:textFill>
              </w:rPr>
            </w:pPr>
          </w:p>
        </w:tc>
        <w:tc>
          <w:tcPr>
            <w:tcW w:w="70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vAlign w:val="center"/>
          </w:tcPr>
          <w:p>
            <w:pPr>
              <w:rPr>
                <w:color w:val="000000" w:themeColor="text1"/>
                <w14:textFill>
                  <w14:solidFill>
                    <w14:schemeClr w14:val="tx1"/>
                  </w14:solidFill>
                </w14:textFill>
              </w:rPr>
            </w:pPr>
          </w:p>
        </w:tc>
        <w:tc>
          <w:tcPr>
            <w:tcW w:w="70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vAlign w:val="center"/>
          </w:tcPr>
          <w:p>
            <w:pPr>
              <w:rPr>
                <w:color w:val="000000" w:themeColor="text1"/>
                <w14:textFill>
                  <w14:solidFill>
                    <w14:schemeClr w14:val="tx1"/>
                  </w14:solidFill>
                </w14:textFill>
              </w:rPr>
            </w:pPr>
          </w:p>
        </w:tc>
        <w:tc>
          <w:tcPr>
            <w:tcW w:w="70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vAlign w:val="center"/>
          </w:tcPr>
          <w:p>
            <w:pPr>
              <w:rPr>
                <w:color w:val="000000" w:themeColor="text1"/>
                <w14:textFill>
                  <w14:solidFill>
                    <w14:schemeClr w14:val="tx1"/>
                  </w14:solidFill>
                </w14:textFill>
              </w:rPr>
            </w:pPr>
          </w:p>
        </w:tc>
        <w:tc>
          <w:tcPr>
            <w:tcW w:w="70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vAlign w:val="center"/>
          </w:tcPr>
          <w:p>
            <w:pPr>
              <w:rPr>
                <w:color w:val="000000" w:themeColor="text1"/>
                <w14:textFill>
                  <w14:solidFill>
                    <w14:schemeClr w14:val="tx1"/>
                  </w14:solidFill>
                </w14:textFill>
              </w:rPr>
            </w:pPr>
          </w:p>
        </w:tc>
        <w:tc>
          <w:tcPr>
            <w:tcW w:w="709" w:type="dxa"/>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0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480" w:type="dxa"/>
            <w:vAlign w:val="center"/>
          </w:tcPr>
          <w:p>
            <w:pPr>
              <w:rPr>
                <w:color w:val="000000" w:themeColor="text1"/>
                <w14:textFill>
                  <w14:solidFill>
                    <w14:schemeClr w14:val="tx1"/>
                  </w14:solidFill>
                </w14:textFill>
              </w:rPr>
            </w:pPr>
          </w:p>
        </w:tc>
        <w:tc>
          <w:tcPr>
            <w:tcW w:w="2835" w:type="dxa"/>
            <w:vAlign w:val="center"/>
          </w:tcPr>
          <w:p>
            <w:pPr>
              <w:rPr>
                <w:color w:val="000000" w:themeColor="text1"/>
                <w14:textFill>
                  <w14:solidFill>
                    <w14:schemeClr w14:val="tx1"/>
                  </w14:solidFill>
                </w14:textFill>
              </w:rPr>
            </w:pPr>
          </w:p>
        </w:tc>
        <w:tc>
          <w:tcPr>
            <w:tcW w:w="2268" w:type="dxa"/>
            <w:vAlign w:val="center"/>
          </w:tcPr>
          <w:p>
            <w:pPr>
              <w:rPr>
                <w:color w:val="000000" w:themeColor="text1"/>
                <w14:textFill>
                  <w14:solidFill>
                    <w14:schemeClr w14:val="tx1"/>
                  </w14:solidFill>
                </w14:textFill>
              </w:rPr>
            </w:pPr>
          </w:p>
        </w:tc>
        <w:tc>
          <w:tcPr>
            <w:tcW w:w="1418" w:type="dxa"/>
            <w:tcBorders>
              <w:right w:val="single" w:color="auto" w:sz="4" w:space="0"/>
            </w:tcBorders>
            <w:vAlign w:val="center"/>
          </w:tcPr>
          <w:p>
            <w:pPr>
              <w:rPr>
                <w:color w:val="000000" w:themeColor="text1"/>
                <w14:textFill>
                  <w14:solidFill>
                    <w14:schemeClr w14:val="tx1"/>
                  </w14:solidFill>
                </w14:textFill>
              </w:rPr>
            </w:pPr>
          </w:p>
        </w:tc>
        <w:tc>
          <w:tcPr>
            <w:tcW w:w="709" w:type="dxa"/>
            <w:tcBorders>
              <w:left w:val="single" w:color="auto" w:sz="4" w:space="0"/>
            </w:tcBorders>
            <w:vAlign w:val="center"/>
          </w:tcPr>
          <w:p>
            <w:pPr>
              <w:rPr>
                <w:color w:val="000000" w:themeColor="text1"/>
                <w14:textFill>
                  <w14:solidFill>
                    <w14:schemeClr w14:val="tx1"/>
                  </w14:solidFill>
                </w14:textFill>
              </w:rPr>
            </w:pPr>
          </w:p>
        </w:tc>
      </w:tr>
    </w:tbl>
    <w:p>
      <w:pPr>
        <w:pStyle w:val="19"/>
        <w:spacing w:line="300" w:lineRule="auto"/>
        <w:ind w:firstLine="105" w:firstLineChars="5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注：供应商须对照采购文件第二章《项目需求》，逐条说明所提供服务对项目需求中服务要求作出的响应，并申明偏离情况。</w:t>
      </w:r>
    </w:p>
    <w:p>
      <w:pPr>
        <w:pStyle w:val="19"/>
        <w:spacing w:line="300" w:lineRule="auto"/>
        <w:ind w:firstLine="0" w:firstLineChars="0"/>
        <w:rPr>
          <w:rFonts w:ascii="宋体" w:hAnsi="宋体" w:eastAsia="宋体"/>
          <w:color w:val="000000" w:themeColor="text1"/>
          <w:sz w:val="21"/>
          <w:szCs w:val="21"/>
          <w14:textFill>
            <w14:solidFill>
              <w14:schemeClr w14:val="tx1"/>
            </w14:solidFill>
          </w14:textFill>
        </w:rPr>
      </w:pPr>
    </w:p>
    <w:p>
      <w:pPr>
        <w:pStyle w:val="22"/>
        <w:spacing w:line="300" w:lineRule="auto"/>
        <w:rPr>
          <w:rFonts w:hAnsi="宋体"/>
          <w:color w:val="000000" w:themeColor="text1"/>
          <w14:textFill>
            <w14:solidFill>
              <w14:schemeClr w14:val="tx1"/>
            </w14:solidFill>
          </w14:textFill>
        </w:rPr>
      </w:pPr>
    </w:p>
    <w:p>
      <w:pPr>
        <w:pStyle w:val="22"/>
        <w:spacing w:line="300" w:lineRule="auto"/>
        <w:ind w:firstLine="5880" w:firstLineChars="28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供应商（盖章）：</w:t>
      </w:r>
      <w:r>
        <w:rPr>
          <w:rFonts w:hint="eastAsia" w:hAnsi="宋体"/>
          <w:color w:val="000000" w:themeColor="text1"/>
          <w:u w:val="single"/>
          <w14:textFill>
            <w14:solidFill>
              <w14:schemeClr w14:val="tx1"/>
            </w14:solidFill>
          </w14:textFill>
        </w:rPr>
        <w:t xml:space="preserve">      </w:t>
      </w:r>
      <w:r>
        <w:rPr>
          <w:rFonts w:hAnsi="宋体"/>
          <w:color w:val="000000" w:themeColor="text1"/>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 </w:t>
      </w:r>
    </w:p>
    <w:p>
      <w:pPr>
        <w:pStyle w:val="22"/>
        <w:spacing w:line="300" w:lineRule="auto"/>
        <w:ind w:firstLine="5880" w:firstLineChars="28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日期：</w:t>
      </w:r>
      <w:r>
        <w:rPr>
          <w:rFonts w:hint="eastAsia" w:hAnsi="宋体"/>
          <w:color w:val="000000" w:themeColor="text1"/>
          <w:u w:val="single"/>
          <w14:textFill>
            <w14:solidFill>
              <w14:schemeClr w14:val="tx1"/>
            </w14:solidFill>
          </w14:textFill>
        </w:rPr>
        <w:t xml:space="preserve">    </w:t>
      </w:r>
      <w:r>
        <w:rPr>
          <w:rFonts w:hAnsi="宋体"/>
          <w:color w:val="000000" w:themeColor="text1"/>
          <w:u w:val="single"/>
          <w14:textFill>
            <w14:solidFill>
              <w14:schemeClr w14:val="tx1"/>
            </w14:solidFill>
          </w14:textFill>
        </w:rPr>
        <w:t xml:space="preserve"> </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年</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月</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w:t>
      </w:r>
    </w:p>
    <w:p/>
    <w:p>
      <w:pPr>
        <w:autoSpaceDE w:val="0"/>
        <w:autoSpaceDN w:val="0"/>
        <w:adjustRightInd w:val="0"/>
        <w:jc w:val="center"/>
        <w:rPr>
          <w:rFonts w:ascii="宋体" w:hAnsi="宋体"/>
          <w:b/>
          <w:sz w:val="28"/>
          <w:szCs w:val="28"/>
        </w:rPr>
      </w:pPr>
      <w:r>
        <w:rPr>
          <w:rFonts w:hint="eastAsia" w:ascii="宋体" w:hAnsi="宋体"/>
          <w:b/>
          <w:sz w:val="28"/>
          <w:szCs w:val="28"/>
        </w:rPr>
        <w:t>人员配置表</w:t>
      </w:r>
      <w:r>
        <w:rPr>
          <w:rFonts w:hint="eastAsia" w:ascii="仿宋" w:hAnsi="仿宋" w:eastAsia="仿宋"/>
          <w:sz w:val="24"/>
        </w:rPr>
        <w:t>(格式</w:t>
      </w:r>
      <w:r>
        <w:rPr>
          <w:rFonts w:ascii="仿宋" w:hAnsi="仿宋" w:eastAsia="仿宋"/>
          <w:sz w:val="24"/>
        </w:rPr>
        <w:t>)</w:t>
      </w:r>
    </w:p>
    <w:p>
      <w:pPr>
        <w:autoSpaceDE w:val="0"/>
        <w:autoSpaceDN w:val="0"/>
        <w:adjustRightInd w:val="0"/>
        <w:rPr>
          <w:rFonts w:ascii="宋体" w:hAnsi="宋体"/>
          <w:lang w:val="zh-CN"/>
        </w:rPr>
      </w:pPr>
    </w:p>
    <w:tbl>
      <w:tblPr>
        <w:tblStyle w:val="3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843"/>
        <w:gridCol w:w="1134"/>
        <w:gridCol w:w="1701"/>
        <w:gridCol w:w="113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704" w:type="dxa"/>
            <w:vAlign w:val="center"/>
          </w:tcPr>
          <w:p>
            <w:pPr>
              <w:autoSpaceDE w:val="0"/>
              <w:autoSpaceDN w:val="0"/>
              <w:adjustRightInd w:val="0"/>
              <w:jc w:val="center"/>
              <w:rPr>
                <w:rFonts w:ascii="宋体" w:hAnsi="宋体"/>
                <w:lang w:val="zh-CN"/>
              </w:rPr>
            </w:pPr>
            <w:r>
              <w:rPr>
                <w:rFonts w:hint="eastAsia" w:ascii="宋体" w:hAnsi="宋体"/>
                <w:lang w:val="zh-CN"/>
              </w:rPr>
              <w:t>序号</w:t>
            </w:r>
          </w:p>
        </w:tc>
        <w:tc>
          <w:tcPr>
            <w:tcW w:w="1134" w:type="dxa"/>
            <w:vAlign w:val="center"/>
          </w:tcPr>
          <w:p>
            <w:pPr>
              <w:autoSpaceDE w:val="0"/>
              <w:autoSpaceDN w:val="0"/>
              <w:adjustRightInd w:val="0"/>
              <w:jc w:val="center"/>
              <w:rPr>
                <w:rFonts w:ascii="宋体" w:hAnsi="宋体"/>
                <w:lang w:val="zh-CN"/>
              </w:rPr>
            </w:pPr>
            <w:r>
              <w:rPr>
                <w:rFonts w:hint="eastAsia" w:ascii="宋体" w:hAnsi="宋体"/>
                <w:lang w:val="zh-CN"/>
              </w:rPr>
              <w:t>姓名</w:t>
            </w:r>
          </w:p>
        </w:tc>
        <w:tc>
          <w:tcPr>
            <w:tcW w:w="1843" w:type="dxa"/>
            <w:vAlign w:val="center"/>
          </w:tcPr>
          <w:p>
            <w:pPr>
              <w:autoSpaceDE w:val="0"/>
              <w:autoSpaceDN w:val="0"/>
              <w:adjustRightInd w:val="0"/>
              <w:jc w:val="center"/>
              <w:rPr>
                <w:rFonts w:ascii="宋体" w:hAnsi="宋体"/>
              </w:rPr>
            </w:pPr>
            <w:r>
              <w:rPr>
                <w:rFonts w:hint="eastAsia" w:ascii="宋体" w:hAnsi="宋体"/>
              </w:rPr>
              <w:t>身份证号</w:t>
            </w:r>
          </w:p>
        </w:tc>
        <w:tc>
          <w:tcPr>
            <w:tcW w:w="1134" w:type="dxa"/>
            <w:vAlign w:val="center"/>
          </w:tcPr>
          <w:p>
            <w:pPr>
              <w:autoSpaceDE w:val="0"/>
              <w:autoSpaceDN w:val="0"/>
              <w:adjustRightInd w:val="0"/>
              <w:jc w:val="center"/>
              <w:rPr>
                <w:rFonts w:ascii="宋体" w:hAnsi="宋体"/>
                <w:lang w:val="zh-CN"/>
              </w:rPr>
            </w:pPr>
            <w:r>
              <w:rPr>
                <w:rFonts w:hint="eastAsia" w:ascii="宋体" w:hAnsi="宋体"/>
                <w:lang w:val="zh-CN"/>
              </w:rPr>
              <w:t>岗位</w:t>
            </w:r>
          </w:p>
        </w:tc>
        <w:tc>
          <w:tcPr>
            <w:tcW w:w="1701" w:type="dxa"/>
            <w:vAlign w:val="center"/>
          </w:tcPr>
          <w:p>
            <w:pPr>
              <w:autoSpaceDE w:val="0"/>
              <w:autoSpaceDN w:val="0"/>
              <w:adjustRightInd w:val="0"/>
              <w:jc w:val="center"/>
              <w:rPr>
                <w:rFonts w:ascii="宋体" w:hAnsi="宋体"/>
                <w:lang w:val="zh-CN"/>
              </w:rPr>
            </w:pPr>
            <w:r>
              <w:rPr>
                <w:rFonts w:hint="eastAsia" w:ascii="宋体" w:hAnsi="宋体"/>
                <w:lang w:val="zh-CN"/>
              </w:rPr>
              <w:t>执业资格/职称</w:t>
            </w:r>
          </w:p>
        </w:tc>
        <w:tc>
          <w:tcPr>
            <w:tcW w:w="1134" w:type="dxa"/>
            <w:vAlign w:val="center"/>
          </w:tcPr>
          <w:p>
            <w:pPr>
              <w:autoSpaceDE w:val="0"/>
              <w:autoSpaceDN w:val="0"/>
              <w:adjustRightInd w:val="0"/>
              <w:jc w:val="center"/>
              <w:rPr>
                <w:rFonts w:ascii="宋体" w:hAnsi="宋体"/>
                <w:lang w:val="zh-CN"/>
              </w:rPr>
            </w:pPr>
            <w:r>
              <w:rPr>
                <w:rFonts w:hint="eastAsia" w:ascii="宋体" w:hAnsi="宋体"/>
                <w:lang w:val="zh-CN"/>
              </w:rPr>
              <w:t>工作经验年限</w:t>
            </w:r>
          </w:p>
        </w:tc>
        <w:tc>
          <w:tcPr>
            <w:tcW w:w="1984" w:type="dxa"/>
            <w:vAlign w:val="center"/>
          </w:tcPr>
          <w:p>
            <w:pPr>
              <w:autoSpaceDE w:val="0"/>
              <w:autoSpaceDN w:val="0"/>
              <w:adjustRightInd w:val="0"/>
              <w:jc w:val="center"/>
              <w:rPr>
                <w:rFonts w:ascii="宋体" w:hAnsi="宋体"/>
                <w:lang w:val="zh-CN"/>
              </w:rPr>
            </w:pPr>
            <w:r>
              <w:rPr>
                <w:rFonts w:hint="eastAsia" w:ascii="宋体" w:hAnsi="宋体"/>
                <w:lang w:val="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vAlign w:val="center"/>
          </w:tcPr>
          <w:p>
            <w:pPr>
              <w:autoSpaceDE w:val="0"/>
              <w:autoSpaceDN w:val="0"/>
              <w:adjustRightInd w:val="0"/>
              <w:jc w:val="center"/>
              <w:rPr>
                <w:rFonts w:ascii="宋体" w:hAnsi="宋体"/>
                <w:lang w:val="zh-CN"/>
              </w:rPr>
            </w:pPr>
            <w:r>
              <w:rPr>
                <w:rFonts w:hint="eastAsia" w:ascii="宋体" w:hAnsi="宋体"/>
                <w:lang w:val="zh-CN"/>
              </w:rPr>
              <w:t>1</w:t>
            </w:r>
          </w:p>
        </w:tc>
        <w:tc>
          <w:tcPr>
            <w:tcW w:w="1134" w:type="dxa"/>
            <w:vAlign w:val="center"/>
          </w:tcPr>
          <w:p>
            <w:pPr>
              <w:autoSpaceDE w:val="0"/>
              <w:autoSpaceDN w:val="0"/>
              <w:adjustRightInd w:val="0"/>
              <w:rPr>
                <w:rFonts w:ascii="宋体" w:hAnsi="宋体"/>
                <w:lang w:val="zh-CN"/>
              </w:rPr>
            </w:pPr>
          </w:p>
        </w:tc>
        <w:tc>
          <w:tcPr>
            <w:tcW w:w="1843"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701"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984" w:type="dxa"/>
          </w:tcPr>
          <w:p>
            <w:pPr>
              <w:autoSpaceDE w:val="0"/>
              <w:autoSpaceDN w:val="0"/>
              <w:adjustRightInd w:val="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vAlign w:val="center"/>
          </w:tcPr>
          <w:p>
            <w:pPr>
              <w:autoSpaceDE w:val="0"/>
              <w:autoSpaceDN w:val="0"/>
              <w:adjustRightInd w:val="0"/>
              <w:jc w:val="center"/>
              <w:rPr>
                <w:rFonts w:ascii="宋体" w:hAnsi="宋体"/>
                <w:lang w:val="zh-CN"/>
              </w:rPr>
            </w:pPr>
            <w:r>
              <w:rPr>
                <w:rFonts w:hint="eastAsia" w:ascii="宋体" w:hAnsi="宋体"/>
                <w:lang w:val="zh-CN"/>
              </w:rPr>
              <w:t>2</w:t>
            </w:r>
          </w:p>
        </w:tc>
        <w:tc>
          <w:tcPr>
            <w:tcW w:w="1134" w:type="dxa"/>
            <w:vAlign w:val="center"/>
          </w:tcPr>
          <w:p>
            <w:pPr>
              <w:autoSpaceDE w:val="0"/>
              <w:autoSpaceDN w:val="0"/>
              <w:adjustRightInd w:val="0"/>
              <w:rPr>
                <w:rFonts w:ascii="宋体" w:hAnsi="宋体"/>
                <w:lang w:val="zh-CN"/>
              </w:rPr>
            </w:pPr>
          </w:p>
        </w:tc>
        <w:tc>
          <w:tcPr>
            <w:tcW w:w="1843"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701"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984" w:type="dxa"/>
          </w:tcPr>
          <w:p>
            <w:pPr>
              <w:autoSpaceDE w:val="0"/>
              <w:autoSpaceDN w:val="0"/>
              <w:adjustRightInd w:val="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vAlign w:val="center"/>
          </w:tcPr>
          <w:p>
            <w:pPr>
              <w:autoSpaceDE w:val="0"/>
              <w:autoSpaceDN w:val="0"/>
              <w:adjustRightInd w:val="0"/>
              <w:jc w:val="center"/>
              <w:rPr>
                <w:rFonts w:ascii="宋体" w:hAnsi="宋体"/>
                <w:lang w:val="zh-CN"/>
              </w:rPr>
            </w:pPr>
            <w:r>
              <w:rPr>
                <w:rFonts w:hint="eastAsia" w:ascii="宋体" w:hAnsi="宋体"/>
                <w:lang w:val="zh-CN"/>
              </w:rPr>
              <w:t>3</w:t>
            </w:r>
          </w:p>
        </w:tc>
        <w:tc>
          <w:tcPr>
            <w:tcW w:w="1134" w:type="dxa"/>
            <w:vAlign w:val="center"/>
          </w:tcPr>
          <w:p>
            <w:pPr>
              <w:autoSpaceDE w:val="0"/>
              <w:autoSpaceDN w:val="0"/>
              <w:adjustRightInd w:val="0"/>
              <w:rPr>
                <w:rFonts w:ascii="宋体" w:hAnsi="宋体"/>
                <w:lang w:val="zh-CN"/>
              </w:rPr>
            </w:pPr>
          </w:p>
        </w:tc>
        <w:tc>
          <w:tcPr>
            <w:tcW w:w="1843"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701"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984" w:type="dxa"/>
          </w:tcPr>
          <w:p>
            <w:pPr>
              <w:autoSpaceDE w:val="0"/>
              <w:autoSpaceDN w:val="0"/>
              <w:adjustRightInd w:val="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04" w:type="dxa"/>
            <w:vAlign w:val="center"/>
          </w:tcPr>
          <w:p>
            <w:pPr>
              <w:autoSpaceDE w:val="0"/>
              <w:autoSpaceDN w:val="0"/>
              <w:adjustRightInd w:val="0"/>
              <w:jc w:val="center"/>
              <w:rPr>
                <w:rFonts w:ascii="宋体" w:hAnsi="宋体"/>
                <w:lang w:val="zh-CN"/>
              </w:rPr>
            </w:pPr>
            <w:r>
              <w:rPr>
                <w:rFonts w:hint="eastAsia" w:ascii="宋体" w:hAnsi="宋体"/>
                <w:lang w:val="zh-CN"/>
              </w:rPr>
              <w:t>…</w:t>
            </w:r>
          </w:p>
        </w:tc>
        <w:tc>
          <w:tcPr>
            <w:tcW w:w="1134" w:type="dxa"/>
          </w:tcPr>
          <w:p>
            <w:pPr>
              <w:autoSpaceDE w:val="0"/>
              <w:autoSpaceDN w:val="0"/>
              <w:adjustRightInd w:val="0"/>
              <w:rPr>
                <w:rFonts w:ascii="宋体" w:hAnsi="宋体"/>
                <w:lang w:val="zh-CN"/>
              </w:rPr>
            </w:pPr>
          </w:p>
        </w:tc>
        <w:tc>
          <w:tcPr>
            <w:tcW w:w="1843"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701" w:type="dxa"/>
          </w:tcPr>
          <w:p>
            <w:pPr>
              <w:autoSpaceDE w:val="0"/>
              <w:autoSpaceDN w:val="0"/>
              <w:adjustRightInd w:val="0"/>
              <w:rPr>
                <w:rFonts w:ascii="宋体" w:hAnsi="宋体"/>
                <w:lang w:val="zh-CN"/>
              </w:rPr>
            </w:pPr>
          </w:p>
        </w:tc>
        <w:tc>
          <w:tcPr>
            <w:tcW w:w="1134" w:type="dxa"/>
          </w:tcPr>
          <w:p>
            <w:pPr>
              <w:autoSpaceDE w:val="0"/>
              <w:autoSpaceDN w:val="0"/>
              <w:adjustRightInd w:val="0"/>
              <w:rPr>
                <w:rFonts w:ascii="宋体" w:hAnsi="宋体"/>
                <w:lang w:val="zh-CN"/>
              </w:rPr>
            </w:pPr>
          </w:p>
        </w:tc>
        <w:tc>
          <w:tcPr>
            <w:tcW w:w="1984" w:type="dxa"/>
          </w:tcPr>
          <w:p>
            <w:pPr>
              <w:autoSpaceDE w:val="0"/>
              <w:autoSpaceDN w:val="0"/>
              <w:adjustRightInd w:val="0"/>
              <w:rPr>
                <w:rFonts w:ascii="宋体" w:hAnsi="宋体"/>
                <w:lang w:val="zh-CN"/>
              </w:rPr>
            </w:pPr>
          </w:p>
        </w:tc>
      </w:tr>
    </w:tbl>
    <w:p>
      <w:pPr>
        <w:snapToGrid w:val="0"/>
        <w:spacing w:before="50" w:after="50" w:line="400" w:lineRule="exact"/>
        <w:ind w:right="-817" w:rightChars="-389" w:firstLine="210" w:firstLineChars="100"/>
        <w:rPr>
          <w:rFonts w:ascii="宋体" w:hAnsi="宋体"/>
          <w:bCs/>
        </w:rPr>
      </w:pPr>
      <w:r>
        <w:rPr>
          <w:rFonts w:hint="eastAsia" w:ascii="宋体" w:hAnsi="宋体"/>
          <w:bCs/>
          <w:lang w:val="zh-CN"/>
        </w:rPr>
        <w:t>注:应</w:t>
      </w:r>
      <w:r>
        <w:rPr>
          <w:rFonts w:hint="eastAsia" w:ascii="宋体" w:hAnsi="宋体"/>
          <w:bCs/>
        </w:rPr>
        <w:t>提供所配置人员姓名、身份证、岗位、资格职称、工作年限等材料。</w:t>
      </w:r>
    </w:p>
    <w:p/>
    <w:p>
      <w:pPr>
        <w:snapToGrid w:val="0"/>
        <w:spacing w:before="50" w:after="50" w:line="320" w:lineRule="exact"/>
        <w:ind w:left="-2" w:leftChars="-1" w:right="-817" w:rightChars="-389" w:firstLine="2"/>
        <w:rPr>
          <w:rFonts w:ascii="宋体" w:hAnsi="宋体"/>
          <w:szCs w:val="21"/>
        </w:rPr>
      </w:pPr>
    </w:p>
    <w:p/>
    <w:p>
      <w:pPr>
        <w:spacing w:line="400" w:lineRule="exact"/>
        <w:ind w:left="6090" w:leftChars="2900" w:right="592" w:rightChars="282" w:firstLine="2" w:firstLineChars="1"/>
        <w:jc w:val="left"/>
        <w:rPr>
          <w:rFonts w:ascii="宋体" w:hAnsi="宋体"/>
          <w:bCs/>
        </w:rPr>
      </w:pPr>
      <w:r>
        <w:rPr>
          <w:rFonts w:hint="eastAsia" w:ascii="宋体" w:hAnsi="宋体"/>
          <w:bCs/>
        </w:rPr>
        <w:t>供应商（盖章）：</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napToGrid w:val="0"/>
        <w:spacing w:before="50" w:after="50" w:line="350" w:lineRule="exact"/>
        <w:ind w:right="-817" w:rightChars="-389" w:firstLine="6090" w:firstLineChars="2900"/>
        <w:jc w:val="left"/>
      </w:pPr>
      <w:r>
        <w:rPr>
          <w:rFonts w:hint="eastAsia" w:ascii="宋体" w:hAnsi="宋体"/>
          <w:bCs/>
        </w:rPr>
        <w:t>日期：</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p/>
    <w:bookmarkEnd w:id="52"/>
    <w:bookmarkEnd w:id="53"/>
    <w:bookmarkEnd w:id="54"/>
    <w:bookmarkEnd w:id="55"/>
    <w:p>
      <w:pPr>
        <w:snapToGrid w:val="0"/>
        <w:spacing w:before="50" w:after="50" w:line="320" w:lineRule="exact"/>
        <w:ind w:right="-817" w:rightChars="-389"/>
      </w:pPr>
    </w:p>
    <w:p>
      <w:pPr>
        <w:autoSpaceDE w:val="0"/>
        <w:autoSpaceDN w:val="0"/>
        <w:adjustRightInd w:val="0"/>
        <w:ind w:firstLine="562"/>
        <w:jc w:val="center"/>
        <w:rPr>
          <w:rFonts w:ascii="宋体" w:hAnsi="宋体"/>
          <w:b/>
          <w:sz w:val="28"/>
          <w:szCs w:val="28"/>
        </w:rPr>
      </w:pPr>
      <w:r>
        <w:rPr>
          <w:rFonts w:hint="eastAsia" w:ascii="宋体" w:hAnsi="宋体"/>
          <w:b/>
          <w:sz w:val="28"/>
          <w:szCs w:val="28"/>
          <w:lang w:val="en-US" w:eastAsia="zh-CN"/>
        </w:rPr>
        <w:t>物资</w:t>
      </w:r>
      <w:r>
        <w:rPr>
          <w:rFonts w:hint="eastAsia" w:ascii="宋体" w:hAnsi="宋体"/>
          <w:b/>
          <w:sz w:val="28"/>
          <w:szCs w:val="28"/>
        </w:rPr>
        <w:t>配置表</w:t>
      </w:r>
      <w:r>
        <w:rPr>
          <w:rFonts w:hint="eastAsia" w:ascii="仿宋" w:hAnsi="仿宋" w:eastAsia="仿宋"/>
          <w:sz w:val="24"/>
        </w:rPr>
        <w:t>(格式</w:t>
      </w:r>
      <w:r>
        <w:rPr>
          <w:rFonts w:ascii="仿宋" w:hAnsi="仿宋" w:eastAsia="仿宋"/>
          <w:sz w:val="24"/>
        </w:rPr>
        <w:t>)</w:t>
      </w:r>
    </w:p>
    <w:tbl>
      <w:tblPr>
        <w:tblStyle w:val="39"/>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621"/>
        <w:gridCol w:w="1035"/>
        <w:gridCol w:w="244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986" w:type="dxa"/>
            <w:noWrap w:val="0"/>
            <w:vAlign w:val="center"/>
          </w:tcPr>
          <w:p>
            <w:pPr>
              <w:autoSpaceDE w:val="0"/>
              <w:autoSpaceDN w:val="0"/>
              <w:adjustRightInd w:val="0"/>
              <w:ind w:firstLine="35" w:firstLineChars="17"/>
              <w:jc w:val="center"/>
              <w:rPr>
                <w:rFonts w:ascii="宋体" w:hAnsi="宋体"/>
                <w:lang w:val="zh-CN"/>
              </w:rPr>
            </w:pPr>
            <w:r>
              <w:rPr>
                <w:rFonts w:hint="eastAsia" w:ascii="宋体" w:hAnsi="宋体"/>
                <w:lang w:val="zh-CN"/>
              </w:rPr>
              <w:t>序号</w:t>
            </w:r>
          </w:p>
        </w:tc>
        <w:tc>
          <w:tcPr>
            <w:tcW w:w="2621" w:type="dxa"/>
            <w:noWrap w:val="0"/>
            <w:vAlign w:val="center"/>
          </w:tcPr>
          <w:p>
            <w:pPr>
              <w:autoSpaceDE w:val="0"/>
              <w:autoSpaceDN w:val="0"/>
              <w:adjustRightInd w:val="0"/>
              <w:ind w:firstLine="35" w:firstLineChars="17"/>
              <w:jc w:val="center"/>
              <w:rPr>
                <w:rFonts w:hint="default" w:ascii="宋体" w:hAnsi="宋体" w:eastAsia="宋体"/>
                <w:lang w:val="en-US" w:eastAsia="zh-CN"/>
              </w:rPr>
            </w:pPr>
            <w:r>
              <w:rPr>
                <w:rFonts w:hint="eastAsia" w:ascii="宋体" w:hAnsi="宋体"/>
                <w:lang w:val="en-US" w:eastAsia="zh-CN"/>
              </w:rPr>
              <w:t>物品名称</w:t>
            </w:r>
          </w:p>
        </w:tc>
        <w:tc>
          <w:tcPr>
            <w:tcW w:w="1035" w:type="dxa"/>
            <w:noWrap w:val="0"/>
            <w:vAlign w:val="center"/>
          </w:tcPr>
          <w:p>
            <w:pPr>
              <w:autoSpaceDE w:val="0"/>
              <w:autoSpaceDN w:val="0"/>
              <w:adjustRightInd w:val="0"/>
              <w:ind w:firstLine="35" w:firstLineChars="17"/>
              <w:jc w:val="center"/>
              <w:rPr>
                <w:rFonts w:hint="eastAsia" w:ascii="宋体" w:hAnsi="宋体" w:eastAsia="宋体"/>
                <w:lang w:val="zh-CN" w:eastAsia="zh-CN"/>
              </w:rPr>
            </w:pPr>
            <w:r>
              <w:rPr>
                <w:rFonts w:hint="eastAsia" w:ascii="宋体" w:hAnsi="宋体"/>
                <w:lang w:val="en-US" w:eastAsia="zh-CN"/>
              </w:rPr>
              <w:t>单位</w:t>
            </w:r>
          </w:p>
        </w:tc>
        <w:tc>
          <w:tcPr>
            <w:tcW w:w="2445" w:type="dxa"/>
            <w:noWrap w:val="0"/>
            <w:vAlign w:val="center"/>
          </w:tcPr>
          <w:p>
            <w:pPr>
              <w:autoSpaceDE w:val="0"/>
              <w:autoSpaceDN w:val="0"/>
              <w:adjustRightInd w:val="0"/>
              <w:ind w:firstLine="35" w:firstLineChars="17"/>
              <w:jc w:val="center"/>
              <w:rPr>
                <w:rFonts w:hint="eastAsia" w:ascii="宋体" w:hAnsi="宋体" w:eastAsia="宋体"/>
                <w:lang w:eastAsia="zh-CN"/>
              </w:rPr>
            </w:pPr>
            <w:r>
              <w:rPr>
                <w:rFonts w:hint="eastAsia" w:ascii="宋体" w:hAnsi="宋体"/>
                <w:lang w:val="en-US" w:eastAsia="zh-CN"/>
              </w:rPr>
              <w:t>数量</w:t>
            </w:r>
          </w:p>
        </w:tc>
        <w:tc>
          <w:tcPr>
            <w:tcW w:w="2325" w:type="dxa"/>
            <w:noWrap w:val="0"/>
            <w:vAlign w:val="center"/>
          </w:tcPr>
          <w:p>
            <w:pPr>
              <w:autoSpaceDE w:val="0"/>
              <w:autoSpaceDN w:val="0"/>
              <w:adjustRightInd w:val="0"/>
              <w:ind w:leftChars="-48" w:hanging="100" w:hangingChars="48"/>
              <w:jc w:val="center"/>
              <w:rPr>
                <w:rFonts w:hint="eastAsia" w:ascii="宋体" w:hAnsi="宋体" w:eastAsia="宋体"/>
                <w:lang w:val="en-US" w:eastAsia="zh-CN"/>
              </w:rPr>
            </w:pPr>
            <w:r>
              <w:rPr>
                <w:rFonts w:hint="eastAsia" w:ascii="宋体" w:hAnsi="宋体"/>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noWrap w:val="0"/>
            <w:vAlign w:val="center"/>
          </w:tcPr>
          <w:p>
            <w:pPr>
              <w:autoSpaceDE w:val="0"/>
              <w:autoSpaceDN w:val="0"/>
              <w:adjustRightInd w:val="0"/>
              <w:ind w:firstLine="0" w:firstLineChars="0"/>
              <w:jc w:val="center"/>
              <w:rPr>
                <w:rFonts w:ascii="宋体" w:hAnsi="宋体"/>
                <w:lang w:val="zh-CN"/>
              </w:rPr>
            </w:pPr>
            <w:r>
              <w:rPr>
                <w:rFonts w:hint="eastAsia" w:ascii="宋体" w:hAnsi="宋体"/>
                <w:lang w:val="zh-CN"/>
              </w:rPr>
              <w:t>1</w:t>
            </w:r>
          </w:p>
        </w:tc>
        <w:tc>
          <w:tcPr>
            <w:tcW w:w="2621" w:type="dxa"/>
            <w:noWrap w:val="0"/>
            <w:vAlign w:val="center"/>
          </w:tcPr>
          <w:p>
            <w:pPr>
              <w:autoSpaceDE w:val="0"/>
              <w:autoSpaceDN w:val="0"/>
              <w:adjustRightInd w:val="0"/>
              <w:ind w:firstLine="420"/>
              <w:rPr>
                <w:rFonts w:ascii="宋体" w:hAnsi="宋体"/>
                <w:lang w:val="zh-CN"/>
              </w:rPr>
            </w:pPr>
          </w:p>
        </w:tc>
        <w:tc>
          <w:tcPr>
            <w:tcW w:w="1035" w:type="dxa"/>
            <w:noWrap w:val="0"/>
            <w:vAlign w:val="center"/>
          </w:tcPr>
          <w:p>
            <w:pPr>
              <w:autoSpaceDE w:val="0"/>
              <w:autoSpaceDN w:val="0"/>
              <w:adjustRightInd w:val="0"/>
              <w:ind w:firstLine="420"/>
              <w:rPr>
                <w:rFonts w:ascii="宋体" w:hAnsi="宋体"/>
                <w:lang w:val="zh-CN"/>
              </w:rPr>
            </w:pPr>
          </w:p>
        </w:tc>
        <w:tc>
          <w:tcPr>
            <w:tcW w:w="2445" w:type="dxa"/>
            <w:noWrap w:val="0"/>
            <w:vAlign w:val="top"/>
          </w:tcPr>
          <w:p>
            <w:pPr>
              <w:autoSpaceDE w:val="0"/>
              <w:autoSpaceDN w:val="0"/>
              <w:adjustRightInd w:val="0"/>
              <w:ind w:firstLine="420"/>
              <w:rPr>
                <w:rFonts w:ascii="宋体" w:hAnsi="宋体"/>
                <w:lang w:val="zh-CN"/>
              </w:rPr>
            </w:pPr>
          </w:p>
        </w:tc>
        <w:tc>
          <w:tcPr>
            <w:tcW w:w="2325" w:type="dxa"/>
            <w:noWrap w:val="0"/>
            <w:vAlign w:val="top"/>
          </w:tcPr>
          <w:p>
            <w:pPr>
              <w:autoSpaceDE w:val="0"/>
              <w:autoSpaceDN w:val="0"/>
              <w:adjustRightInd w:val="0"/>
              <w:ind w:firstLine="42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noWrap w:val="0"/>
            <w:vAlign w:val="center"/>
          </w:tcPr>
          <w:p>
            <w:pPr>
              <w:autoSpaceDE w:val="0"/>
              <w:autoSpaceDN w:val="0"/>
              <w:adjustRightInd w:val="0"/>
              <w:ind w:firstLine="0" w:firstLineChars="0"/>
              <w:jc w:val="center"/>
              <w:rPr>
                <w:rFonts w:ascii="宋体" w:hAnsi="宋体"/>
                <w:lang w:val="zh-CN"/>
              </w:rPr>
            </w:pPr>
            <w:r>
              <w:rPr>
                <w:rFonts w:hint="eastAsia" w:ascii="宋体" w:hAnsi="宋体"/>
                <w:lang w:val="zh-CN"/>
              </w:rPr>
              <w:t>2</w:t>
            </w:r>
          </w:p>
        </w:tc>
        <w:tc>
          <w:tcPr>
            <w:tcW w:w="2621" w:type="dxa"/>
            <w:noWrap w:val="0"/>
            <w:vAlign w:val="center"/>
          </w:tcPr>
          <w:p>
            <w:pPr>
              <w:autoSpaceDE w:val="0"/>
              <w:autoSpaceDN w:val="0"/>
              <w:adjustRightInd w:val="0"/>
              <w:ind w:firstLine="420"/>
              <w:rPr>
                <w:rFonts w:ascii="宋体" w:hAnsi="宋体"/>
                <w:lang w:val="zh-CN"/>
              </w:rPr>
            </w:pPr>
          </w:p>
        </w:tc>
        <w:tc>
          <w:tcPr>
            <w:tcW w:w="1035" w:type="dxa"/>
            <w:noWrap w:val="0"/>
            <w:vAlign w:val="center"/>
          </w:tcPr>
          <w:p>
            <w:pPr>
              <w:autoSpaceDE w:val="0"/>
              <w:autoSpaceDN w:val="0"/>
              <w:adjustRightInd w:val="0"/>
              <w:ind w:firstLine="420"/>
              <w:rPr>
                <w:rFonts w:ascii="宋体" w:hAnsi="宋体"/>
                <w:lang w:val="zh-CN"/>
              </w:rPr>
            </w:pPr>
          </w:p>
        </w:tc>
        <w:tc>
          <w:tcPr>
            <w:tcW w:w="2445" w:type="dxa"/>
            <w:noWrap w:val="0"/>
            <w:vAlign w:val="top"/>
          </w:tcPr>
          <w:p>
            <w:pPr>
              <w:autoSpaceDE w:val="0"/>
              <w:autoSpaceDN w:val="0"/>
              <w:adjustRightInd w:val="0"/>
              <w:ind w:firstLine="420"/>
              <w:rPr>
                <w:rFonts w:ascii="宋体" w:hAnsi="宋体"/>
                <w:lang w:val="zh-CN"/>
              </w:rPr>
            </w:pPr>
          </w:p>
        </w:tc>
        <w:tc>
          <w:tcPr>
            <w:tcW w:w="2325" w:type="dxa"/>
            <w:noWrap w:val="0"/>
            <w:vAlign w:val="top"/>
          </w:tcPr>
          <w:p>
            <w:pPr>
              <w:autoSpaceDE w:val="0"/>
              <w:autoSpaceDN w:val="0"/>
              <w:adjustRightInd w:val="0"/>
              <w:ind w:firstLine="42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noWrap w:val="0"/>
            <w:vAlign w:val="center"/>
          </w:tcPr>
          <w:p>
            <w:pPr>
              <w:autoSpaceDE w:val="0"/>
              <w:autoSpaceDN w:val="0"/>
              <w:adjustRightInd w:val="0"/>
              <w:ind w:firstLine="0" w:firstLineChars="0"/>
              <w:jc w:val="center"/>
              <w:rPr>
                <w:rFonts w:ascii="宋体" w:hAnsi="宋体"/>
                <w:lang w:val="zh-CN"/>
              </w:rPr>
            </w:pPr>
            <w:r>
              <w:rPr>
                <w:rFonts w:hint="eastAsia" w:ascii="宋体" w:hAnsi="宋体"/>
                <w:lang w:val="zh-CN"/>
              </w:rPr>
              <w:t>3</w:t>
            </w:r>
          </w:p>
        </w:tc>
        <w:tc>
          <w:tcPr>
            <w:tcW w:w="2621" w:type="dxa"/>
            <w:noWrap w:val="0"/>
            <w:vAlign w:val="center"/>
          </w:tcPr>
          <w:p>
            <w:pPr>
              <w:autoSpaceDE w:val="0"/>
              <w:autoSpaceDN w:val="0"/>
              <w:adjustRightInd w:val="0"/>
              <w:ind w:firstLine="420"/>
              <w:rPr>
                <w:rFonts w:ascii="宋体" w:hAnsi="宋体"/>
                <w:lang w:val="zh-CN"/>
              </w:rPr>
            </w:pPr>
          </w:p>
        </w:tc>
        <w:tc>
          <w:tcPr>
            <w:tcW w:w="1035" w:type="dxa"/>
            <w:noWrap w:val="0"/>
            <w:vAlign w:val="center"/>
          </w:tcPr>
          <w:p>
            <w:pPr>
              <w:autoSpaceDE w:val="0"/>
              <w:autoSpaceDN w:val="0"/>
              <w:adjustRightInd w:val="0"/>
              <w:ind w:firstLine="420"/>
              <w:rPr>
                <w:rFonts w:ascii="宋体" w:hAnsi="宋体"/>
                <w:lang w:val="zh-CN"/>
              </w:rPr>
            </w:pPr>
          </w:p>
        </w:tc>
        <w:tc>
          <w:tcPr>
            <w:tcW w:w="2445" w:type="dxa"/>
            <w:noWrap w:val="0"/>
            <w:vAlign w:val="top"/>
          </w:tcPr>
          <w:p>
            <w:pPr>
              <w:autoSpaceDE w:val="0"/>
              <w:autoSpaceDN w:val="0"/>
              <w:adjustRightInd w:val="0"/>
              <w:ind w:firstLine="420"/>
              <w:rPr>
                <w:rFonts w:ascii="宋体" w:hAnsi="宋体"/>
                <w:lang w:val="zh-CN"/>
              </w:rPr>
            </w:pPr>
          </w:p>
        </w:tc>
        <w:tc>
          <w:tcPr>
            <w:tcW w:w="2325" w:type="dxa"/>
            <w:noWrap w:val="0"/>
            <w:vAlign w:val="top"/>
          </w:tcPr>
          <w:p>
            <w:pPr>
              <w:autoSpaceDE w:val="0"/>
              <w:autoSpaceDN w:val="0"/>
              <w:adjustRightInd w:val="0"/>
              <w:ind w:firstLine="420"/>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6" w:type="dxa"/>
            <w:noWrap w:val="0"/>
            <w:vAlign w:val="center"/>
          </w:tcPr>
          <w:p>
            <w:pPr>
              <w:autoSpaceDE w:val="0"/>
              <w:autoSpaceDN w:val="0"/>
              <w:adjustRightInd w:val="0"/>
              <w:ind w:firstLine="0" w:firstLineChars="0"/>
              <w:jc w:val="center"/>
              <w:rPr>
                <w:rFonts w:ascii="宋体" w:hAnsi="宋体"/>
                <w:lang w:val="zh-CN"/>
              </w:rPr>
            </w:pPr>
            <w:r>
              <w:rPr>
                <w:rFonts w:hint="eastAsia" w:ascii="宋体" w:hAnsi="宋体"/>
                <w:lang w:val="zh-CN"/>
              </w:rPr>
              <w:t>…</w:t>
            </w:r>
          </w:p>
        </w:tc>
        <w:tc>
          <w:tcPr>
            <w:tcW w:w="2621" w:type="dxa"/>
            <w:noWrap w:val="0"/>
            <w:vAlign w:val="top"/>
          </w:tcPr>
          <w:p>
            <w:pPr>
              <w:autoSpaceDE w:val="0"/>
              <w:autoSpaceDN w:val="0"/>
              <w:adjustRightInd w:val="0"/>
              <w:ind w:firstLine="420"/>
              <w:rPr>
                <w:rFonts w:ascii="宋体" w:hAnsi="宋体"/>
                <w:lang w:val="zh-CN"/>
              </w:rPr>
            </w:pPr>
          </w:p>
        </w:tc>
        <w:tc>
          <w:tcPr>
            <w:tcW w:w="1035" w:type="dxa"/>
            <w:noWrap w:val="0"/>
            <w:vAlign w:val="center"/>
          </w:tcPr>
          <w:p>
            <w:pPr>
              <w:autoSpaceDE w:val="0"/>
              <w:autoSpaceDN w:val="0"/>
              <w:adjustRightInd w:val="0"/>
              <w:ind w:firstLine="420"/>
              <w:rPr>
                <w:rFonts w:ascii="宋体" w:hAnsi="宋体"/>
                <w:lang w:val="zh-CN"/>
              </w:rPr>
            </w:pPr>
          </w:p>
        </w:tc>
        <w:tc>
          <w:tcPr>
            <w:tcW w:w="2445" w:type="dxa"/>
            <w:noWrap w:val="0"/>
            <w:vAlign w:val="top"/>
          </w:tcPr>
          <w:p>
            <w:pPr>
              <w:autoSpaceDE w:val="0"/>
              <w:autoSpaceDN w:val="0"/>
              <w:adjustRightInd w:val="0"/>
              <w:ind w:firstLine="420"/>
              <w:rPr>
                <w:rFonts w:ascii="宋体" w:hAnsi="宋体"/>
                <w:lang w:val="zh-CN"/>
              </w:rPr>
            </w:pPr>
          </w:p>
        </w:tc>
        <w:tc>
          <w:tcPr>
            <w:tcW w:w="2325" w:type="dxa"/>
            <w:noWrap w:val="0"/>
            <w:vAlign w:val="top"/>
          </w:tcPr>
          <w:p>
            <w:pPr>
              <w:autoSpaceDE w:val="0"/>
              <w:autoSpaceDN w:val="0"/>
              <w:adjustRightInd w:val="0"/>
              <w:ind w:firstLine="420"/>
              <w:rPr>
                <w:rFonts w:ascii="宋体" w:hAnsi="宋体"/>
                <w:lang w:val="zh-CN"/>
              </w:rPr>
            </w:pPr>
          </w:p>
        </w:tc>
      </w:tr>
    </w:tbl>
    <w:p>
      <w:pPr>
        <w:pStyle w:val="2"/>
      </w:pPr>
    </w:p>
    <w:p>
      <w:pPr>
        <w:snapToGrid w:val="0"/>
        <w:spacing w:before="50" w:after="50" w:line="320" w:lineRule="exact"/>
        <w:ind w:right="-817" w:rightChars="-389"/>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line="500" w:lineRule="exact"/>
        <w:jc w:val="center"/>
        <w:rPr>
          <w:rFonts w:ascii="宋体" w:hAnsi="宋体"/>
          <w:b/>
          <w:sz w:val="28"/>
          <w:szCs w:val="28"/>
        </w:rPr>
      </w:pPr>
      <w:r>
        <w:rPr>
          <w:rFonts w:hint="eastAsia" w:ascii="宋体" w:hAnsi="宋体"/>
          <w:b/>
          <w:sz w:val="28"/>
          <w:szCs w:val="28"/>
        </w:rPr>
        <w:t>业绩情况一览表</w:t>
      </w:r>
      <w:r>
        <w:rPr>
          <w:rFonts w:hint="eastAsia" w:ascii="仿宋" w:hAnsi="仿宋" w:eastAsia="仿宋"/>
          <w:sz w:val="24"/>
        </w:rPr>
        <w:t>(格式</w:t>
      </w:r>
      <w:r>
        <w:rPr>
          <w:rFonts w:ascii="仿宋" w:hAnsi="仿宋" w:eastAsia="仿宋"/>
          <w:sz w:val="24"/>
        </w:rPr>
        <w:t>)</w:t>
      </w:r>
    </w:p>
    <w:tbl>
      <w:tblPr>
        <w:tblStyle w:val="39"/>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2"/>
        <w:gridCol w:w="2495"/>
        <w:gridCol w:w="2693"/>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甲方名称</w:t>
            </w:r>
          </w:p>
        </w:tc>
        <w:tc>
          <w:tcPr>
            <w:tcW w:w="249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项目名称</w:t>
            </w: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合同金额(万元)</w:t>
            </w: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szCs w:val="21"/>
              </w:rPr>
            </w:pPr>
            <w:r>
              <w:rPr>
                <w:rFonts w:hint="eastAsia" w:ascii="宋体" w:hAnsi="宋体"/>
                <w:szCs w:val="21"/>
              </w:rPr>
              <w:t>合同所在页码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4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p>
        </w:tc>
      </w:tr>
    </w:tbl>
    <w:p>
      <w:pPr>
        <w:spacing w:line="340" w:lineRule="exact"/>
        <w:ind w:firstLine="422" w:firstLineChars="200"/>
        <w:rPr>
          <w:b/>
          <w:szCs w:val="21"/>
        </w:rPr>
      </w:pPr>
      <w:r>
        <w:rPr>
          <w:rFonts w:hint="eastAsia"/>
          <w:b/>
          <w:szCs w:val="21"/>
        </w:rPr>
        <w:t>注：</w:t>
      </w:r>
      <w:r>
        <w:rPr>
          <w:rFonts w:hint="eastAsia"/>
          <w:szCs w:val="21"/>
        </w:rPr>
        <w:t>业绩证明指</w:t>
      </w:r>
      <w:r>
        <w:rPr>
          <w:rFonts w:hint="eastAsia" w:ascii="宋体" w:hAnsi="宋体" w:cs="仿宋_GB2312"/>
          <w:szCs w:val="21"/>
        </w:rPr>
        <w:t>供应商</w:t>
      </w:r>
      <w:r>
        <w:rPr>
          <w:rFonts w:ascii="宋体" w:hAnsi="宋体" w:cs="仿宋_GB2312"/>
          <w:szCs w:val="21"/>
        </w:rPr>
        <w:t>自20</w:t>
      </w:r>
      <w:r>
        <w:rPr>
          <w:rFonts w:hint="eastAsia" w:ascii="宋体" w:hAnsi="宋体" w:cs="仿宋_GB2312"/>
          <w:szCs w:val="21"/>
        </w:rPr>
        <w:t>20年1月1日</w:t>
      </w:r>
      <w:r>
        <w:rPr>
          <w:rFonts w:ascii="宋体" w:hAnsi="宋体" w:cs="仿宋_GB2312"/>
          <w:szCs w:val="21"/>
        </w:rPr>
        <w:t>以来</w:t>
      </w:r>
      <w:r>
        <w:rPr>
          <w:rFonts w:hint="eastAsia" w:ascii="宋体" w:hAnsi="宋体" w:cs="仿宋_GB2312"/>
          <w:szCs w:val="21"/>
        </w:rPr>
        <w:t>的同类项目证明材料</w:t>
      </w:r>
      <w:r>
        <w:rPr>
          <w:rFonts w:hint="eastAsia"/>
          <w:bCs/>
          <w:szCs w:val="21"/>
        </w:rPr>
        <w:t>。</w:t>
      </w:r>
    </w:p>
    <w:p/>
    <w:p/>
    <w:p>
      <w:pPr>
        <w:spacing w:line="400" w:lineRule="exact"/>
        <w:ind w:left="6092" w:leftChars="2766" w:right="592" w:rightChars="282" w:hanging="283" w:hangingChars="135"/>
        <w:jc w:val="left"/>
        <w:rPr>
          <w:rFonts w:ascii="宋体" w:hAnsi="宋体"/>
          <w:bCs/>
        </w:rPr>
      </w:pPr>
      <w:r>
        <w:rPr>
          <w:rFonts w:hint="eastAsia" w:ascii="宋体" w:hAnsi="宋体"/>
          <w:szCs w:val="21"/>
        </w:rPr>
        <w:t xml:space="preserve"> </w:t>
      </w:r>
      <w:r>
        <w:rPr>
          <w:rFonts w:ascii="宋体" w:hAnsi="宋体"/>
          <w:szCs w:val="21"/>
        </w:rPr>
        <w:t xml:space="preserve">                                                   </w:t>
      </w:r>
      <w:r>
        <w:rPr>
          <w:rFonts w:hint="eastAsia" w:ascii="宋体" w:hAnsi="宋体"/>
          <w:bCs/>
        </w:rPr>
        <w:t>供应商（盖章）：</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p>
    <w:p>
      <w:pPr>
        <w:snapToGrid w:val="0"/>
        <w:spacing w:before="50" w:after="50" w:line="350" w:lineRule="exact"/>
        <w:ind w:right="-817" w:rightChars="-389" w:firstLine="6090" w:firstLineChars="2900"/>
        <w:jc w:val="left"/>
      </w:pPr>
      <w:r>
        <w:rPr>
          <w:rFonts w:hint="eastAsia" w:ascii="宋体" w:hAnsi="宋体"/>
          <w:bCs/>
        </w:rPr>
        <w:t>日期：</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年</w:t>
      </w:r>
      <w:r>
        <w:rPr>
          <w:rFonts w:hint="eastAsia" w:ascii="宋体" w:hAnsi="宋体"/>
          <w:bCs/>
          <w:u w:val="single"/>
        </w:rPr>
        <w:t xml:space="preserve">   </w:t>
      </w:r>
      <w:r>
        <w:rPr>
          <w:rFonts w:hint="eastAsia" w:ascii="宋体" w:hAnsi="宋体"/>
          <w:bCs/>
        </w:rPr>
        <w:t>月</w:t>
      </w:r>
      <w:r>
        <w:rPr>
          <w:rFonts w:hint="eastAsia" w:ascii="宋体" w:hAnsi="宋体"/>
          <w:bCs/>
          <w:u w:val="single"/>
        </w:rPr>
        <w:t xml:space="preserve">   </w:t>
      </w:r>
      <w:r>
        <w:rPr>
          <w:rFonts w:hint="eastAsia" w:ascii="宋体" w:hAnsi="宋体"/>
          <w:bCs/>
        </w:rPr>
        <w:t>日</w:t>
      </w:r>
    </w:p>
    <w:p>
      <w:pPr>
        <w:snapToGrid w:val="0"/>
        <w:spacing w:before="50" w:after="50" w:line="350" w:lineRule="exact"/>
        <w:ind w:right="-817" w:rightChars="-389"/>
      </w:pPr>
      <w:r>
        <w:br w:type="page"/>
      </w:r>
    </w:p>
    <w:p>
      <w:pPr>
        <w:jc w:val="left"/>
        <w:rPr>
          <w:rFonts w:ascii="宋体" w:hAnsi="宋体"/>
          <w:b/>
          <w:bCs/>
          <w:sz w:val="36"/>
          <w:szCs w:val="36"/>
        </w:rPr>
      </w:pPr>
      <w:r>
        <w:rPr>
          <w:rFonts w:hint="eastAsia" w:ascii="宋体" w:hAnsi="宋体"/>
          <w:b/>
          <w:bCs/>
          <w:sz w:val="36"/>
          <w:szCs w:val="36"/>
        </w:rPr>
        <w:t>三、报价文件</w:t>
      </w:r>
    </w:p>
    <w:p>
      <w:pPr>
        <w:jc w:val="center"/>
        <w:rPr>
          <w:rFonts w:ascii="仿宋" w:hAnsi="仿宋" w:eastAsia="仿宋"/>
          <w:b/>
          <w:bCs/>
          <w:sz w:val="30"/>
          <w:szCs w:val="30"/>
        </w:rPr>
      </w:pPr>
      <w:r>
        <w:rPr>
          <w:rFonts w:hint="eastAsia" w:ascii="仿宋" w:hAnsi="仿宋" w:eastAsia="仿宋"/>
          <w:b/>
          <w:bCs/>
          <w:sz w:val="32"/>
          <w:szCs w:val="32"/>
        </w:rPr>
        <w:t>报价明细表</w:t>
      </w:r>
      <w:r>
        <w:rPr>
          <w:rFonts w:hint="eastAsia" w:ascii="仿宋" w:hAnsi="仿宋" w:eastAsia="仿宋"/>
          <w:sz w:val="24"/>
        </w:rPr>
        <w:t>(格式</w:t>
      </w:r>
      <w:r>
        <w:rPr>
          <w:rFonts w:ascii="仿宋" w:hAnsi="仿宋" w:eastAsia="仿宋"/>
          <w:sz w:val="24"/>
        </w:rPr>
        <w:t>)</w:t>
      </w:r>
    </w:p>
    <w:p/>
    <w:p>
      <w:pPr>
        <w:spacing w:line="400" w:lineRule="exact"/>
        <w:jc w:val="left"/>
        <w:rPr>
          <w:rFonts w:ascii="宋体" w:hAnsi="宋体"/>
          <w:szCs w:val="21"/>
        </w:rPr>
      </w:pPr>
      <w:r>
        <w:rPr>
          <w:rFonts w:hint="eastAsia" w:ascii="宋体" w:hAnsi="宋体"/>
          <w:szCs w:val="21"/>
        </w:rPr>
        <w:t>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bl>
      <w:tblPr>
        <w:tblStyle w:val="39"/>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822"/>
        <w:gridCol w:w="3378"/>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0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序号</w:t>
            </w:r>
          </w:p>
        </w:tc>
        <w:tc>
          <w:tcPr>
            <w:tcW w:w="3822"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服务内容</w:t>
            </w:r>
          </w:p>
        </w:tc>
        <w:tc>
          <w:tcPr>
            <w:tcW w:w="3378" w:type="dxa"/>
            <w:vAlign w:val="center"/>
          </w:tcPr>
          <w:p>
            <w:pPr>
              <w:widowControl/>
              <w:jc w:val="center"/>
              <w:rPr>
                <w:rFonts w:ascii="宋体" w:hAnsi="宋体" w:cs="宋体"/>
                <w:b/>
                <w:kern w:val="0"/>
                <w:szCs w:val="21"/>
              </w:rPr>
            </w:pPr>
            <w:r>
              <w:rPr>
                <w:rFonts w:hint="eastAsia" w:ascii="宋体" w:hAnsi="宋体" w:cs="宋体"/>
                <w:b/>
                <w:kern w:val="0"/>
                <w:szCs w:val="21"/>
              </w:rPr>
              <w:t>报价</w:t>
            </w:r>
          </w:p>
        </w:tc>
        <w:tc>
          <w:tcPr>
            <w:tcW w:w="1386" w:type="dxa"/>
            <w:vAlign w:val="center"/>
          </w:tcPr>
          <w:p>
            <w:pPr>
              <w:widowControl/>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09" w:type="dxa"/>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822" w:type="dxa"/>
            <w:vAlign w:val="center"/>
          </w:tcPr>
          <w:p>
            <w:pPr>
              <w:widowControl/>
              <w:jc w:val="center"/>
              <w:rPr>
                <w:rFonts w:hint="eastAsia" w:ascii="宋体" w:hAnsi="宋体" w:eastAsia="宋体"/>
                <w:bCs/>
                <w:lang w:eastAsia="zh-CN"/>
              </w:rPr>
            </w:pPr>
            <w:r>
              <w:rPr>
                <w:rFonts w:hint="eastAsia"/>
                <w:lang w:eastAsia="zh-CN"/>
              </w:rPr>
              <w:t>钦州市中级人民法院2024年7月至2025年6月机关安保和物业管理服务</w:t>
            </w:r>
          </w:p>
        </w:tc>
        <w:tc>
          <w:tcPr>
            <w:tcW w:w="3378" w:type="dxa"/>
            <w:vAlign w:val="center"/>
          </w:tcPr>
          <w:p>
            <w:pPr>
              <w:widowControl/>
              <w:spacing w:line="500" w:lineRule="exact"/>
              <w:jc w:val="center"/>
              <w:rPr>
                <w:rFonts w:ascii="宋体" w:hAnsi="宋体" w:cs="宋体"/>
                <w:kern w:val="0"/>
                <w:szCs w:val="21"/>
                <w:u w:val="single"/>
              </w:rPr>
            </w:pPr>
            <w:r>
              <w:rPr>
                <w:rFonts w:hint="eastAsia" w:ascii="宋体" w:hAnsi="宋体" w:cs="宋体"/>
                <w:kern w:val="0"/>
                <w:szCs w:val="21"/>
              </w:rPr>
              <w:t>大写：</w:t>
            </w:r>
            <w:r>
              <w:rPr>
                <w:rFonts w:hint="eastAsia" w:ascii="宋体" w:hAnsi="宋体" w:cs="宋体"/>
                <w:kern w:val="0"/>
                <w:szCs w:val="21"/>
                <w:u w:val="single"/>
              </w:rPr>
              <w:t xml:space="preserve">                   元整</w:t>
            </w:r>
          </w:p>
          <w:p>
            <w:pPr>
              <w:widowControl/>
              <w:spacing w:line="500" w:lineRule="exact"/>
              <w:rPr>
                <w:rFonts w:ascii="宋体" w:hAnsi="宋体" w:cs="宋体"/>
                <w:kern w:val="0"/>
                <w:szCs w:val="21"/>
                <w:u w:val="single"/>
              </w:rPr>
            </w:pPr>
            <w:r>
              <w:rPr>
                <w:rFonts w:hint="eastAsia" w:ascii="宋体" w:hAnsi="宋体" w:cs="宋体"/>
                <w:kern w:val="0"/>
                <w:szCs w:val="21"/>
              </w:rPr>
              <w:t>小写：</w:t>
            </w:r>
            <w:r>
              <w:rPr>
                <w:rFonts w:hint="eastAsia" w:ascii="宋体" w:hAnsi="宋体" w:cs="宋体"/>
                <w:kern w:val="0"/>
                <w:szCs w:val="21"/>
                <w:u w:val="single"/>
              </w:rPr>
              <w:t xml:space="preserve">￥          </w:t>
            </w:r>
            <w:r>
              <w:rPr>
                <w:rFonts w:ascii="宋体" w:hAnsi="宋体" w:cs="宋体"/>
                <w:kern w:val="0"/>
                <w:szCs w:val="21"/>
                <w:u w:val="single"/>
              </w:rPr>
              <w:t xml:space="preserve"> </w:t>
            </w:r>
            <w:r>
              <w:rPr>
                <w:rFonts w:hint="eastAsia" w:ascii="宋体" w:hAnsi="宋体" w:cs="宋体"/>
                <w:kern w:val="0"/>
                <w:szCs w:val="21"/>
                <w:u w:val="single"/>
              </w:rPr>
              <w:t xml:space="preserve">          </w:t>
            </w:r>
          </w:p>
        </w:tc>
        <w:tc>
          <w:tcPr>
            <w:tcW w:w="1386" w:type="dxa"/>
            <w:vAlign w:val="center"/>
          </w:tcPr>
          <w:p>
            <w:pPr>
              <w:widowControl/>
              <w:jc w:val="center"/>
              <w:rPr>
                <w:rFonts w:ascii="宋体" w:hAnsi="宋体" w:cs="宋体"/>
                <w:kern w:val="0"/>
                <w:szCs w:val="21"/>
              </w:rPr>
            </w:pPr>
          </w:p>
        </w:tc>
      </w:tr>
    </w:tbl>
    <w:p>
      <w:pPr>
        <w:spacing w:line="440" w:lineRule="exact"/>
        <w:rPr>
          <w:rFonts w:ascii="宋体" w:hAnsi="宋体"/>
          <w:szCs w:val="21"/>
        </w:rPr>
      </w:pPr>
      <w:r>
        <w:rPr>
          <w:rFonts w:hint="eastAsia" w:ascii="宋体" w:hAnsi="宋体"/>
          <w:szCs w:val="21"/>
        </w:rPr>
        <w:t>注：1.所有价格均用人民币表示，单位为元，精确到个数位。</w:t>
      </w:r>
    </w:p>
    <w:p>
      <w:pPr>
        <w:spacing w:line="440" w:lineRule="exact"/>
      </w:pPr>
      <w:r>
        <w:rPr>
          <w:rFonts w:hint="eastAsia" w:ascii="宋体" w:hAnsi="宋体"/>
          <w:szCs w:val="21"/>
        </w:rPr>
        <w:t xml:space="preserve">    </w:t>
      </w:r>
      <w:r>
        <w:rPr>
          <w:rFonts w:hint="eastAsia" w:ascii="宋体" w:hAnsi="宋体"/>
          <w:bCs/>
          <w:szCs w:val="21"/>
        </w:rPr>
        <w:t>2.</w:t>
      </w:r>
      <w:r>
        <w:rPr>
          <w:rFonts w:hint="eastAsia" w:hAnsi="宋体"/>
          <w:bCs/>
        </w:rPr>
        <w:t>供应商应根据本采购文件指定格式正确填写报价，采取以总价包干方式承包以上所述服务内容，并给出项目总报价。</w:t>
      </w:r>
    </w:p>
    <w:p>
      <w:pPr>
        <w:pStyle w:val="22"/>
        <w:spacing w:before="50" w:after="50" w:line="360" w:lineRule="exact"/>
        <w:ind w:firstLine="420"/>
      </w:pPr>
      <w:r>
        <w:t>3</w:t>
      </w:r>
      <w:r>
        <w:rPr>
          <w:rFonts w:hint="eastAsia"/>
        </w:rPr>
        <w:t>.在符合总体要求的前提下，供应商可对采购文件中没有提及的内容按自己的理解适当增加，但有关价格及费用必须在响应文件中单独列出，并说明理由。</w:t>
      </w:r>
    </w:p>
    <w:p>
      <w:pPr>
        <w:pStyle w:val="22"/>
        <w:spacing w:before="50" w:after="50" w:line="360" w:lineRule="exact"/>
        <w:ind w:firstLine="420"/>
      </w:pPr>
      <w:r>
        <w:t>4.</w:t>
      </w:r>
      <w:r>
        <w:rPr>
          <w:rFonts w:hint="eastAsia" w:hAnsi="宋体"/>
        </w:rPr>
        <w:t>报价为全包价，以人民币为结算单位。在合同实施时，采购人将不予支付成交供应商没有列入的项目费用，并认为此项目的费用已包括在总报价中。采购人不再支付合同以外的其他费用。</w:t>
      </w:r>
    </w:p>
    <w:p/>
    <w:p/>
    <w:p/>
    <w:p>
      <w:pPr>
        <w:pStyle w:val="22"/>
        <w:spacing w:line="440" w:lineRule="exact"/>
        <w:ind w:firstLine="3675" w:firstLineChars="1750"/>
        <w:rPr>
          <w:rFonts w:hAnsi="宋体"/>
          <w:u w:val="single"/>
        </w:rPr>
      </w:pPr>
      <w:r>
        <w:rPr>
          <w:rFonts w:hint="eastAsia" w:hAnsi="宋体"/>
        </w:rPr>
        <w:t>法定代表人或授权代表（签名）：</w:t>
      </w:r>
      <w:r>
        <w:rPr>
          <w:rFonts w:hint="eastAsia" w:hAnsi="宋体"/>
          <w:u w:val="single"/>
        </w:rPr>
        <w:t xml:space="preserve">    </w:t>
      </w:r>
      <w:r>
        <w:rPr>
          <w:rFonts w:hAnsi="宋体"/>
          <w:u w:val="single"/>
        </w:rPr>
        <w:t xml:space="preserve">        </w:t>
      </w:r>
      <w:r>
        <w:rPr>
          <w:rFonts w:hint="eastAsia" w:hAnsi="宋体"/>
          <w:u w:val="single"/>
        </w:rPr>
        <w:t xml:space="preserve">     </w:t>
      </w:r>
    </w:p>
    <w:p>
      <w:pPr>
        <w:pStyle w:val="22"/>
        <w:spacing w:line="440" w:lineRule="exact"/>
        <w:ind w:firstLine="3675" w:firstLineChars="1750"/>
        <w:rPr>
          <w:rFonts w:hAnsi="宋体"/>
          <w:u w:val="single"/>
        </w:rPr>
      </w:pPr>
      <w:r>
        <w:rPr>
          <w:rFonts w:hint="eastAsia" w:hAnsi="宋体"/>
        </w:rPr>
        <w:t>供应商（盖章）：</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p>
    <w:p>
      <w:pPr>
        <w:spacing w:line="440" w:lineRule="exact"/>
        <w:ind w:firstLine="3675" w:firstLineChars="1750"/>
        <w:rPr>
          <w:rFonts w:ascii="宋体" w:hAnsi="宋体"/>
          <w:szCs w:val="21"/>
        </w:rPr>
      </w:pPr>
      <w:r>
        <w:rPr>
          <w:rFonts w:hint="eastAsia" w:hAnsi="宋体"/>
        </w:rPr>
        <w:t>日期：</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月</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日</w:t>
      </w:r>
    </w:p>
    <w:sectPr>
      <w:headerReference r:id="rId5" w:type="default"/>
      <w:footerReference r:id="rId6" w:type="default"/>
      <w:pgSz w:w="11906" w:h="16838"/>
      <w:pgMar w:top="936" w:right="991" w:bottom="1135" w:left="99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dobe 仿宋 Std R">
    <w:altName w:val="仿宋"/>
    <w:panose1 w:val="02020400000000000000"/>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f1mLBgMCAAAEBAAADgAAAAAAAAABACAAAAAe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817553"/>
    </w:sdtPr>
    <w:sdtContent>
      <w:p>
        <w:pPr>
          <w:pStyle w:val="27"/>
          <w:jc w:val="center"/>
        </w:pPr>
        <w:r>
          <w:fldChar w:fldCharType="begin"/>
        </w:r>
        <w:r>
          <w:instrText xml:space="preserve">PAGE   \* MERGEFORMAT</w:instrText>
        </w:r>
        <w:r>
          <w:fldChar w:fldCharType="separate"/>
        </w:r>
        <w:r>
          <w:t>2</w:t>
        </w:r>
        <w: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rPr>
      <w:t xml:space="preserve">钦州市政府采购中心   </w:t>
    </w:r>
    <w:bookmarkStart w:id="154" w:name="_Hlk148450008"/>
    <w:r>
      <w:rPr>
        <w:rFonts w:hint="eastAsia"/>
      </w:rPr>
      <w:t xml:space="preserve"> </w:t>
    </w:r>
    <w:r>
      <w:rPr>
        <w:rFonts w:hint="eastAsia"/>
        <w:lang w:eastAsia="zh-CN"/>
      </w:rPr>
      <w:t>钦州市中级人民法院2024年7月至2025年6月机关安保和物业管理服务</w:t>
    </w:r>
    <w:r>
      <w:rPr>
        <w:rFonts w:hint="eastAsia"/>
      </w:rPr>
      <w:t>(</w:t>
    </w:r>
    <w:bookmarkEnd w:id="154"/>
    <w:r>
      <w:rPr>
        <w:rFonts w:hint="eastAsia"/>
        <w:lang w:eastAsia="zh-CN"/>
      </w:rPr>
      <w:t>QZZC2024-C3-00013-CGZX</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chineseCountingThousand"/>
      <w:pStyle w:val="20"/>
      <w:suff w:val="nothing"/>
      <w:lvlText w:val="第%1章"/>
      <w:lvlJc w:val="left"/>
      <w:pPr>
        <w:ind w:left="142" w:firstLine="0"/>
      </w:pPr>
      <w:rPr>
        <w:rFonts w:hint="eastAsia" w:ascii="仿宋_GB2312" w:eastAsia="仿宋_GB2312"/>
        <w:sz w:val="44"/>
      </w:rPr>
    </w:lvl>
    <w:lvl w:ilvl="1" w:tentative="0">
      <w:start w:val="1"/>
      <w:numFmt w:val="none"/>
      <w:suff w:val="nothing"/>
      <w:lvlText w:val=""/>
      <w:lvlJc w:val="left"/>
      <w:pPr>
        <w:ind w:left="142" w:firstLine="0"/>
      </w:pPr>
      <w:rPr>
        <w:rFonts w:hint="eastAsia"/>
      </w:rPr>
    </w:lvl>
    <w:lvl w:ilvl="2" w:tentative="0">
      <w:start w:val="1"/>
      <w:numFmt w:val="none"/>
      <w:suff w:val="nothing"/>
      <w:lvlText w:val=""/>
      <w:lvlJc w:val="left"/>
      <w:pPr>
        <w:ind w:left="142" w:firstLine="0"/>
      </w:pPr>
      <w:rPr>
        <w:rFonts w:hint="eastAsia"/>
      </w:rPr>
    </w:lvl>
    <w:lvl w:ilvl="3" w:tentative="0">
      <w:start w:val="1"/>
      <w:numFmt w:val="none"/>
      <w:suff w:val="nothing"/>
      <w:lvlText w:val=""/>
      <w:lvlJc w:val="left"/>
      <w:pPr>
        <w:ind w:left="142" w:firstLine="0"/>
      </w:pPr>
      <w:rPr>
        <w:rFonts w:hint="eastAsia"/>
      </w:rPr>
    </w:lvl>
    <w:lvl w:ilvl="4" w:tentative="0">
      <w:start w:val="1"/>
      <w:numFmt w:val="none"/>
      <w:pStyle w:val="7"/>
      <w:suff w:val="nothing"/>
      <w:lvlText w:val=""/>
      <w:lvlJc w:val="left"/>
      <w:pPr>
        <w:ind w:left="142" w:firstLine="0"/>
      </w:pPr>
      <w:rPr>
        <w:rFonts w:hint="eastAsia"/>
      </w:rPr>
    </w:lvl>
    <w:lvl w:ilvl="5" w:tentative="0">
      <w:start w:val="1"/>
      <w:numFmt w:val="none"/>
      <w:pStyle w:val="9"/>
      <w:suff w:val="nothing"/>
      <w:lvlText w:val=""/>
      <w:lvlJc w:val="left"/>
      <w:pPr>
        <w:ind w:left="142" w:firstLine="0"/>
      </w:pPr>
      <w:rPr>
        <w:rFonts w:hint="eastAsia"/>
      </w:rPr>
    </w:lvl>
    <w:lvl w:ilvl="6" w:tentative="0">
      <w:start w:val="1"/>
      <w:numFmt w:val="none"/>
      <w:pStyle w:val="10"/>
      <w:suff w:val="nothing"/>
      <w:lvlText w:val=""/>
      <w:lvlJc w:val="left"/>
      <w:pPr>
        <w:ind w:left="142" w:firstLine="0"/>
      </w:pPr>
      <w:rPr>
        <w:rFonts w:hint="eastAsia"/>
      </w:rPr>
    </w:lvl>
    <w:lvl w:ilvl="7" w:tentative="0">
      <w:start w:val="1"/>
      <w:numFmt w:val="none"/>
      <w:pStyle w:val="11"/>
      <w:suff w:val="nothing"/>
      <w:lvlText w:val=""/>
      <w:lvlJc w:val="left"/>
      <w:pPr>
        <w:ind w:left="142" w:firstLine="0"/>
      </w:pPr>
      <w:rPr>
        <w:rFonts w:hint="eastAsia"/>
      </w:rPr>
    </w:lvl>
    <w:lvl w:ilvl="8" w:tentative="0">
      <w:start w:val="1"/>
      <w:numFmt w:val="none"/>
      <w:pStyle w:val="12"/>
      <w:suff w:val="nothing"/>
      <w:lvlText w:val=""/>
      <w:lvlJc w:val="left"/>
      <w:pPr>
        <w:ind w:left="142" w:firstLine="0"/>
      </w:pPr>
      <w:rPr>
        <w:rFonts w:hint="eastAsia"/>
      </w:rPr>
    </w:lvl>
  </w:abstractNum>
  <w:abstractNum w:abstractNumId="1">
    <w:nsid w:val="0583D07F"/>
    <w:multiLevelType w:val="singleLevel"/>
    <w:tmpl w:val="0583D07F"/>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172A27"/>
    <w:rsid w:val="0000046D"/>
    <w:rsid w:val="0000051F"/>
    <w:rsid w:val="000006F6"/>
    <w:rsid w:val="000009A4"/>
    <w:rsid w:val="00001001"/>
    <w:rsid w:val="0000182C"/>
    <w:rsid w:val="00001C30"/>
    <w:rsid w:val="00001F66"/>
    <w:rsid w:val="00002715"/>
    <w:rsid w:val="0000296D"/>
    <w:rsid w:val="00002E66"/>
    <w:rsid w:val="00003781"/>
    <w:rsid w:val="00003F3C"/>
    <w:rsid w:val="0000486E"/>
    <w:rsid w:val="00004CB0"/>
    <w:rsid w:val="00004CDE"/>
    <w:rsid w:val="00005328"/>
    <w:rsid w:val="00005C03"/>
    <w:rsid w:val="00007E2F"/>
    <w:rsid w:val="00007E51"/>
    <w:rsid w:val="000104B5"/>
    <w:rsid w:val="00010E05"/>
    <w:rsid w:val="00012061"/>
    <w:rsid w:val="000123EC"/>
    <w:rsid w:val="000125C2"/>
    <w:rsid w:val="00013AC8"/>
    <w:rsid w:val="00013C7F"/>
    <w:rsid w:val="00014132"/>
    <w:rsid w:val="00014488"/>
    <w:rsid w:val="000149E9"/>
    <w:rsid w:val="00016092"/>
    <w:rsid w:val="00016829"/>
    <w:rsid w:val="00017A2B"/>
    <w:rsid w:val="00020517"/>
    <w:rsid w:val="000207E1"/>
    <w:rsid w:val="00020DBA"/>
    <w:rsid w:val="00021054"/>
    <w:rsid w:val="000216CC"/>
    <w:rsid w:val="00021A62"/>
    <w:rsid w:val="00022909"/>
    <w:rsid w:val="00022CE2"/>
    <w:rsid w:val="00023813"/>
    <w:rsid w:val="000244C1"/>
    <w:rsid w:val="000248E5"/>
    <w:rsid w:val="00025985"/>
    <w:rsid w:val="00025AC0"/>
    <w:rsid w:val="00027018"/>
    <w:rsid w:val="000272D2"/>
    <w:rsid w:val="0002754E"/>
    <w:rsid w:val="00027664"/>
    <w:rsid w:val="00027A46"/>
    <w:rsid w:val="00027BD3"/>
    <w:rsid w:val="0003093E"/>
    <w:rsid w:val="00032229"/>
    <w:rsid w:val="00032A59"/>
    <w:rsid w:val="00032B1F"/>
    <w:rsid w:val="00032F50"/>
    <w:rsid w:val="00033214"/>
    <w:rsid w:val="000344F4"/>
    <w:rsid w:val="0003479C"/>
    <w:rsid w:val="00034B7D"/>
    <w:rsid w:val="00034C73"/>
    <w:rsid w:val="00034F47"/>
    <w:rsid w:val="00035002"/>
    <w:rsid w:val="0003509E"/>
    <w:rsid w:val="00036EC4"/>
    <w:rsid w:val="00037318"/>
    <w:rsid w:val="00037B70"/>
    <w:rsid w:val="00037EEA"/>
    <w:rsid w:val="000400F8"/>
    <w:rsid w:val="0004027B"/>
    <w:rsid w:val="00040DCA"/>
    <w:rsid w:val="000417D5"/>
    <w:rsid w:val="000419B7"/>
    <w:rsid w:val="00041EAA"/>
    <w:rsid w:val="00041FD1"/>
    <w:rsid w:val="00042DEF"/>
    <w:rsid w:val="00044162"/>
    <w:rsid w:val="00044278"/>
    <w:rsid w:val="000445D1"/>
    <w:rsid w:val="000448E0"/>
    <w:rsid w:val="00045285"/>
    <w:rsid w:val="0004535A"/>
    <w:rsid w:val="00045CF3"/>
    <w:rsid w:val="00045D3B"/>
    <w:rsid w:val="000465AB"/>
    <w:rsid w:val="00046ED2"/>
    <w:rsid w:val="00050908"/>
    <w:rsid w:val="00050B4D"/>
    <w:rsid w:val="00051B41"/>
    <w:rsid w:val="000521BA"/>
    <w:rsid w:val="000525EB"/>
    <w:rsid w:val="00052C3B"/>
    <w:rsid w:val="00053067"/>
    <w:rsid w:val="000530C2"/>
    <w:rsid w:val="00053FFD"/>
    <w:rsid w:val="00054058"/>
    <w:rsid w:val="000548EF"/>
    <w:rsid w:val="00054D61"/>
    <w:rsid w:val="00054F2A"/>
    <w:rsid w:val="00055319"/>
    <w:rsid w:val="00055AA6"/>
    <w:rsid w:val="0005758A"/>
    <w:rsid w:val="000576C1"/>
    <w:rsid w:val="00060064"/>
    <w:rsid w:val="0006170C"/>
    <w:rsid w:val="00061972"/>
    <w:rsid w:val="000619FC"/>
    <w:rsid w:val="00061AC4"/>
    <w:rsid w:val="0006223A"/>
    <w:rsid w:val="00062A59"/>
    <w:rsid w:val="00063151"/>
    <w:rsid w:val="00063B02"/>
    <w:rsid w:val="00064127"/>
    <w:rsid w:val="00064B46"/>
    <w:rsid w:val="00065511"/>
    <w:rsid w:val="0006699C"/>
    <w:rsid w:val="000670F3"/>
    <w:rsid w:val="00067324"/>
    <w:rsid w:val="000675EC"/>
    <w:rsid w:val="00067C97"/>
    <w:rsid w:val="000700B4"/>
    <w:rsid w:val="000707DE"/>
    <w:rsid w:val="000709DB"/>
    <w:rsid w:val="000714E8"/>
    <w:rsid w:val="00071DBC"/>
    <w:rsid w:val="00072665"/>
    <w:rsid w:val="0007297B"/>
    <w:rsid w:val="00072ABB"/>
    <w:rsid w:val="00074159"/>
    <w:rsid w:val="000749B7"/>
    <w:rsid w:val="000753D2"/>
    <w:rsid w:val="00075494"/>
    <w:rsid w:val="0007550C"/>
    <w:rsid w:val="00075C45"/>
    <w:rsid w:val="00076CDB"/>
    <w:rsid w:val="00077B75"/>
    <w:rsid w:val="00077E54"/>
    <w:rsid w:val="000813F4"/>
    <w:rsid w:val="000817C6"/>
    <w:rsid w:val="00081885"/>
    <w:rsid w:val="00081921"/>
    <w:rsid w:val="00081A1B"/>
    <w:rsid w:val="00082980"/>
    <w:rsid w:val="00083D28"/>
    <w:rsid w:val="00083D58"/>
    <w:rsid w:val="00084EA9"/>
    <w:rsid w:val="00084EC7"/>
    <w:rsid w:val="00085936"/>
    <w:rsid w:val="00085C49"/>
    <w:rsid w:val="00085CBC"/>
    <w:rsid w:val="00085EEB"/>
    <w:rsid w:val="000867B0"/>
    <w:rsid w:val="00086B70"/>
    <w:rsid w:val="00087668"/>
    <w:rsid w:val="000904A2"/>
    <w:rsid w:val="00090AF0"/>
    <w:rsid w:val="000910C5"/>
    <w:rsid w:val="00092839"/>
    <w:rsid w:val="00093C1A"/>
    <w:rsid w:val="00093E79"/>
    <w:rsid w:val="00094441"/>
    <w:rsid w:val="00094BC6"/>
    <w:rsid w:val="000953A5"/>
    <w:rsid w:val="00095B54"/>
    <w:rsid w:val="00096670"/>
    <w:rsid w:val="00096B4A"/>
    <w:rsid w:val="00096DE8"/>
    <w:rsid w:val="00097C9E"/>
    <w:rsid w:val="000A0911"/>
    <w:rsid w:val="000A124F"/>
    <w:rsid w:val="000A139A"/>
    <w:rsid w:val="000A2431"/>
    <w:rsid w:val="000A2A30"/>
    <w:rsid w:val="000A358F"/>
    <w:rsid w:val="000A38A0"/>
    <w:rsid w:val="000A3C64"/>
    <w:rsid w:val="000A4362"/>
    <w:rsid w:val="000A4E9B"/>
    <w:rsid w:val="000A61B8"/>
    <w:rsid w:val="000A62BD"/>
    <w:rsid w:val="000A6603"/>
    <w:rsid w:val="000A679A"/>
    <w:rsid w:val="000A6A7F"/>
    <w:rsid w:val="000A6F98"/>
    <w:rsid w:val="000A74E0"/>
    <w:rsid w:val="000A74F6"/>
    <w:rsid w:val="000A7B98"/>
    <w:rsid w:val="000B1427"/>
    <w:rsid w:val="000B1905"/>
    <w:rsid w:val="000B1CCA"/>
    <w:rsid w:val="000B200B"/>
    <w:rsid w:val="000B3976"/>
    <w:rsid w:val="000B3C2D"/>
    <w:rsid w:val="000B3C40"/>
    <w:rsid w:val="000B470D"/>
    <w:rsid w:val="000B5181"/>
    <w:rsid w:val="000B5395"/>
    <w:rsid w:val="000B62CB"/>
    <w:rsid w:val="000B6350"/>
    <w:rsid w:val="000B678F"/>
    <w:rsid w:val="000B6FEF"/>
    <w:rsid w:val="000B7F9A"/>
    <w:rsid w:val="000C0328"/>
    <w:rsid w:val="000C03D4"/>
    <w:rsid w:val="000C0D86"/>
    <w:rsid w:val="000C1621"/>
    <w:rsid w:val="000C1CD7"/>
    <w:rsid w:val="000C2778"/>
    <w:rsid w:val="000C2784"/>
    <w:rsid w:val="000C2E74"/>
    <w:rsid w:val="000C32AE"/>
    <w:rsid w:val="000C3380"/>
    <w:rsid w:val="000C4477"/>
    <w:rsid w:val="000C4807"/>
    <w:rsid w:val="000C4C6A"/>
    <w:rsid w:val="000C5751"/>
    <w:rsid w:val="000C57F9"/>
    <w:rsid w:val="000C598C"/>
    <w:rsid w:val="000C618E"/>
    <w:rsid w:val="000C6342"/>
    <w:rsid w:val="000C6CE1"/>
    <w:rsid w:val="000C70D4"/>
    <w:rsid w:val="000C7B9D"/>
    <w:rsid w:val="000C7DC5"/>
    <w:rsid w:val="000D02E9"/>
    <w:rsid w:val="000D1274"/>
    <w:rsid w:val="000D1597"/>
    <w:rsid w:val="000D16A7"/>
    <w:rsid w:val="000D1C6A"/>
    <w:rsid w:val="000D1F8D"/>
    <w:rsid w:val="000D22BD"/>
    <w:rsid w:val="000D26E7"/>
    <w:rsid w:val="000D53AE"/>
    <w:rsid w:val="000D53B2"/>
    <w:rsid w:val="000D53F2"/>
    <w:rsid w:val="000D5524"/>
    <w:rsid w:val="000D5748"/>
    <w:rsid w:val="000D5C8A"/>
    <w:rsid w:val="000D6207"/>
    <w:rsid w:val="000D6C9D"/>
    <w:rsid w:val="000D78E6"/>
    <w:rsid w:val="000D7A7B"/>
    <w:rsid w:val="000E0487"/>
    <w:rsid w:val="000E232F"/>
    <w:rsid w:val="000E285B"/>
    <w:rsid w:val="000E348C"/>
    <w:rsid w:val="000E4505"/>
    <w:rsid w:val="000E545D"/>
    <w:rsid w:val="000F0150"/>
    <w:rsid w:val="000F03FE"/>
    <w:rsid w:val="000F152C"/>
    <w:rsid w:val="000F17C9"/>
    <w:rsid w:val="000F29F7"/>
    <w:rsid w:val="000F3668"/>
    <w:rsid w:val="000F383E"/>
    <w:rsid w:val="000F38CF"/>
    <w:rsid w:val="000F3F16"/>
    <w:rsid w:val="000F449F"/>
    <w:rsid w:val="000F48C9"/>
    <w:rsid w:val="000F6024"/>
    <w:rsid w:val="001009D3"/>
    <w:rsid w:val="00100B14"/>
    <w:rsid w:val="00100EB7"/>
    <w:rsid w:val="0010174C"/>
    <w:rsid w:val="0010201F"/>
    <w:rsid w:val="0010254F"/>
    <w:rsid w:val="00102B73"/>
    <w:rsid w:val="00102C51"/>
    <w:rsid w:val="00103216"/>
    <w:rsid w:val="0010330D"/>
    <w:rsid w:val="001039BF"/>
    <w:rsid w:val="00103CB4"/>
    <w:rsid w:val="00103D6B"/>
    <w:rsid w:val="001051D1"/>
    <w:rsid w:val="00107F42"/>
    <w:rsid w:val="00110401"/>
    <w:rsid w:val="00110C0F"/>
    <w:rsid w:val="00110E22"/>
    <w:rsid w:val="001110F1"/>
    <w:rsid w:val="0011195C"/>
    <w:rsid w:val="00112E30"/>
    <w:rsid w:val="00112F4E"/>
    <w:rsid w:val="001138CB"/>
    <w:rsid w:val="00114739"/>
    <w:rsid w:val="00115CAC"/>
    <w:rsid w:val="001160DE"/>
    <w:rsid w:val="00116718"/>
    <w:rsid w:val="00116FC8"/>
    <w:rsid w:val="00117835"/>
    <w:rsid w:val="0012024C"/>
    <w:rsid w:val="00120493"/>
    <w:rsid w:val="00120D94"/>
    <w:rsid w:val="00120DFA"/>
    <w:rsid w:val="001218FE"/>
    <w:rsid w:val="00121CC1"/>
    <w:rsid w:val="001221BE"/>
    <w:rsid w:val="00123679"/>
    <w:rsid w:val="001236BF"/>
    <w:rsid w:val="001236EB"/>
    <w:rsid w:val="00123ACC"/>
    <w:rsid w:val="00124792"/>
    <w:rsid w:val="00124CEA"/>
    <w:rsid w:val="00124CF0"/>
    <w:rsid w:val="00125726"/>
    <w:rsid w:val="001258B7"/>
    <w:rsid w:val="001267FF"/>
    <w:rsid w:val="00126855"/>
    <w:rsid w:val="00127196"/>
    <w:rsid w:val="00127F9D"/>
    <w:rsid w:val="0013084E"/>
    <w:rsid w:val="001315D8"/>
    <w:rsid w:val="00131845"/>
    <w:rsid w:val="00132B8C"/>
    <w:rsid w:val="0013360D"/>
    <w:rsid w:val="00133E41"/>
    <w:rsid w:val="00133E7C"/>
    <w:rsid w:val="00134D7F"/>
    <w:rsid w:val="00134F05"/>
    <w:rsid w:val="00134F65"/>
    <w:rsid w:val="0013526C"/>
    <w:rsid w:val="001355FB"/>
    <w:rsid w:val="001356B6"/>
    <w:rsid w:val="0013661A"/>
    <w:rsid w:val="00136E07"/>
    <w:rsid w:val="00136F43"/>
    <w:rsid w:val="001372D1"/>
    <w:rsid w:val="001374A2"/>
    <w:rsid w:val="00141121"/>
    <w:rsid w:val="001429D7"/>
    <w:rsid w:val="00143437"/>
    <w:rsid w:val="00143891"/>
    <w:rsid w:val="00145073"/>
    <w:rsid w:val="0014515E"/>
    <w:rsid w:val="0014559E"/>
    <w:rsid w:val="00145749"/>
    <w:rsid w:val="00145A72"/>
    <w:rsid w:val="00145EF0"/>
    <w:rsid w:val="001462D6"/>
    <w:rsid w:val="001464A7"/>
    <w:rsid w:val="001468E7"/>
    <w:rsid w:val="00147344"/>
    <w:rsid w:val="001477F2"/>
    <w:rsid w:val="0015006E"/>
    <w:rsid w:val="0015059D"/>
    <w:rsid w:val="00151322"/>
    <w:rsid w:val="00151A22"/>
    <w:rsid w:val="00152576"/>
    <w:rsid w:val="00152C66"/>
    <w:rsid w:val="00153A5A"/>
    <w:rsid w:val="00153EDA"/>
    <w:rsid w:val="001547CA"/>
    <w:rsid w:val="00154C02"/>
    <w:rsid w:val="00154C69"/>
    <w:rsid w:val="0015529D"/>
    <w:rsid w:val="00156328"/>
    <w:rsid w:val="00156678"/>
    <w:rsid w:val="00156E9D"/>
    <w:rsid w:val="001573B4"/>
    <w:rsid w:val="00157B9D"/>
    <w:rsid w:val="001600BF"/>
    <w:rsid w:val="001601A2"/>
    <w:rsid w:val="00160295"/>
    <w:rsid w:val="001607B6"/>
    <w:rsid w:val="00160AC0"/>
    <w:rsid w:val="001625C2"/>
    <w:rsid w:val="00162969"/>
    <w:rsid w:val="00162E86"/>
    <w:rsid w:val="00163D73"/>
    <w:rsid w:val="00163D88"/>
    <w:rsid w:val="00164096"/>
    <w:rsid w:val="0016529E"/>
    <w:rsid w:val="00165AA4"/>
    <w:rsid w:val="00165B1C"/>
    <w:rsid w:val="00166036"/>
    <w:rsid w:val="001662BD"/>
    <w:rsid w:val="00166603"/>
    <w:rsid w:val="0016676B"/>
    <w:rsid w:val="001675A5"/>
    <w:rsid w:val="00170111"/>
    <w:rsid w:val="00170697"/>
    <w:rsid w:val="00171C1A"/>
    <w:rsid w:val="00172708"/>
    <w:rsid w:val="001727B0"/>
    <w:rsid w:val="00172A27"/>
    <w:rsid w:val="00173260"/>
    <w:rsid w:val="00173C43"/>
    <w:rsid w:val="00174BEA"/>
    <w:rsid w:val="0017537B"/>
    <w:rsid w:val="001759CF"/>
    <w:rsid w:val="00175B5D"/>
    <w:rsid w:val="00176197"/>
    <w:rsid w:val="00176986"/>
    <w:rsid w:val="00176B7D"/>
    <w:rsid w:val="00177FB1"/>
    <w:rsid w:val="001809EC"/>
    <w:rsid w:val="00180D02"/>
    <w:rsid w:val="00180D92"/>
    <w:rsid w:val="00181809"/>
    <w:rsid w:val="00182FF5"/>
    <w:rsid w:val="0018316B"/>
    <w:rsid w:val="001837AA"/>
    <w:rsid w:val="00183BC0"/>
    <w:rsid w:val="0018456A"/>
    <w:rsid w:val="00184681"/>
    <w:rsid w:val="001847DB"/>
    <w:rsid w:val="00185C46"/>
    <w:rsid w:val="00185D1E"/>
    <w:rsid w:val="00185D2D"/>
    <w:rsid w:val="00185EF5"/>
    <w:rsid w:val="00185F81"/>
    <w:rsid w:val="0018652D"/>
    <w:rsid w:val="00186AA0"/>
    <w:rsid w:val="00187828"/>
    <w:rsid w:val="00187EAA"/>
    <w:rsid w:val="00190B5F"/>
    <w:rsid w:val="001912D2"/>
    <w:rsid w:val="00191575"/>
    <w:rsid w:val="00191DE6"/>
    <w:rsid w:val="00191F07"/>
    <w:rsid w:val="00191FD8"/>
    <w:rsid w:val="0019224F"/>
    <w:rsid w:val="0019227A"/>
    <w:rsid w:val="001923BA"/>
    <w:rsid w:val="00192653"/>
    <w:rsid w:val="0019338C"/>
    <w:rsid w:val="00194C01"/>
    <w:rsid w:val="00196AD9"/>
    <w:rsid w:val="00197F91"/>
    <w:rsid w:val="001A0381"/>
    <w:rsid w:val="001A04B7"/>
    <w:rsid w:val="001A10F0"/>
    <w:rsid w:val="001A24D5"/>
    <w:rsid w:val="001A2637"/>
    <w:rsid w:val="001A270B"/>
    <w:rsid w:val="001A2CE9"/>
    <w:rsid w:val="001A37A7"/>
    <w:rsid w:val="001A397E"/>
    <w:rsid w:val="001A3D56"/>
    <w:rsid w:val="001A3E22"/>
    <w:rsid w:val="001A4A03"/>
    <w:rsid w:val="001A4DEE"/>
    <w:rsid w:val="001A51A4"/>
    <w:rsid w:val="001A52EC"/>
    <w:rsid w:val="001A5691"/>
    <w:rsid w:val="001A592E"/>
    <w:rsid w:val="001A5B3D"/>
    <w:rsid w:val="001A608D"/>
    <w:rsid w:val="001A64AB"/>
    <w:rsid w:val="001A69D0"/>
    <w:rsid w:val="001A6D66"/>
    <w:rsid w:val="001A7510"/>
    <w:rsid w:val="001A79FC"/>
    <w:rsid w:val="001B0FFF"/>
    <w:rsid w:val="001B1422"/>
    <w:rsid w:val="001B1780"/>
    <w:rsid w:val="001B2789"/>
    <w:rsid w:val="001B3396"/>
    <w:rsid w:val="001B45AC"/>
    <w:rsid w:val="001B4641"/>
    <w:rsid w:val="001B49B9"/>
    <w:rsid w:val="001B53CE"/>
    <w:rsid w:val="001B5555"/>
    <w:rsid w:val="001B5A4E"/>
    <w:rsid w:val="001B621A"/>
    <w:rsid w:val="001B639B"/>
    <w:rsid w:val="001B66C9"/>
    <w:rsid w:val="001B7226"/>
    <w:rsid w:val="001B79CA"/>
    <w:rsid w:val="001C006C"/>
    <w:rsid w:val="001C046C"/>
    <w:rsid w:val="001C0792"/>
    <w:rsid w:val="001C111E"/>
    <w:rsid w:val="001C1954"/>
    <w:rsid w:val="001C1CB6"/>
    <w:rsid w:val="001C2637"/>
    <w:rsid w:val="001C2856"/>
    <w:rsid w:val="001C36F2"/>
    <w:rsid w:val="001C37B8"/>
    <w:rsid w:val="001C3997"/>
    <w:rsid w:val="001C4006"/>
    <w:rsid w:val="001C4264"/>
    <w:rsid w:val="001C46E6"/>
    <w:rsid w:val="001C4E13"/>
    <w:rsid w:val="001C5049"/>
    <w:rsid w:val="001C5A88"/>
    <w:rsid w:val="001C5F33"/>
    <w:rsid w:val="001D131F"/>
    <w:rsid w:val="001D145B"/>
    <w:rsid w:val="001D1E0C"/>
    <w:rsid w:val="001D2BC7"/>
    <w:rsid w:val="001D32DF"/>
    <w:rsid w:val="001D3347"/>
    <w:rsid w:val="001D342C"/>
    <w:rsid w:val="001D3D7A"/>
    <w:rsid w:val="001D3D91"/>
    <w:rsid w:val="001D3FE6"/>
    <w:rsid w:val="001D426E"/>
    <w:rsid w:val="001D47A2"/>
    <w:rsid w:val="001D4CB2"/>
    <w:rsid w:val="001D5364"/>
    <w:rsid w:val="001D542E"/>
    <w:rsid w:val="001D5AB1"/>
    <w:rsid w:val="001D6B41"/>
    <w:rsid w:val="001D6B43"/>
    <w:rsid w:val="001D6C9C"/>
    <w:rsid w:val="001D6FF1"/>
    <w:rsid w:val="001D7C0A"/>
    <w:rsid w:val="001E135A"/>
    <w:rsid w:val="001E19F1"/>
    <w:rsid w:val="001E1B96"/>
    <w:rsid w:val="001E3151"/>
    <w:rsid w:val="001E33E7"/>
    <w:rsid w:val="001E3A70"/>
    <w:rsid w:val="001E4160"/>
    <w:rsid w:val="001E4638"/>
    <w:rsid w:val="001E4649"/>
    <w:rsid w:val="001E4806"/>
    <w:rsid w:val="001E4F61"/>
    <w:rsid w:val="001E5228"/>
    <w:rsid w:val="001E56BE"/>
    <w:rsid w:val="001E5D7F"/>
    <w:rsid w:val="001E606C"/>
    <w:rsid w:val="001E6E0F"/>
    <w:rsid w:val="001E7383"/>
    <w:rsid w:val="001E7A45"/>
    <w:rsid w:val="001F0090"/>
    <w:rsid w:val="001F01FC"/>
    <w:rsid w:val="001F145B"/>
    <w:rsid w:val="001F1B44"/>
    <w:rsid w:val="001F220E"/>
    <w:rsid w:val="001F299F"/>
    <w:rsid w:val="001F409D"/>
    <w:rsid w:val="001F4364"/>
    <w:rsid w:val="001F4B03"/>
    <w:rsid w:val="001F53DC"/>
    <w:rsid w:val="001F612B"/>
    <w:rsid w:val="001F69C1"/>
    <w:rsid w:val="001F6A5F"/>
    <w:rsid w:val="001F7194"/>
    <w:rsid w:val="001F78C9"/>
    <w:rsid w:val="00200210"/>
    <w:rsid w:val="002005D7"/>
    <w:rsid w:val="00200C07"/>
    <w:rsid w:val="00201D62"/>
    <w:rsid w:val="002030D5"/>
    <w:rsid w:val="00203236"/>
    <w:rsid w:val="00203374"/>
    <w:rsid w:val="002047A7"/>
    <w:rsid w:val="00204832"/>
    <w:rsid w:val="00205192"/>
    <w:rsid w:val="0020627E"/>
    <w:rsid w:val="002069C4"/>
    <w:rsid w:val="00207574"/>
    <w:rsid w:val="00207788"/>
    <w:rsid w:val="00207BB0"/>
    <w:rsid w:val="00210236"/>
    <w:rsid w:val="00210822"/>
    <w:rsid w:val="00210837"/>
    <w:rsid w:val="00210B9B"/>
    <w:rsid w:val="002119E2"/>
    <w:rsid w:val="00213134"/>
    <w:rsid w:val="00213CE3"/>
    <w:rsid w:val="00214AE1"/>
    <w:rsid w:val="00215B9B"/>
    <w:rsid w:val="00215DE3"/>
    <w:rsid w:val="0021617D"/>
    <w:rsid w:val="00216288"/>
    <w:rsid w:val="00216407"/>
    <w:rsid w:val="002168F3"/>
    <w:rsid w:val="00216ACD"/>
    <w:rsid w:val="00217785"/>
    <w:rsid w:val="00217AA5"/>
    <w:rsid w:val="00220B21"/>
    <w:rsid w:val="00220BFA"/>
    <w:rsid w:val="00220CA4"/>
    <w:rsid w:val="00220DD5"/>
    <w:rsid w:val="00221ADA"/>
    <w:rsid w:val="00221C35"/>
    <w:rsid w:val="00221E2F"/>
    <w:rsid w:val="00223AA0"/>
    <w:rsid w:val="00223AE2"/>
    <w:rsid w:val="00223DA7"/>
    <w:rsid w:val="002255D4"/>
    <w:rsid w:val="00225CAB"/>
    <w:rsid w:val="002262D7"/>
    <w:rsid w:val="002263C7"/>
    <w:rsid w:val="0022681A"/>
    <w:rsid w:val="00226A6D"/>
    <w:rsid w:val="00226C7E"/>
    <w:rsid w:val="00226F54"/>
    <w:rsid w:val="00230B9C"/>
    <w:rsid w:val="0023120C"/>
    <w:rsid w:val="002313E0"/>
    <w:rsid w:val="002313FE"/>
    <w:rsid w:val="002314F8"/>
    <w:rsid w:val="002323C0"/>
    <w:rsid w:val="00232AAB"/>
    <w:rsid w:val="00232BF8"/>
    <w:rsid w:val="0023312F"/>
    <w:rsid w:val="00233272"/>
    <w:rsid w:val="002332E7"/>
    <w:rsid w:val="00235F11"/>
    <w:rsid w:val="00235F5D"/>
    <w:rsid w:val="00236110"/>
    <w:rsid w:val="00236A1E"/>
    <w:rsid w:val="0023765F"/>
    <w:rsid w:val="00240C76"/>
    <w:rsid w:val="002420BD"/>
    <w:rsid w:val="002428DE"/>
    <w:rsid w:val="00243669"/>
    <w:rsid w:val="00244795"/>
    <w:rsid w:val="00244A39"/>
    <w:rsid w:val="00244F4D"/>
    <w:rsid w:val="00245C72"/>
    <w:rsid w:val="002460FA"/>
    <w:rsid w:val="00246154"/>
    <w:rsid w:val="00246576"/>
    <w:rsid w:val="002467B4"/>
    <w:rsid w:val="00247748"/>
    <w:rsid w:val="00247F10"/>
    <w:rsid w:val="00247FE9"/>
    <w:rsid w:val="0025047D"/>
    <w:rsid w:val="00250620"/>
    <w:rsid w:val="002518C7"/>
    <w:rsid w:val="00251E58"/>
    <w:rsid w:val="00252347"/>
    <w:rsid w:val="002526B1"/>
    <w:rsid w:val="00253905"/>
    <w:rsid w:val="00253AB5"/>
    <w:rsid w:val="00253B1F"/>
    <w:rsid w:val="00254615"/>
    <w:rsid w:val="00254CE6"/>
    <w:rsid w:val="00254EAD"/>
    <w:rsid w:val="00254F36"/>
    <w:rsid w:val="002554CD"/>
    <w:rsid w:val="00255AD8"/>
    <w:rsid w:val="00256102"/>
    <w:rsid w:val="00256160"/>
    <w:rsid w:val="00256BBA"/>
    <w:rsid w:val="00257F6D"/>
    <w:rsid w:val="00260023"/>
    <w:rsid w:val="0026021A"/>
    <w:rsid w:val="00260547"/>
    <w:rsid w:val="00260C1C"/>
    <w:rsid w:val="002617CC"/>
    <w:rsid w:val="0026186B"/>
    <w:rsid w:val="00261A0E"/>
    <w:rsid w:val="002625CB"/>
    <w:rsid w:val="00263DEF"/>
    <w:rsid w:val="00263F53"/>
    <w:rsid w:val="00264009"/>
    <w:rsid w:val="00264B45"/>
    <w:rsid w:val="002652AD"/>
    <w:rsid w:val="00266004"/>
    <w:rsid w:val="00267D9A"/>
    <w:rsid w:val="00270584"/>
    <w:rsid w:val="00270EA2"/>
    <w:rsid w:val="00271121"/>
    <w:rsid w:val="00272DFC"/>
    <w:rsid w:val="0027407B"/>
    <w:rsid w:val="00275E57"/>
    <w:rsid w:val="0027616F"/>
    <w:rsid w:val="00276544"/>
    <w:rsid w:val="002767BF"/>
    <w:rsid w:val="00276976"/>
    <w:rsid w:val="0027698D"/>
    <w:rsid w:val="00280525"/>
    <w:rsid w:val="00280656"/>
    <w:rsid w:val="00280870"/>
    <w:rsid w:val="002833C1"/>
    <w:rsid w:val="00284030"/>
    <w:rsid w:val="002846C4"/>
    <w:rsid w:val="00284927"/>
    <w:rsid w:val="00284BF6"/>
    <w:rsid w:val="00284C52"/>
    <w:rsid w:val="00284C89"/>
    <w:rsid w:val="0028576F"/>
    <w:rsid w:val="00286B67"/>
    <w:rsid w:val="00287246"/>
    <w:rsid w:val="002906BB"/>
    <w:rsid w:val="00290940"/>
    <w:rsid w:val="00290E68"/>
    <w:rsid w:val="002910C9"/>
    <w:rsid w:val="00291975"/>
    <w:rsid w:val="00291DAD"/>
    <w:rsid w:val="00292529"/>
    <w:rsid w:val="00292CD3"/>
    <w:rsid w:val="002939C6"/>
    <w:rsid w:val="00293C98"/>
    <w:rsid w:val="00293EC9"/>
    <w:rsid w:val="00294080"/>
    <w:rsid w:val="00294418"/>
    <w:rsid w:val="00294552"/>
    <w:rsid w:val="00294950"/>
    <w:rsid w:val="00295227"/>
    <w:rsid w:val="00295F39"/>
    <w:rsid w:val="00295F45"/>
    <w:rsid w:val="00296775"/>
    <w:rsid w:val="00296DDD"/>
    <w:rsid w:val="00297942"/>
    <w:rsid w:val="00297DE3"/>
    <w:rsid w:val="002A0ED2"/>
    <w:rsid w:val="002A135C"/>
    <w:rsid w:val="002A181B"/>
    <w:rsid w:val="002A1BC6"/>
    <w:rsid w:val="002A267D"/>
    <w:rsid w:val="002A270F"/>
    <w:rsid w:val="002A2B15"/>
    <w:rsid w:val="002A2B1E"/>
    <w:rsid w:val="002A323D"/>
    <w:rsid w:val="002A40F2"/>
    <w:rsid w:val="002A4A6F"/>
    <w:rsid w:val="002A5325"/>
    <w:rsid w:val="002A550D"/>
    <w:rsid w:val="002A68CE"/>
    <w:rsid w:val="002A7189"/>
    <w:rsid w:val="002A724F"/>
    <w:rsid w:val="002A7B53"/>
    <w:rsid w:val="002B05B1"/>
    <w:rsid w:val="002B05F1"/>
    <w:rsid w:val="002B0C56"/>
    <w:rsid w:val="002B128E"/>
    <w:rsid w:val="002B1B6D"/>
    <w:rsid w:val="002B213F"/>
    <w:rsid w:val="002B24D2"/>
    <w:rsid w:val="002B278C"/>
    <w:rsid w:val="002B2D48"/>
    <w:rsid w:val="002B4934"/>
    <w:rsid w:val="002B4C67"/>
    <w:rsid w:val="002B4F5A"/>
    <w:rsid w:val="002B5256"/>
    <w:rsid w:val="002B56E3"/>
    <w:rsid w:val="002B5792"/>
    <w:rsid w:val="002B6DF3"/>
    <w:rsid w:val="002B7809"/>
    <w:rsid w:val="002C0212"/>
    <w:rsid w:val="002C0FD0"/>
    <w:rsid w:val="002C22DD"/>
    <w:rsid w:val="002C2AE1"/>
    <w:rsid w:val="002C35C5"/>
    <w:rsid w:val="002C37C7"/>
    <w:rsid w:val="002C3950"/>
    <w:rsid w:val="002C3E69"/>
    <w:rsid w:val="002C4303"/>
    <w:rsid w:val="002C4472"/>
    <w:rsid w:val="002C5102"/>
    <w:rsid w:val="002C5B91"/>
    <w:rsid w:val="002C6BF0"/>
    <w:rsid w:val="002C6C98"/>
    <w:rsid w:val="002C6DF7"/>
    <w:rsid w:val="002D00D0"/>
    <w:rsid w:val="002D00D7"/>
    <w:rsid w:val="002D04B3"/>
    <w:rsid w:val="002D0A76"/>
    <w:rsid w:val="002D12D5"/>
    <w:rsid w:val="002D19C8"/>
    <w:rsid w:val="002D25AB"/>
    <w:rsid w:val="002D2919"/>
    <w:rsid w:val="002D2CFB"/>
    <w:rsid w:val="002D3C69"/>
    <w:rsid w:val="002D4074"/>
    <w:rsid w:val="002D4855"/>
    <w:rsid w:val="002D4F1C"/>
    <w:rsid w:val="002D5561"/>
    <w:rsid w:val="002D5749"/>
    <w:rsid w:val="002D681C"/>
    <w:rsid w:val="002D750B"/>
    <w:rsid w:val="002D7B35"/>
    <w:rsid w:val="002D7B63"/>
    <w:rsid w:val="002E0070"/>
    <w:rsid w:val="002E08D4"/>
    <w:rsid w:val="002E0964"/>
    <w:rsid w:val="002E0DD0"/>
    <w:rsid w:val="002E0E77"/>
    <w:rsid w:val="002E1625"/>
    <w:rsid w:val="002E2B5E"/>
    <w:rsid w:val="002E30CD"/>
    <w:rsid w:val="002E334E"/>
    <w:rsid w:val="002E33C3"/>
    <w:rsid w:val="002E3AE8"/>
    <w:rsid w:val="002E3FFE"/>
    <w:rsid w:val="002E4E50"/>
    <w:rsid w:val="002E53D0"/>
    <w:rsid w:val="002E5625"/>
    <w:rsid w:val="002E5931"/>
    <w:rsid w:val="002E5C58"/>
    <w:rsid w:val="002E6073"/>
    <w:rsid w:val="002E6A86"/>
    <w:rsid w:val="002E6E46"/>
    <w:rsid w:val="002E7D58"/>
    <w:rsid w:val="002F00FE"/>
    <w:rsid w:val="002F0609"/>
    <w:rsid w:val="002F1457"/>
    <w:rsid w:val="002F1614"/>
    <w:rsid w:val="002F17EB"/>
    <w:rsid w:val="002F1947"/>
    <w:rsid w:val="002F1B84"/>
    <w:rsid w:val="002F1D85"/>
    <w:rsid w:val="002F25D7"/>
    <w:rsid w:val="002F284C"/>
    <w:rsid w:val="002F2B81"/>
    <w:rsid w:val="002F2F72"/>
    <w:rsid w:val="002F3352"/>
    <w:rsid w:val="002F36AE"/>
    <w:rsid w:val="002F4DAB"/>
    <w:rsid w:val="002F5103"/>
    <w:rsid w:val="002F5779"/>
    <w:rsid w:val="002F5C8F"/>
    <w:rsid w:val="002F6367"/>
    <w:rsid w:val="002F703B"/>
    <w:rsid w:val="0030040F"/>
    <w:rsid w:val="00301558"/>
    <w:rsid w:val="003023C6"/>
    <w:rsid w:val="00302CF7"/>
    <w:rsid w:val="00302D27"/>
    <w:rsid w:val="00302E1C"/>
    <w:rsid w:val="00303326"/>
    <w:rsid w:val="00303D3C"/>
    <w:rsid w:val="0030429A"/>
    <w:rsid w:val="003052AB"/>
    <w:rsid w:val="00305F0B"/>
    <w:rsid w:val="003060C4"/>
    <w:rsid w:val="0030668D"/>
    <w:rsid w:val="003069D9"/>
    <w:rsid w:val="00307BA1"/>
    <w:rsid w:val="003100DF"/>
    <w:rsid w:val="00311611"/>
    <w:rsid w:val="00311B0A"/>
    <w:rsid w:val="00312F1C"/>
    <w:rsid w:val="003137D4"/>
    <w:rsid w:val="00314227"/>
    <w:rsid w:val="00314DBA"/>
    <w:rsid w:val="00314EFA"/>
    <w:rsid w:val="00315AB3"/>
    <w:rsid w:val="0031608D"/>
    <w:rsid w:val="003164A3"/>
    <w:rsid w:val="00317A63"/>
    <w:rsid w:val="00317BA9"/>
    <w:rsid w:val="003200AE"/>
    <w:rsid w:val="0032034B"/>
    <w:rsid w:val="00320397"/>
    <w:rsid w:val="00320BF6"/>
    <w:rsid w:val="00320EFA"/>
    <w:rsid w:val="00321E23"/>
    <w:rsid w:val="0032215C"/>
    <w:rsid w:val="00322259"/>
    <w:rsid w:val="00322312"/>
    <w:rsid w:val="00323D3A"/>
    <w:rsid w:val="00323E16"/>
    <w:rsid w:val="0032552B"/>
    <w:rsid w:val="003255F1"/>
    <w:rsid w:val="00325789"/>
    <w:rsid w:val="00325A5A"/>
    <w:rsid w:val="00325A89"/>
    <w:rsid w:val="00326A2E"/>
    <w:rsid w:val="003272E3"/>
    <w:rsid w:val="00327843"/>
    <w:rsid w:val="00327CF0"/>
    <w:rsid w:val="00330325"/>
    <w:rsid w:val="00331922"/>
    <w:rsid w:val="00331AFB"/>
    <w:rsid w:val="0033295D"/>
    <w:rsid w:val="00332B79"/>
    <w:rsid w:val="00333CAB"/>
    <w:rsid w:val="00333D3B"/>
    <w:rsid w:val="00334C5E"/>
    <w:rsid w:val="00336AC2"/>
    <w:rsid w:val="00336FD3"/>
    <w:rsid w:val="00337B76"/>
    <w:rsid w:val="00337BB7"/>
    <w:rsid w:val="00337C26"/>
    <w:rsid w:val="00340B27"/>
    <w:rsid w:val="00341DE7"/>
    <w:rsid w:val="003430E1"/>
    <w:rsid w:val="00345199"/>
    <w:rsid w:val="003451FE"/>
    <w:rsid w:val="003462BA"/>
    <w:rsid w:val="00346B52"/>
    <w:rsid w:val="00346C19"/>
    <w:rsid w:val="00346E53"/>
    <w:rsid w:val="003471EA"/>
    <w:rsid w:val="0034781A"/>
    <w:rsid w:val="00350096"/>
    <w:rsid w:val="00350421"/>
    <w:rsid w:val="0035042D"/>
    <w:rsid w:val="00350759"/>
    <w:rsid w:val="0035088B"/>
    <w:rsid w:val="00350FBD"/>
    <w:rsid w:val="003510DF"/>
    <w:rsid w:val="003511E3"/>
    <w:rsid w:val="0035181E"/>
    <w:rsid w:val="00352162"/>
    <w:rsid w:val="0035252E"/>
    <w:rsid w:val="00353C02"/>
    <w:rsid w:val="00353F48"/>
    <w:rsid w:val="0035422F"/>
    <w:rsid w:val="00354301"/>
    <w:rsid w:val="003544A3"/>
    <w:rsid w:val="00354632"/>
    <w:rsid w:val="00354AC8"/>
    <w:rsid w:val="0035571F"/>
    <w:rsid w:val="003560A3"/>
    <w:rsid w:val="00356A1A"/>
    <w:rsid w:val="00357768"/>
    <w:rsid w:val="003579C1"/>
    <w:rsid w:val="00357A6C"/>
    <w:rsid w:val="00360B24"/>
    <w:rsid w:val="00360B88"/>
    <w:rsid w:val="00360F99"/>
    <w:rsid w:val="00361478"/>
    <w:rsid w:val="003621B0"/>
    <w:rsid w:val="00362B38"/>
    <w:rsid w:val="00363105"/>
    <w:rsid w:val="00363317"/>
    <w:rsid w:val="00363BEF"/>
    <w:rsid w:val="00365288"/>
    <w:rsid w:val="00366C33"/>
    <w:rsid w:val="0036705C"/>
    <w:rsid w:val="003673C9"/>
    <w:rsid w:val="00370782"/>
    <w:rsid w:val="003735E7"/>
    <w:rsid w:val="003737B0"/>
    <w:rsid w:val="003743F8"/>
    <w:rsid w:val="00374B13"/>
    <w:rsid w:val="00374FC1"/>
    <w:rsid w:val="003756A2"/>
    <w:rsid w:val="0037677A"/>
    <w:rsid w:val="00376DED"/>
    <w:rsid w:val="003774A0"/>
    <w:rsid w:val="0037767D"/>
    <w:rsid w:val="003810DB"/>
    <w:rsid w:val="00381624"/>
    <w:rsid w:val="003816C1"/>
    <w:rsid w:val="00381985"/>
    <w:rsid w:val="00382571"/>
    <w:rsid w:val="003825C4"/>
    <w:rsid w:val="003831E4"/>
    <w:rsid w:val="003843F0"/>
    <w:rsid w:val="0038489B"/>
    <w:rsid w:val="003849B0"/>
    <w:rsid w:val="00385757"/>
    <w:rsid w:val="003857D9"/>
    <w:rsid w:val="00385D63"/>
    <w:rsid w:val="003862DF"/>
    <w:rsid w:val="003863BE"/>
    <w:rsid w:val="00386566"/>
    <w:rsid w:val="00386647"/>
    <w:rsid w:val="00386A94"/>
    <w:rsid w:val="00387330"/>
    <w:rsid w:val="003876FF"/>
    <w:rsid w:val="00392FC0"/>
    <w:rsid w:val="003942E8"/>
    <w:rsid w:val="00394ECF"/>
    <w:rsid w:val="003955B2"/>
    <w:rsid w:val="00395890"/>
    <w:rsid w:val="003959A5"/>
    <w:rsid w:val="00395F26"/>
    <w:rsid w:val="00395FAA"/>
    <w:rsid w:val="00396DEF"/>
    <w:rsid w:val="00397827"/>
    <w:rsid w:val="003A063A"/>
    <w:rsid w:val="003A0B73"/>
    <w:rsid w:val="003A104E"/>
    <w:rsid w:val="003A13C4"/>
    <w:rsid w:val="003A2DD9"/>
    <w:rsid w:val="003A32F3"/>
    <w:rsid w:val="003A3817"/>
    <w:rsid w:val="003A384F"/>
    <w:rsid w:val="003A3985"/>
    <w:rsid w:val="003A50D9"/>
    <w:rsid w:val="003A543D"/>
    <w:rsid w:val="003A62CE"/>
    <w:rsid w:val="003A7AC8"/>
    <w:rsid w:val="003A7CFF"/>
    <w:rsid w:val="003B01F4"/>
    <w:rsid w:val="003B04E9"/>
    <w:rsid w:val="003B06DA"/>
    <w:rsid w:val="003B0916"/>
    <w:rsid w:val="003B16AA"/>
    <w:rsid w:val="003B188F"/>
    <w:rsid w:val="003B1BEC"/>
    <w:rsid w:val="003B1D0C"/>
    <w:rsid w:val="003B2BA8"/>
    <w:rsid w:val="003B2DEE"/>
    <w:rsid w:val="003B3AF7"/>
    <w:rsid w:val="003B4180"/>
    <w:rsid w:val="003B4356"/>
    <w:rsid w:val="003B449D"/>
    <w:rsid w:val="003B453B"/>
    <w:rsid w:val="003B481F"/>
    <w:rsid w:val="003B52A8"/>
    <w:rsid w:val="003B536B"/>
    <w:rsid w:val="003B71F0"/>
    <w:rsid w:val="003B7A06"/>
    <w:rsid w:val="003B7BF7"/>
    <w:rsid w:val="003C15D0"/>
    <w:rsid w:val="003C2435"/>
    <w:rsid w:val="003C2CE0"/>
    <w:rsid w:val="003C2F76"/>
    <w:rsid w:val="003C3D27"/>
    <w:rsid w:val="003C4C71"/>
    <w:rsid w:val="003C4DC7"/>
    <w:rsid w:val="003C5558"/>
    <w:rsid w:val="003C738A"/>
    <w:rsid w:val="003D06B5"/>
    <w:rsid w:val="003D1898"/>
    <w:rsid w:val="003D1F0B"/>
    <w:rsid w:val="003D22D7"/>
    <w:rsid w:val="003D3096"/>
    <w:rsid w:val="003D3994"/>
    <w:rsid w:val="003D3D95"/>
    <w:rsid w:val="003D3EC0"/>
    <w:rsid w:val="003D519A"/>
    <w:rsid w:val="003D73AB"/>
    <w:rsid w:val="003D7CDF"/>
    <w:rsid w:val="003D7CEB"/>
    <w:rsid w:val="003E00AC"/>
    <w:rsid w:val="003E095B"/>
    <w:rsid w:val="003E0FA5"/>
    <w:rsid w:val="003E1840"/>
    <w:rsid w:val="003E1962"/>
    <w:rsid w:val="003E1E97"/>
    <w:rsid w:val="003E2E1C"/>
    <w:rsid w:val="003E2F30"/>
    <w:rsid w:val="003E30A3"/>
    <w:rsid w:val="003E39C3"/>
    <w:rsid w:val="003E3D24"/>
    <w:rsid w:val="003E414B"/>
    <w:rsid w:val="003E431F"/>
    <w:rsid w:val="003E49E0"/>
    <w:rsid w:val="003E5349"/>
    <w:rsid w:val="003E5810"/>
    <w:rsid w:val="003E5A25"/>
    <w:rsid w:val="003E5D32"/>
    <w:rsid w:val="003E607E"/>
    <w:rsid w:val="003E625C"/>
    <w:rsid w:val="003E691B"/>
    <w:rsid w:val="003E6E97"/>
    <w:rsid w:val="003E778E"/>
    <w:rsid w:val="003E78F0"/>
    <w:rsid w:val="003E79D7"/>
    <w:rsid w:val="003E7F3F"/>
    <w:rsid w:val="003F0FAD"/>
    <w:rsid w:val="003F0FC1"/>
    <w:rsid w:val="003F1894"/>
    <w:rsid w:val="003F1C77"/>
    <w:rsid w:val="003F3898"/>
    <w:rsid w:val="003F3A1B"/>
    <w:rsid w:val="003F3D0B"/>
    <w:rsid w:val="003F3E3F"/>
    <w:rsid w:val="003F42B8"/>
    <w:rsid w:val="003F4E50"/>
    <w:rsid w:val="003F4EDF"/>
    <w:rsid w:val="003F572D"/>
    <w:rsid w:val="003F5758"/>
    <w:rsid w:val="003F5D0D"/>
    <w:rsid w:val="003F681E"/>
    <w:rsid w:val="003F6A41"/>
    <w:rsid w:val="003F6B54"/>
    <w:rsid w:val="003F6CAD"/>
    <w:rsid w:val="003F7235"/>
    <w:rsid w:val="004003FD"/>
    <w:rsid w:val="0040117B"/>
    <w:rsid w:val="00402496"/>
    <w:rsid w:val="00402692"/>
    <w:rsid w:val="00402A13"/>
    <w:rsid w:val="00402EDE"/>
    <w:rsid w:val="0040368D"/>
    <w:rsid w:val="00403A8C"/>
    <w:rsid w:val="0040409E"/>
    <w:rsid w:val="004049EE"/>
    <w:rsid w:val="00404D01"/>
    <w:rsid w:val="00404D50"/>
    <w:rsid w:val="00404ECC"/>
    <w:rsid w:val="004051A6"/>
    <w:rsid w:val="00405EE1"/>
    <w:rsid w:val="0040652E"/>
    <w:rsid w:val="004071FD"/>
    <w:rsid w:val="0040738B"/>
    <w:rsid w:val="0041009D"/>
    <w:rsid w:val="004112F1"/>
    <w:rsid w:val="00411D8B"/>
    <w:rsid w:val="00411E8B"/>
    <w:rsid w:val="004122FB"/>
    <w:rsid w:val="0041282D"/>
    <w:rsid w:val="00412AB3"/>
    <w:rsid w:val="00412F73"/>
    <w:rsid w:val="00413F7A"/>
    <w:rsid w:val="004143DC"/>
    <w:rsid w:val="004147E2"/>
    <w:rsid w:val="00414CF4"/>
    <w:rsid w:val="00416802"/>
    <w:rsid w:val="00416812"/>
    <w:rsid w:val="00416BBD"/>
    <w:rsid w:val="00416D0A"/>
    <w:rsid w:val="00417112"/>
    <w:rsid w:val="00420B78"/>
    <w:rsid w:val="00420E3D"/>
    <w:rsid w:val="0042141A"/>
    <w:rsid w:val="00421E05"/>
    <w:rsid w:val="00422223"/>
    <w:rsid w:val="00422AB4"/>
    <w:rsid w:val="00422E58"/>
    <w:rsid w:val="0042311F"/>
    <w:rsid w:val="004234EC"/>
    <w:rsid w:val="004235E3"/>
    <w:rsid w:val="00423606"/>
    <w:rsid w:val="00424647"/>
    <w:rsid w:val="00424703"/>
    <w:rsid w:val="00424934"/>
    <w:rsid w:val="00425C37"/>
    <w:rsid w:val="0042603F"/>
    <w:rsid w:val="004261BD"/>
    <w:rsid w:val="004274AD"/>
    <w:rsid w:val="00427703"/>
    <w:rsid w:val="00430720"/>
    <w:rsid w:val="00430C76"/>
    <w:rsid w:val="00430F20"/>
    <w:rsid w:val="00431332"/>
    <w:rsid w:val="00431CF2"/>
    <w:rsid w:val="00431D90"/>
    <w:rsid w:val="00431E46"/>
    <w:rsid w:val="00432749"/>
    <w:rsid w:val="004329FE"/>
    <w:rsid w:val="00432A04"/>
    <w:rsid w:val="00432FE3"/>
    <w:rsid w:val="0043402A"/>
    <w:rsid w:val="00434769"/>
    <w:rsid w:val="0043518D"/>
    <w:rsid w:val="004351DE"/>
    <w:rsid w:val="00435B1E"/>
    <w:rsid w:val="00436611"/>
    <w:rsid w:val="00437391"/>
    <w:rsid w:val="00437A2F"/>
    <w:rsid w:val="00437D58"/>
    <w:rsid w:val="00440164"/>
    <w:rsid w:val="004405EC"/>
    <w:rsid w:val="00440E18"/>
    <w:rsid w:val="004426B7"/>
    <w:rsid w:val="00442FF5"/>
    <w:rsid w:val="00443834"/>
    <w:rsid w:val="00444140"/>
    <w:rsid w:val="00444ACC"/>
    <w:rsid w:val="00444B3E"/>
    <w:rsid w:val="00445234"/>
    <w:rsid w:val="00446DAE"/>
    <w:rsid w:val="00446E47"/>
    <w:rsid w:val="00446FF7"/>
    <w:rsid w:val="004476FB"/>
    <w:rsid w:val="00447854"/>
    <w:rsid w:val="00447B58"/>
    <w:rsid w:val="00450013"/>
    <w:rsid w:val="0045017A"/>
    <w:rsid w:val="00450709"/>
    <w:rsid w:val="004508C5"/>
    <w:rsid w:val="00450A8E"/>
    <w:rsid w:val="00450C55"/>
    <w:rsid w:val="004514E0"/>
    <w:rsid w:val="004516ED"/>
    <w:rsid w:val="004518AA"/>
    <w:rsid w:val="00452277"/>
    <w:rsid w:val="004531AD"/>
    <w:rsid w:val="004532BB"/>
    <w:rsid w:val="004534D6"/>
    <w:rsid w:val="00453696"/>
    <w:rsid w:val="0045377E"/>
    <w:rsid w:val="004538A6"/>
    <w:rsid w:val="004540DE"/>
    <w:rsid w:val="00454200"/>
    <w:rsid w:val="0045435D"/>
    <w:rsid w:val="00454961"/>
    <w:rsid w:val="004551EE"/>
    <w:rsid w:val="00455682"/>
    <w:rsid w:val="00455922"/>
    <w:rsid w:val="00456610"/>
    <w:rsid w:val="00456BE9"/>
    <w:rsid w:val="00460061"/>
    <w:rsid w:val="004603B8"/>
    <w:rsid w:val="004610FB"/>
    <w:rsid w:val="00461667"/>
    <w:rsid w:val="00461CAB"/>
    <w:rsid w:val="00463040"/>
    <w:rsid w:val="00463317"/>
    <w:rsid w:val="00463E66"/>
    <w:rsid w:val="00463FE3"/>
    <w:rsid w:val="00464826"/>
    <w:rsid w:val="0046562A"/>
    <w:rsid w:val="00465DDA"/>
    <w:rsid w:val="00465E8B"/>
    <w:rsid w:val="0046640E"/>
    <w:rsid w:val="00467256"/>
    <w:rsid w:val="00467674"/>
    <w:rsid w:val="00467A24"/>
    <w:rsid w:val="00470652"/>
    <w:rsid w:val="004707EC"/>
    <w:rsid w:val="00470A24"/>
    <w:rsid w:val="004713E0"/>
    <w:rsid w:val="0047201A"/>
    <w:rsid w:val="004729B4"/>
    <w:rsid w:val="0047427E"/>
    <w:rsid w:val="004742C1"/>
    <w:rsid w:val="00475BEC"/>
    <w:rsid w:val="00477289"/>
    <w:rsid w:val="00477456"/>
    <w:rsid w:val="00477793"/>
    <w:rsid w:val="00477A00"/>
    <w:rsid w:val="00480059"/>
    <w:rsid w:val="00480DC1"/>
    <w:rsid w:val="00480DE2"/>
    <w:rsid w:val="00481480"/>
    <w:rsid w:val="00481D6F"/>
    <w:rsid w:val="00482162"/>
    <w:rsid w:val="0048291E"/>
    <w:rsid w:val="00482A59"/>
    <w:rsid w:val="00483652"/>
    <w:rsid w:val="00483666"/>
    <w:rsid w:val="004843A9"/>
    <w:rsid w:val="0048472A"/>
    <w:rsid w:val="00484B49"/>
    <w:rsid w:val="00484D59"/>
    <w:rsid w:val="00485526"/>
    <w:rsid w:val="00485B21"/>
    <w:rsid w:val="00485F07"/>
    <w:rsid w:val="00486428"/>
    <w:rsid w:val="00486503"/>
    <w:rsid w:val="004866D8"/>
    <w:rsid w:val="00486987"/>
    <w:rsid w:val="00487537"/>
    <w:rsid w:val="00491CDE"/>
    <w:rsid w:val="00491EB1"/>
    <w:rsid w:val="00492566"/>
    <w:rsid w:val="00492C10"/>
    <w:rsid w:val="00492E53"/>
    <w:rsid w:val="004931AE"/>
    <w:rsid w:val="004933FA"/>
    <w:rsid w:val="004935EE"/>
    <w:rsid w:val="00493F1E"/>
    <w:rsid w:val="00493F29"/>
    <w:rsid w:val="00494354"/>
    <w:rsid w:val="00494E82"/>
    <w:rsid w:val="00495886"/>
    <w:rsid w:val="00496444"/>
    <w:rsid w:val="0049662F"/>
    <w:rsid w:val="00496E76"/>
    <w:rsid w:val="00497018"/>
    <w:rsid w:val="0049758A"/>
    <w:rsid w:val="00497A39"/>
    <w:rsid w:val="004A0666"/>
    <w:rsid w:val="004A19F6"/>
    <w:rsid w:val="004A1CF8"/>
    <w:rsid w:val="004A1F56"/>
    <w:rsid w:val="004A259D"/>
    <w:rsid w:val="004A2E1F"/>
    <w:rsid w:val="004A3892"/>
    <w:rsid w:val="004A487F"/>
    <w:rsid w:val="004A4B9D"/>
    <w:rsid w:val="004A4BEE"/>
    <w:rsid w:val="004A4CA4"/>
    <w:rsid w:val="004A54AA"/>
    <w:rsid w:val="004A61C4"/>
    <w:rsid w:val="004A6F45"/>
    <w:rsid w:val="004A7062"/>
    <w:rsid w:val="004A78CA"/>
    <w:rsid w:val="004B02A4"/>
    <w:rsid w:val="004B0356"/>
    <w:rsid w:val="004B06C5"/>
    <w:rsid w:val="004B0916"/>
    <w:rsid w:val="004B095E"/>
    <w:rsid w:val="004B1C66"/>
    <w:rsid w:val="004B1FAC"/>
    <w:rsid w:val="004B2291"/>
    <w:rsid w:val="004B2624"/>
    <w:rsid w:val="004B2A6A"/>
    <w:rsid w:val="004B2E7D"/>
    <w:rsid w:val="004B317D"/>
    <w:rsid w:val="004B4463"/>
    <w:rsid w:val="004B4B08"/>
    <w:rsid w:val="004B53FF"/>
    <w:rsid w:val="004B5B9D"/>
    <w:rsid w:val="004B6418"/>
    <w:rsid w:val="004B666A"/>
    <w:rsid w:val="004B6989"/>
    <w:rsid w:val="004B763D"/>
    <w:rsid w:val="004C0192"/>
    <w:rsid w:val="004C04BD"/>
    <w:rsid w:val="004C0E2B"/>
    <w:rsid w:val="004C1270"/>
    <w:rsid w:val="004C1B57"/>
    <w:rsid w:val="004C1E9C"/>
    <w:rsid w:val="004C36A9"/>
    <w:rsid w:val="004C40C1"/>
    <w:rsid w:val="004C497E"/>
    <w:rsid w:val="004C4AD3"/>
    <w:rsid w:val="004C53C4"/>
    <w:rsid w:val="004C5844"/>
    <w:rsid w:val="004C6AD2"/>
    <w:rsid w:val="004C7513"/>
    <w:rsid w:val="004C782F"/>
    <w:rsid w:val="004C7E63"/>
    <w:rsid w:val="004D00C0"/>
    <w:rsid w:val="004D01EE"/>
    <w:rsid w:val="004D0448"/>
    <w:rsid w:val="004D0BA0"/>
    <w:rsid w:val="004D0BD0"/>
    <w:rsid w:val="004D1D79"/>
    <w:rsid w:val="004D237D"/>
    <w:rsid w:val="004D331C"/>
    <w:rsid w:val="004D34C3"/>
    <w:rsid w:val="004D3B2B"/>
    <w:rsid w:val="004D45C4"/>
    <w:rsid w:val="004D4841"/>
    <w:rsid w:val="004D487B"/>
    <w:rsid w:val="004D4D09"/>
    <w:rsid w:val="004D5792"/>
    <w:rsid w:val="004D6A43"/>
    <w:rsid w:val="004D7C59"/>
    <w:rsid w:val="004E0137"/>
    <w:rsid w:val="004E02E5"/>
    <w:rsid w:val="004E15D4"/>
    <w:rsid w:val="004E16F7"/>
    <w:rsid w:val="004E2127"/>
    <w:rsid w:val="004E296C"/>
    <w:rsid w:val="004E2AE2"/>
    <w:rsid w:val="004E3597"/>
    <w:rsid w:val="004E3A28"/>
    <w:rsid w:val="004E3C34"/>
    <w:rsid w:val="004E3CE1"/>
    <w:rsid w:val="004E3FF1"/>
    <w:rsid w:val="004E41E2"/>
    <w:rsid w:val="004E55B7"/>
    <w:rsid w:val="004E56D9"/>
    <w:rsid w:val="004E5DCB"/>
    <w:rsid w:val="004E637C"/>
    <w:rsid w:val="004E662F"/>
    <w:rsid w:val="004E725F"/>
    <w:rsid w:val="004E75BB"/>
    <w:rsid w:val="004E790B"/>
    <w:rsid w:val="004E798E"/>
    <w:rsid w:val="004E7D1F"/>
    <w:rsid w:val="004F0307"/>
    <w:rsid w:val="004F057A"/>
    <w:rsid w:val="004F0C75"/>
    <w:rsid w:val="004F1517"/>
    <w:rsid w:val="004F1523"/>
    <w:rsid w:val="004F1A43"/>
    <w:rsid w:val="004F1EF0"/>
    <w:rsid w:val="004F2892"/>
    <w:rsid w:val="004F29DC"/>
    <w:rsid w:val="004F362E"/>
    <w:rsid w:val="004F3CA7"/>
    <w:rsid w:val="004F3ECB"/>
    <w:rsid w:val="004F45A5"/>
    <w:rsid w:val="004F49AE"/>
    <w:rsid w:val="004F4D44"/>
    <w:rsid w:val="004F6534"/>
    <w:rsid w:val="004F6FCA"/>
    <w:rsid w:val="004F7453"/>
    <w:rsid w:val="005005A1"/>
    <w:rsid w:val="00501299"/>
    <w:rsid w:val="0050150A"/>
    <w:rsid w:val="005017CC"/>
    <w:rsid w:val="00501BFD"/>
    <w:rsid w:val="005027F1"/>
    <w:rsid w:val="00502B48"/>
    <w:rsid w:val="00503DD2"/>
    <w:rsid w:val="005048DA"/>
    <w:rsid w:val="00504C15"/>
    <w:rsid w:val="00505537"/>
    <w:rsid w:val="00506C1E"/>
    <w:rsid w:val="00506CCD"/>
    <w:rsid w:val="0050717B"/>
    <w:rsid w:val="00507647"/>
    <w:rsid w:val="0051007E"/>
    <w:rsid w:val="00510BB6"/>
    <w:rsid w:val="005116D6"/>
    <w:rsid w:val="00511D79"/>
    <w:rsid w:val="00512B4C"/>
    <w:rsid w:val="005134DA"/>
    <w:rsid w:val="0051432D"/>
    <w:rsid w:val="005154AD"/>
    <w:rsid w:val="005155C8"/>
    <w:rsid w:val="00515628"/>
    <w:rsid w:val="00515BE6"/>
    <w:rsid w:val="005160F6"/>
    <w:rsid w:val="00516D87"/>
    <w:rsid w:val="005173B6"/>
    <w:rsid w:val="00520280"/>
    <w:rsid w:val="00520497"/>
    <w:rsid w:val="00520520"/>
    <w:rsid w:val="00520CEA"/>
    <w:rsid w:val="005213D0"/>
    <w:rsid w:val="00521423"/>
    <w:rsid w:val="005229B8"/>
    <w:rsid w:val="00523135"/>
    <w:rsid w:val="0052318E"/>
    <w:rsid w:val="00523C54"/>
    <w:rsid w:val="00524020"/>
    <w:rsid w:val="0052466B"/>
    <w:rsid w:val="005248DE"/>
    <w:rsid w:val="005251F3"/>
    <w:rsid w:val="0052522E"/>
    <w:rsid w:val="00525D3A"/>
    <w:rsid w:val="005262E7"/>
    <w:rsid w:val="00526A26"/>
    <w:rsid w:val="00530DFF"/>
    <w:rsid w:val="0053207B"/>
    <w:rsid w:val="005322ED"/>
    <w:rsid w:val="00532381"/>
    <w:rsid w:val="005323FA"/>
    <w:rsid w:val="0053380D"/>
    <w:rsid w:val="00533837"/>
    <w:rsid w:val="00533A7D"/>
    <w:rsid w:val="005342AD"/>
    <w:rsid w:val="00534688"/>
    <w:rsid w:val="00534A8F"/>
    <w:rsid w:val="00535A75"/>
    <w:rsid w:val="0053617F"/>
    <w:rsid w:val="0053654A"/>
    <w:rsid w:val="00536689"/>
    <w:rsid w:val="00536855"/>
    <w:rsid w:val="00536872"/>
    <w:rsid w:val="00536D50"/>
    <w:rsid w:val="00536D89"/>
    <w:rsid w:val="00536F4A"/>
    <w:rsid w:val="005379A8"/>
    <w:rsid w:val="00537C9C"/>
    <w:rsid w:val="005408AD"/>
    <w:rsid w:val="0054163B"/>
    <w:rsid w:val="00541E60"/>
    <w:rsid w:val="00542B31"/>
    <w:rsid w:val="0054454B"/>
    <w:rsid w:val="00545239"/>
    <w:rsid w:val="005454E5"/>
    <w:rsid w:val="00547244"/>
    <w:rsid w:val="0055098D"/>
    <w:rsid w:val="00550B24"/>
    <w:rsid w:val="00550FD2"/>
    <w:rsid w:val="005513B4"/>
    <w:rsid w:val="00551688"/>
    <w:rsid w:val="00552031"/>
    <w:rsid w:val="005528E7"/>
    <w:rsid w:val="00552A73"/>
    <w:rsid w:val="00553018"/>
    <w:rsid w:val="0055382B"/>
    <w:rsid w:val="0055412E"/>
    <w:rsid w:val="0055419D"/>
    <w:rsid w:val="00554866"/>
    <w:rsid w:val="0055491D"/>
    <w:rsid w:val="00554B9E"/>
    <w:rsid w:val="0055583F"/>
    <w:rsid w:val="00555B53"/>
    <w:rsid w:val="0055688B"/>
    <w:rsid w:val="0055720F"/>
    <w:rsid w:val="00557ED9"/>
    <w:rsid w:val="005601C1"/>
    <w:rsid w:val="005603EF"/>
    <w:rsid w:val="00560A56"/>
    <w:rsid w:val="00560B40"/>
    <w:rsid w:val="00560CD8"/>
    <w:rsid w:val="005611CE"/>
    <w:rsid w:val="00561575"/>
    <w:rsid w:val="005627B1"/>
    <w:rsid w:val="005631C0"/>
    <w:rsid w:val="0056408D"/>
    <w:rsid w:val="00564661"/>
    <w:rsid w:val="005651D0"/>
    <w:rsid w:val="00565220"/>
    <w:rsid w:val="00565370"/>
    <w:rsid w:val="00565470"/>
    <w:rsid w:val="0056586E"/>
    <w:rsid w:val="005658E3"/>
    <w:rsid w:val="00566941"/>
    <w:rsid w:val="00566DB4"/>
    <w:rsid w:val="005670F9"/>
    <w:rsid w:val="005672F2"/>
    <w:rsid w:val="005678DE"/>
    <w:rsid w:val="0056793E"/>
    <w:rsid w:val="00567C83"/>
    <w:rsid w:val="005700B8"/>
    <w:rsid w:val="0057024B"/>
    <w:rsid w:val="00570292"/>
    <w:rsid w:val="0057092B"/>
    <w:rsid w:val="0057110F"/>
    <w:rsid w:val="00571B2A"/>
    <w:rsid w:val="00572145"/>
    <w:rsid w:val="00572CE9"/>
    <w:rsid w:val="00573A2D"/>
    <w:rsid w:val="005749DA"/>
    <w:rsid w:val="0057769E"/>
    <w:rsid w:val="005805B7"/>
    <w:rsid w:val="00580751"/>
    <w:rsid w:val="005812C5"/>
    <w:rsid w:val="0058142B"/>
    <w:rsid w:val="00581990"/>
    <w:rsid w:val="0058223C"/>
    <w:rsid w:val="0058260F"/>
    <w:rsid w:val="00583EF1"/>
    <w:rsid w:val="005865CB"/>
    <w:rsid w:val="00586784"/>
    <w:rsid w:val="00586C4A"/>
    <w:rsid w:val="005871CB"/>
    <w:rsid w:val="00587424"/>
    <w:rsid w:val="005878DB"/>
    <w:rsid w:val="00587E29"/>
    <w:rsid w:val="005901AA"/>
    <w:rsid w:val="00590967"/>
    <w:rsid w:val="005910F6"/>
    <w:rsid w:val="005927A5"/>
    <w:rsid w:val="005936F6"/>
    <w:rsid w:val="00593785"/>
    <w:rsid w:val="005938A2"/>
    <w:rsid w:val="005940FD"/>
    <w:rsid w:val="00595AA4"/>
    <w:rsid w:val="00595B4C"/>
    <w:rsid w:val="0059666A"/>
    <w:rsid w:val="00596851"/>
    <w:rsid w:val="00597444"/>
    <w:rsid w:val="005A00B5"/>
    <w:rsid w:val="005A08EF"/>
    <w:rsid w:val="005A0AC7"/>
    <w:rsid w:val="005A0E6F"/>
    <w:rsid w:val="005A1051"/>
    <w:rsid w:val="005A16C7"/>
    <w:rsid w:val="005A299D"/>
    <w:rsid w:val="005A3906"/>
    <w:rsid w:val="005A3AC4"/>
    <w:rsid w:val="005A4B7F"/>
    <w:rsid w:val="005A5AC3"/>
    <w:rsid w:val="005A5B4C"/>
    <w:rsid w:val="005A5BE3"/>
    <w:rsid w:val="005A691E"/>
    <w:rsid w:val="005A6A43"/>
    <w:rsid w:val="005A6F87"/>
    <w:rsid w:val="005A70AD"/>
    <w:rsid w:val="005A797A"/>
    <w:rsid w:val="005B0BD6"/>
    <w:rsid w:val="005B13FA"/>
    <w:rsid w:val="005B197A"/>
    <w:rsid w:val="005B201E"/>
    <w:rsid w:val="005B23DC"/>
    <w:rsid w:val="005B321C"/>
    <w:rsid w:val="005B37F7"/>
    <w:rsid w:val="005B4362"/>
    <w:rsid w:val="005B535B"/>
    <w:rsid w:val="005B59CB"/>
    <w:rsid w:val="005B5DAB"/>
    <w:rsid w:val="005B6794"/>
    <w:rsid w:val="005B6827"/>
    <w:rsid w:val="005B775D"/>
    <w:rsid w:val="005B790D"/>
    <w:rsid w:val="005C0C8C"/>
    <w:rsid w:val="005C1213"/>
    <w:rsid w:val="005C1661"/>
    <w:rsid w:val="005C17AA"/>
    <w:rsid w:val="005C27A6"/>
    <w:rsid w:val="005C318C"/>
    <w:rsid w:val="005C3507"/>
    <w:rsid w:val="005C373C"/>
    <w:rsid w:val="005C3DFA"/>
    <w:rsid w:val="005C4574"/>
    <w:rsid w:val="005C4AFE"/>
    <w:rsid w:val="005C5AC6"/>
    <w:rsid w:val="005C5F92"/>
    <w:rsid w:val="005C684D"/>
    <w:rsid w:val="005C6997"/>
    <w:rsid w:val="005C7210"/>
    <w:rsid w:val="005C784C"/>
    <w:rsid w:val="005C79C9"/>
    <w:rsid w:val="005C7AFE"/>
    <w:rsid w:val="005D02BA"/>
    <w:rsid w:val="005D0A54"/>
    <w:rsid w:val="005D0B56"/>
    <w:rsid w:val="005D10E6"/>
    <w:rsid w:val="005D1294"/>
    <w:rsid w:val="005D1B7C"/>
    <w:rsid w:val="005D25F9"/>
    <w:rsid w:val="005D35AB"/>
    <w:rsid w:val="005D3885"/>
    <w:rsid w:val="005D3F38"/>
    <w:rsid w:val="005D500D"/>
    <w:rsid w:val="005D51FF"/>
    <w:rsid w:val="005D55D6"/>
    <w:rsid w:val="005D5CE7"/>
    <w:rsid w:val="005D6D4B"/>
    <w:rsid w:val="005D70FE"/>
    <w:rsid w:val="005E11B5"/>
    <w:rsid w:val="005E2AFF"/>
    <w:rsid w:val="005E2E57"/>
    <w:rsid w:val="005E3430"/>
    <w:rsid w:val="005E396E"/>
    <w:rsid w:val="005E477F"/>
    <w:rsid w:val="005E4D25"/>
    <w:rsid w:val="005E4DCC"/>
    <w:rsid w:val="005E4E11"/>
    <w:rsid w:val="005E5151"/>
    <w:rsid w:val="005E5BA1"/>
    <w:rsid w:val="005E5F08"/>
    <w:rsid w:val="005E658F"/>
    <w:rsid w:val="005E7885"/>
    <w:rsid w:val="005F0613"/>
    <w:rsid w:val="005F0850"/>
    <w:rsid w:val="005F0F9C"/>
    <w:rsid w:val="005F0FB7"/>
    <w:rsid w:val="005F101C"/>
    <w:rsid w:val="005F12E1"/>
    <w:rsid w:val="005F1F1F"/>
    <w:rsid w:val="005F1F64"/>
    <w:rsid w:val="005F21AB"/>
    <w:rsid w:val="005F29AA"/>
    <w:rsid w:val="005F2E3B"/>
    <w:rsid w:val="005F3497"/>
    <w:rsid w:val="005F38B1"/>
    <w:rsid w:val="005F3B90"/>
    <w:rsid w:val="005F3BC1"/>
    <w:rsid w:val="005F3C29"/>
    <w:rsid w:val="005F4276"/>
    <w:rsid w:val="005F446F"/>
    <w:rsid w:val="005F4746"/>
    <w:rsid w:val="005F4C6B"/>
    <w:rsid w:val="005F4CCA"/>
    <w:rsid w:val="005F50F3"/>
    <w:rsid w:val="005F55C1"/>
    <w:rsid w:val="005F5C1E"/>
    <w:rsid w:val="005F5EAC"/>
    <w:rsid w:val="005F5FB6"/>
    <w:rsid w:val="005F61AE"/>
    <w:rsid w:val="005F6F92"/>
    <w:rsid w:val="005F78D2"/>
    <w:rsid w:val="005F7C3B"/>
    <w:rsid w:val="005F7C51"/>
    <w:rsid w:val="005F7E8D"/>
    <w:rsid w:val="00600398"/>
    <w:rsid w:val="00600DCD"/>
    <w:rsid w:val="0060129B"/>
    <w:rsid w:val="006017EB"/>
    <w:rsid w:val="006020AC"/>
    <w:rsid w:val="006026C2"/>
    <w:rsid w:val="00602E24"/>
    <w:rsid w:val="00602E6A"/>
    <w:rsid w:val="006038BC"/>
    <w:rsid w:val="006046C8"/>
    <w:rsid w:val="00604E35"/>
    <w:rsid w:val="0060528E"/>
    <w:rsid w:val="006072E7"/>
    <w:rsid w:val="0061131E"/>
    <w:rsid w:val="00611B2A"/>
    <w:rsid w:val="006122AE"/>
    <w:rsid w:val="006126A9"/>
    <w:rsid w:val="006130AE"/>
    <w:rsid w:val="00613CB7"/>
    <w:rsid w:val="00613E1F"/>
    <w:rsid w:val="0061448D"/>
    <w:rsid w:val="00614C4F"/>
    <w:rsid w:val="00614DC7"/>
    <w:rsid w:val="00615AA2"/>
    <w:rsid w:val="00616395"/>
    <w:rsid w:val="0062044E"/>
    <w:rsid w:val="00620606"/>
    <w:rsid w:val="00620639"/>
    <w:rsid w:val="00620EE7"/>
    <w:rsid w:val="00621018"/>
    <w:rsid w:val="0062169F"/>
    <w:rsid w:val="00621D10"/>
    <w:rsid w:val="00623A30"/>
    <w:rsid w:val="00623DA7"/>
    <w:rsid w:val="006248E6"/>
    <w:rsid w:val="00624EC6"/>
    <w:rsid w:val="0062534F"/>
    <w:rsid w:val="0062625A"/>
    <w:rsid w:val="00626E73"/>
    <w:rsid w:val="006270FF"/>
    <w:rsid w:val="006279E4"/>
    <w:rsid w:val="00627E13"/>
    <w:rsid w:val="00630222"/>
    <w:rsid w:val="00630459"/>
    <w:rsid w:val="00630F6F"/>
    <w:rsid w:val="00631087"/>
    <w:rsid w:val="00631505"/>
    <w:rsid w:val="00632245"/>
    <w:rsid w:val="0063225C"/>
    <w:rsid w:val="00632301"/>
    <w:rsid w:val="006327BB"/>
    <w:rsid w:val="006335EF"/>
    <w:rsid w:val="006348C2"/>
    <w:rsid w:val="00634A4C"/>
    <w:rsid w:val="00634DE6"/>
    <w:rsid w:val="00635292"/>
    <w:rsid w:val="00635404"/>
    <w:rsid w:val="006372BF"/>
    <w:rsid w:val="00637322"/>
    <w:rsid w:val="00637434"/>
    <w:rsid w:val="0063785D"/>
    <w:rsid w:val="0064076F"/>
    <w:rsid w:val="00640A1C"/>
    <w:rsid w:val="00640CA8"/>
    <w:rsid w:val="006418E5"/>
    <w:rsid w:val="006421EA"/>
    <w:rsid w:val="00642772"/>
    <w:rsid w:val="00642ED3"/>
    <w:rsid w:val="006439AE"/>
    <w:rsid w:val="006446BC"/>
    <w:rsid w:val="0064578A"/>
    <w:rsid w:val="00645953"/>
    <w:rsid w:val="00646614"/>
    <w:rsid w:val="00646BC6"/>
    <w:rsid w:val="00646D03"/>
    <w:rsid w:val="00651109"/>
    <w:rsid w:val="006517A0"/>
    <w:rsid w:val="00651A1C"/>
    <w:rsid w:val="0065304D"/>
    <w:rsid w:val="006536AF"/>
    <w:rsid w:val="00654230"/>
    <w:rsid w:val="00655371"/>
    <w:rsid w:val="00655DFD"/>
    <w:rsid w:val="006562D8"/>
    <w:rsid w:val="006568A3"/>
    <w:rsid w:val="00656B88"/>
    <w:rsid w:val="00657332"/>
    <w:rsid w:val="00657A01"/>
    <w:rsid w:val="00657C33"/>
    <w:rsid w:val="006605F9"/>
    <w:rsid w:val="00660999"/>
    <w:rsid w:val="00661E42"/>
    <w:rsid w:val="006620E0"/>
    <w:rsid w:val="00664805"/>
    <w:rsid w:val="00664B10"/>
    <w:rsid w:val="00664E88"/>
    <w:rsid w:val="006650D3"/>
    <w:rsid w:val="006653B3"/>
    <w:rsid w:val="006654A9"/>
    <w:rsid w:val="00665A41"/>
    <w:rsid w:val="006667E1"/>
    <w:rsid w:val="0066721D"/>
    <w:rsid w:val="00670317"/>
    <w:rsid w:val="0067093E"/>
    <w:rsid w:val="006713AB"/>
    <w:rsid w:val="00671976"/>
    <w:rsid w:val="00672890"/>
    <w:rsid w:val="00672B19"/>
    <w:rsid w:val="00674A59"/>
    <w:rsid w:val="00675260"/>
    <w:rsid w:val="006761E3"/>
    <w:rsid w:val="0067650E"/>
    <w:rsid w:val="00676E14"/>
    <w:rsid w:val="00676F2E"/>
    <w:rsid w:val="00677896"/>
    <w:rsid w:val="00677AAE"/>
    <w:rsid w:val="00677ABE"/>
    <w:rsid w:val="00677DB8"/>
    <w:rsid w:val="00680FCC"/>
    <w:rsid w:val="006811FF"/>
    <w:rsid w:val="00681B16"/>
    <w:rsid w:val="00682287"/>
    <w:rsid w:val="006822B5"/>
    <w:rsid w:val="0068317C"/>
    <w:rsid w:val="006832D6"/>
    <w:rsid w:val="00683CE9"/>
    <w:rsid w:val="006845A4"/>
    <w:rsid w:val="00684DB1"/>
    <w:rsid w:val="006872CF"/>
    <w:rsid w:val="0069127B"/>
    <w:rsid w:val="006914EA"/>
    <w:rsid w:val="00691B91"/>
    <w:rsid w:val="006928AC"/>
    <w:rsid w:val="00692BB2"/>
    <w:rsid w:val="00692BFF"/>
    <w:rsid w:val="00693091"/>
    <w:rsid w:val="006933C2"/>
    <w:rsid w:val="00693E87"/>
    <w:rsid w:val="006948AC"/>
    <w:rsid w:val="00694D39"/>
    <w:rsid w:val="006953CA"/>
    <w:rsid w:val="006954EC"/>
    <w:rsid w:val="006955A9"/>
    <w:rsid w:val="006959D6"/>
    <w:rsid w:val="00695EC8"/>
    <w:rsid w:val="00696909"/>
    <w:rsid w:val="00697114"/>
    <w:rsid w:val="00697BC6"/>
    <w:rsid w:val="006A1B84"/>
    <w:rsid w:val="006A1FEF"/>
    <w:rsid w:val="006A27C2"/>
    <w:rsid w:val="006A2B00"/>
    <w:rsid w:val="006A2EBD"/>
    <w:rsid w:val="006A3009"/>
    <w:rsid w:val="006A3E7B"/>
    <w:rsid w:val="006A4D9B"/>
    <w:rsid w:val="006A5155"/>
    <w:rsid w:val="006A54E2"/>
    <w:rsid w:val="006A6950"/>
    <w:rsid w:val="006A7210"/>
    <w:rsid w:val="006A757D"/>
    <w:rsid w:val="006A7B32"/>
    <w:rsid w:val="006B002A"/>
    <w:rsid w:val="006B0354"/>
    <w:rsid w:val="006B130C"/>
    <w:rsid w:val="006B308F"/>
    <w:rsid w:val="006B3136"/>
    <w:rsid w:val="006B32C8"/>
    <w:rsid w:val="006B3A46"/>
    <w:rsid w:val="006B5301"/>
    <w:rsid w:val="006B698B"/>
    <w:rsid w:val="006B7C2C"/>
    <w:rsid w:val="006C1A19"/>
    <w:rsid w:val="006C221E"/>
    <w:rsid w:val="006C2D02"/>
    <w:rsid w:val="006C310E"/>
    <w:rsid w:val="006C34B4"/>
    <w:rsid w:val="006C376B"/>
    <w:rsid w:val="006C4319"/>
    <w:rsid w:val="006C440B"/>
    <w:rsid w:val="006C453C"/>
    <w:rsid w:val="006C45C7"/>
    <w:rsid w:val="006C4BC0"/>
    <w:rsid w:val="006C50E7"/>
    <w:rsid w:val="006C5C73"/>
    <w:rsid w:val="006C5DC3"/>
    <w:rsid w:val="006C616B"/>
    <w:rsid w:val="006C63FB"/>
    <w:rsid w:val="006C6A46"/>
    <w:rsid w:val="006C6D72"/>
    <w:rsid w:val="006C7447"/>
    <w:rsid w:val="006C7ACB"/>
    <w:rsid w:val="006D0115"/>
    <w:rsid w:val="006D03DF"/>
    <w:rsid w:val="006D1327"/>
    <w:rsid w:val="006D1F03"/>
    <w:rsid w:val="006D2971"/>
    <w:rsid w:val="006D4A4A"/>
    <w:rsid w:val="006D4ADB"/>
    <w:rsid w:val="006D4D36"/>
    <w:rsid w:val="006D6618"/>
    <w:rsid w:val="006D6E79"/>
    <w:rsid w:val="006D7DC0"/>
    <w:rsid w:val="006D7DEA"/>
    <w:rsid w:val="006E017B"/>
    <w:rsid w:val="006E06A9"/>
    <w:rsid w:val="006E0888"/>
    <w:rsid w:val="006E097F"/>
    <w:rsid w:val="006E0E4A"/>
    <w:rsid w:val="006E1778"/>
    <w:rsid w:val="006E17B0"/>
    <w:rsid w:val="006E1A8C"/>
    <w:rsid w:val="006E1C39"/>
    <w:rsid w:val="006E1E63"/>
    <w:rsid w:val="006E2595"/>
    <w:rsid w:val="006E2694"/>
    <w:rsid w:val="006E2A1F"/>
    <w:rsid w:val="006E2A78"/>
    <w:rsid w:val="006E2EFF"/>
    <w:rsid w:val="006E4ED0"/>
    <w:rsid w:val="006E53A0"/>
    <w:rsid w:val="006E5500"/>
    <w:rsid w:val="006E58AF"/>
    <w:rsid w:val="006E5D0E"/>
    <w:rsid w:val="006E608C"/>
    <w:rsid w:val="006E6261"/>
    <w:rsid w:val="006E6540"/>
    <w:rsid w:val="006E65F8"/>
    <w:rsid w:val="006E6843"/>
    <w:rsid w:val="006E6AC7"/>
    <w:rsid w:val="006E6B4F"/>
    <w:rsid w:val="006E6DD4"/>
    <w:rsid w:val="006E717A"/>
    <w:rsid w:val="006E7651"/>
    <w:rsid w:val="006E7C40"/>
    <w:rsid w:val="006E7F60"/>
    <w:rsid w:val="006F0181"/>
    <w:rsid w:val="006F03E3"/>
    <w:rsid w:val="006F0660"/>
    <w:rsid w:val="006F0A1F"/>
    <w:rsid w:val="006F0EA8"/>
    <w:rsid w:val="006F0F5F"/>
    <w:rsid w:val="006F150D"/>
    <w:rsid w:val="006F1654"/>
    <w:rsid w:val="006F222F"/>
    <w:rsid w:val="006F26F3"/>
    <w:rsid w:val="006F2CF3"/>
    <w:rsid w:val="006F3059"/>
    <w:rsid w:val="006F3A64"/>
    <w:rsid w:val="006F5987"/>
    <w:rsid w:val="006F5F1A"/>
    <w:rsid w:val="006F6C67"/>
    <w:rsid w:val="006F6EB9"/>
    <w:rsid w:val="006F7078"/>
    <w:rsid w:val="00700222"/>
    <w:rsid w:val="0070040B"/>
    <w:rsid w:val="007008C7"/>
    <w:rsid w:val="007008D0"/>
    <w:rsid w:val="00701188"/>
    <w:rsid w:val="0070137E"/>
    <w:rsid w:val="00701DDA"/>
    <w:rsid w:val="0070200D"/>
    <w:rsid w:val="0070287D"/>
    <w:rsid w:val="00702DB9"/>
    <w:rsid w:val="00702E2E"/>
    <w:rsid w:val="00703F39"/>
    <w:rsid w:val="0070495D"/>
    <w:rsid w:val="00704A9D"/>
    <w:rsid w:val="00704B8B"/>
    <w:rsid w:val="00705942"/>
    <w:rsid w:val="00705AB2"/>
    <w:rsid w:val="0070619A"/>
    <w:rsid w:val="0070678A"/>
    <w:rsid w:val="00707173"/>
    <w:rsid w:val="00707607"/>
    <w:rsid w:val="0071055F"/>
    <w:rsid w:val="0071095F"/>
    <w:rsid w:val="00710F5D"/>
    <w:rsid w:val="007118EB"/>
    <w:rsid w:val="00712C57"/>
    <w:rsid w:val="007136CC"/>
    <w:rsid w:val="00713902"/>
    <w:rsid w:val="00713B9A"/>
    <w:rsid w:val="00714281"/>
    <w:rsid w:val="00714BEF"/>
    <w:rsid w:val="007157C8"/>
    <w:rsid w:val="007161CE"/>
    <w:rsid w:val="007168B9"/>
    <w:rsid w:val="00716B38"/>
    <w:rsid w:val="00717EE2"/>
    <w:rsid w:val="0072159A"/>
    <w:rsid w:val="0072168D"/>
    <w:rsid w:val="00721BEF"/>
    <w:rsid w:val="00722055"/>
    <w:rsid w:val="007228F2"/>
    <w:rsid w:val="00722C23"/>
    <w:rsid w:val="007245DF"/>
    <w:rsid w:val="007246ED"/>
    <w:rsid w:val="00725A8D"/>
    <w:rsid w:val="00727851"/>
    <w:rsid w:val="00727B18"/>
    <w:rsid w:val="00727D5D"/>
    <w:rsid w:val="00727FA5"/>
    <w:rsid w:val="007314A9"/>
    <w:rsid w:val="0073166F"/>
    <w:rsid w:val="007318E5"/>
    <w:rsid w:val="00732369"/>
    <w:rsid w:val="00732EA3"/>
    <w:rsid w:val="00733157"/>
    <w:rsid w:val="007333F4"/>
    <w:rsid w:val="00733EE3"/>
    <w:rsid w:val="00733F89"/>
    <w:rsid w:val="007340C4"/>
    <w:rsid w:val="00734A03"/>
    <w:rsid w:val="007350F7"/>
    <w:rsid w:val="007372F4"/>
    <w:rsid w:val="00737FDC"/>
    <w:rsid w:val="007400AC"/>
    <w:rsid w:val="0074036B"/>
    <w:rsid w:val="007406F0"/>
    <w:rsid w:val="0074189A"/>
    <w:rsid w:val="00741BAA"/>
    <w:rsid w:val="00741E2A"/>
    <w:rsid w:val="007421DB"/>
    <w:rsid w:val="0074274E"/>
    <w:rsid w:val="00744BA5"/>
    <w:rsid w:val="00744E09"/>
    <w:rsid w:val="00745567"/>
    <w:rsid w:val="00745D02"/>
    <w:rsid w:val="00745F54"/>
    <w:rsid w:val="007461D4"/>
    <w:rsid w:val="007463A4"/>
    <w:rsid w:val="00746C32"/>
    <w:rsid w:val="00747802"/>
    <w:rsid w:val="00747E9F"/>
    <w:rsid w:val="00747F86"/>
    <w:rsid w:val="00750184"/>
    <w:rsid w:val="007520CE"/>
    <w:rsid w:val="00752390"/>
    <w:rsid w:val="00752414"/>
    <w:rsid w:val="00752573"/>
    <w:rsid w:val="007548EC"/>
    <w:rsid w:val="00754B63"/>
    <w:rsid w:val="00756180"/>
    <w:rsid w:val="00756636"/>
    <w:rsid w:val="007566F3"/>
    <w:rsid w:val="00756BC6"/>
    <w:rsid w:val="00756F23"/>
    <w:rsid w:val="00760777"/>
    <w:rsid w:val="00762B3F"/>
    <w:rsid w:val="00762B7E"/>
    <w:rsid w:val="007637A9"/>
    <w:rsid w:val="00763B8B"/>
    <w:rsid w:val="0076417B"/>
    <w:rsid w:val="00764C92"/>
    <w:rsid w:val="007651DB"/>
    <w:rsid w:val="0076552A"/>
    <w:rsid w:val="00765ED1"/>
    <w:rsid w:val="007674EC"/>
    <w:rsid w:val="00770158"/>
    <w:rsid w:val="00770B56"/>
    <w:rsid w:val="00770EC4"/>
    <w:rsid w:val="007710A5"/>
    <w:rsid w:val="00771615"/>
    <w:rsid w:val="007717BF"/>
    <w:rsid w:val="0077225D"/>
    <w:rsid w:val="00772E28"/>
    <w:rsid w:val="007734C9"/>
    <w:rsid w:val="007736D0"/>
    <w:rsid w:val="007737B8"/>
    <w:rsid w:val="0077463A"/>
    <w:rsid w:val="00776341"/>
    <w:rsid w:val="00776BC9"/>
    <w:rsid w:val="00777325"/>
    <w:rsid w:val="0077753D"/>
    <w:rsid w:val="0077786E"/>
    <w:rsid w:val="00777E53"/>
    <w:rsid w:val="007801E4"/>
    <w:rsid w:val="00780A67"/>
    <w:rsid w:val="00780A9A"/>
    <w:rsid w:val="00780AC7"/>
    <w:rsid w:val="00780AE8"/>
    <w:rsid w:val="00781105"/>
    <w:rsid w:val="007816AC"/>
    <w:rsid w:val="007823ED"/>
    <w:rsid w:val="007839AA"/>
    <w:rsid w:val="00783C5E"/>
    <w:rsid w:val="00784784"/>
    <w:rsid w:val="0078491B"/>
    <w:rsid w:val="00784D14"/>
    <w:rsid w:val="00784F1D"/>
    <w:rsid w:val="00786338"/>
    <w:rsid w:val="00787636"/>
    <w:rsid w:val="007906B4"/>
    <w:rsid w:val="00790975"/>
    <w:rsid w:val="007916AA"/>
    <w:rsid w:val="007919DB"/>
    <w:rsid w:val="00791A91"/>
    <w:rsid w:val="007929EE"/>
    <w:rsid w:val="00792E68"/>
    <w:rsid w:val="007930CD"/>
    <w:rsid w:val="00794302"/>
    <w:rsid w:val="0079532A"/>
    <w:rsid w:val="007957DD"/>
    <w:rsid w:val="00795D00"/>
    <w:rsid w:val="0079677C"/>
    <w:rsid w:val="0079678C"/>
    <w:rsid w:val="007972C6"/>
    <w:rsid w:val="00797A09"/>
    <w:rsid w:val="00797CE7"/>
    <w:rsid w:val="007A0950"/>
    <w:rsid w:val="007A2429"/>
    <w:rsid w:val="007A27C4"/>
    <w:rsid w:val="007A2F0D"/>
    <w:rsid w:val="007A2F71"/>
    <w:rsid w:val="007A34D9"/>
    <w:rsid w:val="007A3771"/>
    <w:rsid w:val="007A39B7"/>
    <w:rsid w:val="007A3A5D"/>
    <w:rsid w:val="007A41EC"/>
    <w:rsid w:val="007A4859"/>
    <w:rsid w:val="007A5446"/>
    <w:rsid w:val="007A5863"/>
    <w:rsid w:val="007A5F29"/>
    <w:rsid w:val="007A6883"/>
    <w:rsid w:val="007A6D85"/>
    <w:rsid w:val="007A6E92"/>
    <w:rsid w:val="007A7F00"/>
    <w:rsid w:val="007B1015"/>
    <w:rsid w:val="007B1A5C"/>
    <w:rsid w:val="007B1F05"/>
    <w:rsid w:val="007B3AB0"/>
    <w:rsid w:val="007B433E"/>
    <w:rsid w:val="007B4961"/>
    <w:rsid w:val="007B4AB9"/>
    <w:rsid w:val="007B5BF6"/>
    <w:rsid w:val="007B5C2D"/>
    <w:rsid w:val="007B7058"/>
    <w:rsid w:val="007B709A"/>
    <w:rsid w:val="007B74E0"/>
    <w:rsid w:val="007B785D"/>
    <w:rsid w:val="007C037B"/>
    <w:rsid w:val="007C164A"/>
    <w:rsid w:val="007C236F"/>
    <w:rsid w:val="007C24AA"/>
    <w:rsid w:val="007C2738"/>
    <w:rsid w:val="007C2746"/>
    <w:rsid w:val="007C2BCF"/>
    <w:rsid w:val="007C3645"/>
    <w:rsid w:val="007C429E"/>
    <w:rsid w:val="007C445E"/>
    <w:rsid w:val="007C4B10"/>
    <w:rsid w:val="007C56A9"/>
    <w:rsid w:val="007C5785"/>
    <w:rsid w:val="007C5B35"/>
    <w:rsid w:val="007C627E"/>
    <w:rsid w:val="007C6C74"/>
    <w:rsid w:val="007C768C"/>
    <w:rsid w:val="007D0A66"/>
    <w:rsid w:val="007D2842"/>
    <w:rsid w:val="007D3061"/>
    <w:rsid w:val="007D376D"/>
    <w:rsid w:val="007D3BA1"/>
    <w:rsid w:val="007D401F"/>
    <w:rsid w:val="007D4F2C"/>
    <w:rsid w:val="007D5151"/>
    <w:rsid w:val="007D6F47"/>
    <w:rsid w:val="007D7383"/>
    <w:rsid w:val="007D7E2A"/>
    <w:rsid w:val="007E1113"/>
    <w:rsid w:val="007E1347"/>
    <w:rsid w:val="007E155F"/>
    <w:rsid w:val="007E1BDD"/>
    <w:rsid w:val="007E1CEA"/>
    <w:rsid w:val="007E20BA"/>
    <w:rsid w:val="007E28AC"/>
    <w:rsid w:val="007E2928"/>
    <w:rsid w:val="007E2C07"/>
    <w:rsid w:val="007E3151"/>
    <w:rsid w:val="007E3350"/>
    <w:rsid w:val="007E3ABE"/>
    <w:rsid w:val="007E455D"/>
    <w:rsid w:val="007E467A"/>
    <w:rsid w:val="007E4CB1"/>
    <w:rsid w:val="007E51A5"/>
    <w:rsid w:val="007E5E3C"/>
    <w:rsid w:val="007E62F4"/>
    <w:rsid w:val="007E65BE"/>
    <w:rsid w:val="007E69AB"/>
    <w:rsid w:val="007F042F"/>
    <w:rsid w:val="007F0A0A"/>
    <w:rsid w:val="007F1727"/>
    <w:rsid w:val="007F1E8C"/>
    <w:rsid w:val="007F248C"/>
    <w:rsid w:val="007F290E"/>
    <w:rsid w:val="007F3C2C"/>
    <w:rsid w:val="007F441B"/>
    <w:rsid w:val="007F5555"/>
    <w:rsid w:val="007F5AD1"/>
    <w:rsid w:val="007F6A57"/>
    <w:rsid w:val="007F6BBF"/>
    <w:rsid w:val="007F6EAA"/>
    <w:rsid w:val="007F782D"/>
    <w:rsid w:val="00800575"/>
    <w:rsid w:val="00801CCA"/>
    <w:rsid w:val="00802783"/>
    <w:rsid w:val="0080290B"/>
    <w:rsid w:val="0080417F"/>
    <w:rsid w:val="008043A1"/>
    <w:rsid w:val="008045E4"/>
    <w:rsid w:val="008051C9"/>
    <w:rsid w:val="00806A9B"/>
    <w:rsid w:val="00806D25"/>
    <w:rsid w:val="008110DA"/>
    <w:rsid w:val="0081135B"/>
    <w:rsid w:val="00811AA7"/>
    <w:rsid w:val="0081304C"/>
    <w:rsid w:val="00813373"/>
    <w:rsid w:val="0081353E"/>
    <w:rsid w:val="00814A45"/>
    <w:rsid w:val="00814CE6"/>
    <w:rsid w:val="0081696A"/>
    <w:rsid w:val="00816EBB"/>
    <w:rsid w:val="00817642"/>
    <w:rsid w:val="00821D78"/>
    <w:rsid w:val="00821EB1"/>
    <w:rsid w:val="0082313D"/>
    <w:rsid w:val="00823153"/>
    <w:rsid w:val="008235A6"/>
    <w:rsid w:val="00823E72"/>
    <w:rsid w:val="00824186"/>
    <w:rsid w:val="008248CE"/>
    <w:rsid w:val="00826265"/>
    <w:rsid w:val="00826288"/>
    <w:rsid w:val="00826980"/>
    <w:rsid w:val="008277D5"/>
    <w:rsid w:val="008301CA"/>
    <w:rsid w:val="008303D2"/>
    <w:rsid w:val="008313D1"/>
    <w:rsid w:val="008325BF"/>
    <w:rsid w:val="00832658"/>
    <w:rsid w:val="00832E14"/>
    <w:rsid w:val="00833150"/>
    <w:rsid w:val="00834231"/>
    <w:rsid w:val="008344B3"/>
    <w:rsid w:val="00834CEE"/>
    <w:rsid w:val="00834EA0"/>
    <w:rsid w:val="00836163"/>
    <w:rsid w:val="008368E9"/>
    <w:rsid w:val="008369C3"/>
    <w:rsid w:val="00837134"/>
    <w:rsid w:val="0083735B"/>
    <w:rsid w:val="008377B6"/>
    <w:rsid w:val="0083787C"/>
    <w:rsid w:val="008378CA"/>
    <w:rsid w:val="00840131"/>
    <w:rsid w:val="008403BF"/>
    <w:rsid w:val="00840A7D"/>
    <w:rsid w:val="00841D48"/>
    <w:rsid w:val="0084355E"/>
    <w:rsid w:val="00844042"/>
    <w:rsid w:val="00845C10"/>
    <w:rsid w:val="008464F6"/>
    <w:rsid w:val="00846FC6"/>
    <w:rsid w:val="0084736E"/>
    <w:rsid w:val="00847BDD"/>
    <w:rsid w:val="00850C01"/>
    <w:rsid w:val="00851BBA"/>
    <w:rsid w:val="0085254F"/>
    <w:rsid w:val="00852DE2"/>
    <w:rsid w:val="0085379E"/>
    <w:rsid w:val="008540D0"/>
    <w:rsid w:val="008543FB"/>
    <w:rsid w:val="00854918"/>
    <w:rsid w:val="008553AA"/>
    <w:rsid w:val="00856DFA"/>
    <w:rsid w:val="00857B23"/>
    <w:rsid w:val="0086027E"/>
    <w:rsid w:val="008603B7"/>
    <w:rsid w:val="008607FF"/>
    <w:rsid w:val="00861681"/>
    <w:rsid w:val="00861B04"/>
    <w:rsid w:val="00862432"/>
    <w:rsid w:val="008627A4"/>
    <w:rsid w:val="00863552"/>
    <w:rsid w:val="00863A44"/>
    <w:rsid w:val="00864042"/>
    <w:rsid w:val="00864B06"/>
    <w:rsid w:val="00865BC3"/>
    <w:rsid w:val="0086603C"/>
    <w:rsid w:val="0086628D"/>
    <w:rsid w:val="0086762E"/>
    <w:rsid w:val="00867691"/>
    <w:rsid w:val="00867E3B"/>
    <w:rsid w:val="00870161"/>
    <w:rsid w:val="00870708"/>
    <w:rsid w:val="008707B8"/>
    <w:rsid w:val="00871C82"/>
    <w:rsid w:val="00871DC4"/>
    <w:rsid w:val="008723AE"/>
    <w:rsid w:val="008726D6"/>
    <w:rsid w:val="008732ED"/>
    <w:rsid w:val="008733D7"/>
    <w:rsid w:val="008737F3"/>
    <w:rsid w:val="00873938"/>
    <w:rsid w:val="00873A79"/>
    <w:rsid w:val="00874A02"/>
    <w:rsid w:val="00874D4F"/>
    <w:rsid w:val="008755B8"/>
    <w:rsid w:val="008757A7"/>
    <w:rsid w:val="00875AAC"/>
    <w:rsid w:val="00875D0E"/>
    <w:rsid w:val="00875EFD"/>
    <w:rsid w:val="00876641"/>
    <w:rsid w:val="00876A63"/>
    <w:rsid w:val="008771EE"/>
    <w:rsid w:val="0087737B"/>
    <w:rsid w:val="00880E16"/>
    <w:rsid w:val="00880F2B"/>
    <w:rsid w:val="00881330"/>
    <w:rsid w:val="008817D2"/>
    <w:rsid w:val="00881C8C"/>
    <w:rsid w:val="00882464"/>
    <w:rsid w:val="00882833"/>
    <w:rsid w:val="00882FC1"/>
    <w:rsid w:val="00883CEE"/>
    <w:rsid w:val="00883D25"/>
    <w:rsid w:val="008842C2"/>
    <w:rsid w:val="00884A53"/>
    <w:rsid w:val="00884E17"/>
    <w:rsid w:val="0088507D"/>
    <w:rsid w:val="008853ED"/>
    <w:rsid w:val="0088545D"/>
    <w:rsid w:val="008858BC"/>
    <w:rsid w:val="00885EAC"/>
    <w:rsid w:val="00885F21"/>
    <w:rsid w:val="008860D2"/>
    <w:rsid w:val="0088628D"/>
    <w:rsid w:val="008863A2"/>
    <w:rsid w:val="00887DF6"/>
    <w:rsid w:val="00890810"/>
    <w:rsid w:val="00890C62"/>
    <w:rsid w:val="00891E31"/>
    <w:rsid w:val="00892ADB"/>
    <w:rsid w:val="008933B8"/>
    <w:rsid w:val="0089360E"/>
    <w:rsid w:val="00893671"/>
    <w:rsid w:val="00893ACE"/>
    <w:rsid w:val="00893D30"/>
    <w:rsid w:val="008940A8"/>
    <w:rsid w:val="00894B07"/>
    <w:rsid w:val="00894D05"/>
    <w:rsid w:val="0089507F"/>
    <w:rsid w:val="00896C03"/>
    <w:rsid w:val="00896EFD"/>
    <w:rsid w:val="00897F5D"/>
    <w:rsid w:val="008A01B8"/>
    <w:rsid w:val="008A0F38"/>
    <w:rsid w:val="008A1BF8"/>
    <w:rsid w:val="008A1E13"/>
    <w:rsid w:val="008A353B"/>
    <w:rsid w:val="008A3F9D"/>
    <w:rsid w:val="008A4B5B"/>
    <w:rsid w:val="008A54E7"/>
    <w:rsid w:val="008A55CE"/>
    <w:rsid w:val="008A5BDF"/>
    <w:rsid w:val="008A6BAF"/>
    <w:rsid w:val="008A6F28"/>
    <w:rsid w:val="008A7640"/>
    <w:rsid w:val="008A7E44"/>
    <w:rsid w:val="008B08A8"/>
    <w:rsid w:val="008B0934"/>
    <w:rsid w:val="008B09E4"/>
    <w:rsid w:val="008B10CB"/>
    <w:rsid w:val="008B17E9"/>
    <w:rsid w:val="008B1FA5"/>
    <w:rsid w:val="008B2BA3"/>
    <w:rsid w:val="008B3133"/>
    <w:rsid w:val="008B33AC"/>
    <w:rsid w:val="008B3900"/>
    <w:rsid w:val="008B3CB6"/>
    <w:rsid w:val="008B4B66"/>
    <w:rsid w:val="008B562D"/>
    <w:rsid w:val="008B643D"/>
    <w:rsid w:val="008B69BE"/>
    <w:rsid w:val="008B6CA7"/>
    <w:rsid w:val="008B74C6"/>
    <w:rsid w:val="008B7868"/>
    <w:rsid w:val="008B7DFC"/>
    <w:rsid w:val="008C021D"/>
    <w:rsid w:val="008C0654"/>
    <w:rsid w:val="008C0853"/>
    <w:rsid w:val="008C0948"/>
    <w:rsid w:val="008C18AB"/>
    <w:rsid w:val="008C19F9"/>
    <w:rsid w:val="008C2088"/>
    <w:rsid w:val="008C3975"/>
    <w:rsid w:val="008C47BA"/>
    <w:rsid w:val="008C5185"/>
    <w:rsid w:val="008C55CB"/>
    <w:rsid w:val="008C55EB"/>
    <w:rsid w:val="008C67E5"/>
    <w:rsid w:val="008C6C0B"/>
    <w:rsid w:val="008D0819"/>
    <w:rsid w:val="008D0859"/>
    <w:rsid w:val="008D14CF"/>
    <w:rsid w:val="008D297A"/>
    <w:rsid w:val="008D2B08"/>
    <w:rsid w:val="008D35B1"/>
    <w:rsid w:val="008D4205"/>
    <w:rsid w:val="008D49C9"/>
    <w:rsid w:val="008D6020"/>
    <w:rsid w:val="008D63E9"/>
    <w:rsid w:val="008D6BBC"/>
    <w:rsid w:val="008D742C"/>
    <w:rsid w:val="008D7455"/>
    <w:rsid w:val="008D74D0"/>
    <w:rsid w:val="008D74EB"/>
    <w:rsid w:val="008D7BCB"/>
    <w:rsid w:val="008D7E9D"/>
    <w:rsid w:val="008E0C42"/>
    <w:rsid w:val="008E0C6A"/>
    <w:rsid w:val="008E15EA"/>
    <w:rsid w:val="008E1B5A"/>
    <w:rsid w:val="008E2F74"/>
    <w:rsid w:val="008E3532"/>
    <w:rsid w:val="008E3E3E"/>
    <w:rsid w:val="008E4681"/>
    <w:rsid w:val="008E4FC0"/>
    <w:rsid w:val="008E5216"/>
    <w:rsid w:val="008E68A7"/>
    <w:rsid w:val="008E728C"/>
    <w:rsid w:val="008E7327"/>
    <w:rsid w:val="008E78BF"/>
    <w:rsid w:val="008F01A0"/>
    <w:rsid w:val="008F03CC"/>
    <w:rsid w:val="008F066D"/>
    <w:rsid w:val="008F087E"/>
    <w:rsid w:val="008F189D"/>
    <w:rsid w:val="008F1B54"/>
    <w:rsid w:val="008F2486"/>
    <w:rsid w:val="008F255D"/>
    <w:rsid w:val="008F2853"/>
    <w:rsid w:val="008F3209"/>
    <w:rsid w:val="008F3A03"/>
    <w:rsid w:val="008F3FDD"/>
    <w:rsid w:val="008F5F92"/>
    <w:rsid w:val="008F702F"/>
    <w:rsid w:val="008F70E1"/>
    <w:rsid w:val="008F735D"/>
    <w:rsid w:val="008F78C0"/>
    <w:rsid w:val="009012A5"/>
    <w:rsid w:val="00901A8A"/>
    <w:rsid w:val="0090208D"/>
    <w:rsid w:val="009024C4"/>
    <w:rsid w:val="0090316E"/>
    <w:rsid w:val="009032CC"/>
    <w:rsid w:val="0090353B"/>
    <w:rsid w:val="009040EB"/>
    <w:rsid w:val="009045E3"/>
    <w:rsid w:val="0090627F"/>
    <w:rsid w:val="0090766A"/>
    <w:rsid w:val="00907B64"/>
    <w:rsid w:val="009101A1"/>
    <w:rsid w:val="0091055F"/>
    <w:rsid w:val="0091080B"/>
    <w:rsid w:val="00910D5F"/>
    <w:rsid w:val="009115D6"/>
    <w:rsid w:val="00911B31"/>
    <w:rsid w:val="00912148"/>
    <w:rsid w:val="00912AAC"/>
    <w:rsid w:val="00913442"/>
    <w:rsid w:val="00913CB2"/>
    <w:rsid w:val="00913E0F"/>
    <w:rsid w:val="00915291"/>
    <w:rsid w:val="00915D22"/>
    <w:rsid w:val="00915ECE"/>
    <w:rsid w:val="0091610D"/>
    <w:rsid w:val="009163AD"/>
    <w:rsid w:val="009166B8"/>
    <w:rsid w:val="00916EFB"/>
    <w:rsid w:val="00920771"/>
    <w:rsid w:val="009209BD"/>
    <w:rsid w:val="009212C2"/>
    <w:rsid w:val="00921361"/>
    <w:rsid w:val="0092191C"/>
    <w:rsid w:val="00922464"/>
    <w:rsid w:val="00923600"/>
    <w:rsid w:val="0092394D"/>
    <w:rsid w:val="00923AC1"/>
    <w:rsid w:val="00923BAC"/>
    <w:rsid w:val="00923E7D"/>
    <w:rsid w:val="00925FA1"/>
    <w:rsid w:val="00926019"/>
    <w:rsid w:val="00926A42"/>
    <w:rsid w:val="009276B1"/>
    <w:rsid w:val="009303CF"/>
    <w:rsid w:val="00930F58"/>
    <w:rsid w:val="00931D69"/>
    <w:rsid w:val="00932182"/>
    <w:rsid w:val="00932229"/>
    <w:rsid w:val="00932A54"/>
    <w:rsid w:val="00932C21"/>
    <w:rsid w:val="00933057"/>
    <w:rsid w:val="009333DA"/>
    <w:rsid w:val="0093379B"/>
    <w:rsid w:val="00933B5D"/>
    <w:rsid w:val="00933BE8"/>
    <w:rsid w:val="00933CA9"/>
    <w:rsid w:val="00934B8E"/>
    <w:rsid w:val="00934CDB"/>
    <w:rsid w:val="00937046"/>
    <w:rsid w:val="009370FF"/>
    <w:rsid w:val="009375FD"/>
    <w:rsid w:val="009377EE"/>
    <w:rsid w:val="00937911"/>
    <w:rsid w:val="00937B5D"/>
    <w:rsid w:val="00941CE3"/>
    <w:rsid w:val="0094212C"/>
    <w:rsid w:val="009421F9"/>
    <w:rsid w:val="009425DC"/>
    <w:rsid w:val="00942B91"/>
    <w:rsid w:val="00943A37"/>
    <w:rsid w:val="00944258"/>
    <w:rsid w:val="00944518"/>
    <w:rsid w:val="00944F09"/>
    <w:rsid w:val="0094537C"/>
    <w:rsid w:val="009453F9"/>
    <w:rsid w:val="00945899"/>
    <w:rsid w:val="009460D9"/>
    <w:rsid w:val="00946B3E"/>
    <w:rsid w:val="00946D21"/>
    <w:rsid w:val="0094725F"/>
    <w:rsid w:val="009474A0"/>
    <w:rsid w:val="00950865"/>
    <w:rsid w:val="00950C35"/>
    <w:rsid w:val="00951444"/>
    <w:rsid w:val="0095152B"/>
    <w:rsid w:val="00951816"/>
    <w:rsid w:val="00952517"/>
    <w:rsid w:val="0095273E"/>
    <w:rsid w:val="00952A67"/>
    <w:rsid w:val="00952C40"/>
    <w:rsid w:val="00953589"/>
    <w:rsid w:val="009535F6"/>
    <w:rsid w:val="00953A15"/>
    <w:rsid w:val="00954DB3"/>
    <w:rsid w:val="009556D3"/>
    <w:rsid w:val="00955755"/>
    <w:rsid w:val="00956091"/>
    <w:rsid w:val="009564B0"/>
    <w:rsid w:val="00956F54"/>
    <w:rsid w:val="00957D5A"/>
    <w:rsid w:val="0096023A"/>
    <w:rsid w:val="009602F2"/>
    <w:rsid w:val="00960379"/>
    <w:rsid w:val="0096139B"/>
    <w:rsid w:val="00961AFF"/>
    <w:rsid w:val="00962326"/>
    <w:rsid w:val="009635DB"/>
    <w:rsid w:val="0096394B"/>
    <w:rsid w:val="009640D3"/>
    <w:rsid w:val="00964D5A"/>
    <w:rsid w:val="00965C2C"/>
    <w:rsid w:val="00966078"/>
    <w:rsid w:val="00966CA6"/>
    <w:rsid w:val="00970C34"/>
    <w:rsid w:val="0097102C"/>
    <w:rsid w:val="00972702"/>
    <w:rsid w:val="0097275B"/>
    <w:rsid w:val="0097285E"/>
    <w:rsid w:val="00972AFF"/>
    <w:rsid w:val="00972CBA"/>
    <w:rsid w:val="00972EBA"/>
    <w:rsid w:val="00973519"/>
    <w:rsid w:val="00973A11"/>
    <w:rsid w:val="0097578C"/>
    <w:rsid w:val="00975B95"/>
    <w:rsid w:val="00976F30"/>
    <w:rsid w:val="00976F92"/>
    <w:rsid w:val="00977A76"/>
    <w:rsid w:val="00980019"/>
    <w:rsid w:val="009804CB"/>
    <w:rsid w:val="009806F1"/>
    <w:rsid w:val="00980C8D"/>
    <w:rsid w:val="009811F7"/>
    <w:rsid w:val="0098154C"/>
    <w:rsid w:val="0098199C"/>
    <w:rsid w:val="00982605"/>
    <w:rsid w:val="009837C5"/>
    <w:rsid w:val="00983CFE"/>
    <w:rsid w:val="009842DC"/>
    <w:rsid w:val="0098438F"/>
    <w:rsid w:val="00984EEA"/>
    <w:rsid w:val="00984FC0"/>
    <w:rsid w:val="0098554F"/>
    <w:rsid w:val="009855AE"/>
    <w:rsid w:val="00986287"/>
    <w:rsid w:val="009875FA"/>
    <w:rsid w:val="0098764F"/>
    <w:rsid w:val="0098784D"/>
    <w:rsid w:val="009878CD"/>
    <w:rsid w:val="00987C93"/>
    <w:rsid w:val="00987EA5"/>
    <w:rsid w:val="0099021E"/>
    <w:rsid w:val="009909C3"/>
    <w:rsid w:val="00991216"/>
    <w:rsid w:val="00991349"/>
    <w:rsid w:val="00991354"/>
    <w:rsid w:val="009913D2"/>
    <w:rsid w:val="00991A65"/>
    <w:rsid w:val="009924AE"/>
    <w:rsid w:val="009935C1"/>
    <w:rsid w:val="00993943"/>
    <w:rsid w:val="00994035"/>
    <w:rsid w:val="0099441A"/>
    <w:rsid w:val="0099476D"/>
    <w:rsid w:val="0099566A"/>
    <w:rsid w:val="00996724"/>
    <w:rsid w:val="00996779"/>
    <w:rsid w:val="009A0607"/>
    <w:rsid w:val="009A1A23"/>
    <w:rsid w:val="009A357E"/>
    <w:rsid w:val="009A368D"/>
    <w:rsid w:val="009A3C7B"/>
    <w:rsid w:val="009A3D96"/>
    <w:rsid w:val="009A3E02"/>
    <w:rsid w:val="009A4829"/>
    <w:rsid w:val="009A4ACF"/>
    <w:rsid w:val="009A542B"/>
    <w:rsid w:val="009A621B"/>
    <w:rsid w:val="009A6ECD"/>
    <w:rsid w:val="009A6EFC"/>
    <w:rsid w:val="009A7672"/>
    <w:rsid w:val="009A7E33"/>
    <w:rsid w:val="009B11D0"/>
    <w:rsid w:val="009B13CF"/>
    <w:rsid w:val="009B16B7"/>
    <w:rsid w:val="009B21D3"/>
    <w:rsid w:val="009B2594"/>
    <w:rsid w:val="009B2D7F"/>
    <w:rsid w:val="009B2E9F"/>
    <w:rsid w:val="009B4059"/>
    <w:rsid w:val="009B414C"/>
    <w:rsid w:val="009B498F"/>
    <w:rsid w:val="009B53E1"/>
    <w:rsid w:val="009B5586"/>
    <w:rsid w:val="009B5934"/>
    <w:rsid w:val="009B6EEB"/>
    <w:rsid w:val="009B7205"/>
    <w:rsid w:val="009B72F3"/>
    <w:rsid w:val="009B7639"/>
    <w:rsid w:val="009B7C68"/>
    <w:rsid w:val="009C0449"/>
    <w:rsid w:val="009C04C6"/>
    <w:rsid w:val="009C0C34"/>
    <w:rsid w:val="009C0E53"/>
    <w:rsid w:val="009C13C0"/>
    <w:rsid w:val="009C14DE"/>
    <w:rsid w:val="009C20B0"/>
    <w:rsid w:val="009C20F0"/>
    <w:rsid w:val="009C336E"/>
    <w:rsid w:val="009C3DE4"/>
    <w:rsid w:val="009C49F0"/>
    <w:rsid w:val="009C4C7E"/>
    <w:rsid w:val="009C517F"/>
    <w:rsid w:val="009C5240"/>
    <w:rsid w:val="009C52C4"/>
    <w:rsid w:val="009C566F"/>
    <w:rsid w:val="009C56FC"/>
    <w:rsid w:val="009C5ABE"/>
    <w:rsid w:val="009C6600"/>
    <w:rsid w:val="009C72E1"/>
    <w:rsid w:val="009C7776"/>
    <w:rsid w:val="009D02B7"/>
    <w:rsid w:val="009D2726"/>
    <w:rsid w:val="009D2834"/>
    <w:rsid w:val="009D2AE9"/>
    <w:rsid w:val="009D4FAE"/>
    <w:rsid w:val="009D666C"/>
    <w:rsid w:val="009D6CED"/>
    <w:rsid w:val="009D7292"/>
    <w:rsid w:val="009E0B58"/>
    <w:rsid w:val="009E147D"/>
    <w:rsid w:val="009E1650"/>
    <w:rsid w:val="009E186C"/>
    <w:rsid w:val="009E1BC1"/>
    <w:rsid w:val="009E1BF4"/>
    <w:rsid w:val="009E1F8D"/>
    <w:rsid w:val="009E21C8"/>
    <w:rsid w:val="009E27AA"/>
    <w:rsid w:val="009E3247"/>
    <w:rsid w:val="009E431F"/>
    <w:rsid w:val="009E47C1"/>
    <w:rsid w:val="009E4F4F"/>
    <w:rsid w:val="009E501C"/>
    <w:rsid w:val="009E521F"/>
    <w:rsid w:val="009E55ED"/>
    <w:rsid w:val="009E56E2"/>
    <w:rsid w:val="009E5CBF"/>
    <w:rsid w:val="009E621C"/>
    <w:rsid w:val="009E621E"/>
    <w:rsid w:val="009E654F"/>
    <w:rsid w:val="009E6BBC"/>
    <w:rsid w:val="009E7829"/>
    <w:rsid w:val="009E7A55"/>
    <w:rsid w:val="009F0826"/>
    <w:rsid w:val="009F15A7"/>
    <w:rsid w:val="009F1638"/>
    <w:rsid w:val="009F19E1"/>
    <w:rsid w:val="009F287D"/>
    <w:rsid w:val="009F3454"/>
    <w:rsid w:val="009F3BBB"/>
    <w:rsid w:val="009F44FF"/>
    <w:rsid w:val="009F50E1"/>
    <w:rsid w:val="009F57EC"/>
    <w:rsid w:val="009F6076"/>
    <w:rsid w:val="009F68AA"/>
    <w:rsid w:val="009F695B"/>
    <w:rsid w:val="009F6F83"/>
    <w:rsid w:val="00A0011F"/>
    <w:rsid w:val="00A00A2A"/>
    <w:rsid w:val="00A02DDE"/>
    <w:rsid w:val="00A0317A"/>
    <w:rsid w:val="00A03305"/>
    <w:rsid w:val="00A035A2"/>
    <w:rsid w:val="00A0362D"/>
    <w:rsid w:val="00A037BD"/>
    <w:rsid w:val="00A0384A"/>
    <w:rsid w:val="00A03C44"/>
    <w:rsid w:val="00A041E4"/>
    <w:rsid w:val="00A045F2"/>
    <w:rsid w:val="00A04C35"/>
    <w:rsid w:val="00A04DE7"/>
    <w:rsid w:val="00A065F3"/>
    <w:rsid w:val="00A07345"/>
    <w:rsid w:val="00A07D1C"/>
    <w:rsid w:val="00A109BD"/>
    <w:rsid w:val="00A112F0"/>
    <w:rsid w:val="00A11ABC"/>
    <w:rsid w:val="00A11BD8"/>
    <w:rsid w:val="00A11DD5"/>
    <w:rsid w:val="00A1448D"/>
    <w:rsid w:val="00A14999"/>
    <w:rsid w:val="00A1544B"/>
    <w:rsid w:val="00A1659E"/>
    <w:rsid w:val="00A16E50"/>
    <w:rsid w:val="00A16FAC"/>
    <w:rsid w:val="00A170BB"/>
    <w:rsid w:val="00A178A9"/>
    <w:rsid w:val="00A17D48"/>
    <w:rsid w:val="00A20927"/>
    <w:rsid w:val="00A210BD"/>
    <w:rsid w:val="00A213FC"/>
    <w:rsid w:val="00A21479"/>
    <w:rsid w:val="00A21640"/>
    <w:rsid w:val="00A21747"/>
    <w:rsid w:val="00A2188E"/>
    <w:rsid w:val="00A224F8"/>
    <w:rsid w:val="00A22832"/>
    <w:rsid w:val="00A22AB4"/>
    <w:rsid w:val="00A22C2F"/>
    <w:rsid w:val="00A231AD"/>
    <w:rsid w:val="00A23FB0"/>
    <w:rsid w:val="00A251F4"/>
    <w:rsid w:val="00A26652"/>
    <w:rsid w:val="00A26A82"/>
    <w:rsid w:val="00A26AC9"/>
    <w:rsid w:val="00A277E4"/>
    <w:rsid w:val="00A27A5F"/>
    <w:rsid w:val="00A301C7"/>
    <w:rsid w:val="00A308F6"/>
    <w:rsid w:val="00A30AB2"/>
    <w:rsid w:val="00A316DF"/>
    <w:rsid w:val="00A323E5"/>
    <w:rsid w:val="00A32B87"/>
    <w:rsid w:val="00A33D5E"/>
    <w:rsid w:val="00A3441A"/>
    <w:rsid w:val="00A34B0C"/>
    <w:rsid w:val="00A34D1A"/>
    <w:rsid w:val="00A35996"/>
    <w:rsid w:val="00A35E78"/>
    <w:rsid w:val="00A363C8"/>
    <w:rsid w:val="00A36D83"/>
    <w:rsid w:val="00A37422"/>
    <w:rsid w:val="00A37478"/>
    <w:rsid w:val="00A37922"/>
    <w:rsid w:val="00A4023F"/>
    <w:rsid w:val="00A4043C"/>
    <w:rsid w:val="00A40463"/>
    <w:rsid w:val="00A41276"/>
    <w:rsid w:val="00A4136F"/>
    <w:rsid w:val="00A41873"/>
    <w:rsid w:val="00A41B6D"/>
    <w:rsid w:val="00A41F5A"/>
    <w:rsid w:val="00A421B9"/>
    <w:rsid w:val="00A42493"/>
    <w:rsid w:val="00A43592"/>
    <w:rsid w:val="00A43F1F"/>
    <w:rsid w:val="00A43FBB"/>
    <w:rsid w:val="00A443D4"/>
    <w:rsid w:val="00A47388"/>
    <w:rsid w:val="00A4753D"/>
    <w:rsid w:val="00A515B4"/>
    <w:rsid w:val="00A52ED6"/>
    <w:rsid w:val="00A52F63"/>
    <w:rsid w:val="00A534E2"/>
    <w:rsid w:val="00A53D65"/>
    <w:rsid w:val="00A5436E"/>
    <w:rsid w:val="00A54D38"/>
    <w:rsid w:val="00A54FC6"/>
    <w:rsid w:val="00A550AE"/>
    <w:rsid w:val="00A559C9"/>
    <w:rsid w:val="00A564D4"/>
    <w:rsid w:val="00A56BA0"/>
    <w:rsid w:val="00A57F14"/>
    <w:rsid w:val="00A600ED"/>
    <w:rsid w:val="00A6080C"/>
    <w:rsid w:val="00A61E0B"/>
    <w:rsid w:val="00A623BD"/>
    <w:rsid w:val="00A62A82"/>
    <w:rsid w:val="00A6368B"/>
    <w:rsid w:val="00A63B46"/>
    <w:rsid w:val="00A648A0"/>
    <w:rsid w:val="00A64D8F"/>
    <w:rsid w:val="00A65040"/>
    <w:rsid w:val="00A651BE"/>
    <w:rsid w:val="00A65512"/>
    <w:rsid w:val="00A66666"/>
    <w:rsid w:val="00A677E0"/>
    <w:rsid w:val="00A67840"/>
    <w:rsid w:val="00A67966"/>
    <w:rsid w:val="00A70383"/>
    <w:rsid w:val="00A70BA1"/>
    <w:rsid w:val="00A719AE"/>
    <w:rsid w:val="00A72220"/>
    <w:rsid w:val="00A727DD"/>
    <w:rsid w:val="00A72E23"/>
    <w:rsid w:val="00A734B1"/>
    <w:rsid w:val="00A73DC8"/>
    <w:rsid w:val="00A74588"/>
    <w:rsid w:val="00A749FC"/>
    <w:rsid w:val="00A75216"/>
    <w:rsid w:val="00A75999"/>
    <w:rsid w:val="00A75A90"/>
    <w:rsid w:val="00A76523"/>
    <w:rsid w:val="00A767C9"/>
    <w:rsid w:val="00A7699E"/>
    <w:rsid w:val="00A769AD"/>
    <w:rsid w:val="00A76DAA"/>
    <w:rsid w:val="00A77D43"/>
    <w:rsid w:val="00A80636"/>
    <w:rsid w:val="00A806CF"/>
    <w:rsid w:val="00A80866"/>
    <w:rsid w:val="00A8105D"/>
    <w:rsid w:val="00A818EA"/>
    <w:rsid w:val="00A81AD1"/>
    <w:rsid w:val="00A824FE"/>
    <w:rsid w:val="00A82727"/>
    <w:rsid w:val="00A834FB"/>
    <w:rsid w:val="00A836CB"/>
    <w:rsid w:val="00A850D2"/>
    <w:rsid w:val="00A856A7"/>
    <w:rsid w:val="00A85E75"/>
    <w:rsid w:val="00A86002"/>
    <w:rsid w:val="00A86104"/>
    <w:rsid w:val="00A86836"/>
    <w:rsid w:val="00A8687B"/>
    <w:rsid w:val="00A87773"/>
    <w:rsid w:val="00A877E2"/>
    <w:rsid w:val="00A87C20"/>
    <w:rsid w:val="00A90028"/>
    <w:rsid w:val="00A91526"/>
    <w:rsid w:val="00A918BA"/>
    <w:rsid w:val="00A92ACF"/>
    <w:rsid w:val="00A92CE3"/>
    <w:rsid w:val="00A9311C"/>
    <w:rsid w:val="00A93317"/>
    <w:rsid w:val="00A9390F"/>
    <w:rsid w:val="00A93F88"/>
    <w:rsid w:val="00A94055"/>
    <w:rsid w:val="00A94056"/>
    <w:rsid w:val="00A94A3B"/>
    <w:rsid w:val="00A94B5C"/>
    <w:rsid w:val="00A9529C"/>
    <w:rsid w:val="00A9558D"/>
    <w:rsid w:val="00A9577C"/>
    <w:rsid w:val="00A964CC"/>
    <w:rsid w:val="00A964D0"/>
    <w:rsid w:val="00A96E07"/>
    <w:rsid w:val="00A97928"/>
    <w:rsid w:val="00A97D17"/>
    <w:rsid w:val="00AA038F"/>
    <w:rsid w:val="00AA0EB9"/>
    <w:rsid w:val="00AA13A3"/>
    <w:rsid w:val="00AA18FB"/>
    <w:rsid w:val="00AA1FD0"/>
    <w:rsid w:val="00AA2C69"/>
    <w:rsid w:val="00AA32CE"/>
    <w:rsid w:val="00AA3660"/>
    <w:rsid w:val="00AA382B"/>
    <w:rsid w:val="00AA4549"/>
    <w:rsid w:val="00AA4601"/>
    <w:rsid w:val="00AA4DAB"/>
    <w:rsid w:val="00AA4E66"/>
    <w:rsid w:val="00AA63EB"/>
    <w:rsid w:val="00AA6F19"/>
    <w:rsid w:val="00AA7073"/>
    <w:rsid w:val="00AB0120"/>
    <w:rsid w:val="00AB02DB"/>
    <w:rsid w:val="00AB0B13"/>
    <w:rsid w:val="00AB0C37"/>
    <w:rsid w:val="00AB0E61"/>
    <w:rsid w:val="00AB106D"/>
    <w:rsid w:val="00AB1D9F"/>
    <w:rsid w:val="00AB2094"/>
    <w:rsid w:val="00AB26E6"/>
    <w:rsid w:val="00AB48BD"/>
    <w:rsid w:val="00AB499B"/>
    <w:rsid w:val="00AB4E90"/>
    <w:rsid w:val="00AB4FF3"/>
    <w:rsid w:val="00AB51E5"/>
    <w:rsid w:val="00AB53FB"/>
    <w:rsid w:val="00AB5B43"/>
    <w:rsid w:val="00AB5DC4"/>
    <w:rsid w:val="00AB6092"/>
    <w:rsid w:val="00AB636C"/>
    <w:rsid w:val="00AB6716"/>
    <w:rsid w:val="00AB69AA"/>
    <w:rsid w:val="00AB6ADF"/>
    <w:rsid w:val="00AB6ED5"/>
    <w:rsid w:val="00AB6F6D"/>
    <w:rsid w:val="00AB769C"/>
    <w:rsid w:val="00AC052D"/>
    <w:rsid w:val="00AC0E21"/>
    <w:rsid w:val="00AC11EE"/>
    <w:rsid w:val="00AC2F81"/>
    <w:rsid w:val="00AC3332"/>
    <w:rsid w:val="00AC35F0"/>
    <w:rsid w:val="00AC3ADF"/>
    <w:rsid w:val="00AC3EF5"/>
    <w:rsid w:val="00AC48F4"/>
    <w:rsid w:val="00AC4E89"/>
    <w:rsid w:val="00AC5317"/>
    <w:rsid w:val="00AC5E4C"/>
    <w:rsid w:val="00AC5EF6"/>
    <w:rsid w:val="00AC6E1C"/>
    <w:rsid w:val="00AC739E"/>
    <w:rsid w:val="00AC7E2C"/>
    <w:rsid w:val="00AD0218"/>
    <w:rsid w:val="00AD07F8"/>
    <w:rsid w:val="00AD0E73"/>
    <w:rsid w:val="00AD0F7B"/>
    <w:rsid w:val="00AD1F9D"/>
    <w:rsid w:val="00AD2138"/>
    <w:rsid w:val="00AD36A2"/>
    <w:rsid w:val="00AD3A1E"/>
    <w:rsid w:val="00AD3CEC"/>
    <w:rsid w:val="00AD3DF3"/>
    <w:rsid w:val="00AD45C8"/>
    <w:rsid w:val="00AD4F49"/>
    <w:rsid w:val="00AD53C8"/>
    <w:rsid w:val="00AD5E9A"/>
    <w:rsid w:val="00AD66DB"/>
    <w:rsid w:val="00AD6AA9"/>
    <w:rsid w:val="00AD6EF8"/>
    <w:rsid w:val="00AE02E2"/>
    <w:rsid w:val="00AE0B1E"/>
    <w:rsid w:val="00AE189D"/>
    <w:rsid w:val="00AE233C"/>
    <w:rsid w:val="00AE2434"/>
    <w:rsid w:val="00AE26DB"/>
    <w:rsid w:val="00AE51FE"/>
    <w:rsid w:val="00AE5313"/>
    <w:rsid w:val="00AE6A54"/>
    <w:rsid w:val="00AE720B"/>
    <w:rsid w:val="00AE786D"/>
    <w:rsid w:val="00AE7F27"/>
    <w:rsid w:val="00AF0BFB"/>
    <w:rsid w:val="00AF3D70"/>
    <w:rsid w:val="00AF439D"/>
    <w:rsid w:val="00AF44B7"/>
    <w:rsid w:val="00AF52C6"/>
    <w:rsid w:val="00AF5A60"/>
    <w:rsid w:val="00AF5B7C"/>
    <w:rsid w:val="00AF73EA"/>
    <w:rsid w:val="00B006CD"/>
    <w:rsid w:val="00B00CD6"/>
    <w:rsid w:val="00B00FD2"/>
    <w:rsid w:val="00B016E4"/>
    <w:rsid w:val="00B0227F"/>
    <w:rsid w:val="00B0293B"/>
    <w:rsid w:val="00B0344F"/>
    <w:rsid w:val="00B059A7"/>
    <w:rsid w:val="00B05BCF"/>
    <w:rsid w:val="00B061BF"/>
    <w:rsid w:val="00B06780"/>
    <w:rsid w:val="00B067C4"/>
    <w:rsid w:val="00B06DC0"/>
    <w:rsid w:val="00B073F1"/>
    <w:rsid w:val="00B07B9A"/>
    <w:rsid w:val="00B07DEC"/>
    <w:rsid w:val="00B07FEE"/>
    <w:rsid w:val="00B102FC"/>
    <w:rsid w:val="00B10A34"/>
    <w:rsid w:val="00B110F4"/>
    <w:rsid w:val="00B11FA0"/>
    <w:rsid w:val="00B121E6"/>
    <w:rsid w:val="00B125D5"/>
    <w:rsid w:val="00B131C6"/>
    <w:rsid w:val="00B13596"/>
    <w:rsid w:val="00B156D1"/>
    <w:rsid w:val="00B16429"/>
    <w:rsid w:val="00B16808"/>
    <w:rsid w:val="00B169A4"/>
    <w:rsid w:val="00B16D9A"/>
    <w:rsid w:val="00B20176"/>
    <w:rsid w:val="00B2055C"/>
    <w:rsid w:val="00B207D8"/>
    <w:rsid w:val="00B20C48"/>
    <w:rsid w:val="00B20D3C"/>
    <w:rsid w:val="00B21940"/>
    <w:rsid w:val="00B21C7D"/>
    <w:rsid w:val="00B2251E"/>
    <w:rsid w:val="00B2285B"/>
    <w:rsid w:val="00B22A72"/>
    <w:rsid w:val="00B24083"/>
    <w:rsid w:val="00B240A5"/>
    <w:rsid w:val="00B24F20"/>
    <w:rsid w:val="00B24F8A"/>
    <w:rsid w:val="00B25DD6"/>
    <w:rsid w:val="00B26209"/>
    <w:rsid w:val="00B27215"/>
    <w:rsid w:val="00B27EA2"/>
    <w:rsid w:val="00B309AB"/>
    <w:rsid w:val="00B319A4"/>
    <w:rsid w:val="00B3202C"/>
    <w:rsid w:val="00B3204F"/>
    <w:rsid w:val="00B32984"/>
    <w:rsid w:val="00B3368E"/>
    <w:rsid w:val="00B337CA"/>
    <w:rsid w:val="00B33E86"/>
    <w:rsid w:val="00B3428E"/>
    <w:rsid w:val="00B34686"/>
    <w:rsid w:val="00B349AC"/>
    <w:rsid w:val="00B362E1"/>
    <w:rsid w:val="00B36577"/>
    <w:rsid w:val="00B36ED3"/>
    <w:rsid w:val="00B40001"/>
    <w:rsid w:val="00B400DB"/>
    <w:rsid w:val="00B42F2E"/>
    <w:rsid w:val="00B43466"/>
    <w:rsid w:val="00B449D1"/>
    <w:rsid w:val="00B4541F"/>
    <w:rsid w:val="00B45583"/>
    <w:rsid w:val="00B45B7A"/>
    <w:rsid w:val="00B46195"/>
    <w:rsid w:val="00B46B6A"/>
    <w:rsid w:val="00B46D80"/>
    <w:rsid w:val="00B47314"/>
    <w:rsid w:val="00B47CDE"/>
    <w:rsid w:val="00B51292"/>
    <w:rsid w:val="00B52AF7"/>
    <w:rsid w:val="00B53257"/>
    <w:rsid w:val="00B53617"/>
    <w:rsid w:val="00B53B68"/>
    <w:rsid w:val="00B53D02"/>
    <w:rsid w:val="00B5450A"/>
    <w:rsid w:val="00B54600"/>
    <w:rsid w:val="00B56587"/>
    <w:rsid w:val="00B56594"/>
    <w:rsid w:val="00B56A88"/>
    <w:rsid w:val="00B5708C"/>
    <w:rsid w:val="00B57E4B"/>
    <w:rsid w:val="00B6023B"/>
    <w:rsid w:val="00B60FCB"/>
    <w:rsid w:val="00B6173C"/>
    <w:rsid w:val="00B61D17"/>
    <w:rsid w:val="00B63EE9"/>
    <w:rsid w:val="00B6453E"/>
    <w:rsid w:val="00B64E8F"/>
    <w:rsid w:val="00B6559F"/>
    <w:rsid w:val="00B6597A"/>
    <w:rsid w:val="00B65E65"/>
    <w:rsid w:val="00B66127"/>
    <w:rsid w:val="00B6617F"/>
    <w:rsid w:val="00B667EB"/>
    <w:rsid w:val="00B67071"/>
    <w:rsid w:val="00B6719C"/>
    <w:rsid w:val="00B67E4B"/>
    <w:rsid w:val="00B70A84"/>
    <w:rsid w:val="00B70CB1"/>
    <w:rsid w:val="00B71787"/>
    <w:rsid w:val="00B71C39"/>
    <w:rsid w:val="00B721F6"/>
    <w:rsid w:val="00B731BB"/>
    <w:rsid w:val="00B734ED"/>
    <w:rsid w:val="00B73712"/>
    <w:rsid w:val="00B74202"/>
    <w:rsid w:val="00B74418"/>
    <w:rsid w:val="00B75816"/>
    <w:rsid w:val="00B75954"/>
    <w:rsid w:val="00B759C0"/>
    <w:rsid w:val="00B80651"/>
    <w:rsid w:val="00B82170"/>
    <w:rsid w:val="00B82842"/>
    <w:rsid w:val="00B838D3"/>
    <w:rsid w:val="00B84431"/>
    <w:rsid w:val="00B853F9"/>
    <w:rsid w:val="00B85425"/>
    <w:rsid w:val="00B85762"/>
    <w:rsid w:val="00B85D59"/>
    <w:rsid w:val="00B86B25"/>
    <w:rsid w:val="00B86F02"/>
    <w:rsid w:val="00B87693"/>
    <w:rsid w:val="00B87DB4"/>
    <w:rsid w:val="00B90336"/>
    <w:rsid w:val="00B904E4"/>
    <w:rsid w:val="00B905FC"/>
    <w:rsid w:val="00B90C77"/>
    <w:rsid w:val="00B90FE8"/>
    <w:rsid w:val="00B9204F"/>
    <w:rsid w:val="00B929CE"/>
    <w:rsid w:val="00B92FCF"/>
    <w:rsid w:val="00B93320"/>
    <w:rsid w:val="00B9444D"/>
    <w:rsid w:val="00B945FE"/>
    <w:rsid w:val="00B95A48"/>
    <w:rsid w:val="00B95D53"/>
    <w:rsid w:val="00B970A4"/>
    <w:rsid w:val="00B97855"/>
    <w:rsid w:val="00B97ECD"/>
    <w:rsid w:val="00BA061F"/>
    <w:rsid w:val="00BA079A"/>
    <w:rsid w:val="00BA0FC3"/>
    <w:rsid w:val="00BA277F"/>
    <w:rsid w:val="00BA2D7D"/>
    <w:rsid w:val="00BA3C8B"/>
    <w:rsid w:val="00BA4155"/>
    <w:rsid w:val="00BA4378"/>
    <w:rsid w:val="00BA4BCE"/>
    <w:rsid w:val="00BA5587"/>
    <w:rsid w:val="00BA6434"/>
    <w:rsid w:val="00BA66EA"/>
    <w:rsid w:val="00BA7346"/>
    <w:rsid w:val="00BA7BCA"/>
    <w:rsid w:val="00BA7D14"/>
    <w:rsid w:val="00BA7FD6"/>
    <w:rsid w:val="00BB030E"/>
    <w:rsid w:val="00BB0428"/>
    <w:rsid w:val="00BB05E7"/>
    <w:rsid w:val="00BB0621"/>
    <w:rsid w:val="00BB0DE4"/>
    <w:rsid w:val="00BB1911"/>
    <w:rsid w:val="00BB1E00"/>
    <w:rsid w:val="00BB1E03"/>
    <w:rsid w:val="00BB2FE2"/>
    <w:rsid w:val="00BB30CF"/>
    <w:rsid w:val="00BB3260"/>
    <w:rsid w:val="00BB4421"/>
    <w:rsid w:val="00BB4887"/>
    <w:rsid w:val="00BB55ED"/>
    <w:rsid w:val="00BB5721"/>
    <w:rsid w:val="00BB7FDA"/>
    <w:rsid w:val="00BC11E2"/>
    <w:rsid w:val="00BC1DCC"/>
    <w:rsid w:val="00BC26C0"/>
    <w:rsid w:val="00BC2FDB"/>
    <w:rsid w:val="00BC3B23"/>
    <w:rsid w:val="00BC42AF"/>
    <w:rsid w:val="00BC4471"/>
    <w:rsid w:val="00BC4A30"/>
    <w:rsid w:val="00BC4A90"/>
    <w:rsid w:val="00BC5334"/>
    <w:rsid w:val="00BC6026"/>
    <w:rsid w:val="00BC6061"/>
    <w:rsid w:val="00BC6A12"/>
    <w:rsid w:val="00BC7A84"/>
    <w:rsid w:val="00BC7F3D"/>
    <w:rsid w:val="00BD0F58"/>
    <w:rsid w:val="00BD13D8"/>
    <w:rsid w:val="00BD1CE5"/>
    <w:rsid w:val="00BD2860"/>
    <w:rsid w:val="00BD327A"/>
    <w:rsid w:val="00BD349B"/>
    <w:rsid w:val="00BD398B"/>
    <w:rsid w:val="00BD3A56"/>
    <w:rsid w:val="00BD5A3D"/>
    <w:rsid w:val="00BD61A8"/>
    <w:rsid w:val="00BD6459"/>
    <w:rsid w:val="00BD6714"/>
    <w:rsid w:val="00BD6DF0"/>
    <w:rsid w:val="00BD745F"/>
    <w:rsid w:val="00BE1064"/>
    <w:rsid w:val="00BE14F4"/>
    <w:rsid w:val="00BE1820"/>
    <w:rsid w:val="00BE1D76"/>
    <w:rsid w:val="00BE1D92"/>
    <w:rsid w:val="00BE2C6C"/>
    <w:rsid w:val="00BE3CD6"/>
    <w:rsid w:val="00BE4149"/>
    <w:rsid w:val="00BE5BC1"/>
    <w:rsid w:val="00BE62F1"/>
    <w:rsid w:val="00BE63A7"/>
    <w:rsid w:val="00BE6828"/>
    <w:rsid w:val="00BE760C"/>
    <w:rsid w:val="00BE77EC"/>
    <w:rsid w:val="00BE7F4C"/>
    <w:rsid w:val="00BF03F1"/>
    <w:rsid w:val="00BF053B"/>
    <w:rsid w:val="00BF199C"/>
    <w:rsid w:val="00BF1BF2"/>
    <w:rsid w:val="00BF1D61"/>
    <w:rsid w:val="00BF218A"/>
    <w:rsid w:val="00BF2D94"/>
    <w:rsid w:val="00BF3303"/>
    <w:rsid w:val="00BF3AFB"/>
    <w:rsid w:val="00BF3D6F"/>
    <w:rsid w:val="00BF477A"/>
    <w:rsid w:val="00BF5FBB"/>
    <w:rsid w:val="00BF68E0"/>
    <w:rsid w:val="00BF7242"/>
    <w:rsid w:val="00BF7334"/>
    <w:rsid w:val="00C003AB"/>
    <w:rsid w:val="00C0083B"/>
    <w:rsid w:val="00C01187"/>
    <w:rsid w:val="00C012D5"/>
    <w:rsid w:val="00C013C5"/>
    <w:rsid w:val="00C01588"/>
    <w:rsid w:val="00C02AFC"/>
    <w:rsid w:val="00C036FF"/>
    <w:rsid w:val="00C043FD"/>
    <w:rsid w:val="00C0478B"/>
    <w:rsid w:val="00C047D6"/>
    <w:rsid w:val="00C0489F"/>
    <w:rsid w:val="00C05234"/>
    <w:rsid w:val="00C052D3"/>
    <w:rsid w:val="00C055CF"/>
    <w:rsid w:val="00C06502"/>
    <w:rsid w:val="00C065DD"/>
    <w:rsid w:val="00C06A90"/>
    <w:rsid w:val="00C06B2A"/>
    <w:rsid w:val="00C07078"/>
    <w:rsid w:val="00C0767A"/>
    <w:rsid w:val="00C1042D"/>
    <w:rsid w:val="00C1162A"/>
    <w:rsid w:val="00C11A89"/>
    <w:rsid w:val="00C121C1"/>
    <w:rsid w:val="00C1223E"/>
    <w:rsid w:val="00C135C4"/>
    <w:rsid w:val="00C13D55"/>
    <w:rsid w:val="00C15836"/>
    <w:rsid w:val="00C15EF3"/>
    <w:rsid w:val="00C165F6"/>
    <w:rsid w:val="00C171A0"/>
    <w:rsid w:val="00C1789C"/>
    <w:rsid w:val="00C17E85"/>
    <w:rsid w:val="00C20A03"/>
    <w:rsid w:val="00C20DED"/>
    <w:rsid w:val="00C2199F"/>
    <w:rsid w:val="00C21AFE"/>
    <w:rsid w:val="00C2243A"/>
    <w:rsid w:val="00C22E37"/>
    <w:rsid w:val="00C2370D"/>
    <w:rsid w:val="00C24249"/>
    <w:rsid w:val="00C2518F"/>
    <w:rsid w:val="00C253DA"/>
    <w:rsid w:val="00C2627F"/>
    <w:rsid w:val="00C26FDC"/>
    <w:rsid w:val="00C27B79"/>
    <w:rsid w:val="00C3079D"/>
    <w:rsid w:val="00C310A9"/>
    <w:rsid w:val="00C31837"/>
    <w:rsid w:val="00C31A2D"/>
    <w:rsid w:val="00C320FB"/>
    <w:rsid w:val="00C32173"/>
    <w:rsid w:val="00C322EE"/>
    <w:rsid w:val="00C328BF"/>
    <w:rsid w:val="00C3378A"/>
    <w:rsid w:val="00C345A7"/>
    <w:rsid w:val="00C34A03"/>
    <w:rsid w:val="00C34F6E"/>
    <w:rsid w:val="00C34FEB"/>
    <w:rsid w:val="00C357FE"/>
    <w:rsid w:val="00C364E8"/>
    <w:rsid w:val="00C36D53"/>
    <w:rsid w:val="00C378AD"/>
    <w:rsid w:val="00C404FA"/>
    <w:rsid w:val="00C40861"/>
    <w:rsid w:val="00C4131C"/>
    <w:rsid w:val="00C421C7"/>
    <w:rsid w:val="00C42572"/>
    <w:rsid w:val="00C42630"/>
    <w:rsid w:val="00C426F8"/>
    <w:rsid w:val="00C4350F"/>
    <w:rsid w:val="00C43B95"/>
    <w:rsid w:val="00C43D50"/>
    <w:rsid w:val="00C43F65"/>
    <w:rsid w:val="00C44232"/>
    <w:rsid w:val="00C45663"/>
    <w:rsid w:val="00C46322"/>
    <w:rsid w:val="00C469E4"/>
    <w:rsid w:val="00C46BE6"/>
    <w:rsid w:val="00C47D80"/>
    <w:rsid w:val="00C47EC1"/>
    <w:rsid w:val="00C508E5"/>
    <w:rsid w:val="00C50EBA"/>
    <w:rsid w:val="00C5116C"/>
    <w:rsid w:val="00C5301F"/>
    <w:rsid w:val="00C5349E"/>
    <w:rsid w:val="00C537E0"/>
    <w:rsid w:val="00C538F8"/>
    <w:rsid w:val="00C53E0C"/>
    <w:rsid w:val="00C53FC9"/>
    <w:rsid w:val="00C55058"/>
    <w:rsid w:val="00C55175"/>
    <w:rsid w:val="00C552A6"/>
    <w:rsid w:val="00C559BF"/>
    <w:rsid w:val="00C55BC4"/>
    <w:rsid w:val="00C5730F"/>
    <w:rsid w:val="00C60154"/>
    <w:rsid w:val="00C60A1A"/>
    <w:rsid w:val="00C613D2"/>
    <w:rsid w:val="00C617BA"/>
    <w:rsid w:val="00C62A9D"/>
    <w:rsid w:val="00C633F7"/>
    <w:rsid w:val="00C63707"/>
    <w:rsid w:val="00C63825"/>
    <w:rsid w:val="00C64525"/>
    <w:rsid w:val="00C64E9E"/>
    <w:rsid w:val="00C658FB"/>
    <w:rsid w:val="00C6643E"/>
    <w:rsid w:val="00C66E4B"/>
    <w:rsid w:val="00C67CF0"/>
    <w:rsid w:val="00C700F2"/>
    <w:rsid w:val="00C710F6"/>
    <w:rsid w:val="00C7126F"/>
    <w:rsid w:val="00C712D9"/>
    <w:rsid w:val="00C7156E"/>
    <w:rsid w:val="00C71599"/>
    <w:rsid w:val="00C71DA3"/>
    <w:rsid w:val="00C72940"/>
    <w:rsid w:val="00C737C9"/>
    <w:rsid w:val="00C744B1"/>
    <w:rsid w:val="00C74E7A"/>
    <w:rsid w:val="00C7568D"/>
    <w:rsid w:val="00C75698"/>
    <w:rsid w:val="00C76659"/>
    <w:rsid w:val="00C76E2C"/>
    <w:rsid w:val="00C80780"/>
    <w:rsid w:val="00C80796"/>
    <w:rsid w:val="00C80907"/>
    <w:rsid w:val="00C81AF4"/>
    <w:rsid w:val="00C8201C"/>
    <w:rsid w:val="00C8246F"/>
    <w:rsid w:val="00C82E23"/>
    <w:rsid w:val="00C835D0"/>
    <w:rsid w:val="00C837F9"/>
    <w:rsid w:val="00C84457"/>
    <w:rsid w:val="00C85E21"/>
    <w:rsid w:val="00C86421"/>
    <w:rsid w:val="00C86F99"/>
    <w:rsid w:val="00C87547"/>
    <w:rsid w:val="00C87F48"/>
    <w:rsid w:val="00C9034D"/>
    <w:rsid w:val="00C9049F"/>
    <w:rsid w:val="00C905E1"/>
    <w:rsid w:val="00C90800"/>
    <w:rsid w:val="00C90C36"/>
    <w:rsid w:val="00C91861"/>
    <w:rsid w:val="00C91E8C"/>
    <w:rsid w:val="00C93360"/>
    <w:rsid w:val="00C934A7"/>
    <w:rsid w:val="00C94599"/>
    <w:rsid w:val="00C9600E"/>
    <w:rsid w:val="00C9767C"/>
    <w:rsid w:val="00C97F01"/>
    <w:rsid w:val="00CA052C"/>
    <w:rsid w:val="00CA098E"/>
    <w:rsid w:val="00CA0A19"/>
    <w:rsid w:val="00CA0F7C"/>
    <w:rsid w:val="00CA2649"/>
    <w:rsid w:val="00CA278C"/>
    <w:rsid w:val="00CA2991"/>
    <w:rsid w:val="00CA3103"/>
    <w:rsid w:val="00CA361D"/>
    <w:rsid w:val="00CA4A2B"/>
    <w:rsid w:val="00CA4A3D"/>
    <w:rsid w:val="00CA5A95"/>
    <w:rsid w:val="00CA5D42"/>
    <w:rsid w:val="00CA79E2"/>
    <w:rsid w:val="00CB0504"/>
    <w:rsid w:val="00CB0E8A"/>
    <w:rsid w:val="00CB1515"/>
    <w:rsid w:val="00CB164B"/>
    <w:rsid w:val="00CB1F8E"/>
    <w:rsid w:val="00CB270E"/>
    <w:rsid w:val="00CB2FBE"/>
    <w:rsid w:val="00CB33F8"/>
    <w:rsid w:val="00CB462C"/>
    <w:rsid w:val="00CB484E"/>
    <w:rsid w:val="00CB5900"/>
    <w:rsid w:val="00CB6031"/>
    <w:rsid w:val="00CB6519"/>
    <w:rsid w:val="00CB67D0"/>
    <w:rsid w:val="00CB6878"/>
    <w:rsid w:val="00CB70BD"/>
    <w:rsid w:val="00CC03BA"/>
    <w:rsid w:val="00CC1386"/>
    <w:rsid w:val="00CC15A2"/>
    <w:rsid w:val="00CC172C"/>
    <w:rsid w:val="00CC199B"/>
    <w:rsid w:val="00CC261A"/>
    <w:rsid w:val="00CC3AF2"/>
    <w:rsid w:val="00CC404B"/>
    <w:rsid w:val="00CC495D"/>
    <w:rsid w:val="00CC4A4E"/>
    <w:rsid w:val="00CC5721"/>
    <w:rsid w:val="00CC5C0B"/>
    <w:rsid w:val="00CC5DEA"/>
    <w:rsid w:val="00CC6292"/>
    <w:rsid w:val="00CC72CB"/>
    <w:rsid w:val="00CC7355"/>
    <w:rsid w:val="00CC79EA"/>
    <w:rsid w:val="00CC7B93"/>
    <w:rsid w:val="00CD06C6"/>
    <w:rsid w:val="00CD0947"/>
    <w:rsid w:val="00CD0B5F"/>
    <w:rsid w:val="00CD10BC"/>
    <w:rsid w:val="00CD115F"/>
    <w:rsid w:val="00CD153C"/>
    <w:rsid w:val="00CD1705"/>
    <w:rsid w:val="00CD1A26"/>
    <w:rsid w:val="00CD2219"/>
    <w:rsid w:val="00CD2DFE"/>
    <w:rsid w:val="00CD48D4"/>
    <w:rsid w:val="00CD4E71"/>
    <w:rsid w:val="00CD6A2E"/>
    <w:rsid w:val="00CD6F4C"/>
    <w:rsid w:val="00CD7299"/>
    <w:rsid w:val="00CD7B22"/>
    <w:rsid w:val="00CE031A"/>
    <w:rsid w:val="00CE05F5"/>
    <w:rsid w:val="00CE094D"/>
    <w:rsid w:val="00CE0A30"/>
    <w:rsid w:val="00CE1DFF"/>
    <w:rsid w:val="00CE1F7F"/>
    <w:rsid w:val="00CE32F8"/>
    <w:rsid w:val="00CE3300"/>
    <w:rsid w:val="00CE390B"/>
    <w:rsid w:val="00CE4129"/>
    <w:rsid w:val="00CE4EA4"/>
    <w:rsid w:val="00CE50C4"/>
    <w:rsid w:val="00CE575F"/>
    <w:rsid w:val="00CE57DE"/>
    <w:rsid w:val="00CE647F"/>
    <w:rsid w:val="00CE66BB"/>
    <w:rsid w:val="00CE696A"/>
    <w:rsid w:val="00CE69DB"/>
    <w:rsid w:val="00CE6A2A"/>
    <w:rsid w:val="00CE6A53"/>
    <w:rsid w:val="00CE70CD"/>
    <w:rsid w:val="00CE71EF"/>
    <w:rsid w:val="00CE73AD"/>
    <w:rsid w:val="00CE75F6"/>
    <w:rsid w:val="00CF038A"/>
    <w:rsid w:val="00CF065A"/>
    <w:rsid w:val="00CF127D"/>
    <w:rsid w:val="00CF181B"/>
    <w:rsid w:val="00CF23B9"/>
    <w:rsid w:val="00CF35E8"/>
    <w:rsid w:val="00CF3EC8"/>
    <w:rsid w:val="00CF4189"/>
    <w:rsid w:val="00CF4402"/>
    <w:rsid w:val="00CF4569"/>
    <w:rsid w:val="00CF4888"/>
    <w:rsid w:val="00CF4F70"/>
    <w:rsid w:val="00CF60EC"/>
    <w:rsid w:val="00CF7E56"/>
    <w:rsid w:val="00D00492"/>
    <w:rsid w:val="00D007B9"/>
    <w:rsid w:val="00D00AA3"/>
    <w:rsid w:val="00D01014"/>
    <w:rsid w:val="00D018A0"/>
    <w:rsid w:val="00D01D34"/>
    <w:rsid w:val="00D02699"/>
    <w:rsid w:val="00D03D7B"/>
    <w:rsid w:val="00D04071"/>
    <w:rsid w:val="00D04157"/>
    <w:rsid w:val="00D0433D"/>
    <w:rsid w:val="00D046D6"/>
    <w:rsid w:val="00D0490A"/>
    <w:rsid w:val="00D05068"/>
    <w:rsid w:val="00D05B1B"/>
    <w:rsid w:val="00D068E3"/>
    <w:rsid w:val="00D0764C"/>
    <w:rsid w:val="00D07F60"/>
    <w:rsid w:val="00D104F6"/>
    <w:rsid w:val="00D1088D"/>
    <w:rsid w:val="00D11238"/>
    <w:rsid w:val="00D11D67"/>
    <w:rsid w:val="00D12A0D"/>
    <w:rsid w:val="00D12D17"/>
    <w:rsid w:val="00D12D91"/>
    <w:rsid w:val="00D135A5"/>
    <w:rsid w:val="00D1388C"/>
    <w:rsid w:val="00D13D54"/>
    <w:rsid w:val="00D13E42"/>
    <w:rsid w:val="00D145D4"/>
    <w:rsid w:val="00D15EEA"/>
    <w:rsid w:val="00D20BA9"/>
    <w:rsid w:val="00D224E7"/>
    <w:rsid w:val="00D22FB3"/>
    <w:rsid w:val="00D236C2"/>
    <w:rsid w:val="00D23814"/>
    <w:rsid w:val="00D251AB"/>
    <w:rsid w:val="00D25292"/>
    <w:rsid w:val="00D25507"/>
    <w:rsid w:val="00D256E5"/>
    <w:rsid w:val="00D25A2C"/>
    <w:rsid w:val="00D26E1C"/>
    <w:rsid w:val="00D274D2"/>
    <w:rsid w:val="00D2786B"/>
    <w:rsid w:val="00D3122B"/>
    <w:rsid w:val="00D31B75"/>
    <w:rsid w:val="00D31E6F"/>
    <w:rsid w:val="00D3201B"/>
    <w:rsid w:val="00D33326"/>
    <w:rsid w:val="00D347E9"/>
    <w:rsid w:val="00D34D53"/>
    <w:rsid w:val="00D34F0D"/>
    <w:rsid w:val="00D3532B"/>
    <w:rsid w:val="00D35A2B"/>
    <w:rsid w:val="00D36388"/>
    <w:rsid w:val="00D364BC"/>
    <w:rsid w:val="00D36A55"/>
    <w:rsid w:val="00D37712"/>
    <w:rsid w:val="00D37D94"/>
    <w:rsid w:val="00D401FA"/>
    <w:rsid w:val="00D407CC"/>
    <w:rsid w:val="00D40919"/>
    <w:rsid w:val="00D41146"/>
    <w:rsid w:val="00D417DB"/>
    <w:rsid w:val="00D4261F"/>
    <w:rsid w:val="00D42794"/>
    <w:rsid w:val="00D42ADB"/>
    <w:rsid w:val="00D42CDC"/>
    <w:rsid w:val="00D43C83"/>
    <w:rsid w:val="00D43F32"/>
    <w:rsid w:val="00D44575"/>
    <w:rsid w:val="00D44D89"/>
    <w:rsid w:val="00D44DCE"/>
    <w:rsid w:val="00D453A1"/>
    <w:rsid w:val="00D46546"/>
    <w:rsid w:val="00D46A00"/>
    <w:rsid w:val="00D46D25"/>
    <w:rsid w:val="00D516D3"/>
    <w:rsid w:val="00D517B4"/>
    <w:rsid w:val="00D518D2"/>
    <w:rsid w:val="00D52AB6"/>
    <w:rsid w:val="00D52CF0"/>
    <w:rsid w:val="00D52D4B"/>
    <w:rsid w:val="00D53343"/>
    <w:rsid w:val="00D5360A"/>
    <w:rsid w:val="00D53A19"/>
    <w:rsid w:val="00D53D03"/>
    <w:rsid w:val="00D54047"/>
    <w:rsid w:val="00D540AB"/>
    <w:rsid w:val="00D54A42"/>
    <w:rsid w:val="00D56598"/>
    <w:rsid w:val="00D56C08"/>
    <w:rsid w:val="00D5764E"/>
    <w:rsid w:val="00D577D1"/>
    <w:rsid w:val="00D57A67"/>
    <w:rsid w:val="00D61112"/>
    <w:rsid w:val="00D61D24"/>
    <w:rsid w:val="00D62347"/>
    <w:rsid w:val="00D64D10"/>
    <w:rsid w:val="00D65856"/>
    <w:rsid w:val="00D66173"/>
    <w:rsid w:val="00D66903"/>
    <w:rsid w:val="00D67422"/>
    <w:rsid w:val="00D70A0F"/>
    <w:rsid w:val="00D719E8"/>
    <w:rsid w:val="00D71AFB"/>
    <w:rsid w:val="00D723DA"/>
    <w:rsid w:val="00D7255C"/>
    <w:rsid w:val="00D72856"/>
    <w:rsid w:val="00D72E86"/>
    <w:rsid w:val="00D74F8F"/>
    <w:rsid w:val="00D75373"/>
    <w:rsid w:val="00D764A3"/>
    <w:rsid w:val="00D76BB7"/>
    <w:rsid w:val="00D76CC0"/>
    <w:rsid w:val="00D80F3A"/>
    <w:rsid w:val="00D82839"/>
    <w:rsid w:val="00D82BCE"/>
    <w:rsid w:val="00D82DA2"/>
    <w:rsid w:val="00D82E48"/>
    <w:rsid w:val="00D832B9"/>
    <w:rsid w:val="00D83DCA"/>
    <w:rsid w:val="00D844AB"/>
    <w:rsid w:val="00D851BB"/>
    <w:rsid w:val="00D8521D"/>
    <w:rsid w:val="00D85FDF"/>
    <w:rsid w:val="00D861C2"/>
    <w:rsid w:val="00D86267"/>
    <w:rsid w:val="00D86582"/>
    <w:rsid w:val="00D86B73"/>
    <w:rsid w:val="00D87170"/>
    <w:rsid w:val="00D87574"/>
    <w:rsid w:val="00D87C5D"/>
    <w:rsid w:val="00D90DA0"/>
    <w:rsid w:val="00D935C4"/>
    <w:rsid w:val="00D947A8"/>
    <w:rsid w:val="00D9579F"/>
    <w:rsid w:val="00D95979"/>
    <w:rsid w:val="00D95C97"/>
    <w:rsid w:val="00D97057"/>
    <w:rsid w:val="00D97559"/>
    <w:rsid w:val="00DA0229"/>
    <w:rsid w:val="00DA0897"/>
    <w:rsid w:val="00DA0A99"/>
    <w:rsid w:val="00DA15D2"/>
    <w:rsid w:val="00DA27B9"/>
    <w:rsid w:val="00DA29D1"/>
    <w:rsid w:val="00DA30D8"/>
    <w:rsid w:val="00DA3C65"/>
    <w:rsid w:val="00DA3CE0"/>
    <w:rsid w:val="00DA4E66"/>
    <w:rsid w:val="00DA4FA3"/>
    <w:rsid w:val="00DA68E6"/>
    <w:rsid w:val="00DA6975"/>
    <w:rsid w:val="00DA6AC1"/>
    <w:rsid w:val="00DA7461"/>
    <w:rsid w:val="00DA77FA"/>
    <w:rsid w:val="00DA7D1C"/>
    <w:rsid w:val="00DB0022"/>
    <w:rsid w:val="00DB127E"/>
    <w:rsid w:val="00DB139B"/>
    <w:rsid w:val="00DB1C28"/>
    <w:rsid w:val="00DB2AAD"/>
    <w:rsid w:val="00DB3094"/>
    <w:rsid w:val="00DB3431"/>
    <w:rsid w:val="00DB3972"/>
    <w:rsid w:val="00DB3F40"/>
    <w:rsid w:val="00DB5D4E"/>
    <w:rsid w:val="00DB61C7"/>
    <w:rsid w:val="00DB6EF7"/>
    <w:rsid w:val="00DB763F"/>
    <w:rsid w:val="00DB7B4A"/>
    <w:rsid w:val="00DC0A31"/>
    <w:rsid w:val="00DC10CC"/>
    <w:rsid w:val="00DC215E"/>
    <w:rsid w:val="00DC2824"/>
    <w:rsid w:val="00DC2B34"/>
    <w:rsid w:val="00DC2B56"/>
    <w:rsid w:val="00DC33C3"/>
    <w:rsid w:val="00DC3963"/>
    <w:rsid w:val="00DC3CAC"/>
    <w:rsid w:val="00DC44A5"/>
    <w:rsid w:val="00DC5976"/>
    <w:rsid w:val="00DC61C5"/>
    <w:rsid w:val="00DC667E"/>
    <w:rsid w:val="00DC69A0"/>
    <w:rsid w:val="00DC7DAF"/>
    <w:rsid w:val="00DD0713"/>
    <w:rsid w:val="00DD1090"/>
    <w:rsid w:val="00DD1520"/>
    <w:rsid w:val="00DD1903"/>
    <w:rsid w:val="00DD1A3B"/>
    <w:rsid w:val="00DD2065"/>
    <w:rsid w:val="00DD2BEC"/>
    <w:rsid w:val="00DD3051"/>
    <w:rsid w:val="00DD3A56"/>
    <w:rsid w:val="00DD456D"/>
    <w:rsid w:val="00DD46CA"/>
    <w:rsid w:val="00DD5605"/>
    <w:rsid w:val="00DD5716"/>
    <w:rsid w:val="00DD5C10"/>
    <w:rsid w:val="00DD5FBC"/>
    <w:rsid w:val="00DD64AD"/>
    <w:rsid w:val="00DD6BDA"/>
    <w:rsid w:val="00DD707A"/>
    <w:rsid w:val="00DD776F"/>
    <w:rsid w:val="00DD7827"/>
    <w:rsid w:val="00DD7F79"/>
    <w:rsid w:val="00DE00FD"/>
    <w:rsid w:val="00DE0573"/>
    <w:rsid w:val="00DE258C"/>
    <w:rsid w:val="00DE27E3"/>
    <w:rsid w:val="00DE2840"/>
    <w:rsid w:val="00DE2A9B"/>
    <w:rsid w:val="00DE348F"/>
    <w:rsid w:val="00DE3907"/>
    <w:rsid w:val="00DE3A0D"/>
    <w:rsid w:val="00DE4681"/>
    <w:rsid w:val="00DE49DA"/>
    <w:rsid w:val="00DE4ACE"/>
    <w:rsid w:val="00DE521C"/>
    <w:rsid w:val="00DE5D48"/>
    <w:rsid w:val="00DE643A"/>
    <w:rsid w:val="00DE6590"/>
    <w:rsid w:val="00DE65D9"/>
    <w:rsid w:val="00DE7AC1"/>
    <w:rsid w:val="00DF033F"/>
    <w:rsid w:val="00DF053B"/>
    <w:rsid w:val="00DF0ED4"/>
    <w:rsid w:val="00DF11F1"/>
    <w:rsid w:val="00DF1935"/>
    <w:rsid w:val="00DF1DBD"/>
    <w:rsid w:val="00DF2899"/>
    <w:rsid w:val="00DF3977"/>
    <w:rsid w:val="00DF3E05"/>
    <w:rsid w:val="00DF422F"/>
    <w:rsid w:val="00DF4557"/>
    <w:rsid w:val="00DF5A06"/>
    <w:rsid w:val="00DF60D3"/>
    <w:rsid w:val="00DF7072"/>
    <w:rsid w:val="00DF7320"/>
    <w:rsid w:val="00DF7897"/>
    <w:rsid w:val="00DF7F27"/>
    <w:rsid w:val="00E00686"/>
    <w:rsid w:val="00E024C9"/>
    <w:rsid w:val="00E02B92"/>
    <w:rsid w:val="00E03753"/>
    <w:rsid w:val="00E05A52"/>
    <w:rsid w:val="00E06F82"/>
    <w:rsid w:val="00E07ECB"/>
    <w:rsid w:val="00E10446"/>
    <w:rsid w:val="00E10AAD"/>
    <w:rsid w:val="00E1109C"/>
    <w:rsid w:val="00E114F8"/>
    <w:rsid w:val="00E11D41"/>
    <w:rsid w:val="00E11FEE"/>
    <w:rsid w:val="00E12DF9"/>
    <w:rsid w:val="00E13002"/>
    <w:rsid w:val="00E1364B"/>
    <w:rsid w:val="00E13963"/>
    <w:rsid w:val="00E13966"/>
    <w:rsid w:val="00E14140"/>
    <w:rsid w:val="00E144A9"/>
    <w:rsid w:val="00E14D66"/>
    <w:rsid w:val="00E16313"/>
    <w:rsid w:val="00E164B2"/>
    <w:rsid w:val="00E1744E"/>
    <w:rsid w:val="00E205A9"/>
    <w:rsid w:val="00E2071B"/>
    <w:rsid w:val="00E20754"/>
    <w:rsid w:val="00E21589"/>
    <w:rsid w:val="00E21725"/>
    <w:rsid w:val="00E22196"/>
    <w:rsid w:val="00E229AE"/>
    <w:rsid w:val="00E2459A"/>
    <w:rsid w:val="00E24871"/>
    <w:rsid w:val="00E24F99"/>
    <w:rsid w:val="00E25502"/>
    <w:rsid w:val="00E25653"/>
    <w:rsid w:val="00E257C1"/>
    <w:rsid w:val="00E25C8E"/>
    <w:rsid w:val="00E26760"/>
    <w:rsid w:val="00E27381"/>
    <w:rsid w:val="00E30406"/>
    <w:rsid w:val="00E30438"/>
    <w:rsid w:val="00E30BF9"/>
    <w:rsid w:val="00E310B1"/>
    <w:rsid w:val="00E313AD"/>
    <w:rsid w:val="00E31BD8"/>
    <w:rsid w:val="00E3246B"/>
    <w:rsid w:val="00E325D8"/>
    <w:rsid w:val="00E328FF"/>
    <w:rsid w:val="00E32961"/>
    <w:rsid w:val="00E32AD3"/>
    <w:rsid w:val="00E331B7"/>
    <w:rsid w:val="00E3365B"/>
    <w:rsid w:val="00E336E4"/>
    <w:rsid w:val="00E3400D"/>
    <w:rsid w:val="00E34436"/>
    <w:rsid w:val="00E34996"/>
    <w:rsid w:val="00E34CEB"/>
    <w:rsid w:val="00E3538C"/>
    <w:rsid w:val="00E35810"/>
    <w:rsid w:val="00E35F86"/>
    <w:rsid w:val="00E3648E"/>
    <w:rsid w:val="00E37263"/>
    <w:rsid w:val="00E374F7"/>
    <w:rsid w:val="00E37608"/>
    <w:rsid w:val="00E37751"/>
    <w:rsid w:val="00E37BDB"/>
    <w:rsid w:val="00E40114"/>
    <w:rsid w:val="00E4079E"/>
    <w:rsid w:val="00E40D7F"/>
    <w:rsid w:val="00E4192C"/>
    <w:rsid w:val="00E41ABD"/>
    <w:rsid w:val="00E41E65"/>
    <w:rsid w:val="00E421CC"/>
    <w:rsid w:val="00E425E6"/>
    <w:rsid w:val="00E429EF"/>
    <w:rsid w:val="00E430DF"/>
    <w:rsid w:val="00E434F9"/>
    <w:rsid w:val="00E43C2A"/>
    <w:rsid w:val="00E43CA1"/>
    <w:rsid w:val="00E44793"/>
    <w:rsid w:val="00E44950"/>
    <w:rsid w:val="00E44AD3"/>
    <w:rsid w:val="00E45377"/>
    <w:rsid w:val="00E45DC9"/>
    <w:rsid w:val="00E46EC3"/>
    <w:rsid w:val="00E477CE"/>
    <w:rsid w:val="00E47C67"/>
    <w:rsid w:val="00E514C7"/>
    <w:rsid w:val="00E5156F"/>
    <w:rsid w:val="00E51BC2"/>
    <w:rsid w:val="00E51E96"/>
    <w:rsid w:val="00E52404"/>
    <w:rsid w:val="00E52F36"/>
    <w:rsid w:val="00E544B6"/>
    <w:rsid w:val="00E545B0"/>
    <w:rsid w:val="00E54861"/>
    <w:rsid w:val="00E54AFA"/>
    <w:rsid w:val="00E5516A"/>
    <w:rsid w:val="00E55347"/>
    <w:rsid w:val="00E5556C"/>
    <w:rsid w:val="00E55890"/>
    <w:rsid w:val="00E55D8D"/>
    <w:rsid w:val="00E56A40"/>
    <w:rsid w:val="00E57667"/>
    <w:rsid w:val="00E600C0"/>
    <w:rsid w:val="00E603F8"/>
    <w:rsid w:val="00E60ED2"/>
    <w:rsid w:val="00E60FC4"/>
    <w:rsid w:val="00E615F5"/>
    <w:rsid w:val="00E62CB9"/>
    <w:rsid w:val="00E62CD8"/>
    <w:rsid w:val="00E64E53"/>
    <w:rsid w:val="00E65A41"/>
    <w:rsid w:val="00E65B6F"/>
    <w:rsid w:val="00E6715F"/>
    <w:rsid w:val="00E673FD"/>
    <w:rsid w:val="00E70061"/>
    <w:rsid w:val="00E7096F"/>
    <w:rsid w:val="00E71315"/>
    <w:rsid w:val="00E71682"/>
    <w:rsid w:val="00E720FC"/>
    <w:rsid w:val="00E72401"/>
    <w:rsid w:val="00E7271A"/>
    <w:rsid w:val="00E7376C"/>
    <w:rsid w:val="00E748B6"/>
    <w:rsid w:val="00E74950"/>
    <w:rsid w:val="00E74E6E"/>
    <w:rsid w:val="00E751F9"/>
    <w:rsid w:val="00E753B5"/>
    <w:rsid w:val="00E7566B"/>
    <w:rsid w:val="00E75F11"/>
    <w:rsid w:val="00E76169"/>
    <w:rsid w:val="00E7700B"/>
    <w:rsid w:val="00E77C6E"/>
    <w:rsid w:val="00E809EB"/>
    <w:rsid w:val="00E837A9"/>
    <w:rsid w:val="00E8501C"/>
    <w:rsid w:val="00E851A5"/>
    <w:rsid w:val="00E851AA"/>
    <w:rsid w:val="00E8576B"/>
    <w:rsid w:val="00E85A30"/>
    <w:rsid w:val="00E85ACF"/>
    <w:rsid w:val="00E85B6E"/>
    <w:rsid w:val="00E85FBE"/>
    <w:rsid w:val="00E86AE6"/>
    <w:rsid w:val="00E86CBC"/>
    <w:rsid w:val="00E870AB"/>
    <w:rsid w:val="00E90658"/>
    <w:rsid w:val="00E9082B"/>
    <w:rsid w:val="00E911CE"/>
    <w:rsid w:val="00E91664"/>
    <w:rsid w:val="00E91C0B"/>
    <w:rsid w:val="00E924C5"/>
    <w:rsid w:val="00E92AD8"/>
    <w:rsid w:val="00E92D29"/>
    <w:rsid w:val="00E92D44"/>
    <w:rsid w:val="00E92E47"/>
    <w:rsid w:val="00E9394D"/>
    <w:rsid w:val="00E94337"/>
    <w:rsid w:val="00E94965"/>
    <w:rsid w:val="00E94A5A"/>
    <w:rsid w:val="00E96BBA"/>
    <w:rsid w:val="00E973A0"/>
    <w:rsid w:val="00E975EF"/>
    <w:rsid w:val="00E97B66"/>
    <w:rsid w:val="00EA01E5"/>
    <w:rsid w:val="00EA11FC"/>
    <w:rsid w:val="00EA1C42"/>
    <w:rsid w:val="00EA2324"/>
    <w:rsid w:val="00EA3529"/>
    <w:rsid w:val="00EA42DD"/>
    <w:rsid w:val="00EA49B8"/>
    <w:rsid w:val="00EA4A5A"/>
    <w:rsid w:val="00EA4F11"/>
    <w:rsid w:val="00EA5A37"/>
    <w:rsid w:val="00EA5F42"/>
    <w:rsid w:val="00EA61F1"/>
    <w:rsid w:val="00EA62A2"/>
    <w:rsid w:val="00EA655B"/>
    <w:rsid w:val="00EA68D6"/>
    <w:rsid w:val="00EA6C92"/>
    <w:rsid w:val="00EA7669"/>
    <w:rsid w:val="00EA7C44"/>
    <w:rsid w:val="00EB016A"/>
    <w:rsid w:val="00EB0C1A"/>
    <w:rsid w:val="00EB15FB"/>
    <w:rsid w:val="00EB1897"/>
    <w:rsid w:val="00EB1E31"/>
    <w:rsid w:val="00EB1EA2"/>
    <w:rsid w:val="00EB21C2"/>
    <w:rsid w:val="00EB26ED"/>
    <w:rsid w:val="00EB279C"/>
    <w:rsid w:val="00EB320E"/>
    <w:rsid w:val="00EB4FFB"/>
    <w:rsid w:val="00EB598D"/>
    <w:rsid w:val="00EB7271"/>
    <w:rsid w:val="00EC08AD"/>
    <w:rsid w:val="00EC0FD6"/>
    <w:rsid w:val="00EC1054"/>
    <w:rsid w:val="00EC190C"/>
    <w:rsid w:val="00EC27BB"/>
    <w:rsid w:val="00EC31D1"/>
    <w:rsid w:val="00EC3C4B"/>
    <w:rsid w:val="00EC3CF5"/>
    <w:rsid w:val="00EC3E9E"/>
    <w:rsid w:val="00EC42C8"/>
    <w:rsid w:val="00EC5A7B"/>
    <w:rsid w:val="00EC5B60"/>
    <w:rsid w:val="00EC5E89"/>
    <w:rsid w:val="00EC5EF1"/>
    <w:rsid w:val="00EC6072"/>
    <w:rsid w:val="00EC69E4"/>
    <w:rsid w:val="00EC75EC"/>
    <w:rsid w:val="00EC798B"/>
    <w:rsid w:val="00ED046A"/>
    <w:rsid w:val="00ED15E2"/>
    <w:rsid w:val="00ED183B"/>
    <w:rsid w:val="00ED2F0F"/>
    <w:rsid w:val="00ED3203"/>
    <w:rsid w:val="00ED337A"/>
    <w:rsid w:val="00ED367A"/>
    <w:rsid w:val="00ED468E"/>
    <w:rsid w:val="00ED4A83"/>
    <w:rsid w:val="00ED50C9"/>
    <w:rsid w:val="00ED603D"/>
    <w:rsid w:val="00ED6328"/>
    <w:rsid w:val="00ED6345"/>
    <w:rsid w:val="00ED672A"/>
    <w:rsid w:val="00ED6BF1"/>
    <w:rsid w:val="00ED6C96"/>
    <w:rsid w:val="00ED6FE7"/>
    <w:rsid w:val="00ED7570"/>
    <w:rsid w:val="00ED7918"/>
    <w:rsid w:val="00EE01BA"/>
    <w:rsid w:val="00EE0A61"/>
    <w:rsid w:val="00EE1534"/>
    <w:rsid w:val="00EE199A"/>
    <w:rsid w:val="00EE3AD2"/>
    <w:rsid w:val="00EE558E"/>
    <w:rsid w:val="00EE645F"/>
    <w:rsid w:val="00EE6918"/>
    <w:rsid w:val="00EF0047"/>
    <w:rsid w:val="00EF072D"/>
    <w:rsid w:val="00EF135F"/>
    <w:rsid w:val="00EF1B00"/>
    <w:rsid w:val="00EF375B"/>
    <w:rsid w:val="00EF38F2"/>
    <w:rsid w:val="00EF3A35"/>
    <w:rsid w:val="00EF41B6"/>
    <w:rsid w:val="00EF4A7B"/>
    <w:rsid w:val="00EF5ED3"/>
    <w:rsid w:val="00EF64A3"/>
    <w:rsid w:val="00EF71EE"/>
    <w:rsid w:val="00EF74B5"/>
    <w:rsid w:val="00EF7825"/>
    <w:rsid w:val="00F0044E"/>
    <w:rsid w:val="00F009A6"/>
    <w:rsid w:val="00F010E9"/>
    <w:rsid w:val="00F01974"/>
    <w:rsid w:val="00F0290D"/>
    <w:rsid w:val="00F02F72"/>
    <w:rsid w:val="00F0307B"/>
    <w:rsid w:val="00F03948"/>
    <w:rsid w:val="00F04771"/>
    <w:rsid w:val="00F04F98"/>
    <w:rsid w:val="00F05675"/>
    <w:rsid w:val="00F056BB"/>
    <w:rsid w:val="00F05F14"/>
    <w:rsid w:val="00F06DFD"/>
    <w:rsid w:val="00F07291"/>
    <w:rsid w:val="00F0752F"/>
    <w:rsid w:val="00F0765A"/>
    <w:rsid w:val="00F07D2A"/>
    <w:rsid w:val="00F10236"/>
    <w:rsid w:val="00F104E3"/>
    <w:rsid w:val="00F11344"/>
    <w:rsid w:val="00F11621"/>
    <w:rsid w:val="00F125FA"/>
    <w:rsid w:val="00F1277D"/>
    <w:rsid w:val="00F129C1"/>
    <w:rsid w:val="00F135D5"/>
    <w:rsid w:val="00F13836"/>
    <w:rsid w:val="00F13863"/>
    <w:rsid w:val="00F13B9C"/>
    <w:rsid w:val="00F13E98"/>
    <w:rsid w:val="00F13F6E"/>
    <w:rsid w:val="00F14190"/>
    <w:rsid w:val="00F14494"/>
    <w:rsid w:val="00F158B8"/>
    <w:rsid w:val="00F15C0E"/>
    <w:rsid w:val="00F16015"/>
    <w:rsid w:val="00F16A50"/>
    <w:rsid w:val="00F16B55"/>
    <w:rsid w:val="00F17396"/>
    <w:rsid w:val="00F17C65"/>
    <w:rsid w:val="00F20046"/>
    <w:rsid w:val="00F21062"/>
    <w:rsid w:val="00F215A0"/>
    <w:rsid w:val="00F21E7C"/>
    <w:rsid w:val="00F22176"/>
    <w:rsid w:val="00F228D8"/>
    <w:rsid w:val="00F22F76"/>
    <w:rsid w:val="00F2317A"/>
    <w:rsid w:val="00F23766"/>
    <w:rsid w:val="00F23C66"/>
    <w:rsid w:val="00F23D8D"/>
    <w:rsid w:val="00F242DC"/>
    <w:rsid w:val="00F24BD1"/>
    <w:rsid w:val="00F260C9"/>
    <w:rsid w:val="00F2635F"/>
    <w:rsid w:val="00F27191"/>
    <w:rsid w:val="00F27404"/>
    <w:rsid w:val="00F27477"/>
    <w:rsid w:val="00F278C4"/>
    <w:rsid w:val="00F27BD3"/>
    <w:rsid w:val="00F27DA3"/>
    <w:rsid w:val="00F3085A"/>
    <w:rsid w:val="00F30905"/>
    <w:rsid w:val="00F314A2"/>
    <w:rsid w:val="00F3191C"/>
    <w:rsid w:val="00F31BE4"/>
    <w:rsid w:val="00F32894"/>
    <w:rsid w:val="00F32A44"/>
    <w:rsid w:val="00F32F58"/>
    <w:rsid w:val="00F333B8"/>
    <w:rsid w:val="00F33A07"/>
    <w:rsid w:val="00F33B22"/>
    <w:rsid w:val="00F33B6F"/>
    <w:rsid w:val="00F34415"/>
    <w:rsid w:val="00F3478A"/>
    <w:rsid w:val="00F353BC"/>
    <w:rsid w:val="00F35686"/>
    <w:rsid w:val="00F3614C"/>
    <w:rsid w:val="00F3684E"/>
    <w:rsid w:val="00F3738D"/>
    <w:rsid w:val="00F37786"/>
    <w:rsid w:val="00F377DB"/>
    <w:rsid w:val="00F37E99"/>
    <w:rsid w:val="00F41035"/>
    <w:rsid w:val="00F4242E"/>
    <w:rsid w:val="00F424A3"/>
    <w:rsid w:val="00F42F6A"/>
    <w:rsid w:val="00F431B8"/>
    <w:rsid w:val="00F43CF7"/>
    <w:rsid w:val="00F443AD"/>
    <w:rsid w:val="00F44F27"/>
    <w:rsid w:val="00F45B92"/>
    <w:rsid w:val="00F45F1D"/>
    <w:rsid w:val="00F46401"/>
    <w:rsid w:val="00F471FD"/>
    <w:rsid w:val="00F4768E"/>
    <w:rsid w:val="00F503E0"/>
    <w:rsid w:val="00F5043D"/>
    <w:rsid w:val="00F50BCC"/>
    <w:rsid w:val="00F50C08"/>
    <w:rsid w:val="00F5159B"/>
    <w:rsid w:val="00F51E48"/>
    <w:rsid w:val="00F52AC0"/>
    <w:rsid w:val="00F52E2D"/>
    <w:rsid w:val="00F536BB"/>
    <w:rsid w:val="00F54084"/>
    <w:rsid w:val="00F5476D"/>
    <w:rsid w:val="00F549A1"/>
    <w:rsid w:val="00F55F6F"/>
    <w:rsid w:val="00F5603F"/>
    <w:rsid w:val="00F57DA4"/>
    <w:rsid w:val="00F603F8"/>
    <w:rsid w:val="00F6062F"/>
    <w:rsid w:val="00F606A7"/>
    <w:rsid w:val="00F606C2"/>
    <w:rsid w:val="00F60B09"/>
    <w:rsid w:val="00F61877"/>
    <w:rsid w:val="00F61ACE"/>
    <w:rsid w:val="00F61D84"/>
    <w:rsid w:val="00F64888"/>
    <w:rsid w:val="00F65260"/>
    <w:rsid w:val="00F6612D"/>
    <w:rsid w:val="00F662BB"/>
    <w:rsid w:val="00F66A9E"/>
    <w:rsid w:val="00F67239"/>
    <w:rsid w:val="00F676DE"/>
    <w:rsid w:val="00F70762"/>
    <w:rsid w:val="00F70856"/>
    <w:rsid w:val="00F721CA"/>
    <w:rsid w:val="00F72543"/>
    <w:rsid w:val="00F72655"/>
    <w:rsid w:val="00F737D7"/>
    <w:rsid w:val="00F73B9F"/>
    <w:rsid w:val="00F740A0"/>
    <w:rsid w:val="00F74801"/>
    <w:rsid w:val="00F74AE7"/>
    <w:rsid w:val="00F75BB0"/>
    <w:rsid w:val="00F76B6A"/>
    <w:rsid w:val="00F76BEA"/>
    <w:rsid w:val="00F76C17"/>
    <w:rsid w:val="00F80F83"/>
    <w:rsid w:val="00F81011"/>
    <w:rsid w:val="00F81B08"/>
    <w:rsid w:val="00F81BDE"/>
    <w:rsid w:val="00F8258B"/>
    <w:rsid w:val="00F82614"/>
    <w:rsid w:val="00F826C1"/>
    <w:rsid w:val="00F828EE"/>
    <w:rsid w:val="00F82D78"/>
    <w:rsid w:val="00F8373D"/>
    <w:rsid w:val="00F83970"/>
    <w:rsid w:val="00F84018"/>
    <w:rsid w:val="00F84B5A"/>
    <w:rsid w:val="00F84B93"/>
    <w:rsid w:val="00F84D11"/>
    <w:rsid w:val="00F855B5"/>
    <w:rsid w:val="00F858B5"/>
    <w:rsid w:val="00F85FF6"/>
    <w:rsid w:val="00F868C1"/>
    <w:rsid w:val="00F87A66"/>
    <w:rsid w:val="00F87CBF"/>
    <w:rsid w:val="00F9230A"/>
    <w:rsid w:val="00F92626"/>
    <w:rsid w:val="00F92B52"/>
    <w:rsid w:val="00F93BBC"/>
    <w:rsid w:val="00F94378"/>
    <w:rsid w:val="00F9442A"/>
    <w:rsid w:val="00F949D6"/>
    <w:rsid w:val="00F94F5F"/>
    <w:rsid w:val="00F958C2"/>
    <w:rsid w:val="00F95F56"/>
    <w:rsid w:val="00F96137"/>
    <w:rsid w:val="00F9644D"/>
    <w:rsid w:val="00F96C57"/>
    <w:rsid w:val="00F97296"/>
    <w:rsid w:val="00F979AC"/>
    <w:rsid w:val="00FA0BA0"/>
    <w:rsid w:val="00FA19C1"/>
    <w:rsid w:val="00FA25EE"/>
    <w:rsid w:val="00FA34D2"/>
    <w:rsid w:val="00FA3B86"/>
    <w:rsid w:val="00FA4969"/>
    <w:rsid w:val="00FA53D7"/>
    <w:rsid w:val="00FA58E1"/>
    <w:rsid w:val="00FA5962"/>
    <w:rsid w:val="00FA60BD"/>
    <w:rsid w:val="00FA6796"/>
    <w:rsid w:val="00FA6DDC"/>
    <w:rsid w:val="00FA70DC"/>
    <w:rsid w:val="00FA7129"/>
    <w:rsid w:val="00FA7557"/>
    <w:rsid w:val="00FA7558"/>
    <w:rsid w:val="00FA774E"/>
    <w:rsid w:val="00FB1905"/>
    <w:rsid w:val="00FB1E74"/>
    <w:rsid w:val="00FB2347"/>
    <w:rsid w:val="00FB2D85"/>
    <w:rsid w:val="00FB3587"/>
    <w:rsid w:val="00FB3B2E"/>
    <w:rsid w:val="00FB3D97"/>
    <w:rsid w:val="00FB440B"/>
    <w:rsid w:val="00FB4510"/>
    <w:rsid w:val="00FB4A92"/>
    <w:rsid w:val="00FB56AF"/>
    <w:rsid w:val="00FB585F"/>
    <w:rsid w:val="00FB5AA2"/>
    <w:rsid w:val="00FB63BC"/>
    <w:rsid w:val="00FB6514"/>
    <w:rsid w:val="00FB7EA9"/>
    <w:rsid w:val="00FC05C0"/>
    <w:rsid w:val="00FC085D"/>
    <w:rsid w:val="00FC1CE1"/>
    <w:rsid w:val="00FC29E0"/>
    <w:rsid w:val="00FC2B13"/>
    <w:rsid w:val="00FC3E96"/>
    <w:rsid w:val="00FC5728"/>
    <w:rsid w:val="00FC572D"/>
    <w:rsid w:val="00FC58E5"/>
    <w:rsid w:val="00FC6714"/>
    <w:rsid w:val="00FC6E87"/>
    <w:rsid w:val="00FC6EDD"/>
    <w:rsid w:val="00FC7EBB"/>
    <w:rsid w:val="00FC7F08"/>
    <w:rsid w:val="00FD0FD1"/>
    <w:rsid w:val="00FD106D"/>
    <w:rsid w:val="00FD13AA"/>
    <w:rsid w:val="00FD1975"/>
    <w:rsid w:val="00FD1A3D"/>
    <w:rsid w:val="00FD2191"/>
    <w:rsid w:val="00FD266B"/>
    <w:rsid w:val="00FD2A2D"/>
    <w:rsid w:val="00FD2B28"/>
    <w:rsid w:val="00FD2D33"/>
    <w:rsid w:val="00FD4539"/>
    <w:rsid w:val="00FD4710"/>
    <w:rsid w:val="00FD5B50"/>
    <w:rsid w:val="00FD6289"/>
    <w:rsid w:val="00FD63FC"/>
    <w:rsid w:val="00FE0670"/>
    <w:rsid w:val="00FE2147"/>
    <w:rsid w:val="00FE219D"/>
    <w:rsid w:val="00FE246F"/>
    <w:rsid w:val="00FE2620"/>
    <w:rsid w:val="00FE3864"/>
    <w:rsid w:val="00FE3E75"/>
    <w:rsid w:val="00FE3F6E"/>
    <w:rsid w:val="00FE4B0E"/>
    <w:rsid w:val="00FE4D6E"/>
    <w:rsid w:val="00FE6349"/>
    <w:rsid w:val="00FE7282"/>
    <w:rsid w:val="00FE7304"/>
    <w:rsid w:val="00FE79B7"/>
    <w:rsid w:val="00FF0310"/>
    <w:rsid w:val="00FF11DA"/>
    <w:rsid w:val="00FF2396"/>
    <w:rsid w:val="00FF23DE"/>
    <w:rsid w:val="00FF2792"/>
    <w:rsid w:val="00FF3258"/>
    <w:rsid w:val="00FF59D0"/>
    <w:rsid w:val="00FF641F"/>
    <w:rsid w:val="00FF7454"/>
    <w:rsid w:val="01FB5C4F"/>
    <w:rsid w:val="0256548E"/>
    <w:rsid w:val="02890D36"/>
    <w:rsid w:val="029370C7"/>
    <w:rsid w:val="02FF41F8"/>
    <w:rsid w:val="0314419D"/>
    <w:rsid w:val="03D12F2D"/>
    <w:rsid w:val="041311F2"/>
    <w:rsid w:val="04E24159"/>
    <w:rsid w:val="04E81B1A"/>
    <w:rsid w:val="05097AD0"/>
    <w:rsid w:val="05CC0E93"/>
    <w:rsid w:val="06443FD4"/>
    <w:rsid w:val="07277E4A"/>
    <w:rsid w:val="08073E22"/>
    <w:rsid w:val="08822685"/>
    <w:rsid w:val="08E412E7"/>
    <w:rsid w:val="08FA104A"/>
    <w:rsid w:val="08FA57C7"/>
    <w:rsid w:val="09AA1547"/>
    <w:rsid w:val="0A765FB8"/>
    <w:rsid w:val="0A814349"/>
    <w:rsid w:val="0AF8308E"/>
    <w:rsid w:val="0C483CB5"/>
    <w:rsid w:val="0C5F0057"/>
    <w:rsid w:val="0D8D654B"/>
    <w:rsid w:val="0DA914DF"/>
    <w:rsid w:val="0E263246"/>
    <w:rsid w:val="0E3015D7"/>
    <w:rsid w:val="0E6A02CB"/>
    <w:rsid w:val="101500B2"/>
    <w:rsid w:val="10507C42"/>
    <w:rsid w:val="105A7962"/>
    <w:rsid w:val="109C3C4F"/>
    <w:rsid w:val="114F5A7F"/>
    <w:rsid w:val="115C57C9"/>
    <w:rsid w:val="11F62C07"/>
    <w:rsid w:val="124F3295"/>
    <w:rsid w:val="13737B75"/>
    <w:rsid w:val="13B43E61"/>
    <w:rsid w:val="147719A1"/>
    <w:rsid w:val="148C1946"/>
    <w:rsid w:val="14B8240A"/>
    <w:rsid w:val="14F25F1C"/>
    <w:rsid w:val="154C7218"/>
    <w:rsid w:val="16323F16"/>
    <w:rsid w:val="17707100"/>
    <w:rsid w:val="17853822"/>
    <w:rsid w:val="17E06C0C"/>
    <w:rsid w:val="17F04307"/>
    <w:rsid w:val="18947263"/>
    <w:rsid w:val="189A31DE"/>
    <w:rsid w:val="18EB7932"/>
    <w:rsid w:val="196C5A40"/>
    <w:rsid w:val="198463D0"/>
    <w:rsid w:val="19C2556A"/>
    <w:rsid w:val="19C41B53"/>
    <w:rsid w:val="1A2608F3"/>
    <w:rsid w:val="1A336B23"/>
    <w:rsid w:val="1AF96A80"/>
    <w:rsid w:val="1BC51E19"/>
    <w:rsid w:val="1BCD57AB"/>
    <w:rsid w:val="1C0E1A98"/>
    <w:rsid w:val="1C490289"/>
    <w:rsid w:val="1C6F4FB4"/>
    <w:rsid w:val="1CA6768D"/>
    <w:rsid w:val="1CA86DE2"/>
    <w:rsid w:val="1CDB5968"/>
    <w:rsid w:val="1D1F6145"/>
    <w:rsid w:val="1D54432D"/>
    <w:rsid w:val="1E2D620F"/>
    <w:rsid w:val="1E422931"/>
    <w:rsid w:val="1E870C3C"/>
    <w:rsid w:val="1EB65B04"/>
    <w:rsid w:val="1F5E4382"/>
    <w:rsid w:val="1F8F2FC4"/>
    <w:rsid w:val="1FC32E72"/>
    <w:rsid w:val="20325EC0"/>
    <w:rsid w:val="203A3EBC"/>
    <w:rsid w:val="20621846"/>
    <w:rsid w:val="208244E5"/>
    <w:rsid w:val="21BD09EA"/>
    <w:rsid w:val="21C734F7"/>
    <w:rsid w:val="21D2510C"/>
    <w:rsid w:val="21E259F1"/>
    <w:rsid w:val="222568E3"/>
    <w:rsid w:val="22B60C01"/>
    <w:rsid w:val="231879A1"/>
    <w:rsid w:val="239A46F7"/>
    <w:rsid w:val="2411343C"/>
    <w:rsid w:val="249F6523"/>
    <w:rsid w:val="25B84A72"/>
    <w:rsid w:val="25FB09DE"/>
    <w:rsid w:val="26922897"/>
    <w:rsid w:val="2699467B"/>
    <w:rsid w:val="26CA35AD"/>
    <w:rsid w:val="27440095"/>
    <w:rsid w:val="27DC6979"/>
    <w:rsid w:val="28B1694E"/>
    <w:rsid w:val="28BC0562"/>
    <w:rsid w:val="29747D10"/>
    <w:rsid w:val="2A2D713F"/>
    <w:rsid w:val="2A423861"/>
    <w:rsid w:val="2A63541A"/>
    <w:rsid w:val="2A8F5EDF"/>
    <w:rsid w:val="2A9350A0"/>
    <w:rsid w:val="2AA84B6D"/>
    <w:rsid w:val="2ABF0192"/>
    <w:rsid w:val="2AFB6893"/>
    <w:rsid w:val="2B937D0B"/>
    <w:rsid w:val="2BE523D6"/>
    <w:rsid w:val="2BFA22CB"/>
    <w:rsid w:val="2C3F521F"/>
    <w:rsid w:val="2C9C00DD"/>
    <w:rsid w:val="2DA55B88"/>
    <w:rsid w:val="2E1E06B9"/>
    <w:rsid w:val="2EB61B31"/>
    <w:rsid w:val="2EF8259B"/>
    <w:rsid w:val="2F064E19"/>
    <w:rsid w:val="2F2954D5"/>
    <w:rsid w:val="2F665BC2"/>
    <w:rsid w:val="2F9959A7"/>
    <w:rsid w:val="2FDE4A00"/>
    <w:rsid w:val="2FEE6EA1"/>
    <w:rsid w:val="30A957E4"/>
    <w:rsid w:val="30C56DD2"/>
    <w:rsid w:val="31843689"/>
    <w:rsid w:val="3198766B"/>
    <w:rsid w:val="319D0DD6"/>
    <w:rsid w:val="32DE1F01"/>
    <w:rsid w:val="331630E9"/>
    <w:rsid w:val="335F6FD7"/>
    <w:rsid w:val="34C131AF"/>
    <w:rsid w:val="34E87C04"/>
    <w:rsid w:val="35476355"/>
    <w:rsid w:val="356928AF"/>
    <w:rsid w:val="35D579E0"/>
    <w:rsid w:val="35DB17EF"/>
    <w:rsid w:val="36013D27"/>
    <w:rsid w:val="36025D97"/>
    <w:rsid w:val="3674279B"/>
    <w:rsid w:val="36DB3EF8"/>
    <w:rsid w:val="36E47B9D"/>
    <w:rsid w:val="37110C64"/>
    <w:rsid w:val="38506F25"/>
    <w:rsid w:val="3859271F"/>
    <w:rsid w:val="38733E42"/>
    <w:rsid w:val="389D5EF5"/>
    <w:rsid w:val="38C2712E"/>
    <w:rsid w:val="39A62C24"/>
    <w:rsid w:val="39CA67BE"/>
    <w:rsid w:val="39DF7ECE"/>
    <w:rsid w:val="3A29797A"/>
    <w:rsid w:val="3A3E409C"/>
    <w:rsid w:val="3A5B7D04"/>
    <w:rsid w:val="3AC53AEC"/>
    <w:rsid w:val="3B1D351E"/>
    <w:rsid w:val="3B2575DE"/>
    <w:rsid w:val="3B365BA1"/>
    <w:rsid w:val="3C682428"/>
    <w:rsid w:val="3D417B8C"/>
    <w:rsid w:val="3D4402AC"/>
    <w:rsid w:val="3D4C5F1D"/>
    <w:rsid w:val="3DB9586E"/>
    <w:rsid w:val="3E1A5671"/>
    <w:rsid w:val="3E442EC3"/>
    <w:rsid w:val="3E667CEF"/>
    <w:rsid w:val="3ED34AA0"/>
    <w:rsid w:val="3EF73899"/>
    <w:rsid w:val="3F2A54AE"/>
    <w:rsid w:val="3F6E789D"/>
    <w:rsid w:val="3FE04FF8"/>
    <w:rsid w:val="3FED2FEE"/>
    <w:rsid w:val="40B118C6"/>
    <w:rsid w:val="40EB11DB"/>
    <w:rsid w:val="412874F2"/>
    <w:rsid w:val="42014C57"/>
    <w:rsid w:val="42161379"/>
    <w:rsid w:val="42323CE4"/>
    <w:rsid w:val="42AF6075"/>
    <w:rsid w:val="42CF43AB"/>
    <w:rsid w:val="42EE6E5E"/>
    <w:rsid w:val="43204EC2"/>
    <w:rsid w:val="43C845C3"/>
    <w:rsid w:val="448224F3"/>
    <w:rsid w:val="45123FBD"/>
    <w:rsid w:val="45CF5A88"/>
    <w:rsid w:val="46737A24"/>
    <w:rsid w:val="46CA0433"/>
    <w:rsid w:val="48516FB5"/>
    <w:rsid w:val="48B459D5"/>
    <w:rsid w:val="48CB00CA"/>
    <w:rsid w:val="48FF5A97"/>
    <w:rsid w:val="49327AE3"/>
    <w:rsid w:val="49497D40"/>
    <w:rsid w:val="4A7048F9"/>
    <w:rsid w:val="4A9216E3"/>
    <w:rsid w:val="4AE820F1"/>
    <w:rsid w:val="4E634927"/>
    <w:rsid w:val="4F105D44"/>
    <w:rsid w:val="4F355850"/>
    <w:rsid w:val="4F5C4B3F"/>
    <w:rsid w:val="4F8B14B0"/>
    <w:rsid w:val="4FB671CF"/>
    <w:rsid w:val="4FEE276A"/>
    <w:rsid w:val="4FFD7F4B"/>
    <w:rsid w:val="501F5F01"/>
    <w:rsid w:val="50BF05A8"/>
    <w:rsid w:val="52077FA0"/>
    <w:rsid w:val="52F61E27"/>
    <w:rsid w:val="53EB4DFF"/>
    <w:rsid w:val="542819DB"/>
    <w:rsid w:val="545C6276"/>
    <w:rsid w:val="549931CF"/>
    <w:rsid w:val="54DD6AF9"/>
    <w:rsid w:val="555F1103"/>
    <w:rsid w:val="556C60B3"/>
    <w:rsid w:val="561A74D1"/>
    <w:rsid w:val="571C515A"/>
    <w:rsid w:val="57283E0B"/>
    <w:rsid w:val="574A1DC1"/>
    <w:rsid w:val="57C00B06"/>
    <w:rsid w:val="57CC0FC7"/>
    <w:rsid w:val="58021570"/>
    <w:rsid w:val="580E5197"/>
    <w:rsid w:val="5831455A"/>
    <w:rsid w:val="5863030F"/>
    <w:rsid w:val="5906339C"/>
    <w:rsid w:val="592616D2"/>
    <w:rsid w:val="59341B00"/>
    <w:rsid w:val="594971F2"/>
    <w:rsid w:val="5998491C"/>
    <w:rsid w:val="59DE0E81"/>
    <w:rsid w:val="59F55223"/>
    <w:rsid w:val="59FF35B4"/>
    <w:rsid w:val="5A166E71"/>
    <w:rsid w:val="5AE470AA"/>
    <w:rsid w:val="5B301727"/>
    <w:rsid w:val="5B5A5DEF"/>
    <w:rsid w:val="5BC56904"/>
    <w:rsid w:val="5C0A6E8C"/>
    <w:rsid w:val="5CEC2D02"/>
    <w:rsid w:val="5D2353DA"/>
    <w:rsid w:val="5EBC3A41"/>
    <w:rsid w:val="5F6D531F"/>
    <w:rsid w:val="5FAE2505"/>
    <w:rsid w:val="5FE00EBE"/>
    <w:rsid w:val="60056797"/>
    <w:rsid w:val="61094D40"/>
    <w:rsid w:val="614172DE"/>
    <w:rsid w:val="6160574F"/>
    <w:rsid w:val="61ED1256"/>
    <w:rsid w:val="62E35058"/>
    <w:rsid w:val="636A546F"/>
    <w:rsid w:val="6511265D"/>
    <w:rsid w:val="651C4271"/>
    <w:rsid w:val="65A93AD5"/>
    <w:rsid w:val="661E33F6"/>
    <w:rsid w:val="662B3EC2"/>
    <w:rsid w:val="664C6CCE"/>
    <w:rsid w:val="66B25BAB"/>
    <w:rsid w:val="6808013C"/>
    <w:rsid w:val="68490BA5"/>
    <w:rsid w:val="68544FE3"/>
    <w:rsid w:val="6872092B"/>
    <w:rsid w:val="68A320F0"/>
    <w:rsid w:val="68C10A03"/>
    <w:rsid w:val="691702F9"/>
    <w:rsid w:val="692E7F1E"/>
    <w:rsid w:val="69430A4C"/>
    <w:rsid w:val="6A242849"/>
    <w:rsid w:val="6ADF78E5"/>
    <w:rsid w:val="6AFC4497"/>
    <w:rsid w:val="6B0B3C2C"/>
    <w:rsid w:val="6B7874F8"/>
    <w:rsid w:val="6B8D0D02"/>
    <w:rsid w:val="6C7C2B89"/>
    <w:rsid w:val="6CA33A48"/>
    <w:rsid w:val="6CB30AE5"/>
    <w:rsid w:val="6E92338D"/>
    <w:rsid w:val="6EA50F15"/>
    <w:rsid w:val="6EE6432E"/>
    <w:rsid w:val="6F1218C9"/>
    <w:rsid w:val="6F35142D"/>
    <w:rsid w:val="6F510E27"/>
    <w:rsid w:val="6FE10C9C"/>
    <w:rsid w:val="70257F20"/>
    <w:rsid w:val="70375E28"/>
    <w:rsid w:val="70593DDE"/>
    <w:rsid w:val="70DF5DB7"/>
    <w:rsid w:val="717C423E"/>
    <w:rsid w:val="72401A80"/>
    <w:rsid w:val="7298562B"/>
    <w:rsid w:val="72D46DF2"/>
    <w:rsid w:val="73047240"/>
    <w:rsid w:val="733A0875"/>
    <w:rsid w:val="74125278"/>
    <w:rsid w:val="744A3547"/>
    <w:rsid w:val="7474619D"/>
    <w:rsid w:val="74982ED9"/>
    <w:rsid w:val="74D424AE"/>
    <w:rsid w:val="751B4FB4"/>
    <w:rsid w:val="75435570"/>
    <w:rsid w:val="765E373E"/>
    <w:rsid w:val="76912AA8"/>
    <w:rsid w:val="76936197"/>
    <w:rsid w:val="7701416E"/>
    <w:rsid w:val="7A2D6D03"/>
    <w:rsid w:val="7A604F75"/>
    <w:rsid w:val="7AF244C2"/>
    <w:rsid w:val="7C8313D5"/>
    <w:rsid w:val="7CB1637A"/>
    <w:rsid w:val="7D033D2B"/>
    <w:rsid w:val="7D0564AB"/>
    <w:rsid w:val="7D5052A6"/>
    <w:rsid w:val="7DE50961"/>
    <w:rsid w:val="7E813419"/>
    <w:rsid w:val="7F0204F0"/>
    <w:rsid w:val="7F106C3A"/>
    <w:rsid w:val="7F35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0"/>
    <w:pPr>
      <w:keepNext/>
      <w:keepLines/>
      <w:spacing w:before="340" w:after="330" w:line="578" w:lineRule="auto"/>
      <w:jc w:val="center"/>
      <w:outlineLvl w:val="0"/>
    </w:pPr>
    <w:rPr>
      <w:rFonts w:eastAsia="仿宋_GB2312"/>
      <w:b/>
      <w:bCs/>
      <w:kern w:val="44"/>
      <w:sz w:val="44"/>
      <w:szCs w:val="44"/>
    </w:rPr>
  </w:style>
  <w:style w:type="paragraph" w:styleId="4">
    <w:name w:val="heading 2"/>
    <w:basedOn w:val="1"/>
    <w:next w:val="1"/>
    <w:link w:val="87"/>
    <w:qFormat/>
    <w:uiPriority w:val="9"/>
    <w:pPr>
      <w:keepNext/>
      <w:keepLines/>
      <w:spacing w:before="260" w:after="260" w:line="400" w:lineRule="exact"/>
      <w:outlineLvl w:val="1"/>
    </w:pPr>
    <w:rPr>
      <w:rFonts w:ascii="Arial" w:hAnsi="Arial" w:eastAsia="黑体"/>
      <w:b/>
      <w:bCs/>
      <w:sz w:val="24"/>
      <w:szCs w:val="32"/>
    </w:rPr>
  </w:style>
  <w:style w:type="paragraph" w:styleId="5">
    <w:name w:val="heading 3"/>
    <w:basedOn w:val="1"/>
    <w:next w:val="1"/>
    <w:link w:val="63"/>
    <w:qFormat/>
    <w:uiPriority w:val="9"/>
    <w:pPr>
      <w:keepNext/>
      <w:keepLines/>
      <w:spacing w:before="260" w:after="260" w:line="416" w:lineRule="auto"/>
      <w:outlineLvl w:val="2"/>
    </w:pPr>
    <w:rPr>
      <w:b/>
      <w:bCs/>
      <w:sz w:val="32"/>
      <w:szCs w:val="32"/>
    </w:rPr>
  </w:style>
  <w:style w:type="paragraph" w:styleId="6">
    <w:name w:val="heading 4"/>
    <w:basedOn w:val="1"/>
    <w:next w:val="1"/>
    <w:link w:val="1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8"/>
    <w:link w:val="130"/>
    <w:qFormat/>
    <w:uiPriority w:val="9"/>
    <w:pPr>
      <w:keepNext/>
      <w:keepLines/>
      <w:numPr>
        <w:ilvl w:val="4"/>
        <w:numId w:val="1"/>
      </w:numPr>
      <w:spacing w:before="280" w:after="290" w:line="376" w:lineRule="auto"/>
      <w:outlineLvl w:val="4"/>
    </w:pPr>
    <w:rPr>
      <w:b/>
      <w:sz w:val="28"/>
    </w:rPr>
  </w:style>
  <w:style w:type="paragraph" w:styleId="9">
    <w:name w:val="heading 6"/>
    <w:basedOn w:val="1"/>
    <w:next w:val="8"/>
    <w:link w:val="131"/>
    <w:qFormat/>
    <w:uiPriority w:val="9"/>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32"/>
    <w:qFormat/>
    <w:uiPriority w:val="9"/>
    <w:pPr>
      <w:keepNext/>
      <w:keepLines/>
      <w:numPr>
        <w:ilvl w:val="6"/>
        <w:numId w:val="1"/>
      </w:numPr>
      <w:spacing w:before="240" w:after="64" w:line="320" w:lineRule="auto"/>
      <w:outlineLvl w:val="6"/>
    </w:pPr>
    <w:rPr>
      <w:b/>
      <w:sz w:val="24"/>
    </w:rPr>
  </w:style>
  <w:style w:type="paragraph" w:styleId="11">
    <w:name w:val="heading 8"/>
    <w:basedOn w:val="1"/>
    <w:next w:val="8"/>
    <w:link w:val="133"/>
    <w:qFormat/>
    <w:uiPriority w:val="9"/>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34"/>
    <w:qFormat/>
    <w:uiPriority w:val="9"/>
    <w:pPr>
      <w:keepNext/>
      <w:keepLines/>
      <w:numPr>
        <w:ilvl w:val="8"/>
        <w:numId w:val="1"/>
      </w:numPr>
      <w:spacing w:before="240" w:after="64" w:line="320" w:lineRule="auto"/>
      <w:outlineLvl w:val="8"/>
    </w:pPr>
    <w:rPr>
      <w:rFonts w:ascii="Arial" w:hAnsi="Arial" w:eastAsia="黑体"/>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semiHidden/>
    <w:qFormat/>
    <w:uiPriority w:val="0"/>
  </w:style>
  <w:style w:type="paragraph" w:styleId="8">
    <w:name w:val="Normal Indent"/>
    <w:basedOn w:val="1"/>
    <w:link w:val="6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4">
    <w:name w:val="caption"/>
    <w:basedOn w:val="1"/>
    <w:next w:val="1"/>
    <w:qFormat/>
    <w:uiPriority w:val="35"/>
    <w:pPr>
      <w:spacing w:before="152" w:after="160"/>
    </w:pPr>
    <w:rPr>
      <w:rFonts w:ascii="Arial" w:hAnsi="Arial" w:eastAsia="黑体" w:cs="Arial"/>
      <w:sz w:val="20"/>
      <w:szCs w:val="20"/>
    </w:rPr>
  </w:style>
  <w:style w:type="paragraph" w:styleId="15">
    <w:name w:val="Document Map"/>
    <w:basedOn w:val="1"/>
    <w:link w:val="136"/>
    <w:qFormat/>
    <w:uiPriority w:val="99"/>
    <w:pPr>
      <w:shd w:val="clear" w:color="auto" w:fill="000080"/>
    </w:pPr>
  </w:style>
  <w:style w:type="paragraph" w:styleId="16">
    <w:name w:val="annotation text"/>
    <w:basedOn w:val="1"/>
    <w:link w:val="77"/>
    <w:qFormat/>
    <w:uiPriority w:val="99"/>
    <w:pPr>
      <w:jc w:val="left"/>
    </w:pPr>
  </w:style>
  <w:style w:type="paragraph" w:styleId="17">
    <w:name w:val="Body Text 3"/>
    <w:basedOn w:val="1"/>
    <w:qFormat/>
    <w:uiPriority w:val="0"/>
    <w:pPr>
      <w:spacing w:line="500" w:lineRule="exact"/>
    </w:pPr>
    <w:rPr>
      <w:b/>
      <w:bCs/>
      <w:sz w:val="24"/>
    </w:rPr>
  </w:style>
  <w:style w:type="paragraph" w:styleId="18">
    <w:name w:val="Body Text"/>
    <w:basedOn w:val="1"/>
    <w:next w:val="1"/>
    <w:link w:val="137"/>
    <w:qFormat/>
    <w:uiPriority w:val="0"/>
    <w:pPr>
      <w:spacing w:line="380" w:lineRule="exact"/>
    </w:pPr>
    <w:rPr>
      <w:sz w:val="24"/>
    </w:rPr>
  </w:style>
  <w:style w:type="paragraph" w:styleId="19">
    <w:name w:val="Body Text Indent"/>
    <w:basedOn w:val="1"/>
    <w:link w:val="70"/>
    <w:qFormat/>
    <w:uiPriority w:val="0"/>
    <w:pPr>
      <w:ind w:firstLine="830" w:firstLineChars="352"/>
    </w:pPr>
    <w:rPr>
      <w:rFonts w:ascii="仿宋_GB2312" w:eastAsia="仿宋_GB2312"/>
      <w:sz w:val="32"/>
      <w:szCs w:val="20"/>
    </w:rPr>
  </w:style>
  <w:style w:type="paragraph" w:styleId="20">
    <w:name w:val="List Number 3"/>
    <w:basedOn w:val="1"/>
    <w:qFormat/>
    <w:uiPriority w:val="0"/>
    <w:pPr>
      <w:numPr>
        <w:ilvl w:val="0"/>
        <w:numId w:val="1"/>
      </w:numPr>
    </w:pPr>
  </w:style>
  <w:style w:type="paragraph" w:styleId="21">
    <w:name w:val="List 2"/>
    <w:basedOn w:val="1"/>
    <w:qFormat/>
    <w:uiPriority w:val="0"/>
    <w:pPr>
      <w:ind w:left="100" w:leftChars="200" w:hanging="200" w:hangingChars="200"/>
    </w:pPr>
    <w:rPr>
      <w:sz w:val="28"/>
    </w:rPr>
  </w:style>
  <w:style w:type="paragraph" w:styleId="22">
    <w:name w:val="Plain Text"/>
    <w:basedOn w:val="1"/>
    <w:next w:val="3"/>
    <w:link w:val="57"/>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endnote text"/>
    <w:basedOn w:val="1"/>
    <w:link w:val="157"/>
    <w:qFormat/>
    <w:uiPriority w:val="0"/>
    <w:pPr>
      <w:snapToGrid w:val="0"/>
      <w:spacing w:line="480" w:lineRule="exact"/>
      <w:jc w:val="left"/>
    </w:pPr>
    <w:rPr>
      <w:rFonts w:ascii="微软雅黑" w:hAnsi="微软雅黑" w:eastAsia="微软雅黑"/>
      <w:kern w:val="0"/>
      <w:sz w:val="20"/>
      <w:szCs w:val="20"/>
    </w:rPr>
  </w:style>
  <w:style w:type="paragraph" w:styleId="26">
    <w:name w:val="Balloon Text"/>
    <w:basedOn w:val="1"/>
    <w:link w:val="76"/>
    <w:qFormat/>
    <w:uiPriority w:val="99"/>
    <w:rPr>
      <w:sz w:val="18"/>
      <w:szCs w:val="18"/>
      <w:lang w:val="zh-CN"/>
    </w:rPr>
  </w:style>
  <w:style w:type="paragraph" w:styleId="27">
    <w:name w:val="footer"/>
    <w:basedOn w:val="1"/>
    <w:link w:val="72"/>
    <w:qFormat/>
    <w:uiPriority w:val="99"/>
    <w:pPr>
      <w:tabs>
        <w:tab w:val="center" w:pos="4153"/>
        <w:tab w:val="right" w:pos="8306"/>
      </w:tabs>
      <w:snapToGrid w:val="0"/>
      <w:jc w:val="left"/>
    </w:pPr>
    <w:rPr>
      <w:sz w:val="18"/>
      <w:szCs w:val="18"/>
      <w:lang w:val="zh-CN"/>
    </w:rPr>
  </w:style>
  <w:style w:type="paragraph" w:styleId="28">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Subtitle"/>
    <w:basedOn w:val="1"/>
    <w:next w:val="1"/>
    <w:link w:val="75"/>
    <w:qFormat/>
    <w:uiPriority w:val="0"/>
    <w:pPr>
      <w:spacing w:line="312" w:lineRule="auto"/>
      <w:ind w:left="200" w:leftChars="200"/>
      <w:jc w:val="left"/>
      <w:outlineLvl w:val="1"/>
    </w:pPr>
    <w:rPr>
      <w:rFonts w:ascii="Cambria" w:hAnsi="Cambria"/>
      <w:b/>
      <w:bCs/>
      <w:kern w:val="28"/>
      <w:sz w:val="28"/>
      <w:szCs w:val="32"/>
    </w:rPr>
  </w:style>
  <w:style w:type="paragraph" w:styleId="31">
    <w:name w:val="List"/>
    <w:basedOn w:val="1"/>
    <w:qFormat/>
    <w:uiPriority w:val="0"/>
    <w:pPr>
      <w:ind w:left="200" w:hanging="200" w:hangingChars="200"/>
    </w:pPr>
    <w:rPr>
      <w:sz w:val="28"/>
    </w:rPr>
  </w:style>
  <w:style w:type="paragraph" w:styleId="32">
    <w:name w:val="footnote text"/>
    <w:basedOn w:val="1"/>
    <w:qFormat/>
    <w:uiPriority w:val="0"/>
    <w:pPr>
      <w:snapToGrid w:val="0"/>
      <w:jc w:val="left"/>
    </w:pPr>
    <w:rPr>
      <w:sz w:val="18"/>
    </w:rPr>
  </w:style>
  <w:style w:type="paragraph" w:styleId="33">
    <w:name w:val="Body Text Indent 3"/>
    <w:basedOn w:val="1"/>
    <w:qFormat/>
    <w:uiPriority w:val="0"/>
    <w:pPr>
      <w:spacing w:after="120"/>
      <w:ind w:left="420" w:leftChars="200"/>
    </w:pPr>
    <w:rPr>
      <w:sz w:val="16"/>
      <w:szCs w:val="16"/>
    </w:rPr>
  </w:style>
  <w:style w:type="paragraph" w:styleId="34">
    <w:name w:val="Body Text 2"/>
    <w:basedOn w:val="1"/>
    <w:qFormat/>
    <w:uiPriority w:val="0"/>
    <w:pPr>
      <w:spacing w:after="120" w:line="480" w:lineRule="auto"/>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6">
    <w:name w:val="Normal (Web)"/>
    <w:basedOn w:val="1"/>
    <w:qFormat/>
    <w:uiPriority w:val="0"/>
    <w:pPr>
      <w:widowControl/>
      <w:spacing w:before="100" w:beforeAutospacing="1" w:after="100" w:afterAutospacing="1"/>
      <w:jc w:val="left"/>
    </w:pPr>
    <w:rPr>
      <w:rFonts w:ascii="宋体" w:hAnsi="宋体"/>
      <w:kern w:val="0"/>
      <w:sz w:val="24"/>
    </w:rPr>
  </w:style>
  <w:style w:type="paragraph" w:styleId="37">
    <w:name w:val="annotation subject"/>
    <w:basedOn w:val="16"/>
    <w:next w:val="16"/>
    <w:link w:val="88"/>
    <w:qFormat/>
    <w:uiPriority w:val="0"/>
    <w:rPr>
      <w:b/>
      <w:bCs/>
    </w:rPr>
  </w:style>
  <w:style w:type="paragraph" w:styleId="38">
    <w:name w:val="Body Text First Indent"/>
    <w:basedOn w:val="18"/>
    <w:qFormat/>
    <w:uiPriority w:val="0"/>
    <w:pPr>
      <w:ind w:firstLine="420" w:firstLineChars="100"/>
    </w:pPr>
    <w:rPr>
      <w:rFonts w:ascii="宋体"/>
      <w:sz w:val="21"/>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rFonts w:ascii="Times New Roman" w:hAnsi="Times New Roman" w:eastAsia="宋体" w:cs="Times New Roman"/>
      <w:b/>
      <w:bCs/>
    </w:rPr>
  </w:style>
  <w:style w:type="character" w:styleId="43">
    <w:name w:val="page number"/>
    <w:qFormat/>
    <w:uiPriority w:val="0"/>
    <w:rPr>
      <w:rFonts w:ascii="Times New Roman" w:hAnsi="Times New Roman" w:eastAsia="宋体" w:cs="Times New Roman"/>
    </w:rPr>
  </w:style>
  <w:style w:type="character" w:styleId="44">
    <w:name w:val="FollowedHyperlink"/>
    <w:basedOn w:val="41"/>
    <w:unhideWhenUsed/>
    <w:qFormat/>
    <w:uiPriority w:val="99"/>
    <w:rPr>
      <w:color w:val="954F72" w:themeColor="followedHyperlink"/>
      <w:u w:val="single"/>
      <w14:textFill>
        <w14:solidFill>
          <w14:schemeClr w14:val="folHlink"/>
        </w14:solidFill>
      </w14:textFill>
    </w:rPr>
  </w:style>
  <w:style w:type="character" w:styleId="45">
    <w:name w:val="Emphasis"/>
    <w:qFormat/>
    <w:uiPriority w:val="0"/>
    <w:rPr>
      <w:rFonts w:ascii="Times New Roman" w:hAnsi="Times New Roman" w:eastAsia="宋体" w:cs="Times New Roman"/>
      <w:color w:val="CC0033"/>
    </w:rPr>
  </w:style>
  <w:style w:type="character" w:styleId="46">
    <w:name w:val="Hyperlink"/>
    <w:qFormat/>
    <w:uiPriority w:val="99"/>
    <w:rPr>
      <w:rFonts w:ascii="Times New Roman" w:hAnsi="Times New Roman" w:eastAsia="宋体" w:cs="Times New Roman"/>
      <w:color w:val="0000FF"/>
      <w:u w:val="single"/>
    </w:rPr>
  </w:style>
  <w:style w:type="character" w:styleId="47">
    <w:name w:val="annotation reference"/>
    <w:qFormat/>
    <w:uiPriority w:val="99"/>
    <w:rPr>
      <w:rFonts w:ascii="Times New Roman" w:hAnsi="Times New Roman" w:eastAsia="宋体" w:cs="Times New Roman"/>
      <w:sz w:val="21"/>
      <w:szCs w:val="21"/>
    </w:rPr>
  </w:style>
  <w:style w:type="paragraph" w:customStyle="1" w:styleId="48">
    <w:name w:val="表格文字"/>
    <w:basedOn w:val="49"/>
    <w:qFormat/>
    <w:uiPriority w:val="0"/>
    <w:pPr>
      <w:spacing w:before="25" w:after="25"/>
      <w:jc w:val="left"/>
    </w:pPr>
    <w:rPr>
      <w:bCs/>
      <w:spacing w:val="10"/>
      <w:kern w:val="0"/>
      <w:sz w:val="24"/>
    </w:rPr>
  </w:style>
  <w:style w:type="paragraph" w:customStyle="1" w:styleId="49">
    <w:name w:val="正文_0"/>
    <w:next w:val="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font21"/>
    <w:qFormat/>
    <w:uiPriority w:val="0"/>
    <w:rPr>
      <w:rFonts w:hint="eastAsia" w:ascii="宋体" w:hAnsi="宋体" w:eastAsia="宋体" w:cs="宋体"/>
      <w:color w:val="000000"/>
      <w:sz w:val="20"/>
      <w:szCs w:val="20"/>
    </w:rPr>
  </w:style>
  <w:style w:type="character" w:customStyle="1" w:styleId="51">
    <w:name w:val="st1"/>
    <w:qFormat/>
    <w:uiPriority w:val="0"/>
    <w:rPr>
      <w:rFonts w:ascii="Times New Roman" w:hAnsi="Times New Roman" w:eastAsia="宋体" w:cs="Times New Roman"/>
    </w:rPr>
  </w:style>
  <w:style w:type="character" w:customStyle="1" w:styleId="52">
    <w:name w:val="标题 1 字符"/>
    <w:link w:val="3"/>
    <w:qFormat/>
    <w:uiPriority w:val="0"/>
    <w:rPr>
      <w:rFonts w:ascii="Times New Roman" w:hAnsi="Times New Roman" w:eastAsia="仿宋_GB2312" w:cs="Times New Roman"/>
      <w:b/>
      <w:bCs/>
      <w:kern w:val="44"/>
      <w:sz w:val="44"/>
      <w:szCs w:val="44"/>
      <w:lang w:val="en-US" w:eastAsia="zh-CN" w:bidi="ar-SA"/>
    </w:rPr>
  </w:style>
  <w:style w:type="character" w:customStyle="1" w:styleId="53">
    <w:name w:val="ca-2"/>
    <w:qFormat/>
    <w:uiPriority w:val="0"/>
    <w:rPr>
      <w:rFonts w:ascii="Times New Roman" w:hAnsi="Times New Roman" w:eastAsia="宋体" w:cs="Times New Roman"/>
    </w:rPr>
  </w:style>
  <w:style w:type="character" w:customStyle="1" w:styleId="54">
    <w:name w:val="H1 Char"/>
    <w:qFormat/>
    <w:uiPriority w:val="0"/>
    <w:rPr>
      <w:rFonts w:ascii="Times New Roman" w:hAnsi="Times New Roman" w:eastAsia="仿宋_GB2312" w:cs="Times New Roman"/>
      <w:b/>
      <w:bCs/>
      <w:kern w:val="44"/>
      <w:sz w:val="44"/>
      <w:szCs w:val="44"/>
      <w:lang w:val="en-US" w:eastAsia="zh-CN" w:bidi="ar-SA"/>
    </w:rPr>
  </w:style>
  <w:style w:type="character" w:customStyle="1" w:styleId="55">
    <w:name w:val="1ji Char"/>
    <w:link w:val="56"/>
    <w:qFormat/>
    <w:uiPriority w:val="0"/>
    <w:rPr>
      <w:rFonts w:ascii="宋体" w:hAnsi="宋体" w:eastAsia="仿宋_GB2312" w:cs="Times New Roman"/>
      <w:b/>
      <w:bCs/>
      <w:kern w:val="44"/>
      <w:sz w:val="36"/>
      <w:szCs w:val="44"/>
      <w:lang w:val="en-US" w:eastAsia="zh-CN" w:bidi="ar-SA"/>
    </w:rPr>
  </w:style>
  <w:style w:type="paragraph" w:customStyle="1" w:styleId="56">
    <w:name w:val="1ji"/>
    <w:basedOn w:val="3"/>
    <w:link w:val="55"/>
    <w:qFormat/>
    <w:uiPriority w:val="0"/>
    <w:pPr>
      <w:keepLines w:val="0"/>
      <w:widowControl/>
      <w:spacing w:before="0" w:after="0" w:line="240" w:lineRule="auto"/>
    </w:pPr>
    <w:rPr>
      <w:rFonts w:ascii="宋体" w:hAnsi="宋体"/>
      <w:sz w:val="36"/>
    </w:rPr>
  </w:style>
  <w:style w:type="character" w:customStyle="1" w:styleId="57">
    <w:name w:val="纯文本 字符"/>
    <w:link w:val="22"/>
    <w:qFormat/>
    <w:uiPriority w:val="0"/>
    <w:rPr>
      <w:rFonts w:ascii="宋体" w:hAnsi="Courier New" w:eastAsia="宋体" w:cs="Courier New"/>
      <w:kern w:val="2"/>
      <w:sz w:val="21"/>
      <w:szCs w:val="21"/>
      <w:lang w:val="en-US" w:eastAsia="zh-CN" w:bidi="ar-SA"/>
    </w:rPr>
  </w:style>
  <w:style w:type="character" w:customStyle="1" w:styleId="58">
    <w:name w:val="font41"/>
    <w:qFormat/>
    <w:uiPriority w:val="0"/>
    <w:rPr>
      <w:rFonts w:hint="default" w:ascii="Times New Roman" w:hAnsi="Times New Roman" w:eastAsia="宋体" w:cs="Times New Roman"/>
      <w:color w:val="000000"/>
      <w:sz w:val="20"/>
      <w:szCs w:val="20"/>
    </w:rPr>
  </w:style>
  <w:style w:type="character" w:customStyle="1" w:styleId="59">
    <w:name w:val="font31"/>
    <w:qFormat/>
    <w:uiPriority w:val="0"/>
    <w:rPr>
      <w:rFonts w:hint="default" w:ascii="Times New Roman" w:hAnsi="Times New Roman" w:eastAsia="宋体" w:cs="Times New Roman"/>
      <w:color w:val="000000"/>
      <w:sz w:val="20"/>
      <w:szCs w:val="20"/>
    </w:rPr>
  </w:style>
  <w:style w:type="character" w:customStyle="1" w:styleId="60">
    <w:name w:val="apple-style-span"/>
    <w:qFormat/>
    <w:uiPriority w:val="0"/>
    <w:rPr>
      <w:rFonts w:ascii="Times New Roman" w:hAnsi="Times New Roman" w:eastAsia="宋体" w:cs="Times New Roman"/>
    </w:rPr>
  </w:style>
  <w:style w:type="character" w:customStyle="1" w:styleId="61">
    <w:name w:val="正文缩进 字符"/>
    <w:link w:val="8"/>
    <w:qFormat/>
    <w:uiPriority w:val="0"/>
    <w:rPr>
      <w:rFonts w:ascii="Times New Roman" w:hAnsi="Times New Roman" w:eastAsia="宋体" w:cs="Times New Roman"/>
      <w:kern w:val="2"/>
      <w:sz w:val="21"/>
      <w:lang w:val="en-US" w:eastAsia="zh-CN" w:bidi="ar-SA"/>
    </w:rPr>
  </w:style>
  <w:style w:type="character" w:customStyle="1" w:styleId="62">
    <w:name w:val="font51"/>
    <w:qFormat/>
    <w:uiPriority w:val="0"/>
    <w:rPr>
      <w:rFonts w:hint="default" w:ascii="Times New Roman" w:hAnsi="Times New Roman" w:eastAsia="宋体" w:cs="Times New Roman"/>
      <w:color w:val="000000"/>
      <w:sz w:val="20"/>
      <w:szCs w:val="20"/>
    </w:rPr>
  </w:style>
  <w:style w:type="character" w:customStyle="1" w:styleId="63">
    <w:name w:val="标题 3 字符"/>
    <w:link w:val="5"/>
    <w:qFormat/>
    <w:uiPriority w:val="9"/>
    <w:rPr>
      <w:rFonts w:ascii="Times New Roman" w:hAnsi="Times New Roman" w:eastAsia="宋体" w:cs="Times New Roman"/>
      <w:b/>
      <w:bCs/>
      <w:kern w:val="2"/>
      <w:sz w:val="32"/>
      <w:szCs w:val="32"/>
      <w:lang w:val="en-US" w:eastAsia="zh-CN" w:bidi="ar-SA"/>
    </w:rPr>
  </w:style>
  <w:style w:type="character" w:customStyle="1" w:styleId="64">
    <w:name w:val="apple-converted-space"/>
    <w:qFormat/>
    <w:uiPriority w:val="0"/>
    <w:rPr>
      <w:rFonts w:ascii="Times New Roman" w:hAnsi="Times New Roman" w:eastAsia="宋体" w:cs="Times New Roman"/>
    </w:rPr>
  </w:style>
  <w:style w:type="character" w:customStyle="1" w:styleId="65">
    <w:name w:val="Header Char"/>
    <w:qFormat/>
    <w:uiPriority w:val="0"/>
    <w:rPr>
      <w:rFonts w:ascii="Calibri" w:hAnsi="Calibri" w:eastAsia="宋体" w:cs="Times New Roman"/>
      <w:kern w:val="2"/>
      <w:sz w:val="18"/>
      <w:szCs w:val="18"/>
      <w:lang w:val="en-US" w:eastAsia="zh-CN" w:bidi="ar-SA"/>
    </w:rPr>
  </w:style>
  <w:style w:type="character" w:customStyle="1" w:styleId="66">
    <w:name w:val="Footer Char"/>
    <w:qFormat/>
    <w:uiPriority w:val="0"/>
    <w:rPr>
      <w:rFonts w:ascii="Calibri" w:hAnsi="Calibri" w:eastAsia="宋体" w:cs="Times New Roman"/>
      <w:kern w:val="2"/>
      <w:sz w:val="18"/>
      <w:szCs w:val="18"/>
      <w:lang w:val="en-US" w:eastAsia="zh-CN" w:bidi="ar-SA"/>
    </w:rPr>
  </w:style>
  <w:style w:type="character" w:customStyle="1" w:styleId="67">
    <w:name w:val="Plain Text Char"/>
    <w:qFormat/>
    <w:uiPriority w:val="0"/>
    <w:rPr>
      <w:rFonts w:ascii="宋体" w:hAnsi="Courier New" w:eastAsia="宋体" w:cs="Times New Roman"/>
      <w:lang w:bidi="ar-SA"/>
    </w:rPr>
  </w:style>
  <w:style w:type="character" w:customStyle="1" w:styleId="68">
    <w:name w:val="普通文字 Char Char3"/>
    <w:qFormat/>
    <w:uiPriority w:val="0"/>
    <w:rPr>
      <w:rFonts w:ascii="宋体" w:hAnsi="Times New Roman" w:eastAsia="宋体" w:cs="Courier New"/>
      <w:kern w:val="2"/>
      <w:sz w:val="21"/>
      <w:szCs w:val="21"/>
      <w:lang w:val="en-US" w:eastAsia="zh-CN" w:bidi="ar-SA"/>
    </w:rPr>
  </w:style>
  <w:style w:type="character" w:customStyle="1" w:styleId="69">
    <w:name w:val="样式 正文 +"/>
    <w:qFormat/>
    <w:uiPriority w:val="0"/>
    <w:rPr>
      <w:rFonts w:ascii="Times New Roman" w:hAnsi="Times New Roman" w:eastAsia="宋体" w:cs="Times New Roman"/>
      <w:kern w:val="0"/>
      <w:sz w:val="28"/>
    </w:rPr>
  </w:style>
  <w:style w:type="character" w:customStyle="1" w:styleId="70">
    <w:name w:val="正文文本缩进 字符"/>
    <w:link w:val="19"/>
    <w:qFormat/>
    <w:uiPriority w:val="0"/>
    <w:rPr>
      <w:rFonts w:ascii="仿宋_GB2312" w:hAnsi="Times New Roman" w:eastAsia="仿宋_GB2312" w:cs="Times New Roman"/>
      <w:kern w:val="2"/>
      <w:sz w:val="32"/>
      <w:lang w:val="en-US" w:eastAsia="zh-CN" w:bidi="ar-SA"/>
    </w:rPr>
  </w:style>
  <w:style w:type="character" w:customStyle="1" w:styleId="71">
    <w:name w:val="普通文字 Char Char2"/>
    <w:qFormat/>
    <w:uiPriority w:val="0"/>
    <w:rPr>
      <w:rFonts w:ascii="宋体" w:hAnsi="Courier New" w:eastAsia="宋体" w:cs="Times New Roman"/>
      <w:kern w:val="2"/>
      <w:sz w:val="21"/>
      <w:lang w:val="en-US" w:eastAsia="zh-CN" w:bidi="ar-SA"/>
    </w:rPr>
  </w:style>
  <w:style w:type="character" w:customStyle="1" w:styleId="72">
    <w:name w:val="页脚 字符"/>
    <w:link w:val="27"/>
    <w:qFormat/>
    <w:uiPriority w:val="99"/>
    <w:rPr>
      <w:rFonts w:ascii="Times New Roman" w:hAnsi="Times New Roman" w:eastAsia="宋体" w:cs="Times New Roman"/>
      <w:kern w:val="2"/>
      <w:sz w:val="18"/>
      <w:szCs w:val="18"/>
    </w:rPr>
  </w:style>
  <w:style w:type="character" w:customStyle="1" w:styleId="73">
    <w:name w:val="样式 宋体 小四"/>
    <w:qFormat/>
    <w:uiPriority w:val="0"/>
    <w:rPr>
      <w:rFonts w:ascii="宋体" w:hAnsi="宋体" w:eastAsia="宋体" w:cs="Times New Roman"/>
      <w:sz w:val="24"/>
    </w:rPr>
  </w:style>
  <w:style w:type="character" w:customStyle="1" w:styleId="74">
    <w:name w:val="页眉 字符"/>
    <w:link w:val="28"/>
    <w:qFormat/>
    <w:uiPriority w:val="99"/>
    <w:rPr>
      <w:rFonts w:ascii="Times New Roman" w:hAnsi="Times New Roman" w:eastAsia="宋体" w:cs="Times New Roman"/>
      <w:kern w:val="2"/>
      <w:sz w:val="18"/>
      <w:szCs w:val="18"/>
      <w:lang w:val="en-US" w:eastAsia="zh-CN" w:bidi="ar-SA"/>
    </w:rPr>
  </w:style>
  <w:style w:type="character" w:customStyle="1" w:styleId="75">
    <w:name w:val="副标题 字符"/>
    <w:link w:val="30"/>
    <w:qFormat/>
    <w:uiPriority w:val="0"/>
    <w:rPr>
      <w:rFonts w:ascii="Cambria" w:hAnsi="Cambria" w:eastAsia="宋体" w:cs="Times New Roman"/>
      <w:b/>
      <w:bCs/>
      <w:kern w:val="28"/>
      <w:sz w:val="28"/>
      <w:szCs w:val="32"/>
      <w:lang w:val="en-US" w:eastAsia="zh-CN" w:bidi="ar-SA"/>
    </w:rPr>
  </w:style>
  <w:style w:type="character" w:customStyle="1" w:styleId="76">
    <w:name w:val="批注框文本 字符"/>
    <w:link w:val="26"/>
    <w:qFormat/>
    <w:uiPriority w:val="99"/>
    <w:rPr>
      <w:rFonts w:ascii="Times New Roman" w:hAnsi="Times New Roman" w:eastAsia="宋体" w:cs="Times New Roman"/>
      <w:kern w:val="2"/>
      <w:sz w:val="18"/>
      <w:szCs w:val="18"/>
    </w:rPr>
  </w:style>
  <w:style w:type="character" w:customStyle="1" w:styleId="77">
    <w:name w:val="批注文字 字符"/>
    <w:link w:val="16"/>
    <w:qFormat/>
    <w:uiPriority w:val="99"/>
    <w:rPr>
      <w:rFonts w:ascii="Times New Roman" w:hAnsi="Times New Roman" w:eastAsia="宋体" w:cs="Times New Roman"/>
      <w:kern w:val="2"/>
      <w:sz w:val="21"/>
      <w:szCs w:val="24"/>
      <w:lang w:val="en-US" w:eastAsia="zh-CN" w:bidi="ar-SA"/>
    </w:rPr>
  </w:style>
  <w:style w:type="character" w:customStyle="1" w:styleId="78">
    <w:name w:val="Char Char7"/>
    <w:qFormat/>
    <w:uiPriority w:val="0"/>
    <w:rPr>
      <w:rFonts w:ascii="Times New Roman" w:hAnsi="Times New Roman" w:eastAsia="仿宋_GB2312" w:cs="Times New Roman"/>
      <w:b/>
      <w:bCs/>
      <w:kern w:val="44"/>
      <w:sz w:val="44"/>
      <w:szCs w:val="44"/>
      <w:lang w:val="en-US" w:eastAsia="zh-CN" w:bidi="ar-SA"/>
    </w:rPr>
  </w:style>
  <w:style w:type="character" w:customStyle="1" w:styleId="79">
    <w:name w:val="ca-1"/>
    <w:qFormat/>
    <w:uiPriority w:val="0"/>
    <w:rPr>
      <w:rFonts w:ascii="Times New Roman" w:hAnsi="Times New Roman" w:eastAsia="宋体" w:cs="Times New Roman"/>
    </w:rPr>
  </w:style>
  <w:style w:type="character" w:customStyle="1" w:styleId="80">
    <w:name w:val="正文360首行缩进 Char"/>
    <w:link w:val="81"/>
    <w:qFormat/>
    <w:uiPriority w:val="0"/>
    <w:rPr>
      <w:rFonts w:ascii="Times New Roman" w:hAnsi="Times New Roman" w:eastAsia="宋体" w:cs="Times New Roman"/>
      <w:sz w:val="24"/>
      <w:szCs w:val="24"/>
    </w:rPr>
  </w:style>
  <w:style w:type="paragraph" w:customStyle="1" w:styleId="81">
    <w:name w:val="正文360首行缩进"/>
    <w:basedOn w:val="1"/>
    <w:link w:val="80"/>
    <w:qFormat/>
    <w:uiPriority w:val="0"/>
    <w:pPr>
      <w:widowControl/>
      <w:spacing w:before="120" w:line="300" w:lineRule="auto"/>
      <w:ind w:firstLine="200"/>
      <w:jc w:val="left"/>
    </w:pPr>
    <w:rPr>
      <w:kern w:val="0"/>
      <w:sz w:val="24"/>
    </w:rPr>
  </w:style>
  <w:style w:type="character" w:customStyle="1" w:styleId="82">
    <w:name w:val="List Paragraph Char"/>
    <w:link w:val="83"/>
    <w:qFormat/>
    <w:locked/>
    <w:uiPriority w:val="0"/>
    <w:rPr>
      <w:rFonts w:ascii="宋体" w:hAnsi="宋体" w:cs="宋体"/>
      <w:sz w:val="24"/>
      <w:szCs w:val="24"/>
    </w:rPr>
  </w:style>
  <w:style w:type="paragraph" w:customStyle="1" w:styleId="83">
    <w:name w:val="列表段落1"/>
    <w:basedOn w:val="1"/>
    <w:link w:val="82"/>
    <w:qFormat/>
    <w:uiPriority w:val="0"/>
    <w:pPr>
      <w:widowControl/>
      <w:ind w:firstLine="420" w:firstLineChars="200"/>
      <w:jc w:val="left"/>
    </w:pPr>
    <w:rPr>
      <w:rFonts w:ascii="宋体" w:hAnsi="宋体"/>
      <w:kern w:val="0"/>
      <w:sz w:val="24"/>
      <w:lang w:val="zh-CN"/>
    </w:rPr>
  </w:style>
  <w:style w:type="character" w:customStyle="1" w:styleId="84">
    <w:name w:val="yyii"/>
    <w:qFormat/>
    <w:uiPriority w:val="0"/>
    <w:rPr>
      <w:rFonts w:ascii="Times New Roman" w:hAnsi="Times New Roman" w:eastAsia="宋体" w:cs="Times New Roman"/>
    </w:rPr>
  </w:style>
  <w:style w:type="character" w:customStyle="1" w:styleId="85">
    <w:name w:val="纯文本 Char1"/>
    <w:qFormat/>
    <w:uiPriority w:val="0"/>
    <w:rPr>
      <w:rFonts w:ascii="宋体" w:hAnsi="Courier New" w:eastAsia="宋体" w:cs="Times New Roman"/>
      <w:kern w:val="2"/>
      <w:sz w:val="21"/>
    </w:rPr>
  </w:style>
  <w:style w:type="character" w:customStyle="1" w:styleId="86">
    <w:name w:val="标题 1 Char1"/>
    <w:qFormat/>
    <w:uiPriority w:val="0"/>
    <w:rPr>
      <w:rFonts w:ascii="Times New Roman" w:hAnsi="Times New Roman" w:eastAsia="宋体" w:cs="Times New Roman"/>
      <w:b/>
      <w:bCs/>
      <w:kern w:val="44"/>
      <w:sz w:val="44"/>
      <w:szCs w:val="44"/>
    </w:rPr>
  </w:style>
  <w:style w:type="character" w:customStyle="1" w:styleId="87">
    <w:name w:val="标题 2 字符"/>
    <w:link w:val="4"/>
    <w:qFormat/>
    <w:uiPriority w:val="9"/>
    <w:rPr>
      <w:rFonts w:ascii="Arial" w:hAnsi="Arial" w:eastAsia="黑体"/>
      <w:b/>
      <w:bCs/>
      <w:kern w:val="2"/>
      <w:sz w:val="24"/>
      <w:szCs w:val="32"/>
    </w:rPr>
  </w:style>
  <w:style w:type="character" w:customStyle="1" w:styleId="88">
    <w:name w:val="批注主题 字符"/>
    <w:link w:val="37"/>
    <w:qFormat/>
    <w:uiPriority w:val="0"/>
    <w:rPr>
      <w:rFonts w:ascii="Times New Roman" w:hAnsi="Times New Roman" w:eastAsia="宋体" w:cs="Times New Roman"/>
      <w:b/>
      <w:bCs/>
      <w:kern w:val="2"/>
      <w:sz w:val="21"/>
      <w:szCs w:val="24"/>
      <w:lang w:val="en-US" w:eastAsia="zh-CN" w:bidi="ar-SA"/>
    </w:rPr>
  </w:style>
  <w:style w:type="paragraph" w:customStyle="1" w:styleId="89">
    <w:name w:val="目录 11"/>
    <w:basedOn w:val="1"/>
    <w:next w:val="1"/>
    <w:qFormat/>
    <w:uiPriority w:val="39"/>
  </w:style>
  <w:style w:type="paragraph" w:customStyle="1" w:styleId="90">
    <w:name w:val="目录 21"/>
    <w:basedOn w:val="1"/>
    <w:next w:val="1"/>
    <w:qFormat/>
    <w:uiPriority w:val="39"/>
    <w:pPr>
      <w:tabs>
        <w:tab w:val="right" w:leader="dot" w:pos="9402"/>
      </w:tabs>
      <w:ind w:left="718" w:leftChars="200" w:hanging="298" w:hangingChars="142"/>
    </w:pPr>
  </w:style>
  <w:style w:type="paragraph" w:customStyle="1" w:styleId="91">
    <w:name w:val="目录 31"/>
    <w:basedOn w:val="1"/>
    <w:next w:val="1"/>
    <w:qFormat/>
    <w:uiPriority w:val="39"/>
    <w:pPr>
      <w:ind w:left="840" w:leftChars="400"/>
    </w:pPr>
  </w:style>
  <w:style w:type="paragraph" w:customStyle="1" w:styleId="92">
    <w:name w:val="正文首行缩进1"/>
    <w:basedOn w:val="18"/>
    <w:qFormat/>
    <w:uiPriority w:val="0"/>
    <w:pPr>
      <w:spacing w:after="120" w:line="240" w:lineRule="auto"/>
      <w:ind w:firstLine="420" w:firstLineChars="100"/>
    </w:pPr>
    <w:rPr>
      <w:sz w:val="21"/>
    </w:rPr>
  </w:style>
  <w:style w:type="paragraph" w:customStyle="1" w:styleId="93">
    <w:name w:val="Char Char1 Char Char Char Char"/>
    <w:basedOn w:val="15"/>
    <w:qFormat/>
    <w:uiPriority w:val="0"/>
    <w:rPr>
      <w:rFonts w:ascii="Tahoma" w:hAnsi="Tahoma"/>
      <w:sz w:val="24"/>
    </w:rPr>
  </w:style>
  <w:style w:type="paragraph" w:customStyle="1" w:styleId="94">
    <w:name w:val="列出段落1"/>
    <w:basedOn w:val="1"/>
    <w:qFormat/>
    <w:uiPriority w:val="99"/>
    <w:pPr>
      <w:ind w:firstLine="420" w:firstLineChars="200"/>
    </w:pPr>
    <w:rPr>
      <w:rFonts w:ascii="Calibri" w:hAnsi="Calibri"/>
    </w:rPr>
  </w:style>
  <w:style w:type="paragraph" w:customStyle="1" w:styleId="95">
    <w:name w:val="Char Char Char1 Char"/>
    <w:basedOn w:val="15"/>
    <w:qFormat/>
    <w:uiPriority w:val="0"/>
  </w:style>
  <w:style w:type="paragraph" w:customStyle="1" w:styleId="96">
    <w:name w:val="pa-5"/>
    <w:basedOn w:val="1"/>
    <w:qFormat/>
    <w:uiPriority w:val="0"/>
    <w:pPr>
      <w:widowControl/>
      <w:spacing w:before="150" w:after="150"/>
      <w:jc w:val="left"/>
    </w:pPr>
    <w:rPr>
      <w:rFonts w:ascii="宋体" w:hAnsi="宋体" w:cs="宋体"/>
      <w:kern w:val="0"/>
      <w:sz w:val="24"/>
    </w:rPr>
  </w:style>
  <w:style w:type="paragraph" w:customStyle="1" w:styleId="97">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98">
    <w:name w:val="Char Char1 Char Char Char Char1"/>
    <w:basedOn w:val="15"/>
    <w:qFormat/>
    <w:uiPriority w:val="0"/>
    <w:rPr>
      <w:rFonts w:ascii="Tahoma" w:hAnsi="Tahoma"/>
      <w:sz w:val="24"/>
    </w:rPr>
  </w:style>
  <w:style w:type="paragraph" w:customStyle="1" w:styleId="99">
    <w:name w:val="_Style 35"/>
    <w:basedOn w:val="15"/>
    <w:qFormat/>
    <w:uiPriority w:val="0"/>
    <w:pPr>
      <w:widowControl/>
      <w:ind w:firstLine="454"/>
      <w:jc w:val="left"/>
    </w:pPr>
  </w:style>
  <w:style w:type="paragraph" w:customStyle="1" w:styleId="100">
    <w:name w:val="5 Char Char Char Char Char Char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02">
    <w:name w:val="Char Char2 Char Char Char Char Char Char Char Char Char Char"/>
    <w:basedOn w:val="1"/>
    <w:qFormat/>
    <w:uiPriority w:val="0"/>
    <w:pPr>
      <w:tabs>
        <w:tab w:val="left" w:pos="360"/>
      </w:tabs>
      <w:spacing w:line="360" w:lineRule="auto"/>
      <w:ind w:left="482" w:firstLine="200" w:firstLineChars="200"/>
    </w:pPr>
  </w:style>
  <w:style w:type="paragraph" w:customStyle="1" w:styleId="103">
    <w:name w:val="默认段落字体 Para Char"/>
    <w:basedOn w:val="1"/>
    <w:qFormat/>
    <w:uiPriority w:val="0"/>
    <w:rPr>
      <w:szCs w:val="20"/>
    </w:rPr>
  </w:style>
  <w:style w:type="paragraph" w:customStyle="1" w:styleId="104">
    <w:name w:val="_Style 7"/>
    <w:basedOn w:val="15"/>
    <w:qFormat/>
    <w:uiPriority w:val="0"/>
  </w:style>
  <w:style w:type="paragraph" w:customStyle="1" w:styleId="10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默认段落字体 Para Char Char Char Char Char Char Char Char Char1 Char Char Char Char"/>
    <w:basedOn w:val="1"/>
    <w:qFormat/>
    <w:uiPriority w:val="0"/>
    <w:rPr>
      <w:rFonts w:ascii="Tahoma" w:hAnsi="Tahoma"/>
      <w:sz w:val="24"/>
      <w:szCs w:val="20"/>
    </w:rPr>
  </w:style>
  <w:style w:type="paragraph" w:customStyle="1" w:styleId="107">
    <w:name w:val="样式 标题 1 + 居中 段前: 0 磅 段后: 0 磅 行距: 固定值 30 磅"/>
    <w:basedOn w:val="3"/>
    <w:qFormat/>
    <w:uiPriority w:val="0"/>
    <w:pPr>
      <w:spacing w:before="0" w:after="0" w:line="600" w:lineRule="exact"/>
    </w:pPr>
    <w:rPr>
      <w:rFonts w:eastAsia="宋体" w:cs="宋体"/>
      <w:szCs w:val="20"/>
    </w:rPr>
  </w:style>
  <w:style w:type="paragraph" w:customStyle="1" w:styleId="108">
    <w:name w:val="样式 小四 行距: 1.5 倍行距"/>
    <w:basedOn w:val="1"/>
    <w:qFormat/>
    <w:uiPriority w:val="0"/>
    <w:pPr>
      <w:spacing w:line="360" w:lineRule="auto"/>
      <w:ind w:firstLine="480" w:firstLineChars="200"/>
    </w:pPr>
    <w:rPr>
      <w:rFonts w:cs="宋体"/>
      <w:sz w:val="24"/>
      <w:szCs w:val="20"/>
    </w:rPr>
  </w:style>
  <w:style w:type="paragraph" w:customStyle="1" w:styleId="109">
    <w:name w:val="p0"/>
    <w:basedOn w:val="1"/>
    <w:qFormat/>
    <w:uiPriority w:val="0"/>
    <w:pPr>
      <w:widowControl/>
    </w:pPr>
    <w:rPr>
      <w:rFonts w:ascii="宋体" w:hAnsi="宋体" w:cs="宋体"/>
      <w:kern w:val="0"/>
      <w:szCs w:val="21"/>
    </w:rPr>
  </w:style>
  <w:style w:type="paragraph" w:customStyle="1" w:styleId="110">
    <w:name w:val="Char Char Char Char Char Char Char Char Char Char Char Char"/>
    <w:basedOn w:val="1"/>
    <w:qFormat/>
    <w:uiPriority w:val="0"/>
    <w:pPr>
      <w:widowControl/>
      <w:spacing w:after="160" w:line="240" w:lineRule="exact"/>
      <w:jc w:val="left"/>
    </w:pPr>
  </w:style>
  <w:style w:type="paragraph" w:customStyle="1" w:styleId="111">
    <w:name w:val="Char Char Char1 Char1"/>
    <w:basedOn w:val="1"/>
    <w:qFormat/>
    <w:uiPriority w:val="0"/>
    <w:rPr>
      <w:rFonts w:ascii="Calibri" w:hAnsi="Calibri"/>
      <w:szCs w:val="22"/>
    </w:rPr>
  </w:style>
  <w:style w:type="paragraph" w:customStyle="1" w:styleId="112">
    <w:name w:val="Char Char Char Char Char Char Char"/>
    <w:basedOn w:val="1"/>
    <w:qFormat/>
    <w:uiPriority w:val="0"/>
  </w:style>
  <w:style w:type="paragraph" w:customStyle="1" w:styleId="113">
    <w:name w:val="文档正文"/>
    <w:basedOn w:val="1"/>
    <w:qFormat/>
    <w:uiPriority w:val="0"/>
    <w:pPr>
      <w:autoSpaceDE w:val="0"/>
      <w:autoSpaceDN w:val="0"/>
      <w:adjustRightInd w:val="0"/>
      <w:spacing w:line="240" w:lineRule="atLeast"/>
      <w:ind w:firstLine="567"/>
    </w:pPr>
    <w:rPr>
      <w:rFonts w:ascii="Arial Narrow" w:hAnsi="Arial Narrow" w:cs="Arial"/>
      <w:sz w:val="24"/>
      <w:lang w:val="zh-CN"/>
    </w:rPr>
  </w:style>
  <w:style w:type="paragraph" w:customStyle="1" w:styleId="114">
    <w:name w:val="样式 正文2 + 仿宋 黑色 首行缩进:  2 字符"/>
    <w:basedOn w:val="1"/>
    <w:qFormat/>
    <w:uiPriority w:val="0"/>
    <w:pPr>
      <w:spacing w:line="360" w:lineRule="auto"/>
      <w:ind w:firstLine="480" w:firstLineChars="200"/>
    </w:pPr>
    <w:rPr>
      <w:rFonts w:ascii="仿宋" w:hAnsi="仿宋" w:eastAsia="仿宋" w:cs="宋体"/>
      <w:color w:val="000000"/>
      <w:sz w:val="24"/>
      <w:szCs w:val="20"/>
    </w:rPr>
  </w:style>
  <w:style w:type="paragraph" w:customStyle="1" w:styleId="115">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6">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7">
    <w:name w:val="Char"/>
    <w:basedOn w:val="15"/>
    <w:qFormat/>
    <w:uiPriority w:val="0"/>
    <w:pPr>
      <w:widowControl/>
      <w:ind w:firstLine="454"/>
      <w:jc w:val="left"/>
    </w:pPr>
    <w:rPr>
      <w:rFonts w:ascii="Tahoma" w:hAnsi="Tahoma" w:cs="宋体"/>
      <w:kern w:val="0"/>
      <w:sz w:val="24"/>
      <w:szCs w:val="20"/>
    </w:rPr>
  </w:style>
  <w:style w:type="paragraph" w:customStyle="1" w:styleId="118">
    <w:name w:val="Char1"/>
    <w:basedOn w:val="15"/>
    <w:qFormat/>
    <w:uiPriority w:val="0"/>
    <w:pPr>
      <w:widowControl/>
      <w:ind w:firstLine="454"/>
      <w:jc w:val="left"/>
    </w:pPr>
    <w:rPr>
      <w:rFonts w:ascii="Tahoma" w:hAnsi="Tahoma" w:cs="宋体"/>
      <w:kern w:val="0"/>
      <w:sz w:val="24"/>
      <w:szCs w:val="20"/>
    </w:rPr>
  </w:style>
  <w:style w:type="paragraph" w:customStyle="1" w:styleId="119">
    <w:name w:val="1"/>
    <w:basedOn w:val="1"/>
    <w:next w:val="22"/>
    <w:qFormat/>
    <w:uiPriority w:val="0"/>
    <w:rPr>
      <w:rFonts w:ascii="宋体" w:hAnsi="Courier New"/>
      <w:szCs w:val="20"/>
    </w:rPr>
  </w:style>
  <w:style w:type="paragraph" w:customStyle="1" w:styleId="120">
    <w:name w:val="_Style 2"/>
    <w:basedOn w:val="1"/>
    <w:qFormat/>
    <w:uiPriority w:val="0"/>
    <w:pPr>
      <w:ind w:firstLine="420" w:firstLineChars="200"/>
    </w:pPr>
  </w:style>
  <w:style w:type="paragraph" w:customStyle="1" w:styleId="121">
    <w:name w:val="正文段"/>
    <w:basedOn w:val="1"/>
    <w:qFormat/>
    <w:uiPriority w:val="0"/>
    <w:pPr>
      <w:widowControl/>
      <w:snapToGrid w:val="0"/>
      <w:spacing w:after="156" w:afterLines="50"/>
      <w:ind w:firstLine="200" w:firstLineChars="200"/>
    </w:pPr>
    <w:rPr>
      <w:kern w:val="0"/>
      <w:sz w:val="24"/>
      <w:szCs w:val="20"/>
    </w:rPr>
  </w:style>
  <w:style w:type="paragraph" w:customStyle="1" w:styleId="122">
    <w:name w:val="列出段落"/>
    <w:basedOn w:val="1"/>
    <w:qFormat/>
    <w:uiPriority w:val="34"/>
    <w:pPr>
      <w:ind w:firstLine="420" w:firstLineChars="200"/>
    </w:pPr>
    <w:rPr>
      <w:rFonts w:ascii="Calibri" w:hAnsi="Calibri"/>
      <w:szCs w:val="22"/>
    </w:rPr>
  </w:style>
  <w:style w:type="paragraph" w:customStyle="1" w:styleId="123">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4">
    <w:name w:val="未处理的提及1"/>
    <w:basedOn w:val="41"/>
    <w:unhideWhenUsed/>
    <w:qFormat/>
    <w:uiPriority w:val="99"/>
    <w:rPr>
      <w:color w:val="605E5C"/>
      <w:shd w:val="clear" w:color="auto" w:fill="E1DFDD"/>
    </w:rPr>
  </w:style>
  <w:style w:type="character" w:customStyle="1" w:styleId="125">
    <w:name w:val="font81"/>
    <w:basedOn w:val="41"/>
    <w:qFormat/>
    <w:uiPriority w:val="0"/>
    <w:rPr>
      <w:rFonts w:hint="eastAsia" w:ascii="宋体" w:hAnsi="宋体" w:eastAsia="宋体" w:cs="宋体"/>
      <w:color w:val="000000"/>
      <w:sz w:val="18"/>
      <w:szCs w:val="18"/>
      <w:u w:val="none"/>
    </w:rPr>
  </w:style>
  <w:style w:type="paragraph" w:customStyle="1" w:styleId="126">
    <w:name w:val="列表段落2"/>
    <w:basedOn w:val="1"/>
    <w:qFormat/>
    <w:uiPriority w:val="34"/>
    <w:pPr>
      <w:ind w:firstLine="420" w:firstLineChars="200"/>
    </w:pPr>
  </w:style>
  <w:style w:type="character" w:customStyle="1" w:styleId="127">
    <w:name w:val="未处理的提及2"/>
    <w:basedOn w:val="41"/>
    <w:unhideWhenUsed/>
    <w:qFormat/>
    <w:uiPriority w:val="99"/>
    <w:rPr>
      <w:color w:val="605E5C"/>
      <w:shd w:val="clear" w:color="auto" w:fill="E1DFDD"/>
    </w:rPr>
  </w:style>
  <w:style w:type="character" w:customStyle="1" w:styleId="128">
    <w:name w:val="纯文本 字符1"/>
    <w:qFormat/>
    <w:uiPriority w:val="0"/>
    <w:rPr>
      <w:rFonts w:ascii="宋体" w:hAnsi="Courier New" w:eastAsia="宋体" w:cs="Courier New"/>
      <w:kern w:val="2"/>
      <w:sz w:val="21"/>
      <w:szCs w:val="21"/>
      <w:lang w:val="en-US" w:eastAsia="zh-CN" w:bidi="ar-SA"/>
    </w:rPr>
  </w:style>
  <w:style w:type="character" w:customStyle="1" w:styleId="129">
    <w:name w:val="标题 4 字符"/>
    <w:basedOn w:val="41"/>
    <w:link w:val="6"/>
    <w:qFormat/>
    <w:uiPriority w:val="9"/>
    <w:rPr>
      <w:rFonts w:asciiTheme="majorHAnsi" w:hAnsiTheme="majorHAnsi" w:eastAsiaTheme="majorEastAsia" w:cstheme="majorBidi"/>
      <w:b/>
      <w:bCs/>
      <w:kern w:val="2"/>
      <w:sz w:val="28"/>
      <w:szCs w:val="28"/>
    </w:rPr>
  </w:style>
  <w:style w:type="character" w:customStyle="1" w:styleId="130">
    <w:name w:val="标题 5 字符"/>
    <w:basedOn w:val="41"/>
    <w:link w:val="7"/>
    <w:qFormat/>
    <w:uiPriority w:val="9"/>
    <w:rPr>
      <w:b/>
      <w:kern w:val="2"/>
      <w:sz w:val="28"/>
      <w:szCs w:val="24"/>
    </w:rPr>
  </w:style>
  <w:style w:type="character" w:customStyle="1" w:styleId="131">
    <w:name w:val="标题 6 字符"/>
    <w:basedOn w:val="41"/>
    <w:link w:val="9"/>
    <w:qFormat/>
    <w:uiPriority w:val="9"/>
    <w:rPr>
      <w:rFonts w:ascii="Arial" w:hAnsi="Arial" w:eastAsia="黑体"/>
      <w:b/>
      <w:kern w:val="2"/>
      <w:sz w:val="24"/>
      <w:szCs w:val="24"/>
    </w:rPr>
  </w:style>
  <w:style w:type="character" w:customStyle="1" w:styleId="132">
    <w:name w:val="标题 7 字符"/>
    <w:basedOn w:val="41"/>
    <w:link w:val="10"/>
    <w:qFormat/>
    <w:uiPriority w:val="9"/>
    <w:rPr>
      <w:b/>
      <w:kern w:val="2"/>
      <w:sz w:val="24"/>
      <w:szCs w:val="24"/>
    </w:rPr>
  </w:style>
  <w:style w:type="character" w:customStyle="1" w:styleId="133">
    <w:name w:val="标题 8 字符"/>
    <w:basedOn w:val="41"/>
    <w:link w:val="11"/>
    <w:qFormat/>
    <w:uiPriority w:val="9"/>
    <w:rPr>
      <w:rFonts w:ascii="Arial" w:hAnsi="Arial" w:eastAsia="黑体"/>
      <w:kern w:val="2"/>
      <w:sz w:val="24"/>
      <w:szCs w:val="24"/>
    </w:rPr>
  </w:style>
  <w:style w:type="character" w:customStyle="1" w:styleId="134">
    <w:name w:val="标题 9 字符"/>
    <w:basedOn w:val="41"/>
    <w:link w:val="12"/>
    <w:qFormat/>
    <w:uiPriority w:val="9"/>
    <w:rPr>
      <w:rFonts w:ascii="Arial" w:hAnsi="Arial" w:eastAsia="黑体"/>
      <w:kern w:val="2"/>
      <w:sz w:val="21"/>
      <w:szCs w:val="24"/>
    </w:rPr>
  </w:style>
  <w:style w:type="paragraph" w:customStyle="1" w:styleId="135">
    <w:name w:val="TOC 71"/>
    <w:basedOn w:val="1"/>
    <w:next w:val="1"/>
    <w:unhideWhenUsed/>
    <w:qFormat/>
    <w:uiPriority w:val="39"/>
    <w:pPr>
      <w:spacing w:line="360" w:lineRule="auto"/>
      <w:ind w:left="1440" w:firstLine="200" w:firstLineChars="200"/>
      <w:jc w:val="left"/>
    </w:pPr>
    <w:rPr>
      <w:rFonts w:ascii="Calibri" w:hAnsi="Calibri"/>
      <w:sz w:val="18"/>
      <w:szCs w:val="18"/>
    </w:rPr>
  </w:style>
  <w:style w:type="character" w:customStyle="1" w:styleId="136">
    <w:name w:val="文档结构图 字符"/>
    <w:basedOn w:val="41"/>
    <w:link w:val="15"/>
    <w:qFormat/>
    <w:uiPriority w:val="99"/>
    <w:rPr>
      <w:kern w:val="2"/>
      <w:sz w:val="21"/>
      <w:szCs w:val="24"/>
      <w:shd w:val="clear" w:color="auto" w:fill="000080"/>
    </w:rPr>
  </w:style>
  <w:style w:type="character" w:customStyle="1" w:styleId="137">
    <w:name w:val="正文文本 字符"/>
    <w:basedOn w:val="41"/>
    <w:link w:val="18"/>
    <w:qFormat/>
    <w:uiPriority w:val="0"/>
    <w:rPr>
      <w:kern w:val="2"/>
      <w:sz w:val="24"/>
      <w:szCs w:val="24"/>
    </w:rPr>
  </w:style>
  <w:style w:type="paragraph" w:customStyle="1" w:styleId="138">
    <w:name w:val="TOC 51"/>
    <w:basedOn w:val="1"/>
    <w:next w:val="1"/>
    <w:unhideWhenUsed/>
    <w:qFormat/>
    <w:uiPriority w:val="39"/>
    <w:pPr>
      <w:spacing w:line="360" w:lineRule="auto"/>
      <w:ind w:left="960" w:firstLine="200" w:firstLineChars="200"/>
      <w:jc w:val="left"/>
    </w:pPr>
    <w:rPr>
      <w:rFonts w:ascii="Calibri" w:hAnsi="Calibri"/>
      <w:sz w:val="18"/>
      <w:szCs w:val="18"/>
    </w:rPr>
  </w:style>
  <w:style w:type="paragraph" w:customStyle="1" w:styleId="139">
    <w:name w:val="TOC 31"/>
    <w:basedOn w:val="1"/>
    <w:next w:val="1"/>
    <w:unhideWhenUsed/>
    <w:qFormat/>
    <w:uiPriority w:val="39"/>
    <w:pPr>
      <w:spacing w:line="360" w:lineRule="auto"/>
      <w:ind w:left="480" w:firstLine="200" w:firstLineChars="200"/>
      <w:jc w:val="left"/>
    </w:pPr>
    <w:rPr>
      <w:rFonts w:ascii="Calibri" w:hAnsi="Calibri"/>
      <w:i/>
      <w:iCs/>
      <w:sz w:val="20"/>
      <w:szCs w:val="20"/>
    </w:rPr>
  </w:style>
  <w:style w:type="paragraph" w:customStyle="1" w:styleId="140">
    <w:name w:val="TOC 81"/>
    <w:basedOn w:val="1"/>
    <w:next w:val="1"/>
    <w:unhideWhenUsed/>
    <w:qFormat/>
    <w:uiPriority w:val="39"/>
    <w:pPr>
      <w:spacing w:line="360" w:lineRule="auto"/>
      <w:ind w:left="1680" w:firstLine="200" w:firstLineChars="200"/>
      <w:jc w:val="left"/>
    </w:pPr>
    <w:rPr>
      <w:rFonts w:ascii="Calibri" w:hAnsi="Calibri"/>
      <w:sz w:val="18"/>
      <w:szCs w:val="18"/>
    </w:rPr>
  </w:style>
  <w:style w:type="paragraph" w:customStyle="1" w:styleId="141">
    <w:name w:val="TOC 41"/>
    <w:basedOn w:val="1"/>
    <w:next w:val="1"/>
    <w:unhideWhenUsed/>
    <w:qFormat/>
    <w:uiPriority w:val="39"/>
    <w:pPr>
      <w:spacing w:line="360" w:lineRule="auto"/>
      <w:ind w:left="720" w:firstLine="200" w:firstLineChars="200"/>
      <w:jc w:val="left"/>
    </w:pPr>
    <w:rPr>
      <w:rFonts w:ascii="Calibri" w:hAnsi="Calibri"/>
      <w:sz w:val="18"/>
      <w:szCs w:val="18"/>
    </w:rPr>
  </w:style>
  <w:style w:type="paragraph" w:customStyle="1" w:styleId="142">
    <w:name w:val="TOC 61"/>
    <w:basedOn w:val="1"/>
    <w:next w:val="1"/>
    <w:unhideWhenUsed/>
    <w:qFormat/>
    <w:uiPriority w:val="39"/>
    <w:pPr>
      <w:spacing w:line="360" w:lineRule="auto"/>
      <w:ind w:left="1200" w:firstLine="200" w:firstLineChars="200"/>
      <w:jc w:val="left"/>
    </w:pPr>
    <w:rPr>
      <w:rFonts w:ascii="Calibri" w:hAnsi="Calibri"/>
      <w:sz w:val="18"/>
      <w:szCs w:val="18"/>
    </w:rPr>
  </w:style>
  <w:style w:type="paragraph" w:customStyle="1" w:styleId="143">
    <w:name w:val="TOC 21"/>
    <w:basedOn w:val="1"/>
    <w:next w:val="1"/>
    <w:unhideWhenUsed/>
    <w:qFormat/>
    <w:uiPriority w:val="39"/>
    <w:pPr>
      <w:spacing w:line="360" w:lineRule="auto"/>
      <w:ind w:left="240" w:firstLine="200" w:firstLineChars="200"/>
      <w:jc w:val="left"/>
    </w:pPr>
    <w:rPr>
      <w:rFonts w:ascii="Calibri" w:hAnsi="Calibri"/>
      <w:smallCaps/>
      <w:sz w:val="20"/>
      <w:szCs w:val="20"/>
    </w:rPr>
  </w:style>
  <w:style w:type="paragraph" w:customStyle="1" w:styleId="144">
    <w:name w:val="TOC 91"/>
    <w:basedOn w:val="1"/>
    <w:next w:val="1"/>
    <w:unhideWhenUsed/>
    <w:qFormat/>
    <w:uiPriority w:val="39"/>
    <w:pPr>
      <w:spacing w:line="360" w:lineRule="auto"/>
      <w:ind w:left="1920" w:firstLine="200" w:firstLineChars="200"/>
      <w:jc w:val="left"/>
    </w:pPr>
    <w:rPr>
      <w:rFonts w:ascii="Calibri" w:hAnsi="Calibri"/>
      <w:sz w:val="18"/>
      <w:szCs w:val="18"/>
    </w:rPr>
  </w:style>
  <w:style w:type="table" w:customStyle="1" w:styleId="145">
    <w:name w:val="网格型1"/>
    <w:basedOn w:val="3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6">
    <w:name w:val="正文文本 Char1"/>
    <w:basedOn w:val="41"/>
    <w:semiHidden/>
    <w:qFormat/>
    <w:uiPriority w:val="99"/>
    <w:rPr>
      <w:sz w:val="24"/>
    </w:rPr>
  </w:style>
  <w:style w:type="paragraph" w:customStyle="1" w:styleId="147">
    <w:name w:val="修订1"/>
    <w:hidden/>
    <w:unhideWhenUsed/>
    <w:qFormat/>
    <w:uiPriority w:val="99"/>
    <w:rPr>
      <w:rFonts w:ascii="Calibri" w:hAnsi="Calibri" w:eastAsia="宋体" w:cs="Times New Roman"/>
      <w:kern w:val="2"/>
      <w:sz w:val="24"/>
      <w:szCs w:val="22"/>
      <w:lang w:val="en-US" w:eastAsia="zh-CN" w:bidi="ar-SA"/>
    </w:rPr>
  </w:style>
  <w:style w:type="character" w:customStyle="1" w:styleId="148">
    <w:name w:val="占位符文本1"/>
    <w:semiHidden/>
    <w:qFormat/>
    <w:uiPriority w:val="99"/>
    <w:rPr>
      <w:color w:val="808080"/>
    </w:rPr>
  </w:style>
  <w:style w:type="paragraph" w:customStyle="1" w:styleId="149">
    <w:name w:val="WPSOffice手动目录 1"/>
    <w:qFormat/>
    <w:uiPriority w:val="0"/>
    <w:rPr>
      <w:rFonts w:ascii="Times New Roman" w:hAnsi="Times New Roman" w:eastAsia="宋体" w:cs="Times New Roman"/>
      <w:lang w:val="en-US" w:eastAsia="zh-CN" w:bidi="ar-SA"/>
    </w:rPr>
  </w:style>
  <w:style w:type="paragraph" w:customStyle="1" w:styleId="1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5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52">
    <w:name w:val="font01"/>
    <w:basedOn w:val="41"/>
    <w:qFormat/>
    <w:uiPriority w:val="0"/>
    <w:rPr>
      <w:rFonts w:hint="eastAsia" w:ascii="宋体" w:hAnsi="宋体" w:eastAsia="宋体" w:cs="宋体"/>
      <w:color w:val="000000"/>
      <w:sz w:val="24"/>
      <w:szCs w:val="24"/>
      <w:u w:val="none"/>
    </w:rPr>
  </w:style>
  <w:style w:type="paragraph" w:customStyle="1" w:styleId="153">
    <w:name w:val="TOC 标题1"/>
    <w:basedOn w:val="3"/>
    <w:next w:val="1"/>
    <w:unhideWhenUsed/>
    <w:qFormat/>
    <w:uiPriority w:val="39"/>
    <w:pPr>
      <w:widowControl/>
      <w:spacing w:before="240" w:after="0" w:line="259" w:lineRule="auto"/>
      <w:jc w:val="left"/>
      <w:outlineLvl w:val="9"/>
    </w:pPr>
    <w:rPr>
      <w:rFonts w:ascii="Cambria" w:hAnsi="Cambria" w:eastAsia="宋体"/>
      <w:b w:val="0"/>
      <w:bCs w:val="0"/>
      <w:color w:val="365F91"/>
      <w:kern w:val="0"/>
      <w:sz w:val="32"/>
      <w:szCs w:val="32"/>
    </w:rPr>
  </w:style>
  <w:style w:type="paragraph" w:styleId="154">
    <w:name w:val="List Paragraph"/>
    <w:basedOn w:val="1"/>
    <w:qFormat/>
    <w:uiPriority w:val="99"/>
    <w:pPr>
      <w:ind w:firstLine="420" w:firstLineChars="200"/>
    </w:pPr>
  </w:style>
  <w:style w:type="character" w:customStyle="1" w:styleId="155">
    <w:name w:val="未处理的提及3"/>
    <w:basedOn w:val="41"/>
    <w:semiHidden/>
    <w:unhideWhenUsed/>
    <w:qFormat/>
    <w:uiPriority w:val="99"/>
    <w:rPr>
      <w:color w:val="605E5C"/>
      <w:shd w:val="clear" w:color="auto" w:fill="E1DFDD"/>
    </w:rPr>
  </w:style>
  <w:style w:type="paragraph" w:customStyle="1" w:styleId="156">
    <w:name w:val="正文-公1"/>
    <w:basedOn w:val="1"/>
    <w:qFormat/>
    <w:uiPriority w:val="0"/>
    <w:pPr>
      <w:ind w:firstLine="200" w:firstLineChars="200"/>
      <w:jc w:val="left"/>
    </w:pPr>
    <w:rPr>
      <w:rFonts w:ascii="Calibri" w:hAnsi="Calibri" w:eastAsia="仿宋_GB2312"/>
    </w:rPr>
  </w:style>
  <w:style w:type="character" w:customStyle="1" w:styleId="157">
    <w:name w:val="尾注文本 字符"/>
    <w:basedOn w:val="41"/>
    <w:link w:val="25"/>
    <w:qFormat/>
    <w:uiPriority w:val="0"/>
    <w:rPr>
      <w:rFonts w:ascii="微软雅黑" w:hAnsi="微软雅黑" w:eastAsia="微软雅黑"/>
    </w:rPr>
  </w:style>
  <w:style w:type="table" w:customStyle="1" w:styleId="158">
    <w:name w:val="网格型2"/>
    <w:basedOn w:val="3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9">
    <w:name w:val="未处理的提及4"/>
    <w:basedOn w:val="41"/>
    <w:semiHidden/>
    <w:unhideWhenUsed/>
    <w:qFormat/>
    <w:uiPriority w:val="99"/>
    <w:rPr>
      <w:color w:val="605E5C"/>
      <w:shd w:val="clear" w:color="auto" w:fill="E1DFDD"/>
    </w:rPr>
  </w:style>
  <w:style w:type="table" w:customStyle="1" w:styleId="160">
    <w:name w:val="网格型3"/>
    <w:basedOn w:val="3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DAF175-1F30-4369-8DF1-883D08BE14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4438</Words>
  <Characters>25301</Characters>
  <Lines>210</Lines>
  <Paragraphs>59</Paragraphs>
  <TotalTime>23</TotalTime>
  <ScaleCrop>false</ScaleCrop>
  <LinksUpToDate>false</LinksUpToDate>
  <CharactersWithSpaces>29680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2020-10-27T08:16:00Z</dcterms:created>
  <dc:creator>Huang Qian</dc:creator>
  <cp:lastModifiedBy>Lenovo</cp:lastModifiedBy>
  <cp:lastPrinted>2024-06-13T02:14:00Z</cp:lastPrinted>
  <dcterms:modified xsi:type="dcterms:W3CDTF">2024-06-13T06:56:35Z</dcterms:modified>
  <dc:title>竞争性谈判文件</dc:title>
  <cp:revision>816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B0D0442C356E4CBABCA29CD518FEA2A1</vt:lpwstr>
  </property>
</Properties>
</file>