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561F7">
      <w:pPr>
        <w:rPr>
          <w:color w:val="auto"/>
        </w:rPr>
      </w:pPr>
    </w:p>
    <w:p w14:paraId="163B2C48">
      <w:pPr>
        <w:rPr>
          <w:color w:val="auto"/>
        </w:rPr>
      </w:pPr>
    </w:p>
    <w:p w14:paraId="32A8E484">
      <w:pPr>
        <w:rPr>
          <w:color w:val="auto"/>
        </w:rPr>
      </w:pPr>
    </w:p>
    <w:p w14:paraId="33BDFAC6">
      <w:pPr>
        <w:rPr>
          <w:color w:val="auto"/>
        </w:rPr>
      </w:pPr>
    </w:p>
    <w:p w14:paraId="6FC207B9">
      <w:pPr>
        <w:spacing w:before="156" w:beforeLines="50" w:line="780" w:lineRule="exact"/>
        <w:jc w:val="center"/>
        <w:rPr>
          <w:rFonts w:hint="eastAsia" w:ascii="方正小标宋_GBK" w:hAnsi="黑体" w:eastAsia="方正小标宋_GBK"/>
          <w:b/>
          <w:color w:val="auto"/>
          <w:sz w:val="84"/>
          <w:szCs w:val="84"/>
        </w:rPr>
      </w:pPr>
      <w:r>
        <w:rPr>
          <w:rFonts w:hint="eastAsia" w:ascii="方正小标宋_GBK" w:hAnsi="黑体" w:eastAsia="方正小标宋_GBK"/>
          <w:b/>
          <w:color w:val="auto"/>
          <w:sz w:val="84"/>
          <w:szCs w:val="84"/>
        </w:rPr>
        <w:t>竞争性谈判采购文件</w:t>
      </w:r>
    </w:p>
    <w:p w14:paraId="7FDE38ED">
      <w:pPr>
        <w:rPr>
          <w:color w:val="auto"/>
        </w:rPr>
      </w:pPr>
    </w:p>
    <w:p w14:paraId="447731A5">
      <w:pPr>
        <w:rPr>
          <w:color w:val="auto"/>
        </w:rPr>
      </w:pPr>
    </w:p>
    <w:p w14:paraId="765508B9">
      <w:pPr>
        <w:rPr>
          <w:color w:val="auto"/>
        </w:rPr>
      </w:pPr>
    </w:p>
    <w:p w14:paraId="6F1B1395">
      <w:pPr>
        <w:rPr>
          <w:color w:val="auto"/>
        </w:rPr>
      </w:pPr>
    </w:p>
    <w:p w14:paraId="477D5B68">
      <w:pPr>
        <w:rPr>
          <w:color w:val="auto"/>
        </w:rPr>
      </w:pPr>
    </w:p>
    <w:p w14:paraId="4B08DA0E">
      <w:pPr>
        <w:rPr>
          <w:color w:val="auto"/>
        </w:rPr>
      </w:pPr>
    </w:p>
    <w:p w14:paraId="6355746D">
      <w:pPr>
        <w:rPr>
          <w:color w:val="auto"/>
        </w:rPr>
      </w:pPr>
    </w:p>
    <w:p w14:paraId="452E4C98">
      <w:pPr>
        <w:rPr>
          <w:color w:val="auto"/>
        </w:rPr>
      </w:pPr>
    </w:p>
    <w:p w14:paraId="49F3E03B">
      <w:pPr>
        <w:rPr>
          <w:color w:val="auto"/>
        </w:rPr>
      </w:pPr>
    </w:p>
    <w:p w14:paraId="5BD91F20">
      <w:pPr>
        <w:rPr>
          <w:color w:val="auto"/>
        </w:rPr>
      </w:pPr>
    </w:p>
    <w:p w14:paraId="08B1BA5C">
      <w:pPr>
        <w:rPr>
          <w:color w:val="auto"/>
        </w:rPr>
      </w:pPr>
    </w:p>
    <w:p w14:paraId="0A96DD52">
      <w:pPr>
        <w:rPr>
          <w:color w:val="auto"/>
        </w:rPr>
      </w:pPr>
    </w:p>
    <w:p w14:paraId="4907C960">
      <w:pPr>
        <w:spacing w:line="500" w:lineRule="exact"/>
        <w:ind w:left="2557" w:leftChars="608" w:hanging="1280" w:hangingChars="4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项目名称:</w:t>
      </w:r>
      <w:r>
        <w:rPr>
          <w:rFonts w:hint="eastAsia" w:ascii="方正小标宋_GBK" w:hAnsi="微软雅黑" w:eastAsia="方正小标宋_GBK"/>
          <w:color w:val="auto"/>
          <w:sz w:val="32"/>
          <w:szCs w:val="32"/>
          <w:lang w:eastAsia="zh-CN"/>
        </w:rPr>
        <w:t>浦北县第一职业技术学校2024年双优建设项目</w:t>
      </w:r>
    </w:p>
    <w:p w14:paraId="54852E4E">
      <w:pPr>
        <w:spacing w:line="500" w:lineRule="exact"/>
        <w:ind w:firstLine="1280" w:firstLineChars="4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项目编号:</w:t>
      </w:r>
      <w:r>
        <w:rPr>
          <w:rFonts w:hint="eastAsia" w:ascii="方正小标宋_GBK" w:hAnsi="微软雅黑" w:eastAsia="方正小标宋_GBK"/>
          <w:color w:val="auto"/>
          <w:sz w:val="32"/>
          <w:szCs w:val="32"/>
          <w:lang w:eastAsia="zh-CN"/>
        </w:rPr>
        <w:t xml:space="preserve"> QZZC2025-J1-220138-QZSZ</w:t>
      </w:r>
    </w:p>
    <w:p w14:paraId="60E37CEC">
      <w:pPr>
        <w:rPr>
          <w:color w:val="auto"/>
        </w:rPr>
      </w:pPr>
    </w:p>
    <w:p w14:paraId="2AACAF94">
      <w:pPr>
        <w:rPr>
          <w:color w:val="auto"/>
        </w:rPr>
      </w:pPr>
    </w:p>
    <w:p w14:paraId="1F7708CC">
      <w:pPr>
        <w:rPr>
          <w:color w:val="auto"/>
        </w:rPr>
      </w:pPr>
    </w:p>
    <w:p w14:paraId="35334790">
      <w:pPr>
        <w:rPr>
          <w:color w:val="auto"/>
        </w:rPr>
      </w:pPr>
    </w:p>
    <w:p w14:paraId="79B607B0">
      <w:pPr>
        <w:rPr>
          <w:color w:val="auto"/>
        </w:rPr>
      </w:pPr>
    </w:p>
    <w:p w14:paraId="0644A14D">
      <w:pPr>
        <w:rPr>
          <w:color w:val="auto"/>
        </w:rPr>
      </w:pPr>
    </w:p>
    <w:p w14:paraId="381DFB6B">
      <w:pPr>
        <w:rPr>
          <w:color w:val="auto"/>
        </w:rPr>
      </w:pPr>
    </w:p>
    <w:p w14:paraId="6A2B797D">
      <w:pPr>
        <w:rPr>
          <w:color w:val="auto"/>
        </w:rPr>
      </w:pPr>
    </w:p>
    <w:p w14:paraId="79E0EB05">
      <w:pPr>
        <w:rPr>
          <w:color w:val="auto"/>
        </w:rPr>
      </w:pPr>
    </w:p>
    <w:p w14:paraId="3AE93681">
      <w:pPr>
        <w:rPr>
          <w:color w:val="auto"/>
        </w:rPr>
      </w:pPr>
    </w:p>
    <w:p w14:paraId="371055DB">
      <w:pPr>
        <w:rPr>
          <w:color w:val="auto"/>
        </w:rPr>
      </w:pPr>
    </w:p>
    <w:p w14:paraId="5314F881">
      <w:pPr>
        <w:rPr>
          <w:color w:val="auto"/>
        </w:rPr>
      </w:pPr>
    </w:p>
    <w:p w14:paraId="76EDFF1F">
      <w:pPr>
        <w:rPr>
          <w:color w:val="auto"/>
        </w:rPr>
      </w:pPr>
    </w:p>
    <w:p w14:paraId="47F68CAF">
      <w:pPr>
        <w:rPr>
          <w:color w:val="auto"/>
        </w:rPr>
      </w:pPr>
    </w:p>
    <w:p w14:paraId="51F01DF8">
      <w:pPr>
        <w:rPr>
          <w:color w:val="auto"/>
        </w:rPr>
      </w:pPr>
    </w:p>
    <w:p w14:paraId="0EEFF6E5">
      <w:pPr>
        <w:rPr>
          <w:color w:val="auto"/>
        </w:rPr>
      </w:pPr>
    </w:p>
    <w:p w14:paraId="6A1B2EB8">
      <w:pPr>
        <w:rPr>
          <w:color w:val="auto"/>
        </w:rPr>
      </w:pPr>
    </w:p>
    <w:p w14:paraId="45DF679F">
      <w:pPr>
        <w:rPr>
          <w:color w:val="auto"/>
        </w:rPr>
      </w:pPr>
    </w:p>
    <w:p w14:paraId="20B9473C">
      <w:pPr>
        <w:spacing w:line="360" w:lineRule="exact"/>
        <w:jc w:val="center"/>
        <w:rPr>
          <w:rFonts w:hint="eastAsia" w:ascii="方正小标宋_GBK" w:hAnsi="微软雅黑" w:eastAsia="方正小标宋_GBK"/>
          <w:color w:val="auto"/>
          <w:sz w:val="32"/>
          <w:szCs w:val="32"/>
        </w:rPr>
      </w:pPr>
      <w:r>
        <w:rPr>
          <w:rFonts w:hint="eastAsia" w:ascii="方正小标宋_GBK" w:hAnsi="微软雅黑" w:eastAsia="方正小标宋_GBK"/>
          <w:color w:val="auto"/>
          <w:sz w:val="32"/>
          <w:szCs w:val="32"/>
        </w:rPr>
        <w:t>钦州市政府采购中心</w:t>
      </w:r>
    </w:p>
    <w:p w14:paraId="2057F3D9">
      <w:pPr>
        <w:tabs>
          <w:tab w:val="left" w:pos="360"/>
        </w:tabs>
        <w:spacing w:line="440" w:lineRule="exact"/>
        <w:jc w:val="center"/>
        <w:rPr>
          <w:rFonts w:hint="eastAsia" w:ascii="仿宋_GB2312" w:hAnsi="宋体" w:eastAsia="仿宋_GB2312"/>
          <w:color w:val="auto"/>
          <w:sz w:val="32"/>
          <w:szCs w:val="32"/>
        </w:rPr>
      </w:pPr>
      <w:r>
        <w:rPr>
          <w:rFonts w:hint="eastAsia" w:ascii="方正小标宋_GBK" w:hAnsi="微软雅黑" w:eastAsia="方正小标宋_GBK"/>
          <w:color w:val="auto"/>
          <w:sz w:val="32"/>
          <w:szCs w:val="32"/>
        </w:rPr>
        <w:t>202</w:t>
      </w:r>
      <w:r>
        <w:rPr>
          <w:rFonts w:hint="eastAsia" w:ascii="方正小标宋_GBK" w:hAnsi="微软雅黑" w:eastAsia="方正小标宋_GBK"/>
          <w:color w:val="auto"/>
          <w:sz w:val="32"/>
          <w:szCs w:val="32"/>
          <w:lang w:val="en-US" w:eastAsia="zh-CN"/>
        </w:rPr>
        <w:t>5</w:t>
      </w:r>
      <w:r>
        <w:rPr>
          <w:rFonts w:hint="eastAsia" w:ascii="方正小标宋_GBK" w:hAnsi="微软雅黑" w:eastAsia="方正小标宋_GBK"/>
          <w:color w:val="auto"/>
          <w:sz w:val="32"/>
          <w:szCs w:val="32"/>
        </w:rPr>
        <w:t>年</w:t>
      </w:r>
      <w:r>
        <w:rPr>
          <w:rFonts w:hint="eastAsia" w:ascii="方正小标宋_GBK" w:hAnsi="微软雅黑" w:eastAsia="方正小标宋_GBK"/>
          <w:color w:val="auto"/>
          <w:sz w:val="32"/>
          <w:szCs w:val="32"/>
          <w:lang w:val="en-US" w:eastAsia="zh-CN"/>
        </w:rPr>
        <w:t>8</w:t>
      </w:r>
      <w:r>
        <w:rPr>
          <w:rFonts w:hint="eastAsia" w:ascii="方正小标宋_GBK" w:hAnsi="微软雅黑" w:eastAsia="方正小标宋_GBK"/>
          <w:color w:val="auto"/>
          <w:sz w:val="32"/>
          <w:szCs w:val="32"/>
        </w:rPr>
        <w:t>月</w:t>
      </w:r>
    </w:p>
    <w:p w14:paraId="6A7267DD">
      <w:pPr>
        <w:rPr>
          <w:color w:val="auto"/>
        </w:rPr>
      </w:pPr>
    </w:p>
    <w:p w14:paraId="4B191217">
      <w:pPr>
        <w:rPr>
          <w:color w:val="auto"/>
        </w:rPr>
      </w:pPr>
    </w:p>
    <w:p w14:paraId="0271577A">
      <w:pPr>
        <w:spacing w:line="640" w:lineRule="exact"/>
        <w:jc w:val="center"/>
        <w:rPr>
          <w:rFonts w:hint="eastAsia" w:ascii="方正小标宋_GBK" w:hAnsi="宋体" w:eastAsia="方正小标宋_GBK"/>
          <w:b/>
          <w:color w:val="auto"/>
          <w:sz w:val="32"/>
          <w:szCs w:val="32"/>
        </w:rPr>
      </w:pPr>
      <w:r>
        <w:rPr>
          <w:rFonts w:hint="eastAsia" w:ascii="方正小标宋_GBK" w:hAnsi="宋体" w:eastAsia="方正小标宋_GBK"/>
          <w:b/>
          <w:color w:val="auto"/>
          <w:sz w:val="44"/>
          <w:szCs w:val="44"/>
        </w:rPr>
        <w:t>目   录</w:t>
      </w:r>
    </w:p>
    <w:p w14:paraId="3E96720E">
      <w:pPr>
        <w:rPr>
          <w:color w:val="auto"/>
        </w:rPr>
      </w:pPr>
    </w:p>
    <w:p w14:paraId="0B7F6E7C">
      <w:pPr>
        <w:pStyle w:val="27"/>
        <w:tabs>
          <w:tab w:val="right" w:leader="dot" w:pos="9514"/>
        </w:tabs>
        <w:spacing w:line="1000" w:lineRule="exact"/>
        <w:rPr>
          <w:rFonts w:hint="eastAsia" w:asciiTheme="minorHAnsi" w:hAnsiTheme="minorHAnsi" w:eastAsiaTheme="minorEastAsia" w:cstheme="minorBidi"/>
          <w:color w:val="auto"/>
          <w:sz w:val="28"/>
          <w:szCs w:val="28"/>
        </w:rPr>
      </w:pPr>
      <w:bookmarkStart w:id="0" w:name="_Toc354479497"/>
      <w:r>
        <w:rPr>
          <w:rFonts w:hint="eastAsia" w:ascii="方正小标宋_GBK" w:hAnsi="仿宋" w:eastAsia="方正小标宋_GBK"/>
          <w:b/>
          <w:color w:val="auto"/>
          <w:sz w:val="28"/>
          <w:szCs w:val="28"/>
        </w:rPr>
        <w:fldChar w:fldCharType="begin"/>
      </w:r>
      <w:r>
        <w:rPr>
          <w:rFonts w:hint="eastAsia" w:ascii="方正小标宋_GBK" w:hAnsi="仿宋" w:eastAsia="方正小标宋_GBK"/>
          <w:b/>
          <w:color w:val="auto"/>
          <w:sz w:val="28"/>
          <w:szCs w:val="28"/>
        </w:rPr>
        <w:instrText xml:space="preserve"> TOC \o "1-1" \h \z \u </w:instrText>
      </w:r>
      <w:r>
        <w:rPr>
          <w:rFonts w:hint="eastAsia" w:ascii="方正小标宋_GBK" w:hAnsi="仿宋" w:eastAsia="方正小标宋_GBK"/>
          <w:b/>
          <w:color w:val="auto"/>
          <w:sz w:val="28"/>
          <w:szCs w:val="28"/>
        </w:rPr>
        <w:fldChar w:fldCharType="separate"/>
      </w:r>
      <w:r>
        <w:rPr>
          <w:color w:val="auto"/>
        </w:rPr>
        <w:fldChar w:fldCharType="begin"/>
      </w:r>
      <w:r>
        <w:rPr>
          <w:color w:val="auto"/>
        </w:rPr>
        <w:instrText xml:space="preserve"> HYPERLINK \l "_Toc92355023" </w:instrText>
      </w:r>
      <w:r>
        <w:rPr>
          <w:color w:val="auto"/>
        </w:rPr>
        <w:fldChar w:fldCharType="separate"/>
      </w:r>
      <w:r>
        <w:rPr>
          <w:rStyle w:val="44"/>
          <w:rFonts w:ascii="方正小标宋_GBK" w:hAnsi="宋体" w:eastAsia="方正小标宋_GBK"/>
          <w:color w:val="auto"/>
          <w:sz w:val="28"/>
          <w:szCs w:val="28"/>
        </w:rPr>
        <w:t>第一章  竞争性谈判公告</w:t>
      </w:r>
      <w:r>
        <w:rPr>
          <w:color w:val="auto"/>
          <w:sz w:val="28"/>
          <w:szCs w:val="28"/>
        </w:rPr>
        <w:tab/>
      </w:r>
      <w:r>
        <w:rPr>
          <w:color w:val="auto"/>
          <w:sz w:val="28"/>
          <w:szCs w:val="28"/>
        </w:rPr>
        <w:fldChar w:fldCharType="begin"/>
      </w:r>
      <w:r>
        <w:rPr>
          <w:color w:val="auto"/>
          <w:sz w:val="28"/>
          <w:szCs w:val="28"/>
        </w:rPr>
        <w:instrText xml:space="preserve"> PAGEREF _Toc92355023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38DBD90A">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"_Toc92355024" </w:instrText>
      </w:r>
      <w:r>
        <w:rPr>
          <w:color w:val="auto"/>
        </w:rPr>
        <w:fldChar w:fldCharType="separate"/>
      </w:r>
      <w:r>
        <w:rPr>
          <w:rStyle w:val="44"/>
          <w:rFonts w:ascii="方正小标宋_GBK" w:hAnsi="宋体" w:eastAsia="方正小标宋_GBK"/>
          <w:color w:val="auto"/>
          <w:sz w:val="28"/>
          <w:szCs w:val="28"/>
        </w:rPr>
        <w:t>第二章  项目需求</w:t>
      </w:r>
      <w:r>
        <w:rPr>
          <w:color w:val="auto"/>
          <w:sz w:val="28"/>
          <w:szCs w:val="28"/>
        </w:rPr>
        <w:tab/>
      </w:r>
      <w:r>
        <w:rPr>
          <w:color w:val="auto"/>
          <w:sz w:val="28"/>
          <w:szCs w:val="28"/>
        </w:rPr>
        <w:fldChar w:fldCharType="begin"/>
      </w:r>
      <w:r>
        <w:rPr>
          <w:color w:val="auto"/>
          <w:sz w:val="28"/>
          <w:szCs w:val="28"/>
        </w:rPr>
        <w:instrText xml:space="preserve"> PAGEREF _Toc92355024 \h </w:instrText>
      </w:r>
      <w:r>
        <w:rPr>
          <w:color w:val="auto"/>
          <w:sz w:val="28"/>
          <w:szCs w:val="28"/>
        </w:rPr>
        <w:fldChar w:fldCharType="separate"/>
      </w:r>
      <w:r>
        <w:rPr>
          <w:color w:val="auto"/>
          <w:sz w:val="28"/>
          <w:szCs w:val="28"/>
        </w:rPr>
        <w:t>8</w:t>
      </w:r>
      <w:r>
        <w:rPr>
          <w:color w:val="auto"/>
          <w:sz w:val="28"/>
          <w:szCs w:val="28"/>
        </w:rPr>
        <w:fldChar w:fldCharType="end"/>
      </w:r>
      <w:r>
        <w:rPr>
          <w:color w:val="auto"/>
          <w:sz w:val="28"/>
          <w:szCs w:val="28"/>
        </w:rPr>
        <w:fldChar w:fldCharType="end"/>
      </w:r>
    </w:p>
    <w:p w14:paraId="704E73EF">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"_Toc92355025" </w:instrText>
      </w:r>
      <w:r>
        <w:rPr>
          <w:color w:val="auto"/>
        </w:rPr>
        <w:fldChar w:fldCharType="separate"/>
      </w:r>
      <w:r>
        <w:rPr>
          <w:rStyle w:val="44"/>
          <w:rFonts w:ascii="方正小标宋简体" w:eastAsia="方正小标宋简体"/>
          <w:color w:val="auto"/>
          <w:sz w:val="28"/>
          <w:szCs w:val="28"/>
        </w:rPr>
        <w:t>第三章  供应商须知</w:t>
      </w:r>
      <w:r>
        <w:rPr>
          <w:color w:val="auto"/>
          <w:sz w:val="28"/>
          <w:szCs w:val="28"/>
        </w:rPr>
        <w:tab/>
      </w:r>
      <w:r>
        <w:rPr>
          <w:color w:val="auto"/>
          <w:sz w:val="28"/>
          <w:szCs w:val="28"/>
        </w:rPr>
        <w:fldChar w:fldCharType="begin"/>
      </w:r>
      <w:r>
        <w:rPr>
          <w:color w:val="auto"/>
          <w:sz w:val="28"/>
          <w:szCs w:val="28"/>
        </w:rPr>
        <w:instrText xml:space="preserve"> PAGEREF _Toc92355025 \h </w:instrText>
      </w:r>
      <w:r>
        <w:rPr>
          <w:color w:val="auto"/>
          <w:sz w:val="28"/>
          <w:szCs w:val="28"/>
        </w:rPr>
        <w:fldChar w:fldCharType="separate"/>
      </w:r>
      <w:r>
        <w:rPr>
          <w:color w:val="auto"/>
          <w:sz w:val="28"/>
          <w:szCs w:val="28"/>
        </w:rPr>
        <w:t>69</w:t>
      </w:r>
      <w:r>
        <w:rPr>
          <w:color w:val="auto"/>
          <w:sz w:val="28"/>
          <w:szCs w:val="28"/>
        </w:rPr>
        <w:fldChar w:fldCharType="end"/>
      </w:r>
      <w:r>
        <w:rPr>
          <w:color w:val="auto"/>
          <w:sz w:val="28"/>
          <w:szCs w:val="28"/>
        </w:rPr>
        <w:fldChar w:fldCharType="end"/>
      </w:r>
    </w:p>
    <w:p w14:paraId="32B7D9B6">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"_Toc92355026" </w:instrText>
      </w:r>
      <w:r>
        <w:rPr>
          <w:color w:val="auto"/>
        </w:rPr>
        <w:fldChar w:fldCharType="separate"/>
      </w:r>
      <w:r>
        <w:rPr>
          <w:rStyle w:val="44"/>
          <w:rFonts w:ascii="方正小标宋_GBK" w:hAnsi="宋体" w:eastAsia="方正小标宋_GBK"/>
          <w:color w:val="auto"/>
          <w:sz w:val="28"/>
          <w:szCs w:val="28"/>
        </w:rPr>
        <w:t>第四章  评定标准及推荐原则</w:t>
      </w:r>
      <w:r>
        <w:rPr>
          <w:color w:val="auto"/>
          <w:sz w:val="28"/>
          <w:szCs w:val="28"/>
        </w:rPr>
        <w:tab/>
      </w:r>
      <w:r>
        <w:rPr>
          <w:color w:val="auto"/>
          <w:sz w:val="28"/>
          <w:szCs w:val="28"/>
        </w:rPr>
        <w:fldChar w:fldCharType="begin"/>
      </w:r>
      <w:r>
        <w:rPr>
          <w:color w:val="auto"/>
          <w:sz w:val="28"/>
          <w:szCs w:val="28"/>
        </w:rPr>
        <w:instrText xml:space="preserve"> PAGEREF _Toc92355026 \h </w:instrText>
      </w:r>
      <w:r>
        <w:rPr>
          <w:color w:val="auto"/>
          <w:sz w:val="28"/>
          <w:szCs w:val="28"/>
        </w:rPr>
        <w:fldChar w:fldCharType="separate"/>
      </w:r>
      <w:r>
        <w:rPr>
          <w:color w:val="auto"/>
          <w:sz w:val="28"/>
          <w:szCs w:val="28"/>
        </w:rPr>
        <w:t>81</w:t>
      </w:r>
      <w:r>
        <w:rPr>
          <w:color w:val="auto"/>
          <w:sz w:val="28"/>
          <w:szCs w:val="28"/>
        </w:rPr>
        <w:fldChar w:fldCharType="end"/>
      </w:r>
      <w:r>
        <w:rPr>
          <w:color w:val="auto"/>
          <w:sz w:val="28"/>
          <w:szCs w:val="28"/>
        </w:rPr>
        <w:fldChar w:fldCharType="end"/>
      </w:r>
    </w:p>
    <w:p w14:paraId="6B769A56">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"_Toc92355027" </w:instrText>
      </w:r>
      <w:r>
        <w:rPr>
          <w:color w:val="auto"/>
        </w:rPr>
        <w:fldChar w:fldCharType="separate"/>
      </w:r>
      <w:r>
        <w:rPr>
          <w:rStyle w:val="44"/>
          <w:rFonts w:ascii="方正小标宋_GBK" w:eastAsia="方正小标宋_GBK"/>
          <w:color w:val="auto"/>
          <w:sz w:val="28"/>
          <w:szCs w:val="28"/>
        </w:rPr>
        <w:t>第五章  合同文本</w:t>
      </w:r>
      <w:r>
        <w:rPr>
          <w:color w:val="auto"/>
          <w:sz w:val="28"/>
          <w:szCs w:val="28"/>
        </w:rPr>
        <w:tab/>
      </w:r>
      <w:r>
        <w:rPr>
          <w:color w:val="auto"/>
          <w:sz w:val="28"/>
          <w:szCs w:val="28"/>
        </w:rPr>
        <w:fldChar w:fldCharType="begin"/>
      </w:r>
      <w:r>
        <w:rPr>
          <w:color w:val="auto"/>
          <w:sz w:val="28"/>
          <w:szCs w:val="28"/>
        </w:rPr>
        <w:instrText xml:space="preserve"> PAGEREF _Toc92355027 \h </w:instrText>
      </w:r>
      <w:r>
        <w:rPr>
          <w:color w:val="auto"/>
          <w:sz w:val="28"/>
          <w:szCs w:val="28"/>
        </w:rPr>
        <w:fldChar w:fldCharType="separate"/>
      </w:r>
      <w:r>
        <w:rPr>
          <w:color w:val="auto"/>
          <w:sz w:val="28"/>
          <w:szCs w:val="28"/>
        </w:rPr>
        <w:t>83</w:t>
      </w:r>
      <w:r>
        <w:rPr>
          <w:color w:val="auto"/>
          <w:sz w:val="28"/>
          <w:szCs w:val="28"/>
        </w:rPr>
        <w:fldChar w:fldCharType="end"/>
      </w:r>
      <w:r>
        <w:rPr>
          <w:color w:val="auto"/>
          <w:sz w:val="28"/>
          <w:szCs w:val="28"/>
        </w:rPr>
        <w:fldChar w:fldCharType="end"/>
      </w:r>
    </w:p>
    <w:p w14:paraId="29BC855A">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"_Toc92355028" </w:instrText>
      </w:r>
      <w:r>
        <w:rPr>
          <w:color w:val="auto"/>
        </w:rPr>
        <w:fldChar w:fldCharType="separate"/>
      </w:r>
      <w:r>
        <w:rPr>
          <w:rStyle w:val="44"/>
          <w:rFonts w:ascii="方正小标宋_GBK" w:hAnsi="方正小标宋_GBK" w:eastAsia="方正小标宋_GBK"/>
          <w:color w:val="auto"/>
          <w:sz w:val="28"/>
          <w:szCs w:val="28"/>
        </w:rPr>
        <w:t>第六章  响应文件格式</w:t>
      </w:r>
      <w:r>
        <w:rPr>
          <w:color w:val="auto"/>
          <w:sz w:val="28"/>
          <w:szCs w:val="28"/>
        </w:rPr>
        <w:tab/>
      </w:r>
      <w:r>
        <w:rPr>
          <w:color w:val="auto"/>
          <w:sz w:val="28"/>
          <w:szCs w:val="28"/>
        </w:rPr>
        <w:fldChar w:fldCharType="begin"/>
      </w:r>
      <w:r>
        <w:rPr>
          <w:color w:val="auto"/>
          <w:sz w:val="28"/>
          <w:szCs w:val="28"/>
        </w:rPr>
        <w:instrText xml:space="preserve"> PAGEREF _Toc92355028 \h </w:instrText>
      </w:r>
      <w:r>
        <w:rPr>
          <w:color w:val="auto"/>
          <w:sz w:val="28"/>
          <w:szCs w:val="28"/>
        </w:rPr>
        <w:fldChar w:fldCharType="separate"/>
      </w:r>
      <w:r>
        <w:rPr>
          <w:color w:val="auto"/>
          <w:sz w:val="28"/>
          <w:szCs w:val="28"/>
        </w:rPr>
        <w:t>99</w:t>
      </w:r>
      <w:r>
        <w:rPr>
          <w:color w:val="auto"/>
          <w:sz w:val="28"/>
          <w:szCs w:val="28"/>
        </w:rPr>
        <w:fldChar w:fldCharType="end"/>
      </w:r>
      <w:r>
        <w:rPr>
          <w:color w:val="auto"/>
          <w:sz w:val="28"/>
          <w:szCs w:val="28"/>
        </w:rPr>
        <w:fldChar w:fldCharType="end"/>
      </w:r>
    </w:p>
    <w:p w14:paraId="2ADE0FA3">
      <w:pPr>
        <w:rPr>
          <w:color w:val="auto"/>
        </w:r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color w:val="auto"/>
        </w:rPr>
        <w:fldChar w:fldCharType="end"/>
      </w:r>
    </w:p>
    <w:p w14:paraId="71D691E4">
      <w:pPr>
        <w:rPr>
          <w:color w:val="auto"/>
        </w:rPr>
      </w:pPr>
    </w:p>
    <w:p w14:paraId="3594BB94">
      <w:pPr>
        <w:widowControl/>
        <w:jc w:val="left"/>
        <w:rPr>
          <w:color w:val="auto"/>
        </w:rPr>
      </w:pPr>
    </w:p>
    <w:p w14:paraId="61FD26E2">
      <w:pPr>
        <w:rPr>
          <w:color w:val="auto"/>
        </w:rPr>
      </w:pPr>
    </w:p>
    <w:p w14:paraId="4EE61B86">
      <w:pPr>
        <w:rPr>
          <w:color w:val="auto"/>
        </w:rPr>
      </w:pPr>
    </w:p>
    <w:p w14:paraId="7933489A">
      <w:pPr>
        <w:rPr>
          <w:color w:val="auto"/>
        </w:rPr>
      </w:pPr>
    </w:p>
    <w:p w14:paraId="5022F99A">
      <w:pPr>
        <w:rPr>
          <w:color w:val="auto"/>
        </w:rPr>
      </w:pPr>
    </w:p>
    <w:p w14:paraId="7FBAD49A">
      <w:pPr>
        <w:rPr>
          <w:color w:val="auto"/>
        </w:rPr>
      </w:pPr>
    </w:p>
    <w:p w14:paraId="619BBA05">
      <w:pPr>
        <w:rPr>
          <w:color w:val="auto"/>
        </w:rPr>
      </w:pPr>
    </w:p>
    <w:p w14:paraId="154B3DA8">
      <w:pPr>
        <w:rPr>
          <w:color w:val="auto"/>
        </w:rPr>
      </w:pPr>
    </w:p>
    <w:p w14:paraId="21A5A2CA">
      <w:pPr>
        <w:rPr>
          <w:color w:val="auto"/>
        </w:rPr>
      </w:pPr>
    </w:p>
    <w:p w14:paraId="25A7165C">
      <w:pPr>
        <w:rPr>
          <w:color w:val="auto"/>
        </w:rPr>
      </w:pPr>
    </w:p>
    <w:p w14:paraId="68B36242">
      <w:pPr>
        <w:rPr>
          <w:color w:val="auto"/>
        </w:rPr>
      </w:pPr>
    </w:p>
    <w:p w14:paraId="1B850BA4">
      <w:pPr>
        <w:rPr>
          <w:color w:val="auto"/>
        </w:rPr>
      </w:pPr>
    </w:p>
    <w:p w14:paraId="1DAF043B">
      <w:pPr>
        <w:rPr>
          <w:color w:val="auto"/>
        </w:rPr>
      </w:pPr>
    </w:p>
    <w:p w14:paraId="22D4C297">
      <w:pPr>
        <w:pStyle w:val="2"/>
        <w:spacing w:line="400" w:lineRule="exact"/>
        <w:rPr>
          <w:rFonts w:hint="eastAsia" w:ascii="方正小标宋_GBK" w:hAnsi="宋体" w:eastAsia="方正小标宋_GBK"/>
          <w:color w:val="auto"/>
        </w:rPr>
      </w:pPr>
      <w:bookmarkStart w:id="1" w:name="_Toc92355023"/>
      <w:r>
        <w:rPr>
          <w:rFonts w:hint="eastAsia" w:ascii="方正小标宋_GBK" w:hAnsi="宋体" w:eastAsia="方正小标宋_GBK"/>
          <w:color w:val="auto"/>
        </w:rPr>
        <w:t>第一章  竞争性谈判公告</w:t>
      </w:r>
      <w:bookmarkEnd w:id="0"/>
      <w:bookmarkEnd w:id="1"/>
    </w:p>
    <w:p w14:paraId="467B5673">
      <w:pPr>
        <w:spacing w:line="600" w:lineRule="exact"/>
        <w:jc w:val="center"/>
        <w:rPr>
          <w:color w:val="auto"/>
        </w:rPr>
      </w:pPr>
      <w:r>
        <w:rPr>
          <w:rFonts w:ascii="黑体" w:hAnsi="宋体" w:eastAsia="黑体"/>
          <w:b/>
          <w:color w:val="auto"/>
          <w:sz w:val="32"/>
          <w:szCs w:val="32"/>
        </w:rPr>
        <w:br w:type="page"/>
      </w:r>
    </w:p>
    <w:p w14:paraId="22294720">
      <w:pPr>
        <w:spacing w:line="600" w:lineRule="exact"/>
        <w:jc w:val="center"/>
        <w:rPr>
          <w:rFonts w:hint="eastAsia" w:ascii="方正小标宋_GBK" w:hAnsi="宋体" w:eastAsia="方正小标宋_GBK"/>
          <w:b/>
          <w:color w:val="auto"/>
          <w:sz w:val="34"/>
          <w:szCs w:val="34"/>
        </w:rPr>
      </w:pPr>
      <w:r>
        <w:rPr>
          <w:rFonts w:hint="eastAsia" w:ascii="方正小标宋_GBK" w:hAnsi="宋体" w:eastAsia="方正小标宋_GBK"/>
          <w:b/>
          <w:color w:val="auto"/>
          <w:sz w:val="34"/>
          <w:szCs w:val="34"/>
        </w:rPr>
        <w:t>钦州市政府采购中心关于</w:t>
      </w:r>
      <w:r>
        <w:rPr>
          <w:rFonts w:hint="eastAsia" w:ascii="方正小标宋_GBK" w:hAnsi="宋体" w:eastAsia="方正小标宋_GBK"/>
          <w:b/>
          <w:color w:val="auto"/>
          <w:sz w:val="34"/>
          <w:szCs w:val="34"/>
          <w:lang w:eastAsia="zh-CN"/>
        </w:rPr>
        <w:t>浦北县第一职业技术学校2024年双优建设项目</w:t>
      </w:r>
      <w:r>
        <w:rPr>
          <w:rFonts w:ascii="方正小标宋_GBK" w:hAnsi="宋体" w:eastAsia="方正小标宋_GBK"/>
          <w:b/>
          <w:color w:val="auto"/>
          <w:sz w:val="34"/>
          <w:szCs w:val="34"/>
        </w:rPr>
        <w:t>(</w:t>
      </w:r>
      <w:r>
        <w:rPr>
          <w:rFonts w:hint="eastAsia" w:ascii="方正小标宋_GBK" w:hAnsi="宋体" w:eastAsia="方正小标宋_GBK"/>
          <w:b/>
          <w:color w:val="auto"/>
          <w:sz w:val="34"/>
          <w:szCs w:val="34"/>
          <w:lang w:eastAsia="zh-CN"/>
        </w:rPr>
        <w:t xml:space="preserve"> QZZC2025-J1-220138-QZSZ</w:t>
      </w:r>
      <w:r>
        <w:rPr>
          <w:rFonts w:ascii="方正小标宋_GBK" w:hAnsi="宋体" w:eastAsia="方正小标宋_GBK"/>
          <w:b/>
          <w:color w:val="auto"/>
          <w:sz w:val="34"/>
          <w:szCs w:val="34"/>
        </w:rPr>
        <w:t>)</w:t>
      </w:r>
      <w:r>
        <w:rPr>
          <w:rFonts w:hint="eastAsia" w:ascii="方正小标宋_GBK" w:hAnsi="宋体" w:eastAsia="方正小标宋_GBK"/>
          <w:b/>
          <w:color w:val="auto"/>
          <w:sz w:val="34"/>
          <w:szCs w:val="34"/>
        </w:rPr>
        <w:t>的竞争性谈判公告</w:t>
      </w:r>
    </w:p>
    <w:p w14:paraId="4A9EBD27">
      <w:pPr>
        <w:pBdr>
          <w:top w:val="single" w:color="auto" w:sz="4" w:space="0"/>
          <w:left w:val="single" w:color="auto" w:sz="4" w:space="4"/>
          <w:bottom w:val="single" w:color="auto" w:sz="4" w:space="1"/>
          <w:right w:val="single" w:color="auto" w:sz="4" w:space="4"/>
        </w:pBdr>
        <w:spacing w:line="400" w:lineRule="exact"/>
        <w:rPr>
          <w:rFonts w:hint="eastAsia" w:ascii="方正小标宋简体" w:hAnsi="宋体" w:eastAsia="方正小标宋简体"/>
          <w:b/>
          <w:color w:val="auto"/>
          <w:sz w:val="32"/>
          <w:szCs w:val="32"/>
        </w:rPr>
      </w:pPr>
      <w:bookmarkStart w:id="2" w:name="_Toc38370138"/>
      <w:r>
        <w:rPr>
          <w:rFonts w:hint="eastAsia" w:ascii="宋体" w:hAnsi="宋体"/>
          <w:color w:val="auto"/>
          <w:szCs w:val="21"/>
        </w:rPr>
        <w:t>项目概况</w:t>
      </w:r>
    </w:p>
    <w:p w14:paraId="76756744">
      <w:pPr>
        <w:pBdr>
          <w:top w:val="single" w:color="auto" w:sz="4" w:space="0"/>
          <w:left w:val="single" w:color="auto" w:sz="4" w:space="4"/>
          <w:bottom w:val="single" w:color="auto" w:sz="4" w:space="1"/>
          <w:right w:val="single" w:color="auto" w:sz="4" w:space="4"/>
        </w:pBdr>
        <w:spacing w:line="400" w:lineRule="exact"/>
        <w:ind w:firstLine="420" w:firstLineChars="200"/>
        <w:rPr>
          <w:rFonts w:hint="eastAsia" w:ascii="宋体" w:hAnsi="宋体"/>
          <w:color w:val="auto"/>
          <w:szCs w:val="21"/>
        </w:rPr>
      </w:pPr>
      <w:r>
        <w:rPr>
          <w:rFonts w:hint="eastAsia" w:ascii="宋体" w:hAnsi="宋体"/>
          <w:color w:val="auto"/>
          <w:szCs w:val="21"/>
          <w:lang w:eastAsia="zh-CN"/>
        </w:rPr>
        <w:t>浦北县第一职业技术学校2024年双优建设项目</w:t>
      </w:r>
      <w:r>
        <w:rPr>
          <w:rFonts w:hint="eastAsia" w:ascii="宋体" w:hAnsi="宋体"/>
          <w:color w:val="auto"/>
          <w:szCs w:val="21"/>
        </w:rPr>
        <w:t>的潜在供应商应在广西政府采购云平台（https://www.gcy.zfcg.gxzf.gov.cn/）获取采购文件，并于202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28</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30</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bookmarkEnd w:id="2"/>
    <w:p w14:paraId="4A75D68A">
      <w:pPr>
        <w:spacing w:line="400" w:lineRule="exact"/>
        <w:rPr>
          <w:b/>
          <w:color w:val="auto"/>
        </w:rPr>
      </w:pPr>
      <w:bookmarkStart w:id="3" w:name="_Toc28359079"/>
      <w:bookmarkStart w:id="4" w:name="_Toc35393790"/>
      <w:bookmarkStart w:id="5" w:name="_Toc35393621"/>
      <w:bookmarkStart w:id="6" w:name="_Toc28359002"/>
      <w:bookmarkStart w:id="7" w:name="_Hlk24379207"/>
      <w:bookmarkStart w:id="8" w:name="_Toc38370146"/>
      <w:r>
        <w:rPr>
          <w:rFonts w:hint="eastAsia"/>
          <w:b/>
          <w:color w:val="auto"/>
        </w:rPr>
        <w:t>一、项目基本情况</w:t>
      </w:r>
      <w:bookmarkEnd w:id="3"/>
      <w:bookmarkEnd w:id="4"/>
      <w:bookmarkEnd w:id="5"/>
      <w:bookmarkEnd w:id="6"/>
    </w:p>
    <w:p w14:paraId="66B9551A">
      <w:pPr>
        <w:spacing w:line="400" w:lineRule="exact"/>
        <w:ind w:firstLine="420"/>
        <w:rPr>
          <w:rFonts w:hint="eastAsia" w:eastAsia="宋体"/>
          <w:color w:val="auto"/>
          <w:lang w:eastAsia="zh-CN"/>
        </w:rPr>
      </w:pPr>
      <w:r>
        <w:rPr>
          <w:rFonts w:hint="eastAsia"/>
          <w:color w:val="auto"/>
        </w:rPr>
        <w:t>项目编号：</w:t>
      </w:r>
      <w:r>
        <w:rPr>
          <w:rFonts w:hint="eastAsia"/>
          <w:color w:val="auto"/>
          <w:lang w:eastAsia="zh-CN"/>
        </w:rPr>
        <w:t xml:space="preserve"> QZZC2025-J1-220138-QZSZ</w:t>
      </w:r>
    </w:p>
    <w:p w14:paraId="4755A984">
      <w:pPr>
        <w:spacing w:line="400" w:lineRule="exact"/>
        <w:ind w:firstLine="420"/>
        <w:rPr>
          <w:rFonts w:hint="eastAsia" w:eastAsia="宋体"/>
          <w:color w:val="auto"/>
          <w:lang w:eastAsia="zh-CN"/>
        </w:rPr>
      </w:pPr>
      <w:r>
        <w:rPr>
          <w:rFonts w:hint="eastAsia"/>
          <w:color w:val="auto"/>
        </w:rPr>
        <w:t>项目名称：</w:t>
      </w:r>
      <w:r>
        <w:rPr>
          <w:rFonts w:hint="eastAsia"/>
          <w:color w:val="auto"/>
          <w:lang w:eastAsia="zh-CN"/>
        </w:rPr>
        <w:t>浦北县第一职业技术学校2024年双优建设项目</w:t>
      </w:r>
    </w:p>
    <w:bookmarkEnd w:id="7"/>
    <w:p w14:paraId="7BE3022B">
      <w:pPr>
        <w:spacing w:line="400" w:lineRule="exact"/>
        <w:ind w:firstLine="420"/>
        <w:rPr>
          <w:rFonts w:hint="default"/>
          <w:color w:val="auto"/>
          <w:lang w:val="en-US" w:eastAsia="zh-CN"/>
        </w:rPr>
      </w:pPr>
      <w:r>
        <w:rPr>
          <w:rFonts w:hint="eastAsia"/>
          <w:color w:val="auto"/>
        </w:rPr>
        <w:t>预算总金额(元</w:t>
      </w:r>
      <w:r>
        <w:rPr>
          <w:color w:val="auto"/>
        </w:rPr>
        <w:t>)</w:t>
      </w:r>
      <w:r>
        <w:rPr>
          <w:rFonts w:hint="eastAsia"/>
          <w:color w:val="auto"/>
        </w:rPr>
        <w:t>：</w:t>
      </w:r>
      <w:r>
        <w:rPr>
          <w:rFonts w:hint="eastAsia"/>
          <w:color w:val="auto"/>
          <w:lang w:val="en-US" w:eastAsia="zh-CN"/>
        </w:rPr>
        <w:t>2699000.00</w:t>
      </w:r>
    </w:p>
    <w:p w14:paraId="22577639">
      <w:pPr>
        <w:spacing w:line="400" w:lineRule="exact"/>
        <w:ind w:firstLine="420"/>
        <w:rPr>
          <w:color w:val="auto"/>
        </w:rPr>
      </w:pPr>
      <w:r>
        <w:rPr>
          <w:rFonts w:hint="eastAsia"/>
          <w:color w:val="auto"/>
        </w:rPr>
        <w:t>采购需求：</w:t>
      </w:r>
    </w:p>
    <w:p w14:paraId="1B5D1E82">
      <w:pPr>
        <w:spacing w:line="400" w:lineRule="exact"/>
        <w:rPr>
          <w:color w:val="auto"/>
        </w:rPr>
      </w:pPr>
    </w:p>
    <w:p w14:paraId="3A40C015">
      <w:pPr>
        <w:spacing w:line="400" w:lineRule="exact"/>
        <w:ind w:firstLine="420"/>
        <w:rPr>
          <w:rFonts w:hint="default" w:eastAsia="宋体"/>
          <w:color w:val="auto"/>
          <w:lang w:val="en-US" w:eastAsia="zh-CN"/>
        </w:rPr>
      </w:pPr>
      <w:r>
        <w:rPr>
          <w:rFonts w:hint="eastAsia"/>
          <w:color w:val="auto"/>
          <w:lang w:val="en-US" w:eastAsia="zh-CN"/>
        </w:rPr>
        <w:t>标项一</w:t>
      </w:r>
    </w:p>
    <w:p w14:paraId="41A1D860">
      <w:pPr>
        <w:spacing w:line="400" w:lineRule="exact"/>
        <w:ind w:firstLine="420"/>
        <w:rPr>
          <w:color w:val="auto"/>
        </w:rPr>
      </w:pPr>
      <w:r>
        <w:rPr>
          <w:rFonts w:hint="eastAsia"/>
          <w:color w:val="auto"/>
        </w:rPr>
        <w:t>标项名称：</w:t>
      </w:r>
      <w:r>
        <w:rPr>
          <w:rFonts w:hint="eastAsia"/>
          <w:color w:val="auto"/>
          <w:lang w:eastAsia="zh-CN"/>
        </w:rPr>
        <w:t>计算机网络技术实训室</w:t>
      </w:r>
    </w:p>
    <w:p w14:paraId="67E876CC">
      <w:pPr>
        <w:spacing w:line="400" w:lineRule="exact"/>
        <w:ind w:firstLine="420"/>
        <w:rPr>
          <w:color w:val="auto"/>
        </w:rPr>
      </w:pPr>
      <w:r>
        <w:rPr>
          <w:rFonts w:hint="eastAsia"/>
          <w:color w:val="auto"/>
        </w:rPr>
        <w:t>数量：1</w:t>
      </w:r>
    </w:p>
    <w:p w14:paraId="78363E31">
      <w:pPr>
        <w:spacing w:line="400" w:lineRule="exact"/>
        <w:ind w:firstLine="420"/>
        <w:rPr>
          <w:color w:val="auto"/>
        </w:rPr>
      </w:pPr>
      <w:r>
        <w:rPr>
          <w:rFonts w:hint="eastAsia"/>
          <w:color w:val="auto"/>
        </w:rPr>
        <w:t>预算金额(元</w:t>
      </w:r>
      <w:r>
        <w:rPr>
          <w:color w:val="auto"/>
        </w:rPr>
        <w:t>)</w:t>
      </w:r>
      <w:r>
        <w:rPr>
          <w:rFonts w:hint="eastAsia"/>
          <w:color w:val="auto"/>
        </w:rPr>
        <w:t>：</w:t>
      </w:r>
      <w:r>
        <w:rPr>
          <w:rFonts w:hint="eastAsia"/>
          <w:color w:val="auto"/>
          <w:lang w:val="en-US" w:eastAsia="zh-CN"/>
        </w:rPr>
        <w:t>899000.00</w:t>
      </w:r>
    </w:p>
    <w:p w14:paraId="392DF74E">
      <w:pPr>
        <w:spacing w:line="400" w:lineRule="exact"/>
        <w:ind w:firstLine="420"/>
        <w:rPr>
          <w:rFonts w:hint="eastAsia"/>
          <w:color w:val="auto"/>
        </w:rPr>
      </w:pPr>
      <w:r>
        <w:rPr>
          <w:rFonts w:hint="eastAsia"/>
          <w:color w:val="auto"/>
        </w:rPr>
        <w:t>简要规格描述或项目基本</w:t>
      </w:r>
      <w:r>
        <w:rPr>
          <w:rFonts w:hint="eastAsia"/>
          <w:color w:val="auto"/>
          <w:highlight w:val="none"/>
        </w:rPr>
        <w:t>概况介绍、用途</w:t>
      </w:r>
      <w:r>
        <w:rPr>
          <w:rFonts w:hint="eastAsia"/>
          <w:color w:val="auto"/>
        </w:rPr>
        <w:t>：</w:t>
      </w:r>
      <w:r>
        <w:rPr>
          <w:rFonts w:hint="eastAsia" w:ascii="Times New Roman" w:hAnsi="Times New Roman" w:cs="Times New Roman"/>
          <w:color w:val="auto"/>
          <w:lang w:val="en-US" w:eastAsia="zh-CN"/>
        </w:rPr>
        <w:t>计算机专业</w:t>
      </w:r>
      <w:r>
        <w:rPr>
          <w:rFonts w:hint="eastAsia"/>
          <w:color w:val="auto"/>
          <w:lang w:val="en-US" w:eastAsia="zh-CN"/>
        </w:rPr>
        <w:t>教学设备一批</w:t>
      </w:r>
      <w:r>
        <w:rPr>
          <w:rFonts w:hint="eastAsia"/>
          <w:color w:val="auto"/>
        </w:rPr>
        <w:t xml:space="preserve">，具体详见采购需求。 </w:t>
      </w:r>
    </w:p>
    <w:p w14:paraId="6FBE79C3">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14:paraId="36FA232F">
      <w:pPr>
        <w:spacing w:line="400" w:lineRule="exact"/>
        <w:ind w:firstLine="420"/>
        <w:rPr>
          <w:rFonts w:hint="eastAsia"/>
          <w:color w:val="auto"/>
          <w:highlight w:val="none"/>
        </w:rPr>
      </w:pPr>
      <w:r>
        <w:rPr>
          <w:rFonts w:hint="eastAsia"/>
          <w:color w:val="auto"/>
          <w:highlight w:val="none"/>
        </w:rPr>
        <w:t>合同履行期限：</w:t>
      </w:r>
      <w:r>
        <w:rPr>
          <w:rFonts w:hint="eastAsia"/>
          <w:color w:val="auto"/>
          <w:highlight w:val="none"/>
          <w:lang w:val="en-US" w:eastAsia="zh-CN"/>
        </w:rPr>
        <w:t>合同签订之日起15日内</w:t>
      </w:r>
      <w:r>
        <w:rPr>
          <w:rFonts w:hint="eastAsia"/>
          <w:color w:val="auto"/>
          <w:highlight w:val="none"/>
        </w:rPr>
        <w:t>安装调试竣工验收交付使用。</w:t>
      </w:r>
    </w:p>
    <w:p w14:paraId="025E412E">
      <w:pPr>
        <w:spacing w:line="400" w:lineRule="exact"/>
        <w:ind w:firstLine="420"/>
        <w:rPr>
          <w:color w:val="auto"/>
        </w:rPr>
      </w:pPr>
      <w:r>
        <w:rPr>
          <w:rFonts w:hint="eastAsia"/>
          <w:color w:val="auto"/>
        </w:rPr>
        <w:t>本标项(否</w:t>
      </w:r>
      <w:r>
        <w:rPr>
          <w:color w:val="auto"/>
        </w:rPr>
        <w:t>)</w:t>
      </w:r>
      <w:r>
        <w:rPr>
          <w:rFonts w:hint="eastAsia"/>
          <w:color w:val="auto"/>
        </w:rPr>
        <w:t>接受联合体竞标。</w:t>
      </w:r>
    </w:p>
    <w:p w14:paraId="7C878617">
      <w:pPr>
        <w:spacing w:line="400" w:lineRule="exact"/>
        <w:ind w:firstLine="420"/>
        <w:rPr>
          <w:color w:val="auto"/>
        </w:rPr>
      </w:pPr>
      <w:r>
        <w:rPr>
          <w:rFonts w:hint="eastAsia"/>
          <w:color w:val="auto"/>
        </w:rPr>
        <w:t>备注：</w:t>
      </w:r>
    </w:p>
    <w:p w14:paraId="2ADA059B">
      <w:pPr>
        <w:spacing w:line="400" w:lineRule="exact"/>
        <w:ind w:firstLine="420"/>
        <w:rPr>
          <w:color w:val="auto"/>
        </w:rPr>
      </w:pPr>
    </w:p>
    <w:p w14:paraId="0833736C">
      <w:pPr>
        <w:spacing w:line="400" w:lineRule="exact"/>
        <w:ind w:firstLine="420"/>
        <w:rPr>
          <w:rFonts w:hint="default" w:eastAsia="宋体"/>
          <w:color w:val="auto"/>
          <w:lang w:val="en-US" w:eastAsia="zh-CN"/>
        </w:rPr>
      </w:pPr>
      <w:r>
        <w:rPr>
          <w:rFonts w:hint="eastAsia"/>
          <w:color w:val="auto"/>
          <w:lang w:val="en-US" w:eastAsia="zh-CN"/>
        </w:rPr>
        <w:t>标项二</w:t>
      </w:r>
    </w:p>
    <w:p w14:paraId="6716098E">
      <w:pPr>
        <w:spacing w:line="400" w:lineRule="exact"/>
        <w:ind w:firstLine="420"/>
        <w:rPr>
          <w:color w:val="auto"/>
        </w:rPr>
      </w:pPr>
      <w:r>
        <w:rPr>
          <w:rFonts w:hint="eastAsia"/>
          <w:color w:val="auto"/>
        </w:rPr>
        <w:t>标项名称：</w:t>
      </w:r>
      <w:r>
        <w:rPr>
          <w:rFonts w:hint="eastAsia"/>
          <w:color w:val="auto"/>
          <w:lang w:eastAsia="zh-CN"/>
        </w:rPr>
        <w:t>数字化设计实训室、现代加工实训室和建设焊接实训室</w:t>
      </w:r>
    </w:p>
    <w:p w14:paraId="7ED70FF6">
      <w:pPr>
        <w:spacing w:line="400" w:lineRule="exact"/>
        <w:ind w:firstLine="420"/>
        <w:rPr>
          <w:color w:val="auto"/>
        </w:rPr>
      </w:pPr>
      <w:r>
        <w:rPr>
          <w:rFonts w:hint="eastAsia"/>
          <w:color w:val="auto"/>
        </w:rPr>
        <w:t>数量：1</w:t>
      </w:r>
    </w:p>
    <w:p w14:paraId="3A38BC22">
      <w:pPr>
        <w:spacing w:line="400" w:lineRule="exact"/>
        <w:ind w:firstLine="420"/>
        <w:rPr>
          <w:color w:val="auto"/>
        </w:rPr>
      </w:pPr>
      <w:r>
        <w:rPr>
          <w:rFonts w:hint="eastAsia"/>
          <w:color w:val="auto"/>
        </w:rPr>
        <w:t>预算金额(元</w:t>
      </w:r>
      <w:r>
        <w:rPr>
          <w:color w:val="auto"/>
        </w:rPr>
        <w:t>)</w:t>
      </w:r>
      <w:r>
        <w:rPr>
          <w:rFonts w:hint="eastAsia"/>
          <w:color w:val="auto"/>
        </w:rPr>
        <w:t>：</w:t>
      </w:r>
      <w:r>
        <w:rPr>
          <w:rFonts w:hint="eastAsia"/>
          <w:color w:val="auto"/>
          <w:lang w:val="en-US" w:eastAsia="zh-CN"/>
        </w:rPr>
        <w:t>1800000.00</w:t>
      </w:r>
    </w:p>
    <w:p w14:paraId="7D63D969">
      <w:pPr>
        <w:spacing w:line="400" w:lineRule="exact"/>
        <w:ind w:firstLine="420"/>
        <w:rPr>
          <w:rFonts w:hint="eastAsia"/>
          <w:color w:val="auto"/>
        </w:rPr>
      </w:pPr>
      <w:r>
        <w:rPr>
          <w:rFonts w:hint="eastAsia"/>
          <w:color w:val="auto"/>
        </w:rPr>
        <w:t>简要规格描述或项目基本</w:t>
      </w:r>
      <w:r>
        <w:rPr>
          <w:rFonts w:hint="eastAsia"/>
          <w:color w:val="auto"/>
          <w:highlight w:val="none"/>
        </w:rPr>
        <w:t>概况介绍、用途</w:t>
      </w:r>
      <w:r>
        <w:rPr>
          <w:rFonts w:hint="eastAsia"/>
          <w:color w:val="auto"/>
        </w:rPr>
        <w:t>：</w:t>
      </w:r>
      <w:r>
        <w:rPr>
          <w:rFonts w:hint="eastAsia" w:ascii="Times New Roman" w:hAnsi="Times New Roman" w:cs="Times New Roman"/>
          <w:color w:val="auto"/>
          <w:lang w:val="en-US" w:eastAsia="zh-CN"/>
        </w:rPr>
        <w:t>数</w:t>
      </w:r>
      <w:r>
        <w:rPr>
          <w:rFonts w:hint="eastAsia"/>
          <w:color w:val="auto"/>
          <w:lang w:val="en-US" w:eastAsia="zh-CN"/>
        </w:rPr>
        <w:t>控专业二期等教学设备一批</w:t>
      </w:r>
      <w:r>
        <w:rPr>
          <w:rFonts w:hint="eastAsia"/>
          <w:color w:val="auto"/>
        </w:rPr>
        <w:t xml:space="preserve">，具体详见采购需求。 </w:t>
      </w:r>
    </w:p>
    <w:p w14:paraId="793AA234">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14:paraId="607A52F2">
      <w:pPr>
        <w:spacing w:line="400" w:lineRule="exact"/>
        <w:ind w:firstLine="420"/>
        <w:rPr>
          <w:rFonts w:hint="eastAsia"/>
          <w:color w:val="auto"/>
          <w:highlight w:val="none"/>
        </w:rPr>
      </w:pPr>
      <w:r>
        <w:rPr>
          <w:rFonts w:hint="eastAsia"/>
          <w:color w:val="auto"/>
          <w:highlight w:val="none"/>
        </w:rPr>
        <w:t>合同履行期限：</w:t>
      </w:r>
      <w:r>
        <w:rPr>
          <w:rFonts w:hint="eastAsia"/>
          <w:color w:val="auto"/>
          <w:highlight w:val="none"/>
          <w:lang w:val="en-US" w:eastAsia="zh-CN"/>
        </w:rPr>
        <w:t>合同签订之日起15日内</w:t>
      </w:r>
      <w:r>
        <w:rPr>
          <w:rFonts w:hint="eastAsia"/>
          <w:color w:val="auto"/>
          <w:highlight w:val="none"/>
        </w:rPr>
        <w:t>安装调试竣工验收交付使用。</w:t>
      </w:r>
    </w:p>
    <w:p w14:paraId="2E06405F">
      <w:pPr>
        <w:spacing w:line="400" w:lineRule="exact"/>
        <w:ind w:firstLine="420"/>
        <w:rPr>
          <w:color w:val="auto"/>
        </w:rPr>
      </w:pPr>
      <w:r>
        <w:rPr>
          <w:rFonts w:hint="eastAsia"/>
          <w:color w:val="auto"/>
        </w:rPr>
        <w:t>本标项(否</w:t>
      </w:r>
      <w:r>
        <w:rPr>
          <w:color w:val="auto"/>
        </w:rPr>
        <w:t>)</w:t>
      </w:r>
      <w:r>
        <w:rPr>
          <w:rFonts w:hint="eastAsia"/>
          <w:color w:val="auto"/>
        </w:rPr>
        <w:t>接受联合体竞标。</w:t>
      </w:r>
    </w:p>
    <w:p w14:paraId="3FC31ACD">
      <w:pPr>
        <w:spacing w:line="400" w:lineRule="exact"/>
        <w:ind w:firstLine="420"/>
        <w:rPr>
          <w:color w:val="auto"/>
        </w:rPr>
      </w:pPr>
      <w:r>
        <w:rPr>
          <w:rFonts w:hint="eastAsia"/>
          <w:color w:val="auto"/>
        </w:rPr>
        <w:t>备注：</w:t>
      </w:r>
    </w:p>
    <w:p w14:paraId="342EA3D6">
      <w:pPr>
        <w:spacing w:line="400" w:lineRule="exact"/>
        <w:ind w:firstLine="420"/>
        <w:rPr>
          <w:color w:val="auto"/>
        </w:rPr>
      </w:pPr>
    </w:p>
    <w:p w14:paraId="07CDAFD7">
      <w:pPr>
        <w:spacing w:line="400" w:lineRule="exact"/>
        <w:rPr>
          <w:b/>
          <w:color w:val="auto"/>
        </w:rPr>
      </w:pPr>
      <w:bookmarkStart w:id="9" w:name="_Toc28359080"/>
      <w:bookmarkStart w:id="10" w:name="_Toc35393622"/>
      <w:bookmarkStart w:id="11" w:name="_Toc28359003"/>
      <w:bookmarkStart w:id="12" w:name="_Toc35393791"/>
      <w:r>
        <w:rPr>
          <w:rFonts w:hint="eastAsia"/>
          <w:b/>
          <w:color w:val="auto"/>
        </w:rPr>
        <w:t>二、申请人的资格要求：</w:t>
      </w:r>
      <w:bookmarkEnd w:id="9"/>
      <w:bookmarkEnd w:id="10"/>
      <w:bookmarkEnd w:id="11"/>
      <w:bookmarkEnd w:id="12"/>
      <w:bookmarkStart w:id="13" w:name="_Toc28359004"/>
      <w:bookmarkStart w:id="14" w:name="_Toc35393792"/>
      <w:bookmarkStart w:id="15" w:name="_Toc35393623"/>
      <w:bookmarkStart w:id="16" w:name="_Toc28359081"/>
    </w:p>
    <w:p w14:paraId="02982543">
      <w:pPr>
        <w:spacing w:line="400" w:lineRule="exact"/>
        <w:ind w:firstLine="420"/>
        <w:rPr>
          <w:b/>
          <w:color w:val="auto"/>
        </w:rPr>
      </w:pPr>
      <w:r>
        <w:rPr>
          <w:rFonts w:hint="eastAsia"/>
          <w:color w:val="auto"/>
        </w:rPr>
        <w:t>1.满足《中华人民共和国政府采购法》第二十二条规定</w:t>
      </w:r>
    </w:p>
    <w:p w14:paraId="7A2B49D9">
      <w:pPr>
        <w:spacing w:line="418" w:lineRule="exact"/>
        <w:ind w:left="-283" w:leftChars="-135" w:firstLine="699" w:firstLineChars="333"/>
        <w:rPr>
          <w:rFonts w:hint="eastAsia" w:eastAsia="宋体"/>
          <w:color w:val="auto"/>
          <w:lang w:val="en-US" w:eastAsia="zh-CN"/>
        </w:rPr>
      </w:pPr>
      <w:r>
        <w:rPr>
          <w:rFonts w:hint="eastAsia"/>
          <w:color w:val="auto"/>
        </w:rPr>
        <w:t>2.落实政府采购政策需满足的资格要求：</w:t>
      </w:r>
      <w:r>
        <w:rPr>
          <w:rFonts w:hint="eastAsia"/>
          <w:color w:val="auto"/>
          <w:lang w:val="en-US" w:eastAsia="zh-CN"/>
        </w:rPr>
        <w:t>标项1、2</w:t>
      </w:r>
      <w:r>
        <w:rPr>
          <w:rFonts w:hint="eastAsia"/>
          <w:color w:val="auto"/>
        </w:rPr>
        <w:t>专门面向中小企业</w:t>
      </w:r>
      <w:r>
        <w:rPr>
          <w:rFonts w:hint="eastAsia"/>
          <w:color w:val="auto"/>
          <w:lang w:val="en-US" w:eastAsia="zh-CN"/>
        </w:rPr>
        <w:t>采购，</w:t>
      </w:r>
      <w:r>
        <w:rPr>
          <w:rFonts w:hint="eastAsia"/>
          <w:color w:val="auto"/>
        </w:rPr>
        <w:t>提供的货物须全部由符合政策要求的中型、小型或微型企业（包括监狱企业及残疾人福利单位）制造</w:t>
      </w:r>
      <w:r>
        <w:rPr>
          <w:rFonts w:hint="eastAsia"/>
          <w:color w:val="auto"/>
          <w:lang w:eastAsia="zh-CN"/>
        </w:rPr>
        <w:t>。</w:t>
      </w:r>
    </w:p>
    <w:p w14:paraId="693FCBD2">
      <w:pPr>
        <w:spacing w:line="400" w:lineRule="exact"/>
        <w:ind w:firstLine="435"/>
        <w:rPr>
          <w:color w:val="auto"/>
        </w:rPr>
      </w:pPr>
      <w:r>
        <w:rPr>
          <w:rFonts w:hint="eastAsia"/>
          <w:color w:val="auto"/>
        </w:rPr>
        <w:t>3.本项目的特定资格要求：无</w:t>
      </w:r>
    </w:p>
    <w:p w14:paraId="59FCC519">
      <w:pPr>
        <w:spacing w:line="400" w:lineRule="exact"/>
        <w:rPr>
          <w:b/>
          <w:color w:val="auto"/>
        </w:rPr>
      </w:pPr>
      <w:r>
        <w:rPr>
          <w:rFonts w:hint="eastAsia"/>
          <w:b/>
          <w:color w:val="auto"/>
        </w:rPr>
        <w:t>三、获取采购文件</w:t>
      </w:r>
      <w:bookmarkEnd w:id="13"/>
      <w:bookmarkEnd w:id="14"/>
      <w:bookmarkEnd w:id="15"/>
      <w:bookmarkEnd w:id="16"/>
    </w:p>
    <w:p w14:paraId="4CBC00A8">
      <w:pPr>
        <w:spacing w:line="400" w:lineRule="exact"/>
        <w:ind w:firstLine="420"/>
        <w:jc w:val="left"/>
        <w:rPr>
          <w:color w:val="auto"/>
        </w:rPr>
      </w:pPr>
      <w:bookmarkStart w:id="17" w:name="_Toc38370141"/>
      <w:r>
        <w:rPr>
          <w:rFonts w:hint="eastAsia"/>
          <w:color w:val="auto"/>
        </w:rPr>
        <w:t>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19</w:t>
      </w:r>
      <w:r>
        <w:rPr>
          <w:rFonts w:hint="eastAsia" w:ascii="宋体" w:hAnsi="宋体"/>
          <w:bCs/>
          <w:color w:val="auto"/>
          <w:szCs w:val="21"/>
        </w:rPr>
        <w:t>日</w:t>
      </w:r>
      <w:r>
        <w:rPr>
          <w:rFonts w:hint="eastAsia"/>
          <w:color w:val="auto"/>
        </w:rPr>
        <w:t>至</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26</w:t>
      </w:r>
      <w:r>
        <w:rPr>
          <w:rFonts w:hint="eastAsia" w:ascii="宋体" w:hAnsi="宋体"/>
          <w:bCs/>
          <w:color w:val="auto"/>
          <w:szCs w:val="21"/>
        </w:rPr>
        <w:t>日</w:t>
      </w:r>
      <w:r>
        <w:rPr>
          <w:rFonts w:hint="eastAsia"/>
          <w:color w:val="auto"/>
        </w:rPr>
        <w:t xml:space="preserve"> ，每天上午00:00至12:00，下午12:00至23:59（北京时间，法定节假日除外）</w:t>
      </w:r>
    </w:p>
    <w:p w14:paraId="6C15D31D">
      <w:pPr>
        <w:spacing w:line="400" w:lineRule="exact"/>
        <w:ind w:firstLine="420"/>
        <w:rPr>
          <w:color w:val="auto"/>
        </w:rPr>
      </w:pPr>
      <w:r>
        <w:rPr>
          <w:rFonts w:hint="eastAsia"/>
          <w:color w:val="auto"/>
        </w:rPr>
        <w:t>地点(网址</w:t>
      </w:r>
      <w:r>
        <w:rPr>
          <w:color w:val="auto"/>
        </w:rPr>
        <w:t>)</w:t>
      </w:r>
      <w:r>
        <w:rPr>
          <w:rFonts w:hint="eastAsia"/>
          <w:color w:val="auto"/>
        </w:rPr>
        <w:t>：</w:t>
      </w:r>
      <w:r>
        <w:rPr>
          <w:rFonts w:hint="eastAsia" w:ascii="宋体" w:hAnsi="宋体"/>
          <w:color w:val="auto"/>
          <w:szCs w:val="21"/>
        </w:rPr>
        <w:t>广西政府采购云平台（https://www.gcy.zfcg.gxzf.gov.cn/）</w:t>
      </w:r>
    </w:p>
    <w:p w14:paraId="10687F12">
      <w:pPr>
        <w:spacing w:line="400" w:lineRule="exact"/>
        <w:ind w:firstLine="420"/>
        <w:rPr>
          <w:color w:val="auto"/>
        </w:rPr>
      </w:pPr>
      <w:r>
        <w:rPr>
          <w:rFonts w:hint="eastAsia"/>
          <w:color w:val="auto"/>
        </w:rPr>
        <w:t>方式：供应商登录广西政府采购云平台在线获取采购文件（进入“项目采购”应用选择项目，获取采购文件）</w:t>
      </w:r>
    </w:p>
    <w:p w14:paraId="4645EE9A">
      <w:pPr>
        <w:spacing w:line="400" w:lineRule="exact"/>
        <w:ind w:firstLine="420"/>
        <w:rPr>
          <w:color w:val="auto"/>
        </w:rPr>
      </w:pPr>
      <w:r>
        <w:rPr>
          <w:rFonts w:hint="eastAsia"/>
          <w:color w:val="auto"/>
        </w:rPr>
        <w:t>售价(元</w:t>
      </w:r>
      <w:r>
        <w:rPr>
          <w:color w:val="auto"/>
        </w:rPr>
        <w:t>)</w:t>
      </w:r>
      <w:r>
        <w:rPr>
          <w:rFonts w:hint="eastAsia"/>
          <w:color w:val="auto"/>
        </w:rPr>
        <w:t>：0</w:t>
      </w:r>
    </w:p>
    <w:p w14:paraId="417B66DF">
      <w:pPr>
        <w:spacing w:line="400" w:lineRule="exact"/>
        <w:rPr>
          <w:b/>
          <w:color w:val="auto"/>
        </w:rPr>
      </w:pPr>
      <w:r>
        <w:rPr>
          <w:rFonts w:hint="eastAsia"/>
          <w:b/>
          <w:bCs/>
          <w:color w:val="auto"/>
        </w:rPr>
        <w:t>四、</w:t>
      </w:r>
      <w:bookmarkEnd w:id="17"/>
      <w:bookmarkStart w:id="18" w:name="_Toc28359082"/>
      <w:bookmarkStart w:id="19" w:name="_Toc28359005"/>
      <w:bookmarkStart w:id="20" w:name="_Toc35393793"/>
      <w:bookmarkStart w:id="21" w:name="_Toc35393624"/>
      <w:r>
        <w:rPr>
          <w:rFonts w:hint="eastAsia"/>
          <w:b/>
          <w:color w:val="auto"/>
        </w:rPr>
        <w:t>响应文件</w:t>
      </w:r>
      <w:bookmarkEnd w:id="18"/>
      <w:bookmarkEnd w:id="19"/>
      <w:r>
        <w:rPr>
          <w:rFonts w:hint="eastAsia"/>
          <w:b/>
          <w:color w:val="auto"/>
        </w:rPr>
        <w:t>提交</w:t>
      </w:r>
      <w:bookmarkEnd w:id="20"/>
      <w:bookmarkEnd w:id="21"/>
    </w:p>
    <w:p w14:paraId="06783A3C">
      <w:pPr>
        <w:spacing w:line="400" w:lineRule="exact"/>
        <w:ind w:firstLine="420"/>
        <w:rPr>
          <w:color w:val="auto"/>
        </w:rPr>
      </w:pPr>
      <w:r>
        <w:rPr>
          <w:rFonts w:hint="eastAsia"/>
          <w:color w:val="auto"/>
        </w:rPr>
        <w:t>截止时间：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28</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30</w:t>
      </w:r>
      <w:r>
        <w:rPr>
          <w:rFonts w:hint="eastAsia"/>
          <w:color w:val="auto"/>
        </w:rPr>
        <w:t>（北京时间）</w:t>
      </w:r>
    </w:p>
    <w:p w14:paraId="6F79BE42">
      <w:pPr>
        <w:spacing w:line="400" w:lineRule="exact"/>
        <w:ind w:firstLine="420"/>
        <w:rPr>
          <w:rFonts w:hint="eastAsia" w:ascii="宋体" w:hAnsi="宋体" w:cs="Courier New"/>
          <w:color w:val="auto"/>
          <w:szCs w:val="21"/>
        </w:rPr>
      </w:pPr>
      <w:r>
        <w:rPr>
          <w:rFonts w:hint="eastAsia"/>
          <w:color w:val="auto"/>
        </w:rPr>
        <w:t>地点(网址）：</w:t>
      </w:r>
      <w:r>
        <w:rPr>
          <w:rFonts w:hint="eastAsia" w:ascii="宋体" w:hAnsi="宋体"/>
          <w:color w:val="auto"/>
          <w:szCs w:val="21"/>
        </w:rPr>
        <w:t>广西政府采购云平台（https://www.gcy.zfcg.gxzf.gov.cn/）</w:t>
      </w:r>
    </w:p>
    <w:p w14:paraId="76B84FA1">
      <w:pPr>
        <w:spacing w:line="400" w:lineRule="exact"/>
        <w:rPr>
          <w:rFonts w:hint="eastAsia" w:ascii="宋体" w:hAnsi="宋体" w:cs="Courier New"/>
          <w:b/>
          <w:bCs/>
          <w:color w:val="auto"/>
          <w:szCs w:val="21"/>
        </w:rPr>
      </w:pPr>
      <w:r>
        <w:rPr>
          <w:rFonts w:hint="eastAsia" w:ascii="宋体" w:hAnsi="宋体" w:cs="Courier New"/>
          <w:b/>
          <w:bCs/>
          <w:color w:val="auto"/>
          <w:szCs w:val="21"/>
        </w:rPr>
        <w:t>五、响应文件开启</w:t>
      </w:r>
    </w:p>
    <w:p w14:paraId="40841CF9">
      <w:pPr>
        <w:spacing w:line="400" w:lineRule="exact"/>
        <w:ind w:firstLine="420" w:firstLineChars="200"/>
        <w:rPr>
          <w:rFonts w:hint="eastAsia" w:ascii="宋体" w:hAnsi="宋体" w:cs="Courier New"/>
          <w:color w:val="auto"/>
          <w:szCs w:val="21"/>
        </w:rPr>
      </w:pPr>
      <w:r>
        <w:rPr>
          <w:rFonts w:hint="eastAsia" w:ascii="宋体" w:hAnsi="宋体" w:cs="Courier New"/>
          <w:color w:val="auto"/>
          <w:szCs w:val="21"/>
        </w:rPr>
        <w:t>开启时间：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28</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30</w:t>
      </w:r>
      <w:r>
        <w:rPr>
          <w:rFonts w:hint="eastAsia"/>
          <w:color w:val="auto"/>
        </w:rPr>
        <w:t>（北京时间）</w:t>
      </w:r>
    </w:p>
    <w:p w14:paraId="46AD5F9D">
      <w:pPr>
        <w:spacing w:line="400" w:lineRule="exact"/>
        <w:ind w:firstLine="420"/>
        <w:rPr>
          <w:rFonts w:hint="eastAsia" w:ascii="宋体" w:hAnsi="宋体" w:cs="Courier New"/>
          <w:color w:val="auto"/>
          <w:szCs w:val="21"/>
        </w:rPr>
      </w:pPr>
      <w:r>
        <w:rPr>
          <w:rFonts w:hint="eastAsia" w:ascii="宋体" w:hAnsi="宋体" w:cs="Courier New"/>
          <w:color w:val="auto"/>
          <w:szCs w:val="21"/>
        </w:rPr>
        <w:t>地点：</w:t>
      </w:r>
      <w:bookmarkStart w:id="22" w:name="_Toc35393794"/>
      <w:bookmarkStart w:id="23" w:name="_Toc35393625"/>
      <w:bookmarkStart w:id="24" w:name="_Toc28359007"/>
      <w:bookmarkStart w:id="25" w:name="_Toc28359084"/>
      <w:r>
        <w:rPr>
          <w:rFonts w:hint="eastAsia"/>
          <w:color w:val="auto"/>
        </w:rPr>
        <w:t>广西钦州市金海湾东大街8号市政务服务中心三楼开标室</w:t>
      </w:r>
    </w:p>
    <w:p w14:paraId="0B5EC5E7">
      <w:pPr>
        <w:spacing w:line="400" w:lineRule="exact"/>
        <w:rPr>
          <w:b/>
          <w:color w:val="auto"/>
        </w:rPr>
      </w:pPr>
      <w:r>
        <w:rPr>
          <w:rFonts w:hint="eastAsia"/>
          <w:b/>
          <w:color w:val="auto"/>
        </w:rPr>
        <w:t>六、公告期限</w:t>
      </w:r>
      <w:bookmarkEnd w:id="22"/>
      <w:bookmarkEnd w:id="23"/>
      <w:bookmarkEnd w:id="24"/>
      <w:bookmarkEnd w:id="25"/>
    </w:p>
    <w:p w14:paraId="48AA70CD">
      <w:pPr>
        <w:spacing w:line="400" w:lineRule="exact"/>
        <w:ind w:firstLine="420"/>
        <w:rPr>
          <w:color w:val="auto"/>
        </w:rPr>
      </w:pPr>
      <w:r>
        <w:rPr>
          <w:rFonts w:hint="eastAsia"/>
          <w:color w:val="auto"/>
        </w:rPr>
        <w:t>自本公告发布之日起</w:t>
      </w:r>
      <w:r>
        <w:rPr>
          <w:color w:val="auto"/>
        </w:rPr>
        <w:t>3</w:t>
      </w:r>
      <w:r>
        <w:rPr>
          <w:rFonts w:hint="eastAsia"/>
          <w:color w:val="auto"/>
        </w:rPr>
        <w:t>个工作日。</w:t>
      </w:r>
    </w:p>
    <w:p w14:paraId="1443EDB0">
      <w:pPr>
        <w:spacing w:line="400" w:lineRule="exact"/>
        <w:rPr>
          <w:b/>
          <w:color w:val="auto"/>
        </w:rPr>
      </w:pPr>
      <w:bookmarkStart w:id="26" w:name="_Toc28359008"/>
      <w:bookmarkStart w:id="27" w:name="_Toc35393796"/>
      <w:bookmarkStart w:id="28" w:name="_Toc28359085"/>
      <w:bookmarkStart w:id="29" w:name="_Toc35393627"/>
      <w:r>
        <w:rPr>
          <w:rFonts w:hint="eastAsia"/>
          <w:b/>
          <w:color w:val="auto"/>
        </w:rPr>
        <w:t>七、其他补充事宜</w:t>
      </w:r>
    </w:p>
    <w:p w14:paraId="2442F209">
      <w:pPr>
        <w:spacing w:line="400" w:lineRule="exact"/>
        <w:ind w:firstLine="420"/>
        <w:rPr>
          <w:b/>
          <w:color w:val="auto"/>
        </w:rPr>
      </w:pPr>
      <w:r>
        <w:rPr>
          <w:rFonts w:hint="eastAsia"/>
          <w:color w:val="auto"/>
        </w:rPr>
        <w:t>1</w:t>
      </w:r>
      <w:r>
        <w:rPr>
          <w:color w:val="auto"/>
        </w:rPr>
        <w:t>.</w:t>
      </w:r>
      <w:r>
        <w:rPr>
          <w:rFonts w:hint="eastAsia"/>
          <w:bCs/>
          <w:color w:val="auto"/>
        </w:rPr>
        <w:t>本项目须要落实的政府采购政策</w:t>
      </w:r>
      <w:r>
        <w:rPr>
          <w:rFonts w:hint="eastAsia"/>
          <w:b/>
          <w:color w:val="auto"/>
        </w:rPr>
        <w:t>：</w:t>
      </w:r>
    </w:p>
    <w:p w14:paraId="60A2D1EB">
      <w:pPr>
        <w:spacing w:line="400" w:lineRule="exact"/>
        <w:ind w:left="420" w:leftChars="200"/>
        <w:rPr>
          <w:bCs/>
          <w:color w:val="auto"/>
        </w:rPr>
      </w:pPr>
      <w:r>
        <w:rPr>
          <w:rFonts w:hint="eastAsia"/>
          <w:bCs/>
          <w:color w:val="auto"/>
        </w:rPr>
        <w:t>(1)财政部 工业和信息化部关于印发《政府采购促进中小企业发展管理办法》的通知(财</w:t>
      </w:r>
    </w:p>
    <w:p w14:paraId="0E9F948A">
      <w:pPr>
        <w:spacing w:line="400" w:lineRule="exact"/>
        <w:ind w:left="420" w:hanging="420" w:hangingChars="200"/>
        <w:rPr>
          <w:rFonts w:hint="eastAsia" w:eastAsia="宋体"/>
          <w:bCs/>
          <w:color w:val="auto"/>
          <w:lang w:eastAsia="zh-CN"/>
        </w:rPr>
      </w:pPr>
      <w:r>
        <w:rPr>
          <w:rFonts w:hint="eastAsia"/>
          <w:bCs/>
          <w:color w:val="auto"/>
        </w:rPr>
        <w:t>库﹝2020﹞46号)</w:t>
      </w:r>
    </w:p>
    <w:p w14:paraId="0077FDEC">
      <w:pPr>
        <w:spacing w:line="400" w:lineRule="exact"/>
        <w:ind w:left="420" w:leftChars="200" w:firstLine="0" w:firstLineChars="0"/>
        <w:rPr>
          <w:bCs/>
          <w:color w:val="auto"/>
        </w:rPr>
      </w:pPr>
      <w:r>
        <w:rPr>
          <w:rFonts w:hint="eastAsia"/>
          <w:bCs/>
          <w:color w:val="auto"/>
        </w:rPr>
        <w:t>(2)财政部 司法部关于政府采购支持监狱企业发展有关问题的通知 (财库﹝2014﹞68</w:t>
      </w:r>
    </w:p>
    <w:p w14:paraId="587FE058">
      <w:pPr>
        <w:spacing w:line="400" w:lineRule="exact"/>
        <w:ind w:left="420" w:hanging="420" w:hangingChars="200"/>
        <w:rPr>
          <w:rFonts w:hint="eastAsia" w:eastAsia="宋体"/>
          <w:bCs/>
          <w:color w:val="auto"/>
          <w:lang w:eastAsia="zh-CN"/>
        </w:rPr>
      </w:pPr>
      <w:r>
        <w:rPr>
          <w:rFonts w:hint="eastAsia"/>
          <w:bCs/>
          <w:color w:val="auto"/>
        </w:rPr>
        <w:t>号)</w:t>
      </w:r>
    </w:p>
    <w:p w14:paraId="6663F8DC">
      <w:pPr>
        <w:spacing w:line="400" w:lineRule="exact"/>
        <w:ind w:left="420" w:leftChars="200" w:firstLine="0" w:firstLineChars="0"/>
        <w:rPr>
          <w:bCs/>
          <w:color w:val="auto"/>
        </w:rPr>
      </w:pPr>
      <w:r>
        <w:rPr>
          <w:rFonts w:hint="eastAsia"/>
          <w:bCs/>
          <w:color w:val="auto"/>
        </w:rPr>
        <w:t>(3)财政部 民政部 中国残疾人联合会关于促进残疾人就业政府采购政策的通知 (财库</w:t>
      </w:r>
    </w:p>
    <w:p w14:paraId="2D8171AA">
      <w:pPr>
        <w:spacing w:line="400" w:lineRule="exact"/>
        <w:ind w:left="420" w:hanging="420" w:hangingChars="200"/>
        <w:rPr>
          <w:rFonts w:hint="eastAsia" w:eastAsia="宋体"/>
          <w:bCs/>
          <w:color w:val="auto"/>
          <w:lang w:eastAsia="zh-CN"/>
        </w:rPr>
      </w:pPr>
      <w:r>
        <w:rPr>
          <w:rFonts w:hint="eastAsia"/>
          <w:bCs/>
          <w:color w:val="auto"/>
        </w:rPr>
        <w:t>﹝2017﹞141号)</w:t>
      </w:r>
    </w:p>
    <w:p w14:paraId="5C7FDE8C">
      <w:pPr>
        <w:spacing w:line="400" w:lineRule="exact"/>
        <w:ind w:left="420" w:leftChars="200" w:firstLine="0" w:firstLineChars="0"/>
        <w:rPr>
          <w:bCs/>
          <w:color w:val="auto"/>
        </w:rPr>
      </w:pPr>
      <w:r>
        <w:rPr>
          <w:rFonts w:hint="eastAsia"/>
          <w:bCs/>
          <w:color w:val="auto"/>
        </w:rPr>
        <w:t>(4)财政部 发展改革委 生态环境部 市场监管总局关于调整优化节能产品、环境标志产</w:t>
      </w:r>
    </w:p>
    <w:p w14:paraId="2AE43CE7">
      <w:pPr>
        <w:spacing w:line="400" w:lineRule="exact"/>
        <w:ind w:left="420" w:hanging="420" w:hangingChars="200"/>
        <w:rPr>
          <w:bCs/>
          <w:color w:val="auto"/>
        </w:rPr>
      </w:pPr>
      <w:r>
        <w:rPr>
          <w:rFonts w:hint="eastAsia"/>
          <w:bCs/>
          <w:color w:val="auto"/>
        </w:rPr>
        <w:t>品政府采购执行机制的通知（财库〔2019〕9号）</w:t>
      </w:r>
    </w:p>
    <w:p w14:paraId="0CC8EF62">
      <w:pPr>
        <w:spacing w:line="400" w:lineRule="exact"/>
        <w:ind w:left="420" w:leftChars="200" w:firstLine="0" w:firstLineChars="0"/>
        <w:rPr>
          <w:rFonts w:hint="eastAsia"/>
          <w:bCs/>
          <w:color w:val="auto"/>
        </w:rPr>
      </w:pPr>
      <w:r>
        <w:rPr>
          <w:rFonts w:hint="eastAsia"/>
          <w:bCs/>
          <w:color w:val="auto"/>
        </w:rPr>
        <w:t>(5)财政部 发展改革委 关于印发节能产品政府采购品目清单的通知（财库〔2019〕19</w:t>
      </w:r>
    </w:p>
    <w:p w14:paraId="63ADD090">
      <w:pPr>
        <w:spacing w:line="400" w:lineRule="exact"/>
        <w:ind w:left="420" w:hanging="420" w:hangingChars="200"/>
        <w:rPr>
          <w:bCs/>
          <w:color w:val="auto"/>
        </w:rPr>
      </w:pPr>
      <w:r>
        <w:rPr>
          <w:rFonts w:hint="eastAsia"/>
          <w:bCs/>
          <w:color w:val="auto"/>
        </w:rPr>
        <w:t>号）</w:t>
      </w:r>
    </w:p>
    <w:p w14:paraId="179C94D9">
      <w:pPr>
        <w:spacing w:line="400" w:lineRule="exact"/>
        <w:ind w:firstLine="420"/>
        <w:rPr>
          <w:color w:val="auto"/>
        </w:rPr>
      </w:pPr>
      <w:r>
        <w:rPr>
          <w:rFonts w:hint="eastAsia"/>
          <w:color w:val="auto"/>
        </w:rPr>
        <w:t>2</w:t>
      </w:r>
      <w:r>
        <w:rPr>
          <w:color w:val="auto"/>
        </w:rPr>
        <w:t>.</w:t>
      </w:r>
      <w:bookmarkStart w:id="30" w:name="_Hlk91598380"/>
      <w:r>
        <w:rPr>
          <w:rFonts w:hint="eastAsia"/>
          <w:color w:val="auto"/>
        </w:rPr>
        <w:t>全流程电子化</w:t>
      </w:r>
      <w:bookmarkEnd w:id="30"/>
      <w:r>
        <w:rPr>
          <w:rFonts w:hint="eastAsia"/>
          <w:color w:val="auto"/>
        </w:rPr>
        <w:t>要求：</w:t>
      </w:r>
    </w:p>
    <w:p w14:paraId="66301ACE">
      <w:pPr>
        <w:spacing w:line="400" w:lineRule="exact"/>
        <w:ind w:firstLine="420"/>
        <w:rPr>
          <w:color w:val="auto"/>
        </w:rPr>
      </w:pPr>
      <w:bookmarkStart w:id="31" w:name="_Hlk147760486"/>
      <w:r>
        <w:rPr>
          <w:rFonts w:hint="eastAsia"/>
          <w:color w:val="auto"/>
        </w:rPr>
        <w:t>本项目为全流程电子化项目，供应商应做好参与全流程电子化交易的充分准备，熟悉掌握电子化采购项目操作指南(操作指南：</w:t>
      </w:r>
      <w:r>
        <w:rPr>
          <w:rFonts w:hint="eastAsia"/>
          <w:color w:val="auto"/>
          <w:u w:val="single"/>
        </w:rPr>
        <w:t>广西</w:t>
      </w:r>
      <w:r>
        <w:rPr>
          <w:color w:val="auto"/>
        </w:rPr>
        <w:fldChar w:fldCharType="begin"/>
      </w:r>
      <w:r>
        <w:rPr>
          <w:color w:val="auto"/>
        </w:rPr>
        <w:instrText xml:space="preserve"> HYPERLINK "https://helpcenter.zcygov.cn/document/" \l "/document/dashboard?siteCode=beijing&amp;channel=dt" </w:instrText>
      </w:r>
      <w:r>
        <w:rPr>
          <w:color w:val="auto"/>
        </w:rPr>
        <w:fldChar w:fldCharType="separate"/>
      </w:r>
      <w:r>
        <w:rPr>
          <w:rStyle w:val="44"/>
          <w:rFonts w:hint="eastAsia"/>
          <w:color w:val="auto"/>
        </w:rPr>
        <w:t>政采云电子卖场首页右上角—服务中心—帮助文档—项目采购</w:t>
      </w:r>
      <w:r>
        <w:rPr>
          <w:rStyle w:val="44"/>
          <w:rFonts w:hint="eastAsia"/>
          <w:color w:val="auto"/>
        </w:rPr>
        <w:fldChar w:fldCharType="end"/>
      </w:r>
      <w:r>
        <w:rPr>
          <w:rFonts w:hint="eastAsia"/>
          <w:color w:val="auto"/>
        </w:rPr>
        <w:t>)，及时完成CA申领和绑定(操作指南：</w:t>
      </w:r>
      <w:r>
        <w:rPr>
          <w:rFonts w:hint="eastAsia"/>
          <w:color w:val="auto"/>
          <w:u w:val="single"/>
        </w:rPr>
        <w:t>广西</w:t>
      </w:r>
      <w:r>
        <w:rPr>
          <w:color w:val="auto"/>
        </w:rPr>
        <w:fldChar w:fldCharType="begin"/>
      </w:r>
      <w:r>
        <w:rPr>
          <w:color w:val="auto"/>
        </w:rPr>
        <w:instrText xml:space="preserve"> HYPERLINK "https://helpcenter.zcygov.cn/document/" \l "/document/detail?siteCode=beijing&amp;manualId=795&amp;topicId=4081" </w:instrText>
      </w:r>
      <w:r>
        <w:rPr>
          <w:color w:val="auto"/>
        </w:rPr>
        <w:fldChar w:fldCharType="separate"/>
      </w:r>
      <w:r>
        <w:rPr>
          <w:rStyle w:val="44"/>
          <w:rFonts w:hint="eastAsia"/>
          <w:color w:val="auto"/>
        </w:rPr>
        <w:t>政采云电子卖场首页右上角—帮助文档—入驻与配置—CA管理</w:t>
      </w:r>
      <w:r>
        <w:rPr>
          <w:rStyle w:val="44"/>
          <w:rFonts w:hint="eastAsia"/>
          <w:color w:val="auto"/>
        </w:rPr>
        <w:fldChar w:fldCharType="end"/>
      </w:r>
      <w:r>
        <w:rPr>
          <w:rFonts w:hint="eastAsia"/>
          <w:color w:val="auto"/>
        </w:rPr>
        <w:t>；CA证书申领路径：</w:t>
      </w:r>
      <w:r>
        <w:rPr>
          <w:rFonts w:hint="eastAsia"/>
          <w:color w:val="auto"/>
          <w:u w:val="single"/>
        </w:rPr>
        <w:t>广西</w:t>
      </w:r>
      <w:r>
        <w:rPr>
          <w:color w:val="auto"/>
        </w:rPr>
        <w:fldChar w:fldCharType="begin"/>
      </w:r>
      <w:r>
        <w:rPr>
          <w:color w:val="auto"/>
        </w:rPr>
        <w:instrText xml:space="preserve"> HYPERLINK "https://helpcenter.zcygov.cn/document/" \l "/document/detail?siteCode=beijing&amp;manualId=795&amp;topicId=4083" </w:instrText>
      </w:r>
      <w:r>
        <w:rPr>
          <w:color w:val="auto"/>
        </w:rPr>
        <w:fldChar w:fldCharType="separate"/>
      </w:r>
      <w:r>
        <w:rPr>
          <w:rStyle w:val="44"/>
          <w:rFonts w:hint="eastAsia"/>
          <w:color w:val="auto"/>
        </w:rPr>
        <w:t>政采云平台—我的工作台右上角—CA管理—CA证书申领</w:t>
      </w:r>
      <w:r>
        <w:rPr>
          <w:rStyle w:val="44"/>
          <w:rFonts w:hint="eastAsia"/>
          <w:color w:val="auto"/>
        </w:rPr>
        <w:fldChar w:fldCharType="end"/>
      </w:r>
      <w:r>
        <w:rPr>
          <w:rFonts w:hint="eastAsia"/>
          <w:color w:val="auto"/>
        </w:rPr>
        <w:t>)。因未注册入库、未办理CA数字证书、CA证书故障、操作不当等原因造成谈判失败等后果由供应商承担。</w:t>
      </w:r>
    </w:p>
    <w:bookmarkEnd w:id="31"/>
    <w:p w14:paraId="667DA206">
      <w:pPr>
        <w:spacing w:line="400" w:lineRule="exact"/>
        <w:ind w:firstLine="420"/>
        <w:rPr>
          <w:color w:val="auto"/>
        </w:rPr>
      </w:pPr>
      <w:r>
        <w:rPr>
          <w:color w:val="auto"/>
        </w:rPr>
        <w:t>(1)</w:t>
      </w:r>
      <w:r>
        <w:rPr>
          <w:rFonts w:hint="eastAsia"/>
          <w:color w:val="auto"/>
        </w:rPr>
        <w:t>依法获取采购文件：供应商须在获取采购文件时间内登录</w:t>
      </w:r>
      <w:r>
        <w:rPr>
          <w:rFonts w:hint="eastAsia"/>
          <w:color w:val="auto"/>
          <w:u w:val="single"/>
        </w:rPr>
        <w:t>广西</w:t>
      </w:r>
      <w:r>
        <w:rPr>
          <w:color w:val="auto"/>
        </w:rPr>
        <w:fldChar w:fldCharType="begin"/>
      </w:r>
      <w:r>
        <w:rPr>
          <w:color w:val="auto"/>
        </w:rPr>
        <w:instrText xml:space="preserve"> HYPERLINK "https://www.zcygov.cn/" </w:instrText>
      </w:r>
      <w:r>
        <w:rPr>
          <w:color w:val="auto"/>
        </w:rPr>
        <w:fldChar w:fldCharType="separate"/>
      </w:r>
      <w:r>
        <w:rPr>
          <w:rStyle w:val="44"/>
          <w:rFonts w:hint="eastAsia"/>
          <w:color w:val="auto"/>
        </w:rPr>
        <w:t>政府采购云平台</w:t>
      </w:r>
      <w:r>
        <w:rPr>
          <w:rStyle w:val="44"/>
          <w:rFonts w:hint="eastAsia"/>
          <w:color w:val="auto"/>
        </w:rPr>
        <w:fldChar w:fldCharType="end"/>
      </w:r>
      <w:r>
        <w:rPr>
          <w:rFonts w:hint="eastAsia"/>
          <w:color w:val="auto"/>
        </w:rPr>
        <w:t>申请下载采购文件才视作依法获取采购文件。</w:t>
      </w:r>
    </w:p>
    <w:p w14:paraId="2389D8B1">
      <w:pPr>
        <w:spacing w:line="400" w:lineRule="exact"/>
        <w:ind w:firstLine="420"/>
        <w:rPr>
          <w:b/>
          <w:color w:val="auto"/>
        </w:rPr>
      </w:pPr>
      <w:r>
        <w:rPr>
          <w:rFonts w:hint="eastAsia"/>
          <w:color w:val="auto"/>
        </w:rPr>
        <w:t>(</w:t>
      </w:r>
      <w:r>
        <w:rPr>
          <w:color w:val="auto"/>
        </w:rPr>
        <w:t>2)</w:t>
      </w:r>
      <w:r>
        <w:rPr>
          <w:rFonts w:hint="eastAsia"/>
          <w:color w:val="auto"/>
        </w:rPr>
        <w:t>供应商应通过广西政府采购云平台客户端制作响应文件，供应商自行前往下载安装（</w:t>
      </w:r>
      <w:r>
        <w:rPr>
          <w:rFonts w:hint="eastAsia"/>
          <w:color w:val="auto"/>
        </w:rPr>
        <w:fldChar w:fldCharType="begin"/>
      </w:r>
      <w:r>
        <w:rPr>
          <w:color w:val="auto"/>
        </w:rPr>
        <w:instrText xml:space="preserve"> HYPERLINK "https://sitecdn.zcycdn.com/zcy-client/bidding-client-new/official/guangxi/GuangXiSetup.exe" </w:instrText>
      </w:r>
      <w:r>
        <w:rPr>
          <w:rFonts w:hint="eastAsia"/>
          <w:color w:val="auto"/>
        </w:rPr>
        <w:fldChar w:fldCharType="separate"/>
      </w:r>
      <w:r>
        <w:rPr>
          <w:rFonts w:hint="eastAsia"/>
          <w:color w:val="auto"/>
        </w:rPr>
        <w:t>客户端下载</w:t>
      </w:r>
      <w:r>
        <w:rPr>
          <w:rFonts w:hint="eastAsia"/>
          <w:color w:val="auto"/>
        </w:rPr>
        <w:fldChar w:fldCharType="end"/>
      </w:r>
      <w:r>
        <w:rPr>
          <w:rFonts w:hint="eastAsia"/>
          <w:color w:val="auto"/>
        </w:rPr>
        <w:t>）。</w:t>
      </w:r>
    </w:p>
    <w:p w14:paraId="74D84A73">
      <w:pPr>
        <w:spacing w:line="400" w:lineRule="exact"/>
        <w:ind w:firstLine="420"/>
        <w:rPr>
          <w:color w:val="auto"/>
        </w:rPr>
      </w:pPr>
      <w:r>
        <w:rPr>
          <w:rFonts w:hint="eastAsia"/>
          <w:color w:val="auto"/>
        </w:rPr>
        <w:t>(</w:t>
      </w:r>
      <w:r>
        <w:rPr>
          <w:color w:val="auto"/>
        </w:rPr>
        <w:t>3)</w:t>
      </w:r>
      <w:r>
        <w:rPr>
          <w:rFonts w:hint="eastAsia"/>
          <w:color w:val="auto"/>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4BA3C70E">
      <w:pPr>
        <w:spacing w:line="400" w:lineRule="exact"/>
        <w:ind w:firstLine="420"/>
        <w:rPr>
          <w:b/>
          <w:color w:val="auto"/>
        </w:rPr>
      </w:pPr>
      <w:r>
        <w:rPr>
          <w:rFonts w:hint="eastAsia"/>
          <w:color w:val="auto"/>
        </w:rPr>
        <w:t>(</w:t>
      </w:r>
      <w:r>
        <w:rPr>
          <w:color w:val="auto"/>
        </w:rPr>
        <w:t>4)</w:t>
      </w:r>
      <w:r>
        <w:rPr>
          <w:rFonts w:hint="eastAsia"/>
          <w:color w:val="auto"/>
        </w:rPr>
        <w:t>供应商法定代表人或委托代理人须按时登录</w:t>
      </w:r>
      <w:bookmarkStart w:id="32" w:name="_Hlk90367388"/>
      <w:r>
        <w:rPr>
          <w:rFonts w:hint="eastAsia"/>
          <w:color w:val="auto"/>
        </w:rPr>
        <w:t>广西</w:t>
      </w:r>
      <w:r>
        <w:rPr>
          <w:rFonts w:hint="eastAsia" w:ascii="宋体" w:hAnsi="宋体" w:cs="Courier New"/>
          <w:color w:val="auto"/>
          <w:szCs w:val="21"/>
        </w:rPr>
        <w:t>政采云远程开标大厅</w:t>
      </w:r>
      <w:bookmarkEnd w:id="32"/>
      <w:r>
        <w:rPr>
          <w:rFonts w:hint="eastAsia"/>
          <w:color w:val="auto"/>
        </w:rPr>
        <w:t>，保持全程在线并关注评审谈判进度，评审期间谈判小组提出澄清等要求时，供应商须在规定时间内进行应答，否则按采购文件或广西政采云平台的相关规定执行。</w:t>
      </w:r>
    </w:p>
    <w:p w14:paraId="086B5D7F">
      <w:pPr>
        <w:spacing w:line="400" w:lineRule="exact"/>
        <w:ind w:firstLine="420"/>
        <w:rPr>
          <w:rFonts w:hint="eastAsia" w:hAnsi="宋体"/>
          <w:color w:val="auto"/>
        </w:rPr>
      </w:pPr>
      <w:r>
        <w:rPr>
          <w:rFonts w:hint="eastAsia"/>
          <w:color w:val="auto"/>
        </w:rPr>
        <w:t>(</w:t>
      </w:r>
      <w:r>
        <w:rPr>
          <w:color w:val="auto"/>
        </w:rPr>
        <w:t>5)</w:t>
      </w:r>
      <w:r>
        <w:rPr>
          <w:rFonts w:hint="eastAsia"/>
          <w:color w:val="auto"/>
        </w:rPr>
        <w:t>供应商参与谈判过程中涉及广西政府采购云平台的问题，请咨询广西政采云</w:t>
      </w:r>
      <w:r>
        <w:rPr>
          <w:rFonts w:hint="eastAsia" w:hAnsi="宋体"/>
          <w:color w:val="auto"/>
        </w:rPr>
        <w:t>技术支持热线：</w:t>
      </w:r>
      <w:r>
        <w:rPr>
          <w:rFonts w:hAnsi="宋体"/>
          <w:color w:val="auto"/>
        </w:rPr>
        <w:t>95763</w:t>
      </w:r>
      <w:r>
        <w:rPr>
          <w:rFonts w:hint="eastAsia" w:hAnsi="宋体"/>
          <w:color w:val="auto"/>
        </w:rPr>
        <w:t>。</w:t>
      </w:r>
    </w:p>
    <w:p w14:paraId="636816E0">
      <w:pPr>
        <w:spacing w:line="400" w:lineRule="exact"/>
        <w:ind w:firstLine="420"/>
        <w:jc w:val="left"/>
        <w:rPr>
          <w:rFonts w:hint="eastAsia" w:hAnsi="宋体"/>
          <w:color w:val="auto"/>
        </w:rPr>
      </w:pPr>
      <w:r>
        <w:rPr>
          <w:rFonts w:hint="eastAsia" w:hAnsi="宋体"/>
          <w:color w:val="auto"/>
        </w:rPr>
        <w:t>3</w:t>
      </w:r>
      <w:r>
        <w:rPr>
          <w:rFonts w:hAnsi="宋体"/>
          <w:color w:val="auto"/>
        </w:rPr>
        <w:t>.</w:t>
      </w:r>
      <w:r>
        <w:rPr>
          <w:rFonts w:hint="eastAsia" w:hAnsi="宋体"/>
          <w:color w:val="auto"/>
        </w:rPr>
        <w:t>查询媒体：中国政府采购网、</w:t>
      </w:r>
      <w:r>
        <w:rPr>
          <w:rFonts w:hint="eastAsia"/>
          <w:color w:val="auto"/>
        </w:rPr>
        <w:fldChar w:fldCharType="begin"/>
      </w:r>
      <w:r>
        <w:rPr>
          <w:color w:val="auto"/>
        </w:rPr>
        <w:instrText xml:space="preserve"> HYPERLINK "http://zfcg.gxzf.gov.cn/" </w:instrText>
      </w:r>
      <w:r>
        <w:rPr>
          <w:rFonts w:hint="eastAsia"/>
          <w:color w:val="auto"/>
        </w:rPr>
        <w:fldChar w:fldCharType="separate"/>
      </w:r>
      <w:r>
        <w:rPr>
          <w:rStyle w:val="44"/>
          <w:rFonts w:hint="eastAsia" w:hAnsi="宋体"/>
          <w:color w:val="auto"/>
          <w:u w:val="none"/>
        </w:rPr>
        <w:t>广西政府采购网</w:t>
      </w:r>
      <w:r>
        <w:rPr>
          <w:rStyle w:val="44"/>
          <w:rFonts w:hint="eastAsia" w:hAnsi="宋体"/>
          <w:color w:val="auto"/>
          <w:u w:val="none"/>
        </w:rPr>
        <w:fldChar w:fldCharType="end"/>
      </w:r>
      <w:r>
        <w:rPr>
          <w:rFonts w:hint="eastAsia" w:hAnsi="宋体"/>
          <w:color w:val="auto"/>
        </w:rPr>
        <w:t>。</w:t>
      </w:r>
    </w:p>
    <w:p w14:paraId="6F515E14">
      <w:pPr>
        <w:spacing w:line="400" w:lineRule="exact"/>
        <w:ind w:firstLine="420"/>
        <w:jc w:val="left"/>
        <w:rPr>
          <w:rFonts w:hint="eastAsia" w:hAnsi="宋体"/>
          <w:color w:val="auto"/>
        </w:rPr>
      </w:pPr>
      <w:bookmarkStart w:id="33" w:name="_Hlk107409555"/>
      <w:r>
        <w:rPr>
          <w:rFonts w:hint="eastAsia" w:hAnsi="宋体"/>
          <w:color w:val="auto"/>
        </w:rPr>
        <w:t>4</w:t>
      </w:r>
      <w:r>
        <w:rPr>
          <w:rFonts w:hAnsi="宋体"/>
          <w:color w:val="auto"/>
        </w:rPr>
        <w:t>.</w:t>
      </w:r>
      <w:r>
        <w:rPr>
          <w:rFonts w:hint="eastAsia" w:hAnsi="宋体"/>
          <w:color w:val="auto"/>
        </w:rPr>
        <w:t>钦州市政府采购中心联系方式：</w:t>
      </w:r>
    </w:p>
    <w:p w14:paraId="7C0F5C87">
      <w:pPr>
        <w:spacing w:line="400" w:lineRule="exact"/>
        <w:ind w:firstLine="420"/>
        <w:jc w:val="left"/>
        <w:rPr>
          <w:rFonts w:hint="eastAsia" w:hAnsi="宋体"/>
          <w:color w:val="auto"/>
        </w:rPr>
      </w:pPr>
      <w:r>
        <w:rPr>
          <w:rFonts w:hAnsi="宋体"/>
          <w:color w:val="auto"/>
        </w:rPr>
        <w:t>(1)</w:t>
      </w:r>
      <w:r>
        <w:rPr>
          <w:rFonts w:hint="eastAsia" w:hAnsi="宋体"/>
          <w:color w:val="auto"/>
        </w:rPr>
        <w:t>采购部(采购文件</w:t>
      </w:r>
      <w:r>
        <w:rPr>
          <w:rFonts w:hAnsi="宋体"/>
          <w:color w:val="auto"/>
        </w:rPr>
        <w:t>)</w:t>
      </w:r>
    </w:p>
    <w:p w14:paraId="236A4D36">
      <w:pPr>
        <w:spacing w:line="400" w:lineRule="exact"/>
        <w:ind w:firstLine="420"/>
        <w:jc w:val="left"/>
        <w:rPr>
          <w:rFonts w:hint="eastAsia" w:hAnsi="宋体"/>
          <w:color w:val="auto"/>
        </w:rPr>
      </w:pPr>
      <w:r>
        <w:rPr>
          <w:rFonts w:hint="eastAsia" w:hAnsi="宋体"/>
          <w:color w:val="auto"/>
        </w:rPr>
        <w:t>联系人：苏晓婷</w:t>
      </w:r>
      <w:r>
        <w:rPr>
          <w:rFonts w:hAnsi="宋体"/>
          <w:color w:val="auto"/>
        </w:rPr>
        <w:t xml:space="preserve">  </w:t>
      </w:r>
      <w:r>
        <w:rPr>
          <w:rFonts w:hint="eastAsia" w:hAnsi="宋体"/>
          <w:color w:val="auto"/>
        </w:rPr>
        <w:t xml:space="preserve"> 联系方式：0777-2886022</w:t>
      </w:r>
    </w:p>
    <w:p w14:paraId="3E9E6D8A">
      <w:pPr>
        <w:spacing w:line="400" w:lineRule="exact"/>
        <w:ind w:firstLine="420"/>
        <w:jc w:val="left"/>
        <w:rPr>
          <w:rFonts w:hint="eastAsia" w:hAnsi="宋体"/>
          <w:color w:val="auto"/>
        </w:rPr>
      </w:pPr>
      <w:r>
        <w:rPr>
          <w:rFonts w:hint="eastAsia" w:hAnsi="宋体"/>
          <w:color w:val="auto"/>
        </w:rPr>
        <w:t>(</w:t>
      </w:r>
      <w:r>
        <w:rPr>
          <w:rFonts w:hAnsi="宋体"/>
          <w:color w:val="auto"/>
        </w:rPr>
        <w:t>2)</w:t>
      </w:r>
      <w:r>
        <w:rPr>
          <w:rFonts w:hint="eastAsia" w:hAnsi="宋体"/>
          <w:color w:val="auto"/>
        </w:rPr>
        <w:t>综合二部(评审、谈判、成交及合同管理)</w:t>
      </w:r>
    </w:p>
    <w:p w14:paraId="463E16EE">
      <w:pPr>
        <w:spacing w:line="400" w:lineRule="exact"/>
        <w:ind w:firstLine="420"/>
        <w:jc w:val="left"/>
        <w:rPr>
          <w:rFonts w:hint="eastAsia" w:hAnsi="宋体"/>
          <w:color w:val="auto"/>
        </w:rPr>
      </w:pPr>
      <w:r>
        <w:rPr>
          <w:rFonts w:hint="eastAsia" w:hAnsi="宋体"/>
          <w:color w:val="auto"/>
        </w:rPr>
        <w:t xml:space="preserve">联系人：陈启梅、陈侃 </w:t>
      </w:r>
      <w:r>
        <w:rPr>
          <w:rFonts w:hAnsi="宋体"/>
          <w:color w:val="auto"/>
        </w:rPr>
        <w:t xml:space="preserve">  </w:t>
      </w:r>
      <w:r>
        <w:rPr>
          <w:rFonts w:hint="eastAsia" w:hAnsi="宋体"/>
          <w:color w:val="auto"/>
        </w:rPr>
        <w:t>联系方式：0777-2886006</w:t>
      </w:r>
      <w:bookmarkEnd w:id="33"/>
    </w:p>
    <w:p w14:paraId="3EAFF390">
      <w:pPr>
        <w:spacing w:line="400" w:lineRule="exact"/>
        <w:rPr>
          <w:b/>
          <w:color w:val="auto"/>
        </w:rPr>
      </w:pPr>
      <w:r>
        <w:rPr>
          <w:rFonts w:hint="eastAsia"/>
          <w:b/>
          <w:color w:val="auto"/>
        </w:rPr>
        <w:t>八、对本次采购项目提出询问，请按</w:t>
      </w:r>
      <w:r>
        <w:rPr>
          <w:b/>
          <w:color w:val="auto"/>
        </w:rPr>
        <w:t>以下方式</w:t>
      </w:r>
      <w:r>
        <w:rPr>
          <w:rFonts w:hint="eastAsia"/>
          <w:b/>
          <w:color w:val="auto"/>
        </w:rPr>
        <w:t>联系</w:t>
      </w:r>
      <w:bookmarkEnd w:id="26"/>
      <w:bookmarkEnd w:id="27"/>
      <w:bookmarkEnd w:id="28"/>
      <w:bookmarkEnd w:id="29"/>
    </w:p>
    <w:bookmarkEnd w:id="8"/>
    <w:p w14:paraId="3CA044D7">
      <w:pPr>
        <w:spacing w:line="400" w:lineRule="exact"/>
        <w:ind w:firstLine="420" w:firstLineChars="200"/>
        <w:rPr>
          <w:color w:val="auto"/>
        </w:rPr>
      </w:pPr>
      <w:r>
        <w:rPr>
          <w:rFonts w:hint="eastAsia"/>
          <w:color w:val="auto"/>
        </w:rPr>
        <w:t>1.采购人信息</w:t>
      </w:r>
    </w:p>
    <w:p w14:paraId="018DD3E8">
      <w:pPr>
        <w:spacing w:line="400" w:lineRule="exact"/>
        <w:ind w:firstLine="420" w:firstLineChars="200"/>
        <w:rPr>
          <w:rFonts w:hint="default" w:eastAsia="宋体"/>
          <w:color w:val="auto"/>
          <w:lang w:val="en-US" w:eastAsia="zh-CN"/>
        </w:rPr>
      </w:pPr>
      <w:bookmarkStart w:id="34" w:name="_Toc38370147"/>
      <w:r>
        <w:rPr>
          <w:rFonts w:hint="eastAsia"/>
          <w:color w:val="auto"/>
        </w:rPr>
        <w:t>名称：</w:t>
      </w:r>
      <w:r>
        <w:rPr>
          <w:rFonts w:hint="eastAsia"/>
          <w:color w:val="auto"/>
          <w:lang w:eastAsia="zh-CN"/>
        </w:rPr>
        <w:t>浦北县第一职业技术学校</w:t>
      </w:r>
    </w:p>
    <w:p w14:paraId="28C95777">
      <w:pPr>
        <w:spacing w:line="400" w:lineRule="exact"/>
        <w:ind w:firstLine="420" w:firstLineChars="200"/>
        <w:rPr>
          <w:rFonts w:hint="eastAsia"/>
          <w:color w:val="auto"/>
          <w:lang w:eastAsia="zh-CN"/>
        </w:rPr>
      </w:pPr>
      <w:r>
        <w:rPr>
          <w:rFonts w:hint="eastAsia"/>
          <w:color w:val="auto"/>
        </w:rPr>
        <w:t>地址：</w:t>
      </w:r>
      <w:r>
        <w:rPr>
          <w:rFonts w:hint="eastAsia"/>
          <w:color w:val="auto"/>
          <w:lang w:eastAsia="zh-CN"/>
        </w:rPr>
        <w:t>浦北县江城街道科园路111号</w:t>
      </w:r>
    </w:p>
    <w:bookmarkEnd w:id="34"/>
    <w:p w14:paraId="4434609D">
      <w:pPr>
        <w:spacing w:line="400" w:lineRule="exact"/>
        <w:ind w:firstLine="420" w:firstLineChars="200"/>
        <w:rPr>
          <w:rFonts w:hint="default"/>
          <w:color w:val="auto"/>
          <w:lang w:val="en-US" w:eastAsia="zh-CN"/>
        </w:rPr>
      </w:pPr>
      <w:r>
        <w:rPr>
          <w:rFonts w:hint="eastAsia"/>
          <w:color w:val="auto"/>
        </w:rPr>
        <w:t>项目联系人：谢钦</w:t>
      </w:r>
    </w:p>
    <w:p w14:paraId="5456BFFA">
      <w:pPr>
        <w:spacing w:line="400" w:lineRule="exact"/>
        <w:ind w:firstLine="420" w:firstLineChars="200"/>
        <w:rPr>
          <w:rFonts w:hint="eastAsia"/>
          <w:color w:val="auto"/>
        </w:rPr>
      </w:pPr>
      <w:r>
        <w:rPr>
          <w:rFonts w:hint="eastAsia"/>
          <w:color w:val="auto"/>
        </w:rPr>
        <w:t>项目联系方式：0777-8319585</w:t>
      </w:r>
    </w:p>
    <w:p w14:paraId="5BF6D196">
      <w:pPr>
        <w:spacing w:line="400" w:lineRule="exact"/>
        <w:ind w:firstLine="420" w:firstLineChars="200"/>
        <w:rPr>
          <w:color w:val="auto"/>
        </w:rPr>
      </w:pPr>
      <w:r>
        <w:rPr>
          <w:rFonts w:hint="eastAsia"/>
          <w:color w:val="auto"/>
        </w:rPr>
        <w:t>2.采购代理机构信息</w:t>
      </w:r>
    </w:p>
    <w:p w14:paraId="4536C127">
      <w:pPr>
        <w:spacing w:line="400" w:lineRule="exact"/>
        <w:ind w:firstLine="420" w:firstLineChars="200"/>
        <w:rPr>
          <w:color w:val="auto"/>
        </w:rPr>
      </w:pPr>
      <w:r>
        <w:rPr>
          <w:rFonts w:hint="eastAsia"/>
          <w:color w:val="auto"/>
        </w:rPr>
        <w:t>名称：钦州市政府采购中心</w:t>
      </w:r>
    </w:p>
    <w:p w14:paraId="41B2A07B">
      <w:pPr>
        <w:spacing w:line="400" w:lineRule="exact"/>
        <w:ind w:firstLine="420" w:firstLineChars="200"/>
        <w:rPr>
          <w:color w:val="auto"/>
        </w:rPr>
      </w:pPr>
      <w:r>
        <w:rPr>
          <w:rFonts w:hint="eastAsia"/>
          <w:color w:val="auto"/>
        </w:rPr>
        <w:t>地址：钦州市金海湾东大街8号</w:t>
      </w:r>
    </w:p>
    <w:p w14:paraId="09D1470D">
      <w:pPr>
        <w:spacing w:line="400" w:lineRule="exact"/>
        <w:ind w:firstLine="420" w:firstLineChars="200"/>
        <w:rPr>
          <w:color w:val="auto"/>
        </w:rPr>
      </w:pPr>
      <w:r>
        <w:rPr>
          <w:rFonts w:hint="eastAsia"/>
          <w:color w:val="auto"/>
        </w:rPr>
        <w:t>项目联系人：</w:t>
      </w:r>
      <w:bookmarkStart w:id="35" w:name="_Toc28359010"/>
      <w:bookmarkStart w:id="36" w:name="_Toc28359087"/>
      <w:r>
        <w:rPr>
          <w:rFonts w:hint="eastAsia"/>
          <w:color w:val="auto"/>
        </w:rPr>
        <w:t>苏晓婷</w:t>
      </w:r>
    </w:p>
    <w:p w14:paraId="4E646198">
      <w:pPr>
        <w:spacing w:line="400" w:lineRule="exact"/>
        <w:ind w:firstLine="420"/>
        <w:jc w:val="left"/>
        <w:rPr>
          <w:rFonts w:hint="eastAsia" w:hAnsi="宋体"/>
          <w:color w:val="auto"/>
        </w:rPr>
      </w:pPr>
      <w:r>
        <w:rPr>
          <w:rFonts w:hint="eastAsia"/>
          <w:color w:val="auto"/>
        </w:rPr>
        <w:t>项目联系方式：</w:t>
      </w:r>
      <w:r>
        <w:rPr>
          <w:rFonts w:hint="eastAsia" w:hAnsi="宋体"/>
          <w:color w:val="auto"/>
        </w:rPr>
        <w:t>0777-2886022</w:t>
      </w:r>
    </w:p>
    <w:p w14:paraId="6C45520A">
      <w:pPr>
        <w:spacing w:line="400" w:lineRule="exact"/>
        <w:ind w:firstLine="420" w:firstLineChars="200"/>
        <w:rPr>
          <w:color w:val="auto"/>
        </w:rPr>
      </w:pPr>
    </w:p>
    <w:p w14:paraId="7B8FE1AD">
      <w:pPr>
        <w:widowControl/>
        <w:jc w:val="left"/>
        <w:rPr>
          <w:color w:val="auto"/>
        </w:rPr>
      </w:pPr>
      <w:r>
        <w:rPr>
          <w:color w:val="auto"/>
        </w:rPr>
        <w:br w:type="page"/>
      </w:r>
    </w:p>
    <w:p w14:paraId="07FF29B6">
      <w:pPr>
        <w:spacing w:line="400" w:lineRule="exact"/>
        <w:ind w:firstLine="420" w:firstLineChars="200"/>
        <w:rPr>
          <w:color w:val="auto"/>
        </w:rPr>
      </w:pPr>
    </w:p>
    <w:p w14:paraId="19533D4E">
      <w:pPr>
        <w:rPr>
          <w:color w:val="auto"/>
        </w:rPr>
      </w:pPr>
    </w:p>
    <w:bookmarkEnd w:id="35"/>
    <w:bookmarkEnd w:id="36"/>
    <w:p w14:paraId="1E0A66EE">
      <w:pPr>
        <w:rPr>
          <w:color w:val="auto"/>
        </w:rPr>
      </w:pPr>
    </w:p>
    <w:p w14:paraId="027B5592">
      <w:pPr>
        <w:rPr>
          <w:color w:val="auto"/>
        </w:rPr>
      </w:pPr>
    </w:p>
    <w:p w14:paraId="2FED55BB">
      <w:pPr>
        <w:rPr>
          <w:color w:val="auto"/>
        </w:rPr>
      </w:pPr>
    </w:p>
    <w:p w14:paraId="41B8A89D">
      <w:pPr>
        <w:rPr>
          <w:color w:val="auto"/>
        </w:rPr>
      </w:pPr>
    </w:p>
    <w:p w14:paraId="5A11A8E9">
      <w:pPr>
        <w:rPr>
          <w:color w:val="auto"/>
        </w:rPr>
      </w:pPr>
    </w:p>
    <w:p w14:paraId="08528EA3">
      <w:pPr>
        <w:rPr>
          <w:color w:val="auto"/>
        </w:rPr>
      </w:pPr>
    </w:p>
    <w:p w14:paraId="2B088122">
      <w:pPr>
        <w:rPr>
          <w:color w:val="auto"/>
        </w:rPr>
      </w:pPr>
    </w:p>
    <w:p w14:paraId="4CC0CB85">
      <w:pPr>
        <w:rPr>
          <w:color w:val="auto"/>
        </w:rPr>
      </w:pPr>
    </w:p>
    <w:p w14:paraId="0FE3E401">
      <w:pPr>
        <w:rPr>
          <w:color w:val="auto"/>
        </w:rPr>
      </w:pPr>
    </w:p>
    <w:p w14:paraId="3A0FCF22">
      <w:pPr>
        <w:rPr>
          <w:color w:val="auto"/>
        </w:rPr>
      </w:pPr>
    </w:p>
    <w:p w14:paraId="3BCCCE85">
      <w:pPr>
        <w:rPr>
          <w:color w:val="auto"/>
        </w:rPr>
      </w:pPr>
    </w:p>
    <w:p w14:paraId="74C71BC7">
      <w:pPr>
        <w:rPr>
          <w:color w:val="auto"/>
        </w:rPr>
      </w:pPr>
    </w:p>
    <w:p w14:paraId="3F8D1CF4">
      <w:pPr>
        <w:pStyle w:val="2"/>
        <w:spacing w:line="400" w:lineRule="exact"/>
        <w:rPr>
          <w:rFonts w:hint="eastAsia" w:ascii="方正小标宋_GBK" w:hAnsi="宋体" w:eastAsia="方正小标宋_GBK"/>
          <w:color w:val="auto"/>
        </w:rPr>
      </w:pPr>
      <w:bookmarkStart w:id="37" w:name="_Toc92355024"/>
      <w:r>
        <w:rPr>
          <w:rFonts w:hint="eastAsia" w:ascii="方正小标宋_GBK" w:hAnsi="宋体" w:eastAsia="方正小标宋_GBK"/>
          <w:color w:val="auto"/>
        </w:rPr>
        <w:t>第二章  项目需求</w:t>
      </w:r>
      <w:bookmarkEnd w:id="37"/>
    </w:p>
    <w:p w14:paraId="73411ED0">
      <w:pPr>
        <w:spacing w:line="440" w:lineRule="exact"/>
        <w:jc w:val="center"/>
        <w:rPr>
          <w:rFonts w:hint="eastAsia" w:ascii="宋体" w:hAnsi="宋体"/>
          <w:b/>
          <w:color w:val="auto"/>
          <w:sz w:val="36"/>
          <w:szCs w:val="36"/>
        </w:rPr>
      </w:pPr>
      <w:r>
        <w:rPr>
          <w:rFonts w:ascii="宋体" w:hAnsi="宋体"/>
          <w:b/>
          <w:color w:val="auto"/>
          <w:szCs w:val="21"/>
        </w:rPr>
        <w:br w:type="page"/>
      </w:r>
      <w:bookmarkStart w:id="38" w:name="_Toc358477280"/>
      <w:bookmarkStart w:id="39" w:name="_Toc354479498"/>
      <w:r>
        <w:rPr>
          <w:rFonts w:hint="eastAsia" w:ascii="宋体" w:hAnsi="宋体"/>
          <w:b/>
          <w:color w:val="auto"/>
          <w:sz w:val="36"/>
          <w:szCs w:val="36"/>
        </w:rPr>
        <w:t>项目需求</w:t>
      </w:r>
    </w:p>
    <w:p w14:paraId="07F0B614">
      <w:pPr>
        <w:spacing w:line="396" w:lineRule="exact"/>
        <w:rPr>
          <w:rFonts w:hint="eastAsia" w:ascii="宋体" w:hAnsi="宋体"/>
          <w:b/>
          <w:color w:val="auto"/>
          <w:szCs w:val="21"/>
        </w:rPr>
      </w:pPr>
    </w:p>
    <w:p w14:paraId="6311F487">
      <w:pPr>
        <w:spacing w:line="430" w:lineRule="exact"/>
        <w:ind w:firstLine="420" w:firstLineChars="200"/>
        <w:rPr>
          <w:rFonts w:hint="eastAsia" w:ascii="宋体" w:hAnsi="宋体" w:cs="宋体"/>
          <w:color w:val="auto"/>
          <w:kern w:val="0"/>
          <w:szCs w:val="21"/>
          <w:lang w:bidi="ar"/>
        </w:rPr>
      </w:pPr>
      <w:r>
        <w:rPr>
          <w:rFonts w:hint="eastAsia" w:ascii="宋体" w:hAnsi="宋体" w:cs="宋体"/>
          <w:color w:val="auto"/>
          <w:kern w:val="0"/>
          <w:szCs w:val="21"/>
          <w:lang w:bidi="ar"/>
        </w:rPr>
        <w:t xml:space="preserve">说明：  </w:t>
      </w:r>
    </w:p>
    <w:p w14:paraId="00CDE2C3">
      <w:pPr>
        <w:spacing w:line="460" w:lineRule="exact"/>
        <w:ind w:firstLine="422"/>
        <w:rPr>
          <w:rFonts w:hint="eastAsia" w:ascii="宋体" w:hAnsi="宋体" w:cs="宋体"/>
          <w:b/>
          <w:bCs/>
          <w:color w:val="0000FF"/>
          <w:szCs w:val="21"/>
        </w:rPr>
      </w:pPr>
      <w:r>
        <w:rPr>
          <w:rFonts w:hint="eastAsia" w:ascii="宋体" w:hAnsi="宋体" w:cs="宋体"/>
          <w:b/>
          <w:bCs/>
          <w:color w:val="auto"/>
          <w:szCs w:val="21"/>
        </w:rPr>
        <w:t>1.根据《财政部 发展改革委 生态环境部 市场监管总局关于调整优化节能产品、环境标志产品政府采购执行机制的通知》（财库〔2019〕9号）和《关于印发节能产品政府采购品目清单的通知》（财库〔2019〕19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cs="宋体"/>
          <w:b/>
          <w:bCs/>
          <w:color w:val="auto"/>
          <w:szCs w:val="21"/>
          <w:lang w:val="en-US" w:eastAsia="zh-CN"/>
        </w:rPr>
        <w:t xml:space="preserve"> </w:t>
      </w:r>
    </w:p>
    <w:p w14:paraId="7FB5AB63">
      <w:pPr>
        <w:spacing w:line="460" w:lineRule="exact"/>
        <w:ind w:firstLine="422"/>
        <w:rPr>
          <w:rFonts w:hint="eastAsia" w:ascii="宋体" w:hAnsi="宋体"/>
          <w:color w:val="auto"/>
          <w:szCs w:val="21"/>
        </w:rPr>
      </w:pPr>
      <w:r>
        <w:rPr>
          <w:rFonts w:hint="eastAsia" w:ascii="宋体" w:hAnsi="宋体" w:cs="宋体"/>
          <w:b/>
          <w:bCs/>
          <w:color w:val="auto"/>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14:paraId="0B71D7B3">
      <w:pPr>
        <w:spacing w:line="430" w:lineRule="exact"/>
        <w:ind w:firstLine="420" w:firstLineChars="200"/>
        <w:rPr>
          <w:rFonts w:hint="eastAsia" w:ascii="宋体" w:hAnsi="宋体"/>
          <w:color w:val="auto"/>
          <w:szCs w:val="21"/>
        </w:rPr>
      </w:pPr>
      <w:r>
        <w:rPr>
          <w:rFonts w:hint="eastAsia" w:ascii="宋体" w:hAnsi="宋体"/>
          <w:color w:val="auto"/>
          <w:szCs w:val="21"/>
        </w:rPr>
        <w:t>3.本表中的品牌型号、技术参数及其性能（规格）仅起参考作用，供应商可选用其他品牌型号替代，</w:t>
      </w:r>
      <w:r>
        <w:rPr>
          <w:rFonts w:hint="eastAsia" w:ascii="宋体" w:hAnsi="宋体"/>
          <w:color w:val="auto"/>
        </w:rPr>
        <w:t>但替代的产品整体上要相当于或优于参考品牌型号或其技术参数性能（规格）要求。</w:t>
      </w:r>
    </w:p>
    <w:p w14:paraId="36555FA1">
      <w:pPr>
        <w:spacing w:line="430" w:lineRule="exact"/>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5EA339AB">
      <w:pPr>
        <w:spacing w:line="430" w:lineRule="exact"/>
        <w:ind w:firstLine="420" w:firstLineChars="200"/>
        <w:rPr>
          <w:rFonts w:hint="eastAsia" w:ascii="宋体" w:hAnsi="宋体"/>
          <w:color w:val="auto"/>
          <w:szCs w:val="21"/>
        </w:rPr>
      </w:pPr>
      <w:r>
        <w:rPr>
          <w:rFonts w:hint="eastAsia" w:ascii="宋体" w:hAnsi="宋体"/>
          <w:color w:val="auto"/>
          <w:szCs w:val="21"/>
        </w:rPr>
        <w:t>5.本项目不接受供应商提供通过中国海关报关验放进入中国境内且产自关境外的产品。</w:t>
      </w:r>
    </w:p>
    <w:p w14:paraId="78B5D510">
      <w:pPr>
        <w:spacing w:line="430" w:lineRule="exact"/>
        <w:ind w:firstLine="420" w:firstLineChars="200"/>
        <w:rPr>
          <w:rFonts w:hint="eastAsia"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谈判文件中可能实质性变动的内容：</w:t>
      </w:r>
      <w:r>
        <w:rPr>
          <w:rFonts w:hint="eastAsia" w:ascii="宋体" w:hAnsi="宋体" w:cs="宋体"/>
          <w:color w:val="auto"/>
          <w:kern w:val="0"/>
          <w:szCs w:val="21"/>
        </w:rPr>
        <w:t>采购需求的技术、服务要求以及合同草案条款</w:t>
      </w:r>
      <w:r>
        <w:rPr>
          <w:rFonts w:hint="eastAsia" w:ascii="宋体" w:hAnsi="宋体" w:cs="宋体"/>
          <w:b/>
          <w:color w:val="auto"/>
          <w:kern w:val="0"/>
          <w:szCs w:val="21"/>
        </w:rPr>
        <w:t>。</w:t>
      </w:r>
    </w:p>
    <w:p w14:paraId="2DC35C22">
      <w:pPr>
        <w:spacing w:line="430" w:lineRule="exact"/>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标注★号的技术参数为实质性响应条款，要求必须满足或优于，否则视为无效响应文件。</w:t>
      </w:r>
    </w:p>
    <w:p w14:paraId="43E6F597">
      <w:pPr>
        <w:spacing w:line="430" w:lineRule="exact"/>
        <w:ind w:firstLine="420" w:firstLineChars="200"/>
        <w:rPr>
          <w:rFonts w:hint="eastAsia" w:ascii="宋体" w:hAnsi="宋体" w:eastAsia="宋体" w:cs="Times New Roman"/>
          <w:color w:val="auto"/>
          <w:szCs w:val="21"/>
          <w:lang w:val="en-US" w:eastAsia="zh-CN"/>
        </w:rPr>
      </w:pP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采购需求中出现的产品的固定规格尺寸或重量允许正负偏离百分之五（具体技术参数要求已有允许偏离差异或定制的除外）。</w:t>
      </w:r>
    </w:p>
    <w:p w14:paraId="0C0F73EC">
      <w:pPr>
        <w:pStyle w:val="46"/>
        <w:ind w:firstLine="353"/>
        <w:rPr>
          <w:color w:val="auto"/>
        </w:rPr>
      </w:pPr>
    </w:p>
    <w:p w14:paraId="55FC770C">
      <w:pPr>
        <w:pStyle w:val="46"/>
        <w:ind w:firstLine="353"/>
        <w:rPr>
          <w:color w:val="auto"/>
        </w:rPr>
      </w:pPr>
    </w:p>
    <w:p w14:paraId="791371B8">
      <w:pPr>
        <w:pStyle w:val="46"/>
        <w:ind w:firstLine="353"/>
        <w:rPr>
          <w:color w:val="0000FF"/>
        </w:rPr>
      </w:pPr>
    </w:p>
    <w:p w14:paraId="5D2FCF7C">
      <w:pPr>
        <w:pStyle w:val="46"/>
        <w:ind w:firstLine="353"/>
        <w:rPr>
          <w:color w:val="auto"/>
        </w:rPr>
      </w:pPr>
    </w:p>
    <w:p w14:paraId="034AFA6F">
      <w:pPr>
        <w:pStyle w:val="46"/>
        <w:ind w:firstLine="353"/>
        <w:rPr>
          <w:color w:val="auto"/>
        </w:rPr>
      </w:pPr>
    </w:p>
    <w:p w14:paraId="4303AD2D">
      <w:pPr>
        <w:pStyle w:val="17"/>
        <w:keepNext w:val="0"/>
        <w:keepLines w:val="0"/>
        <w:pageBreakBefore w:val="0"/>
        <w:kinsoku/>
        <w:wordWrap/>
        <w:overflowPunct/>
        <w:topLinePunct w:val="0"/>
        <w:autoSpaceDE/>
        <w:autoSpaceDN/>
        <w:bidi w:val="0"/>
        <w:adjustRightInd/>
        <w:snapToGrid/>
        <w:spacing w:line="440" w:lineRule="exact"/>
        <w:textAlignment w:val="auto"/>
        <w:rPr>
          <w:rFonts w:hint="eastAsia"/>
          <w:color w:val="auto"/>
          <w:lang w:val="en-US" w:eastAsia="zh-CN"/>
        </w:rPr>
      </w:pPr>
    </w:p>
    <w:p w14:paraId="6076CEE1">
      <w:pPr>
        <w:jc w:val="center"/>
        <w:rPr>
          <w:color w:val="auto"/>
        </w:rPr>
      </w:pPr>
      <w:r>
        <w:rPr>
          <w:rFonts w:hint="eastAsia" w:ascii="宋体" w:hAnsi="宋体" w:eastAsia="宋体" w:cs="宋体"/>
          <w:b/>
          <w:bCs w:val="0"/>
          <w:color w:val="auto"/>
          <w:kern w:val="0"/>
          <w:sz w:val="21"/>
          <w:szCs w:val="21"/>
          <w:lang w:val="en-US" w:eastAsia="zh-CN"/>
        </w:rPr>
        <w:t>分标1：计算机网络技术实训室</w:t>
      </w:r>
    </w:p>
    <w:tbl>
      <w:tblPr>
        <w:tblStyle w:val="3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39"/>
        <w:gridCol w:w="1192"/>
        <w:gridCol w:w="5198"/>
        <w:gridCol w:w="505"/>
        <w:gridCol w:w="478"/>
        <w:gridCol w:w="718"/>
      </w:tblGrid>
      <w:tr w14:paraId="3D3A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90BB156">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序号</w:t>
            </w:r>
          </w:p>
        </w:tc>
        <w:tc>
          <w:tcPr>
            <w:tcW w:w="1239" w:type="dxa"/>
            <w:noWrap w:val="0"/>
            <w:vAlign w:val="center"/>
          </w:tcPr>
          <w:p w14:paraId="578824AE">
            <w:pPr>
              <w:jc w:val="center"/>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标的</w:t>
            </w:r>
            <w:r>
              <w:rPr>
                <w:rFonts w:hint="eastAsia" w:ascii="宋体" w:hAnsi="宋体" w:cs="宋体"/>
                <w:b/>
                <w:bCs/>
                <w:sz w:val="22"/>
                <w:szCs w:val="22"/>
                <w:vertAlign w:val="baseline"/>
                <w:lang w:val="en-US" w:eastAsia="zh-CN"/>
              </w:rPr>
              <w:t>名称</w:t>
            </w:r>
          </w:p>
        </w:tc>
        <w:tc>
          <w:tcPr>
            <w:tcW w:w="6390" w:type="dxa"/>
            <w:gridSpan w:val="2"/>
            <w:noWrap w:val="0"/>
            <w:vAlign w:val="center"/>
          </w:tcPr>
          <w:p w14:paraId="4F3A3972">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技术参数</w:t>
            </w:r>
          </w:p>
        </w:tc>
        <w:tc>
          <w:tcPr>
            <w:tcW w:w="505" w:type="dxa"/>
            <w:noWrap w:val="0"/>
            <w:vAlign w:val="center"/>
          </w:tcPr>
          <w:p w14:paraId="31AF0715">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数量</w:t>
            </w:r>
          </w:p>
        </w:tc>
        <w:tc>
          <w:tcPr>
            <w:tcW w:w="478" w:type="dxa"/>
            <w:noWrap w:val="0"/>
            <w:vAlign w:val="center"/>
          </w:tcPr>
          <w:p w14:paraId="75086DE8">
            <w:pPr>
              <w:jc w:val="center"/>
              <w:rPr>
                <w:rFonts w:hint="default" w:ascii="宋体" w:hAnsi="宋体" w:eastAsia="宋体" w:cs="宋体"/>
                <w:b/>
                <w:bCs/>
                <w:sz w:val="22"/>
                <w:szCs w:val="22"/>
                <w:vertAlign w:val="baseline"/>
                <w:lang w:val="en-US" w:eastAsia="zh-CN"/>
              </w:rPr>
            </w:pPr>
            <w:r>
              <w:rPr>
                <w:rFonts w:hint="eastAsia" w:ascii="宋体" w:hAnsi="宋体" w:cs="宋体"/>
                <w:b/>
                <w:bCs/>
                <w:sz w:val="22"/>
                <w:szCs w:val="22"/>
                <w:vertAlign w:val="baseline"/>
                <w:lang w:val="en-US" w:eastAsia="zh-CN"/>
              </w:rPr>
              <w:t>单位</w:t>
            </w:r>
          </w:p>
        </w:tc>
        <w:tc>
          <w:tcPr>
            <w:tcW w:w="718" w:type="dxa"/>
            <w:noWrap w:val="0"/>
            <w:vAlign w:val="center"/>
          </w:tcPr>
          <w:p w14:paraId="5EFA2482">
            <w:pPr>
              <w:jc w:val="center"/>
              <w:rPr>
                <w:rFonts w:hint="default" w:ascii="宋体" w:hAnsi="宋体" w:cs="宋体"/>
                <w:b/>
                <w:bCs/>
                <w:sz w:val="22"/>
                <w:szCs w:val="22"/>
                <w:vertAlign w:val="baseline"/>
                <w:lang w:val="en-US" w:eastAsia="zh-CN"/>
              </w:rPr>
            </w:pPr>
            <w:r>
              <w:rPr>
                <w:rFonts w:hint="eastAsia" w:ascii="宋体" w:hAnsi="宋体" w:cs="宋体"/>
                <w:b/>
                <w:bCs/>
                <w:sz w:val="22"/>
                <w:szCs w:val="22"/>
                <w:vertAlign w:val="baseline"/>
                <w:lang w:val="en-US" w:eastAsia="zh-CN"/>
              </w:rPr>
              <w:t>所属行业</w:t>
            </w:r>
          </w:p>
        </w:tc>
      </w:tr>
      <w:tr w14:paraId="5792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876" w:type="dxa"/>
            <w:gridSpan w:val="7"/>
            <w:noWrap w:val="0"/>
            <w:vAlign w:val="center"/>
          </w:tcPr>
          <w:p w14:paraId="48E8AEE6">
            <w:pPr>
              <w:jc w:val="left"/>
              <w:rPr>
                <w:rFonts w:hint="eastAsia" w:ascii="宋体" w:hAnsi="宋体" w:cs="宋体"/>
                <w:b/>
                <w:bCs/>
                <w:sz w:val="22"/>
                <w:szCs w:val="22"/>
                <w:vertAlign w:val="baseline"/>
                <w:lang w:val="en-US" w:eastAsia="zh-CN"/>
              </w:rPr>
            </w:pPr>
            <w:r>
              <w:rPr>
                <w:rFonts w:hint="eastAsia" w:ascii="宋体" w:hAnsi="宋体" w:eastAsia="宋体" w:cs="宋体"/>
                <w:b/>
                <w:bCs w:val="0"/>
                <w:color w:val="auto"/>
                <w:kern w:val="0"/>
                <w:sz w:val="21"/>
                <w:szCs w:val="21"/>
                <w:lang w:val="en-US" w:eastAsia="zh-CN"/>
              </w:rPr>
              <w:t>一、技术要求</w:t>
            </w:r>
          </w:p>
        </w:tc>
      </w:tr>
      <w:tr w14:paraId="3B65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DED349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239" w:type="dxa"/>
            <w:noWrap w:val="0"/>
            <w:vAlign w:val="center"/>
          </w:tcPr>
          <w:p w14:paraId="35227D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ICT教学基础平台</w:t>
            </w:r>
          </w:p>
        </w:tc>
        <w:tc>
          <w:tcPr>
            <w:tcW w:w="6390" w:type="dxa"/>
            <w:gridSpan w:val="2"/>
            <w:noWrap w:val="0"/>
            <w:vAlign w:val="center"/>
          </w:tcPr>
          <w:p w14:paraId="312EEDD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平台架构</w:t>
            </w:r>
          </w:p>
          <w:p w14:paraId="1011E10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1.整体架构为 B/S 架构，基于微服务架构进行服务器部署，支持Chrome等浏览器用户端访问。系统并发用户数≥100</w:t>
            </w:r>
            <w:r>
              <w:rPr>
                <w:rFonts w:hint="eastAsia" w:ascii="宋体" w:hAnsi="宋体" w:cs="宋体"/>
                <w:sz w:val="21"/>
                <w:szCs w:val="21"/>
                <w:lang w:val="en-US" w:eastAsia="zh-CN"/>
              </w:rPr>
              <w:t>0</w:t>
            </w:r>
            <w:r>
              <w:rPr>
                <w:rFonts w:hint="eastAsia" w:ascii="宋体" w:hAnsi="宋体" w:cs="宋体"/>
                <w:sz w:val="21"/>
                <w:szCs w:val="21"/>
                <w:lang w:eastAsia="zh-CN"/>
              </w:rPr>
              <w:t>，</w:t>
            </w:r>
            <w:r>
              <w:rPr>
                <w:rFonts w:hint="eastAsia" w:ascii="宋体" w:hAnsi="宋体" w:eastAsia="宋体" w:cs="宋体"/>
                <w:sz w:val="21"/>
                <w:szCs w:val="21"/>
              </w:rPr>
              <w:t>平台能够通过建立多个资源库和一系列微服务对平台资源进行分类管理，并通过调用微服务的接口，以及不同的整合方式，以服务的形式展现给用户。</w:t>
            </w:r>
          </w:p>
          <w:p w14:paraId="562289C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用户管理</w:t>
            </w:r>
          </w:p>
          <w:p w14:paraId="22FF389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1.支持管理员创建、删除、修改、查询学员账号，账号信息包含账号、姓名、学号/工号、组织信息、手机号、邮箱、备注说明等。</w:t>
            </w:r>
          </w:p>
          <w:p w14:paraId="7A3E04E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2.支持教师批量导入学员账号，批量重置学员账号密码。</w:t>
            </w:r>
          </w:p>
          <w:p w14:paraId="6F0258A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3.支持管理员创建、删除、修改、查询组织，并将学员加入到组织，可以通过组织对学员进行快速管理，最多可创建5级子组织。</w:t>
            </w:r>
          </w:p>
          <w:p w14:paraId="4C88FB8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4.支持创建组织结构，通过组织对学员进行快速管理，最多可创建5级子组织。</w:t>
            </w:r>
          </w:p>
          <w:p w14:paraId="7D541DC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5.支持管理员创建、删除、修改、查询管理员、教师账号，账号信息包含账号、姓名、学号/工号、角色、管理范围（组织）、手机号、邮箱、备注说明等。</w:t>
            </w:r>
          </w:p>
          <w:p w14:paraId="6A7E7ED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资源管理</w:t>
            </w:r>
          </w:p>
          <w:p w14:paraId="2A46C1C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支持管理物理设备、模拟器、华为云、实验箱4类实验所需的实验资源。</w:t>
            </w:r>
          </w:p>
          <w:p w14:paraId="54DB67F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物理设备类：支持设备型号、设备类型、设备、设备组、设备池的管理。</w:t>
            </w:r>
          </w:p>
          <w:p w14:paraId="4DAD85D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学员管理</w:t>
            </w:r>
          </w:p>
          <w:p w14:paraId="2A6919A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1.支持教师创建、删除、修改、查询学员账号，账号信息包含账号、姓名、学号/工号、组织信息、手机号、邮箱、备注说明等。</w:t>
            </w:r>
          </w:p>
          <w:p w14:paraId="5BAEB29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2.支持教师批量导入学员账号，批量重置学员账号密码。</w:t>
            </w:r>
          </w:p>
          <w:p w14:paraId="5D31E22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班级管理</w:t>
            </w:r>
          </w:p>
          <w:p w14:paraId="5387ABB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3.支持教师创建、编辑、预览、发布、查询、删除班级，班级中支持配置教师和学员，以及配置班级的标准实验、自主实验、课程、云账号等资源。</w:t>
            </w:r>
          </w:p>
          <w:p w14:paraId="55808BF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课程管理</w:t>
            </w:r>
          </w:p>
          <w:p w14:paraId="6084C52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1.支持创建、编辑、预览、发布、复制、删除课程，课程可按卡片式和列表式进行切换呈现。</w:t>
            </w:r>
          </w:p>
          <w:p w14:paraId="783B691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2.支持对课程名称、课程学时、课程简介、课程目标、课程封面、目标学员等基本信息的编辑；支持章/节/小节3级课程目录结构，支持对课程目录进行修改与调序。</w:t>
            </w:r>
          </w:p>
          <w:p w14:paraId="2AA6A7F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课程素材</w:t>
            </w:r>
          </w:p>
          <w:p w14:paraId="3C25433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实验试卷管理</w:t>
            </w:r>
          </w:p>
          <w:p w14:paraId="69A99E7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.支持创建、编辑、预览、复制和删除实验试卷；支持根据试卷名称、技术方向检索试卷。</w:t>
            </w:r>
          </w:p>
          <w:p w14:paraId="4F90329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.支持锁定实验试卷编辑权限，锁定后，仅创建者可编辑修改实验试卷。</w:t>
            </w:r>
          </w:p>
          <w:p w14:paraId="1048BEE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.支持创建、修改、删除、移动实验试卷库，支持通过试卷库对试卷进行归类管理。</w:t>
            </w:r>
          </w:p>
          <w:p w14:paraId="6591D75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证书管理</w:t>
            </w:r>
          </w:p>
          <w:p w14:paraId="2CCA90A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1.支持教师设置证书发放规则，学员按要求完成学习或考试，可自动获得结课或结业证书。</w:t>
            </w:r>
          </w:p>
          <w:p w14:paraId="749215B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2.支持创建、编辑、预览、发布、删除、撤销、管理证书。</w:t>
            </w:r>
          </w:p>
          <w:p w14:paraId="390354C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课程教学</w:t>
            </w:r>
          </w:p>
          <w:p w14:paraId="74EFB64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1.支持教学前台显示班级已关联的课程，包括课程封面、课程名称、课程简介、课程章节数等信息；从课程卡片可进入课程详情页；支持通过名称对课程进行搜索。</w:t>
            </w:r>
          </w:p>
          <w:p w14:paraId="48B6073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2.支持课程详情页展示课程名称、课程封面、课程目录、学习进度、关联资源统计等；</w:t>
            </w:r>
          </w:p>
          <w:p w14:paraId="5CD4B14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3.支持以目录树形式展示课程章节，支持章节目录展开与收起；支持展示课程章节已关联的课件类型：文档、视频、实验、图文、测验。</w:t>
            </w:r>
          </w:p>
          <w:p w14:paraId="126E31E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4.支持自动保存并展示课程进度，各章节学习进度实时更新，下次进入自动定位进入教学进度。</w:t>
            </w:r>
          </w:p>
          <w:p w14:paraId="77E314D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5.支持在教学过程中，依照创课模式不同章节采用不同教学方法（如演示法教学，情境式教学），增强教学和课堂互动效果。</w:t>
            </w:r>
          </w:p>
        </w:tc>
        <w:tc>
          <w:tcPr>
            <w:tcW w:w="505" w:type="dxa"/>
            <w:noWrap w:val="0"/>
            <w:vAlign w:val="center"/>
          </w:tcPr>
          <w:p w14:paraId="040B80F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22713B5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5133A5C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248F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B31AE7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239" w:type="dxa"/>
            <w:noWrap w:val="0"/>
            <w:vAlign w:val="center"/>
          </w:tcPr>
          <w:p w14:paraId="46400A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数通真机管理模块</w:t>
            </w:r>
          </w:p>
        </w:tc>
        <w:tc>
          <w:tcPr>
            <w:tcW w:w="6390" w:type="dxa"/>
            <w:gridSpan w:val="2"/>
            <w:noWrap w:val="0"/>
            <w:vAlign w:val="center"/>
          </w:tcPr>
          <w:p w14:paraId="362B1B0C">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图形化拓扑</w:t>
            </w:r>
            <w:r>
              <w:rPr>
                <w:rFonts w:hint="eastAsia" w:ascii="宋体" w:hAnsi="宋体" w:cs="宋体"/>
                <w:b/>
                <w:bCs/>
                <w:sz w:val="21"/>
                <w:szCs w:val="21"/>
                <w:lang w:val="en-US" w:eastAsia="zh-CN"/>
              </w:rPr>
              <w:t>功能</w:t>
            </w:r>
          </w:p>
          <w:p w14:paraId="00B4561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提供图形化实验拓扑页面：提供对应具体实验课程的图形化拓扑，可进行拓扑图的放大、缩小；支持调出导航视图，以特定角度查看拓扑图的完整性。</w:t>
            </w:r>
          </w:p>
          <w:p w14:paraId="423EA2BE">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支持通过拓扑一键登录物理网元设备。</w:t>
            </w:r>
          </w:p>
          <w:p w14:paraId="37B7F4C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实验预约和共享功能</w:t>
            </w:r>
          </w:p>
          <w:p w14:paraId="0500E56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支持预约物理设备实验：教师可为指定班级或学员，设置物理设备实验资源、设置实验时间，自动生成实验预约日程，为学员拟定实训计划。</w:t>
            </w:r>
          </w:p>
          <w:p w14:paraId="543F343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支持即时查阅实验预约排期：含可预约时间、已预约时间、与他人预约冲突时间，灵活调整实验预约排期；学员可按日程指定时间进行实训。</w:t>
            </w:r>
          </w:p>
          <w:p w14:paraId="1049A8A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支持一次性预约和周期性批量预约实验任务：重复周期支持选择1~7天。</w:t>
            </w:r>
          </w:p>
          <w:p w14:paraId="09A99EE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已预约的实验自动生成实验任务，含预约名称、实验名称、设备池名称、预约目的等；支持灵活操作实验任务，便捷管理预约实验。</w:t>
            </w:r>
          </w:p>
          <w:p w14:paraId="71732B0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实验任务共享：支持一键共享实验任务，可快速将实验任务共享给班级其他成员并同时进行操作，提高资源应用效率。</w:t>
            </w:r>
          </w:p>
          <w:p w14:paraId="2FE83F3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实验任务延时：支持一键延长实验任务时长，可便捷设置与管理实验时长。</w:t>
            </w:r>
          </w:p>
          <w:p w14:paraId="6D31003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实验任务释放：支持一键释放实验任务资源，可快捷重新预约该实验任务。</w:t>
            </w:r>
          </w:p>
          <w:p w14:paraId="4AE5BE8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支持查看历史预约任务与详情，支持按预约名称、班级、预约人等搜索查询。</w:t>
            </w:r>
          </w:p>
          <w:p w14:paraId="098C61B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支持通过实验课程卡片，一键快捷预约实验。</w:t>
            </w:r>
          </w:p>
          <w:p w14:paraId="483E66A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真机设备连接功能</w:t>
            </w:r>
          </w:p>
          <w:p w14:paraId="100B4B3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支持连接基于HTTP和HTTPS协议Web界面管理的网元，主流NCE网元可选择开启基于预约自动重置密码功能，用户可安全登录。</w:t>
            </w:r>
          </w:p>
          <w:p w14:paraId="5DAAE0A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支持浏览器无客户端直连基于SSH和Telnet协议的命令行界面管理的网元，带宽消耗极低，操作便捷。</w:t>
            </w:r>
          </w:p>
          <w:p w14:paraId="2D1CC73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支持连接基于RDP远程访问协议的网元。</w:t>
            </w:r>
          </w:p>
          <w:p w14:paraId="1B1A84C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支持用户通过公网环境跨地域的进行设备远程访问。</w:t>
            </w:r>
          </w:p>
          <w:p w14:paraId="5D54D1D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实验环境一键还原功能</w:t>
            </w:r>
          </w:p>
          <w:p w14:paraId="5CF4354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支持一键式批量完成网元的配置清除及预配置初始化。</w:t>
            </w:r>
          </w:p>
          <w:p w14:paraId="144D67E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val="0"/>
                <w:sz w:val="21"/>
                <w:szCs w:val="21"/>
                <w:vertAlign w:val="baseli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支持基于单个网元进行配置清除及预配置初始化。</w:t>
            </w:r>
          </w:p>
        </w:tc>
        <w:tc>
          <w:tcPr>
            <w:tcW w:w="505" w:type="dxa"/>
            <w:noWrap w:val="0"/>
            <w:vAlign w:val="center"/>
          </w:tcPr>
          <w:p w14:paraId="7C4967D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6953C01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289E9F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40DD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BC7EE7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239" w:type="dxa"/>
            <w:noWrap w:val="0"/>
            <w:vAlign w:val="center"/>
          </w:tcPr>
          <w:p w14:paraId="537B4E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数通工程师认证课程</w:t>
            </w:r>
          </w:p>
        </w:tc>
        <w:tc>
          <w:tcPr>
            <w:tcW w:w="6390" w:type="dxa"/>
            <w:gridSpan w:val="2"/>
            <w:noWrap w:val="0"/>
            <w:vAlign w:val="center"/>
          </w:tcPr>
          <w:p w14:paraId="0720469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该课程对应的认证考试须在国际认证考试中心Prometric或VUE可查；</w:t>
            </w:r>
          </w:p>
          <w:p w14:paraId="449E511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val="0"/>
                <w:sz w:val="21"/>
                <w:szCs w:val="21"/>
                <w:vertAlign w:val="baseli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课程须包含以下知识点：数据通信网络基础、网络参考模型、VRP系统基础、网络层协议与IP编址、IP路由基础、OSPF基础、以太网交换基础、VLAN原理与配置、生成树协议、实现VLAN之间的通信、以太网链路聚合与交换机堆叠、ACL原理与配置、AAA原理与配置、网络地址转换基础、网络服务与应用、WLAN概述、广域网技术基础、网络管理与运维、IPv6基础、SDN与NFV基础、网络编程与自动化、园区网典型组网架构及案例实践。</w:t>
            </w:r>
          </w:p>
        </w:tc>
        <w:tc>
          <w:tcPr>
            <w:tcW w:w="505" w:type="dxa"/>
            <w:noWrap w:val="0"/>
            <w:vAlign w:val="center"/>
          </w:tcPr>
          <w:p w14:paraId="77B9092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51BE525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736EBE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0FCA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C950BF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239" w:type="dxa"/>
            <w:noWrap w:val="0"/>
            <w:vAlign w:val="center"/>
          </w:tcPr>
          <w:p w14:paraId="6528F6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数通高级核心技术认证课程</w:t>
            </w:r>
          </w:p>
        </w:tc>
        <w:tc>
          <w:tcPr>
            <w:tcW w:w="6390" w:type="dxa"/>
            <w:gridSpan w:val="2"/>
            <w:noWrap w:val="0"/>
            <w:vAlign w:val="center"/>
          </w:tcPr>
          <w:p w14:paraId="32A97C7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该课程对应的认证考试须在国际认证考试中心Prometric或VUE可查；</w:t>
            </w:r>
          </w:p>
          <w:p w14:paraId="0DB132B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val="0"/>
                <w:sz w:val="21"/>
                <w:szCs w:val="21"/>
                <w:vertAlign w:val="baseli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课程须包含以下知识点：认识网络设备、IP路由基础、OSPF基础、OSPF路由计算、OSPF特殊区域及其他特性、IS-IS原理与配置、BGP基础、BGP路径属性与路由反射器、BGP路由优选、BGP EVPN基础、路由策略与路由控制、流量过滤与转发路径控制、园区网典型技术应用概述、RSTP原理与配置、MSTP原理与配置、交换机堆叠与集群、IP组播基础、IGMP原理与配置、PIM原理与配置、IPv6概述、ICMPv6和NDP、IPv6地址配置、防火墙技术、网络设备安全特性、VPN技术概述、VRF基本概念及应用、BFD原理与应用、VRRP原理与配置、DHCP原理与配置、网络管理协议介绍、大型WLAN组网部署、企业数通解决方案概述。</w:t>
            </w:r>
          </w:p>
        </w:tc>
        <w:tc>
          <w:tcPr>
            <w:tcW w:w="505" w:type="dxa"/>
            <w:noWrap w:val="0"/>
            <w:vAlign w:val="center"/>
          </w:tcPr>
          <w:p w14:paraId="429D483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618D68D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0CA580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12A4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200140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239" w:type="dxa"/>
            <w:noWrap w:val="0"/>
            <w:vAlign w:val="center"/>
          </w:tcPr>
          <w:p w14:paraId="1D1CAD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数通高级路由交换认证课程</w:t>
            </w:r>
          </w:p>
        </w:tc>
        <w:tc>
          <w:tcPr>
            <w:tcW w:w="6390" w:type="dxa"/>
            <w:gridSpan w:val="2"/>
            <w:noWrap w:val="0"/>
            <w:vAlign w:val="center"/>
          </w:tcPr>
          <w:p w14:paraId="504673A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该课程对应的认证考试须在国际认证考试中心Prometric或VUE可查；</w:t>
            </w:r>
          </w:p>
          <w:p w14:paraId="5B2E6B5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课程须包含以下知识点：IGP高级特性、BGP高级特性、IPv6路由、以太网高级技术、MPLS技术、网络运维、网络故障排除、网络割接。</w:t>
            </w:r>
          </w:p>
        </w:tc>
        <w:tc>
          <w:tcPr>
            <w:tcW w:w="505" w:type="dxa"/>
            <w:noWrap w:val="0"/>
            <w:vAlign w:val="center"/>
          </w:tcPr>
          <w:p w14:paraId="5275229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0F495E5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71BC41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7CF6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298ED8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239" w:type="dxa"/>
            <w:noWrap w:val="0"/>
            <w:vAlign w:val="center"/>
          </w:tcPr>
          <w:p w14:paraId="18B88B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实验设备-路由器</w:t>
            </w:r>
          </w:p>
        </w:tc>
        <w:tc>
          <w:tcPr>
            <w:tcW w:w="6390" w:type="dxa"/>
            <w:gridSpan w:val="2"/>
            <w:noWrap w:val="0"/>
            <w:vAlign w:val="center"/>
          </w:tcPr>
          <w:p w14:paraId="156508C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1.设备性能：整机支持交换容量≥80Gbps，支持包转发性能≥15Mpps；</w:t>
            </w:r>
          </w:p>
          <w:p w14:paraId="588AA04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2.硬件架构：业务插槽≥2个，整机高度≤1U，交流电源供电；</w:t>
            </w:r>
          </w:p>
          <w:p w14:paraId="2CD9C11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3.转发架构：采用无阻塞交换架构，支持多核CPU处理器； </w:t>
            </w:r>
          </w:p>
          <w:p w14:paraId="0DA1C6C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4.设备配置：提供万兆三层路由SFP+光口≥1个，千兆三层路由光电复用口≥2个，千兆二层电口（可切换为三层接口）≥8个，千兆光电复用二层口（可切换为三层接口）≥1个，1个交流电源；</w:t>
            </w:r>
          </w:p>
          <w:p w14:paraId="6D9A223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5.芯片自主化：为满足安全自主可控要求，</w:t>
            </w:r>
            <w:r>
              <w:rPr>
                <w:rFonts w:hint="eastAsia" w:ascii="宋体" w:hAnsi="宋体" w:eastAsia="宋体" w:cs="宋体"/>
                <w:sz w:val="21"/>
                <w:szCs w:val="21"/>
                <w:highlight w:val="none"/>
                <w:lang w:val="en-US" w:eastAsia="zh-CN"/>
              </w:rPr>
              <w:t>CPU和NP芯片为国产自研芯片；</w:t>
            </w:r>
          </w:p>
          <w:p w14:paraId="5A7F062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6.热插拔：为便于运维管理和安全，业务板卡须支持热插拔，无需配置命令等辅助操作，</w:t>
            </w:r>
          </w:p>
          <w:p w14:paraId="3574025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7.安全：设备可扩展支持防火墙功能、IPS、URL过滤和应用SAC阻断功能；</w:t>
            </w:r>
          </w:p>
          <w:p w14:paraId="14CB2B1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8.基础功能：支持DHCP server/client/relay，PPPoE server/client，NAT，子接口管理等;</w:t>
            </w:r>
          </w:p>
          <w:p w14:paraId="55BCF6C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9.局域网协议：支持IEEE 802.1P，IEEE 802.1Q，IEEE 802.3 ，VLAN管理，VLAN聚合，MAC管理， SEP等;</w:t>
            </w:r>
          </w:p>
          <w:p w14:paraId="014D53C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10.管理维护：支持升级管理，设备管理，Web网管，GTL，SNMP（v1/v2c/v3），RMON，NTP，NetConf/YANG，CLI，NetStream。 </w:t>
            </w:r>
          </w:p>
        </w:tc>
        <w:tc>
          <w:tcPr>
            <w:tcW w:w="505" w:type="dxa"/>
            <w:noWrap w:val="0"/>
            <w:vAlign w:val="center"/>
          </w:tcPr>
          <w:p w14:paraId="33D68E3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78" w:type="dxa"/>
            <w:noWrap w:val="0"/>
            <w:vAlign w:val="center"/>
          </w:tcPr>
          <w:p w14:paraId="6B1B8D6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32CBA2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1A08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A78782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1239" w:type="dxa"/>
            <w:noWrap w:val="0"/>
            <w:vAlign w:val="center"/>
          </w:tcPr>
          <w:p w14:paraId="6CFFE9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实验设备-交换机1</w:t>
            </w:r>
          </w:p>
        </w:tc>
        <w:tc>
          <w:tcPr>
            <w:tcW w:w="6390" w:type="dxa"/>
            <w:gridSpan w:val="2"/>
            <w:noWrap w:val="0"/>
            <w:vAlign w:val="center"/>
          </w:tcPr>
          <w:p w14:paraId="60AFA85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1.设备性能：交换容量≥1.2Tbps, 转发性能≥400Mpps，以设备厂商官网所列较低数值为准；</w:t>
            </w:r>
          </w:p>
          <w:p w14:paraId="1112CA5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2.设备配置：提供千兆电口≥24个，万兆SFP+光口≥4个，支持业务扩展插槽数≥1个,提供可拔插交流电源模块≥1个；</w:t>
            </w:r>
          </w:p>
          <w:p w14:paraId="2CC6736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3.规格表项：支持MAC地址≥256K，支持ARP表项≥128K,支持Ipv4路由FIB表≥512K，Ipv6路由FIB表≥64K，端口缓存≥200M；</w:t>
            </w:r>
          </w:p>
          <w:p w14:paraId="0151202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4.IP路由：支持RIP v1/v</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OSPF、BGP、ISIS、RIPng、OSPFv</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ISISv</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BGP4+等路由协议，支持策略路由、路由策略、VRRP、BFD for OSPF、BGP、IS-IS、Static Route支持IPv</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支持IPv4/IPv6双栈、IPv6 over IPv4隧道、IPv4 over IPv6隧道；</w:t>
            </w:r>
          </w:p>
          <w:p w14:paraId="0112C63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5.无线管理：支持融合AC管理功能，整机可管理1K AP，</w:t>
            </w:r>
          </w:p>
          <w:p w14:paraId="01F307D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6.纵向虚拟化：支持纵向虚拟化功能，作为父节点将下联的交换机和无线AP虚拟为一台设备管理； </w:t>
            </w:r>
          </w:p>
          <w:p w14:paraId="593D26A7">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7.VxLAN：支持VxLAN功能，支持BGP EVPN，支持分布式 Anycast 网关，支持VxLAN的自动化部署</w:t>
            </w:r>
            <w:r>
              <w:rPr>
                <w:rFonts w:hint="eastAsia" w:ascii="宋体" w:hAnsi="宋体" w:cs="宋体"/>
                <w:sz w:val="21"/>
                <w:szCs w:val="21"/>
                <w:lang w:val="en-US" w:eastAsia="zh-CN"/>
              </w:rPr>
              <w:t>；</w:t>
            </w:r>
          </w:p>
          <w:p w14:paraId="3313E6F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8.MPLS：支持MPLS L3VPN、MPLS L2VPN(VPLS/VLL)、MPLS-TE、MPLS QoS；</w:t>
            </w:r>
          </w:p>
          <w:p w14:paraId="6747C87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9.安全：持防ARP攻击、DOS攻击、ICMP防攻击、CPU防攻击，支持DHCPv6 Snooping，IP Source Guard，SAVI等安全特性；</w:t>
            </w:r>
          </w:p>
          <w:p w14:paraId="0019D0AA">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10.可靠性：支持真实业务流实时检测技术，实时检测网络故障</w:t>
            </w:r>
            <w:r>
              <w:rPr>
                <w:rFonts w:hint="eastAsia" w:ascii="宋体" w:hAnsi="宋体" w:cs="宋体"/>
                <w:sz w:val="21"/>
                <w:szCs w:val="21"/>
                <w:lang w:val="en-US" w:eastAsia="zh-CN"/>
              </w:rPr>
              <w:t>；</w:t>
            </w:r>
          </w:p>
          <w:p w14:paraId="00F7B15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11.网络管理：支持SNMP v1/v2/v</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Telnet、RMON、SSHv2，支持通过命令行、Web、中文图形化配置软件等方式进行配置和管理；</w:t>
            </w:r>
          </w:p>
          <w:p w14:paraId="76CA2E0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12.安全协防：支持报告攻击事件给网络安全智能系统，与网络安全智能系统和SDN控制器联动，以实现全网安全协防</w:t>
            </w:r>
            <w:r>
              <w:rPr>
                <w:rFonts w:hint="eastAsia" w:ascii="宋体" w:hAnsi="宋体" w:cs="宋体"/>
                <w:sz w:val="21"/>
                <w:szCs w:val="21"/>
                <w:lang w:val="en-US" w:eastAsia="zh-CN"/>
              </w:rPr>
              <w:t>。</w:t>
            </w:r>
          </w:p>
        </w:tc>
        <w:tc>
          <w:tcPr>
            <w:tcW w:w="505" w:type="dxa"/>
            <w:noWrap w:val="0"/>
            <w:vAlign w:val="center"/>
          </w:tcPr>
          <w:p w14:paraId="1DA5778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478" w:type="dxa"/>
            <w:noWrap w:val="0"/>
            <w:vAlign w:val="center"/>
          </w:tcPr>
          <w:p w14:paraId="2A6DAED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4C9B5C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60FB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C7972C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239" w:type="dxa"/>
            <w:noWrap w:val="0"/>
            <w:vAlign w:val="center"/>
          </w:tcPr>
          <w:p w14:paraId="7BF8F0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实验设备-交换机2</w:t>
            </w:r>
          </w:p>
        </w:tc>
        <w:tc>
          <w:tcPr>
            <w:tcW w:w="6390" w:type="dxa"/>
            <w:gridSpan w:val="2"/>
            <w:noWrap w:val="0"/>
            <w:vAlign w:val="center"/>
          </w:tcPr>
          <w:p w14:paraId="5320B9B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1.设备性能：交换容量≥1.2Tbps, 转发性能≥400Mpps，以设备厂商官网所列较低数值为准；</w:t>
            </w:r>
          </w:p>
          <w:p w14:paraId="69A01DD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2.设备配置：提供千兆电口≥24个，万兆SFP+光口≥4个，支持业务扩展插槽数≥1个提供可拔插交流电源模块≥1个,；</w:t>
            </w:r>
          </w:p>
          <w:p w14:paraId="7A0D7A7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3.POE：所有端口都支持802.3at POE+功能，单端口最大输出30W，24端口30W POE+满供; </w:t>
            </w:r>
          </w:p>
          <w:p w14:paraId="6D5BCF4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4.IP路由：支持RIP v1/v</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OSPF、BGP、ISIS、RIPng、OSPFv</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ISISv</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BGP4+等路由协议，支持策略路由、路由策略、VRRP、BFD for OSPF、BGP、IS-IS、Static Route支持IPv</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支持IPv4/IPv6双栈、IPv6 over IPv4隧道、IPv4 over IPv6隧道；</w:t>
            </w:r>
          </w:p>
          <w:p w14:paraId="1C3D0F51">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5.无线管理：支持融合AC管理功能，整机可管理1K AP</w:t>
            </w:r>
            <w:r>
              <w:rPr>
                <w:rFonts w:hint="eastAsia" w:ascii="宋体" w:hAnsi="宋体" w:cs="宋体"/>
                <w:sz w:val="21"/>
                <w:szCs w:val="21"/>
                <w:lang w:val="en-US" w:eastAsia="zh-CN"/>
              </w:rPr>
              <w:t>；</w:t>
            </w:r>
          </w:p>
          <w:p w14:paraId="2A1CC2D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6.纵向虚拟化：支持纵向虚拟化功能，作为父节点将下联的交换机和无线AP虚拟为一台设备管理； </w:t>
            </w:r>
          </w:p>
          <w:p w14:paraId="3B5B8090">
            <w:pPr>
              <w:keepNext w:val="0"/>
              <w:keepLines w:val="0"/>
              <w:pageBreakBefore w:val="0"/>
              <w:kinsoku/>
              <w:wordWrap/>
              <w:overflowPunct/>
              <w:topLinePunct w:val="0"/>
              <w:autoSpaceDE/>
              <w:autoSpaceDN/>
              <w:bidi w:val="0"/>
              <w:adjustRightInd/>
              <w:snapToGrid/>
              <w:spacing w:line="440" w:lineRule="exact"/>
              <w:rPr>
                <w:rFonts w:hint="eastAsia"/>
                <w:lang w:eastAsia="zh-CN"/>
              </w:rPr>
            </w:pPr>
            <w:r>
              <w:rPr>
                <w:rFonts w:hint="eastAsia" w:ascii="宋体" w:hAnsi="宋体" w:eastAsia="宋体" w:cs="宋体"/>
                <w:sz w:val="21"/>
                <w:szCs w:val="21"/>
                <w:lang w:val="en-US" w:eastAsia="zh-CN"/>
              </w:rPr>
              <w:t>7.VxLAN：支持VxLAN功能，支持BGP EVPN，支持分布式 Anycast 网关，支持VxLAN的自动化部署</w:t>
            </w:r>
            <w:r>
              <w:rPr>
                <w:rFonts w:hint="eastAsia"/>
                <w:lang w:eastAsia="zh-CN"/>
              </w:rPr>
              <w:t>；</w:t>
            </w:r>
          </w:p>
          <w:p w14:paraId="2AC7087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8.MPLS：支持MPLS L3VPN、MPLS L2VPN(VPLS/VLL)、MPLS-TE、MPLS QoS；</w:t>
            </w:r>
          </w:p>
          <w:p w14:paraId="3698915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9.安全：持防ARP攻击、DOS攻击、ICMP防攻击、CPU防攻击，支持DHCPv6 Snooping，IP Source Guard，SAVI等安全特性；</w:t>
            </w:r>
          </w:p>
          <w:p w14:paraId="30583F5A">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10.可靠性：支持真实业务流实时检测技术，实时检测网络故障</w:t>
            </w:r>
            <w:r>
              <w:rPr>
                <w:rFonts w:hint="eastAsia" w:ascii="宋体" w:hAnsi="宋体" w:cs="宋体"/>
                <w:sz w:val="21"/>
                <w:szCs w:val="21"/>
                <w:lang w:val="en-US" w:eastAsia="zh-CN"/>
              </w:rPr>
              <w:t>；</w:t>
            </w:r>
          </w:p>
          <w:p w14:paraId="6EF5291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11.网络管理：支持SNMP v1/v2/v</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Telnet、RMON、SSHv2，支持通过命令行、Web、中文图形化配置软件等方式进行配置和管理；</w:t>
            </w:r>
          </w:p>
          <w:p w14:paraId="717D363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12.安全协防：支持报告攻击事件给网络安全智能系统，与网络安全智能系统和SDN控制器联动，以实现全网安全协防</w:t>
            </w:r>
            <w:r>
              <w:rPr>
                <w:rFonts w:hint="eastAsia" w:ascii="宋体" w:hAnsi="宋体" w:cs="宋体"/>
                <w:sz w:val="21"/>
                <w:szCs w:val="21"/>
                <w:lang w:val="en-US" w:eastAsia="zh-CN"/>
              </w:rPr>
              <w:t>。</w:t>
            </w:r>
          </w:p>
        </w:tc>
        <w:tc>
          <w:tcPr>
            <w:tcW w:w="505" w:type="dxa"/>
            <w:noWrap w:val="0"/>
            <w:vAlign w:val="center"/>
          </w:tcPr>
          <w:p w14:paraId="20DE75F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478" w:type="dxa"/>
            <w:noWrap w:val="0"/>
            <w:vAlign w:val="center"/>
          </w:tcPr>
          <w:p w14:paraId="7ECB382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06E57D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0247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5D41C9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239" w:type="dxa"/>
            <w:noWrap w:val="0"/>
            <w:vAlign w:val="center"/>
          </w:tcPr>
          <w:p w14:paraId="569ADC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实验设备-无线AP</w:t>
            </w:r>
          </w:p>
        </w:tc>
        <w:tc>
          <w:tcPr>
            <w:tcW w:w="6390" w:type="dxa"/>
            <w:gridSpan w:val="2"/>
            <w:noWrap w:val="0"/>
            <w:vAlign w:val="center"/>
          </w:tcPr>
          <w:p w14:paraId="087AB54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1.协议标准：设备支持2.4GHz和5GHz两个频段，支持2.4GHz和5GHz频段同时工作，两个频段均支持802.11ax标准；</w:t>
            </w:r>
          </w:p>
          <w:p w14:paraId="20A587F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2.射频:支持1个2.4GHz射频，2个5GHz射频，空间流≥6个，2.4GHz射频支持802.11ax 2x2 MU-MIMO， 5GHz射频1支持802.11ax 2x2 MU-MIMO， 5GHz射频2支持802.11ax 2x2 MU-MIMO；</w:t>
            </w:r>
          </w:p>
          <w:p w14:paraId="61147F0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3.速率：整机最大协商速率≥5.3Gbps；</w:t>
            </w:r>
          </w:p>
          <w:p w14:paraId="1DA1719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4.天线：内置智能天线；</w:t>
            </w:r>
          </w:p>
          <w:p w14:paraId="5D4F552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5.接口：提供1G/2.5G/5GE以太网电口≥1个，提供千兆以太网电口≥1个, 提供USB接口≥1个；</w:t>
            </w:r>
          </w:p>
          <w:p w14:paraId="7B4C54FA">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6.IOT扩展:内置物联网插槽≥2个，支持BLE5.0/Zigbee/RFID/Thread等物联网扩展</w:t>
            </w:r>
            <w:r>
              <w:rPr>
                <w:rFonts w:hint="eastAsia" w:ascii="宋体" w:hAnsi="宋体" w:cs="宋体"/>
                <w:sz w:val="21"/>
                <w:szCs w:val="21"/>
                <w:lang w:val="en-US" w:eastAsia="zh-CN"/>
              </w:rPr>
              <w:t>；</w:t>
            </w:r>
          </w:p>
          <w:p w14:paraId="7415A5E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7.蓝牙:内置蓝牙5.0，可实现蓝牙终端精确定位,支持蓝牙串口远距无线运维; </w:t>
            </w:r>
          </w:p>
          <w:p w14:paraId="77A99E1C">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8.自主可控：设备采用国产化芯片</w:t>
            </w:r>
            <w:r>
              <w:rPr>
                <w:rFonts w:hint="eastAsia" w:ascii="宋体" w:hAnsi="宋体" w:cs="宋体"/>
                <w:sz w:val="21"/>
                <w:szCs w:val="21"/>
                <w:lang w:val="en-US" w:eastAsia="zh-CN"/>
              </w:rPr>
              <w:t>；</w:t>
            </w:r>
          </w:p>
          <w:p w14:paraId="3AA30F53">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lang w:val="en-US" w:eastAsia="zh-CN"/>
              </w:rPr>
              <w:t>9.终端速率：手机单终端实测速率≥1Gbps</w:t>
            </w:r>
            <w:r>
              <w:rPr>
                <w:rFonts w:hint="eastAsia" w:ascii="宋体" w:hAnsi="宋体" w:cs="宋体"/>
                <w:sz w:val="21"/>
                <w:szCs w:val="21"/>
                <w:lang w:val="en-US" w:eastAsia="zh-CN"/>
              </w:rPr>
              <w:t>；</w:t>
            </w:r>
          </w:p>
          <w:p w14:paraId="2254644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10.自治组网：支持Leader AP功能，即在无AC组网的场景，AP可作为AC管理其他AP，且无需购买 AP 管理 license；</w:t>
            </w:r>
          </w:p>
          <w:p w14:paraId="0C89030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11.无损升级：AP支持业务不中断升级，在升级过程中，用户业务不中断； </w:t>
            </w:r>
          </w:p>
          <w:p w14:paraId="3669445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12.供电：提供PoE++供电；</w:t>
            </w:r>
          </w:p>
        </w:tc>
        <w:tc>
          <w:tcPr>
            <w:tcW w:w="505" w:type="dxa"/>
            <w:noWrap w:val="0"/>
            <w:vAlign w:val="center"/>
          </w:tcPr>
          <w:p w14:paraId="66A7C6B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478" w:type="dxa"/>
            <w:noWrap w:val="0"/>
            <w:vAlign w:val="center"/>
          </w:tcPr>
          <w:p w14:paraId="48ABA6C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7342D5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7FCA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C08587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239" w:type="dxa"/>
            <w:noWrap w:val="0"/>
            <w:vAlign w:val="center"/>
          </w:tcPr>
          <w:p w14:paraId="464AB4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实验设备-交换机3</w:t>
            </w:r>
          </w:p>
        </w:tc>
        <w:tc>
          <w:tcPr>
            <w:tcW w:w="6390" w:type="dxa"/>
            <w:gridSpan w:val="2"/>
            <w:noWrap w:val="0"/>
            <w:vAlign w:val="center"/>
          </w:tcPr>
          <w:p w14:paraId="0D794D0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整机性能：交换容量≥672Gbps，包转发率≥100Mpps；</w:t>
            </w:r>
          </w:p>
          <w:p w14:paraId="08FE88E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设备配置：提供千兆电口≥24个，千兆光口≥4个；</w:t>
            </w:r>
          </w:p>
          <w:p w14:paraId="14E47F0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设备的关键元器件CPU和转发芯片采用国产自研芯片，满足国产化自主可控要求</w:t>
            </w:r>
            <w:r>
              <w:rPr>
                <w:rFonts w:hint="eastAsia" w:ascii="宋体" w:hAnsi="宋体" w:cs="宋体"/>
                <w:sz w:val="21"/>
                <w:szCs w:val="21"/>
                <w:highlight w:val="none"/>
                <w:lang w:val="en-US" w:eastAsia="zh-CN"/>
              </w:rPr>
              <w:t>；</w:t>
            </w:r>
          </w:p>
          <w:p w14:paraId="33C39EBE">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提供复位按钮，可以短按实现复位设备，长按实现恢复出厂配置并复位设备</w:t>
            </w:r>
            <w:r>
              <w:rPr>
                <w:rFonts w:hint="eastAsia" w:ascii="宋体" w:hAnsi="宋体" w:cs="宋体"/>
                <w:sz w:val="21"/>
                <w:szCs w:val="21"/>
                <w:lang w:val="en-US" w:eastAsia="zh-CN"/>
              </w:rPr>
              <w:t>；</w:t>
            </w:r>
          </w:p>
          <w:p w14:paraId="70AE097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提供MAC地址表≥32K，FIBv4≥4K，FIBv6≥1K；</w:t>
            </w:r>
          </w:p>
          <w:p w14:paraId="1689497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提供纵向虚拟化功能，可以作为Client零配置即插即用，Client可以独立运行，业务可以一键式自动下发；</w:t>
            </w:r>
          </w:p>
          <w:p w14:paraId="3ADBED3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可以配置静态路由、RIP、OSPF路由协议；</w:t>
            </w:r>
          </w:p>
          <w:p w14:paraId="19618F4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可以配置IP、MAC、端口、VLAN的组合绑定，可以配置MAC地址学习数目限制、IEEE 802.1X认证、单端口最大用户数限制；</w:t>
            </w:r>
          </w:p>
          <w:p w14:paraId="5DE9ED7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505" w:type="dxa"/>
            <w:noWrap w:val="0"/>
            <w:vAlign w:val="center"/>
          </w:tcPr>
          <w:p w14:paraId="1F0836E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3D08643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0091AC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66CE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788A5B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239" w:type="dxa"/>
            <w:noWrap w:val="0"/>
            <w:vAlign w:val="center"/>
          </w:tcPr>
          <w:p w14:paraId="14A8FE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实验设备-串口服务器</w:t>
            </w:r>
          </w:p>
        </w:tc>
        <w:tc>
          <w:tcPr>
            <w:tcW w:w="6390" w:type="dxa"/>
            <w:gridSpan w:val="2"/>
            <w:noWrap w:val="0"/>
            <w:vAlign w:val="center"/>
          </w:tcPr>
          <w:p w14:paraId="294C518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支持16路RS232/485转RJ45接口。</w:t>
            </w:r>
          </w:p>
        </w:tc>
        <w:tc>
          <w:tcPr>
            <w:tcW w:w="505" w:type="dxa"/>
            <w:noWrap w:val="0"/>
            <w:vAlign w:val="center"/>
          </w:tcPr>
          <w:p w14:paraId="567DC70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5AF7858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718" w:type="dxa"/>
            <w:noWrap w:val="0"/>
            <w:vAlign w:val="center"/>
          </w:tcPr>
          <w:p w14:paraId="0A0EA4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5172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6C2F54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12</w:t>
            </w:r>
          </w:p>
        </w:tc>
        <w:tc>
          <w:tcPr>
            <w:tcW w:w="1239" w:type="dxa"/>
            <w:noWrap w:val="0"/>
            <w:vAlign w:val="center"/>
          </w:tcPr>
          <w:p w14:paraId="6E6DCA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vertAlign w:val="baseline"/>
                <w:lang w:val="en-US" w:eastAsia="zh-CN"/>
              </w:rPr>
              <w:t>三楼走廊及文化建设</w:t>
            </w:r>
          </w:p>
        </w:tc>
        <w:tc>
          <w:tcPr>
            <w:tcW w:w="6390" w:type="dxa"/>
            <w:gridSpan w:val="2"/>
            <w:noWrap w:val="0"/>
            <w:vAlign w:val="center"/>
          </w:tcPr>
          <w:p w14:paraId="449FE8E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做铝扣板吊顶、实训室门牌、挂图，原墙腻子铲除、原墙瓷砖铲除、</w:t>
            </w:r>
          </w:p>
          <w:p w14:paraId="52308A6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腻子涂料、综合布线、地脚线</w:t>
            </w:r>
          </w:p>
        </w:tc>
        <w:tc>
          <w:tcPr>
            <w:tcW w:w="505" w:type="dxa"/>
            <w:noWrap w:val="0"/>
            <w:vAlign w:val="center"/>
          </w:tcPr>
          <w:p w14:paraId="2336BE2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3EC33E2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w:t>
            </w:r>
          </w:p>
        </w:tc>
        <w:tc>
          <w:tcPr>
            <w:tcW w:w="718" w:type="dxa"/>
            <w:noWrap w:val="0"/>
            <w:vAlign w:val="center"/>
          </w:tcPr>
          <w:p w14:paraId="2FF330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val="en-US" w:eastAsia="zh-CN"/>
              </w:rPr>
              <w:t>/</w:t>
            </w:r>
          </w:p>
        </w:tc>
      </w:tr>
      <w:tr w14:paraId="7B62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714CB4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13</w:t>
            </w:r>
          </w:p>
        </w:tc>
        <w:tc>
          <w:tcPr>
            <w:tcW w:w="1239" w:type="dxa"/>
            <w:noWrap w:val="0"/>
            <w:vAlign w:val="center"/>
          </w:tcPr>
          <w:p w14:paraId="53D342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vertAlign w:val="baseline"/>
                <w:lang w:val="en-US" w:eastAsia="zh-CN"/>
              </w:rPr>
              <w:t>科研能力提升</w:t>
            </w:r>
          </w:p>
        </w:tc>
        <w:tc>
          <w:tcPr>
            <w:tcW w:w="6390" w:type="dxa"/>
            <w:gridSpan w:val="2"/>
            <w:noWrap w:val="0"/>
            <w:vAlign w:val="center"/>
          </w:tcPr>
          <w:p w14:paraId="4F1D0CB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一、服务内容</w:t>
            </w:r>
          </w:p>
          <w:p w14:paraId="48072E0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1.科研能力提升指导</w:t>
            </w:r>
          </w:p>
          <w:p w14:paraId="2298B9F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2.指导论文2篇；</w:t>
            </w:r>
          </w:p>
          <w:p w14:paraId="769252D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3.指导完成1个自治区级课题申报及研究实践。</w:t>
            </w:r>
          </w:p>
          <w:p w14:paraId="75615CD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二、服务要求</w:t>
            </w:r>
          </w:p>
          <w:p w14:paraId="2BA830A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1.指导完成1个自治区级课题选题；</w:t>
            </w:r>
          </w:p>
          <w:p w14:paraId="30ED6B8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2.指导课题申报材料的撰写；</w:t>
            </w:r>
          </w:p>
          <w:p w14:paraId="3D3520B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3.专家指导申报材料整体优化；</w:t>
            </w:r>
          </w:p>
          <w:p w14:paraId="3749EC1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4.发表省级论文2篇。</w:t>
            </w:r>
          </w:p>
        </w:tc>
        <w:tc>
          <w:tcPr>
            <w:tcW w:w="505" w:type="dxa"/>
            <w:noWrap w:val="0"/>
            <w:vAlign w:val="center"/>
          </w:tcPr>
          <w:p w14:paraId="561AD4E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566AE48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w:t>
            </w:r>
          </w:p>
        </w:tc>
        <w:tc>
          <w:tcPr>
            <w:tcW w:w="718" w:type="dxa"/>
            <w:noWrap w:val="0"/>
            <w:vAlign w:val="center"/>
          </w:tcPr>
          <w:p w14:paraId="6A62B0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w:t>
            </w:r>
          </w:p>
        </w:tc>
      </w:tr>
      <w:tr w14:paraId="4648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E9E4FE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14</w:t>
            </w:r>
          </w:p>
        </w:tc>
        <w:tc>
          <w:tcPr>
            <w:tcW w:w="1239" w:type="dxa"/>
            <w:noWrap w:val="0"/>
            <w:vAlign w:val="center"/>
          </w:tcPr>
          <w:p w14:paraId="0B2AEF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vertAlign w:val="baseline"/>
                <w:lang w:val="en-US" w:eastAsia="zh-CN"/>
              </w:rPr>
              <w:t>教学能力比赛教师队伍建设</w:t>
            </w:r>
          </w:p>
        </w:tc>
        <w:tc>
          <w:tcPr>
            <w:tcW w:w="6390" w:type="dxa"/>
            <w:gridSpan w:val="2"/>
            <w:noWrap w:val="0"/>
            <w:vAlign w:val="center"/>
          </w:tcPr>
          <w:p w14:paraId="2D2AB0D5">
            <w:pPr>
              <w:keepNext w:val="0"/>
              <w:keepLines w:val="0"/>
              <w:pageBreakBefore w:val="0"/>
              <w:numPr>
                <w:ilvl w:val="0"/>
                <w:numId w:val="2"/>
              </w:numPr>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组织7名教师外出开展教师教学能力提升培训（包含课堂教学，混合式教学，微课评分标准等相关案例，政策以及教学视频特色选取及脚本撰写指导）。</w:t>
            </w:r>
          </w:p>
          <w:p w14:paraId="5DF136FB">
            <w:pPr>
              <w:keepNext w:val="0"/>
              <w:keepLines w:val="0"/>
              <w:pageBreakBefore w:val="0"/>
              <w:numPr>
                <w:ilvl w:val="0"/>
                <w:numId w:val="2"/>
              </w:numPr>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课堂教学作品打磨（视频拍摄和作品文本指导优化）</w:t>
            </w:r>
          </w:p>
          <w:p w14:paraId="6CB129ED">
            <w:pPr>
              <w:keepNext w:val="0"/>
              <w:keepLines w:val="0"/>
              <w:pageBreakBefore w:val="0"/>
              <w:numPr>
                <w:ilvl w:val="0"/>
                <w:numId w:val="2"/>
              </w:numPr>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作品优化服务（参赛作品文本材料排版：包含脚本教案，教学实施报告，专业人才培养方案，课程标准，教材选用说明等）</w:t>
            </w:r>
          </w:p>
        </w:tc>
        <w:tc>
          <w:tcPr>
            <w:tcW w:w="505" w:type="dxa"/>
            <w:noWrap w:val="0"/>
            <w:vAlign w:val="center"/>
          </w:tcPr>
          <w:p w14:paraId="6BDC720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63958AF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w:t>
            </w:r>
          </w:p>
        </w:tc>
        <w:tc>
          <w:tcPr>
            <w:tcW w:w="718" w:type="dxa"/>
            <w:noWrap w:val="0"/>
            <w:vAlign w:val="center"/>
          </w:tcPr>
          <w:p w14:paraId="38619F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w:t>
            </w:r>
          </w:p>
        </w:tc>
      </w:tr>
      <w:tr w14:paraId="38B8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53DF990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1239" w:type="dxa"/>
            <w:noWrap w:val="0"/>
            <w:vAlign w:val="center"/>
          </w:tcPr>
          <w:p w14:paraId="218969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vertAlign w:val="baseline"/>
                <w:lang w:val="en-US" w:eastAsia="zh-CN"/>
              </w:rPr>
              <w:t>开发自治区职业教育规划教材</w:t>
            </w:r>
          </w:p>
        </w:tc>
        <w:tc>
          <w:tcPr>
            <w:tcW w:w="6390" w:type="dxa"/>
            <w:gridSpan w:val="2"/>
            <w:noWrap w:val="0"/>
            <w:vAlign w:val="center"/>
          </w:tcPr>
          <w:p w14:paraId="026E241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一、教材编写流程</w:t>
            </w:r>
          </w:p>
          <w:p w14:paraId="5F7BB28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1.由企业项目组成员与专业课老师组建《计算机xx》1门活页教材编写小组；</w:t>
            </w:r>
          </w:p>
          <w:p w14:paraId="3352D29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2根据《计算机xx》活页式教材的编写量.老师完成进度与资源储备状况，双方共同制定教材编写计划；</w:t>
            </w:r>
          </w:p>
          <w:p w14:paraId="3957880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3.由专家指导，教材编写组结合最新职教高考考纲内容制定《计算机xx》活页教材详细大纲，交由专业老师审阅并对大纲进行修改；</w:t>
            </w:r>
          </w:p>
          <w:p w14:paraId="43F518B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4.组织由行业、企业专家和专业教师参与的教材开发研讨会并组织教材开发调研，教材编写组根据研讨会及调研结果对《计算机xx》活页教材的大纲进行修改；</w:t>
            </w:r>
          </w:p>
          <w:p w14:paraId="1766680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6.组织又专家组成的教材开发论证会对教材大纲进行论证，大纲修整后确认最终稿；</w:t>
            </w:r>
          </w:p>
          <w:p w14:paraId="4762903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7.教材编写组分配编写任务，确定编写进度，进入编写状态。同时进行课程标准的撰写；</w:t>
            </w:r>
          </w:p>
          <w:p w14:paraId="05CB5E8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8.项目组和编写组负责人跟踪编写进度，按预定计划完成初稿工作；</w:t>
            </w:r>
          </w:p>
          <w:p w14:paraId="09B7D1A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9.完成教材初稿后，组织召开专家研讨会，由专家审阅教材初稿；</w:t>
            </w:r>
          </w:p>
          <w:p w14:paraId="07C9F87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10.教材编写组根据专家意见对教材进行修改并输出教材再审稿；专家对再审稿进行审阅，编写组进行修整，直至定稿；</w:t>
            </w:r>
          </w:p>
          <w:p w14:paraId="5BE521C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二、教材出版</w:t>
            </w:r>
          </w:p>
          <w:p w14:paraId="3F7853F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1.《计算机xx》活页教材在省部级专业教材出版社正式出版，有ISBN书号，提供标准的国际书号,出版的教材可以在中华人民共和国新闻出版总署网站检索到主编及相关书籍信息。</w:t>
            </w:r>
          </w:p>
          <w:p w14:paraId="3E99964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2.在正规出版社公开发行，提供10本出版样书。</w:t>
            </w:r>
          </w:p>
          <w:p w14:paraId="13C8730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三、配套教学资源库</w:t>
            </w:r>
          </w:p>
          <w:p w14:paraId="1B081B5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根据教材的内容配套相关的课件，每个章节配套上课用的PPT和微课,由资源团队与信息化团队主导，专业教师配合提供相关电子资料和视频录制工作，完成专业资源库建设；</w:t>
            </w:r>
          </w:p>
        </w:tc>
        <w:tc>
          <w:tcPr>
            <w:tcW w:w="505" w:type="dxa"/>
            <w:noWrap w:val="0"/>
            <w:vAlign w:val="center"/>
          </w:tcPr>
          <w:p w14:paraId="332815E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72EC13B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本</w:t>
            </w:r>
          </w:p>
        </w:tc>
        <w:tc>
          <w:tcPr>
            <w:tcW w:w="718" w:type="dxa"/>
            <w:noWrap w:val="0"/>
            <w:vAlign w:val="center"/>
          </w:tcPr>
          <w:p w14:paraId="1C5221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w:t>
            </w:r>
          </w:p>
        </w:tc>
      </w:tr>
      <w:tr w14:paraId="64B6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660D4D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二、商务要求</w:t>
            </w:r>
          </w:p>
        </w:tc>
      </w:tr>
      <w:tr w14:paraId="1F21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1F4AB2B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kern w:val="0"/>
                <w:szCs w:val="21"/>
                <w:lang w:bidi="ar"/>
              </w:rPr>
              <w:t>合同签订期</w:t>
            </w:r>
          </w:p>
        </w:tc>
        <w:tc>
          <w:tcPr>
            <w:tcW w:w="8091" w:type="dxa"/>
            <w:gridSpan w:val="5"/>
            <w:noWrap w:val="0"/>
            <w:vAlign w:val="center"/>
          </w:tcPr>
          <w:p w14:paraId="184E9FB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自</w:t>
            </w:r>
            <w:r>
              <w:rPr>
                <w:rFonts w:hint="eastAsia" w:ascii="宋体" w:hAnsi="宋体" w:cs="宋体"/>
                <w:color w:val="auto"/>
                <w:kern w:val="0"/>
                <w:szCs w:val="21"/>
                <w:lang w:val="en-US" w:eastAsia="zh-CN" w:bidi="ar"/>
              </w:rPr>
              <w:t>成交</w:t>
            </w:r>
            <w:r>
              <w:rPr>
                <w:rFonts w:hint="eastAsia" w:ascii="宋体" w:hAnsi="宋体" w:cs="宋体"/>
                <w:color w:val="auto"/>
                <w:kern w:val="0"/>
                <w:szCs w:val="21"/>
                <w:lang w:bidi="ar"/>
              </w:rPr>
              <w:t>通知书发出之日起</w:t>
            </w:r>
            <w:r>
              <w:rPr>
                <w:rFonts w:hint="eastAsia" w:ascii="宋体" w:hAnsi="宋体" w:cs="宋体"/>
                <w:color w:val="auto"/>
                <w:kern w:val="0"/>
                <w:szCs w:val="21"/>
                <w:lang w:val="en-US" w:eastAsia="zh-CN" w:bidi="ar"/>
              </w:rPr>
              <w:t>15</w:t>
            </w:r>
            <w:r>
              <w:rPr>
                <w:rFonts w:hint="eastAsia" w:ascii="宋体" w:hAnsi="宋体" w:cs="宋体"/>
                <w:color w:val="auto"/>
                <w:kern w:val="0"/>
                <w:szCs w:val="21"/>
                <w:lang w:bidi="ar"/>
              </w:rPr>
              <w:t>日内。</w:t>
            </w:r>
          </w:p>
        </w:tc>
      </w:tr>
      <w:tr w14:paraId="508A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37F73D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kern w:val="0"/>
                <w:szCs w:val="21"/>
                <w:lang w:bidi="ar"/>
              </w:rPr>
              <w:t>交货时间及地点</w:t>
            </w:r>
          </w:p>
        </w:tc>
        <w:tc>
          <w:tcPr>
            <w:tcW w:w="8091" w:type="dxa"/>
            <w:gridSpan w:val="5"/>
            <w:noWrap w:val="0"/>
            <w:vAlign w:val="center"/>
          </w:tcPr>
          <w:p w14:paraId="2820F07E">
            <w:pPr>
              <w:keepNext w:val="0"/>
              <w:keepLines w:val="0"/>
              <w:pageBreakBefore w:val="0"/>
              <w:widowControl/>
              <w:numPr>
                <w:ilvl w:val="0"/>
                <w:numId w:val="3"/>
              </w:numPr>
              <w:kinsoku/>
              <w:wordWrap/>
              <w:overflowPunct/>
              <w:topLinePunct w:val="0"/>
              <w:autoSpaceDE/>
              <w:autoSpaceDN/>
              <w:bidi w:val="0"/>
              <w:adjustRightInd/>
              <w:snapToGrid/>
              <w:spacing w:line="440" w:lineRule="exact"/>
              <w:jc w:val="left"/>
              <w:textAlignment w:val="auto"/>
              <w:rPr>
                <w:rFonts w:hint="eastAsia"/>
                <w:color w:val="auto"/>
              </w:rPr>
            </w:pPr>
            <w:r>
              <w:rPr>
                <w:rFonts w:hint="eastAsia" w:ascii="宋体" w:hAnsi="宋体" w:cs="宋体"/>
                <w:color w:val="auto"/>
                <w:kern w:val="0"/>
                <w:szCs w:val="21"/>
                <w:lang w:bidi="ar"/>
              </w:rPr>
              <w:t>交货期：</w:t>
            </w:r>
            <w:r>
              <w:rPr>
                <w:rFonts w:hint="eastAsia"/>
                <w:color w:val="auto"/>
                <w:lang w:val="en-US" w:eastAsia="zh-CN"/>
              </w:rPr>
              <w:t>合同签订之日起15日内</w:t>
            </w:r>
            <w:r>
              <w:rPr>
                <w:rFonts w:hint="eastAsia"/>
                <w:color w:val="auto"/>
              </w:rPr>
              <w:t>安装调试竣工验收交付使用。</w:t>
            </w:r>
          </w:p>
          <w:p w14:paraId="348E82C5">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2.交货地点：</w:t>
            </w:r>
            <w:r>
              <w:rPr>
                <w:rFonts w:hint="eastAsia"/>
                <w:color w:val="auto"/>
                <w:lang w:eastAsia="zh-CN"/>
              </w:rPr>
              <w:t>浦北县第一职业技术学校</w:t>
            </w:r>
          </w:p>
          <w:p w14:paraId="53D78DD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3.交货方式：现场交货</w:t>
            </w:r>
          </w:p>
        </w:tc>
      </w:tr>
      <w:tr w14:paraId="1683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5AA2C0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kern w:val="0"/>
                <w:szCs w:val="21"/>
                <w:lang w:bidi="ar"/>
              </w:rPr>
              <w:t>质保期限</w:t>
            </w:r>
          </w:p>
        </w:tc>
        <w:tc>
          <w:tcPr>
            <w:tcW w:w="8091" w:type="dxa"/>
            <w:gridSpan w:val="5"/>
            <w:noWrap w:val="0"/>
            <w:vAlign w:val="center"/>
          </w:tcPr>
          <w:p w14:paraId="4CFFD7B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val="en-US" w:eastAsia="zh-CN" w:bidi="ar"/>
              </w:rPr>
              <w:t>货物</w:t>
            </w:r>
            <w:r>
              <w:rPr>
                <w:rFonts w:hint="eastAsia" w:ascii="宋体" w:hAnsi="宋体" w:cs="宋体"/>
                <w:color w:val="auto"/>
                <w:kern w:val="0"/>
                <w:szCs w:val="21"/>
                <w:lang w:bidi="ar"/>
              </w:rPr>
              <w:t>按国家有关产品“三包”规定执行“三包”，自货物验收合格之日起计算，产品质保期最短不少于</w:t>
            </w:r>
            <w:r>
              <w:rPr>
                <w:rFonts w:hint="eastAsia" w:ascii="宋体" w:hAnsi="宋体" w:cs="宋体"/>
                <w:color w:val="auto"/>
                <w:kern w:val="0"/>
                <w:szCs w:val="21"/>
                <w:lang w:val="en-US" w:eastAsia="zh-CN" w:bidi="ar"/>
              </w:rPr>
              <w:t>一</w:t>
            </w:r>
            <w:r>
              <w:rPr>
                <w:rFonts w:hint="eastAsia" w:ascii="宋体" w:hAnsi="宋体" w:cs="宋体"/>
                <w:color w:val="auto"/>
                <w:kern w:val="0"/>
                <w:szCs w:val="21"/>
                <w:lang w:bidi="ar"/>
              </w:rPr>
              <w:t>年（“技术参数要求”有要求的则按其要求）。若厂家质保期超过此年限的，合同履行过程中按厂家规定执行。质保期满后，终身维护。</w:t>
            </w:r>
          </w:p>
        </w:tc>
      </w:tr>
      <w:tr w14:paraId="6980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125287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售后服务要求</w:t>
            </w:r>
          </w:p>
        </w:tc>
        <w:tc>
          <w:tcPr>
            <w:tcW w:w="8091" w:type="dxa"/>
            <w:gridSpan w:val="5"/>
            <w:noWrap w:val="0"/>
            <w:vAlign w:val="center"/>
          </w:tcPr>
          <w:p w14:paraId="36CBF8A4">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1.</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按采购人指定的地点负责送货上门、安装、调试，负责培训使用人员和维护人员。 </w:t>
            </w:r>
          </w:p>
          <w:p w14:paraId="243798DE">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2.</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必须提供安装、配线以及软硬件的测试和调整服务。系统安装之前，应先对用户人员进行现场培训。开始安装时，应让用户的硬软件和系统集成人员参与安装、检测和排除故障。</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在施工、安装、调试等全过程中接受采购人的监督。 </w:t>
            </w:r>
          </w:p>
          <w:p w14:paraId="02023D5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3.在</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承诺的质保期内，设备保修包换所需要的配件均是原厂原装，不得使用兼容货物。 </w:t>
            </w:r>
          </w:p>
          <w:p w14:paraId="7BA8314A">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4.售后服务按厂家承诺执行。</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超过厂家承诺标准的，按</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提交的售后服务承诺书执行。</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定期回访以及对设备进行维护；质保期后</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需提供维修维护服务。 </w:t>
            </w:r>
          </w:p>
          <w:p w14:paraId="1BFE81AC">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5.</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在质量保证期内应当为采购人提供以下技术支持和服务： </w:t>
            </w:r>
          </w:p>
          <w:p w14:paraId="374A0F1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（1）电话咨询 </w:t>
            </w:r>
          </w:p>
          <w:p w14:paraId="4F358BE5">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应当为采购人提供技术援助电话，解答采购人在使用中遇到的问题，及时为采购人提出解决问题的建议。 </w:t>
            </w:r>
          </w:p>
          <w:p w14:paraId="3C750C49">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（2）服务响应时间 </w:t>
            </w:r>
          </w:p>
          <w:p w14:paraId="2AFEB414">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质保期内，采购人遇到使用或技术问题，电话咨询不能解决的，</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应在 8小时内到达现场进行处理，到达现场后 5 小时内排除故障，恢复正常使用。保证采购人正常使用，产生的一切费用由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 </w:t>
            </w:r>
          </w:p>
          <w:p w14:paraId="7B501D9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（3）技术升级 </w:t>
            </w:r>
          </w:p>
          <w:p w14:paraId="797FCC4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在质保期内，如果</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的产品或服务升级，</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应及时通知采购人，如采购人有相应要求，</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应对采购人购买的产品或服务进行升级。</w:t>
            </w:r>
          </w:p>
          <w:p w14:paraId="1340B5DE">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6.质保期外服务要求质量保证期过后，采购人需要继续由原</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提供售后服务的，</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应提供电话咨询服务，并应承诺提供产品或服务上门维护，</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和制造商应以优惠价格提供售后服务。 </w:t>
            </w:r>
          </w:p>
          <w:p w14:paraId="16E6674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7.备品备件及易损件 </w:t>
            </w:r>
          </w:p>
          <w:p w14:paraId="7BE5BA5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售后服务中，维修使用的备品备件及易损件应为原厂配件，未经采购人同意不得使用非原厂配件。 </w:t>
            </w:r>
          </w:p>
          <w:p w14:paraId="6CFEE9B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8.培训要求：</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对其提供产品或服务的使用和操作应尽培训义务。</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应提供对本项目的使用单位进行培训服务，涉及的相关费用应计算在项目报价内，并使使用人员能独立、熟练操作系统。</w:t>
            </w:r>
          </w:p>
        </w:tc>
      </w:tr>
      <w:tr w14:paraId="0774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734D4C0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付款方式</w:t>
            </w:r>
          </w:p>
        </w:tc>
        <w:tc>
          <w:tcPr>
            <w:tcW w:w="8091" w:type="dxa"/>
            <w:gridSpan w:val="5"/>
            <w:noWrap w:val="0"/>
            <w:vAlign w:val="center"/>
          </w:tcPr>
          <w:p w14:paraId="4A43A7C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highlight w:val="none"/>
                <w:lang w:bidi="ar"/>
              </w:rPr>
            </w:pPr>
            <w:r>
              <w:rPr>
                <w:rFonts w:hint="eastAsia" w:ascii="宋体" w:hAnsi="宋体" w:cs="宋体"/>
                <w:color w:val="auto"/>
                <w:szCs w:val="21"/>
                <w:highlight w:val="none"/>
              </w:rPr>
              <w:t>付款方式:</w:t>
            </w:r>
            <w:r>
              <w:rPr>
                <w:rFonts w:hint="eastAsia" w:ascii="宋体" w:hAnsi="宋体" w:cs="宋体"/>
                <w:color w:val="auto"/>
                <w:szCs w:val="21"/>
                <w:highlight w:val="none"/>
                <w:lang w:eastAsia="zh-CN"/>
              </w:rPr>
              <w:t>本项目全部完成后</w:t>
            </w:r>
            <w:r>
              <w:rPr>
                <w:rFonts w:hint="eastAsia" w:ascii="宋体" w:hAnsi="宋体" w:cs="宋体"/>
                <w:color w:val="auto"/>
                <w:szCs w:val="21"/>
                <w:highlight w:val="none"/>
              </w:rPr>
              <w:t>,</w:t>
            </w:r>
            <w:r>
              <w:rPr>
                <w:rFonts w:hint="eastAsia" w:ascii="宋体" w:hAnsi="宋体" w:cs="宋体"/>
                <w:color w:val="auto"/>
                <w:szCs w:val="21"/>
                <w:highlight w:val="none"/>
                <w:lang w:eastAsia="zh-CN"/>
              </w:rPr>
              <w:t>并验收后</w:t>
            </w:r>
            <w:r>
              <w:rPr>
                <w:rFonts w:hint="eastAsia" w:ascii="宋体" w:hAnsi="宋体" w:cs="宋体"/>
                <w:color w:val="auto"/>
                <w:szCs w:val="21"/>
                <w:highlight w:val="none"/>
                <w:lang w:val="en-US" w:eastAsia="zh-CN"/>
              </w:rPr>
              <w:t>30日内</w:t>
            </w:r>
            <w:r>
              <w:rPr>
                <w:rFonts w:hint="eastAsia" w:ascii="宋体" w:hAnsi="宋体" w:cs="宋体"/>
                <w:color w:val="auto"/>
                <w:szCs w:val="21"/>
                <w:highlight w:val="none"/>
                <w:lang w:eastAsia="zh-CN"/>
              </w:rPr>
              <w:t>交付</w:t>
            </w:r>
            <w:r>
              <w:rPr>
                <w:rFonts w:hint="eastAsia" w:ascii="宋体" w:hAnsi="宋体" w:cs="宋体"/>
                <w:color w:val="auto"/>
                <w:szCs w:val="21"/>
                <w:highlight w:val="none"/>
                <w:lang w:val="en-US" w:eastAsia="zh-CN"/>
              </w:rPr>
              <w:t>全部合同</w:t>
            </w:r>
            <w:r>
              <w:rPr>
                <w:rFonts w:hint="eastAsia" w:ascii="宋体" w:hAnsi="宋体" w:cs="宋体"/>
                <w:color w:val="auto"/>
                <w:szCs w:val="21"/>
                <w:highlight w:val="none"/>
                <w:lang w:eastAsia="zh-CN"/>
              </w:rPr>
              <w:t>款项。</w:t>
            </w:r>
          </w:p>
        </w:tc>
      </w:tr>
      <w:tr w14:paraId="768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4AC3EE72">
            <w:pPr>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hint="eastAsia" w:ascii="宋体" w:hAnsi="宋体" w:cs="宋体"/>
                <w:color w:val="auto"/>
                <w:kern w:val="0"/>
                <w:szCs w:val="21"/>
                <w:lang w:bidi="ar"/>
              </w:rPr>
              <w:t>报价要求</w:t>
            </w:r>
          </w:p>
          <w:p w14:paraId="3B1F6D6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Cs w:val="21"/>
                <w:lang w:bidi="ar"/>
              </w:rPr>
            </w:pPr>
          </w:p>
        </w:tc>
        <w:tc>
          <w:tcPr>
            <w:tcW w:w="8091" w:type="dxa"/>
            <w:gridSpan w:val="5"/>
            <w:noWrap w:val="0"/>
            <w:vAlign w:val="center"/>
          </w:tcPr>
          <w:p w14:paraId="3B70C13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投标报价为采购人指定地点的现场交货价，包括但不限于：投标报价包含货物采购、备品备件、工具、运抵指定交货地点、装卸费、现场安装、调试及验收的各种费用和售后服务、保险、税金、培训及其他所有成本费用的总和。项目实施过程中产生的所有费用均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承担。</w:t>
            </w:r>
          </w:p>
        </w:tc>
      </w:tr>
      <w:tr w14:paraId="6BC1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6B8E60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规范标准</w:t>
            </w:r>
          </w:p>
        </w:tc>
        <w:tc>
          <w:tcPr>
            <w:tcW w:w="8091" w:type="dxa"/>
            <w:gridSpan w:val="5"/>
            <w:noWrap w:val="0"/>
            <w:vAlign w:val="center"/>
          </w:tcPr>
          <w:p w14:paraId="261E85E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采购标的需执行的国家标准、行业标准、地方标准或者其他标准、规范。多项标准的，按最新标准或较高标准执行。</w:t>
            </w:r>
          </w:p>
        </w:tc>
      </w:tr>
      <w:tr w14:paraId="70C6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gridSpan w:val="2"/>
            <w:noWrap w:val="0"/>
            <w:vAlign w:val="center"/>
          </w:tcPr>
          <w:p w14:paraId="68AAD0B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验收标准及要求</w:t>
            </w:r>
          </w:p>
        </w:tc>
        <w:tc>
          <w:tcPr>
            <w:tcW w:w="8091" w:type="dxa"/>
            <w:gridSpan w:val="5"/>
            <w:noWrap w:val="0"/>
            <w:vAlign w:val="top"/>
          </w:tcPr>
          <w:p w14:paraId="56748644">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1.验收依据 </w:t>
            </w:r>
          </w:p>
          <w:p w14:paraId="4C39831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按合同要求及国家标准进行验收。 </w:t>
            </w:r>
          </w:p>
          <w:p w14:paraId="5897F8B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2.验收标准 </w:t>
            </w:r>
          </w:p>
          <w:p w14:paraId="068D366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（1）所供产品的规格、数量、功能、材质、颜色等符合</w:t>
            </w:r>
            <w:r>
              <w:rPr>
                <w:rFonts w:hint="eastAsia" w:ascii="宋体" w:hAnsi="宋体" w:cs="宋体"/>
                <w:color w:val="auto"/>
                <w:kern w:val="0"/>
                <w:szCs w:val="21"/>
                <w:highlight w:val="none"/>
                <w:lang w:val="en-US" w:eastAsia="zh-CN" w:bidi="ar"/>
              </w:rPr>
              <w:t>采购</w:t>
            </w:r>
            <w:r>
              <w:rPr>
                <w:rFonts w:hint="eastAsia" w:ascii="宋体" w:hAnsi="宋体" w:cs="宋体"/>
                <w:color w:val="auto"/>
                <w:kern w:val="0"/>
                <w:szCs w:val="21"/>
                <w:highlight w:val="none"/>
                <w:lang w:bidi="ar"/>
              </w:rPr>
              <w:t xml:space="preserve">文件采购需求及采购合同约定的要求。 </w:t>
            </w:r>
          </w:p>
          <w:p w14:paraId="02D97C5C">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（2）所供产品的外观完好，无严重碰撞、表皮脱落、五金件生锈等明显瑕疵。 </w:t>
            </w:r>
          </w:p>
          <w:p w14:paraId="6A206BCA">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（3）所供产品结构牢固，无安全隐患。 </w:t>
            </w:r>
          </w:p>
          <w:p w14:paraId="42F7772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（4）如有抽检要求的，检测结果符合</w:t>
            </w:r>
            <w:r>
              <w:rPr>
                <w:rFonts w:hint="eastAsia" w:ascii="宋体" w:hAnsi="宋体" w:cs="宋体"/>
                <w:color w:val="auto"/>
                <w:kern w:val="0"/>
                <w:szCs w:val="21"/>
                <w:highlight w:val="none"/>
                <w:lang w:val="en-US" w:eastAsia="zh-CN" w:bidi="ar"/>
              </w:rPr>
              <w:t>采购</w:t>
            </w:r>
            <w:r>
              <w:rPr>
                <w:rFonts w:hint="eastAsia" w:ascii="宋体" w:hAnsi="宋体" w:cs="宋体"/>
                <w:color w:val="auto"/>
                <w:kern w:val="0"/>
                <w:szCs w:val="21"/>
                <w:highlight w:val="none"/>
                <w:lang w:bidi="ar"/>
              </w:rPr>
              <w:t xml:space="preserve">文件采购需求及采购合同约定的要求。 </w:t>
            </w:r>
          </w:p>
          <w:p w14:paraId="58C7F43C">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（5）所有产品均已运输至指定地点，并安装调试完毕。 </w:t>
            </w:r>
          </w:p>
          <w:p w14:paraId="556A5E4A">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采购</w:t>
            </w:r>
            <w:r>
              <w:rPr>
                <w:rFonts w:hint="eastAsia" w:ascii="宋体" w:hAnsi="宋体" w:cs="宋体"/>
                <w:color w:val="auto"/>
                <w:kern w:val="0"/>
                <w:szCs w:val="21"/>
                <w:highlight w:val="none"/>
                <w:lang w:bidi="ar"/>
              </w:rPr>
              <w:t xml:space="preserve">文件采购需求及采购合同约定的附件、工具、技术资料等齐全；提供产品使用说明书、合格证。 </w:t>
            </w:r>
          </w:p>
          <w:p w14:paraId="73812B4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3.验收要求 </w:t>
            </w:r>
          </w:p>
          <w:p w14:paraId="4677C80C">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（1）采购人可以根据采购项目具体情况自行组织验收，或者委托第三方机构或部门开展采购项目履约验收工作，验收过程中所产生的一切费用均由</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承担，报价时应考虑相关费用。 </w:t>
            </w:r>
          </w:p>
          <w:p w14:paraId="06870E7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 xml:space="preserve">（2）本项目验收如委托第三方机构组织实施的，由验收小组对照招标文件的技术参数要求核对检验，如不符合招标文件的技术参数要求的，按合同约定执行， </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承担所有责任和费用。采购人保留进一步追究责任的权利。 </w:t>
            </w:r>
          </w:p>
          <w:p w14:paraId="20ADFB1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①验收活动开始前，</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应对货物作出全面检查和对验收文件进行整理，并列出清单，作为采购人收货验收和使用的技术条件依据。 </w:t>
            </w:r>
          </w:p>
          <w:p w14:paraId="1ED51180">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②因验收不合格的，需要再次组织验收的，由此产生相关成本费用由</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承担。 </w:t>
            </w:r>
          </w:p>
          <w:p w14:paraId="39AC207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highlight w:val="none"/>
              </w:rPr>
            </w:pPr>
            <w:r>
              <w:rPr>
                <w:rFonts w:hint="eastAsia" w:ascii="宋体" w:hAnsi="宋体" w:cs="宋体"/>
                <w:color w:val="auto"/>
                <w:kern w:val="0"/>
                <w:szCs w:val="21"/>
                <w:highlight w:val="none"/>
                <w:lang w:bidi="ar"/>
              </w:rPr>
              <w:t>（3）验收时</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提供验收文档，具体如下：技术方案、实施方案、售后服务方案、培训方案、系统部署文档、测试文档、使用说明书、电子文档等。 </w:t>
            </w:r>
          </w:p>
          <w:p w14:paraId="16AB1DB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（4）对所有要求出具的证明文件的原件进行核查，如不符合</w:t>
            </w:r>
            <w:r>
              <w:rPr>
                <w:rFonts w:hint="eastAsia" w:ascii="宋体" w:hAnsi="宋体" w:cs="宋体"/>
                <w:color w:val="auto"/>
                <w:kern w:val="0"/>
                <w:szCs w:val="21"/>
                <w:highlight w:val="none"/>
                <w:lang w:val="en-US" w:eastAsia="zh-CN" w:bidi="ar"/>
              </w:rPr>
              <w:t>采购</w:t>
            </w:r>
            <w:r>
              <w:rPr>
                <w:rFonts w:hint="eastAsia" w:ascii="宋体" w:hAnsi="宋体" w:cs="宋体"/>
                <w:color w:val="auto"/>
                <w:kern w:val="0"/>
                <w:szCs w:val="21"/>
                <w:highlight w:val="none"/>
                <w:lang w:bidi="ar"/>
              </w:rPr>
              <w:t>文件的技术需求及要求，以及提供虚假承诺的，按相关规定做退货处理及违约处理，</w:t>
            </w:r>
            <w:r>
              <w:rPr>
                <w:rFonts w:hint="eastAsia" w:ascii="宋体" w:hAnsi="宋体" w:cs="宋体"/>
                <w:color w:val="auto"/>
                <w:kern w:val="0"/>
                <w:szCs w:val="21"/>
                <w:highlight w:val="none"/>
                <w:lang w:eastAsia="zh-CN" w:bidi="ar"/>
              </w:rPr>
              <w:t>成交人</w:t>
            </w:r>
            <w:r>
              <w:rPr>
                <w:rFonts w:hint="eastAsia" w:ascii="宋体" w:hAnsi="宋体" w:cs="宋体"/>
                <w:color w:val="auto"/>
                <w:kern w:val="0"/>
                <w:szCs w:val="21"/>
                <w:highlight w:val="none"/>
                <w:lang w:bidi="ar"/>
              </w:rPr>
              <w:t xml:space="preserve">承担所有责任和费用，采购人保留进一步追究责任的权利。 </w:t>
            </w:r>
          </w:p>
          <w:p w14:paraId="662875B4">
            <w:pPr>
              <w:spacing w:line="440" w:lineRule="exact"/>
              <w:jc w:val="left"/>
              <w:rPr>
                <w:rFonts w:hint="eastAsia" w:ascii="宋体" w:hAnsi="宋体" w:cs="宋体"/>
                <w:color w:val="auto"/>
                <w:kern w:val="0"/>
                <w:szCs w:val="21"/>
                <w:highlight w:val="none"/>
                <w:lang w:bidi="ar"/>
              </w:rPr>
            </w:pPr>
            <w:r>
              <w:rPr>
                <w:rFonts w:hint="eastAsia" w:ascii="宋体" w:hAnsi="宋体"/>
                <w:color w:val="auto"/>
                <w:lang w:val="en-US" w:eastAsia="zh-CN"/>
              </w:rPr>
              <w:t>（5）</w:t>
            </w:r>
            <w:r>
              <w:rPr>
                <w:rFonts w:hint="eastAsia" w:ascii="宋体" w:hAnsi="宋体"/>
                <w:color w:val="auto"/>
              </w:rPr>
              <w:t>对于实行生产许可证制度或者实行强制性产品认证但采购文件中未明确要求竞标时必须提交相关证书资料、并且成交供应商在竞标时也未提供相关证书资料的产品，在</w:t>
            </w:r>
            <w:r>
              <w:rPr>
                <w:rFonts w:hint="eastAsia" w:ascii="宋体" w:hAnsi="宋体"/>
                <w:color w:val="auto"/>
                <w:lang w:val="en-US" w:eastAsia="zh-CN"/>
              </w:rPr>
              <w:t>供货</w:t>
            </w:r>
            <w:r>
              <w:rPr>
                <w:rFonts w:hint="eastAsia" w:ascii="宋体" w:hAnsi="宋体"/>
                <w:color w:val="auto"/>
              </w:rPr>
              <w:t>时必须向采购单位出示相关证书资料（含CCC认证）</w:t>
            </w:r>
            <w:r>
              <w:rPr>
                <w:rFonts w:hint="eastAsia" w:ascii="宋体" w:hAnsi="宋体"/>
                <w:color w:val="auto"/>
                <w:lang w:eastAsia="zh-CN"/>
              </w:rPr>
              <w:t>。</w:t>
            </w:r>
          </w:p>
        </w:tc>
      </w:tr>
      <w:tr w14:paraId="1306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6" w:type="dxa"/>
            <w:gridSpan w:val="7"/>
            <w:noWrap w:val="0"/>
            <w:vAlign w:val="center"/>
          </w:tcPr>
          <w:p w14:paraId="408B04A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val="en-US" w:eastAsia="zh-CN" w:bidi="ar"/>
              </w:rPr>
              <w:t>三</w:t>
            </w:r>
            <w:r>
              <w:rPr>
                <w:rFonts w:hint="eastAsia" w:ascii="宋体" w:hAnsi="宋体" w:cs="宋体"/>
                <w:b/>
                <w:bCs/>
                <w:color w:val="auto"/>
                <w:kern w:val="0"/>
                <w:szCs w:val="21"/>
                <w:highlight w:val="none"/>
                <w:lang w:bidi="ar"/>
              </w:rPr>
              <w:t>、</w:t>
            </w:r>
            <w:r>
              <w:rPr>
                <w:rFonts w:hint="eastAsia" w:ascii="宋体" w:hAnsi="宋体" w:cs="宋体"/>
                <w:b/>
                <w:bCs/>
                <w:color w:val="auto"/>
                <w:kern w:val="0"/>
                <w:szCs w:val="21"/>
                <w:highlight w:val="none"/>
                <w:lang w:val="en-US" w:eastAsia="zh-CN" w:bidi="ar"/>
              </w:rPr>
              <w:t>其他</w:t>
            </w:r>
            <w:r>
              <w:rPr>
                <w:rFonts w:hint="eastAsia" w:ascii="宋体" w:hAnsi="宋体" w:cs="宋体"/>
                <w:b/>
                <w:bCs/>
                <w:color w:val="auto"/>
                <w:kern w:val="0"/>
                <w:szCs w:val="21"/>
                <w:highlight w:val="none"/>
                <w:lang w:bidi="ar"/>
              </w:rPr>
              <w:t>要求</w:t>
            </w:r>
          </w:p>
        </w:tc>
      </w:tr>
      <w:tr w14:paraId="78F5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7" w:type="dxa"/>
            <w:gridSpan w:val="3"/>
            <w:noWrap w:val="0"/>
            <w:vAlign w:val="center"/>
          </w:tcPr>
          <w:p w14:paraId="56CB1FAF">
            <w:pPr>
              <w:spacing w:line="360" w:lineRule="auto"/>
              <w:jc w:val="center"/>
              <w:rPr>
                <w:rFonts w:hint="eastAsia" w:ascii="宋体" w:hAnsi="宋体" w:cs="宋体"/>
                <w:color w:val="auto"/>
                <w:kern w:val="0"/>
                <w:szCs w:val="21"/>
                <w:highlight w:val="none"/>
                <w:lang w:bidi="ar"/>
              </w:rPr>
            </w:pPr>
            <w:r>
              <w:rPr>
                <w:rFonts w:hint="eastAsia" w:hAnsi="宋体"/>
                <w:color w:val="auto"/>
                <w:szCs w:val="21"/>
                <w:highlight w:val="none"/>
              </w:rPr>
              <w:t>竞标说明</w:t>
            </w:r>
          </w:p>
        </w:tc>
        <w:tc>
          <w:tcPr>
            <w:tcW w:w="6899" w:type="dxa"/>
            <w:gridSpan w:val="4"/>
            <w:noWrap w:val="0"/>
            <w:vAlign w:val="center"/>
          </w:tcPr>
          <w:p w14:paraId="7E8E793A">
            <w:pPr>
              <w:widowControl/>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olor w:val="auto"/>
                <w:kern w:val="0"/>
                <w:highlight w:val="none"/>
              </w:rPr>
              <w:t>谈判结束后，谈判小组要求所有继续参加谈判的供应商在规定时间内在线提交最后报价。继续参加谈判的供应商作最后报价（</w:t>
            </w:r>
            <w:r>
              <w:rPr>
                <w:rFonts w:hint="eastAsia" w:ascii="宋体" w:hAnsi="宋体"/>
                <w:b/>
                <w:bCs/>
                <w:color w:val="auto"/>
                <w:kern w:val="0"/>
                <w:highlight w:val="none"/>
              </w:rPr>
              <w:t>报价明细表作为附件，请供应商提前做好准备</w:t>
            </w:r>
            <w:r>
              <w:rPr>
                <w:rFonts w:hint="eastAsia" w:ascii="宋体" w:hAnsi="宋体"/>
                <w:color w:val="auto"/>
                <w:kern w:val="0"/>
                <w:highlight w:val="none"/>
              </w:rPr>
              <w:t>），由其法定代表人或授权代</w:t>
            </w:r>
            <w:r>
              <w:rPr>
                <w:rFonts w:hint="eastAsia" w:ascii="宋体" w:hAnsi="宋体" w:eastAsia="宋体"/>
                <w:color w:val="auto"/>
                <w:kern w:val="0"/>
                <w:highlight w:val="none"/>
              </w:rPr>
              <w:t>表签名或者加盖公章后提交</w:t>
            </w:r>
            <w:r>
              <w:rPr>
                <w:rFonts w:hint="eastAsia" w:ascii="宋体" w:hAnsi="宋体"/>
                <w:color w:val="auto"/>
                <w:kern w:val="0"/>
                <w:highlight w:val="none"/>
              </w:rPr>
              <w:t>。</w:t>
            </w:r>
          </w:p>
        </w:tc>
      </w:tr>
      <w:tr w14:paraId="4597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6" w:type="dxa"/>
            <w:gridSpan w:val="7"/>
            <w:noWrap w:val="0"/>
            <w:vAlign w:val="center"/>
          </w:tcPr>
          <w:p w14:paraId="1E55BBF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olor w:val="auto"/>
                <w:kern w:val="0"/>
                <w:highlight w:val="none"/>
              </w:rPr>
            </w:pPr>
            <w:r>
              <w:rPr>
                <w:rFonts w:hint="eastAsia" w:ascii="宋体" w:hAnsi="宋体" w:cs="宋体"/>
                <w:b/>
                <w:bCs/>
                <w:color w:val="auto"/>
                <w:kern w:val="0"/>
                <w:szCs w:val="21"/>
                <w:lang w:val="en-US" w:eastAsia="zh-CN" w:bidi="ar"/>
              </w:rPr>
              <w:t>四、现场踏勘</w:t>
            </w:r>
          </w:p>
        </w:tc>
      </w:tr>
      <w:tr w14:paraId="3492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7" w:type="dxa"/>
            <w:gridSpan w:val="3"/>
            <w:noWrap w:val="0"/>
            <w:vAlign w:val="center"/>
          </w:tcPr>
          <w:p w14:paraId="3BD7A2D8">
            <w:pPr>
              <w:spacing w:line="360" w:lineRule="auto"/>
              <w:jc w:val="center"/>
              <w:rPr>
                <w:rFonts w:hint="eastAsia" w:hAnsi="宋体"/>
                <w:color w:val="auto"/>
                <w:szCs w:val="21"/>
                <w:highlight w:val="none"/>
              </w:rPr>
            </w:pPr>
            <w:r>
              <w:rPr>
                <w:rFonts w:hint="eastAsia" w:hAnsi="宋体"/>
                <w:color w:val="auto"/>
                <w:szCs w:val="21"/>
                <w:lang w:val="en-US" w:eastAsia="zh-CN"/>
              </w:rPr>
              <w:t>现场踏勘</w:t>
            </w:r>
          </w:p>
        </w:tc>
        <w:tc>
          <w:tcPr>
            <w:tcW w:w="6899" w:type="dxa"/>
            <w:gridSpan w:val="4"/>
            <w:noWrap w:val="0"/>
            <w:vAlign w:val="center"/>
          </w:tcPr>
          <w:p w14:paraId="559B42CB">
            <w:pPr>
              <w:spacing w:line="440" w:lineRule="exact"/>
              <w:ind w:firstLine="420" w:firstLineChars="200"/>
              <w:rPr>
                <w:rFonts w:ascii="宋体" w:hAnsi="宋体" w:cs="宋体"/>
                <w:color w:val="auto"/>
                <w:szCs w:val="21"/>
              </w:rPr>
            </w:pPr>
            <w:r>
              <w:rPr>
                <w:rFonts w:hint="eastAsia" w:ascii="宋体" w:hAnsi="宋体" w:cs="宋体"/>
                <w:color w:val="auto"/>
                <w:szCs w:val="21"/>
              </w:rPr>
              <w:t>为确保本项报价真实合理，供应商可在规定时间参加采购人组织的统一勘察，以确保供应商明确了解真实的现场情况和项目实际需求，保证项目按时按质按量完成。</w:t>
            </w:r>
          </w:p>
          <w:p w14:paraId="13FB6600">
            <w:pPr>
              <w:spacing w:line="440" w:lineRule="exact"/>
              <w:ind w:firstLine="420" w:firstLineChars="200"/>
              <w:rPr>
                <w:rFonts w:ascii="宋体" w:hAnsi="宋体" w:cs="宋体"/>
                <w:color w:val="auto"/>
                <w:szCs w:val="21"/>
              </w:rPr>
            </w:pPr>
            <w:r>
              <w:rPr>
                <w:rFonts w:hint="eastAsia" w:ascii="宋体" w:hAnsi="宋体" w:cs="宋体"/>
                <w:color w:val="auto"/>
                <w:szCs w:val="21"/>
              </w:rPr>
              <w:t>现场勘查须携带的资料：委托代理人需持获取采购文件回执函和单位介绍信原件或授权委托书、个人有效身份证原件前往。</w:t>
            </w:r>
          </w:p>
          <w:p w14:paraId="6BD280A5">
            <w:pPr>
              <w:spacing w:line="440" w:lineRule="exact"/>
              <w:ind w:firstLine="420" w:firstLineChars="200"/>
              <w:rPr>
                <w:rFonts w:ascii="宋体" w:hAnsi="宋体" w:cs="宋体"/>
                <w:color w:val="auto"/>
                <w:szCs w:val="21"/>
              </w:rPr>
            </w:pPr>
            <w:r>
              <w:rPr>
                <w:rFonts w:hint="eastAsia" w:ascii="宋体" w:hAnsi="宋体" w:cs="宋体"/>
                <w:color w:val="auto"/>
                <w:szCs w:val="21"/>
              </w:rPr>
              <w:t>现场踏勘集中时间：2025年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27</w:t>
            </w:r>
            <w:r>
              <w:rPr>
                <w:rFonts w:hint="eastAsia" w:ascii="宋体" w:hAnsi="宋体" w:cs="宋体"/>
                <w:color w:val="auto"/>
                <w:szCs w:val="21"/>
              </w:rPr>
              <w:t>日</w:t>
            </w:r>
            <w:r>
              <w:rPr>
                <w:rFonts w:hint="eastAsia" w:ascii="宋体" w:hAnsi="宋体" w:cs="宋体"/>
                <w:color w:val="auto"/>
                <w:szCs w:val="21"/>
                <w:lang w:val="en-US" w:eastAsia="zh-CN"/>
              </w:rPr>
              <w:t>上</w:t>
            </w:r>
            <w:r>
              <w:rPr>
                <w:rFonts w:hint="eastAsia" w:ascii="宋体" w:hAnsi="宋体" w:cs="宋体"/>
                <w:color w:val="auto"/>
                <w:szCs w:val="21"/>
              </w:rPr>
              <w:t>午</w:t>
            </w:r>
            <w:r>
              <w:rPr>
                <w:rFonts w:hint="eastAsia" w:ascii="宋体" w:hAnsi="宋体" w:cs="宋体"/>
                <w:color w:val="auto"/>
                <w:szCs w:val="21"/>
                <w:lang w:val="en-US" w:eastAsia="zh-CN"/>
              </w:rPr>
              <w:t>10</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分，过期不候。</w:t>
            </w:r>
          </w:p>
          <w:p w14:paraId="72CEF6C8">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集中地点：</w:t>
            </w:r>
            <w:r>
              <w:rPr>
                <w:rFonts w:hint="eastAsia" w:ascii="宋体" w:hAnsi="宋体" w:cs="宋体"/>
                <w:color w:val="auto"/>
                <w:szCs w:val="21"/>
                <w:lang w:eastAsia="zh-CN"/>
              </w:rPr>
              <w:t>浦北县第一职业技术学校（浦北县江城街道科园路111号）</w:t>
            </w:r>
            <w:r>
              <w:rPr>
                <w:rFonts w:hint="eastAsia" w:ascii="宋体" w:hAnsi="宋体" w:cs="宋体"/>
                <w:color w:val="auto"/>
                <w:szCs w:val="21"/>
              </w:rPr>
              <w:t>。</w:t>
            </w:r>
          </w:p>
          <w:p w14:paraId="2FFA6EB3">
            <w:pPr>
              <w:spacing w:line="440" w:lineRule="exact"/>
              <w:ind w:firstLine="420" w:firstLineChars="200"/>
              <w:rPr>
                <w:rFonts w:hint="eastAsia" w:ascii="宋体" w:hAnsi="宋体"/>
                <w:color w:val="auto"/>
                <w:kern w:val="0"/>
                <w:highlight w:val="none"/>
              </w:rPr>
            </w:pPr>
            <w:r>
              <w:rPr>
                <w:rFonts w:hint="eastAsia" w:ascii="宋体" w:hAnsi="宋体" w:cs="宋体"/>
                <w:color w:val="auto"/>
                <w:szCs w:val="21"/>
              </w:rPr>
              <w:t>联系人电话：张婷13877709837</w:t>
            </w:r>
          </w:p>
        </w:tc>
      </w:tr>
    </w:tbl>
    <w:p w14:paraId="3298BA22">
      <w:pPr>
        <w:rPr>
          <w:rFonts w:hint="default"/>
          <w:lang w:val="en-US" w:eastAsia="zh-CN"/>
        </w:rPr>
      </w:pPr>
    </w:p>
    <w:p w14:paraId="1BFEC471">
      <w:pPr>
        <w:jc w:val="left"/>
        <w:rPr>
          <w:rFonts w:hint="eastAsia" w:ascii="宋体" w:hAnsi="宋体" w:eastAsia="宋体" w:cs="仿宋"/>
          <w:b/>
          <w:bCs/>
          <w:color w:val="auto"/>
          <w:sz w:val="24"/>
          <w:szCs w:val="20"/>
          <w:highlight w:val="none"/>
          <w:lang w:val="en-US" w:eastAsia="zh-CN"/>
        </w:rPr>
      </w:pPr>
    </w:p>
    <w:p w14:paraId="5F41AA44">
      <w:pPr>
        <w:jc w:val="left"/>
        <w:rPr>
          <w:rFonts w:hint="eastAsia" w:ascii="宋体" w:hAnsi="宋体" w:eastAsia="宋体" w:cs="仿宋"/>
          <w:b/>
          <w:bCs/>
          <w:color w:val="auto"/>
          <w:sz w:val="24"/>
          <w:szCs w:val="20"/>
          <w:highlight w:val="none"/>
          <w:lang w:val="en-US" w:eastAsia="zh-CN"/>
        </w:rPr>
      </w:pPr>
    </w:p>
    <w:p w14:paraId="4FBCF185">
      <w:pPr>
        <w:jc w:val="left"/>
        <w:rPr>
          <w:rFonts w:hint="eastAsia" w:ascii="宋体" w:hAnsi="宋体" w:eastAsia="宋体" w:cs="仿宋"/>
          <w:b/>
          <w:bCs/>
          <w:color w:val="auto"/>
          <w:sz w:val="24"/>
          <w:szCs w:val="20"/>
          <w:highlight w:val="none"/>
          <w:lang w:val="en-US" w:eastAsia="zh-CN"/>
        </w:rPr>
      </w:pPr>
    </w:p>
    <w:p w14:paraId="10D77548">
      <w:pPr>
        <w:jc w:val="left"/>
        <w:rPr>
          <w:rFonts w:hint="eastAsia" w:ascii="宋体" w:hAnsi="宋体" w:eastAsia="宋体" w:cs="仿宋"/>
          <w:b/>
          <w:bCs/>
          <w:color w:val="auto"/>
          <w:sz w:val="24"/>
          <w:szCs w:val="20"/>
          <w:highlight w:val="none"/>
          <w:lang w:val="en-US" w:eastAsia="zh-CN"/>
        </w:rPr>
      </w:pPr>
    </w:p>
    <w:p w14:paraId="4A70CBFD">
      <w:pPr>
        <w:jc w:val="left"/>
        <w:rPr>
          <w:rFonts w:hint="eastAsia" w:ascii="宋体" w:hAnsi="宋体" w:eastAsia="宋体" w:cs="仿宋"/>
          <w:b/>
          <w:bCs/>
          <w:color w:val="auto"/>
          <w:sz w:val="24"/>
          <w:szCs w:val="20"/>
          <w:highlight w:val="none"/>
          <w:lang w:val="en-US" w:eastAsia="zh-CN"/>
        </w:rPr>
      </w:pPr>
    </w:p>
    <w:p w14:paraId="6C39474D">
      <w:pPr>
        <w:jc w:val="left"/>
        <w:rPr>
          <w:rFonts w:hint="eastAsia" w:ascii="宋体" w:hAnsi="宋体" w:eastAsia="宋体" w:cs="仿宋"/>
          <w:b/>
          <w:bCs/>
          <w:color w:val="auto"/>
          <w:sz w:val="24"/>
          <w:szCs w:val="20"/>
          <w:highlight w:val="none"/>
          <w:lang w:val="en-US" w:eastAsia="zh-CN"/>
        </w:rPr>
      </w:pPr>
    </w:p>
    <w:p w14:paraId="2C516F6E">
      <w:pPr>
        <w:jc w:val="left"/>
        <w:rPr>
          <w:rFonts w:hint="eastAsia" w:ascii="宋体" w:hAnsi="宋体" w:eastAsia="宋体" w:cs="仿宋"/>
          <w:b/>
          <w:bCs/>
          <w:color w:val="auto"/>
          <w:sz w:val="24"/>
          <w:szCs w:val="20"/>
          <w:highlight w:val="none"/>
          <w:lang w:val="en-US" w:eastAsia="zh-CN"/>
        </w:rPr>
      </w:pPr>
    </w:p>
    <w:p w14:paraId="420680F7">
      <w:pPr>
        <w:jc w:val="left"/>
        <w:rPr>
          <w:rFonts w:hint="eastAsia" w:ascii="宋体" w:hAnsi="宋体" w:eastAsia="宋体" w:cs="仿宋"/>
          <w:b/>
          <w:bCs/>
          <w:color w:val="auto"/>
          <w:sz w:val="24"/>
          <w:szCs w:val="20"/>
          <w:highlight w:val="none"/>
          <w:lang w:val="en-US" w:eastAsia="zh-CN"/>
        </w:rPr>
      </w:pPr>
    </w:p>
    <w:p w14:paraId="069EC41F">
      <w:pPr>
        <w:jc w:val="left"/>
        <w:rPr>
          <w:rFonts w:hint="eastAsia" w:ascii="宋体" w:hAnsi="宋体" w:eastAsia="宋体" w:cs="仿宋"/>
          <w:b/>
          <w:bCs/>
          <w:color w:val="auto"/>
          <w:sz w:val="24"/>
          <w:szCs w:val="20"/>
          <w:highlight w:val="none"/>
          <w:lang w:val="en-US" w:eastAsia="zh-CN"/>
        </w:rPr>
      </w:pPr>
    </w:p>
    <w:p w14:paraId="59830C1E">
      <w:pPr>
        <w:jc w:val="left"/>
        <w:rPr>
          <w:rFonts w:hint="eastAsia" w:ascii="宋体" w:hAnsi="宋体" w:eastAsia="宋体" w:cs="仿宋"/>
          <w:b/>
          <w:bCs/>
          <w:color w:val="auto"/>
          <w:sz w:val="24"/>
          <w:szCs w:val="20"/>
          <w:highlight w:val="none"/>
          <w:lang w:val="en-US" w:eastAsia="zh-CN"/>
        </w:rPr>
      </w:pPr>
    </w:p>
    <w:p w14:paraId="25B89EA4">
      <w:pPr>
        <w:jc w:val="left"/>
        <w:rPr>
          <w:rFonts w:hint="eastAsia" w:ascii="宋体" w:hAnsi="宋体" w:eastAsia="宋体" w:cs="仿宋"/>
          <w:b/>
          <w:bCs/>
          <w:color w:val="auto"/>
          <w:sz w:val="24"/>
          <w:szCs w:val="20"/>
          <w:highlight w:val="none"/>
          <w:lang w:val="en-US" w:eastAsia="zh-CN"/>
        </w:rPr>
      </w:pPr>
    </w:p>
    <w:p w14:paraId="74A952A8">
      <w:pPr>
        <w:jc w:val="left"/>
        <w:rPr>
          <w:rFonts w:hint="eastAsia" w:ascii="宋体" w:hAnsi="宋体" w:eastAsia="宋体" w:cs="仿宋"/>
          <w:b/>
          <w:bCs/>
          <w:color w:val="auto"/>
          <w:sz w:val="24"/>
          <w:szCs w:val="20"/>
          <w:highlight w:val="none"/>
          <w:lang w:val="en-US" w:eastAsia="zh-CN"/>
        </w:rPr>
      </w:pPr>
    </w:p>
    <w:p w14:paraId="2BA84C03">
      <w:pPr>
        <w:jc w:val="left"/>
        <w:rPr>
          <w:rFonts w:hint="eastAsia" w:ascii="宋体" w:hAnsi="宋体" w:eastAsia="宋体" w:cs="仿宋"/>
          <w:b/>
          <w:bCs/>
          <w:color w:val="auto"/>
          <w:sz w:val="24"/>
          <w:szCs w:val="20"/>
          <w:highlight w:val="none"/>
          <w:lang w:val="en-US" w:eastAsia="zh-CN"/>
        </w:rPr>
      </w:pPr>
    </w:p>
    <w:p w14:paraId="4E86FA08">
      <w:pPr>
        <w:jc w:val="left"/>
        <w:rPr>
          <w:rFonts w:hint="eastAsia" w:ascii="宋体" w:hAnsi="宋体" w:eastAsia="宋体" w:cs="仿宋"/>
          <w:b/>
          <w:bCs/>
          <w:color w:val="auto"/>
          <w:sz w:val="24"/>
          <w:szCs w:val="20"/>
          <w:highlight w:val="none"/>
          <w:lang w:val="en-US" w:eastAsia="zh-CN"/>
        </w:rPr>
      </w:pPr>
    </w:p>
    <w:p w14:paraId="3B11C31E">
      <w:pPr>
        <w:jc w:val="left"/>
        <w:rPr>
          <w:rFonts w:hint="eastAsia" w:ascii="宋体" w:hAnsi="宋体" w:eastAsia="宋体" w:cs="仿宋"/>
          <w:b/>
          <w:bCs/>
          <w:color w:val="auto"/>
          <w:sz w:val="24"/>
          <w:szCs w:val="20"/>
          <w:highlight w:val="none"/>
          <w:lang w:val="en-US" w:eastAsia="zh-CN"/>
        </w:rPr>
      </w:pPr>
    </w:p>
    <w:p w14:paraId="5C6CEEF6">
      <w:pPr>
        <w:ind w:firstLine="482" w:firstLineChars="200"/>
        <w:jc w:val="left"/>
        <w:rPr>
          <w:rFonts w:hint="eastAsia" w:ascii="宋体" w:hAnsi="宋体" w:eastAsia="宋体" w:cs="仿宋"/>
          <w:b/>
          <w:bCs/>
          <w:color w:val="auto"/>
          <w:sz w:val="24"/>
          <w:szCs w:val="20"/>
          <w:highlight w:val="none"/>
        </w:rPr>
      </w:pPr>
      <w:r>
        <w:rPr>
          <w:rFonts w:hint="eastAsia" w:ascii="宋体" w:hAnsi="宋体" w:eastAsia="宋体" w:cs="仿宋"/>
          <w:b/>
          <w:bCs/>
          <w:color w:val="auto"/>
          <w:sz w:val="24"/>
          <w:szCs w:val="20"/>
          <w:highlight w:val="none"/>
          <w:lang w:val="en-US" w:eastAsia="zh-CN"/>
        </w:rPr>
        <w:t>分标2</w:t>
      </w:r>
      <w:r>
        <w:rPr>
          <w:rFonts w:hint="eastAsia" w:ascii="宋体" w:hAnsi="宋体" w:eastAsia="宋体" w:cs="仿宋"/>
          <w:b/>
          <w:bCs/>
          <w:color w:val="auto"/>
          <w:sz w:val="24"/>
          <w:szCs w:val="20"/>
          <w:highlight w:val="none"/>
        </w:rPr>
        <w:t>：</w:t>
      </w:r>
      <w:r>
        <w:rPr>
          <w:rFonts w:hint="eastAsia" w:ascii="宋体" w:hAnsi="宋体" w:eastAsia="宋体" w:cs="仿宋"/>
          <w:b/>
          <w:bCs/>
          <w:color w:val="auto"/>
          <w:sz w:val="24"/>
          <w:szCs w:val="20"/>
          <w:highlight w:val="none"/>
          <w:lang w:eastAsia="zh-CN"/>
        </w:rPr>
        <w:t>数字化设计实训室、现代加工实训室和建设焊接实训室</w:t>
      </w:r>
    </w:p>
    <w:tbl>
      <w:tblPr>
        <w:tblStyle w:val="3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39"/>
        <w:gridCol w:w="1192"/>
        <w:gridCol w:w="5198"/>
        <w:gridCol w:w="505"/>
        <w:gridCol w:w="478"/>
        <w:gridCol w:w="718"/>
      </w:tblGrid>
      <w:tr w14:paraId="3B08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50861BF5">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序号</w:t>
            </w:r>
          </w:p>
        </w:tc>
        <w:tc>
          <w:tcPr>
            <w:tcW w:w="1239" w:type="dxa"/>
            <w:noWrap w:val="0"/>
            <w:vAlign w:val="center"/>
          </w:tcPr>
          <w:p w14:paraId="7448879F">
            <w:pPr>
              <w:jc w:val="center"/>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标的</w:t>
            </w:r>
            <w:r>
              <w:rPr>
                <w:rFonts w:hint="eastAsia" w:ascii="宋体" w:hAnsi="宋体" w:cs="宋体"/>
                <w:b/>
                <w:bCs/>
                <w:sz w:val="22"/>
                <w:szCs w:val="22"/>
                <w:vertAlign w:val="baseline"/>
                <w:lang w:val="en-US" w:eastAsia="zh-CN"/>
              </w:rPr>
              <w:t>名称</w:t>
            </w:r>
          </w:p>
        </w:tc>
        <w:tc>
          <w:tcPr>
            <w:tcW w:w="6390" w:type="dxa"/>
            <w:gridSpan w:val="2"/>
            <w:noWrap w:val="0"/>
            <w:vAlign w:val="center"/>
          </w:tcPr>
          <w:p w14:paraId="2F8F85C3">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技术参数</w:t>
            </w:r>
          </w:p>
        </w:tc>
        <w:tc>
          <w:tcPr>
            <w:tcW w:w="505" w:type="dxa"/>
            <w:noWrap w:val="0"/>
            <w:vAlign w:val="center"/>
          </w:tcPr>
          <w:p w14:paraId="5E88564E">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数量</w:t>
            </w:r>
          </w:p>
        </w:tc>
        <w:tc>
          <w:tcPr>
            <w:tcW w:w="478" w:type="dxa"/>
            <w:noWrap w:val="0"/>
            <w:vAlign w:val="center"/>
          </w:tcPr>
          <w:p w14:paraId="2162B4B8">
            <w:pPr>
              <w:jc w:val="center"/>
              <w:rPr>
                <w:rFonts w:hint="default" w:ascii="宋体" w:hAnsi="宋体" w:eastAsia="宋体" w:cs="宋体"/>
                <w:b/>
                <w:bCs/>
                <w:sz w:val="22"/>
                <w:szCs w:val="22"/>
                <w:vertAlign w:val="baseline"/>
                <w:lang w:val="en-US" w:eastAsia="zh-CN"/>
              </w:rPr>
            </w:pPr>
            <w:r>
              <w:rPr>
                <w:rFonts w:hint="eastAsia" w:ascii="宋体" w:hAnsi="宋体" w:cs="宋体"/>
                <w:b/>
                <w:bCs/>
                <w:sz w:val="22"/>
                <w:szCs w:val="22"/>
                <w:vertAlign w:val="baseline"/>
                <w:lang w:val="en-US" w:eastAsia="zh-CN"/>
              </w:rPr>
              <w:t>单位</w:t>
            </w:r>
          </w:p>
        </w:tc>
        <w:tc>
          <w:tcPr>
            <w:tcW w:w="718" w:type="dxa"/>
            <w:noWrap w:val="0"/>
            <w:vAlign w:val="center"/>
          </w:tcPr>
          <w:p w14:paraId="504D0CC0">
            <w:pPr>
              <w:jc w:val="center"/>
              <w:rPr>
                <w:rFonts w:hint="default" w:ascii="宋体" w:hAnsi="宋体" w:cs="宋体"/>
                <w:b/>
                <w:bCs/>
                <w:sz w:val="22"/>
                <w:szCs w:val="22"/>
                <w:vertAlign w:val="baseline"/>
                <w:lang w:val="en-US" w:eastAsia="zh-CN"/>
              </w:rPr>
            </w:pPr>
            <w:r>
              <w:rPr>
                <w:rFonts w:hint="eastAsia" w:ascii="宋体" w:hAnsi="宋体" w:cs="宋体"/>
                <w:b/>
                <w:bCs/>
                <w:sz w:val="22"/>
                <w:szCs w:val="22"/>
                <w:vertAlign w:val="baseline"/>
                <w:lang w:val="en-US" w:eastAsia="zh-CN"/>
              </w:rPr>
              <w:t>所属行业</w:t>
            </w:r>
          </w:p>
        </w:tc>
      </w:tr>
      <w:tr w14:paraId="6090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876" w:type="dxa"/>
            <w:gridSpan w:val="7"/>
            <w:noWrap w:val="0"/>
            <w:vAlign w:val="center"/>
          </w:tcPr>
          <w:p w14:paraId="15C1A2C7">
            <w:pPr>
              <w:jc w:val="left"/>
              <w:rPr>
                <w:rFonts w:hint="eastAsia" w:ascii="宋体" w:hAnsi="宋体" w:cs="宋体"/>
                <w:b/>
                <w:bCs/>
                <w:sz w:val="22"/>
                <w:szCs w:val="22"/>
                <w:vertAlign w:val="baseline"/>
                <w:lang w:val="en-US" w:eastAsia="zh-CN"/>
              </w:rPr>
            </w:pPr>
            <w:r>
              <w:rPr>
                <w:rFonts w:hint="eastAsia" w:ascii="宋体" w:hAnsi="宋体" w:eastAsia="宋体" w:cs="宋体"/>
                <w:b/>
                <w:bCs w:val="0"/>
                <w:color w:val="auto"/>
                <w:kern w:val="0"/>
                <w:sz w:val="21"/>
                <w:szCs w:val="21"/>
                <w:lang w:val="en-US" w:eastAsia="zh-CN"/>
              </w:rPr>
              <w:t>一、技术要求</w:t>
            </w:r>
          </w:p>
        </w:tc>
      </w:tr>
      <w:tr w14:paraId="0C82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876" w:type="dxa"/>
            <w:gridSpan w:val="7"/>
            <w:noWrap w:val="0"/>
            <w:vAlign w:val="center"/>
          </w:tcPr>
          <w:p w14:paraId="21A57532">
            <w:pPr>
              <w:jc w:val="left"/>
              <w:rPr>
                <w:rFonts w:hint="default" w:ascii="宋体" w:hAnsi="宋体" w:eastAsia="宋体" w:cs="宋体"/>
                <w:b/>
                <w:bCs w:val="0"/>
                <w:color w:val="auto"/>
                <w:kern w:val="0"/>
                <w:sz w:val="21"/>
                <w:szCs w:val="21"/>
                <w:lang w:val="en-US" w:eastAsia="zh-CN"/>
              </w:rPr>
            </w:pPr>
            <w:r>
              <w:rPr>
                <w:rFonts w:hint="eastAsia" w:ascii="宋体" w:hAnsi="宋体" w:eastAsia="宋体" w:cs="宋体"/>
                <w:b/>
                <w:bCs w:val="0"/>
                <w:color w:val="auto"/>
                <w:kern w:val="0"/>
                <w:sz w:val="21"/>
                <w:szCs w:val="21"/>
                <w:lang w:val="en-US" w:eastAsia="zh-CN"/>
              </w:rPr>
              <w:t>1.数字化设计实训室（3D打印区域）</w:t>
            </w:r>
          </w:p>
        </w:tc>
      </w:tr>
      <w:tr w14:paraId="7979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53E14B31">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239" w:type="dxa"/>
            <w:noWrap w:val="0"/>
            <w:vAlign w:val="center"/>
          </w:tcPr>
          <w:p w14:paraId="355273B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0"/>
                <w:sz w:val="21"/>
                <w:szCs w:val="21"/>
                <w:highlight w:val="none"/>
                <w:lang w:bidi="ar"/>
              </w:rPr>
              <w:t>手持式扫描仪</w:t>
            </w:r>
          </w:p>
        </w:tc>
        <w:tc>
          <w:tcPr>
            <w:tcW w:w="6390" w:type="dxa"/>
            <w:gridSpan w:val="2"/>
            <w:noWrap w:val="0"/>
            <w:vAlign w:val="center"/>
          </w:tcPr>
          <w:p w14:paraId="59EC1772">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多种</w:t>
            </w:r>
            <w:r>
              <w:rPr>
                <w:rFonts w:hint="eastAsia" w:ascii="宋体" w:hAnsi="宋体" w:eastAsia="宋体" w:cs="宋体"/>
                <w:color w:val="auto"/>
                <w:sz w:val="21"/>
                <w:szCs w:val="21"/>
                <w:highlight w:val="none"/>
              </w:rPr>
              <w:t>扫描模式</w:t>
            </w:r>
            <w:r>
              <w:rPr>
                <w:rFonts w:hint="eastAsia" w:ascii="宋体" w:hAnsi="宋体" w:eastAsia="宋体" w:cs="宋体"/>
                <w:color w:val="auto"/>
                <w:sz w:val="21"/>
                <w:szCs w:val="21"/>
                <w:highlight w:val="none"/>
                <w:lang w:val="en-US" w:eastAsia="zh-CN"/>
              </w:rPr>
              <w:t>自由切换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手持白光</w:t>
            </w:r>
            <w:r>
              <w:rPr>
                <w:rFonts w:hint="eastAsia" w:ascii="宋体" w:hAnsi="宋体" w:eastAsia="宋体" w:cs="宋体"/>
                <w:color w:val="auto"/>
                <w:sz w:val="21"/>
                <w:szCs w:val="21"/>
                <w:highlight w:val="none"/>
              </w:rPr>
              <w:t>精细扫描，手持</w:t>
            </w:r>
            <w:r>
              <w:rPr>
                <w:rFonts w:hint="eastAsia" w:ascii="宋体" w:hAnsi="宋体" w:eastAsia="宋体" w:cs="宋体"/>
                <w:color w:val="auto"/>
                <w:sz w:val="21"/>
                <w:szCs w:val="21"/>
                <w:highlight w:val="none"/>
                <w:lang w:val="en-US" w:eastAsia="zh-CN"/>
              </w:rPr>
              <w:t>白光</w:t>
            </w:r>
            <w:r>
              <w:rPr>
                <w:rFonts w:hint="eastAsia" w:ascii="宋体" w:hAnsi="宋体" w:eastAsia="宋体" w:cs="宋体"/>
                <w:color w:val="auto"/>
                <w:sz w:val="21"/>
                <w:szCs w:val="21"/>
                <w:highlight w:val="none"/>
              </w:rPr>
              <w:t>快速扫描，</w:t>
            </w:r>
            <w:r>
              <w:rPr>
                <w:rFonts w:hint="eastAsia" w:ascii="宋体" w:hAnsi="宋体" w:eastAsia="宋体" w:cs="宋体"/>
                <w:color w:val="auto"/>
                <w:sz w:val="21"/>
                <w:szCs w:val="21"/>
                <w:highlight w:val="none"/>
                <w:lang w:val="en-US" w:eastAsia="zh-CN"/>
              </w:rPr>
              <w:t>白光</w:t>
            </w:r>
            <w:r>
              <w:rPr>
                <w:rFonts w:hint="eastAsia" w:ascii="宋体" w:hAnsi="宋体" w:eastAsia="宋体" w:cs="宋体"/>
                <w:color w:val="auto"/>
                <w:sz w:val="21"/>
                <w:szCs w:val="21"/>
                <w:highlight w:val="none"/>
              </w:rPr>
              <w:t>固</w:t>
            </w:r>
            <w:r>
              <w:rPr>
                <w:rFonts w:hint="eastAsia" w:ascii="宋体" w:hAnsi="宋体" w:eastAsia="宋体" w:cs="宋体"/>
                <w:color w:val="auto"/>
                <w:sz w:val="21"/>
                <w:szCs w:val="21"/>
                <w:highlight w:val="none"/>
                <w:lang w:val="en-US" w:eastAsia="zh-CN"/>
              </w:rPr>
              <w:t>定模式:转台</w:t>
            </w:r>
            <w:r>
              <w:rPr>
                <w:rFonts w:hint="eastAsia" w:ascii="宋体" w:hAnsi="宋体" w:eastAsia="宋体" w:cs="宋体"/>
                <w:color w:val="auto"/>
                <w:sz w:val="21"/>
                <w:szCs w:val="21"/>
                <w:highlight w:val="none"/>
              </w:rPr>
              <w:t>自动扫描</w:t>
            </w:r>
            <w:r>
              <w:rPr>
                <w:rFonts w:hint="eastAsia" w:ascii="宋体" w:hAnsi="宋体" w:eastAsia="宋体" w:cs="宋体"/>
                <w:color w:val="auto"/>
                <w:sz w:val="21"/>
                <w:szCs w:val="21"/>
                <w:highlight w:val="none"/>
                <w:lang w:val="en-US" w:eastAsia="zh-CN"/>
              </w:rPr>
              <w:t>和无转台</w:t>
            </w:r>
            <w:r>
              <w:rPr>
                <w:rFonts w:hint="eastAsia" w:ascii="宋体" w:hAnsi="宋体" w:eastAsia="宋体" w:cs="宋体"/>
                <w:color w:val="auto"/>
                <w:sz w:val="21"/>
                <w:szCs w:val="21"/>
                <w:highlight w:val="none"/>
              </w:rPr>
              <w:t>自由扫描，手持</w:t>
            </w:r>
            <w:r>
              <w:rPr>
                <w:rFonts w:hint="eastAsia" w:ascii="宋体" w:hAnsi="宋体" w:eastAsia="宋体" w:cs="宋体"/>
                <w:color w:val="auto"/>
                <w:sz w:val="21"/>
                <w:szCs w:val="21"/>
                <w:highlight w:val="none"/>
                <w:lang w:val="en-US" w:eastAsia="zh-CN"/>
              </w:rPr>
              <w:t>激光</w:t>
            </w:r>
            <w:r>
              <w:rPr>
                <w:rFonts w:hint="eastAsia" w:ascii="宋体" w:hAnsi="宋体" w:eastAsia="宋体" w:cs="宋体"/>
                <w:color w:val="auto"/>
                <w:sz w:val="21"/>
                <w:szCs w:val="21"/>
                <w:highlight w:val="none"/>
              </w:rPr>
              <w:t>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val="en-US" w:eastAsia="zh-CN"/>
              </w:rPr>
              <w:t>一字</w:t>
            </w:r>
            <w:r>
              <w:rPr>
                <w:rFonts w:hint="eastAsia" w:ascii="宋体" w:hAnsi="宋体" w:eastAsia="宋体" w:cs="宋体"/>
                <w:color w:val="auto"/>
                <w:sz w:val="21"/>
                <w:szCs w:val="21"/>
                <w:highlight w:val="none"/>
              </w:rPr>
              <w:t>激光扫描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很好应对镜面反射或半透明材质或户外震动环境，无需喷粉</w:t>
            </w:r>
            <w:r>
              <w:rPr>
                <w:rFonts w:hint="eastAsia" w:ascii="宋体" w:hAnsi="宋体" w:eastAsia="宋体" w:cs="宋体"/>
                <w:color w:val="auto"/>
                <w:sz w:val="21"/>
                <w:szCs w:val="21"/>
                <w:highlight w:val="none"/>
              </w:rPr>
              <w:t>；</w:t>
            </w:r>
          </w:p>
          <w:p w14:paraId="663531EB">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扫描精度：手持精细扫描模式：±0.05mm，各方向误差≤0.</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rPr>
              <w:t>；手持快速扫描模式：±0.1mm，各方向误差≤0.3mm/</w:t>
            </w: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rPr>
              <w:t>；固定扫描模式：单幅扫描精度为0.02mm；手持</w:t>
            </w:r>
            <w:r>
              <w:rPr>
                <w:rFonts w:hint="eastAsia" w:ascii="宋体" w:hAnsi="宋体" w:eastAsia="宋体" w:cs="宋体"/>
                <w:color w:val="auto"/>
                <w:sz w:val="21"/>
                <w:szCs w:val="21"/>
                <w:highlight w:val="none"/>
                <w:lang w:val="en-US" w:eastAsia="zh-CN"/>
              </w:rPr>
              <w:t>激光</w:t>
            </w:r>
            <w:r>
              <w:rPr>
                <w:rFonts w:hint="eastAsia" w:ascii="宋体" w:hAnsi="宋体" w:eastAsia="宋体" w:cs="宋体"/>
                <w:color w:val="auto"/>
                <w:sz w:val="21"/>
                <w:szCs w:val="21"/>
                <w:highlight w:val="none"/>
              </w:rPr>
              <w:t>扫描模式：±0.05mm</w:t>
            </w:r>
          </w:p>
          <w:p w14:paraId="230CA183">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空间点距：手持精细模式（0.</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mm），手持快速模式（0.25mm-3mm）,固定扫描模式（0.24mm）；手持</w:t>
            </w:r>
            <w:r>
              <w:rPr>
                <w:rFonts w:hint="eastAsia" w:ascii="宋体" w:hAnsi="宋体" w:eastAsia="宋体" w:cs="宋体"/>
                <w:color w:val="auto"/>
                <w:sz w:val="21"/>
                <w:szCs w:val="21"/>
                <w:highlight w:val="none"/>
                <w:lang w:val="en-US" w:eastAsia="zh-CN"/>
              </w:rPr>
              <w:t>激光</w:t>
            </w:r>
            <w:r>
              <w:rPr>
                <w:rFonts w:hint="eastAsia" w:ascii="宋体" w:hAnsi="宋体" w:eastAsia="宋体" w:cs="宋体"/>
                <w:color w:val="auto"/>
                <w:sz w:val="21"/>
                <w:szCs w:val="21"/>
                <w:highlight w:val="none"/>
              </w:rPr>
              <w:t>扫描模式：（0.2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mm-3mm）</w:t>
            </w:r>
          </w:p>
          <w:p w14:paraId="625DA96C">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扫描速度：手持</w:t>
            </w:r>
            <w:r>
              <w:rPr>
                <w:rFonts w:hint="eastAsia" w:ascii="宋体" w:hAnsi="宋体" w:eastAsia="宋体" w:cs="宋体"/>
                <w:color w:val="auto"/>
                <w:sz w:val="21"/>
                <w:szCs w:val="21"/>
                <w:highlight w:val="none"/>
                <w:lang w:val="en-US" w:eastAsia="zh-CN"/>
              </w:rPr>
              <w:t>白光</w:t>
            </w:r>
            <w:r>
              <w:rPr>
                <w:rFonts w:hint="eastAsia" w:ascii="宋体" w:hAnsi="宋体" w:eastAsia="宋体" w:cs="宋体"/>
                <w:color w:val="auto"/>
                <w:sz w:val="21"/>
                <w:szCs w:val="21"/>
                <w:highlight w:val="none"/>
              </w:rPr>
              <w:t>扫描模式：≥</w:t>
            </w:r>
            <w:r>
              <w:rPr>
                <w:rFonts w:hint="eastAsia" w:ascii="宋体" w:hAnsi="宋体" w:eastAsia="宋体" w:cs="宋体"/>
                <w:color w:val="auto"/>
                <w:sz w:val="21"/>
                <w:szCs w:val="21"/>
                <w:highlight w:val="none"/>
                <w:lang w:val="en-US" w:eastAsia="zh-CN"/>
              </w:rPr>
              <w:t>900</w:t>
            </w:r>
            <w:r>
              <w:rPr>
                <w:rFonts w:hint="eastAsia" w:ascii="宋体" w:hAnsi="宋体" w:eastAsia="宋体" w:cs="宋体"/>
                <w:color w:val="auto"/>
                <w:sz w:val="21"/>
                <w:szCs w:val="21"/>
                <w:highlight w:val="none"/>
              </w:rPr>
              <w:t>,000点/秒；固定扫描模式：单幅扫描时间&lt;0.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s；手持</w:t>
            </w:r>
            <w:r>
              <w:rPr>
                <w:rFonts w:hint="eastAsia" w:ascii="宋体" w:hAnsi="宋体" w:eastAsia="宋体" w:cs="宋体"/>
                <w:color w:val="auto"/>
                <w:sz w:val="21"/>
                <w:szCs w:val="21"/>
                <w:highlight w:val="none"/>
                <w:lang w:val="en-US" w:eastAsia="zh-CN"/>
              </w:rPr>
              <w:t>激光</w:t>
            </w:r>
            <w:r>
              <w:rPr>
                <w:rFonts w:hint="eastAsia" w:ascii="宋体" w:hAnsi="宋体" w:eastAsia="宋体" w:cs="宋体"/>
                <w:color w:val="auto"/>
                <w:sz w:val="21"/>
                <w:szCs w:val="21"/>
                <w:highlight w:val="none"/>
              </w:rPr>
              <w:t>扫描模式：≥1</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000点/秒；</w:t>
            </w:r>
          </w:p>
          <w:p w14:paraId="3E4BFA24">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近场扫描范围：≥205mm*135mm； 远场扫描范围：≥310mm*200mm；</w:t>
            </w:r>
          </w:p>
          <w:p w14:paraId="17C581F7">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扫描景深：4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0mm-6</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0mm；</w:t>
            </w:r>
          </w:p>
          <w:p w14:paraId="4E7ED425">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基准工作距离：5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0mm；</w:t>
            </w:r>
          </w:p>
          <w:p w14:paraId="1D0A79CA">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光源：</w:t>
            </w:r>
            <w:r>
              <w:rPr>
                <w:rFonts w:hint="eastAsia" w:ascii="宋体" w:hAnsi="宋体" w:eastAsia="宋体" w:cs="宋体"/>
                <w:color w:val="auto"/>
                <w:sz w:val="21"/>
                <w:szCs w:val="21"/>
                <w:highlight w:val="none"/>
                <w:lang w:val="en-US" w:eastAsia="zh-CN"/>
              </w:rPr>
              <w:t>白</w:t>
            </w:r>
            <w:r>
              <w:rPr>
                <w:rFonts w:hint="eastAsia" w:ascii="宋体" w:hAnsi="宋体" w:eastAsia="宋体" w:cs="宋体"/>
                <w:color w:val="auto"/>
                <w:sz w:val="21"/>
                <w:szCs w:val="21"/>
                <w:highlight w:val="none"/>
              </w:rPr>
              <w:t>光</w:t>
            </w:r>
            <w:r>
              <w:rPr>
                <w:rFonts w:hint="eastAsia" w:ascii="宋体" w:hAnsi="宋体" w:eastAsia="宋体" w:cs="宋体"/>
                <w:color w:val="auto"/>
                <w:sz w:val="21"/>
                <w:szCs w:val="21"/>
                <w:highlight w:val="none"/>
                <w:lang w:val="en-US" w:eastAsia="zh-CN"/>
              </w:rPr>
              <w:t>和激光两种光源</w:t>
            </w:r>
            <w:r>
              <w:rPr>
                <w:rFonts w:hint="eastAsia" w:ascii="宋体" w:hAnsi="宋体" w:eastAsia="宋体" w:cs="宋体"/>
                <w:color w:val="auto"/>
                <w:sz w:val="21"/>
                <w:szCs w:val="21"/>
                <w:highlight w:val="none"/>
              </w:rPr>
              <w:t>；</w:t>
            </w:r>
          </w:p>
          <w:p w14:paraId="767B25DD">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输出格式：OBJ\STL\ASC\PLY</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14:paraId="72BEE9E1">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可变分辨率：≥0.2mm，扫描时分辨率可以通过系统软件在扫描后根据需要调整，无须通过更换硬件镜头来实现。</w:t>
            </w:r>
          </w:p>
          <w:p w14:paraId="01CF1C5A">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拼接模式：手持精细模式（标志点拼接），手持快速模式（特征拼接、标志点拼接、混合拼接），固定全自动模式（转台</w:t>
            </w:r>
            <w:r>
              <w:rPr>
                <w:rFonts w:hint="eastAsia" w:ascii="宋体" w:hAnsi="宋体" w:eastAsia="宋体" w:cs="宋体"/>
                <w:color w:val="auto"/>
                <w:sz w:val="21"/>
                <w:szCs w:val="21"/>
                <w:highlight w:val="none"/>
                <w:lang w:val="en-US" w:eastAsia="zh-CN"/>
              </w:rPr>
              <w:t>轴</w:t>
            </w:r>
            <w:r>
              <w:rPr>
                <w:rFonts w:hint="eastAsia" w:ascii="宋体" w:hAnsi="宋体" w:eastAsia="宋体" w:cs="宋体"/>
                <w:color w:val="auto"/>
                <w:sz w:val="21"/>
                <w:szCs w:val="21"/>
                <w:highlight w:val="none"/>
              </w:rPr>
              <w:t>拼接、特征拼接、标志点拼接、手动拼接），固定自由模式（标志点拼接、特征拼接、手动拼接）；</w:t>
            </w:r>
          </w:p>
          <w:p w14:paraId="58B6D218">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混合拼接，在同一物体上可同时利用特征和标志点进行拼接，且可自动识别，仅在特征不足处使用标志点，减少标志点使用量，提高扫描效率；</w:t>
            </w:r>
          </w:p>
          <w:p w14:paraId="7F767EC5">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多工程拼接：在扫描软件中，可以实现在扫描中增加工程的功能，实现在软件中对不同工程进行拼接，避免了将数据导出在第三方软件中进行拼接；</w:t>
            </w:r>
          </w:p>
          <w:p w14:paraId="57DCC274">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扫描软件后处理功能：支持对扫描数据进行补洞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平滑、锐化、数据简化等操作；</w:t>
            </w:r>
          </w:p>
          <w:p w14:paraId="6D385D6B">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软件测量功能：支持对扫描数据进行表面积、距离的测量；</w:t>
            </w:r>
          </w:p>
          <w:p w14:paraId="4C5321B2">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模型树功能：适用于固定扫描模式，可针对不同单幅扫描数据进行分组编辑。</w:t>
            </w:r>
          </w:p>
          <w:p w14:paraId="20330420">
            <w:pPr>
              <w:keepNext w:val="0"/>
              <w:keepLines w:val="0"/>
              <w:pageBreakBefore w:val="0"/>
              <w:widowControl/>
              <w:kinsoku/>
              <w:wordWrap/>
              <w:overflowPunct/>
              <w:topLinePunct w:val="0"/>
              <w:autoSpaceDE/>
              <w:autoSpaceDN/>
              <w:bidi w:val="0"/>
              <w:adjustRightInd/>
              <w:snapToGrid/>
              <w:spacing w:line="440" w:lineRule="exact"/>
              <w:ind w:firstLine="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即时显示出扫描数据，扫描完成后，一键操作，即可得到经过补孔, 自动稀释网格, 删除离散点, 整体平滑, 锐化，可直接用于3D打印</w:t>
            </w:r>
            <w:r>
              <w:rPr>
                <w:rFonts w:hint="eastAsia" w:ascii="宋体" w:hAnsi="宋体" w:cs="宋体"/>
                <w:color w:val="auto"/>
                <w:sz w:val="21"/>
                <w:szCs w:val="21"/>
                <w:highlight w:val="none"/>
                <w:lang w:eastAsia="zh-CN"/>
              </w:rPr>
              <w:t>。</w:t>
            </w:r>
          </w:p>
          <w:p w14:paraId="08114E08">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设备必须有自校准精度板，以保证设备精度，且校准迅速，设备校准时间≤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分钟</w:t>
            </w:r>
            <w:r>
              <w:rPr>
                <w:rFonts w:hint="eastAsia" w:ascii="宋体" w:hAnsi="宋体" w:cs="宋体"/>
                <w:color w:val="auto"/>
                <w:sz w:val="21"/>
                <w:szCs w:val="21"/>
                <w:highlight w:val="none"/>
                <w:lang w:eastAsia="zh-CN"/>
              </w:rPr>
              <w:t>。</w:t>
            </w:r>
          </w:p>
        </w:tc>
        <w:tc>
          <w:tcPr>
            <w:tcW w:w="505" w:type="dxa"/>
            <w:noWrap w:val="0"/>
            <w:vAlign w:val="center"/>
          </w:tcPr>
          <w:p w14:paraId="08D9552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3B970DB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38C6AA7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工业</w:t>
            </w:r>
          </w:p>
        </w:tc>
      </w:tr>
      <w:tr w14:paraId="0008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095F087">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1239" w:type="dxa"/>
            <w:noWrap w:val="0"/>
            <w:vAlign w:val="center"/>
          </w:tcPr>
          <w:p w14:paraId="4CBC680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bidi="ar"/>
              </w:rPr>
              <w:t>桌面式光固化打印机</w:t>
            </w:r>
          </w:p>
        </w:tc>
        <w:tc>
          <w:tcPr>
            <w:tcW w:w="6390" w:type="dxa"/>
            <w:gridSpan w:val="2"/>
            <w:noWrap w:val="0"/>
            <w:vAlign w:val="center"/>
          </w:tcPr>
          <w:p w14:paraId="3301B7E0">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1.</w:t>
            </w:r>
            <w:r>
              <w:rPr>
                <w:rFonts w:hint="eastAsia" w:ascii="宋体" w:hAnsi="宋体" w:eastAsia="宋体" w:cs="宋体"/>
                <w:color w:val="auto"/>
                <w:kern w:val="0"/>
                <w:sz w:val="21"/>
                <w:szCs w:val="21"/>
                <w:highlight w:val="none"/>
              </w:rPr>
              <w:t>成型工艺：DLP光固化面成型工艺，快速倒置打印成型技术，以蓝光DLP投影为驱动源；</w:t>
            </w:r>
          </w:p>
          <w:p w14:paraId="2C898B9D">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2.</w:t>
            </w:r>
            <w:r>
              <w:rPr>
                <w:rFonts w:hint="eastAsia" w:ascii="宋体" w:hAnsi="宋体" w:eastAsia="宋体" w:cs="宋体"/>
                <w:color w:val="auto"/>
                <w:sz w:val="21"/>
                <w:szCs w:val="21"/>
                <w:highlight w:val="none"/>
                <w:lang w:val="en-US" w:eastAsia="zh-CN"/>
              </w:rPr>
              <w:t>搭载4.3寸触摸屏，可支持打印预览、模型预览，并支持中英文切换，</w:t>
            </w:r>
            <w:r>
              <w:rPr>
                <w:rFonts w:hint="eastAsia" w:ascii="宋体" w:hAnsi="宋体" w:eastAsia="宋体" w:cs="宋体"/>
                <w:color w:val="auto"/>
                <w:sz w:val="21"/>
                <w:szCs w:val="21"/>
                <w:highlight w:val="none"/>
              </w:rPr>
              <w:t>使打印更加便捷，体验感更强；</w:t>
            </w:r>
          </w:p>
          <w:p w14:paraId="445C0B46">
            <w:pPr>
              <w:keepNext w:val="0"/>
              <w:keepLines w:val="0"/>
              <w:pageBreakBefore w:val="0"/>
              <w:widowControl/>
              <w:tabs>
                <w:tab w:val="left" w:pos="1843"/>
              </w:tabs>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3.</w:t>
            </w:r>
            <w:r>
              <w:rPr>
                <w:rFonts w:hint="eastAsia" w:ascii="宋体" w:hAnsi="宋体" w:eastAsia="宋体" w:cs="宋体"/>
                <w:color w:val="auto"/>
                <w:kern w:val="0"/>
                <w:sz w:val="21"/>
                <w:szCs w:val="21"/>
                <w:highlight w:val="none"/>
              </w:rPr>
              <w:t>设备尺寸：不大于</w:t>
            </w:r>
            <w:r>
              <w:rPr>
                <w:rFonts w:hint="eastAsia" w:ascii="宋体" w:hAnsi="宋体" w:eastAsia="宋体" w:cs="宋体"/>
                <w:color w:val="auto"/>
                <w:kern w:val="0"/>
                <w:sz w:val="21"/>
                <w:szCs w:val="21"/>
                <w:highlight w:val="none"/>
                <w:lang w:val="en-US" w:eastAsia="zh-CN"/>
              </w:rPr>
              <w:t>375X345X435</w:t>
            </w:r>
            <w:r>
              <w:rPr>
                <w:rFonts w:hint="eastAsia" w:ascii="宋体" w:hAnsi="宋体" w:eastAsia="宋体" w:cs="宋体"/>
                <w:color w:val="auto"/>
                <w:kern w:val="0"/>
                <w:sz w:val="21"/>
                <w:szCs w:val="21"/>
                <w:highlight w:val="none"/>
              </w:rPr>
              <w:t>mm，桌面级尺寸，样式美观；最大成型空间：</w:t>
            </w:r>
            <w:r>
              <w:rPr>
                <w:rFonts w:hint="eastAsia" w:ascii="宋体" w:hAnsi="宋体" w:eastAsia="宋体" w:cs="宋体"/>
                <w:color w:val="auto"/>
                <w:kern w:val="0"/>
                <w:sz w:val="21"/>
                <w:szCs w:val="21"/>
                <w:highlight w:val="none"/>
                <w:lang w:val="en-US" w:eastAsia="zh-CN"/>
              </w:rPr>
              <w:t>128X72X180</w:t>
            </w:r>
            <w:r>
              <w:rPr>
                <w:rFonts w:hint="eastAsia" w:ascii="宋体" w:hAnsi="宋体" w:eastAsia="宋体" w:cs="宋体"/>
                <w:color w:val="auto"/>
                <w:kern w:val="0"/>
                <w:sz w:val="21"/>
                <w:szCs w:val="21"/>
                <w:highlight w:val="none"/>
              </w:rPr>
              <w:t xml:space="preserve"> mm</w:t>
            </w:r>
          </w:p>
          <w:p w14:paraId="55A06F2B">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4.</w:t>
            </w:r>
            <w:r>
              <w:rPr>
                <w:rFonts w:hint="eastAsia" w:ascii="宋体" w:hAnsi="宋体" w:eastAsia="宋体" w:cs="宋体"/>
                <w:color w:val="auto"/>
                <w:kern w:val="0"/>
                <w:sz w:val="21"/>
                <w:szCs w:val="21"/>
                <w:highlight w:val="none"/>
              </w:rPr>
              <w:t>分层厚度：0.02mm—0.1mm</w:t>
            </w:r>
          </w:p>
          <w:p w14:paraId="1CFEE8C4">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5.</w:t>
            </w:r>
            <w:r>
              <w:rPr>
                <w:rFonts w:hint="eastAsia" w:ascii="宋体" w:hAnsi="宋体" w:eastAsia="宋体" w:cs="宋体"/>
                <w:color w:val="auto"/>
                <w:kern w:val="0"/>
                <w:sz w:val="21"/>
                <w:szCs w:val="21"/>
                <w:highlight w:val="none"/>
                <w:lang w:val="en-US" w:eastAsia="zh-CN"/>
              </w:rPr>
              <w:t>打印精度：XY100μm，Z轴20-100μm</w:t>
            </w:r>
            <w:r>
              <w:rPr>
                <w:rFonts w:hint="eastAsia" w:ascii="宋体" w:hAnsi="宋体" w:eastAsia="宋体" w:cs="宋体"/>
                <w:color w:val="auto"/>
                <w:sz w:val="21"/>
                <w:szCs w:val="21"/>
                <w:highlight w:val="none"/>
              </w:rPr>
              <w:t>；</w:t>
            </w:r>
          </w:p>
          <w:p w14:paraId="179AD0D4">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6.</w:t>
            </w:r>
            <w:r>
              <w:rPr>
                <w:rFonts w:hint="eastAsia" w:ascii="宋体" w:hAnsi="宋体" w:eastAsia="宋体" w:cs="宋体"/>
                <w:color w:val="auto"/>
                <w:kern w:val="0"/>
                <w:sz w:val="21"/>
                <w:szCs w:val="21"/>
                <w:highlight w:val="none"/>
                <w:lang w:val="en-US" w:eastAsia="zh-CN"/>
              </w:rPr>
              <w:t>具备wifii模块控制，支持远程控制打印，远程下载打印文件，具备自动开关机功能；</w:t>
            </w:r>
          </w:p>
          <w:p w14:paraId="6898E27E">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eastAsia="zh-CN"/>
              </w:rPr>
              <w:t>7.</w:t>
            </w:r>
            <w:r>
              <w:rPr>
                <w:rFonts w:hint="eastAsia" w:ascii="宋体" w:hAnsi="宋体" w:eastAsia="宋体" w:cs="宋体"/>
                <w:color w:val="auto"/>
                <w:kern w:val="0"/>
                <w:sz w:val="21"/>
                <w:szCs w:val="21"/>
                <w:highlight w:val="none"/>
                <w:lang w:val="en-US" w:eastAsia="zh-CN"/>
              </w:rPr>
              <w:t>设备底部配有环绕彩色灯光，可选择多种颜色灯光效果，视觉效果更佳。</w:t>
            </w:r>
          </w:p>
          <w:p w14:paraId="60171078">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兼容数据格式：支持所有输出STL格式的三维软件，如</w:t>
            </w:r>
            <w:r>
              <w:rPr>
                <w:rFonts w:hint="eastAsia" w:ascii="宋体" w:hAnsi="宋体" w:eastAsia="宋体" w:cs="宋体"/>
                <w:color w:val="auto"/>
                <w:sz w:val="21"/>
                <w:szCs w:val="21"/>
                <w:highlight w:val="none"/>
              </w:rPr>
              <w:t>PRO/E、3DMAX、Solidworks、UG、Geomagic、Zbrush、Catia等</w:t>
            </w:r>
          </w:p>
          <w:p w14:paraId="7D8F3AE3">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设备外观整体一次性注塑成型，结构精致</w:t>
            </w:r>
          </w:p>
          <w:p w14:paraId="4E9C8D69">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eastAsia="zh-CN"/>
              </w:rPr>
              <w:t>0.</w:t>
            </w:r>
            <w:r>
              <w:rPr>
                <w:rFonts w:hint="eastAsia" w:ascii="宋体" w:hAnsi="宋体" w:eastAsia="宋体" w:cs="宋体"/>
                <w:color w:val="auto"/>
                <w:kern w:val="0"/>
                <w:sz w:val="21"/>
                <w:szCs w:val="21"/>
                <w:highlight w:val="none"/>
              </w:rPr>
              <w:t>操作软件主要功能</w:t>
            </w:r>
            <w:r>
              <w:rPr>
                <w:rFonts w:hint="eastAsia" w:ascii="宋体" w:hAnsi="宋体" w:eastAsia="宋体" w:cs="宋体"/>
                <w:color w:val="auto"/>
                <w:kern w:val="0"/>
                <w:sz w:val="21"/>
                <w:szCs w:val="21"/>
                <w:highlight w:val="none"/>
                <w:lang w:eastAsia="zh-CN"/>
              </w:rPr>
              <w:t>：</w:t>
            </w:r>
          </w:p>
          <w:p w14:paraId="275663A7">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具备一键自动生成网状支撑和手动加支撑的功能，支</w:t>
            </w:r>
            <w:r>
              <w:rPr>
                <w:rFonts w:hint="eastAsia" w:ascii="宋体" w:hAnsi="宋体" w:eastAsia="宋体" w:cs="宋体"/>
                <w:color w:val="auto"/>
                <w:sz w:val="21"/>
                <w:szCs w:val="21"/>
                <w:highlight w:val="none"/>
              </w:rPr>
              <w:t>撑与支撑通过网状结构联结，节省材料的同时使得支撑更加稳固；</w:t>
            </w:r>
            <w:r>
              <w:rPr>
                <w:rFonts w:hint="eastAsia" w:ascii="宋体" w:hAnsi="宋体" w:eastAsia="宋体" w:cs="宋体"/>
                <w:color w:val="auto"/>
                <w:kern w:val="0"/>
                <w:sz w:val="21"/>
                <w:szCs w:val="21"/>
                <w:highlight w:val="none"/>
                <w:lang w:val="en-US" w:eastAsia="zh-CN"/>
              </w:rPr>
              <w:t>内置操作软件视频</w:t>
            </w:r>
          </w:p>
          <w:p w14:paraId="1C6B0B8F">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b、设备光强可调：设备光强可根据用户需求，在指定范围内调整光源强度</w:t>
            </w:r>
          </w:p>
          <w:p w14:paraId="56FB9C24">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c、预压功能：内置平台预压功能，解决设备长时间使用过程中做到精准调试</w:t>
            </w:r>
          </w:p>
          <w:p w14:paraId="442034AF">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现场提供配套完整的后期处理和产品手工上色DIY全过程视</w:t>
            </w:r>
          </w:p>
          <w:p w14:paraId="2F40E62C">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highlight w:val="none"/>
              </w:rPr>
              <w:t>频教程，特别适合学校、教育机构等的DIY教学和培训</w:t>
            </w:r>
            <w:r>
              <w:rPr>
                <w:rFonts w:hint="eastAsia" w:ascii="宋体" w:hAnsi="宋体" w:cs="宋体"/>
                <w:color w:val="auto"/>
                <w:spacing w:val="8"/>
                <w:sz w:val="21"/>
                <w:szCs w:val="21"/>
                <w:highlight w:val="none"/>
                <w:lang w:eastAsia="zh-CN"/>
              </w:rPr>
              <w:t>。</w:t>
            </w:r>
          </w:p>
        </w:tc>
        <w:tc>
          <w:tcPr>
            <w:tcW w:w="505" w:type="dxa"/>
            <w:noWrap w:val="0"/>
            <w:vAlign w:val="center"/>
          </w:tcPr>
          <w:p w14:paraId="3105B94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478" w:type="dxa"/>
            <w:noWrap w:val="0"/>
            <w:vAlign w:val="center"/>
          </w:tcPr>
          <w:p w14:paraId="51DB2F4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6DCB982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3ACE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5CD9CDB8">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1239" w:type="dxa"/>
            <w:noWrap w:val="0"/>
            <w:vAlign w:val="center"/>
          </w:tcPr>
          <w:p w14:paraId="2B56B13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空调</w:t>
            </w:r>
          </w:p>
        </w:tc>
        <w:tc>
          <w:tcPr>
            <w:tcW w:w="6390" w:type="dxa"/>
            <w:gridSpan w:val="2"/>
            <w:noWrap w:val="0"/>
            <w:vAlign w:val="top"/>
          </w:tcPr>
          <w:p w14:paraId="185503E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为保证产品质量服务与稳定性，要求必须品牌整机：</w:t>
            </w:r>
          </w:p>
          <w:p w14:paraId="1632EF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rPr>
              <w:t>规格：3匹冷暖变频柜式空调</w:t>
            </w:r>
          </w:p>
          <w:p w14:paraId="01A6D3B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eastAsia="宋体" w:cs="宋体"/>
                <w:color w:val="auto"/>
                <w:sz w:val="21"/>
                <w:szCs w:val="21"/>
                <w:highlight w:val="none"/>
              </w:rPr>
              <w:t>能效等级：2级</w:t>
            </w:r>
          </w:p>
          <w:p w14:paraId="038B19D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eastAsia="宋体" w:cs="宋体"/>
                <w:color w:val="auto"/>
                <w:sz w:val="21"/>
                <w:szCs w:val="21"/>
                <w:highlight w:val="none"/>
              </w:rPr>
              <w:t>能效比：3.39</w:t>
            </w:r>
          </w:p>
          <w:p w14:paraId="44BCA3F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eastAsia="宋体" w:cs="宋体"/>
                <w:color w:val="auto"/>
                <w:sz w:val="21"/>
                <w:szCs w:val="21"/>
                <w:highlight w:val="none"/>
              </w:rPr>
              <w:t>额定制冷量：7350W</w:t>
            </w:r>
          </w:p>
          <w:p w14:paraId="48554F0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5.</w:t>
            </w:r>
            <w:r>
              <w:rPr>
                <w:rFonts w:hint="eastAsia" w:ascii="宋体" w:hAnsi="宋体" w:eastAsia="宋体" w:cs="宋体"/>
                <w:color w:val="auto"/>
                <w:sz w:val="21"/>
                <w:szCs w:val="21"/>
                <w:highlight w:val="none"/>
              </w:rPr>
              <w:t>额定制热量：8200W</w:t>
            </w:r>
          </w:p>
          <w:p w14:paraId="29EF261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6.</w:t>
            </w:r>
            <w:r>
              <w:rPr>
                <w:rFonts w:hint="eastAsia" w:ascii="宋体" w:hAnsi="宋体" w:eastAsia="宋体" w:cs="宋体"/>
                <w:color w:val="auto"/>
                <w:sz w:val="21"/>
                <w:szCs w:val="21"/>
                <w:highlight w:val="none"/>
              </w:rPr>
              <w:t>额定制冷功率：2170W</w:t>
            </w:r>
          </w:p>
          <w:p w14:paraId="1E548BB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7.</w:t>
            </w:r>
            <w:r>
              <w:rPr>
                <w:rFonts w:hint="eastAsia" w:ascii="宋体" w:hAnsi="宋体" w:eastAsia="宋体" w:cs="宋体"/>
                <w:color w:val="auto"/>
                <w:sz w:val="21"/>
                <w:szCs w:val="21"/>
                <w:highlight w:val="none"/>
              </w:rPr>
              <w:t>额定制热功率：2240W</w:t>
            </w:r>
          </w:p>
          <w:p w14:paraId="0085D9C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8.</w:t>
            </w:r>
            <w:r>
              <w:rPr>
                <w:rFonts w:hint="eastAsia" w:ascii="宋体" w:hAnsi="宋体" w:eastAsia="宋体" w:cs="宋体"/>
                <w:color w:val="auto"/>
                <w:sz w:val="21"/>
                <w:szCs w:val="21"/>
                <w:highlight w:val="none"/>
              </w:rPr>
              <w:t>外机噪音：dB(A)56</w:t>
            </w:r>
          </w:p>
          <w:p w14:paraId="05173FE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9.</w:t>
            </w:r>
            <w:r>
              <w:rPr>
                <w:rFonts w:hint="eastAsia" w:ascii="宋体" w:hAnsi="宋体" w:eastAsia="宋体" w:cs="宋体"/>
                <w:color w:val="auto"/>
                <w:sz w:val="21"/>
                <w:szCs w:val="21"/>
                <w:highlight w:val="none"/>
              </w:rPr>
              <w:t>内机噪音dB(A)：41.5-45.5</w:t>
            </w:r>
          </w:p>
          <w:p w14:paraId="7F2F498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0.</w:t>
            </w:r>
            <w:r>
              <w:rPr>
                <w:rFonts w:hint="eastAsia" w:ascii="宋体" w:hAnsi="宋体" w:eastAsia="宋体" w:cs="宋体"/>
                <w:color w:val="auto"/>
                <w:sz w:val="21"/>
                <w:szCs w:val="21"/>
                <w:highlight w:val="none"/>
              </w:rPr>
              <w:t>电源（V/Hz）：220/50</w:t>
            </w:r>
          </w:p>
          <w:p w14:paraId="785CD5D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rPr>
              <w:t>标配4米铜管</w:t>
            </w:r>
          </w:p>
          <w:p w14:paraId="42F4F57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olor w:val="auto"/>
                <w:lang w:val="en-US" w:eastAsia="zh-CN"/>
              </w:rPr>
              <w:t>12.提供产品节能认证证书（加盖供应商公章）。</w:t>
            </w:r>
          </w:p>
        </w:tc>
        <w:tc>
          <w:tcPr>
            <w:tcW w:w="505" w:type="dxa"/>
            <w:noWrap w:val="0"/>
            <w:vAlign w:val="center"/>
          </w:tcPr>
          <w:p w14:paraId="3B6030F0">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289731C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007DB55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6DF4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31F7FD2">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w:t>
            </w:r>
          </w:p>
        </w:tc>
        <w:tc>
          <w:tcPr>
            <w:tcW w:w="1239" w:type="dxa"/>
            <w:noWrap w:val="0"/>
            <w:vAlign w:val="center"/>
          </w:tcPr>
          <w:p w14:paraId="39E06D1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bidi="ar"/>
              </w:rPr>
              <w:t>计算机</w:t>
            </w:r>
          </w:p>
        </w:tc>
        <w:tc>
          <w:tcPr>
            <w:tcW w:w="6390" w:type="dxa"/>
            <w:gridSpan w:val="2"/>
            <w:noWrap w:val="0"/>
            <w:vAlign w:val="top"/>
          </w:tcPr>
          <w:p w14:paraId="5036ED6F">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一、CPU规格</w:t>
            </w:r>
          </w:p>
          <w:p w14:paraId="68B1C5DB">
            <w:pPr>
              <w:jc w:val="left"/>
              <w:rPr>
                <w:rFonts w:hint="eastAsia" w:ascii="宋体" w:hAnsi="宋体" w:eastAsia="宋体" w:cs="黑体"/>
                <w:color w:val="FF0000"/>
                <w:spacing w:val="-17"/>
                <w:kern w:val="0"/>
                <w:szCs w:val="21"/>
              </w:rPr>
            </w:pPr>
            <w:r>
              <w:rPr>
                <w:rFonts w:hint="eastAsia" w:ascii="宋体" w:hAnsi="宋体" w:eastAsia="宋体" w:cs="黑体"/>
                <w:spacing w:val="-2"/>
                <w:kern w:val="0"/>
                <w:szCs w:val="21"/>
                <w:lang w:eastAsia="zh-CN"/>
              </w:rPr>
              <w:t>★</w:t>
            </w:r>
            <w:r>
              <w:rPr>
                <w:rFonts w:hint="eastAsia" w:ascii="宋体" w:hAnsi="宋体" w:eastAsia="宋体" w:cs="黑体"/>
                <w:color w:val="auto"/>
                <w:spacing w:val="-2"/>
                <w:kern w:val="0"/>
                <w:szCs w:val="21"/>
              </w:rPr>
              <w:t>1.CPU</w:t>
            </w:r>
            <w:r>
              <w:rPr>
                <w:rFonts w:hint="eastAsia" w:ascii="宋体" w:hAnsi="宋体" w:eastAsia="宋体" w:cs="黑体"/>
                <w:color w:val="auto"/>
                <w:spacing w:val="-17"/>
                <w:kern w:val="0"/>
                <w:szCs w:val="21"/>
              </w:rPr>
              <w:t>信息：</w:t>
            </w:r>
            <w:r>
              <w:rPr>
                <w:rFonts w:hint="eastAsia" w:ascii="宋体" w:hAnsi="宋体" w:cs="黑体"/>
                <w:color w:val="auto"/>
                <w:spacing w:val="-17"/>
                <w:kern w:val="0"/>
                <w:szCs w:val="21"/>
                <w:lang w:eastAsia="zh-CN"/>
              </w:rPr>
              <w:t>兼容</w:t>
            </w:r>
            <w:r>
              <w:rPr>
                <w:rFonts w:hint="eastAsia" w:ascii="宋体" w:hAnsi="宋体" w:cs="黑体"/>
                <w:color w:val="auto"/>
                <w:spacing w:val="-17"/>
                <w:kern w:val="0"/>
                <w:szCs w:val="21"/>
                <w:lang w:val="en-US" w:eastAsia="zh-CN"/>
              </w:rPr>
              <w:t>X86架构</w:t>
            </w:r>
            <w:r>
              <w:rPr>
                <w:rFonts w:hint="eastAsia" w:ascii="宋体" w:hAnsi="宋体" w:eastAsia="宋体" w:cs="黑体"/>
                <w:color w:val="auto"/>
                <w:spacing w:val="-17"/>
                <w:kern w:val="0"/>
                <w:szCs w:val="21"/>
              </w:rPr>
              <w:t>,八核十二线</w:t>
            </w:r>
            <w:r>
              <w:rPr>
                <w:rFonts w:hint="eastAsia" w:ascii="宋体" w:hAnsi="宋体" w:cs="黑体"/>
                <w:color w:val="auto"/>
                <w:spacing w:val="-17"/>
                <w:kern w:val="0"/>
                <w:szCs w:val="21"/>
                <w:lang w:eastAsia="zh-CN"/>
              </w:rPr>
              <w:t>程国产处理器</w:t>
            </w:r>
            <w:r>
              <w:rPr>
                <w:rFonts w:hint="eastAsia" w:ascii="宋体" w:hAnsi="宋体" w:eastAsia="宋体" w:cs="黑体"/>
                <w:color w:val="auto"/>
                <w:spacing w:val="-17"/>
                <w:kern w:val="0"/>
                <w:szCs w:val="21"/>
              </w:rPr>
              <w:t>，3.0G主频；</w:t>
            </w:r>
          </w:p>
          <w:p w14:paraId="0AC62A9E">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二、内存规格</w:t>
            </w:r>
          </w:p>
          <w:p w14:paraId="7D79B204">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1.内存配置容量：≥16G；</w:t>
            </w:r>
          </w:p>
          <w:p w14:paraId="797C6F24">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2.内存类型：支持DDR4/LPDDR4/LPDDR4X及以上内存类型；</w:t>
            </w:r>
          </w:p>
          <w:p w14:paraId="18A85C1D">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3.内存条配置数量（板载内存不涉及）：≥2；</w:t>
            </w:r>
          </w:p>
          <w:p w14:paraId="7FDE05D4">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三、主板规格</w:t>
            </w:r>
          </w:p>
          <w:p w14:paraId="0F614D76">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1.主板集成模块：</w:t>
            </w:r>
            <w:r>
              <w:rPr>
                <w:rFonts w:hint="eastAsia" w:ascii="宋体" w:hAnsi="宋体" w:eastAsia="宋体" w:cs="宋体"/>
                <w:bCs/>
                <w:spacing w:val="10"/>
                <w:kern w:val="0"/>
                <w:szCs w:val="21"/>
              </w:rPr>
              <w:t>与处理器同级匹配的主板或以上，支持M.2无线+蓝牙5.0模块，集成千兆网卡，满足高速、稳定上网需求</w:t>
            </w:r>
            <w:r>
              <w:rPr>
                <w:rFonts w:hint="eastAsia" w:ascii="宋体" w:hAnsi="宋体" w:eastAsia="宋体" w:cs="黑体"/>
                <w:spacing w:val="-2"/>
                <w:kern w:val="0"/>
                <w:szCs w:val="21"/>
              </w:rPr>
              <w:t>；</w:t>
            </w:r>
          </w:p>
          <w:p w14:paraId="04586AD6">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2.主板支持的CPU和内存情况：</w:t>
            </w:r>
            <w:r>
              <w:rPr>
                <w:rFonts w:hint="eastAsia" w:ascii="宋体" w:hAnsi="宋体" w:eastAsia="宋体" w:cs="黑体"/>
                <w:spacing w:val="-6"/>
                <w:kern w:val="0"/>
                <w:szCs w:val="21"/>
              </w:rPr>
              <w:t>供应商给出主板支持的</w:t>
            </w:r>
            <w:r>
              <w:rPr>
                <w:rFonts w:hint="eastAsia" w:ascii="宋体" w:hAnsi="宋体" w:eastAsia="宋体" w:cs="黑体"/>
                <w:spacing w:val="-2"/>
                <w:kern w:val="0"/>
                <w:szCs w:val="21"/>
              </w:rPr>
              <w:t>CPU</w:t>
            </w:r>
            <w:r>
              <w:rPr>
                <w:rFonts w:hint="eastAsia" w:ascii="宋体" w:hAnsi="宋体" w:eastAsia="宋体" w:cs="黑体"/>
                <w:spacing w:val="-11"/>
                <w:kern w:val="0"/>
                <w:szCs w:val="21"/>
              </w:rPr>
              <w:t>和内存型</w:t>
            </w:r>
            <w:r>
              <w:rPr>
                <w:rFonts w:hint="eastAsia" w:ascii="宋体" w:hAnsi="宋体" w:eastAsia="宋体" w:cs="黑体"/>
                <w:spacing w:val="-4"/>
                <w:kern w:val="0"/>
                <w:szCs w:val="21"/>
              </w:rPr>
              <w:t>号和数量；</w:t>
            </w:r>
          </w:p>
          <w:p w14:paraId="2346B4C6">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3.主板其他内置接口：供应商给出相关</w:t>
            </w:r>
            <w:r>
              <w:rPr>
                <w:rFonts w:hint="eastAsia" w:ascii="宋体" w:hAnsi="宋体" w:eastAsia="宋体" w:cs="黑体"/>
                <w:spacing w:val="-2"/>
                <w:kern w:val="0"/>
                <w:szCs w:val="21"/>
              </w:rPr>
              <w:t>SATA、M.2、USB</w:t>
            </w:r>
            <w:r>
              <w:rPr>
                <w:rFonts w:hint="eastAsia" w:ascii="宋体" w:hAnsi="宋体" w:eastAsia="宋体" w:cs="黑体"/>
                <w:spacing w:val="-16"/>
                <w:kern w:val="0"/>
                <w:szCs w:val="21"/>
              </w:rPr>
              <w:t>接口</w:t>
            </w:r>
            <w:r>
              <w:rPr>
                <w:rFonts w:hint="eastAsia" w:ascii="宋体" w:hAnsi="宋体" w:eastAsia="宋体" w:cs="黑体"/>
                <w:spacing w:val="-2"/>
                <w:kern w:val="0"/>
                <w:szCs w:val="21"/>
              </w:rPr>
              <w:t>数量及占用状态；</w:t>
            </w:r>
          </w:p>
          <w:p w14:paraId="1DDDA70F">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4.单内存插槽最大可支持容量（板载内存不涉及）：</w:t>
            </w:r>
            <w:r>
              <w:rPr>
                <w:rFonts w:hint="eastAsia" w:ascii="宋体" w:hAnsi="宋体" w:eastAsia="宋体" w:cs="黑体"/>
                <w:spacing w:val="-4"/>
                <w:kern w:val="0"/>
                <w:szCs w:val="21"/>
              </w:rPr>
              <w:t>≥16GB；</w:t>
            </w:r>
          </w:p>
          <w:p w14:paraId="7ABD3C89">
            <w:pPr>
              <w:autoSpaceDE w:val="0"/>
              <w:autoSpaceDN w:val="0"/>
              <w:spacing w:line="340" w:lineRule="exact"/>
              <w:jc w:val="left"/>
              <w:rPr>
                <w:rFonts w:hint="eastAsia" w:ascii="宋体" w:hAnsi="宋体" w:eastAsia="宋体" w:cs="黑体"/>
                <w:spacing w:val="-2"/>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5.内存插槽满配时提供的最高内存总容量：</w:t>
            </w:r>
            <w:r>
              <w:rPr>
                <w:rFonts w:hint="eastAsia" w:ascii="宋体" w:hAnsi="宋体" w:eastAsia="宋体" w:cs="黑体"/>
                <w:spacing w:val="-2"/>
                <w:kern w:val="0"/>
                <w:szCs w:val="21"/>
              </w:rPr>
              <w:t>≥32GB；</w:t>
            </w:r>
          </w:p>
          <w:p w14:paraId="2E904E3A">
            <w:pPr>
              <w:autoSpaceDE w:val="0"/>
              <w:autoSpaceDN w:val="0"/>
              <w:spacing w:line="340" w:lineRule="exact"/>
              <w:jc w:val="left"/>
              <w:rPr>
                <w:rFonts w:hint="eastAsia" w:ascii="宋体" w:hAnsi="宋体" w:eastAsia="宋体" w:cs="黑体"/>
                <w:b/>
                <w:bCs/>
                <w:spacing w:val="-8"/>
                <w:kern w:val="0"/>
                <w:szCs w:val="21"/>
              </w:rPr>
            </w:pPr>
            <w:r>
              <w:rPr>
                <w:rFonts w:hint="eastAsia" w:ascii="宋体" w:hAnsi="宋体" w:eastAsia="宋体" w:cs="黑体"/>
                <w:b/>
                <w:bCs/>
                <w:spacing w:val="-8"/>
                <w:kern w:val="0"/>
                <w:szCs w:val="21"/>
              </w:rPr>
              <w:t>四、存储设备规格</w:t>
            </w:r>
          </w:p>
          <w:p w14:paraId="04A3F3DB">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1.固态盘数量：≥1个；</w:t>
            </w:r>
          </w:p>
          <w:p w14:paraId="5A9F0A9C">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2.固态存储容量：≥</w:t>
            </w:r>
            <w:r>
              <w:rPr>
                <w:rFonts w:hint="eastAsia" w:ascii="宋体" w:hAnsi="宋体" w:eastAsia="宋体" w:cs="宋体"/>
                <w:bCs/>
                <w:spacing w:val="10"/>
                <w:kern w:val="0"/>
                <w:szCs w:val="21"/>
              </w:rPr>
              <w:t>512GB</w:t>
            </w:r>
            <w:r>
              <w:rPr>
                <w:rFonts w:hint="eastAsia" w:ascii="宋体" w:hAnsi="宋体" w:eastAsia="宋体" w:cs="黑体"/>
                <w:spacing w:val="-8"/>
                <w:kern w:val="0"/>
                <w:szCs w:val="21"/>
              </w:rPr>
              <w:t>；</w:t>
            </w:r>
          </w:p>
          <w:p w14:paraId="146A8DED">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3.机械硬盘数量：≥1个；</w:t>
            </w:r>
          </w:p>
          <w:p w14:paraId="77D4FB6F">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4.机械硬盘总容量：≥2T；</w:t>
            </w:r>
          </w:p>
          <w:p w14:paraId="14906D3F">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5.机械硬盘转速：≥5400rpm；</w:t>
            </w:r>
          </w:p>
          <w:p w14:paraId="454C1942">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6.机械硬盘形态：2.5英寸或3.5英寸等；</w:t>
            </w:r>
          </w:p>
          <w:p w14:paraId="50865B4A">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7.固态存储形态：采用插卡或板载等形态，可选用符合M.2或2.5寸SATA或mSATA等标准的插卡形态；</w:t>
            </w:r>
          </w:p>
          <w:p w14:paraId="5CFD2E73">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8.存储设备其他参数要求：a)固态盘应符合SJ/T 11654相关规定；b)机械硬盘准备时间应不大于30s；侧面固定螺丝孔数量可为4孔或6孔；工作状态环境温度应满足5℃~55℃；其它参数应符合GB/T 12628相关规定；</w:t>
            </w:r>
          </w:p>
          <w:p w14:paraId="14FC40B3">
            <w:pPr>
              <w:autoSpaceDE w:val="0"/>
              <w:autoSpaceDN w:val="0"/>
              <w:spacing w:line="340" w:lineRule="exact"/>
              <w:jc w:val="left"/>
              <w:rPr>
                <w:rFonts w:hint="eastAsia" w:ascii="宋体" w:hAnsi="宋体" w:eastAsia="宋体" w:cs="黑体"/>
                <w:b/>
                <w:bCs/>
                <w:spacing w:val="-8"/>
                <w:kern w:val="0"/>
                <w:szCs w:val="21"/>
              </w:rPr>
            </w:pPr>
            <w:r>
              <w:rPr>
                <w:rFonts w:hint="eastAsia" w:ascii="宋体" w:hAnsi="宋体" w:eastAsia="宋体" w:cs="黑体"/>
                <w:b/>
                <w:bCs/>
                <w:spacing w:val="-8"/>
                <w:kern w:val="0"/>
                <w:szCs w:val="21"/>
              </w:rPr>
              <w:t>五、显卡规格</w:t>
            </w:r>
          </w:p>
          <w:p w14:paraId="635DE654">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1.显卡类型：</w:t>
            </w:r>
            <w:r>
              <w:rPr>
                <w:rFonts w:hint="eastAsia" w:ascii="宋体" w:hAnsi="宋体" w:eastAsia="宋体" w:cs="宋体"/>
                <w:bCs/>
                <w:spacing w:val="10"/>
                <w:kern w:val="0"/>
                <w:szCs w:val="21"/>
              </w:rPr>
              <w:t>独立显卡≥8G</w:t>
            </w:r>
            <w:r>
              <w:rPr>
                <w:rFonts w:hint="eastAsia" w:ascii="宋体" w:hAnsi="宋体" w:eastAsia="宋体" w:cs="黑体"/>
                <w:spacing w:val="-8"/>
                <w:kern w:val="0"/>
                <w:szCs w:val="21"/>
              </w:rPr>
              <w:t>；</w:t>
            </w:r>
          </w:p>
          <w:p w14:paraId="217BD780">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2.独立显卡显存类型：若配置独立显卡，显存类型应为DDR3/DDR4/GDDR5/GDDR6/LPDDR4；</w:t>
            </w:r>
          </w:p>
          <w:p w14:paraId="1F007A13">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3.独立显卡显存位宽：若配置独立显卡，显存位宽≥16位；</w:t>
            </w:r>
          </w:p>
          <w:p w14:paraId="2BBF8D5E">
            <w:pPr>
              <w:autoSpaceDE w:val="0"/>
              <w:autoSpaceDN w:val="0"/>
              <w:spacing w:line="340" w:lineRule="exact"/>
              <w:jc w:val="left"/>
              <w:rPr>
                <w:rFonts w:hint="eastAsia" w:ascii="宋体" w:hAnsi="宋体" w:eastAsia="宋体" w:cs="黑体"/>
                <w:spacing w:val="-8"/>
                <w:kern w:val="0"/>
                <w:szCs w:val="21"/>
              </w:rPr>
            </w:pPr>
            <w:r>
              <w:rPr>
                <w:rFonts w:hint="eastAsia" w:ascii="宋体" w:hAnsi="宋体" w:eastAsia="宋体" w:cs="黑体"/>
                <w:spacing w:val="-8"/>
                <w:kern w:val="0"/>
                <w:szCs w:val="21"/>
                <w:lang w:eastAsia="zh-CN"/>
              </w:rPr>
              <w:t>★</w:t>
            </w:r>
            <w:r>
              <w:rPr>
                <w:rFonts w:hint="eastAsia" w:ascii="宋体" w:hAnsi="宋体" w:eastAsia="宋体" w:cs="黑体"/>
                <w:spacing w:val="-8"/>
                <w:kern w:val="0"/>
                <w:szCs w:val="21"/>
              </w:rPr>
              <w:t>4.独立显卡显存容量：若配置独立显卡，显存容量≥8GB；</w:t>
            </w:r>
          </w:p>
          <w:p w14:paraId="0DCFD82D">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spacing w:val="-6"/>
                <w:kern w:val="0"/>
                <w:szCs w:val="21"/>
              </w:rPr>
              <w:t>六、显</w:t>
            </w:r>
            <w:r>
              <w:rPr>
                <w:rFonts w:hint="eastAsia" w:ascii="宋体" w:hAnsi="宋体" w:eastAsia="宋体" w:cs="黑体"/>
                <w:b/>
                <w:bCs/>
                <w:spacing w:val="-4"/>
                <w:kern w:val="0"/>
                <w:szCs w:val="21"/>
              </w:rPr>
              <w:t>示</w:t>
            </w:r>
            <w:r>
              <w:rPr>
                <w:rFonts w:hint="eastAsia" w:ascii="宋体" w:hAnsi="宋体" w:eastAsia="宋体" w:cs="黑体"/>
                <w:b/>
                <w:bCs/>
                <w:spacing w:val="-6"/>
                <w:kern w:val="0"/>
                <w:szCs w:val="21"/>
              </w:rPr>
              <w:t>设备</w:t>
            </w:r>
            <w:r>
              <w:rPr>
                <w:rFonts w:hint="eastAsia" w:ascii="宋体" w:hAnsi="宋体" w:eastAsia="宋体" w:cs="黑体"/>
                <w:b/>
                <w:bCs/>
                <w:spacing w:val="-5"/>
                <w:kern w:val="0"/>
                <w:szCs w:val="21"/>
              </w:rPr>
              <w:t>规格</w:t>
            </w:r>
          </w:p>
          <w:p w14:paraId="38264A7E">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1.显示屏屏占比：≥80%；</w:t>
            </w:r>
          </w:p>
          <w:p w14:paraId="4668CD1C">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2.显示屏分辨率：≥1920x1080；</w:t>
            </w:r>
          </w:p>
          <w:p w14:paraId="658064EE">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3.显示屏尺寸：≥23英寸；</w:t>
            </w:r>
          </w:p>
          <w:p w14:paraId="2AD06814">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4.显示屏屏幕比例：16:9/3:2/21:9/16:10等；</w:t>
            </w:r>
          </w:p>
          <w:p w14:paraId="04F3540B">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5.显示器外观颜色：黑色；</w:t>
            </w:r>
          </w:p>
          <w:p w14:paraId="140F490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6.显示屏防蓝光：支持防蓝光模式，蓝光加权辐射亮度比应≤0.0012W/(·cd·sr)（瓦每坎特拉每球面度）；</w:t>
            </w:r>
          </w:p>
          <w:p w14:paraId="33E9467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7.显示屏低频闪：显示屏应支持低频闪≤-35dB；</w:t>
            </w:r>
          </w:p>
          <w:p w14:paraId="55939FD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8.显示屏防炫目：显示屏镜面反射率≤10%；</w:t>
            </w:r>
          </w:p>
          <w:p w14:paraId="30076113">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七、外设规格</w:t>
            </w:r>
          </w:p>
          <w:p w14:paraId="56A14941">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1.鼠标数量：≥1个；</w:t>
            </w:r>
          </w:p>
          <w:p w14:paraId="0016A2A1">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2.键盘数量：≥1个；</w:t>
            </w:r>
          </w:p>
          <w:p w14:paraId="7F9D5CB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3.键盘按键数目：104键；</w:t>
            </w:r>
          </w:p>
          <w:p w14:paraId="67C462C6">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4.键盘连接方式：有线；</w:t>
            </w:r>
          </w:p>
          <w:p w14:paraId="7B1056C0">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5.键盘键程：2.3mm~4.0mm；</w:t>
            </w:r>
          </w:p>
          <w:p w14:paraId="391D8EA6">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6.键盘按键压力：按键压力应在0.54N±0.14N；</w:t>
            </w:r>
          </w:p>
          <w:p w14:paraId="6A2D74E2">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7.有线键盘连接线：≥1.5米；</w:t>
            </w:r>
          </w:p>
          <w:p w14:paraId="53BBC68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8.键盘颜色：黑色；</w:t>
            </w:r>
          </w:p>
          <w:p w14:paraId="09D76CA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9.鼠标连接方式：有线；</w:t>
            </w:r>
          </w:p>
          <w:p w14:paraId="776F7A7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10.有线鼠标连接线：≥1.5米；</w:t>
            </w:r>
          </w:p>
          <w:p w14:paraId="412075EE">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11.鼠标DPI分辨率：800~1600</w:t>
            </w:r>
          </w:p>
          <w:p w14:paraId="2B14C92D">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12.鼠标颜色：黑色；</w:t>
            </w:r>
          </w:p>
          <w:p w14:paraId="0264BCE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13.鼠标其他要求：其它参数应符合GB/T 26245的相关规定；</w:t>
            </w:r>
          </w:p>
          <w:p w14:paraId="66A6252E">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八、网络设备规格</w:t>
            </w:r>
          </w:p>
          <w:p w14:paraId="351970B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1.有线网卡数量：≥1；</w:t>
            </w:r>
          </w:p>
          <w:p w14:paraId="563D3D61">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九、外部接口规格</w:t>
            </w:r>
          </w:p>
          <w:p w14:paraId="4D2C0CD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spacing w:val="-2"/>
                <w:kern w:val="0"/>
                <w:szCs w:val="21"/>
                <w:lang w:eastAsia="zh-CN"/>
              </w:rPr>
              <w:t>★</w:t>
            </w:r>
            <w:r>
              <w:rPr>
                <w:rFonts w:hint="eastAsia" w:ascii="宋体" w:hAnsi="宋体" w:eastAsia="宋体" w:cs="黑体"/>
                <w:spacing w:val="-2"/>
                <w:kern w:val="0"/>
                <w:szCs w:val="21"/>
              </w:rPr>
              <w:t>1.USB</w:t>
            </w:r>
            <w:r>
              <w:rPr>
                <w:rFonts w:hint="eastAsia" w:ascii="宋体" w:hAnsi="宋体" w:eastAsia="宋体" w:cs="黑体"/>
                <w:spacing w:val="-17"/>
                <w:kern w:val="0"/>
                <w:szCs w:val="21"/>
              </w:rPr>
              <w:t>接口</w:t>
            </w:r>
            <w:r>
              <w:rPr>
                <w:rFonts w:hint="eastAsia" w:ascii="宋体" w:hAnsi="宋体" w:eastAsia="宋体" w:cs="黑体"/>
                <w:spacing w:val="-6"/>
                <w:kern w:val="0"/>
                <w:szCs w:val="21"/>
              </w:rPr>
              <w:t>数量：机箱前面板应提供不少于3个USB接口（含2个USB3.0及以上接口）；</w:t>
            </w:r>
          </w:p>
          <w:p w14:paraId="081AE30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2.视频接口数量：≥1；</w:t>
            </w:r>
          </w:p>
          <w:p w14:paraId="1997A7C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3.音频接口数量：≥1；</w:t>
            </w:r>
          </w:p>
          <w:p w14:paraId="0661B5E4">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十、整机基础规格</w:t>
            </w:r>
          </w:p>
          <w:p w14:paraId="3F45B12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1.整机外观：a)</w:t>
            </w:r>
            <w:r>
              <w:rPr>
                <w:rFonts w:hint="eastAsia" w:ascii="宋体" w:hAnsi="宋体" w:eastAsia="宋体" w:cs="黑体"/>
                <w:kern w:val="0"/>
                <w:szCs w:val="21"/>
              </w:rPr>
              <w:tab/>
            </w:r>
            <w:r>
              <w:rPr>
                <w:rFonts w:hint="eastAsia" w:ascii="宋体" w:hAnsi="宋体" w:eastAsia="宋体" w:cs="黑体"/>
                <w:kern w:val="0"/>
                <w:szCs w:val="21"/>
              </w:rPr>
              <w:t>产品表面不应有凹痕、划伤、裂缝、变形和污染等。表面涂层均匀，不应起泡、龟裂、脱落和磨损，金属零部件无锈蚀及其它机械损伤；b)产品表面说明功能的文字、符号、标志，应清晰、端正、牢固；</w:t>
            </w:r>
          </w:p>
          <w:p w14:paraId="5F7F3405">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2.状态指示灯：在产品显著位置提供状态指示功能，如运行状态，并由供应商提供详细参数；</w:t>
            </w:r>
          </w:p>
          <w:p w14:paraId="47B0A262">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3.整机结构：a)机箱应符合GB/T 4208、GB/T 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14:paraId="1BBB8D8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4.机箱防护要求：机箱应符合GB/T 4208中IP20防护要求；</w:t>
            </w:r>
          </w:p>
          <w:p w14:paraId="3DD9F6D3">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5.整机噪音：产品工作在空闲状态下，产品的声功率级应不超过4.5Bel；</w:t>
            </w:r>
          </w:p>
          <w:p w14:paraId="28FE7566">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14:paraId="6522EB82">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7.整机能效限定值:产品能效限定值应达到GB 28380-2012标准中能效等级2级及以上</w:t>
            </w:r>
            <w:r>
              <w:rPr>
                <w:rFonts w:hint="eastAsia" w:ascii="宋体" w:hAnsi="宋体" w:eastAsia="宋体" w:cs="宋体"/>
                <w:b/>
                <w:bCs/>
                <w:kern w:val="0"/>
                <w:szCs w:val="21"/>
                <w:lang w:bidi="ar"/>
              </w:rPr>
              <w:t>。</w:t>
            </w:r>
          </w:p>
          <w:p w14:paraId="0F41EC64">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8.机身材质：金属；</w:t>
            </w:r>
          </w:p>
          <w:p w14:paraId="4E4C945C">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9.机身颜色：黑色；</w:t>
            </w:r>
          </w:p>
          <w:p w14:paraId="220E190C">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10.机箱尺寸容量：机箱体积</w:t>
            </w:r>
            <w:r>
              <w:rPr>
                <w:rFonts w:hint="eastAsia" w:ascii="宋体" w:hAnsi="宋体" w:eastAsia="宋体" w:cs="黑体"/>
                <w:kern w:val="0"/>
                <w:szCs w:val="21"/>
                <w:lang w:eastAsia="zh-CN"/>
              </w:rPr>
              <w:t>，配套适用</w:t>
            </w:r>
            <w:r>
              <w:rPr>
                <w:rFonts w:hint="eastAsia" w:ascii="宋体" w:hAnsi="宋体" w:eastAsia="宋体" w:cs="黑体"/>
                <w:kern w:val="0"/>
                <w:szCs w:val="21"/>
              </w:rPr>
              <w:t>；</w:t>
            </w:r>
          </w:p>
          <w:p w14:paraId="5E87FE1E">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十一、CPU性能</w:t>
            </w:r>
          </w:p>
          <w:p w14:paraId="6AE38545">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1.CPU物理核数：≥</w:t>
            </w:r>
            <w:r>
              <w:rPr>
                <w:rFonts w:hint="eastAsia" w:ascii="宋体" w:hAnsi="宋体" w:eastAsia="宋体" w:cs="黑体"/>
                <w:kern w:val="0"/>
                <w:szCs w:val="21"/>
                <w:lang w:val="en-US" w:eastAsia="zh-CN"/>
              </w:rPr>
              <w:t>8</w:t>
            </w:r>
            <w:r>
              <w:rPr>
                <w:rFonts w:hint="eastAsia" w:ascii="宋体" w:hAnsi="宋体" w:eastAsia="宋体" w:cs="黑体"/>
                <w:kern w:val="0"/>
                <w:szCs w:val="21"/>
              </w:rPr>
              <w:t>；</w:t>
            </w:r>
          </w:p>
          <w:p w14:paraId="3719A0F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2.CPU主频：≥</w:t>
            </w:r>
            <w:r>
              <w:rPr>
                <w:rFonts w:hint="eastAsia" w:ascii="宋体" w:hAnsi="宋体" w:eastAsia="宋体" w:cs="黑体"/>
                <w:kern w:val="0"/>
                <w:szCs w:val="21"/>
                <w:lang w:val="en-US" w:eastAsia="zh-CN"/>
              </w:rPr>
              <w:t>3.0</w:t>
            </w:r>
            <w:r>
              <w:rPr>
                <w:rFonts w:hint="eastAsia" w:ascii="宋体" w:hAnsi="宋体" w:eastAsia="宋体" w:cs="黑体"/>
                <w:kern w:val="0"/>
                <w:szCs w:val="21"/>
              </w:rPr>
              <w:t>GHz；</w:t>
            </w:r>
          </w:p>
          <w:p w14:paraId="0A24621D">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3.CPU末级缓存容量：≥20MB</w:t>
            </w:r>
          </w:p>
          <w:p w14:paraId="68A107B6">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4.CPU支持的内存最高速率：≥2666MT/s；</w:t>
            </w:r>
          </w:p>
          <w:p w14:paraId="689CA991">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十二、内存性能</w:t>
            </w:r>
          </w:p>
          <w:p w14:paraId="4D4FCAB5">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1.内存读写速率：≥2666MT/s；</w:t>
            </w:r>
          </w:p>
          <w:p w14:paraId="72E8D922">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十三、显卡性能</w:t>
            </w:r>
          </w:p>
          <w:p w14:paraId="47929F6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1.显示分辨率：≥1920x1080；</w:t>
            </w:r>
          </w:p>
          <w:p w14:paraId="6A3526CD">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2.显卡显示芯片核心频率：≥300MHz；</w:t>
            </w:r>
          </w:p>
          <w:p w14:paraId="367CCDD0">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3.显存等效频率：≥1000MT/s；</w:t>
            </w:r>
          </w:p>
          <w:p w14:paraId="293FE57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4.显卡可支持多屏同时显示数量：显卡应支持2块屏幕同时显示，分辨率应不低于1920×1080；</w:t>
            </w:r>
          </w:p>
          <w:p w14:paraId="1D89F0A0">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十四、显示设备性能</w:t>
            </w:r>
          </w:p>
          <w:p w14:paraId="71A75E85">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1.显示屏刷新率：≥75Hz；</w:t>
            </w:r>
          </w:p>
          <w:p w14:paraId="582AA78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2.显示屏位深：≥8位；</w:t>
            </w:r>
          </w:p>
          <w:p w14:paraId="01982510">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3.显示屏色域：≥99%sRGB；</w:t>
            </w:r>
          </w:p>
          <w:p w14:paraId="3CFD74FA">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4.显示屏色准：△E≤4；</w:t>
            </w:r>
          </w:p>
          <w:p w14:paraId="77317A51">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5.显示屏响应时间：≤8ms；</w:t>
            </w:r>
          </w:p>
          <w:p w14:paraId="23122A3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6.显示屏亮度：≥250尼特；</w:t>
            </w:r>
          </w:p>
          <w:p w14:paraId="57AC4A07">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7.显示屏亮度一致性：≥70%；</w:t>
            </w:r>
          </w:p>
          <w:p w14:paraId="68E3693B">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8.显示屏对比度：≥500：1；</w:t>
            </w:r>
          </w:p>
          <w:p w14:paraId="1E98925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9.显示屏其他参数：其它参数应符合SJ/T 11292的相关规定；</w:t>
            </w:r>
          </w:p>
          <w:p w14:paraId="3F353A6B">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十五、网络设备性能</w:t>
            </w:r>
          </w:p>
          <w:p w14:paraId="19903AE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1.有线网卡速率：最高速率应不低于1000Mbps，应支持10Mbps、100Mbps、1000Mbps速率自适应；</w:t>
            </w:r>
          </w:p>
          <w:p w14:paraId="5BE49393">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十六、主板功能</w:t>
            </w:r>
          </w:p>
          <w:p w14:paraId="5080EE2D">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1.内存扩展接口(板载内存不涉及)：≥2个；</w:t>
            </w:r>
          </w:p>
          <w:p w14:paraId="3ECCEA3B">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2.主板USB瞬间过流保护：支持有瞬间过流保护功能；</w:t>
            </w:r>
          </w:p>
          <w:p w14:paraId="44996045">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3.主板防静电保护：支持防静电保护功能；</w:t>
            </w:r>
          </w:p>
          <w:p w14:paraId="005CC303">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10189735">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十七、显卡功能</w:t>
            </w:r>
          </w:p>
          <w:p w14:paraId="2CA958AB">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1.显卡外接显示接口：显卡至少支持VGA、HDMI、DVI、DP、Type-C中1种显示接口，并与显示器接口相匹配；</w:t>
            </w:r>
          </w:p>
          <w:p w14:paraId="68700EFF">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十八、显示设备功能</w:t>
            </w:r>
          </w:p>
          <w:p w14:paraId="528773B0">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1.显示器接口：显示器应与显卡外接显示接口匹配；</w:t>
            </w:r>
          </w:p>
          <w:p w14:paraId="1370151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2.显示器支架：显示器应提供显示器支架，根据采购人需求支持屏幕旋转、升降等；</w:t>
            </w:r>
          </w:p>
          <w:p w14:paraId="4ED22E64">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3.显示器参数调节：a)提供OSD选单按钮用于调节色彩、模式等；b)支持色温、亮度、对比度调节；</w:t>
            </w:r>
          </w:p>
          <w:p w14:paraId="6EB52CA0">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十九、存储功能</w:t>
            </w:r>
          </w:p>
          <w:p w14:paraId="71F5B23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1.存储功能：通过SATA固态存储/PCIe固态存储/UFS固态存储/SATA硬磁盘等存储部件提供存储功能；</w:t>
            </w:r>
          </w:p>
          <w:p w14:paraId="1166E2B5">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二十、网络设备功能</w:t>
            </w:r>
          </w:p>
          <w:p w14:paraId="0840AD1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1.网络功能：a)支持网络连接、网络开启/关闭功能；b)支持访问网络和数据交换功能；</w:t>
            </w:r>
          </w:p>
          <w:p w14:paraId="268F8311">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2.数据传输：支持数据传输能力，并提供数据流量和异常日志记录功能；</w:t>
            </w:r>
          </w:p>
          <w:p w14:paraId="049A9D3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3.有线网卡接口类型：支持RJ45接口；</w:t>
            </w:r>
          </w:p>
          <w:p w14:paraId="7183216C">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4.网络设备拆装：网络设备支持物理拆装，包括无线网卡和蓝牙模块等；</w:t>
            </w:r>
          </w:p>
          <w:p w14:paraId="5091CB37">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二十一、外部接口功能</w:t>
            </w:r>
          </w:p>
          <w:p w14:paraId="1B5A751E">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1.音频接口类型：支持3.5mm孔径3段式或4段式接口；</w:t>
            </w:r>
          </w:p>
          <w:p w14:paraId="6E0769DF">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2.视频接口类型：至少支持VGA、HDMI、DVI、DP、Type-C中1种显示接口；</w:t>
            </w:r>
          </w:p>
          <w:p w14:paraId="6F68C9E8">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3.HDMI、DP、Type-C显示接口要求：若提供HDMI或DP或Type-C作为显示接口，应支持音频和视频同步输出；</w:t>
            </w:r>
          </w:p>
          <w:p w14:paraId="6B99FB19">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二十二、电源功能</w:t>
            </w:r>
          </w:p>
          <w:p w14:paraId="2076C36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1.电源线适配能力：电源适配器电线组件应符合GB/T 15934的要求，可拆线的插头和连接器可以不做要求；</w:t>
            </w:r>
          </w:p>
          <w:p w14:paraId="779C9714">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二十三、操作系统及软件功能</w:t>
            </w:r>
          </w:p>
          <w:p w14:paraId="68179DDF">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1.中文信息处理要求：符合GB 18030的相关规定；</w:t>
            </w:r>
          </w:p>
          <w:p w14:paraId="3A1ACCEC">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2.操作系统备份及还原功能：支持操作系统备份及还原功能；</w:t>
            </w:r>
          </w:p>
          <w:p w14:paraId="0E59C817">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3.固件备份还原能力：支持备份及还原固件的功能；</w:t>
            </w:r>
          </w:p>
          <w:p w14:paraId="4932EDE8">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4.操作系统及驱动升级：支持通过网络、闪存盘等方式对操作系统、驱动进行升级；</w:t>
            </w:r>
          </w:p>
          <w:p w14:paraId="3CCF7DC0">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5.固件升级：支持通过网络、闪存盘等方式对固件进行升级；</w:t>
            </w:r>
          </w:p>
          <w:p w14:paraId="69F4EFAD">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6.BIOS支持关闭通讯接口：支持BIOS关闭以太网及USB接口；</w:t>
            </w:r>
          </w:p>
          <w:p w14:paraId="1E1EA3C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7.固件查看信息：支持查看固件版本、内存信息、主板信息、处理器信息和系统时间信息等功能；</w:t>
            </w:r>
          </w:p>
          <w:p w14:paraId="111CA244">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8.固件设置启动顺序：支持设置启动顺序功能，并按照设置的启动顺序启动；</w:t>
            </w:r>
          </w:p>
          <w:p w14:paraId="7912A84A">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9.固件设置口令：支持设置口令、修改口令、验证口令功能；</w:t>
            </w:r>
          </w:p>
          <w:p w14:paraId="61229CD0">
            <w:pPr>
              <w:autoSpaceDE w:val="0"/>
              <w:autoSpaceDN w:val="0"/>
              <w:spacing w:line="340" w:lineRule="exact"/>
              <w:rPr>
                <w:rFonts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10.固件设置网络引导：支持网络引导启动和关闭功能；</w:t>
            </w:r>
          </w:p>
          <w:p w14:paraId="63ED5109">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二十四、存储设备可靠性</w:t>
            </w:r>
          </w:p>
          <w:p w14:paraId="38B1932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1.固态存储寿命：TBW≥80TB（条件：240GB硬盘容量）；</w:t>
            </w:r>
          </w:p>
          <w:p w14:paraId="0B2F629F">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2.机械硬盘寿命：通电时间≥5万小时；</w:t>
            </w:r>
          </w:p>
          <w:p w14:paraId="050C8265">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二十五、显示设备可靠性</w:t>
            </w:r>
          </w:p>
          <w:p w14:paraId="29B464AE">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1.显示屏屏幕失效点：符合GB/T 9813.2的要求；</w:t>
            </w:r>
          </w:p>
          <w:p w14:paraId="1D3E9BD8">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二十六、外设可靠性</w:t>
            </w:r>
          </w:p>
          <w:p w14:paraId="5DA2A09F">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1.键盘按键寿命：≥1000万次；</w:t>
            </w:r>
          </w:p>
          <w:p w14:paraId="22550352">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2.鼠标按键寿命：≥500万次；</w:t>
            </w:r>
          </w:p>
          <w:p w14:paraId="4DF1C206">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3.键盘鼠标线材寿命：键盘鼠标所用线材经±60°弯折不低于3000次，功能、外观完好；</w:t>
            </w:r>
          </w:p>
          <w:p w14:paraId="017A7B4D">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4.风扇寿命：≥4万小时；</w:t>
            </w:r>
          </w:p>
          <w:p w14:paraId="23FE9BCB">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二十七、整机可靠性要求</w:t>
            </w:r>
          </w:p>
          <w:p w14:paraId="1625AE6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1.电磁兼容性要求的抗扰度：符合GB/T 9254.2的规定；</w:t>
            </w:r>
          </w:p>
          <w:p w14:paraId="0100346A">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2.环境条件要求的气候环境适应性：符合GB/T 9813.1中规定；</w:t>
            </w:r>
          </w:p>
          <w:p w14:paraId="395A6264">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3.环境条件要求的振动适应性：符合GB/T 9813.1中规定；</w:t>
            </w:r>
          </w:p>
          <w:p w14:paraId="401C2202">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4.环境条件要求的冲击适应性：符合GB/T 9813.1中规定；</w:t>
            </w:r>
          </w:p>
          <w:p w14:paraId="7FC7BD49">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5.环境条件要求的碰撞适应性：符合GB/T 9813.1中规定；</w:t>
            </w:r>
          </w:p>
          <w:p w14:paraId="3A6197E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6.环境条件要求的运输包装件跌落适应性：符合GB/T 9813.1中规定；</w:t>
            </w:r>
          </w:p>
          <w:p w14:paraId="689590CC">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7.MTBF测试：MTBF(m1)≥3万小时；</w:t>
            </w:r>
          </w:p>
          <w:p w14:paraId="5EE3633E">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二十八、兼容要求</w:t>
            </w:r>
          </w:p>
          <w:p w14:paraId="349812AE">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1.常用软件兼容：支持流式软件、版式软件、浏览器、邮件采购人端、解压软件、多媒体、图形图像处理等常用软件；</w:t>
            </w:r>
          </w:p>
          <w:p w14:paraId="09529149">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2.数据库兼容：兼容3个及以上厂商的数据库产品；</w:t>
            </w:r>
          </w:p>
          <w:p w14:paraId="789EFEC5">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3.中间件兼容：兼容3个及以上厂商中间件产品；</w:t>
            </w:r>
          </w:p>
          <w:p w14:paraId="2FB99678">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4.平台软件兼容：兼容3个及以上厂商云计算及大数据平台；</w:t>
            </w:r>
          </w:p>
          <w:p w14:paraId="4B4F8F21">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二十九、包装及运输要求</w:t>
            </w:r>
          </w:p>
          <w:p w14:paraId="7ACCF368">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1.标志、包装、运输和贮存：符合GB/T 9813.1和商品包装政府采购需求标准的相关规定；</w:t>
            </w:r>
          </w:p>
          <w:p w14:paraId="070A7BC7">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三十、服务要求</w:t>
            </w:r>
          </w:p>
          <w:p w14:paraId="06C5FC3D">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1.配置检查工具：供应商提供自检测试工具；</w:t>
            </w:r>
          </w:p>
          <w:p w14:paraId="267B14E1">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4ACD5F13">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3.服务周期：a)设备停产后应继续提供质量保障服务（含备品备件），服务终止时间与最后一批设备交付时间间隔不低于6年；b)产品停止服务时间应提前1年告知；c)应明确产品发布日期；</w:t>
            </w:r>
          </w:p>
          <w:p w14:paraId="7E3D29ED">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4.预装操作系统：预装符合桌面操作系统政府采购需求标准的正版操作系统；</w:t>
            </w:r>
          </w:p>
          <w:p w14:paraId="009E0587">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5.培训服务：供应商提供培训材料、产品手册、培训视频等培训相关内容；</w:t>
            </w:r>
          </w:p>
          <w:p w14:paraId="086D308D">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6.典型问题解决手册：供应商提供典型问题解决说明文档或视频；</w:t>
            </w:r>
          </w:p>
          <w:p w14:paraId="320BB525">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7.厂家升级软件与扩容服务：供应商提供上门升级部件/软件与扩容的增值服务；</w:t>
            </w:r>
          </w:p>
          <w:p w14:paraId="033ACA14">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8.整机质量服务要求：免费服务周期（含换件和维修）应不小于3年；</w:t>
            </w:r>
          </w:p>
          <w:p w14:paraId="391482B0">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9.合格证书要求：供应商提供产品合格证；</w:t>
            </w:r>
          </w:p>
          <w:p w14:paraId="4300167C">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10.开箱组装/使用指导要求：供应商提供开箱组装/使用指导；</w:t>
            </w:r>
          </w:p>
          <w:p w14:paraId="20CACB64">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11.驱动下载服务要求：供应商提供驱动光盘或下载方式；</w:t>
            </w:r>
          </w:p>
          <w:p w14:paraId="013A3CA5">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12.兼容适配软件下载服务要求：供应商提供兼容适配软件下载渠道（光盘、网站）；</w:t>
            </w:r>
          </w:p>
          <w:p w14:paraId="24A10B73">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三十一、供应链合规性</w:t>
            </w:r>
          </w:p>
          <w:p w14:paraId="6106BF9F">
            <w:pPr>
              <w:autoSpaceDE w:val="0"/>
              <w:autoSpaceDN w:val="0"/>
              <w:spacing w:line="340" w:lineRule="exac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1.产品部件保障：供应商保障产品主要部件，提供6年的备件服务能力（自购买之日起），或提供可兼容原设备的升级换代产品；</w:t>
            </w:r>
          </w:p>
          <w:p w14:paraId="6DBFD93F">
            <w:pPr>
              <w:autoSpaceDE w:val="0"/>
              <w:autoSpaceDN w:val="0"/>
              <w:spacing w:line="340" w:lineRule="exact"/>
              <w:rPr>
                <w:rFonts w:hint="eastAsia" w:ascii="宋体" w:hAnsi="宋体" w:eastAsia="宋体" w:cs="黑体"/>
                <w:b/>
                <w:bCs/>
                <w:kern w:val="0"/>
                <w:szCs w:val="21"/>
              </w:rPr>
            </w:pPr>
            <w:r>
              <w:rPr>
                <w:rFonts w:hint="eastAsia" w:ascii="宋体" w:hAnsi="宋体" w:eastAsia="宋体" w:cs="黑体"/>
                <w:b/>
                <w:bCs/>
                <w:kern w:val="0"/>
                <w:szCs w:val="21"/>
              </w:rPr>
              <w:t>三十二、供应链质量</w:t>
            </w:r>
          </w:p>
          <w:p w14:paraId="17B66F99">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1.抗干扰性：当产品部件出现供应风险时，供应商应通知采购人并提供风险应对方案确保产品的服务保障；</w:t>
            </w:r>
          </w:p>
          <w:p w14:paraId="72F3DFCB">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2.供应能力证明：供应商提供供应链稳定承诺书，确保产品的部件在产品服务周期内稳定供货；</w:t>
            </w:r>
          </w:p>
          <w:p w14:paraId="634B3A90">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三十三、关键部件安全要求</w:t>
            </w:r>
          </w:p>
          <w:p w14:paraId="3B3C59E3">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1.关键部件安全要求：CPU和操作系统等关键部件应当符合安全可靠测评要求；</w:t>
            </w:r>
          </w:p>
          <w:p w14:paraId="4594A98B">
            <w:pPr>
              <w:autoSpaceDE w:val="0"/>
              <w:autoSpaceDN w:val="0"/>
              <w:spacing w:line="340" w:lineRule="exact"/>
              <w:jc w:val="left"/>
              <w:rPr>
                <w:rFonts w:hint="eastAsia" w:ascii="宋体" w:hAnsi="宋体" w:eastAsia="宋体" w:cs="黑体"/>
                <w:b/>
                <w:bCs/>
                <w:kern w:val="0"/>
                <w:szCs w:val="21"/>
              </w:rPr>
            </w:pPr>
            <w:r>
              <w:rPr>
                <w:rFonts w:hint="eastAsia" w:ascii="宋体" w:hAnsi="宋体" w:eastAsia="宋体" w:cs="黑体"/>
                <w:b/>
                <w:bCs/>
                <w:kern w:val="0"/>
                <w:szCs w:val="21"/>
              </w:rPr>
              <w:t>三十四、整机安全性要求</w:t>
            </w:r>
          </w:p>
          <w:p w14:paraId="4E6D9EDA">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1.密码算法实现：CPU芯片应符合GM/T 0008的相关规定，或芯片密码模块应符合GB/T 37092或GM/T 0028的相关规定；</w:t>
            </w:r>
          </w:p>
          <w:p w14:paraId="7029051C">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2.信息安全基本要求：a)产品应符合GB/T 39276的5.2的规定；b)生产厂商应建立漏洞跟踪表，保证产品版本涉及到的漏洞(如驱动程序等)可查看；c)产品不得包含已知的恶意代码或漏洞，不存在未声明的指令、功能、接口；</w:t>
            </w:r>
          </w:p>
          <w:p w14:paraId="692B613A">
            <w:pPr>
              <w:autoSpaceDE w:val="0"/>
              <w:autoSpaceDN w:val="0"/>
              <w:spacing w:line="340" w:lineRule="exact"/>
              <w:jc w:val="left"/>
              <w:rPr>
                <w:rFonts w:hint="eastAsia" w:ascii="宋体" w:hAnsi="宋体" w:eastAsia="宋体" w:cs="黑体"/>
                <w:kern w:val="0"/>
                <w:szCs w:val="21"/>
              </w:rPr>
            </w:pPr>
            <w:r>
              <w:rPr>
                <w:rFonts w:hint="eastAsia" w:ascii="宋体" w:hAnsi="宋体" w:eastAsia="宋体" w:cs="黑体"/>
                <w:kern w:val="0"/>
                <w:szCs w:val="21"/>
                <w:lang w:eastAsia="zh-CN"/>
              </w:rPr>
              <w:t>★</w:t>
            </w:r>
            <w:r>
              <w:rPr>
                <w:rFonts w:hint="eastAsia" w:ascii="宋体" w:hAnsi="宋体" w:eastAsia="宋体" w:cs="黑体"/>
                <w:kern w:val="0"/>
                <w:szCs w:val="21"/>
              </w:rPr>
              <w:t>3.固件安全启动：支持固件安全启动功能，固件启动过程中只有通过启动校验才能正常启动；</w:t>
            </w:r>
          </w:p>
          <w:p w14:paraId="57D37DB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黑体"/>
                <w:kern w:val="0"/>
                <w:szCs w:val="21"/>
                <w:lang w:eastAsia="zh-CN"/>
              </w:rPr>
              <w:t>★</w:t>
            </w:r>
            <w:r>
              <w:rPr>
                <w:rFonts w:hint="eastAsia" w:ascii="宋体" w:hAnsi="宋体" w:eastAsia="宋体" w:cs="黑体"/>
                <w:kern w:val="0"/>
                <w:szCs w:val="21"/>
              </w:rPr>
              <w:t>4.限用物质的限量要求：符合GB/T 26572中规定。</w:t>
            </w:r>
          </w:p>
        </w:tc>
        <w:tc>
          <w:tcPr>
            <w:tcW w:w="505" w:type="dxa"/>
            <w:noWrap w:val="0"/>
            <w:vAlign w:val="center"/>
          </w:tcPr>
          <w:p w14:paraId="1D41C577">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w:t>
            </w:r>
          </w:p>
        </w:tc>
        <w:tc>
          <w:tcPr>
            <w:tcW w:w="478" w:type="dxa"/>
            <w:noWrap w:val="0"/>
            <w:vAlign w:val="center"/>
          </w:tcPr>
          <w:p w14:paraId="7314F867">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台</w:t>
            </w:r>
          </w:p>
        </w:tc>
        <w:tc>
          <w:tcPr>
            <w:tcW w:w="718" w:type="dxa"/>
            <w:noWrap w:val="0"/>
            <w:vAlign w:val="center"/>
          </w:tcPr>
          <w:p w14:paraId="5E89C50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工业</w:t>
            </w:r>
          </w:p>
        </w:tc>
      </w:tr>
      <w:tr w14:paraId="325B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3ECAC16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现代加工实训室</w:t>
            </w:r>
          </w:p>
        </w:tc>
      </w:tr>
      <w:tr w14:paraId="7331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E156253">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w:t>
            </w:r>
          </w:p>
        </w:tc>
        <w:tc>
          <w:tcPr>
            <w:tcW w:w="1239" w:type="dxa"/>
            <w:noWrap w:val="0"/>
            <w:vAlign w:val="center"/>
          </w:tcPr>
          <w:p w14:paraId="176B892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数控车床</w:t>
            </w:r>
            <w:r>
              <w:rPr>
                <w:rFonts w:hint="eastAsia" w:ascii="宋体" w:hAnsi="宋体" w:eastAsia="宋体" w:cs="宋体"/>
                <w:b w:val="0"/>
                <w:bCs w:val="0"/>
                <w:color w:val="auto"/>
                <w:sz w:val="21"/>
                <w:szCs w:val="21"/>
                <w:highlight w:val="none"/>
                <w:lang w:val="en-US" w:eastAsia="zh-CN"/>
              </w:rPr>
              <w:t>智能升级改造</w:t>
            </w:r>
          </w:p>
        </w:tc>
        <w:tc>
          <w:tcPr>
            <w:tcW w:w="6390" w:type="dxa"/>
            <w:gridSpan w:val="2"/>
            <w:noWrap w:val="0"/>
            <w:vAlign w:val="center"/>
          </w:tcPr>
          <w:p w14:paraId="0459429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一、基本需求</w:t>
            </w:r>
          </w:p>
          <w:p w14:paraId="6039364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待升级的数控卧式车床</w:t>
            </w:r>
            <w:r>
              <w:rPr>
                <w:rFonts w:hint="eastAsia" w:ascii="宋体" w:hAnsi="宋体" w:cs="宋体"/>
                <w:color w:val="auto"/>
                <w:sz w:val="21"/>
                <w:szCs w:val="21"/>
                <w:highlight w:val="none"/>
                <w:lang w:val="en-US" w:eastAsia="zh-CN"/>
              </w:rPr>
              <w:t>（江西盛豪机床制造有限公司，型号：CK6136）</w:t>
            </w:r>
            <w:r>
              <w:rPr>
                <w:rFonts w:hint="eastAsia" w:ascii="宋体" w:hAnsi="宋体" w:eastAsia="宋体" w:cs="宋体"/>
                <w:color w:val="auto"/>
                <w:sz w:val="21"/>
                <w:szCs w:val="21"/>
                <w:highlight w:val="none"/>
                <w:lang w:val="en-US" w:eastAsia="zh-CN"/>
              </w:rPr>
              <w:t>，现更换两个伺服直线运动轴，满足教学和数控车铣加工职业技能等级标准考证需求，需要对机床的数控系统进行换代升级，从而使机床达到稳定、正常使用，满足教学和数控车铣考证加工要求。现有CK6136数控车床主要参数如下：</w:t>
            </w:r>
          </w:p>
          <w:p w14:paraId="6D43FC1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1.最大工件回转直径：410mm。</w:t>
            </w:r>
          </w:p>
          <w:p w14:paraId="264C2C6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2.工作最大长度：750mm。</w:t>
            </w:r>
          </w:p>
          <w:p w14:paraId="5ED9CFC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3.刀架横向移动最大行程：240mm。</w:t>
            </w:r>
          </w:p>
          <w:p w14:paraId="73679E6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4.主轴转速：20~2000rpm。</w:t>
            </w:r>
          </w:p>
          <w:p w14:paraId="220154F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5.进给快速移动速度：4m/min。</w:t>
            </w:r>
          </w:p>
          <w:p w14:paraId="1D59E15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6.主轴电机功率：4kW。</w:t>
            </w:r>
          </w:p>
          <w:p w14:paraId="60290F8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7.刀架电机功率：120W。</w:t>
            </w:r>
          </w:p>
          <w:p w14:paraId="030C270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二、智能升级要求</w:t>
            </w:r>
          </w:p>
          <w:p w14:paraId="2149207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改造整体实施规划：需要将机床升级成二轴二联动半闭环数控机床。系统升级具有总线式数控系统，需要保留机床电柜、主轴电机、主轴编码器，同时更换伺服电机及驱动器。</w:t>
            </w:r>
          </w:p>
          <w:p w14:paraId="2179770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数控系统：</w:t>
            </w:r>
          </w:p>
          <w:p w14:paraId="20795A9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最小插补周期：≤0. 5ms；</w:t>
            </w:r>
          </w:p>
          <w:p w14:paraId="0DACC79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总线方式：NCUC总线式。</w:t>
            </w:r>
          </w:p>
          <w:p w14:paraId="6D2A6AD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数控系统需具网络初始化和连接、获取和设置寄存器、获取和设置变量、获取、设置参数、载入以及保存参数、获取系统、通道、轴以及坐标系数据、获取和设置刀具数据、获取报警数据、订阅消息事件、获取和设置采样数据、设置MDI、获取和设置PLC、其它接口数据、NC-LINK接口数据、文件接口数据、组态式HMI二次开发等二次开发功能，功能要求满足数控车铣考证要求。</w:t>
            </w:r>
          </w:p>
          <w:p w14:paraId="5B2BAF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数控系统需具备机床调试辅助工具功能</w:t>
            </w:r>
          </w:p>
          <w:p w14:paraId="108048D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数控系统需具备并行控制两类以上工业以太网总线从站设备的功能</w:t>
            </w:r>
          </w:p>
          <w:p w14:paraId="489F1D3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数控系统需具备数控机床热误差补偿功能</w:t>
            </w:r>
          </w:p>
          <w:p w14:paraId="212269E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 数控系统支持网络通讯，开通数控系统联网功能，可实时采集数控系统核心参数。</w:t>
            </w:r>
          </w:p>
          <w:p w14:paraId="1F2D69A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8.数控系统IPC控制器运行环境配置要求：</w:t>
            </w:r>
          </w:p>
          <w:p w14:paraId="2BA6D92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①处 理 器 ：CPU主频不低于1.46G</w:t>
            </w:r>
          </w:p>
          <w:p w14:paraId="34FFC7B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②电源： +24V电源输入，带掉电检测功能</w:t>
            </w:r>
          </w:p>
          <w:p w14:paraId="69E9834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③总线协议接口：EtherCAT+NCUC或EtherCAT+M3</w:t>
            </w:r>
          </w:p>
          <w:p w14:paraId="788BCC8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④磁盘容量：不低于8G 固态盘，预留mSATA接口</w:t>
            </w:r>
          </w:p>
          <w:p w14:paraId="77E58C3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⑤内存空间：不低于1G</w:t>
            </w:r>
          </w:p>
          <w:p w14:paraId="4AE2947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⑥网口：不少于1个1000Mbps千兆网口</w:t>
            </w:r>
          </w:p>
          <w:p w14:paraId="11C89B7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9.数控系统具备的功能：</w:t>
            </w:r>
          </w:p>
          <w:p w14:paraId="546D039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(1)用户宏设置功能；</w:t>
            </w:r>
          </w:p>
          <w:p w14:paraId="7DA4F9B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(2)轨迹设置功能：</w:t>
            </w:r>
          </w:p>
          <w:p w14:paraId="24C5535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①视图切换：不少于5个视图切换；</w:t>
            </w:r>
          </w:p>
          <w:p w14:paraId="5FCC5F7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②图形还原；</w:t>
            </w:r>
          </w:p>
          <w:p w14:paraId="5ED7AC4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③刀具路径颜色配置：不少于100个刀具轨迹颜色配置以及有20种颜色选择的颜色表；</w:t>
            </w:r>
          </w:p>
          <w:p w14:paraId="2034009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④图形中心设置：具备选择不同坐标系为图形中心功能；</w:t>
            </w:r>
          </w:p>
          <w:p w14:paraId="1B2A82C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⑤图形设置：图形中心X设置、图形中心Y设置、图形中心Z设置以及缩放比例设置；</w:t>
            </w:r>
          </w:p>
          <w:p w14:paraId="4AD1CC0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(3)系统盘、U盘、用户盘程序管理、存储；</w:t>
            </w:r>
          </w:p>
          <w:p w14:paraId="5CA74F7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(4)梯图监控功能：梯图在线监控功能；</w:t>
            </w:r>
          </w:p>
          <w:p w14:paraId="1889EF2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(5)梯图编辑功能：梯图在线编辑功能；</w:t>
            </w:r>
          </w:p>
          <w:p w14:paraId="6EAA6FC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(6)梯图信息功能：</w:t>
            </w:r>
          </w:p>
          <w:p w14:paraId="6237013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①梯图标题：梯图相关信息显示；</w:t>
            </w:r>
          </w:p>
          <w:p w14:paraId="187F990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②符号表设置：含有寄存器、符号名以及注释栏，能对符号表进行增加、删除、查找、更新修改以及放弃修改；</w:t>
            </w:r>
          </w:p>
          <w:p w14:paraId="38E80C6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③IO对照表设置：含有寄存器（I/Q）、IO点（X/Y）、电平、周期、符号名以及注释栏，能对IO对照表（包含用户IO和面板IO）进行增加、删除、查找、查找下一个、更新修改以及放弃修改；</w:t>
            </w:r>
          </w:p>
          <w:p w14:paraId="2BE03FB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④K参数设置：具有设定有效开关，可对不少于16个K参数进行ON或OFF设置；</w:t>
            </w:r>
          </w:p>
          <w:p w14:paraId="547D4DC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定时器设置：含有索引、地址、指令字、当前值、预设值、符号名以及注释栏，可对不少于512个定时器进行设置、查找、更新修改以及放弃修改；⑥计数器设置：含有索引、地址、指令字、当前值、预设值、符号名以及注释栏，可对不少于512个计数器进行设置、查找、更新修改以及放弃修改；</w:t>
            </w:r>
          </w:p>
          <w:p w14:paraId="5E2375E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⑦报警设置：可对不少于256个报警地址进行报警内容定义、查找、更新修改以及放弃修改；可对不少于384个提示地址进行提示内容定义、查找、更新修改以及放弃修改；</w:t>
            </w:r>
          </w:p>
          <w:p w14:paraId="3F87526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⑧可对PLC进行运行停止设置；</w:t>
            </w:r>
          </w:p>
          <w:p w14:paraId="057BF08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(7)导入工艺文件功能；</w:t>
            </w:r>
          </w:p>
          <w:p w14:paraId="1A8698A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(8)编程引导功能；</w:t>
            </w:r>
          </w:p>
          <w:p w14:paraId="3285464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(9)加工统计功能；</w:t>
            </w:r>
          </w:p>
          <w:p w14:paraId="6328F8D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(10)机床状态二维码功能：包含机床状态二维码、工件统计二维码、报警历史二维码、故障诊断二维码、调机报表二维码、手机APP二维码以及健康保障二维码，通过手机扫描实时、快捷了解机床状态。</w:t>
            </w:r>
          </w:p>
          <w:p w14:paraId="62992B3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(11)断点运行功能；</w:t>
            </w:r>
          </w:p>
          <w:p w14:paraId="4C4A8C1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(12)刀库配置功能；</w:t>
            </w:r>
          </w:p>
          <w:p w14:paraId="35CD448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(13)刀具寿命管理功能；</w:t>
            </w:r>
          </w:p>
          <w:p w14:paraId="21BCF76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(14)断刀监测功能；具备通过实际功率和断刀空跑功率实时比较检测加工刀具是否断裂功能</w:t>
            </w:r>
          </w:p>
          <w:p w14:paraId="330DCE3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(15)刀具测量功能；</w:t>
            </w:r>
          </w:p>
          <w:p w14:paraId="14C33BF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(16)自检功能：具备通过运行自检程序进行机床健康状态诊断功能并通过雷达图将机床系统当前健康状态显示出来；</w:t>
            </w:r>
          </w:p>
          <w:p w14:paraId="6770C81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(17)故障录像功能：具备通过记录故障前10s的采样数据，通过对录像数据的回放和分析，诊断出故障产生的原因；</w:t>
            </w:r>
          </w:p>
          <w:p w14:paraId="3C659E7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(18)伺服自整定功能：具备通过运行整定过程配置参数达到机电调试最优提升零件加工质量和加工效率；</w:t>
            </w:r>
          </w:p>
          <w:p w14:paraId="7561CCC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(19)丝杠负荷检查功能：具备检测机床丝杠各区间点丝杠负荷值功能以便快速检测出装配质量以及丝杠当前状态；</w:t>
            </w:r>
          </w:p>
          <w:p w14:paraId="7C42A00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(20)工艺评估功能：具备对G代码进行工艺参数评估功能，并能给出评估结果、评估建议；</w:t>
            </w:r>
          </w:p>
          <w:p w14:paraId="38B50FE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(21)P参数设置功能：对用户参数进行设置、查找、更新修改以及放弃修改；</w:t>
            </w:r>
          </w:p>
          <w:p w14:paraId="2CB17D6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(22)M代码设置功能：对不少于999个M代码进行设置以及查找；</w:t>
            </w:r>
          </w:p>
          <w:p w14:paraId="52E9D89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(23)PLC开关设置功能：含有设定有效开关，对PLC地址位进行ON和OFF设置；</w:t>
            </w:r>
          </w:p>
          <w:p w14:paraId="4009671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(24)通讯设定功能：可对本地、共享盘、FTP、云盘进行网络通讯参数设置，具有网络连接、网络断开以及网络PING功能；</w:t>
            </w:r>
          </w:p>
          <w:p w14:paraId="1BABA98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(25)个性化设定功能：</w:t>
            </w:r>
          </w:p>
          <w:p w14:paraId="1C2063C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①语言设定：中文、english、russia；</w:t>
            </w:r>
          </w:p>
          <w:p w14:paraId="2E01B30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②分辨率设置：800*600像素、1024*768像素、1280*1024像素；</w:t>
            </w:r>
          </w:p>
          <w:p w14:paraId="2A406D3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③皮肤设置：蓝色皮肤、灰色皮肤、黑色皮肤、绿色皮肤；</w:t>
            </w:r>
          </w:p>
          <w:p w14:paraId="129A2BC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④载入LOGO设置：可载入自定义开机LOGO；</w:t>
            </w:r>
          </w:p>
          <w:p w14:paraId="3CFB917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⑤菜单排序设置：用户可根据个人操作习惯自定义菜单栏排序；</w:t>
            </w:r>
          </w:p>
          <w:p w14:paraId="3B92289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(26)闭环切换功能；</w:t>
            </w:r>
          </w:p>
          <w:p w14:paraId="20CCE84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(27)空间补偿功能；</w:t>
            </w:r>
          </w:p>
          <w:p w14:paraId="10AE820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(28)工艺包功能：具有从系统盘、U盘、用户盘以及网盘对工艺包进行载入、备份以及重命名功能；</w:t>
            </w:r>
          </w:p>
          <w:p w14:paraId="71DF1BC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(29)加工匀顺功能：快速有效地对加工轨迹中的缺陷处进行平滑光顺，提升速度及加速度平顺性，获得更优的加工表面质量；</w:t>
            </w:r>
          </w:p>
          <w:p w14:paraId="5B5B993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(30)示教编程功能：具有插入、快速定位、插补直线、三点圆模式、半径圆模式、进给速度、删除行以及窗口切换功能；</w:t>
            </w:r>
          </w:p>
          <w:p w14:paraId="165AE7C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(31)辅助编程功能：</w:t>
            </w:r>
          </w:p>
          <w:p w14:paraId="1B8F711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①插入循环：程序头能选择加工平面、坐标系、编程方式等参数；</w:t>
            </w:r>
          </w:p>
          <w:p w14:paraId="6944822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②钻削具备不少于15种指令选择和参数设置；</w:t>
            </w:r>
          </w:p>
          <w:p w14:paraId="6F23C1D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③复合钻削具备不少于12种指令选择和参数设置；</w:t>
            </w:r>
          </w:p>
          <w:p w14:paraId="51C1754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④平面铣槽具备不少于8种指令选择和参数设置；</w:t>
            </w:r>
          </w:p>
          <w:p w14:paraId="602B6E8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⑤设置完成后能直接输出NC。</w:t>
            </w:r>
          </w:p>
          <w:p w14:paraId="41EE627C">
            <w:pPr>
              <w:keepNext w:val="0"/>
              <w:keepLines w:val="0"/>
              <w:pageBreakBefore w:val="0"/>
              <w:widowControl/>
              <w:numPr>
                <w:ilvl w:val="0"/>
                <w:numId w:val="4"/>
              </w:numPr>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配套数控系统仿真软件（50节点/套）</w:t>
            </w:r>
          </w:p>
          <w:p w14:paraId="63B9AB90">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（1）配置数控机床相同系统界面编程仿真软件：</w:t>
            </w:r>
          </w:p>
          <w:p w14:paraId="16BA3D5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（2）软件具备九轴九联动的系统运行界面，可以实现在电脑上模拟系统的程序加工和编程，依此来实现对程序的校验，保证程序的正确性和安全性；</w:t>
            </w:r>
          </w:p>
          <w:p w14:paraId="2AD12AF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（3）可以实现在多台电脑上实现程序的编写和程序的校验，模拟软件可以实现对数控系统内部的参数进行修改和编辑；</w:t>
            </w:r>
          </w:p>
          <w:p w14:paraId="07BC540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（4）具备自动、单段、回零，手动等加工方式以及键盘PLC控制等功能；</w:t>
            </w:r>
          </w:p>
          <w:p w14:paraId="6C4388B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（5）支持具备系统界面在执行系统程序时，各轴数据值会根据执行程序而发生变化，系统界面中的所有九轴数据值都可以变化；</w:t>
            </w:r>
          </w:p>
          <w:p w14:paraId="6B1990C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（6）模拟软件在系统运行程序时，可以显示运行轨迹两维和三维模拟界面，界面可以单独显示也可以同时显示，可以放大缩小画面；</w:t>
            </w:r>
          </w:p>
          <w:p w14:paraId="792B832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支持具备读取自动生成的代码，可减少大量编程工作。对已有的轨迹进行过程模拟，以检查轨迹的正确性。支持生成的轨迹不满意时可以修改参数值，可以把轨迹状态进行调整，以生成符合需求的运行轨迹；</w:t>
            </w:r>
          </w:p>
          <w:p w14:paraId="7F3DC6C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（8）仿真软件在编辑程序时包含以下功能：查找、替换、删除、复制、粘贴等功能；</w:t>
            </w:r>
          </w:p>
          <w:p w14:paraId="0BF2E5D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（9）软件具备用户可以二次升级系统功能和备份系统全部资料；</w:t>
            </w:r>
          </w:p>
          <w:p w14:paraId="0B1564D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（10）仿真软件具备可以修改内部设置参数，可以让用户熟悉系统参数定义和修改参数；</w:t>
            </w:r>
          </w:p>
          <w:p w14:paraId="4B758F5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（11）仿真软件参数模块包含以下模块：用户参数，通道参数，轴参数，设备接口参数，数据表参数等；</w:t>
            </w:r>
          </w:p>
          <w:p w14:paraId="65195DA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（12）仿真软件具备拥有检测信号的输入输出显示功能；</w:t>
            </w:r>
          </w:p>
          <w:p w14:paraId="38D165A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（13）仿真软件具备可以查询报警信息；</w:t>
            </w:r>
          </w:p>
          <w:p w14:paraId="2DAEB1D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（14）仿真软件具备能够实现效验编辑好的程序，通过效验功能检查程序是否存在错误；</w:t>
            </w:r>
          </w:p>
          <w:p w14:paraId="653A7AD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（15）数控系统PLC编程软件需具备离线读取编辑PLC和在线读取编辑PLC功能；</w:t>
            </w:r>
          </w:p>
          <w:p w14:paraId="066A017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（16）PLC编程软件需具备和数控系统通讯功能，通过设置IP地址，连接数控系统，实现PLC在线调试；</w:t>
            </w:r>
          </w:p>
          <w:p w14:paraId="6183F92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PLC功能模块中不少于100个功能单元，每个功能单元还需有对应的帮助说明。功能模块中至少包含：数据查找、T获取、用户自定义、逻辑异或、数据交换、数据获取、数据复位、热误差补偿、T响应等功能单元；</w:t>
            </w:r>
          </w:p>
          <w:p w14:paraId="2448A24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（18）通过PLC编程软件plc编写，可直接给系统定义一些新的控制逻辑，便于二次发。</w:t>
            </w:r>
          </w:p>
          <w:p w14:paraId="57B5420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黑体"/>
                <w:kern w:val="0"/>
                <w:szCs w:val="21"/>
                <w:lang w:eastAsia="zh-CN"/>
              </w:rPr>
              <w:t>★</w:t>
            </w:r>
            <w:r>
              <w:rPr>
                <w:rFonts w:hint="eastAsia" w:ascii="宋体" w:hAnsi="宋体" w:eastAsia="宋体" w:cs="宋体"/>
                <w:b w:val="0"/>
                <w:bCs w:val="0"/>
                <w:color w:val="auto"/>
                <w:sz w:val="21"/>
                <w:szCs w:val="21"/>
                <w:highlight w:val="none"/>
                <w:lang w:val="en-US" w:eastAsia="zh-CN"/>
              </w:rPr>
              <w:t>响应文件须提供以</w:t>
            </w:r>
            <w:r>
              <w:rPr>
                <w:rFonts w:hint="eastAsia" w:ascii="宋体" w:hAnsi="宋体" w:cs="宋体"/>
                <w:b w:val="0"/>
                <w:bCs w:val="0"/>
                <w:color w:val="auto"/>
                <w:sz w:val="21"/>
                <w:szCs w:val="21"/>
                <w:highlight w:val="none"/>
                <w:lang w:val="en-US" w:eastAsia="zh-CN"/>
              </w:rPr>
              <w:t>上</w:t>
            </w:r>
            <w:r>
              <w:rPr>
                <w:rFonts w:hint="eastAsia" w:ascii="宋体" w:hAnsi="宋体" w:eastAsia="宋体" w:cs="宋体"/>
                <w:b w:val="0"/>
                <w:bCs w:val="0"/>
                <w:color w:val="auto"/>
                <w:sz w:val="21"/>
                <w:szCs w:val="21"/>
                <w:highlight w:val="none"/>
                <w:lang w:val="en-US" w:eastAsia="zh-CN"/>
              </w:rPr>
              <w:t>第1～18项的证明材料，证明材料可为具有相应检测资质的第三方检测机构出具对该功能的检测报告复印件或功能截图或产品彩页或说明书等，并加盖供应商公章</w:t>
            </w:r>
            <w:r>
              <w:rPr>
                <w:rFonts w:hint="eastAsia" w:ascii="宋体" w:hAnsi="宋体" w:cs="宋体"/>
                <w:b w:val="0"/>
                <w:bCs w:val="0"/>
                <w:color w:val="auto"/>
                <w:sz w:val="21"/>
                <w:szCs w:val="21"/>
                <w:highlight w:val="none"/>
                <w:lang w:val="en-US" w:eastAsia="zh-CN"/>
              </w:rPr>
              <w:t>。</w:t>
            </w:r>
          </w:p>
          <w:p w14:paraId="43B9AC9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w:t>
            </w:r>
            <w:r>
              <w:rPr>
                <w:rFonts w:hint="eastAsia" w:ascii="宋体" w:hAnsi="宋体" w:cs="宋体"/>
                <w:color w:val="auto"/>
                <w:sz w:val="21"/>
                <w:szCs w:val="21"/>
                <w:highlight w:val="none"/>
                <w:lang w:val="en-US" w:eastAsia="zh-CN"/>
              </w:rPr>
              <w:t>竞标时</w:t>
            </w:r>
            <w:r>
              <w:rPr>
                <w:rFonts w:hint="eastAsia" w:ascii="宋体" w:hAnsi="宋体" w:eastAsia="宋体" w:cs="宋体"/>
                <w:color w:val="auto"/>
                <w:sz w:val="21"/>
                <w:szCs w:val="21"/>
                <w:highlight w:val="none"/>
                <w:lang w:val="en-US" w:eastAsia="zh-CN"/>
              </w:rPr>
              <w:t>提供数控车铣加工职业技能等级标准考核案例不少于5个</w:t>
            </w:r>
            <w:r>
              <w:rPr>
                <w:rFonts w:hint="eastAsia" w:ascii="宋体" w:hAnsi="宋体" w:cs="宋体"/>
                <w:color w:val="auto"/>
                <w:sz w:val="21"/>
                <w:szCs w:val="21"/>
                <w:highlight w:val="none"/>
                <w:lang w:val="en-US" w:eastAsia="zh-CN"/>
              </w:rPr>
              <w:t>。</w:t>
            </w:r>
          </w:p>
          <w:p w14:paraId="32D2948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六、数控系统开通数控云管家功能：</w:t>
            </w:r>
          </w:p>
          <w:p w14:paraId="136006B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控云管家是运用工业以太物联网、大数据、云数控等关键技术，围绕数控机床加工效率和质量的提升以及机床的智能化管理，整合国内各项技术而开发出的车间信息化管理系统。有“设备运维、生产管理、最新资讯”三大功能，实现制造设备从日常生产到维护保养、改造优化的全生命周期管理，为用户提供设备及产品相关信息的“大数据”。</w:t>
            </w:r>
          </w:p>
          <w:p w14:paraId="3F4899D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数控云管家功能：</w:t>
            </w:r>
          </w:p>
          <w:p w14:paraId="4CDE489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通过大数据平台对数控机床进行定期的“体检”，采集运行过程中的数据，通过单机历史数据的纵向比较和机床集群数据的横向比较，掌握机床健康变化，实现数控机床的健康保障。</w:t>
            </w:r>
          </w:p>
          <w:p w14:paraId="0F6E4AA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1.设备运维功能</w:t>
            </w:r>
          </w:p>
          <w:p w14:paraId="057C5EE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(1)新建工单模块：具有故障信息描述、上传图片以及填写报修信息功能；</w:t>
            </w:r>
          </w:p>
          <w:p w14:paraId="26B5D77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(2)我的工单模块：可查看已报单、已指派、待评价、已关闭、进行中以及工单暂停等功能，具备直接输入订单编号或客户单位信息直接快速查看功能；</w:t>
            </w:r>
          </w:p>
          <w:p w14:paraId="28F9A1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(3)历史工单模块：可查看历史工单信息，具备直接输入订单编号、系统SN码、客户单位或人员名称信息直接快速查看功能；</w:t>
            </w:r>
          </w:p>
          <w:p w14:paraId="6C72B85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返修工单模块：可查看返修工单信息，包含返厂中、已收货、已指派、维修收货、维修中、维修完成、返修完成以及废单信息，具备直接输入订单编号、返修件类型、返修件编号或客户单号信息直接快速查看功能；</w:t>
            </w:r>
          </w:p>
          <w:p w14:paraId="1B91C7F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(5)打卡签到模块：具备输入用户位置信息及用户备注信息进行打卡功能；</w:t>
            </w:r>
          </w:p>
          <w:p w14:paraId="7162515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(6)案例库模块：具备全部案例、调试案例、故障案例以及工艺案例查看功能，每个案例均能查看案例详情，包含案例名称、适用范围、调试目标、解决方案以及案例标签。</w:t>
            </w:r>
          </w:p>
          <w:p w14:paraId="161AB62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2.生产管理功能</w:t>
            </w:r>
          </w:p>
          <w:p w14:paraId="1A7A87C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(1)生产管理模块：</w:t>
            </w:r>
          </w:p>
          <w:p w14:paraId="5F9F3CB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①可查看设备厂列表功能，包含全部、华东片区、华北片区、东北片区、西北片区、华中片区和深圳、永川、宁波、泉州、玉溪分公司以及教育行业；</w:t>
            </w:r>
          </w:p>
          <w:p w14:paraId="28065A8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②具备查看设备详情功能：包含设备离线、待机、加工、报警状态；开机时间、加工时间、待机时间、报警时间、离线时间统计；加工加工信息统计、显示功能；</w:t>
            </w:r>
          </w:p>
          <w:p w14:paraId="475F79A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③具备运行统计功能：包含状态统计图、时间统计、产量统计功能；</w:t>
            </w:r>
          </w:p>
          <w:p w14:paraId="3110686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④具备报警历史功能：包含报警列表、报警等级筛选功能；</w:t>
            </w:r>
          </w:p>
          <w:p w14:paraId="2821164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⑤具备报警统计功能；包含报警频次和参数修改记录。</w:t>
            </w:r>
          </w:p>
          <w:p w14:paraId="7CE2EFF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(2)在线编程模块：</w:t>
            </w:r>
          </w:p>
          <w:p w14:paraId="25A8ABB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①具备查看G代码详情功能；</w:t>
            </w:r>
          </w:p>
          <w:p w14:paraId="6E348A4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②具备生成复合工艺G代码功能，包含通过工艺列表配置参数工艺生成G代码功能；</w:t>
            </w:r>
          </w:p>
          <w:p w14:paraId="3CDF96D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③简单工艺并生成G代码功能，包含通过选择工艺配置参数工艺生成G代码功能；</w:t>
            </w:r>
          </w:p>
          <w:p w14:paraId="239F7F2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七、综合管理系统(数控车铣)</w:t>
            </w:r>
          </w:p>
          <w:p w14:paraId="6F1EA4D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综合管理系统是智能化理论考试系统，系统具备考核、练习、成绩分析等模块，并且能实现自动组卷、自动评分，数据统计等功能。</w:t>
            </w:r>
          </w:p>
          <w:p w14:paraId="0E4AD7A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1.系统角色：</w:t>
            </w:r>
          </w:p>
          <w:p w14:paraId="2FFCA9C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（1）考试操作员：题库管理，定义考点信息、考试时间、指定出题规则（组卷）等。</w:t>
            </w:r>
          </w:p>
          <w:p w14:paraId="50977A8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（2）考点操作员：参考人员信息导入，成绩导出等（考点人员）</w:t>
            </w:r>
          </w:p>
          <w:p w14:paraId="0E8F617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（3）考点监控人员：操作考场管理软件的人员（考点人员）</w:t>
            </w:r>
          </w:p>
          <w:p w14:paraId="309154E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（4）巡考人员：考试过程中的在线巡考</w:t>
            </w:r>
          </w:p>
          <w:p w14:paraId="36DAB96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（5）考生：参考人员，可在线练习、在线模拟考试及正式考试</w:t>
            </w:r>
          </w:p>
          <w:p w14:paraId="03A6C2F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2.系统功能说明：</w:t>
            </w:r>
          </w:p>
          <w:p w14:paraId="011ED06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（1）Web服务器：提供系统资料导入、考点参数定义、组卷、在线练习服务等功能，为整个系统的核心；</w:t>
            </w:r>
          </w:p>
          <w:p w14:paraId="1539DD1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（2）在线练习终端：考生通过 PC 浏览器、微信公众号在线练习；考生的在线练习及模拟考试、考生成绩查询；</w:t>
            </w:r>
          </w:p>
          <w:p w14:paraId="31A107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（3）系统管理 Web 终端：</w:t>
            </w:r>
          </w:p>
          <w:p w14:paraId="071D30C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1-考试操作员，2-考点操作员，3-系统管理员，完成这些角色的功能；</w:t>
            </w:r>
          </w:p>
          <w:p w14:paraId="1A12581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（4）考点服务器：每个考点的一个服务器，负责与【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Web 服务器】通讯，下载考点信息、考生信息、考卷，答卷本地打分（考生提交答卷后马上给出成绩）、考生答题信息上传；连接每个考场的监控机，为巡考提供支撑；</w:t>
            </w:r>
          </w:p>
          <w:p w14:paraId="5892AB6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（5）考场监控 PC：监控考试终端，接收考点服务器开考和结束指令，并转发至【</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考场 PC】上的考试终端程序；将每个考试终端的信息推送至【</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考点服务器】，为巡考提供数据；</w:t>
            </w:r>
          </w:p>
          <w:p w14:paraId="40DE1FE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（6）网络巡考 PC：通过巡考程序，可以查看每一位考试的操作界面，摄像头信息，及报考信息等；</w:t>
            </w:r>
          </w:p>
          <w:p w14:paraId="5BFFF57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（7）考场 PC：考试最终的考试电脑，安装有考试终端程序；</w:t>
            </w:r>
          </w:p>
          <w:p w14:paraId="21008C2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3.在线练习：</w:t>
            </w:r>
          </w:p>
          <w:p w14:paraId="7792219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（1）用户选择一个知识点后，必须把所有题刷完才能进入下一个知识点；</w:t>
            </w:r>
          </w:p>
          <w:p w14:paraId="5B7707A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（2）错题重复；</w:t>
            </w:r>
          </w:p>
          <w:p w14:paraId="1B89AED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（3）抽过的题也重复，权重下降；</w:t>
            </w:r>
          </w:p>
          <w:p w14:paraId="34E404C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（4）一次显示 5 题或 10 题，可选；</w:t>
            </w:r>
          </w:p>
          <w:p w14:paraId="332FC5D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（5）可查看错题，及答题正误率；</w:t>
            </w:r>
          </w:p>
          <w:p w14:paraId="3A6013D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4.考场监控软件功能说明</w:t>
            </w:r>
          </w:p>
          <w:p w14:paraId="4C1D03A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（1）每个考场一台监控机，安装考场监控程序；</w:t>
            </w:r>
          </w:p>
          <w:p w14:paraId="6F3FF33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（2）从考点服务器下载试卷、考点考生信息；</w:t>
            </w:r>
          </w:p>
          <w:p w14:paraId="4E8405F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（3）转发考点服务器发送的开考、结束考试指令，考试结束强制提交，提示最后15 分钟；</w:t>
            </w:r>
          </w:p>
          <w:p w14:paraId="7E05EBF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（4）每位考生提交答卷后，当场将答卷信息转发至考点服务器，服务器自动阅卷，并将成绩发送到考试终端；</w:t>
            </w:r>
          </w:p>
          <w:p w14:paraId="269CC5D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（5）考场每个考试终端屏幕查看；</w:t>
            </w:r>
          </w:p>
          <w:p w14:paraId="548970D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（6）考场每台 PC 上的摄像头查看；</w:t>
            </w:r>
          </w:p>
          <w:p w14:paraId="4E5914B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（7）考试过程中，与考点服务器保存连接；</w:t>
            </w:r>
          </w:p>
          <w:p w14:paraId="19F411C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（8）在考试开始、开考半小时及考生提交答卷时，分别通过摄像头获取考生头像及考试程序界面，考试结束后，将这些信息提交至考点服务器；</w:t>
            </w:r>
          </w:p>
          <w:p w14:paraId="5405F47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5.考试终端功能说明</w:t>
            </w:r>
          </w:p>
          <w:p w14:paraId="7984B4F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（1）考生登录（准考证号和密码登录）、考试等级确认、考题信息确认；</w:t>
            </w:r>
          </w:p>
          <w:p w14:paraId="42A685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（2）考生人脸识别验证；不能通过的，由监考人员现场比对，并在监考软件上登记；</w:t>
            </w:r>
          </w:p>
          <w:p w14:paraId="5D39686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（3）从考场监控软件下载试卷；</w:t>
            </w:r>
          </w:p>
          <w:p w14:paraId="6929DE3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（4）答题并提交答卷至考场监控软件，考场监控软件发至考点服务器现场打分并返回成绩，考生提交后马上可以看到成绩；</w:t>
            </w:r>
          </w:p>
          <w:p w14:paraId="20CDDA0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（5）考试过程中的信息采集，头像、PC 界面等，为巡考提供支持；</w:t>
            </w:r>
          </w:p>
          <w:p w14:paraId="42CFCFF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（6）考试过程中电脑重启后，考试计时不中断；</w:t>
            </w:r>
          </w:p>
          <w:p w14:paraId="2691C08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（7）考试过程中电脑损坏，换机后继续考试，计时不中断，前面已答的题答案不变（即可换机继续考试）；</w:t>
            </w:r>
          </w:p>
          <w:p w14:paraId="2A82902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6.系统管理</w:t>
            </w:r>
          </w:p>
          <w:p w14:paraId="0140619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支持各种统计分析，包括但不限于练习统计、错题统计、成绩统计、考试计划统计等。</w:t>
            </w:r>
          </w:p>
          <w:p w14:paraId="289BC14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7.投标时须提供软件技术要求的成绩查询、考试管理、试卷管理、题库管理的证明材料，证明材料可以是有资质的第三方检测机构出具对上述功能的检测报告复印件或功能截图或产品彩页等。</w:t>
            </w:r>
          </w:p>
          <w:p w14:paraId="69F92BD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八、电气部分智能升级需求</w:t>
            </w:r>
          </w:p>
          <w:p w14:paraId="455437F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1.数控系统需采用车削数控系统，需具有2轴联动、网络和USB数据交换功能；</w:t>
            </w:r>
          </w:p>
          <w:p w14:paraId="112EECF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2.数控系统需采用单独的UPS电源供电。</w:t>
            </w:r>
          </w:p>
          <w:p w14:paraId="5C9D827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3.支持采用总线式PLC模块，不少于16点NPN输入点，不少于16点NPN输出点；</w:t>
            </w:r>
          </w:p>
          <w:p w14:paraId="55BEF09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4.去掉原有伺服驱动器，需采用总线式伺服驱动器进行替换。</w:t>
            </w:r>
          </w:p>
          <w:p w14:paraId="608971B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5.主轴系统：需保留原有主轴电机、变频器、主轴编码器及主轴档位控制方式，需要增加一块主轴模拟量控制模块，需保留机床档内无极调速功能。</w:t>
            </w:r>
          </w:p>
          <w:p w14:paraId="409B424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6.保留机床原电气控制柜体，保留柜内原有控制器件，根据新系统控制要求，需要整改机床的电气控制线路，需增加系统上电继电器，确保能够达到正常功能使用要求。</w:t>
            </w:r>
          </w:p>
          <w:p w14:paraId="152A0D1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7.保留机床原数控系统操作箱，需要重新设计系统安装钣金尺寸、连接新的数控系统操作箱，安装在原操作箱安装位置，需要与原操作方式保持一致。</w:t>
            </w:r>
          </w:p>
          <w:p w14:paraId="5D2B9D7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8.需要保留机床原有伺服变压器或电抗器。</w:t>
            </w:r>
          </w:p>
          <w:p w14:paraId="4FB2C90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9.去掉两轴行程开关及回零开关， X、Z进给轴需采用绝对值编码器电机保护措施。</w:t>
            </w:r>
          </w:p>
          <w:p w14:paraId="7983092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10.整理、清洁机床所有连接线缆及线缆防护软管、拖链等，使机床布线具备整洁、美观。</w:t>
            </w:r>
          </w:p>
          <w:p w14:paraId="1484179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11.检修机床照明线路，需要恢复照明。</w:t>
            </w:r>
          </w:p>
          <w:p w14:paraId="063D4F1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12.主轴使用模拟量信号线缆、主轴编码器线缆等信号易受干扰的地方需采用屏蔽电缆线。</w:t>
            </w:r>
          </w:p>
          <w:p w14:paraId="0EBECE5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13.根据机床动作要求，需要重新编制PLC，并具有严密的保护及报警提示信息，便于故障查询和维护。</w:t>
            </w:r>
          </w:p>
          <w:p w14:paraId="11E8CC8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九、单台配置至少包含以下模块</w:t>
            </w:r>
          </w:p>
          <w:p w14:paraId="0547E25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1.数控车床系统：1台。</w:t>
            </w:r>
          </w:p>
          <w:p w14:paraId="49EB71E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2.伺服驱动器：2台。</w:t>
            </w:r>
          </w:p>
          <w:p w14:paraId="1669343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3.X、Z进给电机：伺服电机2台。</w:t>
            </w:r>
          </w:p>
          <w:p w14:paraId="7889A2F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4.UPS电源：1台。</w:t>
            </w:r>
          </w:p>
          <w:p w14:paraId="5B10BB9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5.I/O模块：</w:t>
            </w:r>
          </w:p>
          <w:p w14:paraId="08EFD70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（1）6槽底板通讯板：1块。</w:t>
            </w:r>
          </w:p>
          <w:p w14:paraId="599DE70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（2）总线输入模块：2块。</w:t>
            </w:r>
          </w:p>
          <w:p w14:paraId="4FA8298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（3）总线输出模块：2块。</w:t>
            </w:r>
          </w:p>
          <w:p w14:paraId="72FD844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（4）主轴控制模块：1块。</w:t>
            </w:r>
          </w:p>
          <w:p w14:paraId="206569A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6.手持单元：2轴轴选，螺旋线。</w:t>
            </w:r>
          </w:p>
          <w:p w14:paraId="6BA262B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7.配套连接线缆：1套。</w:t>
            </w:r>
          </w:p>
          <w:p w14:paraId="0CCEF8D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8.配套相关说明书：</w:t>
            </w:r>
          </w:p>
          <w:p w14:paraId="2271A92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（1）车削系统操作说明书</w:t>
            </w:r>
          </w:p>
          <w:p w14:paraId="56B1E73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（2）车削系统编程说明书</w:t>
            </w:r>
          </w:p>
          <w:p w14:paraId="18F0C28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（3）伺服使用说明书</w:t>
            </w:r>
          </w:p>
          <w:p w14:paraId="28B9B23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（4）参数说明书</w:t>
            </w:r>
          </w:p>
          <w:p w14:paraId="5B5ED86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十、机械部分智能升级需求</w:t>
            </w:r>
          </w:p>
          <w:p w14:paraId="64D17C4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1.机床需要整体进行三级保养。</w:t>
            </w:r>
          </w:p>
          <w:p w14:paraId="42A77AF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2.需要微调主轴跳动。</w:t>
            </w:r>
          </w:p>
          <w:p w14:paraId="79A5A2C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3.需要疏通油路。</w:t>
            </w:r>
          </w:p>
          <w:p w14:paraId="6B1BB83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4.需要疏通冷却管路。</w:t>
            </w:r>
          </w:p>
          <w:p w14:paraId="367CC5AF">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5.需要维护检修尾座。</w:t>
            </w:r>
          </w:p>
          <w:p w14:paraId="75CB3A5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十一、机床改造升级，某些要求以现场实际定制。</w:t>
            </w:r>
          </w:p>
        </w:tc>
        <w:tc>
          <w:tcPr>
            <w:tcW w:w="505" w:type="dxa"/>
            <w:noWrap w:val="0"/>
            <w:vAlign w:val="center"/>
          </w:tcPr>
          <w:p w14:paraId="6DB08815">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78" w:type="dxa"/>
            <w:noWrap w:val="0"/>
            <w:vAlign w:val="center"/>
          </w:tcPr>
          <w:p w14:paraId="25C4DE5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1BCC359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7C24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87DF9C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highlight w:val="none"/>
                <w:lang w:val="en-US" w:eastAsia="zh-CN"/>
              </w:rPr>
              <w:t>2.2</w:t>
            </w:r>
          </w:p>
        </w:tc>
        <w:tc>
          <w:tcPr>
            <w:tcW w:w="1239" w:type="dxa"/>
            <w:noWrap w:val="0"/>
            <w:vAlign w:val="center"/>
          </w:tcPr>
          <w:p w14:paraId="33B0000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数控铣床</w:t>
            </w:r>
            <w:r>
              <w:rPr>
                <w:rFonts w:hint="eastAsia"/>
                <w:color w:val="auto"/>
                <w:lang w:eastAsia="zh-CN"/>
              </w:rPr>
              <w:t>升级改造</w:t>
            </w:r>
          </w:p>
        </w:tc>
        <w:tc>
          <w:tcPr>
            <w:tcW w:w="6390" w:type="dxa"/>
            <w:gridSpan w:val="2"/>
            <w:noWrap w:val="0"/>
            <w:vAlign w:val="center"/>
          </w:tcPr>
          <w:p w14:paraId="4079AF6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一、基本需求</w:t>
            </w:r>
          </w:p>
          <w:p w14:paraId="47808B2D">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待升级的数控加工中心</w:t>
            </w:r>
            <w:r>
              <w:rPr>
                <w:rFonts w:hint="eastAsia" w:ascii="宋体" w:hAnsi="宋体" w:cs="宋体"/>
                <w:color w:val="auto"/>
                <w:sz w:val="21"/>
                <w:szCs w:val="21"/>
                <w:highlight w:val="none"/>
                <w:lang w:val="en-US" w:eastAsia="zh-CN"/>
              </w:rPr>
              <w:t>（大连机床集团有限责任公司，型号：VDL-600A）</w:t>
            </w:r>
            <w:r>
              <w:rPr>
                <w:rFonts w:hint="eastAsia" w:ascii="宋体" w:hAnsi="宋体" w:eastAsia="宋体" w:cs="宋体"/>
                <w:color w:val="auto"/>
                <w:sz w:val="21"/>
                <w:szCs w:val="21"/>
                <w:highlight w:val="none"/>
                <w:lang w:val="en-US" w:eastAsia="zh-CN"/>
              </w:rPr>
              <w:t>，现更换三个伺服直线运动轴，根据教学和数控车铣考证需求，需要对机床的数控系统进行换代升级，从而使机床达到稳定、正常使用，满足教学和数控车铣加工职业技能等级标准考证要求。现有VD-600加工中心参数如下：</w:t>
            </w:r>
          </w:p>
          <w:p w14:paraId="2ADF098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1.工作台长*宽（mm）：1000*500；三向行程（mm）：X-850；Y-500；Z-540。</w:t>
            </w:r>
          </w:p>
          <w:p w14:paraId="3B633E0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2.三轴进给速度：1~20000mm/min；三向快速进给量：30m/min。</w:t>
            </w:r>
          </w:p>
          <w:p w14:paraId="4B9EC4FB">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3.主轴交流伺服电机功率：7.5kW；转速：50~8000rpm（无级调速）；最大输出扭矩35.8N•m。</w:t>
            </w:r>
          </w:p>
          <w:p w14:paraId="54D9E64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4.工作台最大承重≥600kg；</w:t>
            </w:r>
          </w:p>
          <w:p w14:paraId="008F3F61">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5.刀具松开采用气动，主轴锥孔采用压缩空气吹扫。</w:t>
            </w:r>
          </w:p>
          <w:p w14:paraId="6618365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二、智能升级要求</w:t>
            </w:r>
          </w:p>
          <w:p w14:paraId="6EB42BDF">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改造整体实施规划：需要将机床升级成三轴三联动半闭环数控机床。系统升级具有总线式数控系统，需要保留机床电柜、主轴电机、主轴编码器，同时更换伺服电机及驱动器。</w:t>
            </w:r>
          </w:p>
          <w:p w14:paraId="688F3F14">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三、数控系统</w:t>
            </w:r>
          </w:p>
          <w:p w14:paraId="4BF65C1D">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最小插补周期：≤0. 5ms；</w:t>
            </w:r>
          </w:p>
          <w:p w14:paraId="4C2899CE">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总线方式：NCUC总线式。</w:t>
            </w:r>
          </w:p>
          <w:p w14:paraId="013C85E4">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数控系统需具网络初始化和连接、获取和设置寄存器、获取和设置变量、获取、设置参数、载入以及保存参数、获取系统、通道、轴以及坐标系数据、获取和设置刀具数据、获取报警数据、订阅消息事件、获取和设置采样数据、设置MDI、获取和设置PLC、其它接口数据、NC-LINK接口数据、文件接口数据、组 态式HMI二次开发等二次开发功能。</w:t>
            </w:r>
          </w:p>
          <w:p w14:paraId="61EF540B">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数控系统需具备机床调试辅助工具功能</w:t>
            </w:r>
          </w:p>
          <w:p w14:paraId="4EDE075F">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数控系统需具备并行控制两类以上工业以太网总线从站设备的功能</w:t>
            </w:r>
          </w:p>
          <w:p w14:paraId="753BE2A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数控系统需具备数控机床热误差补偿功能</w:t>
            </w:r>
          </w:p>
          <w:p w14:paraId="28D9427A">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 数控系统支持网络通讯，开通数控系统联网功能，可实时采集数控系统核心参数。</w:t>
            </w:r>
          </w:p>
          <w:p w14:paraId="7D9E11F7">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8.数控系统IPC控制器运行环境配置要求：</w:t>
            </w:r>
          </w:p>
          <w:p w14:paraId="5DCDCB6D">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①处 理 器 ：CPU主频不低于1.46G</w:t>
            </w:r>
          </w:p>
          <w:p w14:paraId="62BBA1C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②电源： +24V电源输入，带掉电检测功能</w:t>
            </w:r>
          </w:p>
          <w:p w14:paraId="2284D09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③总线协议接口：EtherCAT+NCUC或EtherCAT+M3</w:t>
            </w:r>
          </w:p>
          <w:p w14:paraId="61D6737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④磁盘容量：不低于8G 固态盘，预留mSATA接口</w:t>
            </w:r>
          </w:p>
          <w:p w14:paraId="5B5A7E7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⑤内存空间：不低于1G</w:t>
            </w:r>
          </w:p>
          <w:p w14:paraId="2AADE63F">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⑥网口：不少于1个1000Mbps千兆网口</w:t>
            </w:r>
          </w:p>
          <w:p w14:paraId="3BED81A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9.数控系统具备的功能：</w:t>
            </w:r>
          </w:p>
          <w:p w14:paraId="277FC05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(1)用户宏设置功能；</w:t>
            </w:r>
          </w:p>
          <w:p w14:paraId="74C3E29A">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(2)轨迹设置功能：</w:t>
            </w:r>
          </w:p>
          <w:p w14:paraId="18A4186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①视图切换：不少于5个视图切换；</w:t>
            </w:r>
          </w:p>
          <w:p w14:paraId="3CEAF72D">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②图形还原；</w:t>
            </w:r>
          </w:p>
          <w:p w14:paraId="313A2B9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③刀具路径颜色配置：不少于100个刀具轨迹颜色配置以及有20种颜色选择的颜色表；</w:t>
            </w:r>
          </w:p>
          <w:p w14:paraId="66EDC807">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④图形中心设置：具备选择不同坐标系为图形中心功能；</w:t>
            </w:r>
          </w:p>
          <w:p w14:paraId="7046915E">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⑤图形设置：图形中心X设置、图形中心Y设置、图形中心Z设置以及缩放比例设置；</w:t>
            </w:r>
          </w:p>
          <w:p w14:paraId="60CFED8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(3)系统盘、U盘、用户盘程序管理、存储；</w:t>
            </w:r>
          </w:p>
          <w:p w14:paraId="1C9B1F9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(4)梯图监控功能：梯图在线监控功能；</w:t>
            </w:r>
          </w:p>
          <w:p w14:paraId="225DFFD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(5)梯图编辑功能：梯图在线编辑功能；</w:t>
            </w:r>
          </w:p>
          <w:p w14:paraId="52FE9CC1">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(6)梯图信息功能：</w:t>
            </w:r>
          </w:p>
          <w:p w14:paraId="621E52A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①梯图标题：梯图相关信息显示；</w:t>
            </w:r>
          </w:p>
          <w:p w14:paraId="509A62E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②符号表设置：含有寄存器、符号名以及注释栏，能对符号表进行增加、删除、查找、更新修改以及放弃修改；</w:t>
            </w:r>
          </w:p>
          <w:p w14:paraId="6A9B2CAD">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③IO对照表设置：含有寄存器（I/Q）、IO点（X/Y）、电平、周期、符号名以及注释栏，能对IO对照表（包含用户IO和面板IO）进行增加、删除、查找、查找下一个、更新修改以及放弃修改；</w:t>
            </w:r>
          </w:p>
          <w:p w14:paraId="52A1C31F">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④K参数设置：具有设定有效开关，可对不少于16个K参数进行ON或OFF设置；</w:t>
            </w:r>
          </w:p>
          <w:p w14:paraId="4959D2AB">
            <w:pPr>
              <w:keepNext w:val="0"/>
              <w:keepLines w:val="0"/>
              <w:pageBreakBefore w:val="0"/>
              <w:widowControl/>
              <w:kinsoku/>
              <w:wordWrap/>
              <w:overflowPunct/>
              <w:topLinePunct w:val="0"/>
              <w:autoSpaceDE/>
              <w:autoSpaceDN/>
              <w:bidi w:val="0"/>
              <w:adjustRightInd/>
              <w:snapToGrid/>
              <w:spacing w:line="440" w:lineRule="exact"/>
              <w:ind w:firstLine="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⑤定时器设置：含有索引、地址、指令字、当前值、预设值、符号名以及注释栏，可对不少于512个定时器进行设置、查找、更新修改以及放弃修改；                                             </w:t>
            </w:r>
          </w:p>
          <w:p w14:paraId="74D74BCA">
            <w:pPr>
              <w:keepNext w:val="0"/>
              <w:keepLines w:val="0"/>
              <w:pageBreakBefore w:val="0"/>
              <w:widowControl/>
              <w:kinsoku/>
              <w:wordWrap/>
              <w:overflowPunct/>
              <w:topLinePunct w:val="0"/>
              <w:autoSpaceDE/>
              <w:autoSpaceDN/>
              <w:bidi w:val="0"/>
              <w:adjustRightInd/>
              <w:snapToGrid/>
              <w:spacing w:line="440" w:lineRule="exact"/>
              <w:ind w:firstLine="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⑥计数器设置：含有索引、地址、指令字、当前值、预设值、符号名以及注释栏，可对不少于512个计数器进行设置、查找、更新修改以及放弃修改；</w:t>
            </w:r>
          </w:p>
          <w:p w14:paraId="5657B11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⑦报警设置：可对不少于256个报警地址进行报警内容定义、查找、更新修改以及放弃修改；可对不少于384个提示地址进行提示内容定义、查找、更新修改以及放弃修改；</w:t>
            </w:r>
          </w:p>
          <w:p w14:paraId="39FBB3E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⑧可对PLC进行运行停止设置；</w:t>
            </w:r>
          </w:p>
          <w:p w14:paraId="7D303E28">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(7)导入工艺文件功能；</w:t>
            </w:r>
          </w:p>
          <w:p w14:paraId="7F94B52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(8)编程引导功能；</w:t>
            </w:r>
          </w:p>
          <w:p w14:paraId="2B70AF6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(9)加工统计功能；</w:t>
            </w:r>
          </w:p>
          <w:p w14:paraId="49E39ABF">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(10)机床状态二维码功能：包含机床状态二维码、工件统计二维码、报警历史二维码、故障诊断二维码、调机报表二维码、手机APP二维码以及健康保障二维码，通过手机扫描实时、快捷了解机床状态。</w:t>
            </w:r>
          </w:p>
          <w:p w14:paraId="089B30F1">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(11)断点运行功能；</w:t>
            </w:r>
          </w:p>
          <w:p w14:paraId="35222B2E">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(12)刀库配置功能；</w:t>
            </w:r>
          </w:p>
          <w:p w14:paraId="45DDF99E">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(13)刀具寿命管理功能；</w:t>
            </w:r>
          </w:p>
          <w:p w14:paraId="2C1F87C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(14)断刀监测功能；具备通过实际功率和断刀空跑功率实时比较检测加工刀具是否断裂功能</w:t>
            </w:r>
          </w:p>
          <w:p w14:paraId="29669D3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(15)刀具测量功能；</w:t>
            </w:r>
          </w:p>
          <w:p w14:paraId="5ADEA3DE">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(16)自检功能：具备通过运行自检程序进行机床健康状态诊断功能并通过雷达图将机床系统当前健康状态显示出来；</w:t>
            </w:r>
          </w:p>
          <w:p w14:paraId="755DD2FA">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(17)故障录像功能：具备通过记录故障前10s的采样数据，通过对录像数据的回放和分析，诊断出故障产生的原因；</w:t>
            </w:r>
          </w:p>
          <w:p w14:paraId="21662768">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(18)伺服自整定功能：具备通过运行整定过程配置参数达到机电调试最优提升零件加工质量和加工效率；</w:t>
            </w:r>
          </w:p>
          <w:p w14:paraId="7092EA88">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(19)丝杠负荷检查功能：具备检测机床丝杠各区间点丝杠负荷值功能以便快速检测出装配质量以及丝杠当前状态；</w:t>
            </w:r>
          </w:p>
          <w:p w14:paraId="2BC2342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(20)工艺评估功能：具备对G代码进行工艺参数评估功能，并能给出评估结果、评估建议；</w:t>
            </w:r>
          </w:p>
          <w:p w14:paraId="25A35700">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(21)P参数设置功能：对用户参数进行设置、查找、更新修改以及</w:t>
            </w:r>
            <w:r>
              <w:rPr>
                <w:rFonts w:hint="eastAsia" w:ascii="宋体" w:hAnsi="宋体" w:cs="宋体"/>
                <w:color w:val="auto"/>
                <w:sz w:val="21"/>
                <w:szCs w:val="21"/>
                <w:highlight w:val="none"/>
                <w:lang w:val="en-US" w:eastAsia="zh-CN"/>
              </w:rPr>
              <w:t>放弃修改。</w:t>
            </w:r>
            <w:r>
              <w:rPr>
                <w:rFonts w:hint="eastAsia" w:ascii="宋体" w:hAnsi="宋体" w:eastAsia="宋体" w:cs="宋体"/>
                <w:color w:val="auto"/>
                <w:sz w:val="21"/>
                <w:szCs w:val="21"/>
                <w:highlight w:val="none"/>
                <w:lang w:val="en-US" w:eastAsia="zh-CN"/>
              </w:rPr>
              <w:t xml:space="preserve">                                                                   </w:t>
            </w:r>
          </w:p>
          <w:p w14:paraId="2B984B5B">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(22)M代码设置功能：对不少于999个M代码进行设置以及查找；</w:t>
            </w:r>
          </w:p>
          <w:p w14:paraId="43AA7654">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(23)PLC开关设置功能：含有设定有效开关，对PLC地址位进行ON和OFF设置；</w:t>
            </w:r>
          </w:p>
          <w:p w14:paraId="30C976E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(24)通讯设定功能：可对本地、共享盘、FTP、云盘进行网络通讯参数设置，具有网络连接、网络断开以及网络PING功能；</w:t>
            </w:r>
          </w:p>
          <w:p w14:paraId="4152F51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(25)个性化设定功能：</w:t>
            </w:r>
          </w:p>
          <w:p w14:paraId="17B1B998">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①语言设定：中文、english、russia；</w:t>
            </w:r>
          </w:p>
          <w:p w14:paraId="135CD63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②分辨率设置：800*60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1024*76</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1280*1024；</w:t>
            </w:r>
          </w:p>
          <w:p w14:paraId="0BD2CCC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③皮肤设置：蓝色皮肤、灰色皮肤、黑色皮肤、绿色皮肤；</w:t>
            </w:r>
          </w:p>
          <w:p w14:paraId="006B919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④载入LOGO设置：可载入自定义开机LOGO；</w:t>
            </w:r>
          </w:p>
          <w:p w14:paraId="7F6D3C4A">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⑤菜单排序设置：用户可根据个人操作习惯自定义菜单栏排序；</w:t>
            </w:r>
          </w:p>
          <w:p w14:paraId="0180DAEB">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(26)闭环切换功能；</w:t>
            </w:r>
          </w:p>
          <w:p w14:paraId="00D758C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(27)空间补偿功能；</w:t>
            </w:r>
          </w:p>
          <w:p w14:paraId="75FDA31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(28)工艺包功能：具有从系统盘、U盘、用户盘以及网盘对工艺包进行载入、备份以及重命名功能；</w:t>
            </w:r>
          </w:p>
          <w:p w14:paraId="101B445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(29)加工匀顺功能：快速有效地对加工轨迹中的缺陷处进行平滑光顺，提升速度及加速度平顺性，获得更优的加工表面质量；</w:t>
            </w:r>
          </w:p>
          <w:p w14:paraId="70DF90DC">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(30)示教编程功能：具有插入、快速定位、插补直线、三点圆模式、半径圆模式、进给速度、删除行以及窗口切换功能；</w:t>
            </w:r>
          </w:p>
          <w:p w14:paraId="401751C6">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(31)辅助编程功能：</w:t>
            </w:r>
          </w:p>
          <w:p w14:paraId="3A0ED2A7">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①插入循环：程序头能选择加工平面、坐标系、编程方式等参数；</w:t>
            </w:r>
          </w:p>
          <w:p w14:paraId="6519A97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②钻削具备不少于15种指令选择和参数设置；</w:t>
            </w:r>
          </w:p>
          <w:p w14:paraId="0B753C5A">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③复合钻削具备不少于12种指令选择和参数设置；</w:t>
            </w:r>
          </w:p>
          <w:p w14:paraId="04B0FC79">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④平面铣槽具备不少于8种指令选择和参数设置；</w:t>
            </w:r>
          </w:p>
          <w:p w14:paraId="557446E1">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⑤设置完成后能直接输出NC。</w:t>
            </w:r>
          </w:p>
          <w:p w14:paraId="46335F63">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四、提供数控车铣加工职业技能等级标准考核案例不少于5个。 </w:t>
            </w:r>
          </w:p>
          <w:p w14:paraId="455435D5">
            <w:pPr>
              <w:keepNext w:val="0"/>
              <w:keepLines w:val="0"/>
              <w:pageBreakBefore w:val="0"/>
              <w:widowControl/>
              <w:kinsoku/>
              <w:wordWrap/>
              <w:overflowPunct/>
              <w:topLinePunct w:val="0"/>
              <w:autoSpaceDE/>
              <w:autoSpaceDN/>
              <w:bidi w:val="0"/>
              <w:adjustRightInd/>
              <w:snapToGrid/>
              <w:spacing w:line="440" w:lineRule="exact"/>
              <w:ind w:firstLine="0"/>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五、配套多轴软件教学资源（微课视频+PPT）。</w:t>
            </w:r>
          </w:p>
          <w:p w14:paraId="5CCBC94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六、机床改造升级，某些要求以现场实际定制。</w:t>
            </w:r>
          </w:p>
        </w:tc>
        <w:tc>
          <w:tcPr>
            <w:tcW w:w="505" w:type="dxa"/>
            <w:noWrap w:val="0"/>
            <w:vAlign w:val="center"/>
          </w:tcPr>
          <w:p w14:paraId="75C7A6D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24BDFC1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7A77252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6049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7AEBF40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2.3</w:t>
            </w:r>
          </w:p>
        </w:tc>
        <w:tc>
          <w:tcPr>
            <w:tcW w:w="1239" w:type="dxa"/>
            <w:noWrap w:val="0"/>
            <w:vAlign w:val="center"/>
          </w:tcPr>
          <w:p w14:paraId="1292D16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普通车床挡板</w:t>
            </w:r>
          </w:p>
        </w:tc>
        <w:tc>
          <w:tcPr>
            <w:tcW w:w="6390" w:type="dxa"/>
            <w:gridSpan w:val="2"/>
            <w:noWrap w:val="0"/>
            <w:vAlign w:val="center"/>
          </w:tcPr>
          <w:p w14:paraId="6F0B2FD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采用不锈钢材料，厚度是</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MM</w:t>
            </w:r>
            <w:r>
              <w:rPr>
                <w:rFonts w:hint="eastAsia" w:ascii="宋体" w:hAnsi="宋体" w:cs="宋体"/>
                <w:b w:val="0"/>
                <w:bCs w:val="0"/>
                <w:color w:val="auto"/>
                <w:sz w:val="21"/>
                <w:szCs w:val="21"/>
                <w:highlight w:val="none"/>
                <w:lang w:val="en-US" w:eastAsia="zh-CN"/>
              </w:rPr>
              <w:t>以上</w:t>
            </w:r>
            <w:r>
              <w:rPr>
                <w:rFonts w:hint="eastAsia" w:ascii="宋体" w:hAnsi="宋体" w:eastAsia="宋体" w:cs="宋体"/>
                <w:b w:val="0"/>
                <w:bCs w:val="0"/>
                <w:color w:val="auto"/>
                <w:sz w:val="21"/>
                <w:szCs w:val="21"/>
                <w:highlight w:val="none"/>
                <w:lang w:val="en-US" w:eastAsia="zh-CN"/>
              </w:rPr>
              <w:t>.长1.2米*0.8米（具体尺寸以现场机床定制为准）</w:t>
            </w:r>
          </w:p>
        </w:tc>
        <w:tc>
          <w:tcPr>
            <w:tcW w:w="505" w:type="dxa"/>
            <w:noWrap w:val="0"/>
            <w:vAlign w:val="center"/>
          </w:tcPr>
          <w:p w14:paraId="512B5740">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7</w:t>
            </w:r>
          </w:p>
        </w:tc>
        <w:tc>
          <w:tcPr>
            <w:tcW w:w="478" w:type="dxa"/>
            <w:noWrap w:val="0"/>
            <w:vAlign w:val="center"/>
          </w:tcPr>
          <w:p w14:paraId="731905A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台</w:t>
            </w:r>
          </w:p>
        </w:tc>
        <w:tc>
          <w:tcPr>
            <w:tcW w:w="718" w:type="dxa"/>
            <w:noWrap w:val="0"/>
            <w:vAlign w:val="center"/>
          </w:tcPr>
          <w:p w14:paraId="402A46D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w:t>
            </w:r>
          </w:p>
        </w:tc>
      </w:tr>
      <w:tr w14:paraId="2A7E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jc w:val="center"/>
        </w:trPr>
        <w:tc>
          <w:tcPr>
            <w:tcW w:w="546" w:type="dxa"/>
            <w:noWrap w:val="0"/>
            <w:vAlign w:val="center"/>
          </w:tcPr>
          <w:p w14:paraId="04E54216">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w:t>
            </w:r>
          </w:p>
        </w:tc>
        <w:tc>
          <w:tcPr>
            <w:tcW w:w="1239" w:type="dxa"/>
            <w:noWrap w:val="0"/>
            <w:vAlign w:val="center"/>
          </w:tcPr>
          <w:p w14:paraId="6651684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i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打印机</w:t>
            </w:r>
            <w:r>
              <w:rPr>
                <w:rFonts w:hint="eastAsia" w:ascii="宋体" w:hAnsi="宋体" w:cs="宋体"/>
                <w:b w:val="0"/>
                <w:bCs w:val="0"/>
                <w:color w:val="auto"/>
                <w:sz w:val="21"/>
                <w:szCs w:val="21"/>
                <w:highlight w:val="none"/>
                <w:lang w:val="en-US" w:eastAsia="zh-CN"/>
              </w:rPr>
              <w:t>（多功能一体机）</w:t>
            </w:r>
          </w:p>
        </w:tc>
        <w:tc>
          <w:tcPr>
            <w:tcW w:w="6390" w:type="dxa"/>
            <w:gridSpan w:val="2"/>
            <w:noWrap w:val="0"/>
            <w:vAlign w:val="center"/>
          </w:tcPr>
          <w:p w14:paraId="60C49D17">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一般特性</w:t>
            </w:r>
          </w:p>
          <w:p w14:paraId="35FAD38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打印引擎:黑白激光</w:t>
            </w:r>
          </w:p>
          <w:p w14:paraId="71C0BE4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接口:高速USB2.0</w:t>
            </w:r>
          </w:p>
          <w:p w14:paraId="06B8F0D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内存:128MB</w:t>
            </w:r>
          </w:p>
          <w:p w14:paraId="4C7DCE8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标准纸盒输入量:最多250页</w:t>
            </w:r>
          </w:p>
          <w:p w14:paraId="116521A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自动进稿器ADP:50页</w:t>
            </w:r>
          </w:p>
          <w:p w14:paraId="3DC9189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纸张输出:最多120页</w:t>
            </w:r>
          </w:p>
          <w:p w14:paraId="7D97D2F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介质类型:标准纸盒:普通纸、薄纸、再生纸;进纸托板:普通纸、薄纸、厚纸、再生纸、标签纸、信封</w:t>
            </w:r>
          </w:p>
          <w:p w14:paraId="69AC944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介质尺寸:A4。 Letter,B5(JIS)，A5, A5 (长边)， A6，utive, 16K(195x270mm/</w:t>
            </w:r>
          </w:p>
          <w:p w14:paraId="3CF0ACE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液晶显示:标配2行中/英文液晶显示</w:t>
            </w:r>
          </w:p>
          <w:p w14:paraId="003B077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操作系统:Windows:Windows 7 SP1,8. 8.1,10:</w:t>
            </w:r>
          </w:p>
          <w:p w14:paraId="367AEEA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Macintosh:mac0S v10.10.5, 10.11.x。 10.12.x(仅下载):</w:t>
            </w:r>
          </w:p>
          <w:p w14:paraId="4B2C591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Linux:CUPS.LPD/LPRng(x86/x64环境</w:t>
            </w:r>
          </w:p>
          <w:p w14:paraId="7409BB1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eastAsia="zh-CN"/>
              </w:rPr>
              <w:t>安全锁功能:支持</w:t>
            </w:r>
          </w:p>
          <w:p w14:paraId="5A4F70F8">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复印参数</w:t>
            </w:r>
          </w:p>
          <w:p w14:paraId="6FDDB4D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复印幅面:A4</w:t>
            </w:r>
          </w:p>
          <w:p w14:paraId="283C32F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复印速度:34ppm</w:t>
            </w:r>
          </w:p>
          <w:p w14:paraId="53D1C1B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分辨率:600x600dpi</w:t>
            </w:r>
          </w:p>
          <w:p w14:paraId="57A0B77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放大缩小复印:25%-400%(最小调整为1%)</w:t>
            </w:r>
          </w:p>
          <w:p w14:paraId="2D158A6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N合1复印:支持</w:t>
            </w:r>
          </w:p>
          <w:p w14:paraId="43A52C12">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扫描参数</w:t>
            </w:r>
          </w:p>
          <w:p w14:paraId="38FFB39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扫描分辨率(光学):高达1200x 1200 dpi</w:t>
            </w:r>
          </w:p>
          <w:p w14:paraId="18D1408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扫描分辨率(插值):高达19200x19200 dpi</w:t>
            </w:r>
          </w:p>
          <w:p w14:paraId="6727951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灰度等级:10位输入/8位输出</w:t>
            </w:r>
          </w:p>
          <w:p w14:paraId="257F107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色深:30位输入/24位输出</w:t>
            </w:r>
          </w:p>
          <w:p w14:paraId="5A38489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打印参数</w:t>
            </w:r>
          </w:p>
          <w:p w14:paraId="71E8257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打印速度:34ppm</w:t>
            </w:r>
          </w:p>
          <w:p w14:paraId="5D03D9A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自动双面打印速度:16面/分钟</w:t>
            </w:r>
          </w:p>
          <w:p w14:paraId="2098622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首页打印输出时间:少于8.5秒</w:t>
            </w:r>
          </w:p>
          <w:p w14:paraId="0D45282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分辨率:高达1200 x1200dpi，HQ1200(2400x 600dpi)</w:t>
            </w:r>
          </w:p>
          <w:p w14:paraId="222E50C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打印仿真语言:PCL6, BR-Script3, PDF Version 1.7</w:t>
            </w:r>
          </w:p>
          <w:p w14:paraId="108E1986">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其他参数</w:t>
            </w:r>
          </w:p>
          <w:p w14:paraId="44D847B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尺寸和重量:410x398.5x 318.5 mm/10.9 kg</w:t>
            </w:r>
          </w:p>
          <w:p w14:paraId="18F6314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耗电量:打印/待机/深度待机:475瓦/42瓦/0.9瓦</w:t>
            </w:r>
          </w:p>
          <w:p w14:paraId="3C7151F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噪音等级:打印模式:LpAm=49 dB(A):待机模式:LpAm =30 dB(A)</w:t>
            </w:r>
          </w:p>
          <w:p w14:paraId="6834CA3C">
            <w:pPr>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无需更换芯片调整打印次数</w:t>
            </w:r>
          </w:p>
        </w:tc>
        <w:tc>
          <w:tcPr>
            <w:tcW w:w="505" w:type="dxa"/>
            <w:noWrap w:val="0"/>
            <w:vAlign w:val="center"/>
          </w:tcPr>
          <w:p w14:paraId="626F2CBF">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2301888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588DBB3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3EAD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DBD74F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w:t>
            </w:r>
          </w:p>
        </w:tc>
        <w:tc>
          <w:tcPr>
            <w:tcW w:w="1239" w:type="dxa"/>
            <w:noWrap w:val="0"/>
            <w:vAlign w:val="center"/>
          </w:tcPr>
          <w:p w14:paraId="4DC2979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iCs/>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空调</w:t>
            </w:r>
          </w:p>
        </w:tc>
        <w:tc>
          <w:tcPr>
            <w:tcW w:w="6390" w:type="dxa"/>
            <w:gridSpan w:val="2"/>
            <w:noWrap w:val="0"/>
            <w:vAlign w:val="top"/>
          </w:tcPr>
          <w:p w14:paraId="3DB9A6D5">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为保证产品质量服务与稳定性，要求必须品牌整机：</w:t>
            </w:r>
          </w:p>
          <w:p w14:paraId="5E70035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rPr>
              <w:t>规格：3匹冷暖变频柜式空调</w:t>
            </w:r>
          </w:p>
          <w:p w14:paraId="3FBBE09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eastAsia="宋体" w:cs="宋体"/>
                <w:color w:val="auto"/>
                <w:sz w:val="21"/>
                <w:szCs w:val="21"/>
                <w:highlight w:val="none"/>
              </w:rPr>
              <w:t>能效等级：2级</w:t>
            </w:r>
          </w:p>
          <w:p w14:paraId="53B2F80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eastAsia="宋体" w:cs="宋体"/>
                <w:color w:val="auto"/>
                <w:sz w:val="21"/>
                <w:szCs w:val="21"/>
                <w:highlight w:val="none"/>
              </w:rPr>
              <w:t>能效比：3.39</w:t>
            </w:r>
          </w:p>
          <w:p w14:paraId="7FE0341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eastAsia="宋体" w:cs="宋体"/>
                <w:color w:val="auto"/>
                <w:sz w:val="21"/>
                <w:szCs w:val="21"/>
                <w:highlight w:val="none"/>
              </w:rPr>
              <w:t>额定制冷量：7350W</w:t>
            </w:r>
          </w:p>
          <w:p w14:paraId="6C4D40E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5.</w:t>
            </w:r>
            <w:r>
              <w:rPr>
                <w:rFonts w:hint="eastAsia" w:ascii="宋体" w:hAnsi="宋体" w:eastAsia="宋体" w:cs="宋体"/>
                <w:color w:val="auto"/>
                <w:sz w:val="21"/>
                <w:szCs w:val="21"/>
                <w:highlight w:val="none"/>
              </w:rPr>
              <w:t>额定制热量：8200W</w:t>
            </w:r>
          </w:p>
          <w:p w14:paraId="349DDF9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6.</w:t>
            </w:r>
            <w:r>
              <w:rPr>
                <w:rFonts w:hint="eastAsia" w:ascii="宋体" w:hAnsi="宋体" w:eastAsia="宋体" w:cs="宋体"/>
                <w:color w:val="auto"/>
                <w:sz w:val="21"/>
                <w:szCs w:val="21"/>
                <w:highlight w:val="none"/>
              </w:rPr>
              <w:t>额定制冷功率：2170W</w:t>
            </w:r>
          </w:p>
          <w:p w14:paraId="0AE37CF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7.</w:t>
            </w:r>
            <w:r>
              <w:rPr>
                <w:rFonts w:hint="eastAsia" w:ascii="宋体" w:hAnsi="宋体" w:eastAsia="宋体" w:cs="宋体"/>
                <w:color w:val="auto"/>
                <w:sz w:val="21"/>
                <w:szCs w:val="21"/>
                <w:highlight w:val="none"/>
              </w:rPr>
              <w:t>额定制热功率：2240W</w:t>
            </w:r>
          </w:p>
          <w:p w14:paraId="3AB4CCA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8.</w:t>
            </w:r>
            <w:r>
              <w:rPr>
                <w:rFonts w:hint="eastAsia" w:ascii="宋体" w:hAnsi="宋体" w:eastAsia="宋体" w:cs="宋体"/>
                <w:color w:val="auto"/>
                <w:sz w:val="21"/>
                <w:szCs w:val="21"/>
                <w:highlight w:val="none"/>
              </w:rPr>
              <w:t>外机噪音：dB(A)56</w:t>
            </w:r>
          </w:p>
          <w:p w14:paraId="442AF10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9.</w:t>
            </w:r>
            <w:r>
              <w:rPr>
                <w:rFonts w:hint="eastAsia" w:ascii="宋体" w:hAnsi="宋体" w:eastAsia="宋体" w:cs="宋体"/>
                <w:color w:val="auto"/>
                <w:sz w:val="21"/>
                <w:szCs w:val="21"/>
                <w:highlight w:val="none"/>
              </w:rPr>
              <w:t>内机噪音dB(A)：41.5-45.5</w:t>
            </w:r>
          </w:p>
          <w:p w14:paraId="129F8C5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0.</w:t>
            </w:r>
            <w:r>
              <w:rPr>
                <w:rFonts w:hint="eastAsia" w:ascii="宋体" w:hAnsi="宋体" w:eastAsia="宋体" w:cs="宋体"/>
                <w:color w:val="auto"/>
                <w:sz w:val="21"/>
                <w:szCs w:val="21"/>
                <w:highlight w:val="none"/>
              </w:rPr>
              <w:t>电源（V/Hz）：220/50</w:t>
            </w:r>
          </w:p>
          <w:p w14:paraId="351E653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1.</w:t>
            </w:r>
            <w:r>
              <w:rPr>
                <w:rFonts w:hint="eastAsia" w:ascii="宋体" w:hAnsi="宋体" w:eastAsia="宋体" w:cs="宋体"/>
                <w:color w:val="auto"/>
                <w:sz w:val="21"/>
                <w:szCs w:val="21"/>
                <w:highlight w:val="none"/>
              </w:rPr>
              <w:t>标配4米铜管</w:t>
            </w:r>
          </w:p>
          <w:p w14:paraId="393932A8">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olor w:val="auto"/>
                <w:lang w:val="en-US" w:eastAsia="zh-CN"/>
              </w:rPr>
              <w:t>12.提供产品节能认证证书，加盖供应商公章。</w:t>
            </w:r>
          </w:p>
        </w:tc>
        <w:tc>
          <w:tcPr>
            <w:tcW w:w="505" w:type="dxa"/>
            <w:noWrap w:val="0"/>
            <w:vAlign w:val="center"/>
          </w:tcPr>
          <w:p w14:paraId="571D8DC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26A9A5A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3773473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2F3D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3B87F75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焊接实训室</w:t>
            </w:r>
          </w:p>
        </w:tc>
      </w:tr>
      <w:tr w14:paraId="2378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B19655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highlight w:val="none"/>
                <w:lang w:val="en-US" w:eastAsia="zh-CN"/>
              </w:rPr>
              <w:t>3.1</w:t>
            </w:r>
          </w:p>
        </w:tc>
        <w:tc>
          <w:tcPr>
            <w:tcW w:w="1239" w:type="dxa"/>
            <w:noWrap w:val="0"/>
            <w:vAlign w:val="center"/>
          </w:tcPr>
          <w:p w14:paraId="4DFC692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bidi="ar"/>
              </w:rPr>
              <w:t>基建</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文化建设</w:t>
            </w:r>
          </w:p>
        </w:tc>
        <w:tc>
          <w:tcPr>
            <w:tcW w:w="6390" w:type="dxa"/>
            <w:gridSpan w:val="2"/>
            <w:noWrap w:val="0"/>
            <w:vAlign w:val="center"/>
          </w:tcPr>
          <w:p w14:paraId="053AB99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1.基建：建造砖混结构电焊实训室一间，面积约117平方米，根据业主设计施工图建设，工程造价最终以有资质的审计机构审计为准。</w:t>
            </w:r>
          </w:p>
          <w:p w14:paraId="70C007A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2.地板采用混泥土打平，过沙浆水泥油。</w:t>
            </w:r>
          </w:p>
          <w:p w14:paraId="5EE09D3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3.室内通道采用绿色环氧地坪漆，并区分工作区区域线。</w:t>
            </w:r>
          </w:p>
          <w:p w14:paraId="2EA2EF2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4.水电：水、电铺设路线根据业主设计安装（包含从水、电源接通）。</w:t>
            </w:r>
          </w:p>
          <w:p w14:paraId="5C5BCF7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5.墙壁刷1.2米高的灰色环氧漆或墙砖。</w:t>
            </w:r>
          </w:p>
          <w:p w14:paraId="326275B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6.需完成室内照明、风扇、插座等布线。</w:t>
            </w:r>
          </w:p>
          <w:p w14:paraId="0DCC84D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①照明灯：数量4盏投光灯，功率100w。</w:t>
            </w:r>
          </w:p>
          <w:p w14:paraId="3F519D8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②风扇：数量6台牛角扇，功率250W。</w:t>
            </w:r>
          </w:p>
          <w:p w14:paraId="7A487D1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7.采用隔板隔开4个普通电焊工位，尺寸：2.5米*2.5米*2米（具体要求和业主方商定）。</w:t>
            </w:r>
          </w:p>
          <w:p w14:paraId="0771E69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8.文化建设，根据业主要求做。</w:t>
            </w:r>
          </w:p>
          <w:p w14:paraId="3144679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SA"/>
              </w:rPr>
              <w:t xml:space="preserve"> 以上由供货商负责并安装。</w:t>
            </w:r>
          </w:p>
        </w:tc>
        <w:tc>
          <w:tcPr>
            <w:tcW w:w="505" w:type="dxa"/>
            <w:noWrap w:val="0"/>
            <w:vAlign w:val="center"/>
          </w:tcPr>
          <w:p w14:paraId="66FCC92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387AA0D6">
            <w:pPr>
              <w:keepNext w:val="0"/>
              <w:keepLines w:val="0"/>
              <w:pageBreakBefore w:val="0"/>
              <w:kinsoku/>
              <w:wordWrap/>
              <w:overflowPunct/>
              <w:topLinePunct w:val="0"/>
              <w:autoSpaceDE/>
              <w:autoSpaceDN/>
              <w:bidi w:val="0"/>
              <w:adjustRightInd/>
              <w:snapToGrid/>
              <w:spacing w:line="440" w:lineRule="exact"/>
              <w:jc w:val="both"/>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间</w:t>
            </w:r>
          </w:p>
        </w:tc>
        <w:tc>
          <w:tcPr>
            <w:tcW w:w="718" w:type="dxa"/>
            <w:noWrap w:val="0"/>
            <w:vAlign w:val="center"/>
          </w:tcPr>
          <w:p w14:paraId="373AAD14">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14:paraId="754B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00630CE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rPr>
              <w:t>3.2</w:t>
            </w:r>
          </w:p>
        </w:tc>
        <w:tc>
          <w:tcPr>
            <w:tcW w:w="1239" w:type="dxa"/>
            <w:noWrap w:val="0"/>
            <w:vAlign w:val="center"/>
          </w:tcPr>
          <w:p w14:paraId="1549AFFB">
            <w:pPr>
              <w:keepNext w:val="0"/>
              <w:keepLines w:val="0"/>
              <w:pageBreakBefore w:val="0"/>
              <w:widowControl/>
              <w:tabs>
                <w:tab w:val="left" w:pos="371"/>
              </w:tabs>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bidi="ar"/>
              </w:rPr>
              <w:t>教学任务开展</w:t>
            </w:r>
            <w:r>
              <w:rPr>
                <w:rFonts w:hint="eastAsia" w:ascii="宋体" w:hAnsi="宋体" w:eastAsia="宋体" w:cs="宋体"/>
                <w:b w:val="0"/>
                <w:bCs w:val="0"/>
                <w:color w:val="auto"/>
                <w:kern w:val="0"/>
                <w:sz w:val="21"/>
                <w:szCs w:val="21"/>
                <w:highlight w:val="none"/>
                <w:lang w:val="en-US" w:eastAsia="zh-CN" w:bidi="ar"/>
              </w:rPr>
              <w:t>耗材</w:t>
            </w:r>
          </w:p>
        </w:tc>
        <w:tc>
          <w:tcPr>
            <w:tcW w:w="6390" w:type="dxa"/>
            <w:gridSpan w:val="2"/>
            <w:noWrap w:val="0"/>
            <w:vAlign w:val="center"/>
          </w:tcPr>
          <w:p w14:paraId="4A15E8B0">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1.氩气瓶：数量3个，容量40L。</w:t>
            </w:r>
          </w:p>
          <w:p w14:paraId="42101E95">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rPr>
                <w:rFonts w:hint="default" w:ascii="宋体" w:hAnsi="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2.气瓶活动架：根据气瓶尺寸现场定制，数量8个。</w:t>
            </w:r>
          </w:p>
          <w:p w14:paraId="6793E725">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rPr>
            </w:pPr>
            <w:r>
              <w:rPr>
                <w:rFonts w:hint="eastAsia" w:ascii="宋体" w:hAnsi="宋体" w:cs="宋体"/>
                <w:b w:val="0"/>
                <w:bCs w:val="0"/>
                <w:color w:val="auto"/>
                <w:kern w:val="0"/>
                <w:sz w:val="21"/>
                <w:szCs w:val="21"/>
                <w:highlight w:val="none"/>
                <w:lang w:val="en-US" w:eastAsia="zh-CN"/>
              </w:rPr>
              <w:t>3.货架:用角铁焊做的货架并油漆，数量2个。尺寸、层数（根据现场要求定制）。</w:t>
            </w:r>
          </w:p>
        </w:tc>
        <w:tc>
          <w:tcPr>
            <w:tcW w:w="505" w:type="dxa"/>
            <w:noWrap w:val="0"/>
            <w:vAlign w:val="center"/>
          </w:tcPr>
          <w:p w14:paraId="21444A1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478" w:type="dxa"/>
            <w:noWrap w:val="0"/>
            <w:vAlign w:val="center"/>
          </w:tcPr>
          <w:p w14:paraId="4BB92F8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highlight w:val="none"/>
                <w:vertAlign w:val="baseline"/>
                <w:lang w:val="en-US" w:eastAsia="zh-CN"/>
              </w:rPr>
            </w:pPr>
          </w:p>
        </w:tc>
        <w:tc>
          <w:tcPr>
            <w:tcW w:w="718" w:type="dxa"/>
            <w:noWrap w:val="0"/>
            <w:vAlign w:val="center"/>
          </w:tcPr>
          <w:p w14:paraId="1DBFA4D6">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768C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BF42D6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3.3</w:t>
            </w:r>
          </w:p>
        </w:tc>
        <w:tc>
          <w:tcPr>
            <w:tcW w:w="1239" w:type="dxa"/>
            <w:noWrap w:val="0"/>
            <w:vAlign w:val="center"/>
          </w:tcPr>
          <w:p w14:paraId="0C0323C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烟尘净化系统</w:t>
            </w:r>
          </w:p>
        </w:tc>
        <w:tc>
          <w:tcPr>
            <w:tcW w:w="6390" w:type="dxa"/>
            <w:gridSpan w:val="2"/>
            <w:noWrap w:val="0"/>
            <w:vAlign w:val="center"/>
          </w:tcPr>
          <w:p w14:paraId="03410FB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1.烟尘净化器</w:t>
            </w:r>
            <w:r>
              <w:rPr>
                <w:rFonts w:hint="eastAsia" w:ascii="宋体" w:hAnsi="宋体" w:cs="宋体"/>
                <w:color w:val="auto"/>
                <w:sz w:val="21"/>
                <w:szCs w:val="21"/>
                <w:highlight w:val="none"/>
                <w:lang w:val="en-US" w:eastAsia="zh-CN"/>
              </w:rPr>
              <w:t>，数量1台</w:t>
            </w:r>
          </w:p>
          <w:p w14:paraId="21FE1E6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①</w:t>
            </w:r>
            <w:r>
              <w:rPr>
                <w:rFonts w:hint="eastAsia" w:ascii="宋体" w:hAnsi="宋体" w:eastAsia="宋体" w:cs="宋体"/>
                <w:b w:val="0"/>
                <w:bCs w:val="0"/>
                <w:color w:val="auto"/>
                <w:kern w:val="0"/>
                <w:sz w:val="21"/>
                <w:szCs w:val="21"/>
                <w:highlight w:val="none"/>
                <w:lang w:val="en-US" w:eastAsia="zh-CN" w:bidi="ar-SA"/>
              </w:rPr>
              <w:t>电机功率：22KW</w:t>
            </w:r>
          </w:p>
          <w:p w14:paraId="6084C67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②</w:t>
            </w:r>
            <w:r>
              <w:rPr>
                <w:rFonts w:hint="eastAsia" w:ascii="宋体" w:hAnsi="宋体" w:eastAsia="宋体" w:cs="宋体"/>
                <w:b w:val="0"/>
                <w:bCs w:val="0"/>
                <w:color w:val="auto"/>
                <w:kern w:val="0"/>
                <w:sz w:val="21"/>
                <w:szCs w:val="21"/>
                <w:highlight w:val="none"/>
                <w:lang w:val="en-US" w:eastAsia="zh-CN" w:bidi="ar-SA"/>
              </w:rPr>
              <w:t>滤芯尺寸：200MM*850mm</w:t>
            </w:r>
          </w:p>
          <w:p w14:paraId="2ACB4BD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③机器尺寸：1.5M*1.5M*2.6M</w:t>
            </w:r>
          </w:p>
          <w:p w14:paraId="77FDFBE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④</w:t>
            </w:r>
            <w:r>
              <w:rPr>
                <w:rFonts w:hint="eastAsia" w:ascii="宋体" w:hAnsi="宋体" w:eastAsia="宋体" w:cs="宋体"/>
                <w:b w:val="0"/>
                <w:bCs w:val="0"/>
                <w:color w:val="auto"/>
                <w:kern w:val="0"/>
                <w:sz w:val="21"/>
                <w:szCs w:val="21"/>
                <w:highlight w:val="none"/>
                <w:lang w:val="en-US" w:eastAsia="zh-CN" w:bidi="ar-SA"/>
              </w:rPr>
              <w:t>风量：30000m³/h</w:t>
            </w:r>
          </w:p>
          <w:p w14:paraId="437684D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⑤</w:t>
            </w:r>
            <w:r>
              <w:rPr>
                <w:rFonts w:hint="eastAsia" w:ascii="宋体" w:hAnsi="宋体" w:eastAsia="宋体" w:cs="宋体"/>
                <w:b w:val="0"/>
                <w:bCs w:val="0"/>
                <w:color w:val="auto"/>
                <w:kern w:val="0"/>
                <w:sz w:val="21"/>
                <w:szCs w:val="21"/>
                <w:highlight w:val="none"/>
                <w:lang w:val="en-US" w:eastAsia="zh-CN" w:bidi="ar-SA"/>
              </w:rPr>
              <w:t>吸口：300/400/500</w:t>
            </w:r>
          </w:p>
          <w:p w14:paraId="33FDBFC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⑥</w:t>
            </w:r>
            <w:r>
              <w:rPr>
                <w:rFonts w:hint="eastAsia" w:ascii="宋体" w:hAnsi="宋体" w:eastAsia="宋体" w:cs="宋体"/>
                <w:b w:val="0"/>
                <w:bCs w:val="0"/>
                <w:color w:val="auto"/>
                <w:kern w:val="0"/>
                <w:sz w:val="21"/>
                <w:szCs w:val="21"/>
                <w:highlight w:val="none"/>
                <w:lang w:val="en-US" w:eastAsia="zh-CN" w:bidi="ar-SA"/>
              </w:rPr>
              <w:t>过滤面积：240平方</w:t>
            </w:r>
          </w:p>
          <w:p w14:paraId="7482B4F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⑦</w:t>
            </w:r>
            <w:r>
              <w:rPr>
                <w:rFonts w:hint="eastAsia" w:ascii="宋体" w:hAnsi="宋体" w:eastAsia="宋体" w:cs="宋体"/>
                <w:b w:val="0"/>
                <w:bCs w:val="0"/>
                <w:color w:val="auto"/>
                <w:kern w:val="0"/>
                <w:sz w:val="21"/>
                <w:szCs w:val="21"/>
                <w:highlight w:val="none"/>
                <w:lang w:val="en-US" w:eastAsia="zh-CN" w:bidi="ar-SA"/>
              </w:rPr>
              <w:t>清尘方式：脉冲</w:t>
            </w:r>
          </w:p>
          <w:p w14:paraId="5C525D7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⑧</w:t>
            </w:r>
            <w:r>
              <w:rPr>
                <w:rFonts w:hint="eastAsia" w:ascii="宋体" w:hAnsi="宋体" w:eastAsia="宋体" w:cs="宋体"/>
                <w:b w:val="0"/>
                <w:bCs w:val="0"/>
                <w:color w:val="auto"/>
                <w:kern w:val="0"/>
                <w:sz w:val="21"/>
                <w:szCs w:val="21"/>
                <w:highlight w:val="none"/>
                <w:lang w:val="en-US" w:eastAsia="zh-CN" w:bidi="ar-SA"/>
              </w:rPr>
              <w:t>电压：380V</w:t>
            </w:r>
          </w:p>
          <w:p w14:paraId="1863320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⑨</w:t>
            </w:r>
            <w:r>
              <w:rPr>
                <w:rFonts w:hint="eastAsia" w:ascii="宋体" w:hAnsi="宋体" w:eastAsia="宋体" w:cs="宋体"/>
                <w:b w:val="0"/>
                <w:bCs w:val="0"/>
                <w:color w:val="auto"/>
                <w:kern w:val="0"/>
                <w:sz w:val="21"/>
                <w:szCs w:val="21"/>
                <w:highlight w:val="none"/>
                <w:lang w:val="en-US" w:eastAsia="zh-CN" w:bidi="ar-SA"/>
              </w:rPr>
              <w:t>活性炭箱：1个</w:t>
            </w:r>
          </w:p>
          <w:p w14:paraId="52849D9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微软雅黑" w:hAnsi="微软雅黑" w:eastAsia="微软雅黑" w:cs="微软雅黑"/>
                <w:b w:val="0"/>
                <w:bCs w:val="0"/>
                <w:color w:val="auto"/>
                <w:kern w:val="0"/>
                <w:sz w:val="21"/>
                <w:szCs w:val="21"/>
                <w:highlight w:val="none"/>
                <w:lang w:val="en-US" w:eastAsia="zh-CN" w:bidi="ar-SA"/>
              </w:rPr>
              <w:t>⑩</w:t>
            </w:r>
            <w:r>
              <w:rPr>
                <w:rFonts w:hint="eastAsia" w:ascii="宋体" w:hAnsi="宋体" w:eastAsia="宋体" w:cs="宋体"/>
                <w:b w:val="0"/>
                <w:bCs w:val="0"/>
                <w:color w:val="auto"/>
                <w:kern w:val="0"/>
                <w:sz w:val="21"/>
                <w:szCs w:val="21"/>
                <w:highlight w:val="none"/>
                <w:lang w:val="en-US" w:eastAsia="zh-CN" w:bidi="ar-SA"/>
              </w:rPr>
              <w:t>消音器：1个</w:t>
            </w:r>
          </w:p>
          <w:p w14:paraId="06B665F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微软雅黑" w:hAnsi="微软雅黑" w:eastAsia="微软雅黑" w:cs="微软雅黑"/>
                <w:b w:val="0"/>
                <w:bCs w:val="0"/>
                <w:color w:val="auto"/>
                <w:kern w:val="0"/>
                <w:sz w:val="21"/>
                <w:szCs w:val="21"/>
                <w:highlight w:val="none"/>
                <w:lang w:val="en-US" w:eastAsia="zh-CN" w:bidi="ar-SA"/>
              </w:rPr>
              <w:t>⑪</w:t>
            </w:r>
            <w:r>
              <w:rPr>
                <w:rFonts w:hint="eastAsia" w:ascii="宋体" w:hAnsi="宋体" w:eastAsia="宋体" w:cs="宋体"/>
                <w:b w:val="0"/>
                <w:bCs w:val="0"/>
                <w:color w:val="auto"/>
                <w:kern w:val="0"/>
                <w:sz w:val="21"/>
                <w:szCs w:val="21"/>
                <w:highlight w:val="none"/>
                <w:lang w:val="en-US" w:eastAsia="zh-CN" w:bidi="ar-SA"/>
              </w:rPr>
              <w:t>滤芯数量25支</w:t>
            </w:r>
          </w:p>
          <w:p w14:paraId="324F66C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微软雅黑" w:hAnsi="微软雅黑" w:eastAsia="微软雅黑" w:cs="微软雅黑"/>
                <w:b w:val="0"/>
                <w:bCs w:val="0"/>
                <w:color w:val="auto"/>
                <w:kern w:val="0"/>
                <w:sz w:val="21"/>
                <w:szCs w:val="21"/>
                <w:highlight w:val="none"/>
                <w:lang w:val="en-US" w:eastAsia="zh-CN" w:bidi="ar-SA"/>
              </w:rPr>
            </w:pPr>
            <w:r>
              <w:rPr>
                <w:rFonts w:hint="eastAsia" w:ascii="微软雅黑" w:hAnsi="微软雅黑" w:eastAsia="微软雅黑" w:cs="微软雅黑"/>
                <w:b w:val="0"/>
                <w:bCs w:val="0"/>
                <w:color w:val="auto"/>
                <w:kern w:val="0"/>
                <w:sz w:val="21"/>
                <w:szCs w:val="21"/>
                <w:highlight w:val="none"/>
                <w:lang w:val="en-US" w:eastAsia="zh-CN" w:bidi="ar-SA"/>
              </w:rPr>
              <w:t>⑫</w:t>
            </w:r>
            <w:r>
              <w:rPr>
                <w:rFonts w:hint="eastAsia" w:ascii="宋体" w:hAnsi="宋体" w:cs="宋体"/>
                <w:b w:val="0"/>
                <w:bCs w:val="0"/>
                <w:color w:val="auto"/>
                <w:kern w:val="0"/>
                <w:sz w:val="21"/>
                <w:szCs w:val="21"/>
                <w:highlight w:val="none"/>
                <w:lang w:val="en-US" w:eastAsia="zh-CN" w:bidi="ar-SA"/>
              </w:rPr>
              <w:t>需完成30平方排气管道布设，达到除尘净化效果，布局美观合理。</w:t>
            </w:r>
          </w:p>
          <w:p w14:paraId="08686CB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2.轴流风机：</w:t>
            </w:r>
          </w:p>
          <w:p w14:paraId="78E71A2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①数量5台。</w:t>
            </w:r>
          </w:p>
          <w:p w14:paraId="71E1880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②功率1500W。</w:t>
            </w:r>
          </w:p>
          <w:p w14:paraId="65E9246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③尺寸:外径410MM*内径360*桶高330MM。</w:t>
            </w:r>
          </w:p>
          <w:p w14:paraId="111D507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z w:val="21"/>
                <w:szCs w:val="21"/>
                <w:highlight w:val="none"/>
              </w:rPr>
            </w:pPr>
            <w:r>
              <w:rPr>
                <w:rFonts w:hint="eastAsia" w:ascii="宋体" w:hAnsi="宋体" w:cs="宋体"/>
                <w:b w:val="0"/>
                <w:bCs w:val="0"/>
                <w:color w:val="auto"/>
                <w:kern w:val="0"/>
                <w:sz w:val="21"/>
                <w:szCs w:val="21"/>
                <w:highlight w:val="none"/>
                <w:lang w:val="en-US" w:eastAsia="zh-CN" w:bidi="ar-SA"/>
              </w:rPr>
              <w:t>以上供应商负责安装并调试正常使用</w:t>
            </w:r>
          </w:p>
        </w:tc>
        <w:tc>
          <w:tcPr>
            <w:tcW w:w="505" w:type="dxa"/>
            <w:noWrap w:val="0"/>
            <w:vAlign w:val="center"/>
          </w:tcPr>
          <w:p w14:paraId="7675EC07">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39EDA36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套</w:t>
            </w:r>
          </w:p>
        </w:tc>
        <w:tc>
          <w:tcPr>
            <w:tcW w:w="718" w:type="dxa"/>
            <w:noWrap w:val="0"/>
            <w:vAlign w:val="center"/>
          </w:tcPr>
          <w:p w14:paraId="1EDB114C">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w:t>
            </w:r>
          </w:p>
        </w:tc>
      </w:tr>
      <w:tr w14:paraId="68F0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2EE5AB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3.4 </w:t>
            </w:r>
          </w:p>
        </w:tc>
        <w:tc>
          <w:tcPr>
            <w:tcW w:w="1239" w:type="dxa"/>
            <w:noWrap w:val="0"/>
            <w:vAlign w:val="center"/>
          </w:tcPr>
          <w:p w14:paraId="7FCDFD94">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ZX7-400逆变焊机(焊钳焊夹配套)</w:t>
            </w:r>
          </w:p>
        </w:tc>
        <w:tc>
          <w:tcPr>
            <w:tcW w:w="6390" w:type="dxa"/>
            <w:gridSpan w:val="2"/>
            <w:noWrap w:val="0"/>
            <w:vAlign w:val="center"/>
          </w:tcPr>
          <w:p w14:paraId="657C9AE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规格：ZX7-400</w:t>
            </w:r>
          </w:p>
          <w:p w14:paraId="003E293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输入电压：3相380V±15%50~60Hz</w:t>
            </w:r>
          </w:p>
          <w:p w14:paraId="77F71BF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额定输入电流(A)：26</w:t>
            </w:r>
          </w:p>
          <w:p w14:paraId="23196C9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en-US" w:eastAsia="zh-CN" w:bidi="ar-SA"/>
              </w:rPr>
              <w:t>额定输入功率(kw)：14.4</w:t>
            </w:r>
          </w:p>
          <w:p w14:paraId="5AE431A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en-US" w:eastAsia="zh-CN" w:bidi="ar-SA"/>
              </w:rPr>
              <w:t>额定空载电压(V)：76±5%</w:t>
            </w:r>
          </w:p>
          <w:p w14:paraId="301318D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lang w:val="en-US" w:eastAsia="zh-CN" w:bidi="ar-SA"/>
              </w:rPr>
              <w:t>输出电流调节范围(A)：20~400</w:t>
            </w:r>
          </w:p>
          <w:p w14:paraId="18F4A88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7.</w:t>
            </w:r>
            <w:r>
              <w:rPr>
                <w:rFonts w:hint="eastAsia" w:ascii="宋体" w:hAnsi="宋体" w:eastAsia="宋体" w:cs="宋体"/>
                <w:b w:val="0"/>
                <w:bCs w:val="0"/>
                <w:color w:val="auto"/>
                <w:kern w:val="0"/>
                <w:sz w:val="21"/>
                <w:szCs w:val="21"/>
                <w:highlight w:val="none"/>
                <w:lang w:val="en-US" w:eastAsia="zh-CN" w:bidi="ar-SA"/>
              </w:rPr>
              <w:t>推力电流调节范围(A)：0~200</w:t>
            </w:r>
          </w:p>
          <w:p w14:paraId="63479C9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8.</w:t>
            </w:r>
            <w:r>
              <w:rPr>
                <w:rFonts w:hint="eastAsia" w:ascii="宋体" w:hAnsi="宋体" w:eastAsia="宋体" w:cs="宋体"/>
                <w:b w:val="0"/>
                <w:bCs w:val="0"/>
                <w:color w:val="auto"/>
                <w:kern w:val="0"/>
                <w:sz w:val="21"/>
                <w:szCs w:val="21"/>
                <w:highlight w:val="none"/>
                <w:lang w:val="en-US" w:eastAsia="zh-CN" w:bidi="ar-SA"/>
              </w:rPr>
              <w:t>引弧电流调节范围：0~200</w:t>
            </w:r>
          </w:p>
          <w:p w14:paraId="14A2FC8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9.</w:t>
            </w:r>
            <w:r>
              <w:rPr>
                <w:rFonts w:hint="eastAsia" w:ascii="宋体" w:hAnsi="宋体" w:eastAsia="宋体" w:cs="宋体"/>
                <w:b w:val="0"/>
                <w:bCs w:val="0"/>
                <w:color w:val="auto"/>
                <w:kern w:val="0"/>
                <w:sz w:val="21"/>
                <w:szCs w:val="21"/>
                <w:highlight w:val="none"/>
                <w:lang w:val="en-US" w:eastAsia="zh-CN" w:bidi="ar-SA"/>
              </w:rPr>
              <w:t>适用碳棒规格：φ4.0-φ6.0</w:t>
            </w:r>
          </w:p>
          <w:p w14:paraId="1894F0A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en-US" w:eastAsia="zh-CN" w:bidi="ar-SA"/>
              </w:rPr>
              <w:t>额定负载持续率(40℃)：60%</w:t>
            </w:r>
          </w:p>
          <w:p w14:paraId="243CD0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11.</w:t>
            </w:r>
            <w:r>
              <w:rPr>
                <w:rFonts w:hint="eastAsia" w:ascii="宋体" w:hAnsi="宋体" w:eastAsia="宋体" w:cs="宋体"/>
                <w:b w:val="0"/>
                <w:bCs w:val="0"/>
                <w:color w:val="auto"/>
                <w:kern w:val="0"/>
                <w:sz w:val="21"/>
                <w:szCs w:val="21"/>
                <w:highlight w:val="none"/>
                <w:lang w:val="en-US" w:eastAsia="zh-CN" w:bidi="ar-SA"/>
              </w:rPr>
              <w:t>效率：≥85%</w:t>
            </w:r>
          </w:p>
          <w:p w14:paraId="738F8E0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12.</w:t>
            </w:r>
            <w:r>
              <w:rPr>
                <w:rFonts w:hint="eastAsia" w:ascii="宋体" w:hAnsi="宋体" w:eastAsia="宋体" w:cs="宋体"/>
                <w:b w:val="0"/>
                <w:bCs w:val="0"/>
                <w:color w:val="auto"/>
                <w:kern w:val="0"/>
                <w:sz w:val="21"/>
                <w:szCs w:val="21"/>
                <w:highlight w:val="none"/>
                <w:lang w:val="en-US" w:eastAsia="zh-CN" w:bidi="ar-SA"/>
              </w:rPr>
              <w:t>功率因数：0.93</w:t>
            </w:r>
          </w:p>
          <w:p w14:paraId="5801C1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13.</w:t>
            </w:r>
            <w:r>
              <w:rPr>
                <w:rFonts w:hint="eastAsia" w:ascii="宋体" w:hAnsi="宋体" w:eastAsia="宋体" w:cs="宋体"/>
                <w:b w:val="0"/>
                <w:bCs w:val="0"/>
                <w:color w:val="auto"/>
                <w:kern w:val="0"/>
                <w:sz w:val="21"/>
                <w:szCs w:val="21"/>
                <w:highlight w:val="none"/>
                <w:lang w:val="en-US" w:eastAsia="zh-CN" w:bidi="ar-SA"/>
              </w:rPr>
              <w:t>绝缘等级：F</w:t>
            </w:r>
          </w:p>
          <w:p w14:paraId="0EA6D0B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14.</w:t>
            </w:r>
            <w:r>
              <w:rPr>
                <w:rFonts w:hint="eastAsia" w:ascii="宋体" w:hAnsi="宋体" w:eastAsia="宋体" w:cs="宋体"/>
                <w:b w:val="0"/>
                <w:bCs w:val="0"/>
                <w:color w:val="auto"/>
                <w:kern w:val="0"/>
                <w:sz w:val="21"/>
                <w:szCs w:val="21"/>
                <w:highlight w:val="none"/>
                <w:lang w:val="en-US" w:eastAsia="zh-CN" w:bidi="ar-SA"/>
              </w:rPr>
              <w:t>外壳防护等级：IP23S</w:t>
            </w:r>
          </w:p>
          <w:p w14:paraId="39693CA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15.</w:t>
            </w:r>
            <w:r>
              <w:rPr>
                <w:rFonts w:hint="eastAsia" w:ascii="宋体" w:hAnsi="宋体" w:eastAsia="宋体" w:cs="宋体"/>
                <w:b w:val="0"/>
                <w:bCs w:val="0"/>
                <w:color w:val="auto"/>
                <w:kern w:val="0"/>
                <w:sz w:val="21"/>
                <w:szCs w:val="21"/>
                <w:highlight w:val="none"/>
                <w:lang w:val="en-US" w:eastAsia="zh-CN" w:bidi="ar-SA"/>
              </w:rPr>
              <w:t>冷却方式：风冷</w:t>
            </w:r>
          </w:p>
          <w:p w14:paraId="75521C3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16.</w:t>
            </w:r>
            <w:r>
              <w:rPr>
                <w:rFonts w:hint="eastAsia" w:ascii="宋体" w:hAnsi="宋体" w:eastAsia="宋体" w:cs="宋体"/>
                <w:b w:val="0"/>
                <w:bCs w:val="0"/>
                <w:color w:val="auto"/>
                <w:kern w:val="0"/>
                <w:sz w:val="21"/>
                <w:szCs w:val="21"/>
                <w:highlight w:val="none"/>
                <w:lang w:val="en-US" w:eastAsia="zh-CN" w:bidi="ar-SA"/>
              </w:rPr>
              <w:t>外形尺寸(mm)：560×300×530</w:t>
            </w:r>
          </w:p>
          <w:p w14:paraId="5E762E8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17.</w:t>
            </w:r>
            <w:r>
              <w:rPr>
                <w:rFonts w:hint="eastAsia" w:ascii="宋体" w:hAnsi="宋体" w:eastAsia="宋体" w:cs="宋体"/>
                <w:b w:val="0"/>
                <w:bCs w:val="0"/>
                <w:color w:val="auto"/>
                <w:kern w:val="0"/>
                <w:sz w:val="21"/>
                <w:szCs w:val="21"/>
                <w:highlight w:val="none"/>
                <w:lang w:val="en-US" w:eastAsia="zh-CN" w:bidi="ar-SA"/>
              </w:rPr>
              <w:t>重量(Kg)：33</w:t>
            </w:r>
          </w:p>
        </w:tc>
        <w:tc>
          <w:tcPr>
            <w:tcW w:w="505" w:type="dxa"/>
            <w:noWrap w:val="0"/>
            <w:vAlign w:val="center"/>
          </w:tcPr>
          <w:p w14:paraId="5636569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78" w:type="dxa"/>
            <w:noWrap w:val="0"/>
            <w:vAlign w:val="center"/>
          </w:tcPr>
          <w:p w14:paraId="4E66E4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5C9D197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1883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43C46C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3.5 </w:t>
            </w:r>
          </w:p>
        </w:tc>
        <w:tc>
          <w:tcPr>
            <w:tcW w:w="1239" w:type="dxa"/>
            <w:noWrap w:val="0"/>
            <w:vAlign w:val="center"/>
          </w:tcPr>
          <w:p w14:paraId="024097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ZX7-400STG逆变式手弧/氩弧焊机（焊枪焊夹配套)</w:t>
            </w:r>
          </w:p>
        </w:tc>
        <w:tc>
          <w:tcPr>
            <w:tcW w:w="6390" w:type="dxa"/>
            <w:gridSpan w:val="2"/>
            <w:noWrap w:val="0"/>
            <w:vAlign w:val="center"/>
          </w:tcPr>
          <w:p w14:paraId="137D583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规  格：ZX7-400STG</w:t>
            </w:r>
          </w:p>
          <w:p w14:paraId="156F376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额定输入电压/频率：三相380v±10%  50Hz</w:t>
            </w:r>
          </w:p>
          <w:p w14:paraId="48274AD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额定输入容量(KVA)：18.4</w:t>
            </w:r>
          </w:p>
          <w:p w14:paraId="1531F92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en-US" w:eastAsia="zh-CN" w:bidi="ar-SA"/>
              </w:rPr>
              <w:t>额定输入电流(A)：28</w:t>
            </w:r>
          </w:p>
          <w:p w14:paraId="5ABFC0D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en-US" w:eastAsia="zh-CN" w:bidi="ar-SA"/>
              </w:rPr>
              <w:t>额定输出电压(V)：36</w:t>
            </w:r>
          </w:p>
          <w:p w14:paraId="51DCE98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lang w:val="en-US" w:eastAsia="zh-CN" w:bidi="ar-SA"/>
              </w:rPr>
              <w:t>额定负载持续率(%)：60</w:t>
            </w:r>
          </w:p>
          <w:p w14:paraId="2A50E97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7.</w:t>
            </w:r>
            <w:r>
              <w:rPr>
                <w:rFonts w:hint="eastAsia" w:ascii="宋体" w:hAnsi="宋体" w:eastAsia="宋体" w:cs="宋体"/>
                <w:b w:val="0"/>
                <w:bCs w:val="0"/>
                <w:color w:val="auto"/>
                <w:kern w:val="0"/>
                <w:sz w:val="21"/>
                <w:szCs w:val="21"/>
                <w:highlight w:val="none"/>
                <w:lang w:val="en-US" w:eastAsia="zh-CN" w:bidi="ar-SA"/>
              </w:rPr>
              <w:t>输出空载电压(V)：71</w:t>
            </w:r>
          </w:p>
          <w:p w14:paraId="5009805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8.</w:t>
            </w:r>
            <w:r>
              <w:rPr>
                <w:rFonts w:hint="eastAsia" w:ascii="宋体" w:hAnsi="宋体" w:eastAsia="宋体" w:cs="宋体"/>
                <w:b w:val="0"/>
                <w:bCs w:val="0"/>
                <w:color w:val="auto"/>
                <w:kern w:val="0"/>
                <w:sz w:val="21"/>
                <w:szCs w:val="21"/>
                <w:highlight w:val="none"/>
                <w:lang w:val="en-US" w:eastAsia="zh-CN" w:bidi="ar-SA"/>
              </w:rPr>
              <w:t>输出电流范围(A)：20～400</w:t>
            </w:r>
          </w:p>
          <w:p w14:paraId="1F7369D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9.</w:t>
            </w:r>
            <w:r>
              <w:rPr>
                <w:rFonts w:hint="eastAsia" w:ascii="宋体" w:hAnsi="宋体" w:eastAsia="宋体" w:cs="宋体"/>
                <w:b w:val="0"/>
                <w:bCs w:val="0"/>
                <w:color w:val="auto"/>
                <w:kern w:val="0"/>
                <w:sz w:val="21"/>
                <w:szCs w:val="21"/>
                <w:highlight w:val="none"/>
                <w:lang w:val="en-US" w:eastAsia="zh-CN" w:bidi="ar-SA"/>
              </w:rPr>
              <w:t>TIG焊引弧方式：STG:接触引弧/高频引弧</w:t>
            </w:r>
          </w:p>
          <w:p w14:paraId="6FBAC6A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en-US" w:eastAsia="zh-CN" w:bidi="ar-SA"/>
              </w:rPr>
              <w:t>外壳防护等级：IP21S</w:t>
            </w:r>
          </w:p>
          <w:p w14:paraId="64934AF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11.</w:t>
            </w:r>
            <w:r>
              <w:rPr>
                <w:rFonts w:hint="eastAsia" w:ascii="宋体" w:hAnsi="宋体" w:eastAsia="宋体" w:cs="宋体"/>
                <w:b w:val="0"/>
                <w:bCs w:val="0"/>
                <w:color w:val="auto"/>
                <w:kern w:val="0"/>
                <w:sz w:val="21"/>
                <w:szCs w:val="21"/>
                <w:highlight w:val="none"/>
                <w:lang w:val="en-US" w:eastAsia="zh-CN" w:bidi="ar-SA"/>
              </w:rPr>
              <w:t>绝缘等级：H</w:t>
            </w:r>
          </w:p>
          <w:p w14:paraId="02BD224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12.</w:t>
            </w:r>
            <w:r>
              <w:rPr>
                <w:rFonts w:hint="eastAsia" w:ascii="宋体" w:hAnsi="宋体" w:eastAsia="宋体" w:cs="宋体"/>
                <w:b w:val="0"/>
                <w:bCs w:val="0"/>
                <w:color w:val="auto"/>
                <w:kern w:val="0"/>
                <w:sz w:val="21"/>
                <w:szCs w:val="21"/>
                <w:highlight w:val="none"/>
                <w:lang w:val="en-US" w:eastAsia="zh-CN" w:bidi="ar-SA"/>
              </w:rPr>
              <w:t>冷却方式：风冷</w:t>
            </w:r>
          </w:p>
          <w:p w14:paraId="62390A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13.</w:t>
            </w:r>
            <w:r>
              <w:rPr>
                <w:rFonts w:hint="eastAsia" w:ascii="宋体" w:hAnsi="宋体" w:eastAsia="宋体" w:cs="宋体"/>
                <w:b w:val="0"/>
                <w:bCs w:val="0"/>
                <w:color w:val="auto"/>
                <w:kern w:val="0"/>
                <w:sz w:val="21"/>
                <w:szCs w:val="21"/>
                <w:highlight w:val="none"/>
                <w:lang w:val="en-US" w:eastAsia="zh-CN" w:bidi="ar-SA"/>
              </w:rPr>
              <w:t>外型尺寸LxWxH(mm)：614×311×557"</w:t>
            </w:r>
          </w:p>
          <w:p w14:paraId="0637396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14.</w:t>
            </w:r>
            <w:r>
              <w:rPr>
                <w:rFonts w:hint="eastAsia" w:ascii="宋体" w:hAnsi="宋体" w:eastAsia="宋体" w:cs="宋体"/>
                <w:b w:val="0"/>
                <w:bCs w:val="0"/>
                <w:color w:val="auto"/>
                <w:kern w:val="0"/>
                <w:sz w:val="21"/>
                <w:szCs w:val="21"/>
                <w:highlight w:val="none"/>
                <w:lang w:val="en-US" w:eastAsia="zh-CN" w:bidi="ar-SA"/>
              </w:rPr>
              <w:t>重量(Kg)：43</w:t>
            </w:r>
          </w:p>
        </w:tc>
        <w:tc>
          <w:tcPr>
            <w:tcW w:w="505" w:type="dxa"/>
            <w:noWrap w:val="0"/>
            <w:vAlign w:val="center"/>
          </w:tcPr>
          <w:p w14:paraId="71DC8778">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78" w:type="dxa"/>
            <w:noWrap w:val="0"/>
            <w:vAlign w:val="center"/>
          </w:tcPr>
          <w:p w14:paraId="72ABD00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54E633E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67AC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1B5A43B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 3.6</w:t>
            </w:r>
          </w:p>
        </w:tc>
        <w:tc>
          <w:tcPr>
            <w:tcW w:w="1239" w:type="dxa"/>
            <w:noWrap w:val="0"/>
            <w:vAlign w:val="center"/>
          </w:tcPr>
          <w:p w14:paraId="0D3B781F">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NBC-350III逆变式CO2气体保护焊机（焊枪焊夹送丝机配套)</w:t>
            </w:r>
          </w:p>
        </w:tc>
        <w:tc>
          <w:tcPr>
            <w:tcW w:w="6390" w:type="dxa"/>
            <w:gridSpan w:val="2"/>
            <w:noWrap w:val="0"/>
            <w:vAlign w:val="center"/>
          </w:tcPr>
          <w:p w14:paraId="173DFEC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规  格：NBC-350</w:t>
            </w:r>
          </w:p>
          <w:p w14:paraId="274B84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额定输入电压/频率：三相380V±10%50Hz</w:t>
            </w:r>
          </w:p>
          <w:p w14:paraId="675DD84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额定输入容量(KVA)：13</w:t>
            </w:r>
          </w:p>
          <w:p w14:paraId="29FB5C0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en-US" w:eastAsia="zh-CN" w:bidi="ar-SA"/>
              </w:rPr>
              <w:t>额定输入电流(A)：19</w:t>
            </w:r>
          </w:p>
          <w:p w14:paraId="5EA9A69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en-US" w:eastAsia="zh-CN" w:bidi="ar-SA"/>
              </w:rPr>
              <w:t>额定输出电压(V)：31.5</w:t>
            </w:r>
          </w:p>
          <w:p w14:paraId="2A7D648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lang w:val="en-US" w:eastAsia="zh-CN" w:bidi="ar-SA"/>
              </w:rPr>
              <w:t>额定负载持续率(%)：60</w:t>
            </w:r>
          </w:p>
          <w:p w14:paraId="5C84102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7.</w:t>
            </w:r>
            <w:r>
              <w:rPr>
                <w:rFonts w:hint="eastAsia" w:ascii="宋体" w:hAnsi="宋体" w:eastAsia="宋体" w:cs="宋体"/>
                <w:b w:val="0"/>
                <w:bCs w:val="0"/>
                <w:color w:val="auto"/>
                <w:kern w:val="0"/>
                <w:sz w:val="21"/>
                <w:szCs w:val="21"/>
                <w:highlight w:val="none"/>
                <w:lang w:val="en-US" w:eastAsia="zh-CN" w:bidi="ar-SA"/>
              </w:rPr>
              <w:t>输出空载电压(V)：70</w:t>
            </w:r>
          </w:p>
          <w:p w14:paraId="12502D6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8.</w:t>
            </w:r>
            <w:r>
              <w:rPr>
                <w:rFonts w:hint="eastAsia" w:ascii="宋体" w:hAnsi="宋体" w:eastAsia="宋体" w:cs="宋体"/>
                <w:b w:val="0"/>
                <w:bCs w:val="0"/>
                <w:color w:val="auto"/>
                <w:kern w:val="0"/>
                <w:sz w:val="21"/>
                <w:szCs w:val="21"/>
                <w:highlight w:val="none"/>
                <w:lang w:val="en-US" w:eastAsia="zh-CN" w:bidi="ar-SA"/>
              </w:rPr>
              <w:t>输出电流范围(A)：60-350</w:t>
            </w:r>
          </w:p>
          <w:p w14:paraId="3339106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9.</w:t>
            </w:r>
            <w:r>
              <w:rPr>
                <w:rFonts w:hint="eastAsia" w:ascii="宋体" w:hAnsi="宋体" w:eastAsia="宋体" w:cs="宋体"/>
                <w:b w:val="0"/>
                <w:bCs w:val="0"/>
                <w:color w:val="auto"/>
                <w:kern w:val="0"/>
                <w:sz w:val="21"/>
                <w:szCs w:val="21"/>
                <w:highlight w:val="none"/>
                <w:lang w:val="en-US" w:eastAsia="zh-CN" w:bidi="ar-SA"/>
              </w:rPr>
              <w:t>输出电压范围(V)：14-40</w:t>
            </w:r>
          </w:p>
          <w:p w14:paraId="2C2B8DF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en-US" w:eastAsia="zh-CN" w:bidi="ar-SA"/>
              </w:rPr>
              <w:t>功率因数：&gt;0.87</w:t>
            </w:r>
          </w:p>
          <w:p w14:paraId="20562AD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11.</w:t>
            </w:r>
            <w:r>
              <w:rPr>
                <w:rFonts w:hint="eastAsia" w:ascii="宋体" w:hAnsi="宋体" w:eastAsia="宋体" w:cs="宋体"/>
                <w:b w:val="0"/>
                <w:bCs w:val="0"/>
                <w:color w:val="auto"/>
                <w:kern w:val="0"/>
                <w:sz w:val="21"/>
                <w:szCs w:val="21"/>
                <w:highlight w:val="none"/>
                <w:lang w:val="en-US" w:eastAsia="zh-CN" w:bidi="ar-SA"/>
              </w:rPr>
              <w:t>焊丝直径(mm)：0.8-1.2</w:t>
            </w:r>
          </w:p>
          <w:p w14:paraId="3346E99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12.</w:t>
            </w:r>
            <w:r>
              <w:rPr>
                <w:rFonts w:hint="eastAsia" w:ascii="宋体" w:hAnsi="宋体" w:eastAsia="宋体" w:cs="宋体"/>
                <w:b w:val="0"/>
                <w:bCs w:val="0"/>
                <w:color w:val="auto"/>
                <w:kern w:val="0"/>
                <w:sz w:val="21"/>
                <w:szCs w:val="21"/>
                <w:highlight w:val="none"/>
                <w:lang w:val="en-US" w:eastAsia="zh-CN" w:bidi="ar-SA"/>
              </w:rPr>
              <w:t>送丝类型：推丝</w:t>
            </w:r>
          </w:p>
          <w:p w14:paraId="5542743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13.</w:t>
            </w:r>
            <w:r>
              <w:rPr>
                <w:rFonts w:hint="eastAsia" w:ascii="宋体" w:hAnsi="宋体" w:eastAsia="宋体" w:cs="宋体"/>
                <w:b w:val="0"/>
                <w:bCs w:val="0"/>
                <w:color w:val="auto"/>
                <w:kern w:val="0"/>
                <w:sz w:val="21"/>
                <w:szCs w:val="21"/>
                <w:highlight w:val="none"/>
                <w:lang w:val="en-US" w:eastAsia="zh-CN" w:bidi="ar-SA"/>
              </w:rPr>
              <w:t>气体流量(L/min)：15-25</w:t>
            </w:r>
          </w:p>
          <w:p w14:paraId="5947C4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14.</w:t>
            </w:r>
            <w:r>
              <w:rPr>
                <w:rFonts w:hint="eastAsia" w:ascii="宋体" w:hAnsi="宋体" w:eastAsia="宋体" w:cs="宋体"/>
                <w:b w:val="0"/>
                <w:bCs w:val="0"/>
                <w:color w:val="auto"/>
                <w:kern w:val="0"/>
                <w:sz w:val="21"/>
                <w:szCs w:val="21"/>
                <w:highlight w:val="none"/>
                <w:lang w:val="en-US" w:eastAsia="zh-CN" w:bidi="ar-SA"/>
              </w:rPr>
              <w:t>焊枪冷却方式：气冷</w:t>
            </w:r>
          </w:p>
          <w:p w14:paraId="409544D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15.</w:t>
            </w:r>
            <w:r>
              <w:rPr>
                <w:rFonts w:hint="eastAsia" w:ascii="宋体" w:hAnsi="宋体" w:eastAsia="宋体" w:cs="宋体"/>
                <w:b w:val="0"/>
                <w:bCs w:val="0"/>
                <w:color w:val="auto"/>
                <w:kern w:val="0"/>
                <w:sz w:val="21"/>
                <w:szCs w:val="21"/>
                <w:highlight w:val="none"/>
                <w:lang w:val="en-US" w:eastAsia="zh-CN" w:bidi="ar-SA"/>
              </w:rPr>
              <w:t>外壳防护等级：IP21S</w:t>
            </w:r>
          </w:p>
          <w:p w14:paraId="49E6B8D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16.</w:t>
            </w:r>
            <w:r>
              <w:rPr>
                <w:rFonts w:hint="eastAsia" w:ascii="宋体" w:hAnsi="宋体" w:eastAsia="宋体" w:cs="宋体"/>
                <w:b w:val="0"/>
                <w:bCs w:val="0"/>
                <w:color w:val="auto"/>
                <w:kern w:val="0"/>
                <w:sz w:val="21"/>
                <w:szCs w:val="21"/>
                <w:highlight w:val="none"/>
                <w:lang w:val="en-US" w:eastAsia="zh-CN" w:bidi="ar-SA"/>
              </w:rPr>
              <w:t>绝缘等级：H</w:t>
            </w:r>
          </w:p>
          <w:p w14:paraId="70AA659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17.</w:t>
            </w:r>
            <w:r>
              <w:rPr>
                <w:rFonts w:hint="eastAsia" w:ascii="宋体" w:hAnsi="宋体" w:eastAsia="宋体" w:cs="宋体"/>
                <w:b w:val="0"/>
                <w:bCs w:val="0"/>
                <w:color w:val="auto"/>
                <w:kern w:val="0"/>
                <w:sz w:val="21"/>
                <w:szCs w:val="21"/>
                <w:highlight w:val="none"/>
                <w:lang w:val="en-US" w:eastAsia="zh-CN" w:bidi="ar-SA"/>
              </w:rPr>
              <w:t>外形尺寸L×W×H(mm)：603×311×574</w:t>
            </w:r>
          </w:p>
          <w:p w14:paraId="11F25DB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18.</w:t>
            </w:r>
            <w:r>
              <w:rPr>
                <w:rFonts w:hint="eastAsia" w:ascii="宋体" w:hAnsi="宋体" w:eastAsia="宋体" w:cs="宋体"/>
                <w:b w:val="0"/>
                <w:bCs w:val="0"/>
                <w:color w:val="auto"/>
                <w:kern w:val="0"/>
                <w:sz w:val="21"/>
                <w:szCs w:val="21"/>
                <w:highlight w:val="none"/>
                <w:lang w:val="en-US" w:eastAsia="zh-CN" w:bidi="ar-SA"/>
              </w:rPr>
              <w:t>重量(kg)：40</w:t>
            </w:r>
          </w:p>
        </w:tc>
        <w:tc>
          <w:tcPr>
            <w:tcW w:w="505" w:type="dxa"/>
            <w:noWrap w:val="0"/>
            <w:vAlign w:val="center"/>
          </w:tcPr>
          <w:p w14:paraId="1E9D968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78" w:type="dxa"/>
            <w:noWrap w:val="0"/>
            <w:vAlign w:val="center"/>
          </w:tcPr>
          <w:p w14:paraId="1BD6939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7611544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43AA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AB88D6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3.7 </w:t>
            </w:r>
          </w:p>
        </w:tc>
        <w:tc>
          <w:tcPr>
            <w:tcW w:w="1239" w:type="dxa"/>
            <w:noWrap w:val="0"/>
            <w:vAlign w:val="top"/>
          </w:tcPr>
          <w:p w14:paraId="30A0B5C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top"/>
              <w:rPr>
                <w:rFonts w:hint="eastAsia" w:ascii="宋体" w:hAnsi="宋体" w:eastAsia="宋体" w:cs="宋体"/>
                <w:i w:val="0"/>
                <w:iCs w:val="0"/>
                <w:color w:val="auto"/>
                <w:kern w:val="0"/>
                <w:sz w:val="21"/>
                <w:szCs w:val="21"/>
                <w:highlight w:val="none"/>
                <w:u w:val="none"/>
                <w:lang w:val="en-US" w:eastAsia="zh-CN" w:bidi="ar"/>
              </w:rPr>
            </w:pPr>
          </w:p>
          <w:p w14:paraId="0C6BF04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top"/>
              <w:rPr>
                <w:rFonts w:hint="eastAsia" w:ascii="宋体" w:hAnsi="宋体" w:eastAsia="宋体" w:cs="宋体"/>
                <w:i w:val="0"/>
                <w:iCs w:val="0"/>
                <w:color w:val="auto"/>
                <w:kern w:val="0"/>
                <w:sz w:val="21"/>
                <w:szCs w:val="21"/>
                <w:highlight w:val="none"/>
                <w:u w:val="none"/>
                <w:lang w:val="en-US" w:eastAsia="zh-CN" w:bidi="ar"/>
              </w:rPr>
            </w:pPr>
          </w:p>
          <w:p w14:paraId="50B11D2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NRD-N120内涨式圆管坡口机</w:t>
            </w:r>
          </w:p>
        </w:tc>
        <w:tc>
          <w:tcPr>
            <w:tcW w:w="6390" w:type="dxa"/>
            <w:gridSpan w:val="2"/>
            <w:noWrap w:val="0"/>
            <w:vAlign w:val="center"/>
          </w:tcPr>
          <w:p w14:paraId="104C90D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规  格：NRD-N120</w:t>
            </w:r>
          </w:p>
          <w:p w14:paraId="085DEC1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适用坡口形式：V/I/U</w:t>
            </w:r>
          </w:p>
          <w:p w14:paraId="1E65257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加工范围：45-120mm</w:t>
            </w:r>
          </w:p>
          <w:p w14:paraId="3F5C315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加工壁厚：≤15mm</w:t>
            </w:r>
          </w:p>
          <w:p w14:paraId="71191F2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电机功率：1.2kw</w:t>
            </w:r>
          </w:p>
          <w:p w14:paraId="181890C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设备重量：25kg</w:t>
            </w:r>
          </w:p>
          <w:p w14:paraId="5296688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刀盘转速：50R/min</w:t>
            </w:r>
          </w:p>
          <w:p w14:paraId="241D579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轴向进刀深度：50mm</w:t>
            </w:r>
          </w:p>
          <w:p w14:paraId="3C1DCC1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进刀量：0.07-0.1mm</w:t>
            </w:r>
          </w:p>
          <w:p w14:paraId="23314AF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刀具选择：0°、30°、37.5°、内坡15°</w:t>
            </w:r>
          </w:p>
        </w:tc>
        <w:tc>
          <w:tcPr>
            <w:tcW w:w="505" w:type="dxa"/>
            <w:noWrap w:val="0"/>
            <w:vAlign w:val="center"/>
          </w:tcPr>
          <w:p w14:paraId="14FF1082">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6110863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3D61467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5DC9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3A1C745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3.8</w:t>
            </w:r>
          </w:p>
        </w:tc>
        <w:tc>
          <w:tcPr>
            <w:tcW w:w="1239" w:type="dxa"/>
            <w:noWrap w:val="0"/>
            <w:vAlign w:val="center"/>
          </w:tcPr>
          <w:p w14:paraId="76954CB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机器人焊接设备</w:t>
            </w:r>
          </w:p>
        </w:tc>
        <w:tc>
          <w:tcPr>
            <w:tcW w:w="6390" w:type="dxa"/>
            <w:gridSpan w:val="2"/>
            <w:noWrap w:val="0"/>
            <w:vAlign w:val="center"/>
          </w:tcPr>
          <w:p w14:paraId="31E4E5F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一、焊接机器人本体</w:t>
            </w:r>
          </w:p>
          <w:p w14:paraId="1C4DA1D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cs="宋体"/>
                <w:b w:val="0"/>
                <w:bCs w:val="0"/>
                <w:strike/>
                <w:dstrike w:val="0"/>
                <w:color w:val="FF0000"/>
                <w:kern w:val="0"/>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lang w:val="en-US" w:eastAsia="zh-CN" w:bidi="ar"/>
              </w:rPr>
              <w:t>工业机器人本体生产厂家符合《工业机器人行业规范条件》</w:t>
            </w:r>
            <w:r>
              <w:rPr>
                <w:rFonts w:hint="eastAsia" w:ascii="宋体" w:hAnsi="宋体" w:cs="宋体"/>
                <w:b w:val="0"/>
                <w:bCs w:val="0"/>
                <w:color w:val="auto"/>
                <w:kern w:val="0"/>
                <w:sz w:val="21"/>
                <w:szCs w:val="21"/>
                <w:highlight w:val="none"/>
                <w:lang w:val="en-US" w:eastAsia="zh-CN" w:bidi="ar"/>
              </w:rPr>
              <w:t>。</w:t>
            </w:r>
          </w:p>
          <w:p w14:paraId="53E42C0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具有6个自由度，串联关节型专用焊接机器人本体；</w:t>
            </w:r>
          </w:p>
          <w:p w14:paraId="5F2C47E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重复定位精度：≤±0.06mm；</w:t>
            </w:r>
          </w:p>
          <w:p w14:paraId="7B5EF73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额定负载：≥5kg；</w:t>
            </w:r>
          </w:p>
          <w:p w14:paraId="7C1E633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水平到达距离: ≥1441mm；</w:t>
            </w:r>
          </w:p>
          <w:p w14:paraId="679F1DD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重量: ≥196kg；</w:t>
            </w:r>
          </w:p>
          <w:p w14:paraId="2C568EF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6.</w:t>
            </w:r>
            <w:r>
              <w:rPr>
                <w:rFonts w:hint="eastAsia" w:ascii="宋体" w:hAnsi="宋体" w:eastAsia="宋体" w:cs="宋体"/>
                <w:b w:val="0"/>
                <w:bCs w:val="0"/>
                <w:color w:val="auto"/>
                <w:kern w:val="0"/>
                <w:sz w:val="21"/>
                <w:szCs w:val="21"/>
                <w:highlight w:val="none"/>
                <w:lang w:val="en-US" w:eastAsia="zh-CN" w:bidi="ar"/>
              </w:rPr>
              <w:t>各轴运动范围</w:t>
            </w:r>
          </w:p>
          <w:p w14:paraId="496791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J1轴≥±150°；</w:t>
            </w:r>
          </w:p>
          <w:p w14:paraId="5E7A74B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J2轴≥-145°/+60°；</w:t>
            </w:r>
          </w:p>
          <w:p w14:paraId="1066950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J3轴≥+30°/+270°；</w:t>
            </w:r>
          </w:p>
          <w:p w14:paraId="42BF8DB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J4轴≥±120°；</w:t>
            </w:r>
          </w:p>
          <w:p w14:paraId="111891B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J5轴≥-110°/+140°；</w:t>
            </w:r>
          </w:p>
          <w:p w14:paraId="479D8F7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J6轴≥±360°。</w:t>
            </w:r>
          </w:p>
          <w:p w14:paraId="73E4DB4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7.</w:t>
            </w:r>
            <w:r>
              <w:rPr>
                <w:rFonts w:hint="eastAsia" w:ascii="宋体" w:hAnsi="宋体" w:eastAsia="宋体" w:cs="宋体"/>
                <w:b w:val="0"/>
                <w:bCs w:val="0"/>
                <w:color w:val="auto"/>
                <w:kern w:val="0"/>
                <w:sz w:val="21"/>
                <w:szCs w:val="21"/>
                <w:highlight w:val="none"/>
                <w:lang w:val="en-US" w:eastAsia="zh-CN" w:bidi="ar"/>
              </w:rPr>
              <w:t>各轴最大速度：</w:t>
            </w:r>
          </w:p>
          <w:p w14:paraId="517718B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J1轴≥3.87rad/s，222°/s；</w:t>
            </w:r>
          </w:p>
          <w:p w14:paraId="69BDBE3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J2轴≥3.87rad/s，222°/s；</w:t>
            </w:r>
          </w:p>
          <w:p w14:paraId="6BEB381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J3轴≥3.87rad/s，222°/s；</w:t>
            </w:r>
          </w:p>
          <w:p w14:paraId="3EF34BB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J4轴≥5.89rad/s，337.5°/s；</w:t>
            </w:r>
          </w:p>
          <w:p w14:paraId="16A95F5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J5轴≥5.89rad/s，337.5°/s；</w:t>
            </w:r>
          </w:p>
          <w:p w14:paraId="6E2DABF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J6轴≥5.89rad/s，337.5°/s。</w:t>
            </w:r>
          </w:p>
          <w:p w14:paraId="0A5F755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二、机器人控制系统</w:t>
            </w:r>
          </w:p>
          <w:p w14:paraId="474D158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机器人控制系统软件</w:t>
            </w:r>
          </w:p>
          <w:p w14:paraId="4A8977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lang w:val="en-US" w:eastAsia="zh-CN" w:bidi="ar"/>
              </w:rPr>
              <w:t>支持二次开发，提供C++二次开发接口：</w:t>
            </w:r>
          </w:p>
          <w:p w14:paraId="47C2A3B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1）机器人二次开发接口，支持C/C++、C#语言，可基于windows或Linux平台进行开发；</w:t>
            </w:r>
            <w:r>
              <w:rPr>
                <w:rFonts w:hint="eastAsia" w:ascii="宋体" w:hAnsi="宋体" w:eastAsia="宋体" w:cs="宋体"/>
                <w:b w:val="0"/>
                <w:bCs w:val="0"/>
                <w:color w:val="auto"/>
                <w:kern w:val="0"/>
                <w:sz w:val="21"/>
                <w:szCs w:val="21"/>
                <w:highlight w:val="none"/>
                <w:lang w:val="en-US" w:eastAsia="zh-CN" w:bidi="ar"/>
              </w:rPr>
              <w:br w:type="textWrapping"/>
            </w:r>
            <w:r>
              <w:rPr>
                <w:rFonts w:hint="eastAsia" w:ascii="宋体" w:hAnsi="宋体" w:eastAsia="宋体" w:cs="宋体"/>
                <w:b w:val="0"/>
                <w:bCs w:val="0"/>
                <w:color w:val="auto"/>
                <w:kern w:val="0"/>
                <w:sz w:val="21"/>
                <w:szCs w:val="21"/>
                <w:highlight w:val="none"/>
                <w:lang w:val="en-US" w:eastAsia="zh-CN" w:bidi="ar"/>
              </w:rPr>
              <w:t>2）二次开发接口通信类功能，支持通信配置、通信操作、执行命令、UDP操作、FTP操作等；</w:t>
            </w:r>
            <w:r>
              <w:rPr>
                <w:rFonts w:hint="eastAsia" w:ascii="宋体" w:hAnsi="宋体" w:eastAsia="宋体" w:cs="宋体"/>
                <w:b w:val="0"/>
                <w:bCs w:val="0"/>
                <w:color w:val="auto"/>
                <w:kern w:val="0"/>
                <w:sz w:val="21"/>
                <w:szCs w:val="21"/>
                <w:highlight w:val="none"/>
                <w:lang w:val="en-US" w:eastAsia="zh-CN" w:bidi="ar"/>
              </w:rPr>
              <w:br w:type="textWrapping"/>
            </w:r>
            <w:r>
              <w:rPr>
                <w:rFonts w:hint="eastAsia" w:ascii="宋体" w:hAnsi="宋体" w:eastAsia="宋体" w:cs="宋体"/>
                <w:b w:val="0"/>
                <w:bCs w:val="0"/>
                <w:color w:val="auto"/>
                <w:kern w:val="0"/>
                <w:sz w:val="21"/>
                <w:szCs w:val="21"/>
                <w:highlight w:val="none"/>
                <w:lang w:val="en-US" w:eastAsia="zh-CN" w:bidi="ar"/>
              </w:rPr>
              <w:t>3）二次开发接口代理类功能，支持系统功能代理Proxy Sys、运动功能代理Proxy Motion、IO操作代理Proxy IO、变量操作代理Proxy Var、采集操作代理Proxy Collect。</w:t>
            </w:r>
          </w:p>
          <w:p w14:paraId="4DDDD45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机器人示教器</w:t>
            </w:r>
          </w:p>
          <w:p w14:paraId="2EFDE9D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（1）示教器外观参数</w:t>
            </w:r>
          </w:p>
          <w:p w14:paraId="1B21B2B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触摸屏尺寸≥8英寸，全触屏操作，配备急停开关、模式切换开关以及三段式安全开关，配备USB接口。</w:t>
            </w:r>
          </w:p>
          <w:p w14:paraId="2AAE6AE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（2）示教器性能参数</w:t>
            </w:r>
          </w:p>
          <w:p w14:paraId="3133A01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1）运行内存：≥2G；</w:t>
            </w:r>
          </w:p>
          <w:p w14:paraId="5718144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2）存储空间为：≥4G；</w:t>
            </w:r>
          </w:p>
          <w:p w14:paraId="5BB97C2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3）CPU频率：≥1GHz。</w:t>
            </w:r>
          </w:p>
          <w:p w14:paraId="5E27B6E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（3）示教器功能</w:t>
            </w:r>
          </w:p>
          <w:p w14:paraId="54CFC4E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手动控制机器人运动、机器人程序示教编程、机器人程序自动运行、机器人运行状态监视、机器人控制参数设置。</w:t>
            </w:r>
          </w:p>
          <w:p w14:paraId="19E76A3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（4）模式选择</w:t>
            </w:r>
          </w:p>
          <w:p w14:paraId="37BC61A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示教器通过旋转开关选择手动T1模式、手动T2模式、自动模式、外部模式4种模式。</w:t>
            </w:r>
          </w:p>
          <w:p w14:paraId="7892486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提供焊接工艺包</w:t>
            </w:r>
          </w:p>
          <w:p w14:paraId="2165DF6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焊接工艺包，自主设计研发，可根据客户需求，进行定制，出厂配置参数如下：</w:t>
            </w:r>
          </w:p>
          <w:p w14:paraId="65B6DF5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（1）系统配置：系统配置主要设置焊机品牌，焊接通道数量、清枪站品牌、起弧次数、焊机工作模式等。</w:t>
            </w:r>
            <w:r>
              <w:rPr>
                <w:rFonts w:hint="eastAsia" w:ascii="宋体" w:hAnsi="宋体" w:eastAsia="宋体" w:cs="宋体"/>
                <w:b w:val="0"/>
                <w:bCs w:val="0"/>
                <w:color w:val="auto"/>
                <w:kern w:val="0"/>
                <w:sz w:val="21"/>
                <w:szCs w:val="21"/>
                <w:highlight w:val="none"/>
                <w:lang w:val="en-US" w:eastAsia="zh-CN" w:bidi="ar"/>
              </w:rPr>
              <w:cr/>
            </w:r>
            <w:r>
              <w:rPr>
                <w:rFonts w:hint="eastAsia" w:ascii="宋体" w:hAnsi="宋体" w:eastAsia="宋体" w:cs="宋体"/>
                <w:b w:val="0"/>
                <w:bCs w:val="0"/>
                <w:color w:val="auto"/>
                <w:kern w:val="0"/>
                <w:sz w:val="21"/>
                <w:szCs w:val="21"/>
                <w:highlight w:val="none"/>
                <w:lang w:val="en-US" w:eastAsia="zh-CN" w:bidi="ar"/>
              </w:rPr>
              <w:t>（2）焊机曲线配置：设置电流电压的映射曲线。</w:t>
            </w:r>
            <w:r>
              <w:rPr>
                <w:rFonts w:hint="eastAsia" w:ascii="宋体" w:hAnsi="宋体" w:eastAsia="宋体" w:cs="宋体"/>
                <w:b w:val="0"/>
                <w:bCs w:val="0"/>
                <w:color w:val="auto"/>
                <w:kern w:val="0"/>
                <w:sz w:val="21"/>
                <w:szCs w:val="21"/>
                <w:highlight w:val="none"/>
                <w:lang w:val="en-US" w:eastAsia="zh-CN" w:bidi="ar"/>
              </w:rPr>
              <w:cr/>
            </w:r>
            <w:r>
              <w:rPr>
                <w:rFonts w:hint="eastAsia" w:ascii="宋体" w:hAnsi="宋体" w:eastAsia="宋体" w:cs="宋体"/>
                <w:b w:val="0"/>
                <w:bCs w:val="0"/>
                <w:color w:val="auto"/>
                <w:kern w:val="0"/>
                <w:sz w:val="21"/>
                <w:szCs w:val="21"/>
                <w:highlight w:val="none"/>
                <w:lang w:val="en-US" w:eastAsia="zh-CN" w:bidi="ar"/>
              </w:rPr>
              <w:t>（3）工艺参数：设置焊接通道的工艺参数（共10 组工艺参数可供设置），包括焊机工作模式、起弧/收弧电压/电流、焊接电压/电流、焊接速度等。</w:t>
            </w:r>
            <w:r>
              <w:rPr>
                <w:rFonts w:hint="eastAsia" w:ascii="宋体" w:hAnsi="宋体" w:eastAsia="宋体" w:cs="宋体"/>
                <w:b w:val="0"/>
                <w:bCs w:val="0"/>
                <w:color w:val="auto"/>
                <w:kern w:val="0"/>
                <w:sz w:val="21"/>
                <w:szCs w:val="21"/>
                <w:highlight w:val="none"/>
                <w:lang w:val="en-US" w:eastAsia="zh-CN" w:bidi="ar"/>
              </w:rPr>
              <w:cr/>
            </w:r>
            <w:r>
              <w:rPr>
                <w:rFonts w:hint="eastAsia" w:ascii="宋体" w:hAnsi="宋体" w:eastAsia="宋体" w:cs="宋体"/>
                <w:b w:val="0"/>
                <w:bCs w:val="0"/>
                <w:color w:val="auto"/>
                <w:kern w:val="0"/>
                <w:sz w:val="21"/>
                <w:szCs w:val="21"/>
                <w:highlight w:val="none"/>
                <w:lang w:val="en-US" w:eastAsia="zh-CN" w:bidi="ar"/>
              </w:rPr>
              <w:t>（4）支持摆焊、鱼鳞焊等常见焊接工艺。</w:t>
            </w:r>
          </w:p>
          <w:p w14:paraId="2DCF11D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（5）产量统计：统计指定程序运行次数，即指定产品生产数量。</w:t>
            </w:r>
          </w:p>
          <w:p w14:paraId="3458324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三、焊接电源</w:t>
            </w:r>
          </w:p>
          <w:p w14:paraId="1905C5C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采用全数字的控制方式，可焊接碳钢和不锈钢；</w:t>
            </w:r>
          </w:p>
          <w:p w14:paraId="7365500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能够与工业机器人建立通讯，可通过机器人示教器端，配置焊接电源参数；</w:t>
            </w:r>
          </w:p>
          <w:p w14:paraId="10339F5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额定输入电压/频率：三相380V/50Hz；</w:t>
            </w:r>
          </w:p>
          <w:p w14:paraId="3CF9232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额定空载电压：≥60V；</w:t>
            </w:r>
          </w:p>
          <w:p w14:paraId="45231AF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额定输出电流/电压：60A/17V—350A/31.5V；</w:t>
            </w:r>
          </w:p>
          <w:p w14:paraId="3D99C48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6.</w:t>
            </w:r>
            <w:r>
              <w:rPr>
                <w:rFonts w:hint="eastAsia" w:ascii="宋体" w:hAnsi="宋体" w:eastAsia="宋体" w:cs="宋体"/>
                <w:b w:val="0"/>
                <w:bCs w:val="0"/>
                <w:color w:val="auto"/>
                <w:kern w:val="0"/>
                <w:sz w:val="21"/>
                <w:szCs w:val="21"/>
                <w:highlight w:val="none"/>
                <w:lang w:val="en-US" w:eastAsia="zh-CN" w:bidi="ar"/>
              </w:rPr>
              <w:t>气体流量：≥10L/min；</w:t>
            </w:r>
          </w:p>
          <w:p w14:paraId="44B4772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7.</w:t>
            </w:r>
            <w:r>
              <w:rPr>
                <w:rFonts w:hint="eastAsia" w:ascii="宋体" w:hAnsi="宋体" w:eastAsia="宋体" w:cs="宋体"/>
                <w:b w:val="0"/>
                <w:bCs w:val="0"/>
                <w:color w:val="auto"/>
                <w:kern w:val="0"/>
                <w:sz w:val="21"/>
                <w:szCs w:val="21"/>
                <w:highlight w:val="none"/>
                <w:lang w:val="en-US" w:eastAsia="zh-CN" w:bidi="ar"/>
              </w:rPr>
              <w:t>气体类型：CO</w:t>
            </w: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MAG；</w:t>
            </w:r>
          </w:p>
          <w:p w14:paraId="39930AA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8.</w:t>
            </w:r>
            <w:r>
              <w:rPr>
                <w:rFonts w:hint="eastAsia" w:ascii="宋体" w:hAnsi="宋体" w:eastAsia="宋体" w:cs="宋体"/>
                <w:b w:val="0"/>
                <w:bCs w:val="0"/>
                <w:color w:val="auto"/>
                <w:kern w:val="0"/>
                <w:sz w:val="21"/>
                <w:szCs w:val="21"/>
                <w:highlight w:val="none"/>
                <w:lang w:val="en-US" w:eastAsia="zh-CN" w:bidi="ar"/>
              </w:rPr>
              <w:t>输出控制：一元化、分别；</w:t>
            </w:r>
          </w:p>
          <w:p w14:paraId="6A3677A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具备气体检测、点动送丝等其他功能。</w:t>
            </w:r>
          </w:p>
          <w:p w14:paraId="6D5A493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四、焊枪</w:t>
            </w:r>
          </w:p>
          <w:p w14:paraId="19023F7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配套气冷焊枪，额定电流≥350A，暂载率&gt;60%；</w:t>
            </w:r>
          </w:p>
          <w:p w14:paraId="4DDD1D1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焊丝直径支持，0.8/1.0/1.2mm；</w:t>
            </w:r>
          </w:p>
          <w:p w14:paraId="0AC2FD5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提供导电嘴、送丝管备件。</w:t>
            </w:r>
            <w:r>
              <w:rPr>
                <w:rFonts w:hint="eastAsia" w:ascii="宋体" w:hAnsi="宋体" w:eastAsia="宋体" w:cs="宋体"/>
                <w:b w:val="0"/>
                <w:bCs w:val="0"/>
                <w:color w:val="auto"/>
                <w:kern w:val="0"/>
                <w:sz w:val="21"/>
                <w:szCs w:val="21"/>
                <w:highlight w:val="none"/>
                <w:lang w:val="en-US" w:eastAsia="zh-CN" w:bidi="ar"/>
              </w:rPr>
              <w:br w:type="textWrapping"/>
            </w:r>
            <w:r>
              <w:rPr>
                <w:rFonts w:hint="eastAsia" w:ascii="宋体" w:hAnsi="宋体" w:eastAsia="宋体" w:cs="宋体"/>
                <w:b w:val="0"/>
                <w:bCs w:val="0"/>
                <w:color w:val="auto"/>
                <w:kern w:val="0"/>
                <w:sz w:val="21"/>
                <w:szCs w:val="21"/>
                <w:highlight w:val="none"/>
                <w:lang w:val="en-US" w:eastAsia="zh-CN" w:bidi="ar"/>
              </w:rPr>
              <w:t>五、清枪站</w:t>
            </w:r>
          </w:p>
          <w:p w14:paraId="129884A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具备电气控制清枪、喷油、剪丝、TCP标定点等主要功能。</w:t>
            </w:r>
          </w:p>
          <w:p w14:paraId="35DFC68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总体技术参数</w:t>
            </w:r>
          </w:p>
          <w:p w14:paraId="03DB3E5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（1）压缩空气气源：无油干燥压缩空气，6bar；</w:t>
            </w:r>
          </w:p>
          <w:p w14:paraId="370EC4E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（2）所需空气量：大约每秒 10升；</w:t>
            </w:r>
          </w:p>
          <w:p w14:paraId="32A7B27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（3）程序控制：气动；</w:t>
            </w:r>
          </w:p>
          <w:p w14:paraId="1425372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（4）电压：U=24V DC，Imax=0.15A；</w:t>
            </w:r>
          </w:p>
          <w:p w14:paraId="1249B8F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（5）清枪时间：约 4～5 秒；</w:t>
            </w:r>
          </w:p>
          <w:p w14:paraId="4175DE2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（6）防飞溅剂容量：500ml。</w:t>
            </w:r>
          </w:p>
          <w:p w14:paraId="1272A87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输入信号：开始清枪信号、剪丝信号。</w:t>
            </w:r>
          </w:p>
          <w:p w14:paraId="30ACB11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输出信号：打开夹紧气缸、检测铰刀上升。</w:t>
            </w:r>
          </w:p>
          <w:p w14:paraId="3431B60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六、二维柔性平台</w:t>
            </w:r>
          </w:p>
          <w:p w14:paraId="42077B0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由工作台面和立柱组成，工作台面具备定位孔和锁紧孔，可适配多种焊接工件，采用快速工装进行装夹，具有快捷、精度高等特点（定制工作台）。</w:t>
            </w:r>
          </w:p>
          <w:p w14:paraId="606B1C6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钢板材质，面板尺寸（长×宽）：≥800×600mm；</w:t>
            </w:r>
          </w:p>
          <w:p w14:paraId="0533E18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立柱直径：≥60mm；</w:t>
            </w:r>
          </w:p>
          <w:p w14:paraId="4F257BA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台面开孔尺寸≥φ16mm，并刻有网格线，便于定位。</w:t>
            </w:r>
          </w:p>
          <w:p w14:paraId="0B7C17C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七、焊烟净化器</w:t>
            </w:r>
          </w:p>
          <w:p w14:paraId="34BA703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 xml:space="preserve">焊烟净化器采用小型化设计，底部装有万向轮；        </w:t>
            </w:r>
          </w:p>
          <w:p w14:paraId="0EBF183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处理风量：≥2400m³/h；</w:t>
            </w:r>
          </w:p>
          <w:p w14:paraId="203EC79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工作电压：220V；</w:t>
            </w:r>
          </w:p>
          <w:p w14:paraId="3CAC60C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配置机械臂，可手动360°自由悬停。</w:t>
            </w:r>
          </w:p>
          <w:p w14:paraId="4555184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八、安全防护栏</w:t>
            </w:r>
          </w:p>
          <w:p w14:paraId="35E9A32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金属材质制作，单片尺寸≥1m×1m；</w:t>
            </w:r>
          </w:p>
          <w:p w14:paraId="24C6049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现场可快速进行拼接，拼接完成后，整体≥3m×3m×1m。</w:t>
            </w:r>
          </w:p>
          <w:p w14:paraId="002742C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九、空压机</w:t>
            </w:r>
          </w:p>
          <w:p w14:paraId="4AE9AD1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容量9L及以上静音无油空压机，采用纯铜电机；</w:t>
            </w:r>
          </w:p>
          <w:p w14:paraId="5DBB331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工作电压220V，50HZ；</w:t>
            </w:r>
          </w:p>
          <w:p w14:paraId="2368D88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最大压力可达0.7MPa。</w:t>
            </w:r>
          </w:p>
          <w:p w14:paraId="4607785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十、工装夹具</w:t>
            </w:r>
          </w:p>
          <w:p w14:paraId="77238F8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配套快速定位工装夹具：</w:t>
            </w:r>
          </w:p>
          <w:p w14:paraId="7C5544E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（1）锁紧销≥10个；</w:t>
            </w:r>
          </w:p>
          <w:p w14:paraId="17D3FC5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（2）定位平尺≥4个；</w:t>
            </w:r>
          </w:p>
          <w:p w14:paraId="1960D47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（3）平面角尺≥2个；</w:t>
            </w:r>
          </w:p>
          <w:p w14:paraId="2AEC770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（4）T型角尺≥2个；</w:t>
            </w:r>
          </w:p>
          <w:p w14:paraId="7844F7C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（5）180度压紧器≥2个。</w:t>
            </w:r>
          </w:p>
          <w:p w14:paraId="7D555E6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lang w:val="en-US" w:eastAsia="zh-CN" w:bidi="ar"/>
              </w:rPr>
              <w:t>十一、配套实训资源</w:t>
            </w:r>
          </w:p>
          <w:p w14:paraId="24C6E73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配套实训指导书资源：包含焊接机器人系统认知、焊接机器人操作与编程2个项目，共计9个子任务。</w:t>
            </w:r>
          </w:p>
          <w:p w14:paraId="3BB878B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配套PPT资源：包含《工业机器人基本认知》、《工业机器人基本操作》、《工业机器人指令操作与编程》、《设备简介》4个教学PPT资源。</w:t>
            </w:r>
          </w:p>
          <w:p w14:paraId="7934AB1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配套应用案例：包含工业现场焊接应用视频10个。</w:t>
            </w:r>
          </w:p>
          <w:p w14:paraId="353C712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随机附带资料，包括以下内容：</w:t>
            </w:r>
          </w:p>
          <w:p w14:paraId="74E87FC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机器人程序、电气原理图、IO表。</w:t>
            </w:r>
          </w:p>
          <w:p w14:paraId="1533342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lang w:val="en-US" w:eastAsia="zh-CN" w:bidi="ar"/>
              </w:rPr>
              <w:t>十二、配套控制器调试操作软件</w:t>
            </w:r>
          </w:p>
          <w:p w14:paraId="1229153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该软件是一款基于 Windows 平台的机器人调试软件， 提供示教、终端、采集、仿真等多种功能，可满足多种场景的调试需求。 </w:t>
            </w:r>
          </w:p>
          <w:p w14:paraId="0F3A48F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具有以下功能：</w:t>
            </w:r>
          </w:p>
          <w:p w14:paraId="1D09363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具备【控制器监视器】功能，包括、新建、配置、移除、注册、升级、连接、断开等功能；</w:t>
            </w:r>
          </w:p>
          <w:p w14:paraId="58CD88E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具备【状态】用于显示当前机器人状态信息功能，包含使能状态、当前轴组、坐标系显示切换、当前工具号、当前工件号状态；</w:t>
            </w:r>
          </w:p>
          <w:p w14:paraId="343E0C4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具备【面板】常规机器人操作控制面板功能，包含使能开关、运动模式切换、点动、寸动、增量寸动距离设置、倍率修调、控制器选项、组选项、工具选择、工件选择、点动、定义关节/笛卡尔坐标、关节、关节运动/直线运动到点功能；</w:t>
            </w:r>
          </w:p>
          <w:p w14:paraId="7B9DE93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具备【终端】可以使用终端命令与控制器进行数据交互及消息显示功能；</w:t>
            </w:r>
          </w:p>
          <w:p w14:paraId="4E35316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能对机器人各轴指令位置、反馈位置、速度、加速度等信息进行采集，并图形化显示，并导出采集文件；</w:t>
            </w:r>
          </w:p>
          <w:p w14:paraId="6C05616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6.</w:t>
            </w:r>
            <w:r>
              <w:rPr>
                <w:rFonts w:hint="eastAsia" w:ascii="宋体" w:hAnsi="宋体" w:eastAsia="宋体" w:cs="宋体"/>
                <w:b w:val="0"/>
                <w:bCs w:val="0"/>
                <w:color w:val="auto"/>
                <w:kern w:val="0"/>
                <w:sz w:val="21"/>
                <w:szCs w:val="21"/>
                <w:highlight w:val="none"/>
                <w:lang w:val="en-US" w:eastAsia="zh-CN" w:bidi="ar"/>
              </w:rPr>
              <w:t>能对IO 列表可进行，IO 真实或虚拟切换、设置 IO 信号、以及进行外部运行调试；</w:t>
            </w:r>
          </w:p>
          <w:p w14:paraId="4093D90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
              </w:rPr>
              <w:t>7.</w:t>
            </w:r>
            <w:r>
              <w:rPr>
                <w:rFonts w:hint="eastAsia" w:ascii="宋体" w:hAnsi="宋体" w:eastAsia="宋体" w:cs="宋体"/>
                <w:b w:val="0"/>
                <w:bCs w:val="0"/>
                <w:color w:val="auto"/>
                <w:kern w:val="0"/>
                <w:sz w:val="21"/>
                <w:szCs w:val="21"/>
                <w:highlight w:val="none"/>
                <w:lang w:val="en-US" w:eastAsia="zh-CN" w:bidi="ar"/>
              </w:rPr>
              <w:t>对机器人控制器参数进行设置、修改、导入、导出等功能。</w:t>
            </w:r>
            <w:r>
              <w:rPr>
                <w:rFonts w:hint="eastAsia" w:ascii="宋体" w:hAnsi="宋体" w:eastAsia="宋体" w:cs="宋体"/>
                <w:b w:val="0"/>
                <w:bCs w:val="0"/>
                <w:color w:val="auto"/>
                <w:kern w:val="0"/>
                <w:sz w:val="21"/>
                <w:szCs w:val="21"/>
                <w:highlight w:val="none"/>
                <w:lang w:val="en-US" w:eastAsia="zh-CN" w:bidi="ar-SA"/>
              </w:rPr>
              <w:tab/>
            </w:r>
          </w:p>
        </w:tc>
        <w:tc>
          <w:tcPr>
            <w:tcW w:w="505" w:type="dxa"/>
            <w:noWrap w:val="0"/>
            <w:vAlign w:val="center"/>
          </w:tcPr>
          <w:p w14:paraId="537215D0">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7B6B162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718" w:type="dxa"/>
            <w:noWrap w:val="0"/>
            <w:vAlign w:val="center"/>
          </w:tcPr>
          <w:p w14:paraId="20E7659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w:t>
            </w:r>
          </w:p>
        </w:tc>
      </w:tr>
      <w:tr w14:paraId="36A1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24D6112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239" w:type="dxa"/>
            <w:noWrap w:val="0"/>
            <w:vAlign w:val="center"/>
          </w:tcPr>
          <w:p w14:paraId="405FC34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szCs w:val="21"/>
                <w:highlight w:val="none"/>
              </w:rPr>
              <w:t>自治区教学成果奖</w:t>
            </w:r>
            <w:r>
              <w:rPr>
                <w:rFonts w:hint="eastAsia" w:ascii="宋体" w:hAnsi="宋体" w:cs="宋体"/>
                <w:b w:val="0"/>
                <w:bCs w:val="0"/>
                <w:color w:val="auto"/>
                <w:szCs w:val="21"/>
                <w:highlight w:val="none"/>
                <w:lang w:eastAsia="zh-CN"/>
              </w:rPr>
              <w:t>培育</w:t>
            </w:r>
          </w:p>
        </w:tc>
        <w:tc>
          <w:tcPr>
            <w:tcW w:w="6390" w:type="dxa"/>
            <w:gridSpan w:val="2"/>
            <w:noWrap w:val="0"/>
            <w:vAlign w:val="center"/>
          </w:tcPr>
          <w:p w14:paraId="1D660F2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一</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邀请专家指导</w:t>
            </w:r>
            <w:r>
              <w:rPr>
                <w:rFonts w:hint="eastAsia" w:ascii="宋体" w:hAnsi="宋体" w:eastAsia="宋体" w:cs="宋体"/>
                <w:b w:val="0"/>
                <w:bCs w:val="0"/>
                <w:color w:val="auto"/>
                <w:kern w:val="0"/>
                <w:sz w:val="21"/>
                <w:szCs w:val="21"/>
                <w:highlight w:val="none"/>
                <w:lang w:eastAsia="zh-CN" w:bidi="ar"/>
              </w:rPr>
              <w:t>（线上</w:t>
            </w: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eastAsia="zh-CN" w:bidi="ar"/>
              </w:rPr>
              <w:t>个月，线下</w:t>
            </w:r>
            <w:r>
              <w:rPr>
                <w:rFonts w:hint="eastAsia" w:ascii="宋体" w:hAnsi="宋体" w:eastAsia="宋体" w:cs="宋体"/>
                <w:b w:val="0"/>
                <w:bCs w:val="0"/>
                <w:color w:val="auto"/>
                <w:kern w:val="0"/>
                <w:sz w:val="21"/>
                <w:szCs w:val="21"/>
                <w:highlight w:val="none"/>
                <w:lang w:val="en-US" w:eastAsia="zh-CN" w:bidi="ar"/>
              </w:rPr>
              <w:t>3天</w:t>
            </w:r>
            <w:r>
              <w:rPr>
                <w:rFonts w:hint="eastAsia" w:ascii="宋体" w:hAnsi="宋体" w:eastAsia="宋体" w:cs="宋体"/>
                <w:b w:val="0"/>
                <w:bCs w:val="0"/>
                <w:color w:val="auto"/>
                <w:kern w:val="0"/>
                <w:sz w:val="21"/>
                <w:szCs w:val="21"/>
                <w:highlight w:val="none"/>
                <w:lang w:eastAsia="zh-CN" w:bidi="ar"/>
              </w:rPr>
              <w:t>）：</w:t>
            </w:r>
          </w:p>
          <w:p w14:paraId="3C6BF52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eastAsia="zh-CN" w:bidi="ar"/>
              </w:rPr>
              <w:t>申报书的撰写以及申报材料的制作技巧。</w:t>
            </w:r>
          </w:p>
          <w:p w14:paraId="1E8A293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eastAsia="zh-CN" w:bidi="ar"/>
              </w:rPr>
              <w:t>教学成果奖的佐证与展示。</w:t>
            </w:r>
          </w:p>
          <w:p w14:paraId="0762571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eastAsia="zh-CN" w:bidi="ar"/>
              </w:rPr>
              <w:t>日常如何培育教学成果奖。</w:t>
            </w:r>
          </w:p>
          <w:p w14:paraId="2518C9C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eastAsia="zh-CN" w:bidi="ar"/>
              </w:rPr>
              <w:t>与本校相近的案例解析。</w:t>
            </w:r>
          </w:p>
          <w:p w14:paraId="23348EC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eastAsia="zh-CN" w:bidi="ar"/>
              </w:rPr>
              <w:t>结合当前本校基础，拟定方向。</w:t>
            </w:r>
          </w:p>
          <w:p w14:paraId="0E9B442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6.对材料进行打磨、进行答辩模拟。</w:t>
            </w:r>
          </w:p>
          <w:p w14:paraId="0A82A34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7.对数据进行验证、对文案进行优化。</w:t>
            </w:r>
          </w:p>
          <w:p w14:paraId="22CC980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专家资质要求：省级教学成果特等奖主持人或前三参与者。</w:t>
            </w:r>
          </w:p>
          <w:p w14:paraId="10B246B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二、</w:t>
            </w:r>
            <w:r>
              <w:rPr>
                <w:rFonts w:hint="eastAsia" w:ascii="宋体" w:hAnsi="宋体" w:eastAsia="宋体" w:cs="宋体"/>
                <w:b w:val="0"/>
                <w:bCs w:val="0"/>
                <w:color w:val="auto"/>
                <w:kern w:val="0"/>
                <w:sz w:val="21"/>
                <w:szCs w:val="21"/>
                <w:highlight w:val="none"/>
                <w:lang w:val="en-US" w:eastAsia="zh-CN" w:bidi="ar"/>
              </w:rPr>
              <w:t>6位专业教师</w:t>
            </w:r>
            <w:r>
              <w:rPr>
                <w:rFonts w:hint="eastAsia" w:ascii="宋体" w:hAnsi="宋体" w:eastAsia="宋体" w:cs="宋体"/>
                <w:b w:val="0"/>
                <w:bCs w:val="0"/>
                <w:color w:val="auto"/>
                <w:kern w:val="0"/>
                <w:sz w:val="21"/>
                <w:szCs w:val="21"/>
                <w:highlight w:val="none"/>
                <w:lang w:eastAsia="zh-CN" w:bidi="ar"/>
              </w:rPr>
              <w:t>外出与高质量双优或双高建设院校进行学习（</w:t>
            </w:r>
            <w:r>
              <w:rPr>
                <w:rFonts w:hint="eastAsia" w:ascii="宋体" w:hAnsi="宋体" w:eastAsia="宋体" w:cs="宋体"/>
                <w:b w:val="0"/>
                <w:bCs w:val="0"/>
                <w:color w:val="auto"/>
                <w:kern w:val="0"/>
                <w:sz w:val="21"/>
                <w:szCs w:val="21"/>
                <w:highlight w:val="none"/>
                <w:lang w:val="en-US" w:eastAsia="zh-CN" w:bidi="ar"/>
              </w:rPr>
              <w:t>3天</w:t>
            </w:r>
            <w:r>
              <w:rPr>
                <w:rFonts w:hint="eastAsia" w:ascii="宋体" w:hAnsi="宋体" w:eastAsia="宋体" w:cs="宋体"/>
                <w:b w:val="0"/>
                <w:bCs w:val="0"/>
                <w:color w:val="auto"/>
                <w:kern w:val="0"/>
                <w:sz w:val="21"/>
                <w:szCs w:val="21"/>
                <w:highlight w:val="none"/>
                <w:lang w:eastAsia="zh-CN" w:bidi="ar"/>
              </w:rPr>
              <w:t>）</w:t>
            </w:r>
          </w:p>
          <w:p w14:paraId="6EC427F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1.参观、听课、座谈。</w:t>
            </w:r>
          </w:p>
          <w:p w14:paraId="53EBE6F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2.提炼可复制的"双优"建设经验，获得对应特色案例1份。</w:t>
            </w:r>
          </w:p>
          <w:p w14:paraId="2416F8B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3.地点：已完成本项验收的优质专业（数控）职业院校或已完成中期验收的双优职业院校。</w:t>
            </w:r>
          </w:p>
        </w:tc>
        <w:tc>
          <w:tcPr>
            <w:tcW w:w="505" w:type="dxa"/>
            <w:noWrap w:val="0"/>
            <w:vAlign w:val="center"/>
          </w:tcPr>
          <w:p w14:paraId="490C0C6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5CD73005">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w:t>
            </w:r>
          </w:p>
        </w:tc>
        <w:tc>
          <w:tcPr>
            <w:tcW w:w="718" w:type="dxa"/>
            <w:noWrap w:val="0"/>
            <w:vAlign w:val="center"/>
          </w:tcPr>
          <w:p w14:paraId="5896ACFC">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r>
      <w:tr w14:paraId="1356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364FF3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5</w:t>
            </w:r>
          </w:p>
        </w:tc>
        <w:tc>
          <w:tcPr>
            <w:tcW w:w="1239" w:type="dxa"/>
            <w:noWrap w:val="0"/>
            <w:vAlign w:val="center"/>
          </w:tcPr>
          <w:p w14:paraId="2C8F380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自治区重点课题研究</w:t>
            </w:r>
          </w:p>
        </w:tc>
        <w:tc>
          <w:tcPr>
            <w:tcW w:w="6390" w:type="dxa"/>
            <w:gridSpan w:val="2"/>
            <w:noWrap w:val="0"/>
            <w:vAlign w:val="center"/>
          </w:tcPr>
          <w:p w14:paraId="1232C64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一、邀请专家进行指导：</w:t>
            </w:r>
          </w:p>
          <w:p w14:paraId="278EB51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1.指导完成研究报告。</w:t>
            </w:r>
          </w:p>
          <w:p w14:paraId="436A078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2.指导完成预期成果内容的撰写与论证。</w:t>
            </w:r>
          </w:p>
          <w:p w14:paraId="1FA95F8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3.完成2篇论文发表，刊物应在知网、维普或万方其中一个收录。</w:t>
            </w:r>
          </w:p>
          <w:p w14:paraId="010FD5D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专家资质：已经结题的社区教育类重点课题主持人。</w:t>
            </w:r>
          </w:p>
        </w:tc>
        <w:tc>
          <w:tcPr>
            <w:tcW w:w="505" w:type="dxa"/>
            <w:noWrap w:val="0"/>
            <w:vAlign w:val="center"/>
          </w:tcPr>
          <w:p w14:paraId="4706E19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036D6C7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w:t>
            </w:r>
          </w:p>
        </w:tc>
        <w:tc>
          <w:tcPr>
            <w:tcW w:w="718" w:type="dxa"/>
            <w:noWrap w:val="0"/>
            <w:vAlign w:val="center"/>
          </w:tcPr>
          <w:p w14:paraId="4EFFAA9A">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w:t>
            </w:r>
          </w:p>
        </w:tc>
      </w:tr>
      <w:tr w14:paraId="38A4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75987A7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6</w:t>
            </w:r>
          </w:p>
        </w:tc>
        <w:tc>
          <w:tcPr>
            <w:tcW w:w="1239" w:type="dxa"/>
            <w:noWrap w:val="0"/>
            <w:vAlign w:val="center"/>
          </w:tcPr>
          <w:p w14:paraId="2D04860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社会培训（乡村振兴培训）</w:t>
            </w:r>
          </w:p>
        </w:tc>
        <w:tc>
          <w:tcPr>
            <w:tcW w:w="6390" w:type="dxa"/>
            <w:gridSpan w:val="2"/>
            <w:noWrap w:val="0"/>
            <w:vAlign w:val="center"/>
          </w:tcPr>
          <w:p w14:paraId="4C05AA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参加社会培训</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eastAsia="zh-CN"/>
              </w:rPr>
              <w:t>组织与本专业相关的人员培训</w:t>
            </w:r>
          </w:p>
          <w:p w14:paraId="5973D09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组织村书记学习</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eastAsia="zh-CN"/>
              </w:rPr>
              <w:t>组织村书记参加乡村振兴培训</w:t>
            </w:r>
          </w:p>
          <w:p w14:paraId="14EBA64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3.培训人数：300人</w:t>
            </w:r>
          </w:p>
        </w:tc>
        <w:tc>
          <w:tcPr>
            <w:tcW w:w="505" w:type="dxa"/>
            <w:noWrap w:val="0"/>
            <w:vAlign w:val="center"/>
          </w:tcPr>
          <w:p w14:paraId="2917BAF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7F4D617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w:t>
            </w:r>
          </w:p>
        </w:tc>
        <w:tc>
          <w:tcPr>
            <w:tcW w:w="718" w:type="dxa"/>
            <w:noWrap w:val="0"/>
            <w:vAlign w:val="center"/>
          </w:tcPr>
          <w:p w14:paraId="5D2E3B9C">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w:t>
            </w:r>
          </w:p>
        </w:tc>
      </w:tr>
      <w:tr w14:paraId="71DD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DCEB4B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7</w:t>
            </w:r>
          </w:p>
        </w:tc>
        <w:tc>
          <w:tcPr>
            <w:tcW w:w="1239" w:type="dxa"/>
            <w:noWrap w:val="0"/>
            <w:vAlign w:val="center"/>
          </w:tcPr>
          <w:p w14:paraId="31C95F1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教学资源库建设</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精品课程培育</w:t>
            </w:r>
            <w:r>
              <w:rPr>
                <w:rFonts w:hint="eastAsia" w:ascii="宋体" w:hAnsi="宋体" w:eastAsia="宋体" w:cs="宋体"/>
                <w:color w:val="auto"/>
                <w:kern w:val="0"/>
                <w:sz w:val="21"/>
                <w:szCs w:val="21"/>
                <w:highlight w:val="none"/>
                <w:lang w:eastAsia="zh-CN" w:bidi="ar"/>
              </w:rPr>
              <w:t>）</w:t>
            </w:r>
          </w:p>
        </w:tc>
        <w:tc>
          <w:tcPr>
            <w:tcW w:w="6390" w:type="dxa"/>
            <w:gridSpan w:val="2"/>
            <w:noWrap w:val="0"/>
            <w:vAlign w:val="center"/>
          </w:tcPr>
          <w:p w14:paraId="300B01CC">
            <w:pPr>
              <w:spacing w:before="89" w:line="219" w:lineRule="auto"/>
              <w:ind w:left="64"/>
              <w:rPr>
                <w:rFonts w:ascii="宋体" w:hAnsi="宋体" w:eastAsia="宋体" w:cs="宋体"/>
                <w:color w:val="auto"/>
                <w:sz w:val="18"/>
                <w:szCs w:val="18"/>
                <w:highlight w:val="none"/>
              </w:rPr>
            </w:pPr>
            <w:r>
              <w:rPr>
                <w:rFonts w:ascii="宋体" w:hAnsi="宋体" w:eastAsia="宋体" w:cs="宋体"/>
                <w:b/>
                <w:bCs/>
                <w:color w:val="auto"/>
                <w:spacing w:val="-5"/>
                <w:sz w:val="18"/>
                <w:szCs w:val="18"/>
                <w:highlight w:val="none"/>
              </w:rPr>
              <w:t>一、内容要求</w:t>
            </w:r>
          </w:p>
          <w:p w14:paraId="76313CF5">
            <w:pPr>
              <w:widowControl/>
              <w:spacing w:line="340" w:lineRule="exact"/>
              <w:textAlignment w:val="center"/>
              <w:rPr>
                <w:rFonts w:hint="eastAsia" w:ascii="宋体" w:hAnsi="宋体" w:cs="仿宋_GB2312"/>
                <w:color w:val="auto"/>
                <w:szCs w:val="21"/>
                <w:highlight w:val="none"/>
              </w:rPr>
            </w:pPr>
            <w:r>
              <w:rPr>
                <w:rFonts w:hint="eastAsia" w:ascii="宋体" w:hAnsi="宋体" w:cs="仿宋_GB2312"/>
                <w:color w:val="auto"/>
                <w:szCs w:val="21"/>
                <w:highlight w:val="none"/>
              </w:rPr>
              <w:t>1</w:t>
            </w:r>
            <w:r>
              <w:rPr>
                <w:rFonts w:hint="eastAsia" w:ascii="宋体" w:hAnsi="宋体" w:cs="仿宋_GB2312"/>
                <w:color w:val="auto"/>
                <w:szCs w:val="21"/>
                <w:highlight w:val="none"/>
                <w:lang w:val="en-US" w:eastAsia="zh-CN"/>
              </w:rPr>
              <w:t>.</w:t>
            </w:r>
            <w:r>
              <w:rPr>
                <w:rFonts w:hint="eastAsia" w:ascii="宋体" w:hAnsi="宋体" w:cs="仿宋_GB2312"/>
                <w:color w:val="auto"/>
                <w:szCs w:val="21"/>
                <w:highlight w:val="none"/>
              </w:rPr>
              <w:t>指导完成2门在线课程建设，课程内容体现新知识、新技术、新工艺、新方法，与行业先进水平保持同步。</w:t>
            </w:r>
          </w:p>
          <w:p w14:paraId="6B29A0EA">
            <w:pPr>
              <w:widowControl/>
              <w:spacing w:line="340" w:lineRule="exact"/>
              <w:textAlignment w:val="center"/>
              <w:rPr>
                <w:rFonts w:hint="eastAsia" w:ascii="宋体" w:hAnsi="宋体" w:cs="仿宋_GB2312"/>
                <w:color w:val="auto"/>
                <w:szCs w:val="21"/>
                <w:highlight w:val="none"/>
              </w:rPr>
            </w:pPr>
            <w:r>
              <w:rPr>
                <w:rFonts w:hint="eastAsia" w:ascii="宋体" w:hAnsi="宋体" w:cs="仿宋_GB2312"/>
                <w:color w:val="auto"/>
                <w:szCs w:val="21"/>
                <w:highlight w:val="none"/>
              </w:rPr>
              <w:t>2</w:t>
            </w:r>
            <w:r>
              <w:rPr>
                <w:rFonts w:hint="eastAsia" w:ascii="宋体" w:hAnsi="宋体" w:cs="仿宋_GB2312"/>
                <w:color w:val="auto"/>
                <w:szCs w:val="21"/>
                <w:highlight w:val="none"/>
                <w:lang w:val="en-US" w:eastAsia="zh-CN"/>
              </w:rPr>
              <w:t>.</w:t>
            </w:r>
            <w:r>
              <w:rPr>
                <w:rFonts w:hint="eastAsia" w:ascii="宋体" w:hAnsi="宋体" w:cs="仿宋_GB2312"/>
                <w:color w:val="auto"/>
                <w:szCs w:val="21"/>
                <w:highlight w:val="none"/>
              </w:rPr>
              <w:t>建设成果：数字教材平台账号、数字教材内容和资源。</w:t>
            </w:r>
          </w:p>
          <w:p w14:paraId="63AD416A">
            <w:pPr>
              <w:spacing w:before="105" w:line="219" w:lineRule="auto"/>
              <w:ind w:left="54"/>
              <w:rPr>
                <w:rFonts w:ascii="宋体" w:hAnsi="宋体" w:eastAsia="宋体" w:cs="宋体"/>
                <w:color w:val="auto"/>
                <w:sz w:val="18"/>
                <w:szCs w:val="18"/>
                <w:highlight w:val="none"/>
              </w:rPr>
            </w:pPr>
            <w:r>
              <w:rPr>
                <w:rFonts w:ascii="宋体" w:hAnsi="宋体" w:eastAsia="宋体" w:cs="宋体"/>
                <w:b/>
                <w:bCs/>
                <w:color w:val="auto"/>
                <w:spacing w:val="-4"/>
                <w:sz w:val="18"/>
                <w:szCs w:val="18"/>
                <w:highlight w:val="none"/>
              </w:rPr>
              <w:t>二、服务要求</w:t>
            </w:r>
          </w:p>
          <w:p w14:paraId="05EDE20E">
            <w:pPr>
              <w:spacing w:before="78" w:line="199" w:lineRule="auto"/>
              <w:ind w:left="37" w:leftChars="0"/>
              <w:rPr>
                <w:rFonts w:ascii="宋体" w:hAnsi="宋体" w:eastAsia="宋体" w:cs="宋体"/>
                <w:color w:val="auto"/>
                <w:sz w:val="18"/>
                <w:szCs w:val="18"/>
                <w:highlight w:val="none"/>
              </w:rPr>
            </w:pPr>
            <w:r>
              <w:rPr>
                <w:rFonts w:ascii="宋体" w:hAnsi="宋体" w:eastAsia="宋体" w:cs="宋体"/>
                <w:b/>
                <w:bCs/>
                <w:color w:val="auto"/>
                <w:spacing w:val="-4"/>
                <w:sz w:val="18"/>
                <w:szCs w:val="18"/>
                <w:highlight w:val="none"/>
              </w:rPr>
              <w:t>资源数量要求</w:t>
            </w:r>
          </w:p>
          <w:tbl>
            <w:tblPr>
              <w:tblStyle w:val="38"/>
              <w:tblW w:w="7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73"/>
              <w:gridCol w:w="1201"/>
              <w:gridCol w:w="4359"/>
            </w:tblGrid>
            <w:tr w14:paraId="3E37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textDirection w:val="tbRlV"/>
                  <w:vAlign w:val="top"/>
                </w:tcPr>
                <w:p w14:paraId="29F46332">
                  <w:pPr>
                    <w:spacing w:before="78" w:line="199" w:lineRule="auto"/>
                    <w:ind w:left="37" w:leftChars="0" w:firstLine="180" w:firstLineChars="1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序 号</w:t>
                  </w:r>
                </w:p>
                <w:p w14:paraId="7605994C">
                  <w:pPr>
                    <w:spacing w:before="78" w:line="199" w:lineRule="auto"/>
                    <w:ind w:left="37" w:leftChars="0"/>
                    <w:rPr>
                      <w:rFonts w:ascii="宋体" w:hAnsi="宋体" w:eastAsia="宋体" w:cs="宋体"/>
                      <w:color w:val="auto"/>
                      <w:sz w:val="18"/>
                      <w:szCs w:val="18"/>
                      <w:highlight w:val="none"/>
                    </w:rPr>
                  </w:pPr>
                </w:p>
                <w:p w14:paraId="3A2EFF4F">
                  <w:pPr>
                    <w:spacing w:before="78" w:line="199" w:lineRule="auto"/>
                    <w:ind w:left="37"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序号</w:t>
                  </w:r>
                </w:p>
              </w:tc>
              <w:tc>
                <w:tcPr>
                  <w:tcW w:w="1073" w:type="dxa"/>
                  <w:shd w:val="clear" w:color="auto" w:fill="auto"/>
                  <w:vAlign w:val="top"/>
                </w:tcPr>
                <w:p w14:paraId="4C922365">
                  <w:pPr>
                    <w:spacing w:before="95" w:line="221" w:lineRule="auto"/>
                    <w:ind w:left="7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资源</w:t>
                  </w:r>
                </w:p>
                <w:p w14:paraId="2DBFD863">
                  <w:pPr>
                    <w:spacing w:before="103" w:line="201" w:lineRule="auto"/>
                    <w:ind w:left="7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类型</w:t>
                  </w:r>
                </w:p>
              </w:tc>
              <w:tc>
                <w:tcPr>
                  <w:tcW w:w="1201" w:type="dxa"/>
                  <w:shd w:val="clear" w:color="auto" w:fill="auto"/>
                  <w:vAlign w:val="top"/>
                </w:tcPr>
                <w:p w14:paraId="3ADCB728">
                  <w:pPr>
                    <w:spacing w:before="224" w:line="219" w:lineRule="auto"/>
                    <w:ind w:left="33"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3"/>
                      <w:sz w:val="18"/>
                      <w:szCs w:val="18"/>
                      <w:highlight w:val="none"/>
                    </w:rPr>
                    <w:t>数量</w:t>
                  </w:r>
                </w:p>
              </w:tc>
              <w:tc>
                <w:tcPr>
                  <w:tcW w:w="4359" w:type="dxa"/>
                  <w:shd w:val="clear" w:color="auto" w:fill="auto"/>
                  <w:vAlign w:val="top"/>
                </w:tcPr>
                <w:p w14:paraId="6DC909D7">
                  <w:pPr>
                    <w:spacing w:before="225" w:line="221" w:lineRule="auto"/>
                    <w:ind w:left="94"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3"/>
                      <w:sz w:val="18"/>
                      <w:szCs w:val="18"/>
                      <w:highlight w:val="none"/>
                    </w:rPr>
                    <w:t>备注</w:t>
                  </w:r>
                </w:p>
              </w:tc>
            </w:tr>
            <w:tr w14:paraId="7BC6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06F6A498">
                  <w:pPr>
                    <w:spacing w:before="262" w:line="241" w:lineRule="auto"/>
                    <w:ind w:left="10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1</w:t>
                  </w:r>
                </w:p>
              </w:tc>
              <w:tc>
                <w:tcPr>
                  <w:tcW w:w="1073" w:type="dxa"/>
                  <w:shd w:val="clear" w:color="auto" w:fill="auto"/>
                  <w:vAlign w:val="top"/>
                </w:tcPr>
                <w:p w14:paraId="79B7E2E7">
                  <w:pPr>
                    <w:spacing w:before="104" w:line="274" w:lineRule="auto"/>
                    <w:ind w:left="72" w:leftChars="0" w:right="392" w:righ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4"/>
                      <w:sz w:val="18"/>
                      <w:szCs w:val="18"/>
                      <w:highlight w:val="none"/>
                    </w:rPr>
                    <w:t>课程</w:t>
                  </w:r>
                  <w:r>
                    <w:rPr>
                      <w:rFonts w:ascii="宋体" w:hAnsi="宋体" w:eastAsia="宋体" w:cs="宋体"/>
                      <w:color w:val="auto"/>
                      <w:spacing w:val="7"/>
                      <w:sz w:val="18"/>
                      <w:szCs w:val="18"/>
                      <w:highlight w:val="none"/>
                    </w:rPr>
                    <w:t>介绍</w:t>
                  </w:r>
                </w:p>
              </w:tc>
              <w:tc>
                <w:tcPr>
                  <w:tcW w:w="1201" w:type="dxa"/>
                  <w:shd w:val="clear" w:color="auto" w:fill="auto"/>
                  <w:vAlign w:val="top"/>
                </w:tcPr>
                <w:p w14:paraId="14A9D9E5">
                  <w:pPr>
                    <w:spacing w:before="244" w:line="219" w:lineRule="auto"/>
                    <w:ind w:left="33" w:leftChars="0"/>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pacing w:val="-2"/>
                      <w:sz w:val="18"/>
                      <w:szCs w:val="18"/>
                      <w:highlight w:val="none"/>
                      <w:lang w:val="en-US" w:eastAsia="zh-CN"/>
                    </w:rPr>
                    <w:t>1个/门</w:t>
                  </w:r>
                </w:p>
              </w:tc>
              <w:tc>
                <w:tcPr>
                  <w:tcW w:w="4359" w:type="dxa"/>
                  <w:shd w:val="clear" w:color="auto" w:fill="auto"/>
                  <w:vAlign w:val="top"/>
                </w:tcPr>
                <w:p w14:paraId="32A51C6B">
                  <w:pPr>
                    <w:spacing w:before="245" w:line="220" w:lineRule="auto"/>
                    <w:ind w:left="94"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5-10分钟视频</w:t>
                  </w:r>
                </w:p>
              </w:tc>
            </w:tr>
            <w:tr w14:paraId="3D1F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7618B64C">
                  <w:pPr>
                    <w:pStyle w:val="147"/>
                    <w:spacing w:line="330" w:lineRule="auto"/>
                    <w:rPr>
                      <w:color w:val="auto"/>
                      <w:highlight w:val="none"/>
                    </w:rPr>
                  </w:pPr>
                </w:p>
                <w:p w14:paraId="27DF6CC5">
                  <w:pPr>
                    <w:pStyle w:val="147"/>
                    <w:spacing w:line="330" w:lineRule="auto"/>
                    <w:rPr>
                      <w:color w:val="auto"/>
                      <w:highlight w:val="none"/>
                    </w:rPr>
                  </w:pPr>
                </w:p>
                <w:p w14:paraId="366865BC">
                  <w:pPr>
                    <w:spacing w:before="59" w:line="241" w:lineRule="auto"/>
                    <w:ind w:left="10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2</w:t>
                  </w:r>
                </w:p>
              </w:tc>
              <w:tc>
                <w:tcPr>
                  <w:tcW w:w="1073" w:type="dxa"/>
                  <w:shd w:val="clear" w:color="auto" w:fill="auto"/>
                  <w:vAlign w:val="top"/>
                </w:tcPr>
                <w:p w14:paraId="466EB7C9">
                  <w:pPr>
                    <w:pStyle w:val="147"/>
                    <w:spacing w:line="321" w:lineRule="auto"/>
                    <w:rPr>
                      <w:color w:val="auto"/>
                      <w:highlight w:val="none"/>
                    </w:rPr>
                  </w:pPr>
                </w:p>
                <w:p w14:paraId="72442C03">
                  <w:pPr>
                    <w:pStyle w:val="147"/>
                    <w:spacing w:line="321" w:lineRule="auto"/>
                    <w:rPr>
                      <w:color w:val="auto"/>
                      <w:highlight w:val="none"/>
                    </w:rPr>
                  </w:pPr>
                </w:p>
                <w:p w14:paraId="32967C30">
                  <w:pPr>
                    <w:spacing w:before="59" w:line="219" w:lineRule="auto"/>
                    <w:ind w:left="7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微课</w:t>
                  </w:r>
                </w:p>
              </w:tc>
              <w:tc>
                <w:tcPr>
                  <w:tcW w:w="1201" w:type="dxa"/>
                  <w:shd w:val="clear" w:color="auto" w:fill="auto"/>
                  <w:vAlign w:val="top"/>
                </w:tcPr>
                <w:p w14:paraId="6D8DF10B">
                  <w:pPr>
                    <w:tabs>
                      <w:tab w:val="left" w:pos="151"/>
                    </w:tabs>
                    <w:spacing w:before="115" w:line="298" w:lineRule="auto"/>
                    <w:ind w:left="33" w:leftChars="0" w:right="208" w:rightChars="0"/>
                    <w:jc w:val="both"/>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3"/>
                      <w:sz w:val="18"/>
                      <w:szCs w:val="18"/>
                      <w:highlight w:val="none"/>
                    </w:rPr>
                    <w:t>350分</w:t>
                  </w:r>
                  <w:r>
                    <w:rPr>
                      <w:rFonts w:ascii="宋体" w:hAnsi="宋体" w:eastAsia="宋体" w:cs="宋体"/>
                      <w:color w:val="auto"/>
                      <w:spacing w:val="6"/>
                      <w:sz w:val="18"/>
                      <w:szCs w:val="18"/>
                      <w:highlight w:val="none"/>
                    </w:rPr>
                    <w:t>钟/门</w:t>
                  </w:r>
                  <w:r>
                    <w:rPr>
                      <w:rFonts w:ascii="宋体" w:hAnsi="宋体" w:eastAsia="宋体" w:cs="宋体"/>
                      <w:color w:val="auto"/>
                      <w:sz w:val="18"/>
                      <w:szCs w:val="18"/>
                      <w:highlight w:val="none"/>
                    </w:rPr>
                    <w:tab/>
                  </w:r>
                  <w:r>
                    <w:rPr>
                      <w:rFonts w:ascii="宋体" w:hAnsi="宋体" w:eastAsia="宋体" w:cs="宋体"/>
                      <w:color w:val="auto"/>
                      <w:spacing w:val="2"/>
                      <w:sz w:val="18"/>
                      <w:szCs w:val="18"/>
                      <w:highlight w:val="none"/>
                    </w:rPr>
                    <w:t>(5个</w:t>
                  </w:r>
                  <w:r>
                    <w:rPr>
                      <w:rFonts w:ascii="宋体" w:hAnsi="宋体" w:eastAsia="宋体" w:cs="宋体"/>
                      <w:color w:val="auto"/>
                      <w:spacing w:val="-3"/>
                      <w:sz w:val="18"/>
                      <w:szCs w:val="18"/>
                      <w:highlight w:val="none"/>
                    </w:rPr>
                    <w:t>动画/</w:t>
                  </w:r>
                  <w:r>
                    <w:rPr>
                      <w:rFonts w:ascii="宋体" w:hAnsi="宋体" w:eastAsia="宋体" w:cs="宋体"/>
                      <w:color w:val="auto"/>
                      <w:spacing w:val="-14"/>
                      <w:sz w:val="18"/>
                      <w:szCs w:val="18"/>
                      <w:highlight w:val="none"/>
                    </w:rPr>
                    <w:t>门)</w:t>
                  </w:r>
                </w:p>
              </w:tc>
              <w:tc>
                <w:tcPr>
                  <w:tcW w:w="4359" w:type="dxa"/>
                  <w:shd w:val="clear" w:color="auto" w:fill="auto"/>
                  <w:vAlign w:val="top"/>
                </w:tcPr>
                <w:p w14:paraId="4F8AA508">
                  <w:pPr>
                    <w:spacing w:before="265" w:line="333" w:lineRule="auto"/>
                    <w:ind w:left="84" w:leftChars="0"/>
                    <w:jc w:val="both"/>
                    <w:rPr>
                      <w:rFonts w:ascii="宋体" w:hAnsi="宋体" w:eastAsia="宋体" w:cs="宋体"/>
                      <w:color w:val="auto"/>
                      <w:spacing w:val="-4"/>
                      <w:sz w:val="18"/>
                      <w:szCs w:val="18"/>
                      <w:highlight w:val="none"/>
                    </w:rPr>
                  </w:pPr>
                  <w:r>
                    <w:rPr>
                      <w:rFonts w:ascii="宋体" w:hAnsi="宋体" w:eastAsia="宋体" w:cs="宋体"/>
                      <w:color w:val="auto"/>
                      <w:spacing w:val="-2"/>
                      <w:sz w:val="18"/>
                      <w:szCs w:val="18"/>
                      <w:highlight w:val="none"/>
                    </w:rPr>
                    <w:t>时长3-10分钟/</w:t>
                  </w:r>
                  <w:r>
                    <w:rPr>
                      <w:rFonts w:hint="eastAsia" w:ascii="宋体" w:hAnsi="宋体" w:eastAsia="宋体" w:cs="宋体"/>
                      <w:color w:val="auto"/>
                      <w:spacing w:val="-2"/>
                      <w:sz w:val="18"/>
                      <w:szCs w:val="18"/>
                      <w:highlight w:val="none"/>
                      <w:lang w:eastAsia="zh-CN"/>
                    </w:rPr>
                    <w:t>个</w:t>
                  </w:r>
                  <w:r>
                    <w:rPr>
                      <w:rFonts w:ascii="宋体" w:hAnsi="宋体" w:eastAsia="宋体" w:cs="宋体"/>
                      <w:color w:val="auto"/>
                      <w:spacing w:val="-2"/>
                      <w:sz w:val="18"/>
                      <w:szCs w:val="18"/>
                      <w:highlight w:val="none"/>
                    </w:rPr>
                    <w:t>。匹配教学内</w:t>
                  </w:r>
                  <w:r>
                    <w:rPr>
                      <w:rFonts w:ascii="宋体" w:hAnsi="宋体" w:eastAsia="宋体" w:cs="宋体"/>
                      <w:color w:val="auto"/>
                      <w:spacing w:val="-4"/>
                      <w:sz w:val="18"/>
                      <w:szCs w:val="18"/>
                      <w:highlight w:val="none"/>
                    </w:rPr>
                    <w:t>容中的重</w:t>
                  </w:r>
                </w:p>
                <w:p w14:paraId="0B70F7B6">
                  <w:pPr>
                    <w:spacing w:before="265" w:line="333" w:lineRule="auto"/>
                    <w:ind w:left="84" w:leftChars="0"/>
                    <w:jc w:val="both"/>
                    <w:rPr>
                      <w:rFonts w:ascii="宋体" w:hAnsi="宋体" w:eastAsia="宋体" w:cs="宋体"/>
                      <w:color w:val="auto"/>
                      <w:spacing w:val="2"/>
                      <w:sz w:val="18"/>
                      <w:szCs w:val="18"/>
                      <w:highlight w:val="none"/>
                    </w:rPr>
                  </w:pPr>
                  <w:r>
                    <w:rPr>
                      <w:rFonts w:ascii="宋体" w:hAnsi="宋体" w:eastAsia="宋体" w:cs="宋体"/>
                      <w:color w:val="auto"/>
                      <w:spacing w:val="-4"/>
                      <w:sz w:val="18"/>
                      <w:szCs w:val="18"/>
                      <w:highlight w:val="none"/>
                    </w:rPr>
                    <w:t>点、难点，以视频形式</w:t>
                  </w:r>
                  <w:r>
                    <w:rPr>
                      <w:rFonts w:ascii="宋体" w:hAnsi="宋体" w:eastAsia="宋体" w:cs="宋体"/>
                      <w:color w:val="auto"/>
                      <w:spacing w:val="2"/>
                      <w:sz w:val="18"/>
                      <w:szCs w:val="18"/>
                      <w:highlight w:val="none"/>
                    </w:rPr>
                    <w:t>讲解、演示，使学</w:t>
                  </w:r>
                </w:p>
                <w:p w14:paraId="0EE8C20C">
                  <w:pPr>
                    <w:spacing w:before="265" w:line="333" w:lineRule="auto"/>
                    <w:ind w:left="84" w:leftChars="0"/>
                    <w:jc w:val="both"/>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生通过灵活、</w:t>
                  </w:r>
                  <w:r>
                    <w:rPr>
                      <w:rFonts w:ascii="宋体" w:hAnsi="宋体" w:eastAsia="宋体" w:cs="宋体"/>
                      <w:color w:val="auto"/>
                      <w:spacing w:val="-3"/>
                      <w:sz w:val="18"/>
                      <w:szCs w:val="18"/>
                      <w:highlight w:val="none"/>
                    </w:rPr>
                    <w:t>活泼的形式学习知识点。</w:t>
                  </w:r>
                </w:p>
              </w:tc>
            </w:tr>
            <w:tr w14:paraId="6133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0C74F3D4">
                  <w:pPr>
                    <w:pStyle w:val="147"/>
                    <w:spacing w:line="244" w:lineRule="auto"/>
                    <w:rPr>
                      <w:color w:val="auto"/>
                      <w:highlight w:val="none"/>
                    </w:rPr>
                  </w:pPr>
                </w:p>
                <w:p w14:paraId="7DD6CF30">
                  <w:pPr>
                    <w:spacing w:before="59"/>
                    <w:ind w:left="10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3</w:t>
                  </w:r>
                </w:p>
              </w:tc>
              <w:tc>
                <w:tcPr>
                  <w:tcW w:w="1073" w:type="dxa"/>
                  <w:shd w:val="clear" w:color="auto" w:fill="auto"/>
                  <w:vAlign w:val="top"/>
                </w:tcPr>
                <w:p w14:paraId="2D358FE2">
                  <w:pPr>
                    <w:spacing w:before="277" w:line="219" w:lineRule="auto"/>
                    <w:ind w:left="7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课件</w:t>
                  </w:r>
                </w:p>
              </w:tc>
              <w:tc>
                <w:tcPr>
                  <w:tcW w:w="1201" w:type="dxa"/>
                  <w:shd w:val="clear" w:color="auto" w:fill="auto"/>
                  <w:vAlign w:val="top"/>
                </w:tcPr>
                <w:p w14:paraId="58434584">
                  <w:pPr>
                    <w:spacing w:before="277" w:line="220" w:lineRule="auto"/>
                    <w:ind w:left="33"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2套</w:t>
                  </w:r>
                </w:p>
              </w:tc>
              <w:tc>
                <w:tcPr>
                  <w:tcW w:w="4359" w:type="dxa"/>
                  <w:shd w:val="clear" w:color="auto" w:fill="auto"/>
                  <w:vAlign w:val="top"/>
                </w:tcPr>
                <w:p w14:paraId="50891DEA">
                  <w:pPr>
                    <w:spacing w:before="116" w:line="260" w:lineRule="auto"/>
                    <w:ind w:left="94" w:leftChars="0" w:right="108" w:rightChars="0"/>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以</w:t>
                  </w:r>
                  <w:r>
                    <w:rPr>
                      <w:rFonts w:ascii="宋体" w:hAnsi="宋体" w:eastAsia="宋体" w:cs="宋体"/>
                      <w:color w:val="auto"/>
                      <w:sz w:val="18"/>
                      <w:szCs w:val="18"/>
                      <w:highlight w:val="none"/>
                    </w:rPr>
                    <w:t>PPT</w:t>
                  </w:r>
                  <w:r>
                    <w:rPr>
                      <w:rFonts w:ascii="宋体" w:hAnsi="宋体" w:eastAsia="宋体" w:cs="宋体"/>
                      <w:color w:val="auto"/>
                      <w:spacing w:val="1"/>
                      <w:sz w:val="18"/>
                      <w:szCs w:val="18"/>
                      <w:highlight w:val="none"/>
                    </w:rPr>
                    <w:t>形式融合教学目标、各种</w:t>
                  </w:r>
                  <w:r>
                    <w:rPr>
                      <w:rFonts w:ascii="宋体" w:hAnsi="宋体" w:eastAsia="宋体" w:cs="宋体"/>
                      <w:color w:val="auto"/>
                      <w:sz w:val="18"/>
                      <w:szCs w:val="18"/>
                      <w:highlight w:val="none"/>
                    </w:rPr>
                    <w:t>参考资</w:t>
                  </w:r>
                </w:p>
                <w:p w14:paraId="2F959741">
                  <w:pPr>
                    <w:spacing w:before="116" w:line="260" w:lineRule="auto"/>
                    <w:ind w:left="94" w:leftChars="0" w:right="108" w:righ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料、学习素材等。</w:t>
                  </w:r>
                </w:p>
              </w:tc>
            </w:tr>
            <w:tr w14:paraId="351F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6F7862CB">
                  <w:pPr>
                    <w:pStyle w:val="147"/>
                    <w:spacing w:line="339" w:lineRule="auto"/>
                    <w:rPr>
                      <w:color w:val="auto"/>
                      <w:highlight w:val="none"/>
                    </w:rPr>
                  </w:pPr>
                </w:p>
                <w:p w14:paraId="577868F7">
                  <w:pPr>
                    <w:spacing w:before="59" w:line="241" w:lineRule="auto"/>
                    <w:ind w:left="11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4</w:t>
                  </w:r>
                </w:p>
              </w:tc>
              <w:tc>
                <w:tcPr>
                  <w:tcW w:w="1073" w:type="dxa"/>
                  <w:shd w:val="clear" w:color="auto" w:fill="auto"/>
                  <w:vAlign w:val="top"/>
                </w:tcPr>
                <w:p w14:paraId="009DDD88">
                  <w:pPr>
                    <w:pStyle w:val="147"/>
                    <w:spacing w:line="321" w:lineRule="auto"/>
                    <w:rPr>
                      <w:color w:val="auto"/>
                      <w:highlight w:val="none"/>
                    </w:rPr>
                  </w:pPr>
                </w:p>
                <w:p w14:paraId="7227027E">
                  <w:pPr>
                    <w:spacing w:before="59" w:line="219" w:lineRule="auto"/>
                    <w:ind w:left="61"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试题库</w:t>
                  </w:r>
                </w:p>
              </w:tc>
              <w:tc>
                <w:tcPr>
                  <w:tcW w:w="1201" w:type="dxa"/>
                  <w:shd w:val="clear" w:color="auto" w:fill="auto"/>
                  <w:vAlign w:val="top"/>
                </w:tcPr>
                <w:p w14:paraId="766401DF">
                  <w:pPr>
                    <w:pStyle w:val="147"/>
                    <w:spacing w:line="322" w:lineRule="auto"/>
                    <w:rPr>
                      <w:color w:val="auto"/>
                      <w:highlight w:val="none"/>
                    </w:rPr>
                  </w:pPr>
                </w:p>
                <w:p w14:paraId="7F1D855F">
                  <w:pPr>
                    <w:spacing w:before="58" w:line="220" w:lineRule="auto"/>
                    <w:ind w:left="52" w:leftChars="0"/>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pacing w:val="-2"/>
                      <w:sz w:val="18"/>
                      <w:szCs w:val="18"/>
                      <w:highlight w:val="none"/>
                      <w:lang w:val="en-US" w:eastAsia="zh-CN"/>
                    </w:rPr>
                    <w:t>10</w:t>
                  </w:r>
                  <w:r>
                    <w:rPr>
                      <w:rFonts w:ascii="宋体" w:hAnsi="宋体" w:eastAsia="宋体" w:cs="宋体"/>
                      <w:color w:val="auto"/>
                      <w:spacing w:val="-2"/>
                      <w:sz w:val="18"/>
                      <w:szCs w:val="18"/>
                      <w:highlight w:val="none"/>
                    </w:rPr>
                    <w:t>套</w:t>
                  </w:r>
                  <w:r>
                    <w:rPr>
                      <w:rFonts w:hint="eastAsia" w:ascii="宋体" w:hAnsi="宋体" w:cs="宋体"/>
                      <w:color w:val="auto"/>
                      <w:spacing w:val="-2"/>
                      <w:sz w:val="18"/>
                      <w:szCs w:val="18"/>
                      <w:highlight w:val="none"/>
                      <w:lang w:val="en-US" w:eastAsia="zh-CN"/>
                    </w:rPr>
                    <w:t>/门</w:t>
                  </w:r>
                </w:p>
              </w:tc>
              <w:tc>
                <w:tcPr>
                  <w:tcW w:w="4359" w:type="dxa"/>
                  <w:shd w:val="clear" w:color="auto" w:fill="auto"/>
                  <w:vAlign w:val="top"/>
                </w:tcPr>
                <w:p w14:paraId="3BA00478">
                  <w:pPr>
                    <w:spacing w:before="92" w:line="323" w:lineRule="auto"/>
                    <w:ind w:left="74" w:hanging="10"/>
                    <w:rPr>
                      <w:rFonts w:ascii="宋体" w:hAnsi="宋体" w:eastAsia="宋体" w:cs="宋体"/>
                      <w:color w:val="auto"/>
                      <w:spacing w:val="-1"/>
                      <w:sz w:val="18"/>
                      <w:szCs w:val="18"/>
                      <w:highlight w:val="none"/>
                    </w:rPr>
                  </w:pPr>
                  <w:r>
                    <w:rPr>
                      <w:rFonts w:ascii="宋体" w:hAnsi="宋体" w:eastAsia="宋体" w:cs="宋体"/>
                      <w:color w:val="auto"/>
                      <w:spacing w:val="-1"/>
                      <w:sz w:val="18"/>
                      <w:szCs w:val="18"/>
                      <w:highlight w:val="none"/>
                    </w:rPr>
                    <w:t>含</w:t>
                  </w:r>
                  <w:r>
                    <w:rPr>
                      <w:rFonts w:hint="eastAsia" w:ascii="宋体" w:hAnsi="宋体" w:cs="宋体"/>
                      <w:color w:val="auto"/>
                      <w:spacing w:val="-1"/>
                      <w:sz w:val="18"/>
                      <w:szCs w:val="18"/>
                      <w:highlight w:val="none"/>
                      <w:lang w:val="en-US" w:eastAsia="zh-CN"/>
                    </w:rPr>
                    <w:t>100道课</w:t>
                  </w:r>
                  <w:r>
                    <w:rPr>
                      <w:rFonts w:ascii="宋体" w:hAnsi="宋体" w:eastAsia="宋体" w:cs="宋体"/>
                      <w:color w:val="auto"/>
                      <w:spacing w:val="-1"/>
                      <w:sz w:val="18"/>
                      <w:szCs w:val="18"/>
                      <w:highlight w:val="none"/>
                    </w:rPr>
                    <w:t>后练习题和单元自测题，课后</w:t>
                  </w:r>
                </w:p>
                <w:p w14:paraId="7A8EC0D6">
                  <w:pPr>
                    <w:spacing w:before="92" w:line="323" w:lineRule="auto"/>
                    <w:ind w:left="74" w:hanging="1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1"/>
                      <w:sz w:val="18"/>
                      <w:szCs w:val="18"/>
                      <w:highlight w:val="none"/>
                    </w:rPr>
                    <w:t>检验学习成果和重难点掌握情况。</w:t>
                  </w:r>
                </w:p>
              </w:tc>
            </w:tr>
            <w:tr w14:paraId="17E5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7778F194">
                  <w:pPr>
                    <w:pStyle w:val="147"/>
                    <w:spacing w:line="335" w:lineRule="auto"/>
                    <w:rPr>
                      <w:color w:val="auto"/>
                      <w:highlight w:val="none"/>
                    </w:rPr>
                  </w:pPr>
                </w:p>
                <w:p w14:paraId="15EED4B2">
                  <w:pPr>
                    <w:spacing w:before="58"/>
                    <w:ind w:left="11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5</w:t>
                  </w:r>
                </w:p>
              </w:tc>
              <w:tc>
                <w:tcPr>
                  <w:tcW w:w="1073" w:type="dxa"/>
                  <w:shd w:val="clear" w:color="auto" w:fill="auto"/>
                  <w:vAlign w:val="top"/>
                </w:tcPr>
                <w:p w14:paraId="7F8859CA">
                  <w:pPr>
                    <w:pStyle w:val="147"/>
                    <w:spacing w:line="318" w:lineRule="auto"/>
                    <w:rPr>
                      <w:color w:val="auto"/>
                      <w:highlight w:val="none"/>
                    </w:rPr>
                  </w:pPr>
                </w:p>
                <w:p w14:paraId="5DC1EAA5">
                  <w:pPr>
                    <w:spacing w:before="58" w:line="219" w:lineRule="auto"/>
                    <w:ind w:left="61"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5"/>
                      <w:sz w:val="18"/>
                      <w:szCs w:val="18"/>
                      <w:highlight w:val="none"/>
                    </w:rPr>
                    <w:t>图库</w:t>
                  </w:r>
                </w:p>
              </w:tc>
              <w:tc>
                <w:tcPr>
                  <w:tcW w:w="1201" w:type="dxa"/>
                  <w:shd w:val="clear" w:color="auto" w:fill="auto"/>
                  <w:vAlign w:val="top"/>
                </w:tcPr>
                <w:p w14:paraId="66CEE06C">
                  <w:pPr>
                    <w:pStyle w:val="147"/>
                    <w:spacing w:line="318" w:lineRule="auto"/>
                    <w:rPr>
                      <w:color w:val="auto"/>
                      <w:highlight w:val="none"/>
                    </w:rPr>
                  </w:pPr>
                </w:p>
                <w:p w14:paraId="3C566AEB">
                  <w:pPr>
                    <w:spacing w:before="58" w:line="220" w:lineRule="auto"/>
                    <w:ind w:left="5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2套</w:t>
                  </w:r>
                </w:p>
              </w:tc>
              <w:tc>
                <w:tcPr>
                  <w:tcW w:w="4359" w:type="dxa"/>
                  <w:shd w:val="clear" w:color="auto" w:fill="auto"/>
                  <w:vAlign w:val="top"/>
                </w:tcPr>
                <w:p w14:paraId="210AD027">
                  <w:pPr>
                    <w:spacing w:before="108" w:line="277" w:lineRule="auto"/>
                    <w:ind w:left="74" w:leftChars="0" w:right="5" w:rightChars="0"/>
                    <w:rPr>
                      <w:rFonts w:ascii="宋体" w:hAnsi="宋体" w:eastAsia="宋体" w:cs="宋体"/>
                      <w:color w:val="auto"/>
                      <w:spacing w:val="-2"/>
                      <w:sz w:val="18"/>
                      <w:szCs w:val="18"/>
                      <w:highlight w:val="none"/>
                    </w:rPr>
                  </w:pPr>
                  <w:r>
                    <w:rPr>
                      <w:rFonts w:ascii="宋体" w:hAnsi="宋体" w:eastAsia="宋体" w:cs="宋体"/>
                      <w:color w:val="auto"/>
                      <w:sz w:val="18"/>
                      <w:szCs w:val="18"/>
                      <w:highlight w:val="none"/>
                    </w:rPr>
                    <w:t>以组合图片形式代替传统教材</w:t>
                  </w:r>
                  <w:r>
                    <w:rPr>
                      <w:rFonts w:ascii="宋体" w:hAnsi="宋体" w:eastAsia="宋体" w:cs="宋体"/>
                      <w:color w:val="auto"/>
                      <w:spacing w:val="-2"/>
                      <w:sz w:val="18"/>
                      <w:szCs w:val="18"/>
                      <w:highlight w:val="none"/>
                    </w:rPr>
                    <w:t>中的单个插</w:t>
                  </w:r>
                </w:p>
                <w:p w14:paraId="547D6938">
                  <w:pPr>
                    <w:spacing w:before="108" w:line="277" w:lineRule="auto"/>
                    <w:ind w:left="74" w:leftChars="0" w:right="5" w:rightChars="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图，提高辅助学习效</w:t>
                  </w:r>
                  <w:r>
                    <w:rPr>
                      <w:rFonts w:ascii="宋体" w:hAnsi="宋体" w:eastAsia="宋体" w:cs="宋体"/>
                      <w:color w:val="auto"/>
                      <w:sz w:val="18"/>
                      <w:szCs w:val="18"/>
                      <w:highlight w:val="none"/>
                    </w:rPr>
                    <w:t>果。包含思维导图</w:t>
                  </w:r>
                </w:p>
                <w:p w14:paraId="339BD9BB">
                  <w:pPr>
                    <w:spacing w:before="108" w:line="277" w:lineRule="auto"/>
                    <w:ind w:left="74" w:leftChars="0" w:right="5" w:righ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等。</w:t>
                  </w:r>
                </w:p>
              </w:tc>
            </w:tr>
            <w:tr w14:paraId="1C65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640270A3">
                  <w:pPr>
                    <w:spacing w:before="236"/>
                    <w:ind w:left="11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z w:val="18"/>
                      <w:szCs w:val="18"/>
                      <w:highlight w:val="none"/>
                    </w:rPr>
                    <w:t>6</w:t>
                  </w:r>
                </w:p>
              </w:tc>
              <w:tc>
                <w:tcPr>
                  <w:tcW w:w="1073" w:type="dxa"/>
                  <w:shd w:val="clear" w:color="auto" w:fill="auto"/>
                  <w:vAlign w:val="top"/>
                </w:tcPr>
                <w:p w14:paraId="18723116">
                  <w:pPr>
                    <w:spacing w:before="99" w:line="219" w:lineRule="auto"/>
                    <w:ind w:left="6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教学</w:t>
                  </w:r>
                </w:p>
                <w:p w14:paraId="23B57C15">
                  <w:pPr>
                    <w:spacing w:before="97" w:line="193" w:lineRule="auto"/>
                    <w:ind w:left="61"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3"/>
                      <w:sz w:val="18"/>
                      <w:szCs w:val="18"/>
                      <w:highlight w:val="none"/>
                    </w:rPr>
                    <w:t>设计</w:t>
                  </w:r>
                </w:p>
              </w:tc>
              <w:tc>
                <w:tcPr>
                  <w:tcW w:w="1201" w:type="dxa"/>
                  <w:shd w:val="clear" w:color="auto" w:fill="auto"/>
                  <w:vAlign w:val="top"/>
                </w:tcPr>
                <w:p w14:paraId="44AD168C">
                  <w:pPr>
                    <w:spacing w:before="260" w:line="220" w:lineRule="auto"/>
                    <w:ind w:left="5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2套</w:t>
                  </w:r>
                </w:p>
              </w:tc>
              <w:tc>
                <w:tcPr>
                  <w:tcW w:w="4359" w:type="dxa"/>
                  <w:shd w:val="clear" w:color="auto" w:fill="auto"/>
                  <w:vAlign w:val="top"/>
                </w:tcPr>
                <w:p w14:paraId="488C943A">
                  <w:pPr>
                    <w:spacing w:before="219" w:line="219" w:lineRule="auto"/>
                    <w:ind w:left="74"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覆盖全部学时</w:t>
                  </w:r>
                </w:p>
              </w:tc>
            </w:tr>
            <w:tr w14:paraId="09AE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top"/>
                </w:tcPr>
                <w:p w14:paraId="25E17B18">
                  <w:pPr>
                    <w:spacing w:before="138" w:line="123" w:lineRule="exact"/>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44"/>
                      <w:w w:val="125"/>
                      <w:position w:val="-3"/>
                      <w:sz w:val="18"/>
                      <w:szCs w:val="18"/>
                      <w:highlight w:val="none"/>
                    </w:rPr>
                    <w:t>7</w:t>
                  </w:r>
                </w:p>
              </w:tc>
              <w:tc>
                <w:tcPr>
                  <w:tcW w:w="1073" w:type="dxa"/>
                  <w:shd w:val="clear" w:color="auto" w:fill="auto"/>
                  <w:vAlign w:val="top"/>
                </w:tcPr>
                <w:p w14:paraId="7D4EA022">
                  <w:pPr>
                    <w:spacing w:before="111" w:line="220" w:lineRule="auto"/>
                    <w:ind w:left="6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课程</w:t>
                  </w:r>
                </w:p>
                <w:p w14:paraId="3540E1A8">
                  <w:pPr>
                    <w:spacing w:before="105" w:line="193" w:lineRule="auto"/>
                    <w:ind w:left="61"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标准</w:t>
                  </w:r>
                </w:p>
              </w:tc>
              <w:tc>
                <w:tcPr>
                  <w:tcW w:w="1201" w:type="dxa"/>
                  <w:shd w:val="clear" w:color="auto" w:fill="auto"/>
                  <w:vAlign w:val="top"/>
                </w:tcPr>
                <w:p w14:paraId="4DAD6024">
                  <w:pPr>
                    <w:spacing w:before="230" w:line="219" w:lineRule="auto"/>
                    <w:ind w:left="52" w:left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2"/>
                      <w:sz w:val="18"/>
                      <w:szCs w:val="18"/>
                      <w:highlight w:val="none"/>
                    </w:rPr>
                    <w:t>2个</w:t>
                  </w:r>
                </w:p>
              </w:tc>
              <w:tc>
                <w:tcPr>
                  <w:tcW w:w="4359" w:type="dxa"/>
                  <w:shd w:val="clear" w:color="auto" w:fill="auto"/>
                  <w:vAlign w:val="top"/>
                </w:tcPr>
                <w:p w14:paraId="092163ED">
                  <w:pPr>
                    <w:spacing w:before="110" w:line="261" w:lineRule="auto"/>
                    <w:ind w:left="74" w:leftChars="0" w:hanging="10" w:firstLineChars="0"/>
                    <w:rPr>
                      <w:rFonts w:ascii="宋体" w:hAnsi="宋体" w:eastAsia="宋体" w:cs="宋体"/>
                      <w:color w:val="auto"/>
                      <w:spacing w:val="-1"/>
                      <w:sz w:val="18"/>
                      <w:szCs w:val="18"/>
                      <w:highlight w:val="none"/>
                    </w:rPr>
                  </w:pPr>
                  <w:r>
                    <w:rPr>
                      <w:rFonts w:ascii="宋体" w:hAnsi="宋体" w:eastAsia="宋体" w:cs="宋体"/>
                      <w:color w:val="auto"/>
                      <w:spacing w:val="-1"/>
                      <w:sz w:val="18"/>
                      <w:szCs w:val="18"/>
                      <w:highlight w:val="none"/>
                    </w:rPr>
                    <w:t>完成课程性质、课程目标、内容目标、实</w:t>
                  </w:r>
                </w:p>
                <w:p w14:paraId="3C1427A1">
                  <w:pPr>
                    <w:spacing w:before="110" w:line="261" w:lineRule="auto"/>
                    <w:ind w:left="74" w:leftChars="0" w:hanging="10" w:firstLineChars="0"/>
                    <w:rPr>
                      <w:rFonts w:hint="eastAsia" w:ascii="宋体" w:hAnsi="宋体" w:eastAsia="宋体" w:cs="宋体"/>
                      <w:color w:val="auto"/>
                      <w:kern w:val="2"/>
                      <w:sz w:val="18"/>
                      <w:szCs w:val="18"/>
                      <w:highlight w:val="none"/>
                      <w:lang w:val="en-US" w:eastAsia="zh-CN" w:bidi="ar-SA"/>
                    </w:rPr>
                  </w:pPr>
                  <w:r>
                    <w:rPr>
                      <w:rFonts w:ascii="宋体" w:hAnsi="宋体" w:eastAsia="宋体" w:cs="宋体"/>
                      <w:color w:val="auto"/>
                      <w:spacing w:val="-1"/>
                      <w:sz w:val="18"/>
                      <w:szCs w:val="18"/>
                      <w:highlight w:val="none"/>
                    </w:rPr>
                    <w:t>施建议、课程评价。</w:t>
                  </w:r>
                </w:p>
              </w:tc>
            </w:tr>
          </w:tbl>
          <w:p w14:paraId="6087C0F2">
            <w:pPr>
              <w:widowControl/>
              <w:spacing w:line="340" w:lineRule="exact"/>
              <w:textAlignment w:val="center"/>
              <w:rPr>
                <w:rFonts w:hint="eastAsia" w:ascii="宋体" w:hAnsi="宋体" w:cs="仿宋_GB2312"/>
                <w:b w:val="0"/>
                <w:bCs w:val="0"/>
                <w:color w:val="auto"/>
                <w:szCs w:val="21"/>
                <w:highlight w:val="none"/>
                <w:lang w:eastAsia="zh-CN"/>
              </w:rPr>
            </w:pPr>
          </w:p>
          <w:p w14:paraId="48D9782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课程资源技术要求</w:t>
            </w:r>
          </w:p>
          <w:p w14:paraId="1CFA78F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(一)课程建设指导</w:t>
            </w:r>
          </w:p>
          <w:p w14:paraId="0A566F9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1.聘请国家级在线精品课程主持人或双高建设学校教授，开展课程设计思路与逻辑指导1次，针对现有课程教学设计进行优化。</w:t>
            </w:r>
          </w:p>
          <w:p w14:paraId="3910741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2.课程思政元素优化指导。</w:t>
            </w:r>
          </w:p>
          <w:p w14:paraId="0915646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3.安排技术人员到校进行建课和使用等方面的指导。投标人专业技术人员与教师共同进行资源设计与开发，资源内容包括课程介绍、教学课件、微课、二维动画、教学设计、题库、图库等。</w:t>
            </w:r>
          </w:p>
          <w:p w14:paraId="4ED0A07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4.将典型工作案例中抽象的理论原理、操作步骤、操作规范等内容，借助课程网络平台上的相应资源来呈现，汇总各类课程资源，如微课、图解、课件、参考资料等，形成线上运行的精品课程。</w:t>
            </w:r>
          </w:p>
          <w:p w14:paraId="6AFFF7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5.辅助上传平台。</w:t>
            </w:r>
          </w:p>
          <w:p w14:paraId="77DC249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(二)思政元素设计融入</w:t>
            </w:r>
          </w:p>
          <w:p w14:paraId="7B1F706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通过相关专家培训与指导，在课程与知识点规划阶段就考虑思政元素与专业内的重难点进行融合，以工学一体化培养模式为基础，实现教学信息量充足，并符合学习者认知规律，具有较好的高阶性、创新性和挑战度。思政建设目标如下：</w:t>
            </w:r>
          </w:p>
          <w:p w14:paraId="49F1135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运用思想政治理论教育的学科思维处理专业知识和教学目标，组织教学内容，融入政治认同、家国情怀、文化素养、宪法法治意识、道德修养等要素，潜移默化地对学习和的思想意识、行为举止产生积极影响，实现价值塑。造、知识传授和能力培养相融合、教书与育人相统一。</w:t>
            </w:r>
          </w:p>
          <w:p w14:paraId="1EA3E4D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2.综合运用信息技术手段和数字资源把思政教育巧妙渗透教学全过程，教学方法运用恰当，教学策略使用有效。</w:t>
            </w:r>
          </w:p>
          <w:p w14:paraId="6E8D8B7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3.具有良好的专业知识呈现，又具备科学精神、人文情怀，将投标人实践与课堂学习相结合，融入技能提升与素质提升。</w:t>
            </w:r>
          </w:p>
          <w:p w14:paraId="2E3A78D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4.目标设计恰当，符合课程要求、学科特点和学生实际；明确具体、可观察、可测评、可达成；思政目标无缝对接知识、能力目标。</w:t>
            </w:r>
          </w:p>
          <w:p w14:paraId="7F04CCF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(三)制作要求：</w:t>
            </w:r>
          </w:p>
          <w:p w14:paraId="496A116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1.资源内容基于教材，按照课程教学需求、课程标准进行建设。</w:t>
            </w:r>
          </w:p>
          <w:p w14:paraId="68F048F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2.资源呈现的教学目标、重难点，与教材一致。</w:t>
            </w:r>
          </w:p>
          <w:p w14:paraId="2587F73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3.资源内容无科学性错误。</w:t>
            </w:r>
          </w:p>
          <w:p w14:paraId="55E2E7E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4.制作手段含视频拍摄、音频录制、动画设计制作等。</w:t>
            </w:r>
          </w:p>
          <w:p w14:paraId="0CA9862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5.微课的开发脚本由采购人专业老师提出教学设计思路，供应商具体落实设想，形成文本性文件，用于之后的制作。</w:t>
            </w:r>
          </w:p>
          <w:p w14:paraId="0F836A9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6.微课的制作包括知识点教学结构设计、碎片资源教学设计、素材采集、知识点的知识内容编辑加工处理(包括后期剪辑、配音、字幕)等。</w:t>
            </w:r>
          </w:p>
          <w:p w14:paraId="4BF830E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7.教学课件的制作应在充分理解教师的教学设计基础上，综合使用动画、视频、二维等技术将其进行可视化建构，辅助教师和学生完成一堂沉浸式的教与学的体验。</w:t>
            </w:r>
          </w:p>
          <w:p w14:paraId="5785764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8.所有资源可独立运行，也可与教材融合使用。</w:t>
            </w:r>
          </w:p>
          <w:p w14:paraId="3FE3D80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9.为丰富教材资源建设，方便老师案例教学，供应商需协助教材负责人策划教学资源与纸质内容融合。</w:t>
            </w:r>
          </w:p>
          <w:p w14:paraId="579EAC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10.可以网络运行的资源内容与教材通过二维码形式融合。</w:t>
            </w:r>
          </w:p>
          <w:p w14:paraId="701085D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(四)指导专家要求</w:t>
            </w:r>
          </w:p>
          <w:p w14:paraId="231B78F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聘请具有职业教育课程资源建设指导经验的职教专家团队开展项目建设指导，提供完善的开发指导、知识点与资源形态规划。</w:t>
            </w:r>
          </w:p>
          <w:p w14:paraId="3A48B75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(五)服务团队要求：</w:t>
            </w:r>
          </w:p>
          <w:p w14:paraId="1BFC90F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1.供应商具有从事职业教育教学规划、精品课程开发、课程设计规划等类型项目的丰富经验。</w:t>
            </w:r>
          </w:p>
          <w:p w14:paraId="116E943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2.供应商自身拥有完善的专业技术人员配备，针对本项目提供不少于3人的项目服务团队，具备以下岗位人员，满足本项目课程资源开发和制作方面专业需求。</w:t>
            </w:r>
          </w:p>
          <w:p w14:paraId="5F829DC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(1)项目负责人：统筹负责沟通对接和制作审核等任务，具备教学经验，具备同类项目实施和管理经验。</w:t>
            </w:r>
          </w:p>
          <w:p w14:paraId="091E62D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(2)专业编辑：与老师协作进行课程资源开发工作。</w:t>
            </w:r>
          </w:p>
          <w:p w14:paraId="3F50952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(3)课程编导：审读解读课程教学需求、课程目标、人才培养方案，具备课程设计经验与能力，能够与任课教师沟通对接并提供专业化建议和解决方案，能够进行脚本的设计与策划，具有专业的文字开发编辑能力。</w:t>
            </w:r>
          </w:p>
          <w:p w14:paraId="192B60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(4)拍摄小组：负责现场的场景搭建、灯光布置，视频录制，音频录制，其他拍摄设备的准备、调试和维护。</w:t>
            </w:r>
          </w:p>
          <w:p w14:paraId="673E93C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场务：现场记录，拍摄文件的收集、整理、备份、上传等，辅助教师准备衣着、仪容、随身设备等，根据实际需求灵活提供提词器解决方案。应能根据课程教学需求、实际场地条件等，搭建方便拍摄的场地，包括但不限于绿幕环境、常亮灯光环境的创建。并在技术上实现声音、光线的不受干扰。</w:t>
            </w:r>
          </w:p>
          <w:p w14:paraId="2331CB1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(6)后期剪辑：基于脚本、拍摄素材、音频素材，进行后期剪辑合成，片头片尾及其他特效的设计与制作。</w:t>
            </w:r>
          </w:p>
          <w:p w14:paraId="61DFAEE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(7)动画：绘制与制作动画，特效包装。</w:t>
            </w:r>
          </w:p>
          <w:p w14:paraId="13CFFA0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(六)课程建设技术与质量标准要求</w:t>
            </w:r>
          </w:p>
          <w:p w14:paraId="23828B8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1.微课制作</w:t>
            </w:r>
          </w:p>
          <w:p w14:paraId="23CA449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【摄像要求】</w:t>
            </w:r>
          </w:p>
          <w:p w14:paraId="1FFD8AC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(1)利用专业摄像机在采购人指定场地进行摄制。</w:t>
            </w:r>
          </w:p>
          <w:p w14:paraId="2C82A6B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(2)微课作品视频质量要求图像稳定、对焦清晰、构图合理、镜头运用恰当。</w:t>
            </w:r>
          </w:p>
          <w:p w14:paraId="7D3F51C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(3)各微课作品的视频分辨率应统一，分辨率采用1280*720及以上，采用高清影像。</w:t>
            </w:r>
          </w:p>
          <w:p w14:paraId="4EA41D5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(4)同期声音采用双声道，要求清晰、饱满、圆润，无失真、噪声杂音干扰、音量忽大忽小现象。解说声与背景音乐无明显比例失调。</w:t>
            </w:r>
          </w:p>
          <w:p w14:paraId="4A755F4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【动画要求】</w:t>
            </w:r>
          </w:p>
          <w:p w14:paraId="59D52D9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微课根据主讲教师要求，可加入不超过2分钟的动画，动画要能够完整的体现出课程特点。要求接近于真实物体的效果，利用专业软件进行材质的渲染。播放流畅，播放时没有明显的噪点。</w:t>
            </w:r>
          </w:p>
          <w:p w14:paraId="4E0E1F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【输出成品要求】</w:t>
            </w:r>
          </w:p>
          <w:p w14:paraId="30831DB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(1)微课作品视频压缩采用H.264格式编码，视频格式为MP4格式，时长为8-15分钟。</w:t>
            </w:r>
          </w:p>
          <w:p w14:paraId="2201443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(2)微课作品视频码流率：动态码流的最高码率不高于2000Kbps,最低码率不得低于1024Kbps。</w:t>
            </w:r>
          </w:p>
          <w:p w14:paraId="0A66789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(3)微课作品视频分辨率：分辨率采用1280*720及以上。</w:t>
            </w:r>
          </w:p>
          <w:p w14:paraId="468855B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(4)在同一课程中，各微课作品的视频分辨率应统一采用高清影像。</w:t>
            </w:r>
          </w:p>
          <w:p w14:paraId="4BF3E02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(5)微课作品视频帧率为25帧/秒，扫描方式采用逐行扫描。</w:t>
            </w:r>
          </w:p>
          <w:p w14:paraId="4D59C6F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字幕：要使用符合国家标准的规范字，不出现繁体字、异体字(国家规定的除外)、错别字；字幕的字体建议采用：微软雅黑，大小、色彩搭配、摆放位置、停留时间、出入屏方式力求与其他要素(画面、解说词、音乐)</w:t>
            </w:r>
          </w:p>
          <w:p w14:paraId="4B2AB8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配合适当，不能破坏原有画面。</w:t>
            </w:r>
          </w:p>
          <w:p w14:paraId="0AF5784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【命名要求】</w:t>
            </w:r>
          </w:p>
          <w:p w14:paraId="431DCF7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文件命名应直接指明资源所属课程、章节及性质。</w:t>
            </w:r>
          </w:p>
          <w:p w14:paraId="1582D5C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【内容和版权要求】</w:t>
            </w:r>
          </w:p>
          <w:p w14:paraId="629B997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微课作品内容应忠实于原文献，完整有序，版权不存在争议；符合我国法律法规，尊重各民族风俗习惯。</w:t>
            </w:r>
          </w:p>
          <w:p w14:paraId="4C7F0AC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2.视频录制</w:t>
            </w:r>
          </w:p>
          <w:p w14:paraId="65E49F4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【标准要求】</w:t>
            </w:r>
          </w:p>
          <w:p w14:paraId="0D19A89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根据课程特点选择最优的展现形式；以能力培养为目标的课程，技能点教学录像的覆盖度不低于80%,技能点教学录像时长原则不超过20分钟。</w:t>
            </w:r>
          </w:p>
          <w:p w14:paraId="5107216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【视频拍摄要求】</w:t>
            </w:r>
          </w:p>
          <w:p w14:paraId="5626B7B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(1)利用4K及以上专业摄像机录制，一至两个机位录制。专业收音麦克、专业灯光。</w:t>
            </w:r>
          </w:p>
          <w:p w14:paraId="0C09C14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(2)视频原始拍摄素材质量要求图像稳定、对焦清晰、构图合理、镜头运用恰当。同期声音采用双声道，要求清晰、饱满、圆润，无失真、噪声杂音干扰、音量忽大忽小现象。解说声与背景音乐无明显比例失调。</w:t>
            </w:r>
          </w:p>
          <w:p w14:paraId="16C319F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PPT配音。</w:t>
            </w:r>
          </w:p>
          <w:p w14:paraId="76CB8CC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(4)使用的背景采用彩色喷绘或电脑虚拟、实景等背景。背景的颜色、图案不易过多，应保持静态，画面应简洁、明快，有利于营造课堂气氛。</w:t>
            </w:r>
          </w:p>
          <w:p w14:paraId="0B70E3F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(5)使用资料、图片、外景实拍、实验和表演等形象化教学手段，应符合教学内容要求，与讲授内容联系紧密，手段选用恰当。</w:t>
            </w:r>
          </w:p>
          <w:p w14:paraId="76E0BC5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(6)摄像镜头应保持与主讲教师目光平视的角度。主讲教师不应较长时间仰视或俯视。录像环境应光线充足、安静，主讲教师应衣着整洁，讲话清晰，板书清楚。</w:t>
            </w:r>
          </w:p>
          <w:p w14:paraId="449B6E1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(7)选用影视作品或自拍素材，应注明素材来源。影视作品或自拍素材中涉及人物访谈内容时，除应加注人物介绍外，还应采用滚动式同声字幕。</w:t>
            </w:r>
          </w:p>
          <w:p w14:paraId="310FA03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(8)选用的资料、图片等素材画面应清晰，对于历史资料、图片应进行再加工。选用的资料、图片等素材应注明素材来源及原始信息(如字画的作品、生卒年月，影视片断的作品名称、创作年代等信息)。</w:t>
            </w:r>
          </w:p>
          <w:p w14:paraId="4B82999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【视频制作要求】</w:t>
            </w:r>
          </w:p>
          <w:p w14:paraId="5938FA0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(1)视频信号源</w:t>
            </w:r>
          </w:p>
          <w:p w14:paraId="34DA8BE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①稳定性：全片图像同步性能稳定，无失步现象，CTL同步控制信号必须连续：图像无抖动跳跃，色彩无突变，编辑点处图像稳定。</w:t>
            </w:r>
          </w:p>
          <w:p w14:paraId="69FF763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②信噪比：图像信噪比不低于55dB,无明显杂波。</w:t>
            </w:r>
          </w:p>
          <w:p w14:paraId="6BE7FB2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③色调：白平衡正确，无明显偏色，多机拍摄的镜头衔接处无明显色差。</w:t>
            </w:r>
          </w:p>
          <w:p w14:paraId="4FF71D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④视频电平：视频全讯号幅度为1Vp-p,最大不超过1.1Vp-p。其中，消隐电平为0V时，白电平幅度0.7Vp-p,同步信号-0.3V,色同步信号幅度0.3Vp-p(以消隐线上下对称),全片一致。</w:t>
            </w:r>
          </w:p>
          <w:p w14:paraId="01BC2AB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(2)音频信号源</w:t>
            </w:r>
          </w:p>
          <w:p w14:paraId="54284E5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①声道：中文内容音频信号记录于第1声道，音乐、音效、同期声记录于第2声道，若有其他文字解说记录于第3声道(如录音设备无第3声道，则录于第2声道)。</w:t>
            </w:r>
          </w:p>
          <w:p w14:paraId="1161A49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②电平指标：-2db——-8db声音应无明显失真、放音过冲、过弱。</w:t>
            </w:r>
          </w:p>
          <w:p w14:paraId="018984D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③音频信噪比不低于48dB。</w:t>
            </w:r>
          </w:p>
          <w:p w14:paraId="2DA6ED3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④声音和画面要求同步，无交流声或其他杂音等缺陷。</w:t>
            </w:r>
          </w:p>
          <w:p w14:paraId="173457D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⑤伴音清晰、饱满、圆润，无失真、噪声杂音干扰、音量忽大忽小现象。解说声与现场声无明显比例失调，解说声与背景音乐无明显比例失调。</w:t>
            </w:r>
          </w:p>
          <w:p w14:paraId="0F21588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(3)视频压缩格式及技术参数</w:t>
            </w:r>
          </w:p>
          <w:p w14:paraId="2475523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①视频压缩采用H.264/AVC(MPEG-4Part10)编码、使用二次编码、不包含字幕的MP4格式。</w:t>
            </w:r>
          </w:p>
          <w:p w14:paraId="297C507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②视频码流率：动态码流的最低码率不得低于300Kbps。</w:t>
            </w:r>
          </w:p>
          <w:p w14:paraId="3923731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③视频分辨率。</w:t>
            </w:r>
          </w:p>
          <w:p w14:paraId="45571DB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前期采用标清4:3拍摄时，设定为720×576;前期采用高清16:9拍摄时，设定为1280×720或1920×1080。</w:t>
            </w:r>
          </w:p>
          <w:p w14:paraId="37FD08C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④视频画幅宽高比</w:t>
            </w:r>
          </w:p>
          <w:p w14:paraId="3D9590F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分辨率设定为720×576的，选定4:3;</w:t>
            </w:r>
          </w:p>
          <w:p w14:paraId="7CFED96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分辨率设定为1280×720或1920×1080的，选定16:9。</w:t>
            </w:r>
          </w:p>
          <w:p w14:paraId="6F66B5B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⑤视频帧率不低于25帧/秒。</w:t>
            </w:r>
          </w:p>
          <w:p w14:paraId="673573F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⑥扫描方式采用逐行扫描。</w:t>
            </w:r>
          </w:p>
          <w:p w14:paraId="23DA117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(4)音频压缩格式及技术参数</w:t>
            </w:r>
          </w:p>
          <w:p w14:paraId="247B951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①音频压缩采用AAC(MPEG4Part3)格式。</w:t>
            </w:r>
          </w:p>
          <w:p w14:paraId="64DA90C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②采样率不低于44KHz。</w:t>
            </w:r>
          </w:p>
          <w:p w14:paraId="49D50DC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③音频码流率不低于96Kbps。</w:t>
            </w:r>
          </w:p>
          <w:p w14:paraId="1B91A10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④必须是双声道。</w:t>
            </w:r>
          </w:p>
          <w:p w14:paraId="379A392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【封装】</w:t>
            </w:r>
          </w:p>
          <w:p w14:paraId="098AF5D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采用MP4封装。</w:t>
            </w:r>
          </w:p>
          <w:p w14:paraId="53428E3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【命名要求】</w:t>
            </w:r>
          </w:p>
          <w:p w14:paraId="5FC9127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文件命名应直接指明资源所属课程、章节或性质。(如采购人有新要求以采购人文件为准)。</w:t>
            </w:r>
          </w:p>
          <w:p w14:paraId="3AE49AD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【内容和版权要求】</w:t>
            </w:r>
          </w:p>
          <w:p w14:paraId="4820843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视频内容应忠实于原文献，完整有序，版权不存在争议；符合我国法律法规，尊重各民族风俗习惯。</w:t>
            </w:r>
          </w:p>
          <w:p w14:paraId="2C965AD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3.图片处理美化</w:t>
            </w:r>
          </w:p>
          <w:p w14:paraId="709EB93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【标准要求】</w:t>
            </w:r>
          </w:p>
          <w:p w14:paraId="7147388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教学图片素材资源，包括结构图、施工图纸、设计图纸、设备图纸、原理动图、知识结构思、维导图等教学用图，按精品在线开放课程教学需要提供处理、美化。</w:t>
            </w:r>
          </w:p>
          <w:p w14:paraId="1CA1526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【技术要求】</w:t>
            </w:r>
          </w:p>
          <w:p w14:paraId="6C7DE2C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(1)彩色图像颜色数不低于真彩(24位色)。</w:t>
            </w:r>
          </w:p>
          <w:p w14:paraId="3288EB2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(2)尺寸：1920X1080像素，建议提供同比例大图；位深：24位；扫描图像的扫描分辨率不低于72dpi。</w:t>
            </w:r>
          </w:p>
          <w:p w14:paraId="4BB55FE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(3)采用常见存储格式，如GIF、PNG、JPG等。</w:t>
            </w:r>
          </w:p>
          <w:p w14:paraId="53C99B8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4.文本排版美化</w:t>
            </w:r>
          </w:p>
          <w:p w14:paraId="037A81C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【标准要求】</w:t>
            </w:r>
          </w:p>
          <w:p w14:paraId="1AE5BD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文本素材资源，包括课程介绍、团队介绍、教学标准、教学日历、课程导学、教学设计、评价标准、拓展学习、模块导学、专题导学、学习目标、技能目标、教案、练习测验、考试试题等文本资源，按精品在线开放课程教学需要提供排版处理、美化。</w:t>
            </w:r>
          </w:p>
          <w:p w14:paraId="2968A09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【技术要求】</w:t>
            </w:r>
          </w:p>
          <w:p w14:paraId="4F6167E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(1)纯文本采用UTF-8编码或GB18030编码。</w:t>
            </w:r>
          </w:p>
          <w:p w14:paraId="2ECC4B1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(2)存储格式：DOC(word97-2003版本)。</w:t>
            </w:r>
          </w:p>
          <w:p w14:paraId="37EDDB3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5.二维动画</w:t>
            </w:r>
          </w:p>
          <w:p w14:paraId="06E40B1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【标准要求】</w:t>
            </w:r>
          </w:p>
          <w:p w14:paraId="4E5D909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二维动画资源，应通过对专业特点的分析，充分调研专业涉及的教学和实际工作场景，运用了科学的原画设定方法，制定符合专业的角色、场景、道具等原画设计，创设职业岗位相关情景，采用丰富的动画表现形式，与专业特点和谐统一。视频时长1-2分钟。</w:t>
            </w:r>
          </w:p>
          <w:p w14:paraId="0FD4094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【技术要求】</w:t>
            </w:r>
          </w:p>
          <w:p w14:paraId="1D0C138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(1)原画设计：使用AdobePhotoshopCC2020、AdobeIllustrator2020、Sai进行角色，场景、道具、视频包装等设计绘制。</w:t>
            </w:r>
          </w:p>
          <w:p w14:paraId="5EB2C0B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(2)分镜设计：根据脚本内容，详细分析，运用AdobePhotoshopCC2020、Storyboarderv3.0.0或纸质分镜头，绘制分镜，呈现影片初步效果。</w:t>
            </w:r>
          </w:p>
          <w:p w14:paraId="5D09756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(3)动态分镜Layout:根据分镜头脚本与动作设计，通过更深入具体的描述刻画，形成Layout,并运用已设计的角色、场景、道具在AdobeAnimate、AdobeAfter</w:t>
            </w:r>
          </w:p>
          <w:p w14:paraId="59C7892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Effects、万彩动画大师、MOHO、Flash中制作出动画片段，动画表现应符合自然规律和基本运动规律。</w:t>
            </w:r>
          </w:p>
          <w:p w14:paraId="161F0B8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(4)动画设计：采用动作补间、形状补间动画、逐帧动画、遮罩动画、引导层动画对角色、场景、道具等元素进行控制，满足动画脚本内容需要。</w:t>
            </w:r>
          </w:p>
          <w:p w14:paraId="588984B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(5)后期合成：使用AdobeAfterEffect、Adobe</w:t>
            </w:r>
          </w:p>
          <w:p w14:paraId="4E7A738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premiere、将已制作动画镜头进行合成、剪辑，添加音乐音效，最终生成动画文件，动画的帧率都为25帧/秒，格式为MP4,总比特率不低于300kdps。</w:t>
            </w:r>
          </w:p>
          <w:p w14:paraId="03DF31D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(6)画面尺寸：画面比例应为16:9,宽度1280像素×高度720像素及以上。</w:t>
            </w:r>
          </w:p>
          <w:p w14:paraId="40FD167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(7)品质要求：动画内容中用到的图像必须清晰，不能有图像过于模糊等现象出现。</w:t>
            </w:r>
          </w:p>
          <w:p w14:paraId="3894978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(8)动画内容播放过程连续流畅，节奏合适，避免采用简单重复方式以保持动画播放时间，如说话特写中，同一抬手放手动作不断重复。</w:t>
            </w:r>
          </w:p>
          <w:p w14:paraId="4D68997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(9)声音录制采用专业级话筒，保证后期配音的录音质量，解说配音应标准，无噪音，声音悦耳，音量适当，快慢适度。</w:t>
            </w:r>
          </w:p>
          <w:p w14:paraId="6B691539">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(10)资源开发完成后，需将源代码、制作源文件和相关脚本、素材等项目材料与成品一并归档整理，统一交付采购方。</w:t>
            </w:r>
          </w:p>
          <w:p w14:paraId="0B20191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(11)版权归采购方所有，资源中应增加含有采购人校徽或校名的水印标识；资源中选用的其他非原创性资源不存在版权争议问题。</w:t>
            </w:r>
          </w:p>
          <w:p w14:paraId="54203B1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(七)执行标准</w:t>
            </w:r>
          </w:p>
          <w:p w14:paraId="22045097">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1.教育部关于国家精品开放课程建设的实施意见。</w:t>
            </w:r>
          </w:p>
          <w:p w14:paraId="542DB341">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2.教育部联合五部门印发的《关于加强普通高等学校在线开放课程教学管理的若干意见》。</w:t>
            </w:r>
          </w:p>
          <w:p w14:paraId="73665B82">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3.教育部关于启动高等学校教学质量与教学改革工程精品课程建设工作的通知。</w:t>
            </w:r>
          </w:p>
          <w:p w14:paraId="6140EA3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4.教学资源符合教育部网络教育技术标准集CELTS。</w:t>
            </w:r>
          </w:p>
          <w:p w14:paraId="1A0C13FA">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5.资源开发遵循《教育资源建设技术规范》(GELTS-41)。</w:t>
            </w:r>
          </w:p>
          <w:p w14:paraId="5BC3BC9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6.资源管理遵循《教育管理信息化技术标准》。</w:t>
            </w:r>
          </w:p>
          <w:p w14:paraId="1D32C5B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7.教学资源开发遵循《职业教育专业教学资源库建设工作指南》(2016)《国家示范性职业学校数字化资源共建共享计划资源开发技术规范》《职业院校数字化校园建设解决方案》。</w:t>
            </w:r>
          </w:p>
          <w:p w14:paraId="3C74281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(八)交付要求</w:t>
            </w:r>
          </w:p>
          <w:p w14:paraId="4CA6AA33">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本项目编辑后的设计文件、教学课件、文本资源等，动画源文件、微课视频工程文件等，脚本、字幕文件等，拍摄过程的视频、音频等原素材，项目完成后交采购人，版权归采购人所有。</w:t>
            </w:r>
          </w:p>
        </w:tc>
        <w:tc>
          <w:tcPr>
            <w:tcW w:w="505" w:type="dxa"/>
            <w:noWrap w:val="0"/>
            <w:vAlign w:val="center"/>
          </w:tcPr>
          <w:p w14:paraId="609753E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478" w:type="dxa"/>
            <w:noWrap w:val="0"/>
            <w:vAlign w:val="center"/>
          </w:tcPr>
          <w:p w14:paraId="62A8BA5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w:t>
            </w:r>
          </w:p>
        </w:tc>
        <w:tc>
          <w:tcPr>
            <w:tcW w:w="718" w:type="dxa"/>
            <w:noWrap w:val="0"/>
            <w:vAlign w:val="center"/>
          </w:tcPr>
          <w:p w14:paraId="4569DE4F">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14:paraId="088E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A636C3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239" w:type="dxa"/>
            <w:noWrap w:val="0"/>
            <w:vAlign w:val="center"/>
          </w:tcPr>
          <w:p w14:paraId="07D4532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教师教学能力大赛</w:t>
            </w:r>
          </w:p>
        </w:tc>
        <w:tc>
          <w:tcPr>
            <w:tcW w:w="6390" w:type="dxa"/>
            <w:gridSpan w:val="2"/>
            <w:noWrap w:val="0"/>
            <w:vAlign w:val="center"/>
          </w:tcPr>
          <w:p w14:paraId="3768133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组织教师外出学习</w:t>
            </w:r>
          </w:p>
          <w:p w14:paraId="2269DA36">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组织老师参加区级以上培训，培训人数：</w:t>
            </w:r>
            <w:r>
              <w:rPr>
                <w:rFonts w:hint="eastAsia" w:ascii="宋体" w:hAnsi="宋体" w:eastAsia="宋体" w:cs="宋体"/>
                <w:b w:val="0"/>
                <w:bCs w:val="0"/>
                <w:color w:val="auto"/>
                <w:kern w:val="0"/>
                <w:sz w:val="21"/>
                <w:szCs w:val="21"/>
                <w:highlight w:val="none"/>
                <w:lang w:val="en-US" w:eastAsia="zh-CN"/>
              </w:rPr>
              <w:t>8人</w:t>
            </w:r>
          </w:p>
          <w:p w14:paraId="36A848D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邀请专家进行指导</w:t>
            </w:r>
          </w:p>
          <w:p w14:paraId="6272513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邀请</w:t>
            </w:r>
            <w:r>
              <w:rPr>
                <w:rFonts w:hint="eastAsia" w:ascii="宋体" w:hAnsi="宋体" w:eastAsia="宋体" w:cs="宋体"/>
                <w:b w:val="0"/>
                <w:bCs w:val="0"/>
                <w:color w:val="auto"/>
                <w:kern w:val="0"/>
                <w:sz w:val="21"/>
                <w:szCs w:val="21"/>
                <w:highlight w:val="none"/>
                <w:lang w:val="en-US" w:eastAsia="zh-CN"/>
              </w:rPr>
              <w:t>具有</w:t>
            </w:r>
            <w:r>
              <w:rPr>
                <w:rFonts w:hint="eastAsia" w:ascii="宋体" w:hAnsi="宋体" w:eastAsia="宋体" w:cs="宋体"/>
                <w:b w:val="0"/>
                <w:bCs w:val="0"/>
                <w:color w:val="auto"/>
                <w:kern w:val="0"/>
                <w:sz w:val="21"/>
                <w:szCs w:val="21"/>
                <w:highlight w:val="none"/>
                <w:lang w:eastAsia="zh-CN"/>
              </w:rPr>
              <w:t>教学能力</w:t>
            </w:r>
            <w:r>
              <w:rPr>
                <w:rFonts w:hint="eastAsia" w:ascii="宋体" w:hAnsi="宋体" w:eastAsia="宋体" w:cs="宋体"/>
                <w:b w:val="0"/>
                <w:bCs w:val="0"/>
                <w:color w:val="auto"/>
                <w:kern w:val="0"/>
                <w:sz w:val="21"/>
                <w:szCs w:val="21"/>
                <w:highlight w:val="none"/>
                <w:lang w:val="en-US" w:eastAsia="zh-CN"/>
              </w:rPr>
              <w:t>大赛经验的专家</w:t>
            </w:r>
            <w:r>
              <w:rPr>
                <w:rFonts w:hint="eastAsia" w:ascii="宋体" w:hAnsi="宋体" w:eastAsia="宋体" w:cs="宋体"/>
                <w:b w:val="0"/>
                <w:bCs w:val="0"/>
                <w:color w:val="auto"/>
                <w:kern w:val="0"/>
                <w:sz w:val="21"/>
                <w:szCs w:val="21"/>
                <w:highlight w:val="none"/>
                <w:lang w:eastAsia="zh-CN"/>
              </w:rPr>
              <w:t>进行指导，线下培训时间应达到</w:t>
            </w:r>
            <w:r>
              <w:rPr>
                <w:rFonts w:hint="eastAsia" w:ascii="宋体" w:hAnsi="宋体" w:eastAsia="宋体" w:cs="宋体"/>
                <w:b w:val="0"/>
                <w:bCs w:val="0"/>
                <w:color w:val="auto"/>
                <w:kern w:val="0"/>
                <w:sz w:val="21"/>
                <w:szCs w:val="21"/>
                <w:highlight w:val="none"/>
                <w:lang w:val="en-US" w:eastAsia="zh-CN"/>
              </w:rPr>
              <w:t>12天及以上，线上培训时间应达到一个月及以上。包括内容：</w:t>
            </w:r>
            <w:r>
              <w:rPr>
                <w:rFonts w:hint="eastAsia" w:ascii="宋体" w:hAnsi="宋体" w:eastAsia="宋体" w:cs="宋体"/>
                <w:b w:val="0"/>
                <w:bCs w:val="0"/>
                <w:color w:val="auto"/>
                <w:kern w:val="0"/>
                <w:sz w:val="21"/>
                <w:szCs w:val="21"/>
                <w:highlight w:val="none"/>
                <w:lang w:val="en-US" w:eastAsia="zh-CN"/>
              </w:rPr>
              <w:br w:type="textWrapping"/>
            </w:r>
            <w:r>
              <w:rPr>
                <w:rFonts w:hint="eastAsia" w:ascii="宋体" w:hAnsi="宋体" w:eastAsia="宋体" w:cs="宋体"/>
                <w:b w:val="0"/>
                <w:bCs w:val="0"/>
                <w:color w:val="auto"/>
                <w:kern w:val="0"/>
                <w:sz w:val="21"/>
                <w:szCs w:val="21"/>
                <w:highlight w:val="none"/>
                <w:lang w:val="en-US" w:eastAsia="zh-CN"/>
              </w:rPr>
              <w:t>（1）职业院校教学能力比赛备赛经验分享与交流</w:t>
            </w:r>
          </w:p>
          <w:p w14:paraId="4C8BEB9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（2）教学能力大赛一等奖全套参赛作品的解读、观摩、评价与讨论</w:t>
            </w:r>
          </w:p>
          <w:p w14:paraId="45DC186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（3）任务驱动式、深度学习式课堂实例体验与解读</w:t>
            </w:r>
          </w:p>
          <w:p w14:paraId="2D333F54">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（4）实操方面：教学设计与思路；教案与实施报告撰写；教学展示和答辩策略</w:t>
            </w:r>
            <w:r>
              <w:rPr>
                <w:rFonts w:hint="eastAsia" w:ascii="宋体" w:hAnsi="宋体" w:eastAsia="宋体" w:cs="宋体"/>
                <w:b w:val="0"/>
                <w:bCs w:val="0"/>
                <w:color w:val="auto"/>
                <w:kern w:val="0"/>
                <w:sz w:val="21"/>
                <w:szCs w:val="21"/>
                <w:highlight w:val="none"/>
                <w:lang w:val="en-US" w:eastAsia="zh-CN"/>
              </w:rPr>
              <w:br w:type="textWrapping"/>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bidi="ar-SA"/>
              </w:rPr>
              <w:t>结合当前本专业基础，拟定方向</w:t>
            </w:r>
            <w:r>
              <w:rPr>
                <w:rFonts w:hint="eastAsia" w:ascii="宋体" w:hAnsi="宋体" w:eastAsia="宋体" w:cs="宋体"/>
                <w:b w:val="0"/>
                <w:bCs w:val="0"/>
                <w:color w:val="auto"/>
                <w:kern w:val="0"/>
                <w:sz w:val="21"/>
                <w:szCs w:val="21"/>
                <w:highlight w:val="none"/>
                <w:lang w:val="en-US" w:eastAsia="zh-CN"/>
              </w:rPr>
              <w:br w:type="textWrapping"/>
            </w:r>
            <w:r>
              <w:rPr>
                <w:rFonts w:hint="eastAsia" w:ascii="宋体" w:hAnsi="宋体" w:eastAsia="宋体" w:cs="宋体"/>
                <w:b w:val="0"/>
                <w:bCs w:val="0"/>
                <w:color w:val="auto"/>
                <w:kern w:val="0"/>
                <w:sz w:val="21"/>
                <w:szCs w:val="21"/>
                <w:highlight w:val="none"/>
                <w:lang w:val="en-US" w:eastAsia="zh-CN"/>
              </w:rPr>
              <w:t>专家资质要求：与数控专业相同或相近的省级一等奖以上的参赛选手</w:t>
            </w:r>
          </w:p>
          <w:p w14:paraId="6E209B3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bidi="ar"/>
              </w:rPr>
              <w:t>聘请专业团队进行拍摄、制作视频</w:t>
            </w:r>
          </w:p>
          <w:p w14:paraId="0136B125">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邀请具有教学能力（国赛）拍摄经验的团队进行一对一拍摄。实录视频分两组，一组包括三段实录视频。每段时长8—12分钟，总时长控制在24—36分钟；每段视频选择教学场景，应分别完整、清晰地呈现线上线下教学特质鲜明、反映团队成员教学风格的教学活动实况。</w:t>
            </w:r>
          </w:p>
          <w:p w14:paraId="4C00904C">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要求：视频须采用3机位全程连续录制，镜头固定，其中一个机位对准黑板和屏幕，另两个机位根据教学实际固定镜头位置，须覆盖教室全景（1 学时教学需要两个教学场所的，每个教学场所均须安放固定镜头，机位总数为3个）。3 机位须同步录制，保证音视频准确同步。录课过程中拍摄及其他人员不在场，提交的视频从拍摄人员离场开始到拍摄人员停机为止（1学时之外的录制时长不超过2分钟）。所有机位拍摄的视频须保证音轨连续，不另行剪辑及配音，不加片头片尾、字幕注解。视频采用MP4格式封装，单个视频文件大小不超过500M。</w:t>
            </w:r>
          </w:p>
          <w:p w14:paraId="4005999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 xml:space="preserve">视频录制采用H.264/AVC编码格式压缩，动态比特率（码 </w:t>
            </w:r>
          </w:p>
          <w:p w14:paraId="0C1F6D6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eastAsia="zh-CN"/>
              </w:rPr>
              <w:t>流）不低于1024Kbps，分辨率设定为1280*720，采用逐行扫描，帧速率为25 帧/秒。音频采用AAC格式压缩，采样率48KHz，比特率（码流）128Kbps(恒定)。</w:t>
            </w:r>
          </w:p>
        </w:tc>
        <w:tc>
          <w:tcPr>
            <w:tcW w:w="505" w:type="dxa"/>
            <w:noWrap w:val="0"/>
            <w:vAlign w:val="center"/>
          </w:tcPr>
          <w:p w14:paraId="4139B9D5">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478" w:type="dxa"/>
            <w:noWrap w:val="0"/>
            <w:vAlign w:val="center"/>
          </w:tcPr>
          <w:p w14:paraId="4093893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人</w:t>
            </w:r>
          </w:p>
        </w:tc>
        <w:tc>
          <w:tcPr>
            <w:tcW w:w="718" w:type="dxa"/>
            <w:noWrap w:val="0"/>
            <w:vAlign w:val="center"/>
          </w:tcPr>
          <w:p w14:paraId="532B277C">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0844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6B37876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239" w:type="dxa"/>
            <w:noWrap w:val="0"/>
            <w:vAlign w:val="center"/>
          </w:tcPr>
          <w:p w14:paraId="190D1C5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学生技能大赛培训（国赛）</w:t>
            </w:r>
          </w:p>
        </w:tc>
        <w:tc>
          <w:tcPr>
            <w:tcW w:w="6390" w:type="dxa"/>
            <w:gridSpan w:val="2"/>
            <w:noWrap w:val="0"/>
            <w:vAlign w:val="center"/>
          </w:tcPr>
          <w:p w14:paraId="347ECE7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组织</w:t>
            </w:r>
            <w:r>
              <w:rPr>
                <w:rFonts w:hint="eastAsia" w:ascii="宋体" w:hAnsi="宋体" w:eastAsia="宋体" w:cs="宋体"/>
                <w:b w:val="0"/>
                <w:bCs w:val="0"/>
                <w:color w:val="auto"/>
                <w:kern w:val="0"/>
                <w:sz w:val="21"/>
                <w:szCs w:val="21"/>
                <w:highlight w:val="none"/>
                <w:lang w:eastAsia="zh-CN" w:bidi="ar"/>
              </w:rPr>
              <w:t>师生参加国赛培训</w:t>
            </w:r>
          </w:p>
          <w:p w14:paraId="399AA02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Inventor、Fusion 360高阶技术培训</w:t>
            </w:r>
          </w:p>
          <w:p w14:paraId="60A56FE5">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线下培训要求：专业讲师授课，线下安排与区外优秀院校进行技术拉练不少于15天，具体培训内容可根据当年竞赛方向做具体要求，培训拉练时长根据竞赛时间可做调整；</w:t>
            </w:r>
          </w:p>
          <w:p w14:paraId="44C6AA3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线上培训：不少于</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5天，每天不低于6学时</w:t>
            </w:r>
          </w:p>
          <w:p w14:paraId="5021D7B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参训人员：教师2名，学生不限人数；</w:t>
            </w:r>
          </w:p>
          <w:p w14:paraId="6984993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讲师资质：要求Autodesk讲师资质，省级技术能手；具备《产品数字化设计与开发》赛项的大赛指导经验，近三年指导学生在国家级竞赛中获奖</w:t>
            </w:r>
          </w:p>
          <w:p w14:paraId="2EA7AC0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聘请专家指导</w:t>
            </w:r>
          </w:p>
          <w:p w14:paraId="5271ECCC">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专家资质：具备autodesk inventor讲师资质、fusion360讲师资质</w:t>
            </w:r>
          </w:p>
          <w:p w14:paraId="22251798">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bidi="ar"/>
              </w:rPr>
              <w:t>大赛项目所需耗材、设备支持</w:t>
            </w:r>
            <w:r>
              <w:rPr>
                <w:rFonts w:hint="eastAsia" w:ascii="宋体" w:hAnsi="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eastAsia="zh-CN"/>
              </w:rPr>
              <w:t>根据培训计划购买</w:t>
            </w:r>
          </w:p>
          <w:p w14:paraId="0D2CCF10">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省级赛准备</w:t>
            </w:r>
          </w:p>
          <w:p w14:paraId="4671F9FB">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省赛：邀请具备《产品数字化设计与开发》赛项制裁经验专家指导</w:t>
            </w:r>
          </w:p>
        </w:tc>
        <w:tc>
          <w:tcPr>
            <w:tcW w:w="505" w:type="dxa"/>
            <w:noWrap w:val="0"/>
            <w:vAlign w:val="center"/>
          </w:tcPr>
          <w:p w14:paraId="5770291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0D3FBE2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w:t>
            </w:r>
          </w:p>
        </w:tc>
        <w:tc>
          <w:tcPr>
            <w:tcW w:w="718" w:type="dxa"/>
            <w:noWrap w:val="0"/>
            <w:vAlign w:val="center"/>
          </w:tcPr>
          <w:p w14:paraId="0E3E0ABF">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3974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FD9425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239" w:type="dxa"/>
            <w:noWrap w:val="0"/>
            <w:vAlign w:val="center"/>
          </w:tcPr>
          <w:p w14:paraId="64760C1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数控车床“1+X”证书试点</w:t>
            </w:r>
          </w:p>
        </w:tc>
        <w:tc>
          <w:tcPr>
            <w:tcW w:w="6390" w:type="dxa"/>
            <w:gridSpan w:val="2"/>
            <w:noWrap w:val="0"/>
            <w:vAlign w:val="center"/>
          </w:tcPr>
          <w:p w14:paraId="751C132F">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购买学生训练</w:t>
            </w:r>
            <w:r>
              <w:rPr>
                <w:rFonts w:hint="eastAsia" w:ascii="宋体" w:hAnsi="宋体" w:cs="宋体"/>
                <w:b w:val="0"/>
                <w:bCs w:val="0"/>
                <w:color w:val="auto"/>
                <w:kern w:val="0"/>
                <w:sz w:val="21"/>
                <w:szCs w:val="21"/>
                <w:highlight w:val="none"/>
                <w:lang w:eastAsia="zh-CN" w:bidi="ar"/>
              </w:rPr>
              <w:t>和考证</w:t>
            </w:r>
            <w:r>
              <w:rPr>
                <w:rFonts w:hint="eastAsia" w:ascii="宋体" w:hAnsi="宋体" w:eastAsia="宋体" w:cs="宋体"/>
                <w:b w:val="0"/>
                <w:bCs w:val="0"/>
                <w:color w:val="auto"/>
                <w:kern w:val="0"/>
                <w:sz w:val="21"/>
                <w:szCs w:val="21"/>
                <w:highlight w:val="none"/>
                <w:lang w:bidi="ar"/>
              </w:rPr>
              <w:t>耗材</w:t>
            </w:r>
            <w:r>
              <w:rPr>
                <w:rFonts w:hint="eastAsia" w:ascii="宋体" w:hAnsi="宋体" w:eastAsia="宋体" w:cs="宋体"/>
                <w:b w:val="0"/>
                <w:bCs w:val="0"/>
                <w:color w:val="auto"/>
                <w:kern w:val="0"/>
                <w:sz w:val="21"/>
                <w:szCs w:val="21"/>
                <w:highlight w:val="none"/>
                <w:lang w:eastAsia="zh-CN" w:bidi="ar"/>
              </w:rPr>
              <w:t>：</w:t>
            </w:r>
            <w:r>
              <w:rPr>
                <w:rFonts w:hint="eastAsia" w:ascii="宋体" w:hAnsi="宋体" w:cs="宋体"/>
                <w:b w:val="0"/>
                <w:bCs w:val="0"/>
                <w:color w:val="auto"/>
                <w:kern w:val="0"/>
                <w:sz w:val="21"/>
                <w:szCs w:val="21"/>
                <w:highlight w:val="none"/>
                <w:lang w:eastAsia="zh-CN" w:bidi="ar"/>
              </w:rPr>
              <w:t>工具、量具、刀具、</w:t>
            </w:r>
            <w:r>
              <w:rPr>
                <w:rFonts w:hint="eastAsia" w:ascii="宋体" w:hAnsi="宋体" w:cs="宋体"/>
                <w:b w:val="0"/>
                <w:bCs w:val="0"/>
                <w:color w:val="auto"/>
                <w:kern w:val="0"/>
                <w:sz w:val="21"/>
                <w:szCs w:val="21"/>
                <w:highlight w:val="none"/>
                <w:lang w:val="en-US" w:eastAsia="zh-CN" w:bidi="ar"/>
              </w:rPr>
              <w:t>45钢和铝（具体和业主方商定）</w:t>
            </w:r>
          </w:p>
          <w:p w14:paraId="453723E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color w:val="auto"/>
              </w:rPr>
            </w:pP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印刷习题资料等</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eastAsia="zh-CN"/>
              </w:rPr>
              <w:t>收集与考证相关资料，题库等印刷给考生</w:t>
            </w:r>
          </w:p>
          <w:p w14:paraId="4A6194DE">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default" w:eastAsia="宋体"/>
                <w:color w:val="auto"/>
                <w:lang w:val="en-US" w:eastAsia="zh-CN"/>
              </w:rPr>
            </w:pPr>
            <w:r>
              <w:rPr>
                <w:rFonts w:hint="eastAsia"/>
                <w:color w:val="auto"/>
                <w:lang w:val="en-US" w:eastAsia="zh-CN"/>
              </w:rPr>
              <w:t>3.考评员、工作人员费用支出（住宿、交通和伙食）</w:t>
            </w:r>
          </w:p>
        </w:tc>
        <w:tc>
          <w:tcPr>
            <w:tcW w:w="505" w:type="dxa"/>
            <w:noWrap w:val="0"/>
            <w:vAlign w:val="center"/>
          </w:tcPr>
          <w:p w14:paraId="42847D0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60</w:t>
            </w:r>
          </w:p>
        </w:tc>
        <w:tc>
          <w:tcPr>
            <w:tcW w:w="478" w:type="dxa"/>
            <w:noWrap w:val="0"/>
            <w:vAlign w:val="center"/>
          </w:tcPr>
          <w:p w14:paraId="2FE02B76">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人</w:t>
            </w:r>
          </w:p>
        </w:tc>
        <w:tc>
          <w:tcPr>
            <w:tcW w:w="718" w:type="dxa"/>
            <w:noWrap w:val="0"/>
            <w:vAlign w:val="center"/>
          </w:tcPr>
          <w:p w14:paraId="5765F260">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6729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4FC717A4">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239" w:type="dxa"/>
            <w:noWrap w:val="0"/>
            <w:vAlign w:val="center"/>
          </w:tcPr>
          <w:p w14:paraId="3A4DCAF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校企合作</w:t>
            </w:r>
          </w:p>
        </w:tc>
        <w:tc>
          <w:tcPr>
            <w:tcW w:w="6390" w:type="dxa"/>
            <w:gridSpan w:val="2"/>
            <w:noWrap w:val="0"/>
            <w:vAlign w:val="center"/>
          </w:tcPr>
          <w:p w14:paraId="7C9AD19D">
            <w:pPr>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eastAsia="zh-CN"/>
              </w:rPr>
              <w:t>邀请数控技术应用专业相关企业进行校企合作，共同撰写</w:t>
            </w:r>
            <w:r>
              <w:rPr>
                <w:rFonts w:hint="eastAsia" w:ascii="宋体" w:hAnsi="宋体" w:cs="宋体"/>
                <w:b w:val="0"/>
                <w:bCs w:val="0"/>
                <w:color w:val="auto"/>
                <w:kern w:val="0"/>
                <w:sz w:val="21"/>
                <w:szCs w:val="21"/>
                <w:highlight w:val="none"/>
                <w:lang w:eastAsia="zh-CN"/>
              </w:rPr>
              <w:t>数控专业</w:t>
            </w:r>
            <w:r>
              <w:rPr>
                <w:rFonts w:hint="eastAsia" w:ascii="宋体" w:hAnsi="宋体" w:eastAsia="宋体" w:cs="宋体"/>
                <w:b w:val="0"/>
                <w:bCs w:val="0"/>
                <w:color w:val="auto"/>
                <w:kern w:val="0"/>
                <w:sz w:val="21"/>
                <w:szCs w:val="21"/>
                <w:highlight w:val="none"/>
                <w:lang w:eastAsia="zh-CN"/>
              </w:rPr>
              <w:t>校本教材</w:t>
            </w:r>
            <w:r>
              <w:rPr>
                <w:rFonts w:hint="eastAsia" w:ascii="宋体" w:hAnsi="宋体" w:cs="宋体"/>
                <w:b w:val="0"/>
                <w:bCs w:val="0"/>
                <w:color w:val="auto"/>
                <w:kern w:val="0"/>
                <w:sz w:val="21"/>
                <w:szCs w:val="21"/>
                <w:highlight w:val="none"/>
                <w:lang w:val="en-US" w:eastAsia="zh-CN"/>
              </w:rPr>
              <w:t>1本。</w:t>
            </w:r>
          </w:p>
        </w:tc>
        <w:tc>
          <w:tcPr>
            <w:tcW w:w="505" w:type="dxa"/>
            <w:noWrap w:val="0"/>
            <w:vAlign w:val="center"/>
          </w:tcPr>
          <w:p w14:paraId="1A502668">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78" w:type="dxa"/>
            <w:noWrap w:val="0"/>
            <w:vAlign w:val="center"/>
          </w:tcPr>
          <w:p w14:paraId="44367AEB">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w:t>
            </w:r>
          </w:p>
        </w:tc>
        <w:tc>
          <w:tcPr>
            <w:tcW w:w="718" w:type="dxa"/>
            <w:noWrap w:val="0"/>
            <w:vAlign w:val="center"/>
          </w:tcPr>
          <w:p w14:paraId="245BBB1F">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5D12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700EA9D4">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二、商务要求</w:t>
            </w:r>
          </w:p>
        </w:tc>
      </w:tr>
      <w:tr w14:paraId="1852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3D0B85E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合同签订期</w:t>
            </w:r>
          </w:p>
        </w:tc>
        <w:tc>
          <w:tcPr>
            <w:tcW w:w="8091" w:type="dxa"/>
            <w:gridSpan w:val="5"/>
            <w:noWrap w:val="0"/>
            <w:vAlign w:val="center"/>
          </w:tcPr>
          <w:p w14:paraId="1D308F6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自</w:t>
            </w:r>
            <w:r>
              <w:rPr>
                <w:rFonts w:hint="eastAsia" w:ascii="宋体" w:hAnsi="宋体" w:cs="宋体"/>
                <w:color w:val="auto"/>
                <w:kern w:val="0"/>
                <w:szCs w:val="21"/>
                <w:lang w:val="en-US" w:eastAsia="zh-CN" w:bidi="ar"/>
              </w:rPr>
              <w:t>成交</w:t>
            </w:r>
            <w:r>
              <w:rPr>
                <w:rFonts w:hint="eastAsia" w:ascii="宋体" w:hAnsi="宋体" w:cs="宋体"/>
                <w:color w:val="auto"/>
                <w:kern w:val="0"/>
                <w:szCs w:val="21"/>
                <w:lang w:bidi="ar"/>
              </w:rPr>
              <w:t>通知书发出之日起</w:t>
            </w:r>
            <w:r>
              <w:rPr>
                <w:rFonts w:hint="eastAsia" w:ascii="宋体" w:hAnsi="宋体" w:cs="宋体"/>
                <w:color w:val="auto"/>
                <w:kern w:val="0"/>
                <w:szCs w:val="21"/>
                <w:lang w:val="en-US" w:eastAsia="zh-CN" w:bidi="ar"/>
              </w:rPr>
              <w:t>15</w:t>
            </w:r>
            <w:r>
              <w:rPr>
                <w:rFonts w:hint="eastAsia" w:ascii="宋体" w:hAnsi="宋体" w:cs="宋体"/>
                <w:color w:val="auto"/>
                <w:kern w:val="0"/>
                <w:szCs w:val="21"/>
                <w:lang w:bidi="ar"/>
              </w:rPr>
              <w:t>日内。</w:t>
            </w:r>
          </w:p>
        </w:tc>
      </w:tr>
      <w:tr w14:paraId="2D35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6B5F8BC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交货时间及地点</w:t>
            </w:r>
          </w:p>
        </w:tc>
        <w:tc>
          <w:tcPr>
            <w:tcW w:w="8091" w:type="dxa"/>
            <w:gridSpan w:val="5"/>
            <w:noWrap w:val="0"/>
            <w:vAlign w:val="center"/>
          </w:tcPr>
          <w:p w14:paraId="3FCE75FA">
            <w:pPr>
              <w:keepNext w:val="0"/>
              <w:keepLines w:val="0"/>
              <w:pageBreakBefore w:val="0"/>
              <w:widowControl/>
              <w:numPr>
                <w:numId w:val="0"/>
              </w:numPr>
              <w:kinsoku/>
              <w:wordWrap/>
              <w:overflowPunct/>
              <w:topLinePunct w:val="0"/>
              <w:autoSpaceDE/>
              <w:autoSpaceDN/>
              <w:bidi w:val="0"/>
              <w:adjustRightInd/>
              <w:snapToGrid/>
              <w:spacing w:line="440" w:lineRule="exact"/>
              <w:jc w:val="left"/>
              <w:textAlignment w:val="auto"/>
              <w:rPr>
                <w:rFonts w:hint="eastAsia"/>
                <w:color w:val="auto"/>
              </w:rPr>
            </w:pPr>
            <w:r>
              <w:rPr>
                <w:rFonts w:hint="eastAsia" w:ascii="宋体" w:hAnsi="宋体" w:cs="宋体"/>
                <w:color w:val="auto"/>
                <w:kern w:val="0"/>
                <w:szCs w:val="21"/>
                <w:lang w:val="en-US" w:eastAsia="zh-CN" w:bidi="ar"/>
              </w:rPr>
              <w:t>1.</w:t>
            </w:r>
            <w:bookmarkStart w:id="133" w:name="_GoBack"/>
            <w:bookmarkEnd w:id="133"/>
            <w:r>
              <w:rPr>
                <w:rFonts w:hint="eastAsia" w:ascii="宋体" w:hAnsi="宋体" w:cs="宋体"/>
                <w:color w:val="auto"/>
                <w:kern w:val="0"/>
                <w:szCs w:val="21"/>
                <w:lang w:bidi="ar"/>
              </w:rPr>
              <w:t>交货期：</w:t>
            </w:r>
            <w:r>
              <w:rPr>
                <w:rFonts w:hint="eastAsia"/>
                <w:color w:val="auto"/>
                <w:lang w:val="en-US" w:eastAsia="zh-CN"/>
              </w:rPr>
              <w:t>合同签订之日起15日内</w:t>
            </w:r>
            <w:r>
              <w:rPr>
                <w:rFonts w:hint="eastAsia"/>
                <w:color w:val="auto"/>
              </w:rPr>
              <w:t>安装调试竣工验收交付使用。</w:t>
            </w:r>
          </w:p>
          <w:p w14:paraId="3B20A48A">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2.交货地点：</w:t>
            </w:r>
            <w:r>
              <w:rPr>
                <w:rFonts w:hint="eastAsia"/>
                <w:color w:val="auto"/>
                <w:lang w:eastAsia="zh-CN"/>
              </w:rPr>
              <w:t>浦北县第一职业技术学校</w:t>
            </w:r>
          </w:p>
          <w:p w14:paraId="398C9AA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3.交货方式：现场交货</w:t>
            </w:r>
          </w:p>
        </w:tc>
      </w:tr>
      <w:tr w14:paraId="592A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33A959D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质保期限</w:t>
            </w:r>
          </w:p>
        </w:tc>
        <w:tc>
          <w:tcPr>
            <w:tcW w:w="8091" w:type="dxa"/>
            <w:gridSpan w:val="5"/>
            <w:noWrap w:val="0"/>
            <w:vAlign w:val="center"/>
          </w:tcPr>
          <w:p w14:paraId="41ABD95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val="en-US" w:eastAsia="zh-CN" w:bidi="ar"/>
              </w:rPr>
              <w:t>货物</w:t>
            </w:r>
            <w:r>
              <w:rPr>
                <w:rFonts w:hint="eastAsia" w:ascii="宋体" w:hAnsi="宋体" w:cs="宋体"/>
                <w:color w:val="auto"/>
                <w:kern w:val="0"/>
                <w:szCs w:val="21"/>
                <w:lang w:bidi="ar"/>
              </w:rPr>
              <w:t>按国家有关产品“三包”规定执行“三包”，自货物验收合格之日起计算，产品质保期最短不少于</w:t>
            </w:r>
            <w:r>
              <w:rPr>
                <w:rFonts w:hint="eastAsia" w:ascii="宋体" w:hAnsi="宋体" w:cs="宋体"/>
                <w:color w:val="auto"/>
                <w:kern w:val="0"/>
                <w:szCs w:val="21"/>
                <w:lang w:val="en-US" w:eastAsia="zh-CN" w:bidi="ar"/>
              </w:rPr>
              <w:t>一</w:t>
            </w:r>
            <w:r>
              <w:rPr>
                <w:rFonts w:hint="eastAsia" w:ascii="宋体" w:hAnsi="宋体" w:cs="宋体"/>
                <w:color w:val="auto"/>
                <w:kern w:val="0"/>
                <w:szCs w:val="21"/>
                <w:lang w:bidi="ar"/>
              </w:rPr>
              <w:t>年（“技术参数要求”有要求的则按其要求）。若厂家质保期超过此年限的，合同履行过程中按厂家规定执行。质保期满后，终身维护。</w:t>
            </w:r>
          </w:p>
        </w:tc>
      </w:tr>
      <w:tr w14:paraId="3B62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5935483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售后服务要求</w:t>
            </w:r>
          </w:p>
        </w:tc>
        <w:tc>
          <w:tcPr>
            <w:tcW w:w="8091" w:type="dxa"/>
            <w:gridSpan w:val="5"/>
            <w:noWrap w:val="0"/>
            <w:vAlign w:val="center"/>
          </w:tcPr>
          <w:p w14:paraId="5298A3C8">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1.</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按采购人指定的地点负责送货上门、安装、调试，负责培训使用人员和维护人员。 </w:t>
            </w:r>
          </w:p>
          <w:p w14:paraId="760F76A5">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2.</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必须提供安装、配线以及软硬件的测试和调整服务。系统安装之前，应先对用户人员进行现场培训。开始安装时，应让用户的硬软件和系统集成人员参与安装、检测和排除故障。</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在施工、安装、调试等全过程中接受采购人的监督。 </w:t>
            </w:r>
          </w:p>
          <w:p w14:paraId="48D6AF1A">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3.在</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承诺的质保期内，设备保修包换所需要的配件均是原厂原装，不得使用兼容货物。 </w:t>
            </w:r>
          </w:p>
          <w:p w14:paraId="12D7E0E5">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4.售后服务按厂家承诺执行。</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超过厂家承诺标准的，按</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提交的售后服务承诺书执行。</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定期回访以及对设备进行维护；质保期后</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需提供维修维护服务。 </w:t>
            </w:r>
          </w:p>
          <w:p w14:paraId="652EDC90">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5.</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在质量保证期内应当为采购人提供以下技术支持和服务： </w:t>
            </w:r>
          </w:p>
          <w:p w14:paraId="4466980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（1）电话咨询 </w:t>
            </w:r>
          </w:p>
          <w:p w14:paraId="02DD2D28">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应当为采购人提供技术援助电话，解答采购人在使用中遇到的问题，及时为采购人提出解决问题的建议。 </w:t>
            </w:r>
          </w:p>
          <w:p w14:paraId="599DF85F">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（2）服务响应时间 </w:t>
            </w:r>
          </w:p>
          <w:p w14:paraId="1762C866">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质保期内，采购人遇到使用或技术问题，电话咨询不能解决的，</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应在 8小时内到达现场进行处理，到达现场后 5 小时内排除故障，恢复正常使用。保证采购人正常使用，产生的一切费用由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 </w:t>
            </w:r>
          </w:p>
          <w:p w14:paraId="3A3E01DE">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（3）技术升级 </w:t>
            </w:r>
          </w:p>
          <w:p w14:paraId="167B150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在质保期内，如果</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的产品或服务升级，</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应及时通知采购人，如采购人有相应要求，</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应对采购人购买的产品或服务进行升级。</w:t>
            </w:r>
          </w:p>
          <w:p w14:paraId="115D02F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6.质保期外服务要求质量保证期过后，采购人需要继续由原</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提供售后服务的，</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应提供电话咨询服务，并应承诺提供产品或服务上门维护，</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和制造商应以优惠价格提供售后服务。 </w:t>
            </w:r>
          </w:p>
          <w:p w14:paraId="3F947B38">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7.备品备件及易损件 </w:t>
            </w:r>
          </w:p>
          <w:p w14:paraId="10C9296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售后服务中，维修使用的备品备件及易损件应为原厂配件，未经采购人同意不得使用非原厂配件。 </w:t>
            </w:r>
          </w:p>
          <w:p w14:paraId="13DE367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8.培训要求：</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对其提供产品或服务的使用和操作应尽培训义务。</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应提供对本项目的使用单位进行培训服务，涉及的相关费用应计算在项目报价内，并使使用人员能独立、熟练操作系统。</w:t>
            </w:r>
          </w:p>
        </w:tc>
      </w:tr>
      <w:tr w14:paraId="74FD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85" w:type="dxa"/>
            <w:gridSpan w:val="2"/>
            <w:noWrap w:val="0"/>
            <w:vAlign w:val="center"/>
          </w:tcPr>
          <w:p w14:paraId="6628892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付款方式</w:t>
            </w:r>
          </w:p>
        </w:tc>
        <w:tc>
          <w:tcPr>
            <w:tcW w:w="8091" w:type="dxa"/>
            <w:gridSpan w:val="5"/>
            <w:noWrap w:val="0"/>
            <w:vAlign w:val="center"/>
          </w:tcPr>
          <w:p w14:paraId="0C365D1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Cs w:val="21"/>
                <w:highlight w:val="none"/>
              </w:rPr>
              <w:t>付款方式:</w:t>
            </w:r>
            <w:r>
              <w:rPr>
                <w:rFonts w:hint="eastAsia" w:ascii="宋体" w:hAnsi="宋体" w:cs="宋体"/>
                <w:color w:val="auto"/>
                <w:szCs w:val="21"/>
                <w:highlight w:val="none"/>
                <w:lang w:eastAsia="zh-CN"/>
              </w:rPr>
              <w:t>本项目全部完成后</w:t>
            </w:r>
            <w:r>
              <w:rPr>
                <w:rFonts w:hint="eastAsia" w:ascii="宋体" w:hAnsi="宋体" w:cs="宋体"/>
                <w:color w:val="auto"/>
                <w:szCs w:val="21"/>
                <w:highlight w:val="none"/>
              </w:rPr>
              <w:t>,</w:t>
            </w:r>
            <w:r>
              <w:rPr>
                <w:rFonts w:hint="eastAsia" w:ascii="宋体" w:hAnsi="宋体" w:cs="宋体"/>
                <w:color w:val="auto"/>
                <w:szCs w:val="21"/>
                <w:highlight w:val="none"/>
                <w:lang w:eastAsia="zh-CN"/>
              </w:rPr>
              <w:t>并验收后</w:t>
            </w:r>
            <w:r>
              <w:rPr>
                <w:rFonts w:hint="eastAsia" w:ascii="宋体" w:hAnsi="宋体" w:cs="宋体"/>
                <w:color w:val="auto"/>
                <w:szCs w:val="21"/>
                <w:highlight w:val="none"/>
                <w:lang w:val="en-US" w:eastAsia="zh-CN"/>
              </w:rPr>
              <w:t>30日内</w:t>
            </w:r>
            <w:r>
              <w:rPr>
                <w:rFonts w:hint="eastAsia" w:ascii="宋体" w:hAnsi="宋体" w:cs="宋体"/>
                <w:color w:val="auto"/>
                <w:szCs w:val="21"/>
                <w:highlight w:val="none"/>
                <w:lang w:eastAsia="zh-CN"/>
              </w:rPr>
              <w:t>交付</w:t>
            </w:r>
            <w:r>
              <w:rPr>
                <w:rFonts w:hint="eastAsia" w:ascii="宋体" w:hAnsi="宋体" w:cs="宋体"/>
                <w:color w:val="auto"/>
                <w:szCs w:val="21"/>
                <w:highlight w:val="none"/>
                <w:lang w:val="en-US" w:eastAsia="zh-CN"/>
              </w:rPr>
              <w:t>全部合同</w:t>
            </w:r>
            <w:r>
              <w:rPr>
                <w:rFonts w:hint="eastAsia" w:ascii="宋体" w:hAnsi="宋体" w:cs="宋体"/>
                <w:color w:val="auto"/>
                <w:szCs w:val="21"/>
                <w:highlight w:val="none"/>
                <w:lang w:eastAsia="zh-CN"/>
              </w:rPr>
              <w:t>款项。</w:t>
            </w:r>
          </w:p>
        </w:tc>
      </w:tr>
      <w:tr w14:paraId="5044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30E66972">
            <w:pPr>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hint="eastAsia" w:ascii="宋体" w:hAnsi="宋体" w:cs="宋体"/>
                <w:color w:val="auto"/>
                <w:kern w:val="0"/>
                <w:szCs w:val="21"/>
                <w:lang w:bidi="ar"/>
              </w:rPr>
              <w:t>报价要求</w:t>
            </w:r>
          </w:p>
          <w:p w14:paraId="0C31E40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p>
        </w:tc>
        <w:tc>
          <w:tcPr>
            <w:tcW w:w="8091" w:type="dxa"/>
            <w:gridSpan w:val="5"/>
            <w:noWrap w:val="0"/>
            <w:vAlign w:val="center"/>
          </w:tcPr>
          <w:p w14:paraId="6BE673A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投标报价为采购人指定地点的现场交货价，包括但不限于：投标报价包含货物采购、备品备件、工具、运抵指定交货地点、装卸费、现场安装、调试及验收的各种费用和售后服务、保险、税金、培训及其他所有成本费用的总和。项目实施过程中产生的所有费用均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承担。</w:t>
            </w:r>
          </w:p>
        </w:tc>
      </w:tr>
      <w:tr w14:paraId="658F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1C1072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规范标准</w:t>
            </w:r>
          </w:p>
        </w:tc>
        <w:tc>
          <w:tcPr>
            <w:tcW w:w="8091" w:type="dxa"/>
            <w:gridSpan w:val="5"/>
            <w:noWrap w:val="0"/>
            <w:vAlign w:val="center"/>
          </w:tcPr>
          <w:p w14:paraId="4E12FE0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color w:val="auto"/>
                <w:kern w:val="0"/>
                <w:szCs w:val="21"/>
                <w:lang w:bidi="ar"/>
              </w:rPr>
              <w:t>采购标的需执行的国家标准、行业标准、地方标准或者其他标准、规范。多项标准的，按最新标准或较高标准执行。</w:t>
            </w:r>
          </w:p>
        </w:tc>
      </w:tr>
      <w:tr w14:paraId="10AE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1A8A4E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Cs w:val="21"/>
                <w:lang w:bidi="ar"/>
              </w:rPr>
              <w:t>验收标准及要求</w:t>
            </w:r>
          </w:p>
        </w:tc>
        <w:tc>
          <w:tcPr>
            <w:tcW w:w="8091" w:type="dxa"/>
            <w:gridSpan w:val="5"/>
            <w:noWrap w:val="0"/>
            <w:vAlign w:val="top"/>
          </w:tcPr>
          <w:p w14:paraId="79DFA29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1.验收依据 </w:t>
            </w:r>
          </w:p>
          <w:p w14:paraId="56D9B4E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按合同要求及国家标准进行验收。 </w:t>
            </w:r>
          </w:p>
          <w:p w14:paraId="7BFCB72A">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2.验收标准 </w:t>
            </w:r>
          </w:p>
          <w:p w14:paraId="4AFBBD5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（1）所供产品的规格、数量、功能、材质、颜色等符合</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 xml:space="preserve">文件采购需求及采购合同约定的要求。 </w:t>
            </w:r>
          </w:p>
          <w:p w14:paraId="544C7BD0">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（2）所供产品的外观完好，无严重碰撞、表皮脱落、五金件生锈等明显瑕疵。 </w:t>
            </w:r>
          </w:p>
          <w:p w14:paraId="3FED85AE">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（3）所供产品结构牢固，无安全隐患。 </w:t>
            </w:r>
          </w:p>
          <w:p w14:paraId="3EA3D410">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（4）如有抽检要求的，检测结果符合</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 xml:space="preserve">文件采购需求及采购合同约定的要求。 </w:t>
            </w:r>
          </w:p>
          <w:p w14:paraId="064F2FC4">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（5）所有产品均已运输至指定地点，并安装调试完毕。 </w:t>
            </w:r>
          </w:p>
          <w:p w14:paraId="181CED0F">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（6）</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 xml:space="preserve">文件采购需求及采购合同约定的附件、工具、技术资料等齐全；提供产品使用说明书、合格证。 </w:t>
            </w:r>
          </w:p>
          <w:p w14:paraId="3084D01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3.验收要求 </w:t>
            </w:r>
          </w:p>
          <w:p w14:paraId="05E3E1A6">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（1）采购人可以根据采购项目具体情况自行组织验收，或者委托第三方机构或部门开展采购项目履约验收工作，验收过程中所产生的一切费用均由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承担，报价时应考虑相关费用。 </w:t>
            </w:r>
          </w:p>
          <w:p w14:paraId="69264629">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（2）本项目验收如委托第三方机构组织实施的，由验收小组对照招标文件的技术参数要求核对检验，如不符合招标文件的技术参数要求的，按合同约定执行， </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承担所有责任和费用。采购人保留进一步追究责任的权利。 </w:t>
            </w:r>
          </w:p>
          <w:p w14:paraId="31D62826">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①验收活动开始前，</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应对货物作出全面检查和对验收文件进行整理，并列出清单，作为采购人收货验收和使用的技术条件依据。 </w:t>
            </w:r>
          </w:p>
          <w:p w14:paraId="7574F194">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②因验收不合格的，需要再次组织验收的，由此产生相关成本费用由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 </w:t>
            </w:r>
          </w:p>
          <w:p w14:paraId="61BD756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（3）验收时</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提供验收文档，具体如下：技术方案、实施方案、售后服务方案、培训方案、系统部署文档、测试文档、使用说明书、电子文档等。 </w:t>
            </w:r>
          </w:p>
          <w:p w14:paraId="1EB29D4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highlight w:val="none"/>
                <w:lang w:bidi="ar"/>
              </w:rPr>
              <w:t>（4）对所有要求出具的证明文件的原件进行核查，如不符</w:t>
            </w:r>
            <w:r>
              <w:rPr>
                <w:rFonts w:hint="eastAsia" w:ascii="宋体" w:hAnsi="宋体" w:cs="宋体"/>
                <w:color w:val="auto"/>
                <w:kern w:val="0"/>
                <w:szCs w:val="21"/>
                <w:lang w:bidi="ar"/>
              </w:rPr>
              <w:t>合</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文件的技术需求及要求，以及提供虚假承诺的，按相关规定做退货处理及违约处理，</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承担所有责任和费用，采购人保留进一步追究责任的权利。 </w:t>
            </w:r>
          </w:p>
          <w:p w14:paraId="12EBFAF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val="en-US" w:eastAsia="zh-CN"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5）设备初检通过后，中标人应尽快安排技术人员进行设备的安装与调试。初步验收应有中标人和采购人代表在场，中标人应确保货物名称2.1项“数控车床智能升级改造”中“七、综合管理系统（数控车铣）与“1+X”数控车铣加工职业技能等级证书评价组织系统实现联网上传数据并现场演示。初步验收应有双方签字确认的现场记录。如无法实现货物名称2.1项“数控车床智能升级改造”中“七、综合管理系统（数控车铣）”与“1+X”数控车铣加工职业技能等级证书评价组织系统进行联网上传数据，中标人必须在5个工作日内解决，否则视为违约。</w:t>
            </w:r>
          </w:p>
          <w:p w14:paraId="6E662A8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cs="宋体"/>
                <w:color w:val="auto"/>
                <w:kern w:val="0"/>
                <w:szCs w:val="21"/>
                <w:lang w:val="en-US" w:eastAsia="zh-CN" w:bidi="ar"/>
              </w:rPr>
            </w:pPr>
            <w:r>
              <w:rPr>
                <w:rFonts w:hint="eastAsia" w:ascii="宋体" w:hAnsi="宋体"/>
                <w:color w:val="auto"/>
                <w:lang w:val="en-US" w:eastAsia="zh-CN"/>
              </w:rPr>
              <w:t>（6）</w:t>
            </w:r>
            <w:r>
              <w:rPr>
                <w:rFonts w:hint="eastAsia" w:ascii="宋体" w:hAnsi="宋体"/>
                <w:color w:val="auto"/>
              </w:rPr>
              <w:t>对于实行生产许可证制度或者实行强制性产品认证但采购文件中未明确要求竞标时必须提交相关证书资料、并且成交供应商在竞标时也未提供相关证书资料的产品，在</w:t>
            </w:r>
            <w:r>
              <w:rPr>
                <w:rFonts w:hint="eastAsia" w:ascii="宋体" w:hAnsi="宋体"/>
                <w:color w:val="auto"/>
                <w:lang w:val="en-US" w:eastAsia="zh-CN"/>
              </w:rPr>
              <w:t>供货</w:t>
            </w:r>
            <w:r>
              <w:rPr>
                <w:rFonts w:hint="eastAsia" w:ascii="宋体" w:hAnsi="宋体"/>
                <w:color w:val="auto"/>
              </w:rPr>
              <w:t>时必须向采购单位出示相关证书资料（含CCC认证）</w:t>
            </w:r>
            <w:r>
              <w:rPr>
                <w:rFonts w:hint="eastAsia" w:ascii="宋体" w:hAnsi="宋体"/>
                <w:color w:val="auto"/>
                <w:lang w:eastAsia="zh-CN"/>
              </w:rPr>
              <w:t>。</w:t>
            </w:r>
          </w:p>
        </w:tc>
      </w:tr>
      <w:tr w14:paraId="1681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6FFBD6C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cs="宋体"/>
                <w:b/>
                <w:bCs/>
                <w:color w:val="auto"/>
                <w:kern w:val="0"/>
                <w:szCs w:val="21"/>
                <w:lang w:val="en-US" w:eastAsia="zh-CN" w:bidi="ar"/>
              </w:rPr>
              <w:t>三</w:t>
            </w:r>
            <w:r>
              <w:rPr>
                <w:rFonts w:hint="eastAsia" w:ascii="宋体" w:hAnsi="宋体" w:cs="宋体"/>
                <w:b/>
                <w:bCs/>
                <w:color w:val="auto"/>
                <w:kern w:val="0"/>
                <w:szCs w:val="21"/>
                <w:lang w:bidi="ar"/>
              </w:rPr>
              <w:t>、</w:t>
            </w:r>
            <w:r>
              <w:rPr>
                <w:rFonts w:hint="eastAsia" w:ascii="宋体" w:hAnsi="宋体" w:cs="宋体"/>
                <w:b/>
                <w:bCs/>
                <w:color w:val="auto"/>
                <w:kern w:val="0"/>
                <w:szCs w:val="21"/>
                <w:lang w:val="en-US" w:eastAsia="zh-CN" w:bidi="ar"/>
              </w:rPr>
              <w:t>其他</w:t>
            </w:r>
            <w:r>
              <w:rPr>
                <w:rFonts w:hint="eastAsia" w:ascii="宋体" w:hAnsi="宋体" w:cs="宋体"/>
                <w:b/>
                <w:bCs/>
                <w:color w:val="auto"/>
                <w:kern w:val="0"/>
                <w:szCs w:val="21"/>
                <w:lang w:bidi="ar"/>
              </w:rPr>
              <w:t>要求</w:t>
            </w:r>
          </w:p>
        </w:tc>
      </w:tr>
      <w:tr w14:paraId="0C8F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gridSpan w:val="3"/>
            <w:noWrap w:val="0"/>
            <w:vAlign w:val="center"/>
          </w:tcPr>
          <w:p w14:paraId="4488330F">
            <w:pPr>
              <w:spacing w:line="360" w:lineRule="auto"/>
              <w:jc w:val="center"/>
              <w:rPr>
                <w:rFonts w:hint="eastAsia" w:ascii="宋体" w:hAnsi="宋体" w:eastAsia="宋体" w:cs="宋体"/>
                <w:color w:val="auto"/>
                <w:sz w:val="21"/>
                <w:szCs w:val="21"/>
                <w:highlight w:val="none"/>
              </w:rPr>
            </w:pPr>
            <w:r>
              <w:rPr>
                <w:rFonts w:hint="eastAsia" w:hAnsi="宋体"/>
                <w:color w:val="auto"/>
                <w:szCs w:val="21"/>
              </w:rPr>
              <w:t>竞标说明</w:t>
            </w:r>
          </w:p>
        </w:tc>
        <w:tc>
          <w:tcPr>
            <w:tcW w:w="6899" w:type="dxa"/>
            <w:gridSpan w:val="4"/>
            <w:noWrap w:val="0"/>
            <w:vAlign w:val="center"/>
          </w:tcPr>
          <w:p w14:paraId="72FF1BAD">
            <w:pPr>
              <w:widowControl/>
              <w:spacing w:line="40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color w:val="auto"/>
                <w:kern w:val="0"/>
              </w:rPr>
              <w:t>谈判结束后，谈判小组要求所有继续参加谈判的供应商在规定时间内在线提交最后报价。继续参加谈判的供应商作最后报价（</w:t>
            </w:r>
            <w:r>
              <w:rPr>
                <w:rFonts w:hint="eastAsia" w:ascii="宋体" w:hAnsi="宋体"/>
                <w:b/>
                <w:bCs/>
                <w:color w:val="auto"/>
                <w:kern w:val="0"/>
              </w:rPr>
              <w:t>报价明细表作为附件，请供应商提前做好准备</w:t>
            </w:r>
            <w:r>
              <w:rPr>
                <w:rFonts w:hint="eastAsia" w:ascii="宋体" w:hAnsi="宋体"/>
                <w:color w:val="auto"/>
                <w:kern w:val="0"/>
              </w:rPr>
              <w:t>），由其法定代表人或授权代</w:t>
            </w:r>
            <w:r>
              <w:rPr>
                <w:rFonts w:hint="eastAsia" w:ascii="宋体" w:hAnsi="宋体" w:eastAsia="宋体"/>
                <w:color w:val="auto"/>
                <w:kern w:val="0"/>
              </w:rPr>
              <w:t>表签名或者加盖公章后提交</w:t>
            </w:r>
            <w:r>
              <w:rPr>
                <w:rFonts w:hint="eastAsia" w:ascii="宋体" w:hAnsi="宋体"/>
                <w:color w:val="auto"/>
                <w:kern w:val="0"/>
              </w:rPr>
              <w:t>。</w:t>
            </w:r>
          </w:p>
        </w:tc>
      </w:tr>
      <w:tr w14:paraId="305A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6" w:type="dxa"/>
            <w:gridSpan w:val="7"/>
            <w:noWrap w:val="0"/>
            <w:vAlign w:val="center"/>
          </w:tcPr>
          <w:p w14:paraId="0759F1B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color w:val="auto"/>
                <w:kern w:val="0"/>
                <w:lang w:val="en-US"/>
              </w:rPr>
            </w:pPr>
            <w:r>
              <w:rPr>
                <w:rFonts w:hint="eastAsia" w:ascii="宋体" w:hAnsi="宋体" w:cs="宋体"/>
                <w:b/>
                <w:bCs/>
                <w:color w:val="auto"/>
                <w:kern w:val="0"/>
                <w:szCs w:val="21"/>
                <w:lang w:val="en-US" w:eastAsia="zh-CN" w:bidi="ar"/>
              </w:rPr>
              <w:t>四、现场踏勘</w:t>
            </w:r>
          </w:p>
        </w:tc>
      </w:tr>
      <w:tr w14:paraId="4EA6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gridSpan w:val="3"/>
            <w:noWrap w:val="0"/>
            <w:vAlign w:val="center"/>
          </w:tcPr>
          <w:p w14:paraId="44FCB3B3">
            <w:pPr>
              <w:spacing w:line="360" w:lineRule="auto"/>
              <w:jc w:val="center"/>
              <w:rPr>
                <w:rFonts w:hint="default" w:hAnsi="宋体"/>
                <w:color w:val="auto"/>
                <w:szCs w:val="21"/>
                <w:lang w:val="en-US" w:eastAsia="zh-CN"/>
              </w:rPr>
            </w:pPr>
            <w:r>
              <w:rPr>
                <w:rFonts w:hint="eastAsia" w:hAnsi="宋体"/>
                <w:color w:val="auto"/>
                <w:szCs w:val="21"/>
                <w:lang w:val="en-US" w:eastAsia="zh-CN"/>
              </w:rPr>
              <w:t>现场踏勘</w:t>
            </w:r>
          </w:p>
        </w:tc>
        <w:tc>
          <w:tcPr>
            <w:tcW w:w="6899" w:type="dxa"/>
            <w:gridSpan w:val="4"/>
            <w:noWrap w:val="0"/>
            <w:vAlign w:val="center"/>
          </w:tcPr>
          <w:p w14:paraId="6F565E1E">
            <w:pPr>
              <w:spacing w:line="440" w:lineRule="exact"/>
              <w:ind w:firstLine="420" w:firstLineChars="200"/>
              <w:rPr>
                <w:rFonts w:ascii="宋体" w:hAnsi="宋体" w:cs="宋体"/>
                <w:color w:val="auto"/>
                <w:szCs w:val="21"/>
              </w:rPr>
            </w:pPr>
            <w:r>
              <w:rPr>
                <w:rFonts w:hint="eastAsia" w:ascii="宋体" w:hAnsi="宋体" w:cs="宋体"/>
                <w:color w:val="auto"/>
                <w:szCs w:val="21"/>
              </w:rPr>
              <w:t>为确保本项报价真实合理，供应商可在规定时间参加采购人组织的统一勘察，以确保供应商明确了解真实的现场情况和项目实际需求，保证项目按时按质按量完成。</w:t>
            </w:r>
          </w:p>
          <w:p w14:paraId="2453F672">
            <w:pPr>
              <w:spacing w:line="440" w:lineRule="exact"/>
              <w:ind w:firstLine="420" w:firstLineChars="200"/>
              <w:rPr>
                <w:rFonts w:ascii="宋体" w:hAnsi="宋体" w:cs="宋体"/>
                <w:color w:val="auto"/>
                <w:szCs w:val="21"/>
              </w:rPr>
            </w:pPr>
            <w:r>
              <w:rPr>
                <w:rFonts w:hint="eastAsia" w:ascii="宋体" w:hAnsi="宋体" w:cs="宋体"/>
                <w:color w:val="auto"/>
                <w:szCs w:val="21"/>
              </w:rPr>
              <w:t>现场勘查须携带的资料：委托代理人需持获取采购文件回执函和单位介绍信原件或授权委托书、个人有效身份证原件前往。</w:t>
            </w:r>
          </w:p>
          <w:p w14:paraId="069E5547">
            <w:pPr>
              <w:spacing w:line="440" w:lineRule="exact"/>
              <w:ind w:firstLine="420" w:firstLineChars="200"/>
              <w:rPr>
                <w:rFonts w:ascii="宋体" w:hAnsi="宋体" w:cs="宋体"/>
                <w:color w:val="auto"/>
                <w:szCs w:val="21"/>
              </w:rPr>
            </w:pPr>
            <w:r>
              <w:rPr>
                <w:rFonts w:hint="eastAsia" w:ascii="宋体" w:hAnsi="宋体" w:cs="宋体"/>
                <w:color w:val="auto"/>
                <w:szCs w:val="21"/>
              </w:rPr>
              <w:t>现场踏勘集中时间：2025年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27</w:t>
            </w:r>
            <w:r>
              <w:rPr>
                <w:rFonts w:hint="eastAsia" w:ascii="宋体" w:hAnsi="宋体" w:cs="宋体"/>
                <w:color w:val="auto"/>
                <w:szCs w:val="21"/>
              </w:rPr>
              <w:t>日</w:t>
            </w:r>
            <w:r>
              <w:rPr>
                <w:rFonts w:hint="eastAsia" w:ascii="宋体" w:hAnsi="宋体" w:cs="宋体"/>
                <w:color w:val="auto"/>
                <w:szCs w:val="21"/>
                <w:lang w:val="en-US" w:eastAsia="zh-CN"/>
              </w:rPr>
              <w:t>上</w:t>
            </w:r>
            <w:r>
              <w:rPr>
                <w:rFonts w:hint="eastAsia" w:ascii="宋体" w:hAnsi="宋体" w:cs="宋体"/>
                <w:color w:val="auto"/>
                <w:szCs w:val="21"/>
              </w:rPr>
              <w:t>午</w:t>
            </w:r>
            <w:r>
              <w:rPr>
                <w:rFonts w:hint="eastAsia" w:ascii="宋体" w:hAnsi="宋体" w:cs="宋体"/>
                <w:color w:val="auto"/>
                <w:szCs w:val="21"/>
                <w:lang w:val="en-US" w:eastAsia="zh-CN"/>
              </w:rPr>
              <w:t>10</w:t>
            </w:r>
            <w:r>
              <w:rPr>
                <w:rFonts w:hint="eastAsia" w:ascii="宋体" w:hAnsi="宋体" w:cs="宋体"/>
                <w:color w:val="auto"/>
                <w:szCs w:val="21"/>
              </w:rPr>
              <w:t>时</w:t>
            </w:r>
            <w:r>
              <w:rPr>
                <w:rFonts w:hint="eastAsia" w:ascii="宋体" w:hAnsi="宋体" w:cs="宋体"/>
                <w:color w:val="auto"/>
                <w:szCs w:val="21"/>
                <w:lang w:val="en-US" w:eastAsia="zh-CN"/>
              </w:rPr>
              <w:t>3</w:t>
            </w:r>
            <w:r>
              <w:rPr>
                <w:rFonts w:hint="eastAsia" w:ascii="宋体" w:hAnsi="宋体" w:cs="宋体"/>
                <w:color w:val="auto"/>
                <w:szCs w:val="21"/>
              </w:rPr>
              <w:t>0分，过期不候。</w:t>
            </w:r>
          </w:p>
          <w:p w14:paraId="4DB020FC">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集中地点：</w:t>
            </w:r>
            <w:r>
              <w:rPr>
                <w:rFonts w:hint="eastAsia" w:ascii="宋体" w:hAnsi="宋体" w:cs="宋体"/>
                <w:color w:val="auto"/>
                <w:szCs w:val="21"/>
                <w:lang w:eastAsia="zh-CN"/>
              </w:rPr>
              <w:t>浦北县第一职业技术学校（浦北县江城街道科园路111号）</w:t>
            </w:r>
            <w:r>
              <w:rPr>
                <w:rFonts w:hint="eastAsia" w:ascii="宋体" w:hAnsi="宋体" w:cs="宋体"/>
                <w:color w:val="auto"/>
                <w:szCs w:val="21"/>
              </w:rPr>
              <w:t>。</w:t>
            </w:r>
          </w:p>
          <w:p w14:paraId="08A35D3B">
            <w:pPr>
              <w:spacing w:line="440" w:lineRule="exact"/>
              <w:ind w:firstLine="420" w:firstLineChars="200"/>
              <w:rPr>
                <w:rFonts w:hint="eastAsia" w:ascii="宋体" w:hAnsi="宋体"/>
                <w:color w:val="auto"/>
                <w:kern w:val="0"/>
              </w:rPr>
            </w:pPr>
            <w:r>
              <w:rPr>
                <w:rFonts w:hint="eastAsia" w:ascii="宋体" w:hAnsi="宋体" w:cs="宋体"/>
                <w:color w:val="auto"/>
                <w:szCs w:val="21"/>
              </w:rPr>
              <w:t>联系人电话：吴斌136 1777 0074</w:t>
            </w:r>
          </w:p>
        </w:tc>
      </w:tr>
    </w:tbl>
    <w:p w14:paraId="2B176EBF">
      <w:pPr>
        <w:pStyle w:val="46"/>
        <w:ind w:firstLine="353"/>
        <w:rPr>
          <w:color w:val="auto"/>
        </w:rPr>
      </w:pPr>
    </w:p>
    <w:p w14:paraId="34D20856">
      <w:pPr>
        <w:pStyle w:val="46"/>
        <w:ind w:firstLine="353"/>
        <w:rPr>
          <w:color w:val="auto"/>
        </w:rPr>
      </w:pPr>
    </w:p>
    <w:p w14:paraId="751C3CD5">
      <w:pPr>
        <w:pStyle w:val="17"/>
      </w:pPr>
    </w:p>
    <w:p w14:paraId="0203A80E"/>
    <w:p w14:paraId="00B7E722">
      <w:pPr>
        <w:pStyle w:val="17"/>
      </w:pPr>
    </w:p>
    <w:p w14:paraId="60B14465"/>
    <w:p w14:paraId="53030F4B">
      <w:pPr>
        <w:pStyle w:val="17"/>
      </w:pPr>
    </w:p>
    <w:p w14:paraId="5C5D435B">
      <w:pPr>
        <w:rPr>
          <w:color w:val="auto"/>
        </w:rPr>
      </w:pPr>
    </w:p>
    <w:p w14:paraId="4F8BCE36">
      <w:pPr>
        <w:pStyle w:val="17"/>
        <w:rPr>
          <w:color w:val="auto"/>
        </w:rPr>
      </w:pPr>
    </w:p>
    <w:p w14:paraId="2BF34FBF">
      <w:pPr>
        <w:rPr>
          <w:color w:val="auto"/>
        </w:rPr>
      </w:pPr>
    </w:p>
    <w:p w14:paraId="61B4F6D7">
      <w:pPr>
        <w:pStyle w:val="17"/>
        <w:rPr>
          <w:color w:val="auto"/>
        </w:rPr>
      </w:pPr>
    </w:p>
    <w:p w14:paraId="6DDBA9EA">
      <w:pPr>
        <w:rPr>
          <w:color w:val="auto"/>
        </w:rPr>
      </w:pPr>
    </w:p>
    <w:p w14:paraId="7B1ADFBC">
      <w:pPr>
        <w:pStyle w:val="2"/>
        <w:spacing w:line="400" w:lineRule="exact"/>
        <w:rPr>
          <w:rFonts w:ascii="方正小标宋简体" w:eastAsia="方正小标宋简体"/>
          <w:color w:val="auto"/>
        </w:rPr>
      </w:pPr>
      <w:bookmarkStart w:id="40" w:name="_Toc92355025"/>
      <w:r>
        <w:rPr>
          <w:rFonts w:hint="eastAsia" w:ascii="方正小标宋简体" w:eastAsia="方正小标宋简体"/>
          <w:color w:val="auto"/>
        </w:rPr>
        <w:t>第三章  供应商须知</w:t>
      </w:r>
      <w:bookmarkEnd w:id="38"/>
      <w:bookmarkEnd w:id="39"/>
      <w:bookmarkEnd w:id="40"/>
    </w:p>
    <w:p w14:paraId="58536A07">
      <w:pPr>
        <w:jc w:val="center"/>
        <w:rPr>
          <w:color w:val="auto"/>
        </w:rPr>
      </w:pPr>
      <w:bookmarkStart w:id="41" w:name="_Toc358477281"/>
      <w:bookmarkStart w:id="42" w:name="_Toc354479499"/>
      <w:bookmarkStart w:id="43" w:name="_Toc357157408"/>
      <w:bookmarkStart w:id="44" w:name="_Toc350325671"/>
      <w:r>
        <w:rPr>
          <w:rFonts w:ascii="仿宋_GB2312" w:hAnsi="宋体" w:eastAsia="仿宋_GB2312"/>
          <w:b/>
          <w:color w:val="auto"/>
          <w:sz w:val="32"/>
          <w:szCs w:val="32"/>
        </w:rPr>
        <w:br w:type="page"/>
      </w:r>
    </w:p>
    <w:p w14:paraId="329D4BAD">
      <w:pPr>
        <w:jc w:val="center"/>
        <w:rPr>
          <w:rFonts w:hint="eastAsia" w:ascii="黑体" w:hAnsi="黑体" w:eastAsia="黑体"/>
          <w:b/>
          <w:color w:val="auto"/>
          <w:sz w:val="32"/>
          <w:szCs w:val="32"/>
        </w:rPr>
      </w:pPr>
      <w:r>
        <w:rPr>
          <w:rFonts w:hint="eastAsia" w:ascii="黑体" w:hAnsi="黑体" w:eastAsia="黑体"/>
          <w:b/>
          <w:color w:val="auto"/>
          <w:sz w:val="32"/>
          <w:szCs w:val="32"/>
        </w:rPr>
        <w:t>一、供应商须知前附表</w:t>
      </w:r>
    </w:p>
    <w:tbl>
      <w:tblPr>
        <w:tblStyle w:val="37"/>
        <w:tblW w:w="9351" w:type="dxa"/>
        <w:jc w:val="center"/>
        <w:tblLayout w:type="fixed"/>
        <w:tblCellMar>
          <w:top w:w="0" w:type="dxa"/>
          <w:left w:w="108" w:type="dxa"/>
          <w:bottom w:w="0" w:type="dxa"/>
          <w:right w:w="108" w:type="dxa"/>
        </w:tblCellMar>
      </w:tblPr>
      <w:tblGrid>
        <w:gridCol w:w="704"/>
        <w:gridCol w:w="8647"/>
      </w:tblGrid>
      <w:tr w14:paraId="247F186B">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3CF37D">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20E54738">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内    容</w:t>
            </w:r>
          </w:p>
        </w:tc>
      </w:tr>
      <w:tr w14:paraId="2F0ACEF5">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EAECFE">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385CA354">
            <w:pPr>
              <w:spacing w:line="440" w:lineRule="exact"/>
              <w:ind w:right="-334" w:rightChars="-159"/>
              <w:rPr>
                <w:rStyle w:val="44"/>
                <w:rFonts w:hint="eastAsia" w:eastAsia="宋体"/>
                <w:color w:val="auto"/>
                <w:szCs w:val="21"/>
                <w:u w:val="none"/>
                <w:lang w:eastAsia="zh-CN"/>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"_一、总_则" </w:instrText>
            </w:r>
            <w:r>
              <w:rPr>
                <w:rFonts w:ascii="宋体" w:hAnsi="宋体" w:cs="宋体"/>
                <w:color w:val="auto"/>
                <w:kern w:val="0"/>
                <w:szCs w:val="21"/>
              </w:rPr>
              <w:fldChar w:fldCharType="separate"/>
            </w:r>
            <w:r>
              <w:rPr>
                <w:rStyle w:val="44"/>
                <w:rFonts w:hint="eastAsia" w:ascii="宋体" w:hAnsi="宋体" w:cs="宋体"/>
                <w:color w:val="auto"/>
                <w:kern w:val="0"/>
                <w:szCs w:val="21"/>
                <w:u w:val="none"/>
              </w:rPr>
              <w:t>项目名称：</w:t>
            </w:r>
            <w:r>
              <w:rPr>
                <w:rFonts w:hint="eastAsia"/>
                <w:color w:val="auto"/>
                <w:lang w:eastAsia="zh-CN"/>
              </w:rPr>
              <w:t>浦北县第一职业技术学校2024年双优建设项目</w:t>
            </w:r>
          </w:p>
          <w:p w14:paraId="31D64041">
            <w:pPr>
              <w:widowControl/>
              <w:spacing w:line="440" w:lineRule="exact"/>
              <w:rPr>
                <w:rFonts w:hint="eastAsia" w:ascii="宋体" w:hAnsi="宋体" w:eastAsia="宋体"/>
                <w:color w:val="auto"/>
                <w:szCs w:val="21"/>
                <w:lang w:eastAsia="zh-CN"/>
              </w:rPr>
            </w:pPr>
            <w:r>
              <w:rPr>
                <w:rStyle w:val="44"/>
                <w:rFonts w:hint="eastAsia" w:ascii="宋体" w:hAnsi="宋体"/>
                <w:color w:val="auto"/>
                <w:szCs w:val="21"/>
                <w:u w:val="none"/>
              </w:rPr>
              <w:t>项目编号：</w:t>
            </w:r>
            <w:r>
              <w:rPr>
                <w:rFonts w:ascii="宋体" w:hAnsi="宋体" w:cs="宋体"/>
                <w:color w:val="auto"/>
                <w:kern w:val="0"/>
                <w:szCs w:val="21"/>
              </w:rPr>
              <w:fldChar w:fldCharType="end"/>
            </w:r>
            <w:r>
              <w:rPr>
                <w:rFonts w:hint="eastAsia"/>
                <w:color w:val="auto"/>
                <w:lang w:eastAsia="zh-CN"/>
              </w:rPr>
              <w:t xml:space="preserve"> QZZC2025-J1-220138-QZSZ</w:t>
            </w:r>
          </w:p>
        </w:tc>
      </w:tr>
      <w:tr w14:paraId="7D06BB45">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B33D65B">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5E0BCF6A">
            <w:pPr>
              <w:spacing w:line="440" w:lineRule="exact"/>
              <w:rPr>
                <w:rStyle w:val="44"/>
                <w:rFonts w:hint="eastAsia" w:ascii="宋体" w:hAnsi="宋体"/>
                <w:color w:val="auto"/>
                <w:u w:val="none"/>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HYPERLINK </w:instrText>
            </w:r>
            <w:r>
              <w:rPr>
                <w:rFonts w:ascii="宋体" w:hAnsi="宋体"/>
                <w:color w:val="auto"/>
              </w:rPr>
              <w:instrText xml:space="preserve"> \l "_一、总_则" </w:instrText>
            </w:r>
            <w:r>
              <w:rPr>
                <w:rFonts w:ascii="宋体" w:hAnsi="宋体"/>
                <w:color w:val="auto"/>
              </w:rPr>
              <w:fldChar w:fldCharType="separate"/>
            </w:r>
            <w:r>
              <w:rPr>
                <w:rStyle w:val="44"/>
                <w:rFonts w:hint="eastAsia" w:ascii="宋体" w:hAnsi="宋体"/>
                <w:color w:val="auto"/>
                <w:u w:val="none"/>
              </w:rPr>
              <w:t>供应商资格：</w:t>
            </w:r>
          </w:p>
          <w:p w14:paraId="0EE2BE7F">
            <w:pPr>
              <w:spacing w:line="400" w:lineRule="exact"/>
              <w:ind w:firstLine="420"/>
              <w:rPr>
                <w:b/>
                <w:color w:val="auto"/>
              </w:rPr>
            </w:pPr>
            <w:r>
              <w:rPr>
                <w:rFonts w:ascii="宋体" w:hAnsi="宋体"/>
                <w:color w:val="auto"/>
              </w:rPr>
              <w:fldChar w:fldCharType="end"/>
            </w:r>
            <w:r>
              <w:rPr>
                <w:rFonts w:hint="eastAsia"/>
                <w:color w:val="auto"/>
              </w:rPr>
              <w:t>1.满足《中华人民共和国政府采购法》第二十二条规定</w:t>
            </w:r>
          </w:p>
          <w:p w14:paraId="35F50F15">
            <w:pPr>
              <w:spacing w:line="400" w:lineRule="exact"/>
              <w:ind w:firstLine="420"/>
              <w:rPr>
                <w:color w:val="auto"/>
              </w:rPr>
            </w:pPr>
            <w:r>
              <w:rPr>
                <w:rFonts w:hint="eastAsia"/>
                <w:color w:val="auto"/>
              </w:rPr>
              <w:t>2.落实政府采购政策需满足的资格要求：</w:t>
            </w:r>
            <w:r>
              <w:rPr>
                <w:rFonts w:hint="eastAsia"/>
                <w:color w:val="auto"/>
                <w:lang w:val="en-US" w:eastAsia="zh-CN"/>
              </w:rPr>
              <w:t>标项1、2</w:t>
            </w:r>
            <w:r>
              <w:rPr>
                <w:rFonts w:hint="eastAsia"/>
                <w:color w:val="auto"/>
              </w:rPr>
              <w:t>专门面向中小企业</w:t>
            </w:r>
            <w:r>
              <w:rPr>
                <w:rFonts w:hint="eastAsia"/>
                <w:color w:val="auto"/>
                <w:lang w:val="en-US" w:eastAsia="zh-CN"/>
              </w:rPr>
              <w:t>采购，</w:t>
            </w:r>
            <w:r>
              <w:rPr>
                <w:rFonts w:hint="eastAsia"/>
                <w:color w:val="auto"/>
              </w:rPr>
              <w:t>提供的货物须全部由符合政策要求的中型、小型或微型企业（包括监狱企业及残疾人福利单位）制造</w:t>
            </w:r>
            <w:r>
              <w:rPr>
                <w:rFonts w:hint="eastAsia"/>
                <w:color w:val="auto"/>
                <w:lang w:eastAsia="zh-CN"/>
              </w:rPr>
              <w:t>。</w:t>
            </w:r>
            <w:r>
              <w:rPr>
                <w:rFonts w:hint="eastAsia"/>
                <w:color w:val="auto"/>
              </w:rPr>
              <w:t> </w:t>
            </w:r>
          </w:p>
          <w:p w14:paraId="78765BD5">
            <w:pPr>
              <w:spacing w:line="400" w:lineRule="exact"/>
              <w:ind w:firstLine="435"/>
              <w:rPr>
                <w:rFonts w:hint="eastAsia" w:ascii="宋体" w:hAnsi="宋体"/>
                <w:color w:val="auto"/>
              </w:rPr>
            </w:pPr>
            <w:r>
              <w:rPr>
                <w:rFonts w:hint="eastAsia"/>
                <w:color w:val="auto"/>
              </w:rPr>
              <w:t>3.本项目的特定资格要求：无</w:t>
            </w:r>
          </w:p>
        </w:tc>
      </w:tr>
      <w:tr w14:paraId="284E1340">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845682">
            <w:pPr>
              <w:widowControl/>
              <w:spacing w:line="440" w:lineRule="exact"/>
              <w:jc w:val="center"/>
              <w:rPr>
                <w:rFonts w:hint="eastAsia" w:ascii="宋体" w:hAnsi="宋体" w:cs="宋体"/>
                <w:color w:val="auto"/>
                <w:kern w:val="0"/>
                <w:szCs w:val="21"/>
              </w:rPr>
            </w:pPr>
            <w:r>
              <w:rPr>
                <w:rFonts w:ascii="宋体" w:hAnsi="宋体" w:cs="宋体"/>
                <w:color w:val="auto"/>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5FC486DA">
            <w:pPr>
              <w:spacing w:line="440" w:lineRule="exact"/>
              <w:rPr>
                <w:rFonts w:hint="eastAsia" w:ascii="宋体" w:hAnsi="宋体"/>
                <w:color w:val="auto"/>
              </w:rPr>
            </w:pPr>
            <w:r>
              <w:rPr>
                <w:color w:val="auto"/>
              </w:rPr>
              <w:fldChar w:fldCharType="begin"/>
            </w:r>
            <w:r>
              <w:rPr>
                <w:color w:val="auto"/>
              </w:rPr>
              <w:instrText xml:space="preserve"> HYPERLINK \l "_（五）报价" </w:instrText>
            </w:r>
            <w:r>
              <w:rPr>
                <w:color w:val="auto"/>
              </w:rPr>
              <w:fldChar w:fldCharType="separate"/>
            </w:r>
            <w:r>
              <w:rPr>
                <w:rStyle w:val="44"/>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4"/>
                <w:rFonts w:hint="eastAsia" w:ascii="宋体" w:hAnsi="宋体" w:cs="宋体"/>
                <w:color w:val="auto"/>
                <w:kern w:val="0"/>
                <w:szCs w:val="21"/>
                <w:u w:val="none"/>
              </w:rPr>
              <w:fldChar w:fldCharType="end"/>
            </w:r>
          </w:p>
        </w:tc>
      </w:tr>
      <w:tr w14:paraId="041B427B">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B035943">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13C835AB">
            <w:pPr>
              <w:widowControl/>
              <w:spacing w:line="440" w:lineRule="exact"/>
              <w:rPr>
                <w:rStyle w:val="44"/>
                <w:rFonts w:hint="eastAsia" w:ascii="宋体" w:hAnsi="宋体"/>
                <w:color w:val="auto"/>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"_四、响应文件开启" </w:instrText>
            </w:r>
            <w:r>
              <w:rPr>
                <w:rFonts w:ascii="宋体" w:hAnsi="宋体" w:cs="宋体"/>
                <w:color w:val="auto"/>
                <w:kern w:val="0"/>
                <w:szCs w:val="21"/>
              </w:rPr>
              <w:fldChar w:fldCharType="separate"/>
            </w:r>
            <w:r>
              <w:rPr>
                <w:rStyle w:val="44"/>
                <w:rFonts w:hint="eastAsia" w:ascii="宋体" w:hAnsi="宋体" w:cs="宋体"/>
                <w:color w:val="auto"/>
                <w:kern w:val="0"/>
                <w:szCs w:val="21"/>
                <w:u w:val="none"/>
              </w:rPr>
              <w:t>响应文件提交截止时间及开启时间：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28</w:t>
            </w:r>
            <w:r>
              <w:rPr>
                <w:rFonts w:hint="eastAsia" w:ascii="宋体" w:hAnsi="宋体"/>
                <w:bCs/>
                <w:color w:val="auto"/>
                <w:szCs w:val="21"/>
              </w:rPr>
              <w:t>日</w:t>
            </w:r>
            <w:r>
              <w:rPr>
                <w:rFonts w:hint="eastAsia"/>
                <w:color w:val="auto"/>
                <w:lang w:val="en-US" w:eastAsia="zh-CN"/>
              </w:rPr>
              <w:t>9</w:t>
            </w:r>
            <w:r>
              <w:rPr>
                <w:color w:val="auto"/>
              </w:rPr>
              <w:t>:</w:t>
            </w:r>
            <w:r>
              <w:rPr>
                <w:rFonts w:hint="eastAsia"/>
                <w:color w:val="auto"/>
                <w:lang w:val="en-US" w:eastAsia="zh-CN"/>
              </w:rPr>
              <w:t>30</w:t>
            </w:r>
            <w:r>
              <w:rPr>
                <w:rFonts w:hint="eastAsia"/>
                <w:color w:val="auto"/>
              </w:rPr>
              <w:t>（北京时间）</w:t>
            </w:r>
          </w:p>
          <w:p w14:paraId="1302E258">
            <w:pPr>
              <w:widowControl/>
              <w:spacing w:line="440" w:lineRule="exact"/>
              <w:rPr>
                <w:color w:val="auto"/>
              </w:rPr>
            </w:pPr>
            <w:r>
              <w:rPr>
                <w:rStyle w:val="44"/>
                <w:rFonts w:hint="eastAsia"/>
                <w:b/>
                <w:color w:val="auto"/>
                <w:szCs w:val="21"/>
                <w:u w:val="none"/>
              </w:rPr>
              <w:t>注意事项：</w:t>
            </w:r>
            <w:r>
              <w:rPr>
                <w:rStyle w:val="44"/>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color w:val="auto"/>
                <w:kern w:val="0"/>
                <w:szCs w:val="21"/>
              </w:rPr>
              <w:fldChar w:fldCharType="end"/>
            </w:r>
          </w:p>
        </w:tc>
      </w:tr>
      <w:tr w14:paraId="39149A0A">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78C67D">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465C29DC">
            <w:pPr>
              <w:spacing w:line="440" w:lineRule="exact"/>
              <w:rPr>
                <w:rStyle w:val="44"/>
                <w:color w:val="auto"/>
                <w:u w:val="none"/>
              </w:rPr>
            </w:pPr>
            <w:r>
              <w:rPr>
                <w:color w:val="auto"/>
              </w:rPr>
              <w:fldChar w:fldCharType="begin"/>
            </w:r>
            <w:r>
              <w:rPr>
                <w:color w:val="auto"/>
              </w:rPr>
              <w:instrText xml:space="preserve"> </w:instrText>
            </w:r>
            <w:r>
              <w:rPr>
                <w:rFonts w:hint="eastAsia"/>
                <w:color w:val="auto"/>
              </w:rPr>
              <w:instrText xml:space="preserve">HYPERLINK </w:instrText>
            </w:r>
            <w:r>
              <w:rPr>
                <w:color w:val="auto"/>
              </w:rPr>
              <w:instrText xml:space="preserve"> \l "</w:instrText>
            </w:r>
            <w:r>
              <w:rPr>
                <w:rFonts w:hint="eastAsia"/>
                <w:color w:val="auto"/>
              </w:rPr>
              <w:instrText xml:space="preserve">_五、评审与谈判</w:instrText>
            </w:r>
            <w:r>
              <w:rPr>
                <w:color w:val="auto"/>
              </w:rPr>
              <w:instrText xml:space="preserve">" </w:instrText>
            </w:r>
            <w:r>
              <w:rPr>
                <w:color w:val="auto"/>
              </w:rPr>
              <w:fldChar w:fldCharType="separate"/>
            </w:r>
            <w:r>
              <w:rPr>
                <w:rStyle w:val="44"/>
                <w:color w:val="auto"/>
                <w:u w:val="none"/>
              </w:rPr>
              <w:t>评审及谈判：</w:t>
            </w:r>
          </w:p>
          <w:p w14:paraId="41BC6B77">
            <w:pPr>
              <w:spacing w:line="440" w:lineRule="exact"/>
              <w:rPr>
                <w:color w:val="auto"/>
              </w:rPr>
            </w:pPr>
            <w:r>
              <w:rPr>
                <w:rStyle w:val="44"/>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rPr>
                <w:color w:val="auto"/>
              </w:rPr>
              <w:fldChar w:fldCharType="end"/>
            </w:r>
          </w:p>
        </w:tc>
      </w:tr>
      <w:tr w14:paraId="18119071">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EB145D">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3F611DB9">
            <w:pPr>
              <w:widowControl/>
              <w:spacing w:line="440" w:lineRule="exact"/>
              <w:rPr>
                <w:rFonts w:hint="eastAsia" w:ascii="宋体" w:hAnsi="宋体" w:cs="宋体"/>
                <w:color w:val="auto"/>
                <w:kern w:val="0"/>
                <w:szCs w:val="21"/>
              </w:rPr>
            </w:pPr>
            <w:r>
              <w:rPr>
                <w:color w:val="auto"/>
              </w:rPr>
              <w:fldChar w:fldCharType="begin"/>
            </w:r>
            <w:r>
              <w:rPr>
                <w:color w:val="auto"/>
              </w:rPr>
              <w:instrText xml:space="preserve"> HYPERLINK \l "_第四章__评定标准及推荐原则" </w:instrText>
            </w:r>
            <w:r>
              <w:rPr>
                <w:color w:val="auto"/>
              </w:rPr>
              <w:fldChar w:fldCharType="separate"/>
            </w:r>
            <w:r>
              <w:rPr>
                <w:rStyle w:val="44"/>
                <w:rFonts w:hint="eastAsia" w:ascii="宋体" w:hAnsi="宋体" w:cs="宋体"/>
                <w:color w:val="auto"/>
                <w:kern w:val="0"/>
                <w:szCs w:val="21"/>
                <w:u w:val="none"/>
              </w:rPr>
              <w:t>评定方法：</w:t>
            </w:r>
            <w:r>
              <w:rPr>
                <w:rStyle w:val="44"/>
                <w:rFonts w:hint="eastAsia"/>
                <w:color w:val="auto"/>
                <w:u w:val="none"/>
              </w:rPr>
              <w:t>详见第四章《评定标准及推荐原则》。</w:t>
            </w:r>
            <w:r>
              <w:rPr>
                <w:rStyle w:val="44"/>
                <w:rFonts w:hint="eastAsia"/>
                <w:color w:val="auto"/>
                <w:u w:val="none"/>
              </w:rPr>
              <w:fldChar w:fldCharType="end"/>
            </w:r>
          </w:p>
        </w:tc>
      </w:tr>
      <w:tr w14:paraId="13D92D75">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8891A0">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34769F36">
            <w:pPr>
              <w:widowControl/>
              <w:spacing w:line="440" w:lineRule="exact"/>
              <w:rPr>
                <w:rFonts w:hint="eastAsia" w:ascii="宋体" w:hAnsi="宋体" w:cs="宋体"/>
                <w:color w:val="auto"/>
                <w:kern w:val="0"/>
                <w:szCs w:val="21"/>
              </w:rPr>
            </w:pPr>
            <w:r>
              <w:rPr>
                <w:color w:val="auto"/>
              </w:rPr>
              <w:fldChar w:fldCharType="begin"/>
            </w:r>
            <w:r>
              <w:rPr>
                <w:color w:val="auto"/>
              </w:rPr>
              <w:instrText xml:space="preserve"> HYPERLINK \l "_十、其他事项" </w:instrText>
            </w:r>
            <w:r>
              <w:rPr>
                <w:color w:val="auto"/>
              </w:rPr>
              <w:fldChar w:fldCharType="separate"/>
            </w:r>
            <w:r>
              <w:rPr>
                <w:rStyle w:val="44"/>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4"/>
                <w:rFonts w:hint="eastAsia" w:ascii="宋体" w:hAnsi="宋体" w:cs="宋体"/>
                <w:color w:val="auto"/>
                <w:kern w:val="0"/>
                <w:szCs w:val="21"/>
                <w:u w:val="none"/>
              </w:rPr>
              <w:fldChar w:fldCharType="end"/>
            </w:r>
          </w:p>
        </w:tc>
      </w:tr>
    </w:tbl>
    <w:p w14:paraId="42CD7FC2">
      <w:pPr>
        <w:pStyle w:val="3"/>
        <w:jc w:val="center"/>
        <w:rPr>
          <w:color w:val="auto"/>
        </w:rPr>
      </w:pPr>
      <w:bookmarkStart w:id="45" w:name="_Toc420505403"/>
      <w:r>
        <w:rPr>
          <w:color w:val="auto"/>
        </w:rPr>
        <w:br w:type="page"/>
      </w:r>
    </w:p>
    <w:p w14:paraId="5904EC2E">
      <w:pPr>
        <w:jc w:val="center"/>
        <w:rPr>
          <w:rFonts w:hint="eastAsia" w:ascii="黑体" w:hAnsi="黑体" w:eastAsia="黑体"/>
          <w:b/>
          <w:bCs/>
          <w:color w:val="auto"/>
          <w:sz w:val="32"/>
          <w:szCs w:val="32"/>
        </w:rPr>
      </w:pPr>
      <w:r>
        <w:rPr>
          <w:rFonts w:hint="eastAsia" w:ascii="黑体" w:hAnsi="黑体" w:eastAsia="黑体"/>
          <w:b/>
          <w:bCs/>
          <w:color w:val="auto"/>
          <w:sz w:val="32"/>
          <w:szCs w:val="32"/>
        </w:rPr>
        <w:t>二、供应商须知</w:t>
      </w:r>
      <w:bookmarkEnd w:id="45"/>
    </w:p>
    <w:p w14:paraId="6D647280">
      <w:pPr>
        <w:pStyle w:val="3"/>
        <w:spacing w:line="420" w:lineRule="exact"/>
        <w:rPr>
          <w:color w:val="auto"/>
        </w:rPr>
      </w:pPr>
      <w:bookmarkStart w:id="46" w:name="_一、总_则"/>
      <w:bookmarkEnd w:id="46"/>
      <w:r>
        <w:rPr>
          <w:rFonts w:hint="eastAsia"/>
          <w:color w:val="auto"/>
        </w:rPr>
        <w:t>一、总　则</w:t>
      </w:r>
    </w:p>
    <w:p w14:paraId="5CE2E73C">
      <w:pPr>
        <w:spacing w:line="420" w:lineRule="exact"/>
        <w:ind w:firstLine="210" w:firstLineChars="100"/>
        <w:rPr>
          <w:rFonts w:hint="eastAsia" w:ascii="宋体" w:hAnsi="宋体"/>
          <w:color w:val="auto"/>
          <w:szCs w:val="21"/>
        </w:rPr>
      </w:pPr>
      <w:r>
        <w:rPr>
          <w:rFonts w:hint="eastAsia" w:ascii="宋体" w:hAnsi="宋体"/>
          <w:color w:val="auto"/>
          <w:szCs w:val="21"/>
        </w:rPr>
        <w:t>（一）适用范围</w:t>
      </w:r>
    </w:p>
    <w:p w14:paraId="2784F444">
      <w:pPr>
        <w:spacing w:line="420" w:lineRule="exact"/>
        <w:ind w:right="-334" w:rightChars="-159" w:firstLine="420"/>
        <w:rPr>
          <w:rFonts w:hint="eastAsia" w:hAnsi="宋体" w:eastAsia="宋体"/>
          <w:color w:val="auto"/>
          <w:lang w:eastAsia="zh-CN"/>
        </w:rPr>
      </w:pPr>
      <w:r>
        <w:rPr>
          <w:rFonts w:hAnsi="宋体"/>
          <w:color w:val="auto"/>
        </w:rPr>
        <w:t>1.</w:t>
      </w:r>
      <w:r>
        <w:rPr>
          <w:rFonts w:hint="eastAsia" w:hAnsi="宋体"/>
          <w:color w:val="auto"/>
        </w:rPr>
        <w:t>项目名称：</w:t>
      </w:r>
      <w:r>
        <w:rPr>
          <w:rFonts w:hint="eastAsia"/>
          <w:color w:val="auto"/>
          <w:lang w:eastAsia="zh-CN"/>
        </w:rPr>
        <w:t>浦北县第一职业技术学校2024年双优建设项目</w:t>
      </w:r>
    </w:p>
    <w:p w14:paraId="69BC0013">
      <w:pPr>
        <w:spacing w:line="420" w:lineRule="exact"/>
        <w:ind w:right="-334" w:rightChars="-159" w:firstLine="420"/>
        <w:rPr>
          <w:rFonts w:hint="eastAsia" w:hAnsi="宋体" w:eastAsia="宋体"/>
          <w:color w:val="auto"/>
          <w:lang w:eastAsia="zh-CN"/>
        </w:rPr>
      </w:pPr>
      <w:r>
        <w:rPr>
          <w:rFonts w:hAnsi="宋体"/>
          <w:color w:val="auto"/>
        </w:rPr>
        <w:t>2</w:t>
      </w:r>
      <w:r>
        <w:rPr>
          <w:rFonts w:hint="eastAsia" w:hAnsi="宋体"/>
          <w:color w:val="auto"/>
        </w:rPr>
        <w:t>.项目编号：</w:t>
      </w:r>
      <w:r>
        <w:rPr>
          <w:rFonts w:hint="eastAsia" w:hAnsi="宋体"/>
          <w:color w:val="auto"/>
          <w:lang w:eastAsia="zh-CN"/>
        </w:rPr>
        <w:t xml:space="preserve"> QZZC2025-J1-220138-QZSZ</w:t>
      </w:r>
    </w:p>
    <w:p w14:paraId="6DAA39BB">
      <w:pPr>
        <w:spacing w:line="420" w:lineRule="exact"/>
        <w:ind w:right="-334" w:rightChars="-159" w:firstLine="420"/>
        <w:rPr>
          <w:color w:val="auto"/>
          <w:szCs w:val="21"/>
        </w:rPr>
      </w:pPr>
      <w:r>
        <w:rPr>
          <w:rFonts w:hint="eastAsia" w:hAnsi="宋体"/>
          <w:color w:val="auto"/>
        </w:rPr>
        <w:t>本文件仅适用于本文件中所叙述的货物、服务类政府采购项目。</w:t>
      </w:r>
    </w:p>
    <w:p w14:paraId="4F0AA294">
      <w:pPr>
        <w:spacing w:line="420" w:lineRule="exact"/>
        <w:ind w:firstLine="210" w:firstLineChars="100"/>
        <w:rPr>
          <w:rFonts w:hint="eastAsia" w:ascii="宋体" w:hAnsi="宋体"/>
          <w:color w:val="auto"/>
          <w:szCs w:val="21"/>
        </w:rPr>
      </w:pPr>
      <w:r>
        <w:rPr>
          <w:rFonts w:hint="eastAsia" w:ascii="宋体" w:hAnsi="宋体"/>
          <w:color w:val="auto"/>
          <w:szCs w:val="21"/>
        </w:rPr>
        <w:t>（二）定义</w:t>
      </w:r>
    </w:p>
    <w:p w14:paraId="0F75ABD6">
      <w:pPr>
        <w:spacing w:line="42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采购人</w:t>
      </w:r>
      <w:r>
        <w:rPr>
          <w:rFonts w:hint="eastAsia" w:ascii="宋体" w:hAnsi="宋体"/>
          <w:color w:val="auto"/>
          <w:szCs w:val="21"/>
        </w:rPr>
        <w:t>”</w:t>
      </w:r>
      <w:r>
        <w:rPr>
          <w:rFonts w:ascii="宋体" w:hAnsi="宋体"/>
          <w:color w:val="auto"/>
          <w:szCs w:val="21"/>
        </w:rPr>
        <w:t>是指依法进行政府采购的国家机关、事业单位、团体组织。</w:t>
      </w:r>
    </w:p>
    <w:p w14:paraId="5C5C51CB">
      <w:pPr>
        <w:spacing w:line="420" w:lineRule="exact"/>
        <w:ind w:firstLine="420" w:firstLineChars="200"/>
        <w:rPr>
          <w:rFonts w:hint="eastAsia" w:ascii="宋体" w:hAnsi="宋体"/>
          <w:color w:val="auto"/>
          <w:szCs w:val="21"/>
        </w:rPr>
      </w:pPr>
      <w:r>
        <w:rPr>
          <w:rFonts w:hint="eastAsia" w:ascii="宋体" w:hAnsi="宋体"/>
          <w:color w:val="auto"/>
          <w:szCs w:val="21"/>
        </w:rPr>
        <w:t>2.“供应商”是指响应本文件要求，参加谈判的法人或其他组织。如果该供应商在本次采购项目中成交,即成为“成交供应商”。</w:t>
      </w:r>
    </w:p>
    <w:p w14:paraId="1A2B6A9A">
      <w:pPr>
        <w:spacing w:line="420" w:lineRule="exact"/>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“采购代理机构”是指</w:t>
      </w:r>
      <w:r>
        <w:rPr>
          <w:rFonts w:hint="eastAsia" w:ascii="宋体" w:hAnsi="宋体"/>
          <w:color w:val="auto"/>
        </w:rPr>
        <w:t>钦州市政府采购中心。</w:t>
      </w:r>
    </w:p>
    <w:p w14:paraId="29554F0A">
      <w:pPr>
        <w:spacing w:line="420" w:lineRule="exact"/>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“货物和服务”是指本次采购文件中所采购的各种形态和种类的产品以及其提供的服务。</w:t>
      </w:r>
    </w:p>
    <w:p w14:paraId="26C42BEC">
      <w:pPr>
        <w:spacing w:line="420" w:lineRule="exact"/>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“竞争性谈判采购文件”是指采用竞争性谈判方式进行政府采购的指导文件，简称“谈判文件”或“采购文件”。</w:t>
      </w:r>
    </w:p>
    <w:p w14:paraId="5ECD8C3C">
      <w:pPr>
        <w:spacing w:line="420" w:lineRule="exact"/>
        <w:ind w:firstLine="420" w:firstLineChars="200"/>
        <w:rPr>
          <w:rFonts w:hint="eastAsia" w:ascii="宋体" w:hAnsi="宋体"/>
          <w:color w:val="auto"/>
          <w:szCs w:val="21"/>
        </w:rPr>
      </w:pPr>
      <w:r>
        <w:rPr>
          <w:rFonts w:ascii="宋体" w:hAnsi="宋体"/>
          <w:color w:val="auto"/>
          <w:szCs w:val="21"/>
        </w:rPr>
        <w:t>6.</w:t>
      </w:r>
      <w:r>
        <w:rPr>
          <w:rFonts w:hint="eastAsia" w:ascii="宋体" w:hAnsi="宋体"/>
          <w:color w:val="auto"/>
          <w:szCs w:val="21"/>
        </w:rPr>
        <w:t>“响应文件”是指供应商根据采购文件要求，编制包含技术、服务和报价等所有内容的响应文件。</w:t>
      </w:r>
    </w:p>
    <w:p w14:paraId="1F0775DA">
      <w:pPr>
        <w:spacing w:line="420" w:lineRule="exact"/>
        <w:ind w:firstLine="420" w:firstLineChars="200"/>
        <w:rPr>
          <w:rFonts w:hint="eastAsia" w:ascii="宋体" w:hAnsi="宋体"/>
          <w:color w:val="auto"/>
          <w:szCs w:val="21"/>
        </w:rPr>
      </w:pPr>
      <w:r>
        <w:rPr>
          <w:rFonts w:ascii="宋体" w:hAnsi="宋体"/>
          <w:color w:val="auto"/>
          <w:szCs w:val="21"/>
        </w:rPr>
        <w:t>7.</w:t>
      </w:r>
      <w:r>
        <w:rPr>
          <w:rFonts w:hint="eastAsia" w:ascii="宋体" w:hAnsi="宋体"/>
          <w:color w:val="auto"/>
          <w:szCs w:val="21"/>
        </w:rPr>
        <w:t>“书面形式”</w:t>
      </w:r>
      <w:r>
        <w:rPr>
          <w:rFonts w:ascii="Helvetica" w:hAnsi="Helvetica"/>
          <w:color w:val="auto"/>
          <w:szCs w:val="21"/>
          <w:shd w:val="clear" w:color="auto" w:fill="FFFFFF"/>
        </w:rPr>
        <w:t>是</w:t>
      </w:r>
      <w:r>
        <w:rPr>
          <w:rFonts w:hint="eastAsia" w:ascii="Helvetica" w:hAnsi="Helvetica"/>
          <w:color w:val="auto"/>
          <w:szCs w:val="21"/>
          <w:shd w:val="clear" w:color="auto" w:fill="FFFFFF"/>
        </w:rPr>
        <w:t>指</w:t>
      </w:r>
      <w:r>
        <w:rPr>
          <w:rFonts w:ascii="Helvetica" w:hAnsi="Helvetica"/>
          <w:color w:val="auto"/>
          <w:szCs w:val="21"/>
          <w:shd w:val="clear" w:color="auto" w:fill="FFFFFF"/>
        </w:rPr>
        <w:t>合同书、信件、电报、电传、传真等可以有形地表现所载内容的形式。</w:t>
      </w:r>
    </w:p>
    <w:p w14:paraId="7B15A3C0">
      <w:pPr>
        <w:spacing w:line="420" w:lineRule="exact"/>
        <w:ind w:firstLine="211" w:firstLineChars="100"/>
        <w:rPr>
          <w:rFonts w:hint="eastAsia" w:ascii="宋体" w:hAnsi="宋体"/>
          <w:b/>
          <w:color w:val="auto"/>
          <w:szCs w:val="21"/>
        </w:rPr>
      </w:pPr>
      <w:r>
        <w:rPr>
          <w:rFonts w:hint="eastAsia" w:ascii="宋体" w:hAnsi="宋体"/>
          <w:b/>
          <w:color w:val="auto"/>
          <w:szCs w:val="21"/>
        </w:rPr>
        <w:t>（三）供应商资格</w:t>
      </w:r>
    </w:p>
    <w:p w14:paraId="134E0F68">
      <w:pPr>
        <w:spacing w:line="420" w:lineRule="exact"/>
        <w:ind w:firstLine="420" w:firstLineChars="200"/>
        <w:rPr>
          <w:color w:val="auto"/>
        </w:rPr>
      </w:pPr>
      <w:r>
        <w:rPr>
          <w:rFonts w:hint="eastAsia"/>
          <w:color w:val="auto"/>
        </w:rPr>
        <w:t>供应商的资格要求详见“供应商须知前附表”。</w:t>
      </w:r>
    </w:p>
    <w:p w14:paraId="17FAC038">
      <w:pPr>
        <w:spacing w:line="420" w:lineRule="exact"/>
        <w:ind w:firstLine="422" w:firstLineChars="200"/>
        <w:rPr>
          <w:b/>
          <w:bCs/>
          <w:color w:val="auto"/>
        </w:rPr>
      </w:pPr>
      <w:r>
        <w:rPr>
          <w:rFonts w:hint="eastAsia"/>
          <w:b/>
          <w:bCs/>
          <w:color w:val="auto"/>
        </w:rPr>
        <w:t>（四）采购方式</w:t>
      </w:r>
    </w:p>
    <w:p w14:paraId="65B2A95A">
      <w:pPr>
        <w:snapToGrid w:val="0"/>
        <w:spacing w:line="420" w:lineRule="exact"/>
        <w:ind w:firstLine="420" w:firstLineChars="200"/>
        <w:rPr>
          <w:rFonts w:hint="eastAsia" w:ascii="宋体" w:hAnsi="宋体"/>
          <w:color w:val="auto"/>
          <w:szCs w:val="21"/>
        </w:rPr>
      </w:pPr>
      <w:r>
        <w:rPr>
          <w:rFonts w:hint="eastAsia" w:ascii="宋体" w:hAnsi="宋体"/>
          <w:color w:val="auto"/>
          <w:szCs w:val="21"/>
        </w:rPr>
        <w:t>竞争性谈判</w:t>
      </w:r>
    </w:p>
    <w:p w14:paraId="1656DE2A">
      <w:pPr>
        <w:spacing w:line="420" w:lineRule="exact"/>
        <w:ind w:firstLine="211" w:firstLineChars="100"/>
        <w:rPr>
          <w:b/>
          <w:bCs/>
          <w:color w:val="auto"/>
        </w:rPr>
      </w:pPr>
      <w:bookmarkStart w:id="47" w:name="_Toc353785281"/>
      <w:bookmarkStart w:id="48" w:name="_Toc352700410"/>
      <w:bookmarkStart w:id="49" w:name="_Toc254970530"/>
      <w:bookmarkStart w:id="50" w:name="_Toc254970671"/>
      <w:r>
        <w:rPr>
          <w:rFonts w:hint="eastAsia"/>
          <w:b/>
          <w:bCs/>
          <w:color w:val="auto"/>
        </w:rPr>
        <w:t>（五）代理委托</w:t>
      </w:r>
      <w:bookmarkEnd w:id="47"/>
      <w:bookmarkEnd w:id="48"/>
      <w:bookmarkEnd w:id="49"/>
      <w:bookmarkEnd w:id="50"/>
    </w:p>
    <w:p w14:paraId="5D40D94A">
      <w:pPr>
        <w:snapToGrid w:val="0"/>
        <w:spacing w:line="420" w:lineRule="exact"/>
        <w:ind w:firstLine="420" w:firstLineChars="200"/>
        <w:rPr>
          <w:rFonts w:hint="eastAsia" w:ascii="宋体" w:hAnsi="宋体" w:cs="Courier New"/>
          <w:bCs/>
          <w:color w:val="auto"/>
          <w:szCs w:val="21"/>
        </w:rPr>
      </w:pPr>
      <w:r>
        <w:rPr>
          <w:rFonts w:hint="eastAsia" w:ascii="宋体" w:hAnsi="宋体" w:cs="Courier New"/>
          <w:bCs/>
          <w:color w:val="auto"/>
          <w:szCs w:val="21"/>
        </w:rPr>
        <w:t>委托谈判的供应商须提供授权委托书（格式见第六章）。</w:t>
      </w:r>
    </w:p>
    <w:p w14:paraId="5CC10DF8">
      <w:pPr>
        <w:spacing w:line="420" w:lineRule="exact"/>
        <w:ind w:firstLine="211" w:firstLineChars="100"/>
        <w:rPr>
          <w:b/>
          <w:bCs/>
          <w:color w:val="auto"/>
        </w:rPr>
      </w:pPr>
      <w:bookmarkStart w:id="51" w:name="_Toc254970531"/>
      <w:bookmarkStart w:id="52" w:name="_Toc254970672"/>
      <w:bookmarkStart w:id="53" w:name="_Toc352700411"/>
      <w:bookmarkStart w:id="54" w:name="_Toc353785282"/>
      <w:r>
        <w:rPr>
          <w:rFonts w:hint="eastAsia"/>
          <w:b/>
          <w:bCs/>
          <w:color w:val="auto"/>
        </w:rPr>
        <w:t>（六）谈判费用</w:t>
      </w:r>
      <w:bookmarkEnd w:id="51"/>
      <w:bookmarkEnd w:id="52"/>
      <w:bookmarkEnd w:id="53"/>
      <w:bookmarkEnd w:id="54"/>
    </w:p>
    <w:p w14:paraId="28BA5F59">
      <w:pPr>
        <w:snapToGrid w:val="0"/>
        <w:spacing w:line="420" w:lineRule="exact"/>
        <w:ind w:firstLine="420" w:firstLineChars="200"/>
        <w:rPr>
          <w:rFonts w:hint="eastAsia" w:ascii="宋体" w:hAnsi="宋体"/>
          <w:color w:val="auto"/>
          <w:szCs w:val="21"/>
        </w:rPr>
      </w:pPr>
      <w:r>
        <w:rPr>
          <w:rFonts w:hint="eastAsia" w:ascii="宋体" w:hAnsi="宋体"/>
          <w:color w:val="auto"/>
          <w:szCs w:val="21"/>
        </w:rPr>
        <w:t>供应商自行承担所有与谈判有关的全部费用。</w:t>
      </w:r>
    </w:p>
    <w:p w14:paraId="5CF5461C">
      <w:pPr>
        <w:spacing w:line="420" w:lineRule="exact"/>
        <w:ind w:firstLine="211" w:firstLineChars="100"/>
        <w:rPr>
          <w:b/>
          <w:bCs/>
          <w:color w:val="auto"/>
        </w:rPr>
      </w:pPr>
      <w:bookmarkStart w:id="55" w:name="_Toc352700413"/>
      <w:bookmarkStart w:id="56" w:name="_Toc353785283"/>
      <w:r>
        <w:rPr>
          <w:rFonts w:hint="eastAsia"/>
          <w:b/>
          <w:bCs/>
          <w:color w:val="auto"/>
        </w:rPr>
        <w:t>（七）转包与分包</w:t>
      </w:r>
      <w:bookmarkEnd w:id="55"/>
      <w:bookmarkEnd w:id="56"/>
    </w:p>
    <w:p w14:paraId="0BE18E73">
      <w:pPr>
        <w:snapToGrid w:val="0"/>
        <w:spacing w:line="420" w:lineRule="exact"/>
        <w:ind w:firstLine="420" w:firstLineChars="200"/>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14:paraId="7F24BE93">
      <w:pPr>
        <w:snapToGrid w:val="0"/>
        <w:spacing w:line="420" w:lineRule="exact"/>
        <w:ind w:firstLine="420" w:firstLineChars="200"/>
        <w:rPr>
          <w:rFonts w:hint="eastAsia"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采购人允许采用分包方式履行合同的，应当在采购文件中明确可以分包履行的具体内容、金额或者比例。</w:t>
      </w:r>
    </w:p>
    <w:p w14:paraId="110ED40F">
      <w:pPr>
        <w:snapToGrid w:val="0"/>
        <w:spacing w:line="420" w:lineRule="exact"/>
        <w:ind w:firstLine="420" w:firstLineChars="200"/>
        <w:rPr>
          <w:rFonts w:hint="eastAsia"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依据《政府采购促进中小企业发展管理办法》规定享受扶持政策获得政府采购合同的，小微企业不得将合同分包给大中型企业，中型企业不得将合同分包给大型企业。</w:t>
      </w:r>
    </w:p>
    <w:p w14:paraId="64CA3E16">
      <w:pPr>
        <w:spacing w:line="420" w:lineRule="exact"/>
        <w:ind w:firstLine="211" w:firstLineChars="100"/>
        <w:rPr>
          <w:b/>
          <w:bCs/>
          <w:color w:val="auto"/>
        </w:rPr>
      </w:pPr>
      <w:bookmarkStart w:id="57" w:name="_Toc353785284"/>
      <w:bookmarkStart w:id="58" w:name="_Toc352700414"/>
      <w:bookmarkStart w:id="59" w:name="_Toc254970532"/>
      <w:bookmarkStart w:id="60" w:name="_Toc254970673"/>
      <w:r>
        <w:rPr>
          <w:rFonts w:hint="eastAsia"/>
          <w:b/>
          <w:bCs/>
          <w:color w:val="auto"/>
        </w:rPr>
        <w:t>（八）特别说明</w:t>
      </w:r>
      <w:bookmarkEnd w:id="57"/>
      <w:bookmarkEnd w:id="58"/>
      <w:bookmarkEnd w:id="59"/>
      <w:bookmarkEnd w:id="60"/>
    </w:p>
    <w:p w14:paraId="31DEBFC4">
      <w:pPr>
        <w:pStyle w:val="21"/>
        <w:snapToGrid w:val="0"/>
        <w:spacing w:line="420" w:lineRule="exact"/>
        <w:ind w:firstLine="420"/>
        <w:rPr>
          <w:rFonts w:hint="eastAsia" w:hAnsi="宋体"/>
          <w:color w:val="auto"/>
        </w:rPr>
      </w:pPr>
      <w:r>
        <w:rPr>
          <w:rFonts w:hAnsi="宋体"/>
          <w:color w:val="auto"/>
        </w:rPr>
        <w:t>1.</w:t>
      </w:r>
      <w:r>
        <w:rPr>
          <w:rFonts w:hint="eastAsia" w:hAnsi="宋体"/>
          <w:color w:val="auto"/>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44AA274D">
      <w:pPr>
        <w:pStyle w:val="21"/>
        <w:snapToGrid w:val="0"/>
        <w:spacing w:line="420" w:lineRule="exact"/>
        <w:ind w:firstLine="420"/>
        <w:rPr>
          <w:rFonts w:hint="eastAsia" w:hAnsi="宋体"/>
          <w:color w:val="auto"/>
        </w:rPr>
      </w:pPr>
      <w:r>
        <w:rPr>
          <w:rFonts w:hAnsi="宋体"/>
          <w:color w:val="auto"/>
        </w:rPr>
        <w:t>2.</w:t>
      </w:r>
      <w:r>
        <w:rPr>
          <w:rFonts w:hint="eastAsia" w:hAnsi="宋体"/>
          <w:color w:val="auto"/>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162D572C">
      <w:pPr>
        <w:spacing w:line="420" w:lineRule="exact"/>
        <w:ind w:firstLine="211" w:firstLineChars="100"/>
        <w:rPr>
          <w:b/>
          <w:bCs/>
          <w:color w:val="auto"/>
        </w:rPr>
      </w:pPr>
      <w:bookmarkStart w:id="61" w:name="_Toc254970533"/>
      <w:bookmarkStart w:id="62" w:name="_Toc352700415"/>
      <w:bookmarkStart w:id="63" w:name="_Toc254970674"/>
      <w:bookmarkStart w:id="64" w:name="_Toc353785285"/>
      <w:r>
        <w:rPr>
          <w:rFonts w:hint="eastAsia"/>
          <w:b/>
          <w:bCs/>
          <w:color w:val="auto"/>
        </w:rPr>
        <w:t>（九）询问、质疑和投诉</w:t>
      </w:r>
      <w:bookmarkEnd w:id="61"/>
      <w:bookmarkEnd w:id="62"/>
      <w:bookmarkEnd w:id="63"/>
      <w:bookmarkEnd w:id="64"/>
    </w:p>
    <w:p w14:paraId="00F51A71">
      <w:pPr>
        <w:pStyle w:val="21"/>
        <w:snapToGrid w:val="0"/>
        <w:spacing w:line="420" w:lineRule="exact"/>
        <w:ind w:firstLine="420"/>
        <w:rPr>
          <w:rFonts w:hint="eastAsia" w:hAnsi="宋体"/>
          <w:bCs/>
          <w:color w:val="auto"/>
        </w:rPr>
      </w:pPr>
      <w:r>
        <w:rPr>
          <w:rFonts w:hAnsi="宋体"/>
          <w:bCs/>
          <w:color w:val="auto"/>
        </w:rPr>
        <w:t>1.</w:t>
      </w:r>
      <w:r>
        <w:rPr>
          <w:rFonts w:hint="eastAsia" w:ascii="Arial" w:hAnsi="Arial" w:cs="Arial"/>
          <w:color w:val="auto"/>
          <w:kern w:val="0"/>
        </w:rPr>
        <w:t>供应商</w:t>
      </w:r>
      <w:r>
        <w:rPr>
          <w:rFonts w:ascii="Arial" w:hAnsi="Arial" w:cs="Arial"/>
          <w:color w:val="auto"/>
          <w:kern w:val="0"/>
        </w:rPr>
        <w:t>对政府采购活动事项有疑问的，可以向采购人</w:t>
      </w:r>
      <w:r>
        <w:rPr>
          <w:rFonts w:hint="eastAsia" w:ascii="Arial" w:hAnsi="Arial" w:cs="Arial"/>
          <w:color w:val="auto"/>
          <w:kern w:val="0"/>
        </w:rPr>
        <w:t>或本中心</w:t>
      </w:r>
      <w:r>
        <w:rPr>
          <w:rFonts w:ascii="Arial" w:hAnsi="Arial" w:cs="Arial"/>
          <w:color w:val="auto"/>
          <w:kern w:val="0"/>
        </w:rPr>
        <w:t>提出询问，采购人</w:t>
      </w:r>
      <w:r>
        <w:rPr>
          <w:rFonts w:hint="eastAsia" w:ascii="Arial" w:hAnsi="Arial" w:cs="Arial"/>
          <w:color w:val="auto"/>
          <w:kern w:val="0"/>
        </w:rPr>
        <w:t>或本中心当在3个工作日内对供应商依法提出的询问作出答复</w:t>
      </w:r>
      <w:r>
        <w:rPr>
          <w:rFonts w:ascii="Arial" w:hAnsi="Arial" w:cs="Arial"/>
          <w:color w:val="auto"/>
          <w:kern w:val="0"/>
        </w:rPr>
        <w:t>，但答复的内容不得涉及商业秘密。</w:t>
      </w:r>
    </w:p>
    <w:p w14:paraId="324BD11D">
      <w:pPr>
        <w:pStyle w:val="21"/>
        <w:snapToGrid w:val="0"/>
        <w:spacing w:line="420" w:lineRule="exact"/>
        <w:ind w:firstLine="420"/>
        <w:rPr>
          <w:rFonts w:hint="eastAsia" w:hAnsi="宋体"/>
          <w:bCs/>
          <w:color w:val="auto"/>
        </w:rPr>
      </w:pPr>
      <w:r>
        <w:rPr>
          <w:rFonts w:hAnsi="宋体"/>
          <w:bCs/>
          <w:color w:val="auto"/>
        </w:rPr>
        <w:t>2.</w:t>
      </w:r>
      <w:r>
        <w:rPr>
          <w:rFonts w:hint="eastAsia" w:hAnsi="宋体"/>
          <w:bCs/>
          <w:color w:val="auto"/>
        </w:rPr>
        <w:t>供应商认为采购文件、采购过程或成交结果使自己的合法权益受到损害的，</w:t>
      </w:r>
      <w:r>
        <w:rPr>
          <w:rFonts w:hAnsi="宋体"/>
          <w:bCs/>
          <w:color w:val="auto"/>
        </w:rPr>
        <w:t>可以在知道或者应知其权益受到损害之日起7个工作日内</w:t>
      </w:r>
      <w:r>
        <w:rPr>
          <w:rFonts w:hint="eastAsia" w:hAnsi="宋体"/>
          <w:bCs/>
          <w:color w:val="auto"/>
        </w:rPr>
        <w:t>，</w:t>
      </w:r>
      <w:r>
        <w:rPr>
          <w:rFonts w:cs="Arial"/>
          <w:color w:val="auto"/>
        </w:rPr>
        <w:t>以书面形式</w:t>
      </w:r>
      <w:r>
        <w:rPr>
          <w:rFonts w:hint="eastAsia" w:cs="Arial"/>
          <w:color w:val="auto"/>
        </w:rPr>
        <w:t>（广西政采云平台）</w:t>
      </w:r>
      <w:r>
        <w:rPr>
          <w:rFonts w:cs="Arial"/>
          <w:color w:val="auto"/>
        </w:rPr>
        <w:t>向采购人、</w:t>
      </w:r>
      <w:r>
        <w:rPr>
          <w:rFonts w:hint="eastAsia" w:cs="Arial"/>
          <w:color w:val="auto"/>
        </w:rPr>
        <w:t>本中心</w:t>
      </w:r>
      <w:r>
        <w:rPr>
          <w:rFonts w:cs="Arial"/>
          <w:color w:val="auto"/>
        </w:rPr>
        <w:t>提出质疑。</w:t>
      </w:r>
      <w:r>
        <w:rPr>
          <w:rFonts w:hint="eastAsia" w:hAnsi="宋体"/>
          <w:bCs/>
          <w:color w:val="auto"/>
        </w:rPr>
        <w:t>供应商必须在法定质疑期内一次性提出针对同一采购程序环节的质疑。</w:t>
      </w:r>
      <w:r>
        <w:rPr>
          <w:rFonts w:hint="eastAsia" w:hAnsi="宋体" w:cs="宋体"/>
          <w:color w:val="auto"/>
        </w:rPr>
        <w:t>供应商应知其权益受到损害之日，是指：</w:t>
      </w:r>
    </w:p>
    <w:p w14:paraId="50B35666">
      <w:pPr>
        <w:pStyle w:val="21"/>
        <w:adjustRightInd w:val="0"/>
        <w:snapToGrid w:val="0"/>
        <w:spacing w:line="420" w:lineRule="exact"/>
        <w:ind w:firstLine="308" w:firstLineChars="147"/>
        <w:rPr>
          <w:rFonts w:hint="eastAsia" w:hAnsi="宋体"/>
          <w:bCs/>
          <w:color w:val="auto"/>
        </w:rPr>
      </w:pPr>
      <w:r>
        <w:rPr>
          <w:rFonts w:hint="eastAsia" w:hAnsi="宋体"/>
          <w:bCs/>
          <w:color w:val="auto"/>
        </w:rPr>
        <w:t>(</w:t>
      </w:r>
      <w:r>
        <w:rPr>
          <w:rFonts w:hAnsi="宋体"/>
          <w:bCs/>
          <w:color w:val="auto"/>
        </w:rPr>
        <w:t>1)</w:t>
      </w:r>
      <w:r>
        <w:rPr>
          <w:rFonts w:hint="eastAsia" w:hAnsi="宋体"/>
          <w:bCs/>
          <w:color w:val="auto"/>
        </w:rPr>
        <w:t>对采购文件提出质疑的，为获取采购文件之日；</w:t>
      </w:r>
    </w:p>
    <w:p w14:paraId="461CB2D3">
      <w:pPr>
        <w:pStyle w:val="21"/>
        <w:adjustRightInd w:val="0"/>
        <w:snapToGrid w:val="0"/>
        <w:spacing w:line="420" w:lineRule="exact"/>
        <w:ind w:firstLine="308" w:firstLineChars="147"/>
        <w:rPr>
          <w:rFonts w:hint="eastAsia" w:hAnsi="宋体"/>
          <w:bCs/>
          <w:color w:val="auto"/>
        </w:rPr>
      </w:pPr>
      <w:r>
        <w:rPr>
          <w:rFonts w:hint="eastAsia" w:hAnsi="宋体"/>
          <w:bCs/>
          <w:color w:val="auto"/>
        </w:rPr>
        <w:t>(</w:t>
      </w:r>
      <w:r>
        <w:rPr>
          <w:rFonts w:hAnsi="宋体"/>
          <w:bCs/>
          <w:color w:val="auto"/>
        </w:rPr>
        <w:t>2)</w:t>
      </w:r>
      <w:r>
        <w:rPr>
          <w:rFonts w:hint="eastAsia" w:hAnsi="宋体"/>
          <w:bCs/>
          <w:color w:val="auto"/>
        </w:rPr>
        <w:t>对采购过程提出质疑的，为各采购程序环节结束之日；</w:t>
      </w:r>
    </w:p>
    <w:p w14:paraId="232D1577">
      <w:pPr>
        <w:widowControl/>
        <w:adjustRightInd w:val="0"/>
        <w:snapToGrid w:val="0"/>
        <w:spacing w:line="420" w:lineRule="exact"/>
        <w:ind w:firstLine="102" w:firstLineChars="49"/>
        <w:jc w:val="left"/>
        <w:rPr>
          <w:rFonts w:hint="eastAsia" w:ascii="宋体" w:hAnsi="宋体" w:cs="Courier New"/>
          <w:bCs/>
          <w:color w:val="auto"/>
          <w:szCs w:val="21"/>
        </w:rPr>
      </w:pPr>
      <w:r>
        <w:rPr>
          <w:rFonts w:hint="eastAsia" w:ascii="宋体" w:hAnsi="宋体" w:cs="Courier New"/>
          <w:bCs/>
          <w:color w:val="auto"/>
          <w:szCs w:val="21"/>
        </w:rPr>
        <w:t xml:space="preserve">  (</w:t>
      </w:r>
      <w:r>
        <w:rPr>
          <w:rFonts w:ascii="宋体" w:hAnsi="宋体" w:cs="Courier New"/>
          <w:bCs/>
          <w:color w:val="auto"/>
          <w:szCs w:val="21"/>
        </w:rPr>
        <w:t>3)</w:t>
      </w:r>
      <w:r>
        <w:rPr>
          <w:rFonts w:hint="eastAsia" w:ascii="宋体" w:hAnsi="宋体" w:cs="Courier New"/>
          <w:bCs/>
          <w:color w:val="auto"/>
          <w:szCs w:val="21"/>
        </w:rPr>
        <w:t>对成交结果提出质疑的，为成交结果公告期限届满之日。</w:t>
      </w:r>
    </w:p>
    <w:p w14:paraId="1043BF7A">
      <w:pPr>
        <w:widowControl/>
        <w:adjustRightInd w:val="0"/>
        <w:snapToGrid w:val="0"/>
        <w:spacing w:line="420" w:lineRule="exact"/>
        <w:ind w:firstLine="420"/>
        <w:jc w:val="left"/>
        <w:rPr>
          <w:rFonts w:hint="eastAsia" w:ascii="宋体" w:hAnsi="宋体" w:cs="Courier New"/>
          <w:bCs/>
          <w:color w:val="auto"/>
          <w:szCs w:val="21"/>
        </w:rPr>
      </w:pPr>
      <w:r>
        <w:rPr>
          <w:rFonts w:ascii="宋体" w:hAnsi="宋体" w:cs="Courier New"/>
          <w:bCs/>
          <w:color w:val="auto"/>
          <w:szCs w:val="21"/>
        </w:rPr>
        <w:t>3.</w:t>
      </w:r>
      <w:r>
        <w:rPr>
          <w:rFonts w:hint="eastAsia" w:hAnsi="宋体"/>
          <w:color w:val="auto"/>
        </w:rPr>
        <w:t>供应商对采购人、本中心质疑答复不满意或者采购人、本中心未在规定时间内作出答复的，可以在答复期满后十五个工作日内向同级采购监管部门投诉。</w:t>
      </w:r>
    </w:p>
    <w:p w14:paraId="308416BB">
      <w:pPr>
        <w:pStyle w:val="21"/>
        <w:snapToGrid w:val="0"/>
        <w:spacing w:line="420" w:lineRule="exact"/>
        <w:ind w:firstLine="420"/>
        <w:rPr>
          <w:rFonts w:hint="eastAsia" w:hAnsi="宋体"/>
          <w:bCs/>
          <w:color w:val="auto"/>
        </w:rPr>
      </w:pPr>
      <w:r>
        <w:rPr>
          <w:rFonts w:hAnsi="宋体"/>
          <w:bCs/>
          <w:color w:val="auto"/>
        </w:rPr>
        <w:t>4.</w:t>
      </w:r>
      <w:r>
        <w:rPr>
          <w:rFonts w:hint="eastAsia" w:hAnsi="宋体"/>
          <w:bCs/>
          <w:color w:val="auto"/>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2D391ACE">
      <w:pPr>
        <w:pStyle w:val="21"/>
        <w:snapToGrid w:val="0"/>
        <w:spacing w:line="420" w:lineRule="exact"/>
        <w:ind w:firstLine="420"/>
        <w:rPr>
          <w:rFonts w:hint="eastAsia" w:hAnsi="宋体"/>
          <w:bCs/>
          <w:color w:val="auto"/>
        </w:rPr>
      </w:pPr>
      <w:r>
        <w:rPr>
          <w:rFonts w:hint="eastAsia" w:hAnsi="宋体"/>
          <w:bCs/>
          <w:color w:val="auto"/>
        </w:rPr>
        <w:t>质疑部门联系方式：钦州市政府采购中心    0777-2886002</w:t>
      </w:r>
    </w:p>
    <w:p w14:paraId="04C5EBCE">
      <w:pPr>
        <w:pStyle w:val="21"/>
        <w:snapToGrid w:val="0"/>
        <w:spacing w:line="420" w:lineRule="exact"/>
        <w:ind w:firstLine="420"/>
        <w:rPr>
          <w:rFonts w:hint="eastAsia" w:hAnsi="宋体"/>
          <w:bCs/>
          <w:color w:val="auto"/>
        </w:rPr>
      </w:pPr>
      <w:r>
        <w:rPr>
          <w:rFonts w:hint="eastAsia" w:hAnsi="宋体"/>
          <w:bCs/>
          <w:color w:val="auto"/>
        </w:rPr>
        <w:t>采购监管部门联系方式：浦北县财政局   0777-8314622</w:t>
      </w:r>
    </w:p>
    <w:p w14:paraId="68A750E6">
      <w:pPr>
        <w:spacing w:line="400" w:lineRule="exact"/>
        <w:ind w:firstLine="211" w:firstLineChars="100"/>
        <w:rPr>
          <w:b/>
          <w:bCs/>
          <w:color w:val="auto"/>
        </w:rPr>
      </w:pPr>
      <w:r>
        <w:rPr>
          <w:rFonts w:hint="eastAsia"/>
          <w:b/>
          <w:bCs/>
          <w:color w:val="auto"/>
        </w:rPr>
        <w:t xml:space="preserve">（十）查询媒体 </w:t>
      </w:r>
      <w:r>
        <w:rPr>
          <w:rFonts w:hint="eastAsia" w:hAnsi="宋体"/>
          <w:color w:val="auto"/>
        </w:rPr>
        <w:t>中国政府采购网、</w:t>
      </w:r>
      <w:r>
        <w:rPr>
          <w:color w:val="auto"/>
        </w:rPr>
        <w:fldChar w:fldCharType="begin"/>
      </w:r>
      <w:r>
        <w:rPr>
          <w:color w:val="auto"/>
        </w:rPr>
        <w:instrText xml:space="preserve"> HYPERLINK "http://zfcg.gxzf.gov.cn/" </w:instrText>
      </w:r>
      <w:r>
        <w:rPr>
          <w:color w:val="auto"/>
        </w:rPr>
        <w:fldChar w:fldCharType="separate"/>
      </w:r>
      <w:r>
        <w:rPr>
          <w:rStyle w:val="44"/>
          <w:rFonts w:hint="eastAsia" w:hAnsi="宋体"/>
          <w:color w:val="auto"/>
          <w:u w:val="none"/>
        </w:rPr>
        <w:t>广西政府采购网</w:t>
      </w:r>
      <w:r>
        <w:rPr>
          <w:rStyle w:val="44"/>
          <w:rFonts w:hint="eastAsia" w:hAnsi="宋体"/>
          <w:color w:val="auto"/>
          <w:u w:val="none"/>
        </w:rPr>
        <w:fldChar w:fldCharType="end"/>
      </w:r>
      <w:r>
        <w:rPr>
          <w:rFonts w:hint="eastAsia" w:hAnsi="宋体"/>
          <w:color w:val="auto"/>
        </w:rPr>
        <w:t>。</w:t>
      </w:r>
    </w:p>
    <w:p w14:paraId="22B6F2ED">
      <w:pPr>
        <w:pStyle w:val="3"/>
        <w:spacing w:line="420" w:lineRule="exact"/>
        <w:rPr>
          <w:color w:val="auto"/>
        </w:rPr>
      </w:pPr>
      <w:bookmarkStart w:id="65" w:name="_Toc352700416"/>
      <w:bookmarkStart w:id="66" w:name="_Toc353785286"/>
      <w:r>
        <w:rPr>
          <w:rFonts w:hint="eastAsia"/>
          <w:color w:val="auto"/>
        </w:rPr>
        <w:t>二、竞争性谈判采购文件</w:t>
      </w:r>
      <w:bookmarkEnd w:id="65"/>
      <w:bookmarkEnd w:id="66"/>
    </w:p>
    <w:p w14:paraId="7C457C6E">
      <w:pPr>
        <w:spacing w:line="420" w:lineRule="exact"/>
        <w:ind w:firstLine="211" w:firstLineChars="100"/>
        <w:rPr>
          <w:b/>
          <w:bCs/>
          <w:color w:val="auto"/>
        </w:rPr>
      </w:pPr>
      <w:bookmarkStart w:id="67" w:name="_Toc353785287"/>
      <w:bookmarkStart w:id="68" w:name="_Toc352700417"/>
      <w:r>
        <w:rPr>
          <w:rFonts w:hint="eastAsia"/>
          <w:b/>
          <w:bCs/>
          <w:color w:val="auto"/>
        </w:rPr>
        <w:t>（一）竞争性谈判采购文件的组成</w:t>
      </w:r>
      <w:bookmarkEnd w:id="67"/>
      <w:bookmarkEnd w:id="68"/>
    </w:p>
    <w:p w14:paraId="1D688281">
      <w:pPr>
        <w:pStyle w:val="21"/>
        <w:snapToGrid w:val="0"/>
        <w:spacing w:line="420" w:lineRule="exact"/>
        <w:ind w:firstLine="420" w:firstLineChars="200"/>
        <w:rPr>
          <w:rFonts w:hint="eastAsia" w:hAnsi="宋体"/>
          <w:color w:val="auto"/>
        </w:rPr>
      </w:pPr>
      <w:r>
        <w:rPr>
          <w:rFonts w:hint="eastAsia" w:hAnsi="宋体"/>
          <w:color w:val="auto"/>
        </w:rPr>
        <w:t>第一章 竞争性谈判公告</w:t>
      </w:r>
    </w:p>
    <w:p w14:paraId="06C06C50">
      <w:pPr>
        <w:pStyle w:val="21"/>
        <w:snapToGrid w:val="0"/>
        <w:spacing w:line="420" w:lineRule="exact"/>
        <w:ind w:firstLine="420" w:firstLineChars="200"/>
        <w:rPr>
          <w:rFonts w:hint="eastAsia" w:hAnsi="宋体"/>
          <w:color w:val="auto"/>
        </w:rPr>
      </w:pPr>
      <w:r>
        <w:rPr>
          <w:rFonts w:hint="eastAsia" w:hAnsi="宋体"/>
          <w:color w:val="auto"/>
        </w:rPr>
        <w:t>第二章 项目需求</w:t>
      </w:r>
    </w:p>
    <w:p w14:paraId="496EFC2C">
      <w:pPr>
        <w:pStyle w:val="21"/>
        <w:snapToGrid w:val="0"/>
        <w:spacing w:line="420" w:lineRule="exact"/>
        <w:ind w:firstLine="420" w:firstLineChars="200"/>
        <w:rPr>
          <w:rFonts w:hint="eastAsia" w:hAnsi="宋体"/>
          <w:color w:val="auto"/>
        </w:rPr>
      </w:pPr>
      <w:r>
        <w:rPr>
          <w:rFonts w:hint="eastAsia" w:hAnsi="宋体"/>
          <w:color w:val="auto"/>
        </w:rPr>
        <w:t>第三章 供应商须知</w:t>
      </w:r>
    </w:p>
    <w:p w14:paraId="223A2A21">
      <w:pPr>
        <w:pStyle w:val="21"/>
        <w:snapToGrid w:val="0"/>
        <w:spacing w:line="420" w:lineRule="exact"/>
        <w:ind w:firstLine="420" w:firstLineChars="200"/>
        <w:rPr>
          <w:rFonts w:hint="eastAsia" w:hAnsi="宋体"/>
          <w:color w:val="auto"/>
        </w:rPr>
      </w:pPr>
      <w:r>
        <w:rPr>
          <w:rFonts w:hint="eastAsia" w:hAnsi="宋体"/>
          <w:color w:val="auto"/>
        </w:rPr>
        <w:t>第四章 评定标准及推荐原则</w:t>
      </w:r>
    </w:p>
    <w:p w14:paraId="1667FFB6">
      <w:pPr>
        <w:pStyle w:val="21"/>
        <w:snapToGrid w:val="0"/>
        <w:spacing w:line="420" w:lineRule="exact"/>
        <w:ind w:firstLine="420" w:firstLineChars="200"/>
        <w:rPr>
          <w:rFonts w:hint="eastAsia" w:hAnsi="宋体"/>
          <w:color w:val="auto"/>
        </w:rPr>
      </w:pPr>
      <w:r>
        <w:rPr>
          <w:rFonts w:hint="eastAsia" w:hAnsi="宋体"/>
          <w:color w:val="auto"/>
        </w:rPr>
        <w:t>第五章 合同文本</w:t>
      </w:r>
    </w:p>
    <w:p w14:paraId="1923800B">
      <w:pPr>
        <w:pStyle w:val="21"/>
        <w:snapToGrid w:val="0"/>
        <w:spacing w:line="420" w:lineRule="exact"/>
        <w:ind w:firstLine="420" w:firstLineChars="200"/>
        <w:rPr>
          <w:rFonts w:hint="eastAsia" w:hAnsi="宋体"/>
          <w:color w:val="auto"/>
        </w:rPr>
      </w:pPr>
      <w:r>
        <w:rPr>
          <w:rFonts w:hint="eastAsia" w:hAnsi="宋体"/>
          <w:color w:val="auto"/>
        </w:rPr>
        <w:t>第六章 响应文件格式</w:t>
      </w:r>
    </w:p>
    <w:p w14:paraId="6143A1FF">
      <w:pPr>
        <w:spacing w:line="420" w:lineRule="exact"/>
        <w:ind w:firstLine="211" w:firstLineChars="100"/>
        <w:rPr>
          <w:b/>
          <w:bCs/>
          <w:color w:val="auto"/>
        </w:rPr>
      </w:pPr>
      <w:bookmarkStart w:id="69" w:name="_Toc352700419"/>
      <w:bookmarkStart w:id="70" w:name="_Toc353785289"/>
      <w:r>
        <w:rPr>
          <w:rFonts w:hint="eastAsia"/>
          <w:b/>
          <w:bCs/>
          <w:color w:val="auto"/>
        </w:rPr>
        <w:t>（二）竞争性谈判采购文件的澄清与修改</w:t>
      </w:r>
      <w:bookmarkEnd w:id="69"/>
      <w:bookmarkEnd w:id="70"/>
    </w:p>
    <w:p w14:paraId="520603A2">
      <w:pPr>
        <w:pStyle w:val="21"/>
        <w:snapToGrid w:val="0"/>
        <w:spacing w:line="420" w:lineRule="exact"/>
        <w:ind w:firstLine="420"/>
        <w:jc w:val="left"/>
        <w:rPr>
          <w:rFonts w:hint="eastAsia" w:hAnsi="宋体"/>
          <w:color w:val="auto"/>
        </w:rPr>
      </w:pPr>
      <w:r>
        <w:rPr>
          <w:rFonts w:hint="eastAsia" w:hAnsi="宋体"/>
          <w:color w:val="auto"/>
        </w:rPr>
        <w:t>1</w:t>
      </w:r>
      <w:r>
        <w:rPr>
          <w:rFonts w:hAnsi="宋体"/>
          <w:color w:val="auto"/>
        </w:rPr>
        <w:t>.</w:t>
      </w:r>
      <w:r>
        <w:rPr>
          <w:rFonts w:hint="eastAsia" w:hAnsi="宋体"/>
          <w:color w:val="auto"/>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5184CEE6">
      <w:pPr>
        <w:pStyle w:val="21"/>
        <w:snapToGrid w:val="0"/>
        <w:spacing w:line="420" w:lineRule="exact"/>
        <w:ind w:firstLine="420"/>
        <w:jc w:val="left"/>
        <w:rPr>
          <w:rFonts w:hint="eastAsia" w:hAnsi="宋体"/>
          <w:color w:val="auto"/>
        </w:rPr>
      </w:pPr>
      <w:r>
        <w:rPr>
          <w:rFonts w:hint="eastAsia" w:hAnsi="宋体"/>
          <w:color w:val="auto"/>
        </w:rPr>
        <w:t>2</w:t>
      </w:r>
      <w:r>
        <w:rPr>
          <w:rFonts w:hAnsi="宋体"/>
          <w:color w:val="auto"/>
        </w:rPr>
        <w:t>.</w:t>
      </w:r>
      <w:r>
        <w:rPr>
          <w:rFonts w:hint="eastAsia" w:hAnsi="宋体"/>
          <w:color w:val="auto"/>
        </w:rPr>
        <w:t>提供期限届满后，获取谈判文件的供应商不足3家的，本中心可以顺延提供期限，并予公告。</w:t>
      </w:r>
    </w:p>
    <w:p w14:paraId="0D82C514">
      <w:pPr>
        <w:pStyle w:val="3"/>
        <w:spacing w:line="420" w:lineRule="exact"/>
        <w:rPr>
          <w:color w:val="auto"/>
        </w:rPr>
      </w:pPr>
      <w:r>
        <w:rPr>
          <w:rFonts w:hint="eastAsia"/>
          <w:color w:val="auto"/>
        </w:rPr>
        <w:t>三、响应文件</w:t>
      </w:r>
    </w:p>
    <w:p w14:paraId="4FC16F96">
      <w:pPr>
        <w:spacing w:line="420" w:lineRule="exact"/>
        <w:ind w:firstLine="211" w:firstLineChars="100"/>
        <w:rPr>
          <w:rFonts w:hint="eastAsia" w:hAnsi="宋体"/>
          <w:b/>
          <w:bCs/>
          <w:color w:val="auto"/>
        </w:rPr>
      </w:pPr>
      <w:r>
        <w:rPr>
          <w:rFonts w:hint="eastAsia" w:hAnsi="宋体"/>
          <w:b/>
          <w:bCs/>
          <w:color w:val="auto"/>
        </w:rPr>
        <w:t>（一）供应商的风险</w:t>
      </w:r>
    </w:p>
    <w:p w14:paraId="3D6A2499">
      <w:pPr>
        <w:spacing w:line="420" w:lineRule="exact"/>
        <w:ind w:firstLine="420"/>
        <w:rPr>
          <w:rFonts w:hint="eastAsia" w:hAnsi="宋体"/>
          <w:color w:val="auto"/>
        </w:rPr>
      </w:pPr>
      <w:r>
        <w:rPr>
          <w:rFonts w:hAnsi="宋体"/>
          <w:color w:val="auto"/>
        </w:rPr>
        <w:t>1.</w:t>
      </w:r>
      <w:r>
        <w:rPr>
          <w:rFonts w:hint="eastAsia" w:hAnsi="宋体"/>
          <w:color w:val="auto"/>
        </w:rPr>
        <w:t>供应商应当按照谈判文件的要求编制响应文件，并对其提交的响应文件的真实性、合法性承担法律责任。</w:t>
      </w:r>
    </w:p>
    <w:p w14:paraId="63CA0999">
      <w:pPr>
        <w:spacing w:line="420" w:lineRule="exact"/>
        <w:ind w:firstLine="420"/>
        <w:rPr>
          <w:rFonts w:hint="eastAsia" w:hAnsi="宋体"/>
          <w:color w:val="auto"/>
        </w:rPr>
      </w:pPr>
      <w:r>
        <w:rPr>
          <w:rFonts w:hAnsi="宋体"/>
          <w:color w:val="auto"/>
        </w:rPr>
        <w:t>2.</w:t>
      </w:r>
      <w:r>
        <w:rPr>
          <w:rFonts w:hint="eastAsia" w:hAnsi="宋体"/>
          <w:color w:val="auto"/>
        </w:rPr>
        <w:t>供应商在采购活动中提供任何虚假材料的，谈判小组将报财政部门查处。</w:t>
      </w:r>
    </w:p>
    <w:p w14:paraId="7E149AC9">
      <w:pPr>
        <w:snapToGrid w:val="0"/>
        <w:spacing w:line="420" w:lineRule="exact"/>
        <w:ind w:firstLine="211" w:firstLineChars="100"/>
        <w:rPr>
          <w:rFonts w:hint="eastAsia" w:ascii="宋体" w:hAnsi="宋体"/>
          <w:b/>
          <w:color w:val="auto"/>
          <w:szCs w:val="21"/>
        </w:rPr>
      </w:pPr>
      <w:r>
        <w:rPr>
          <w:rFonts w:hint="eastAsia" w:hAnsi="宋体"/>
          <w:b/>
          <w:bCs/>
          <w:color w:val="auto"/>
        </w:rPr>
        <w:t>（二）</w:t>
      </w:r>
      <w:r>
        <w:rPr>
          <w:rFonts w:hint="eastAsia" w:ascii="宋体" w:hAnsi="宋体"/>
          <w:b/>
          <w:color w:val="auto"/>
          <w:szCs w:val="21"/>
        </w:rPr>
        <w:t>响应文件的组成</w:t>
      </w:r>
    </w:p>
    <w:p w14:paraId="488309BA">
      <w:pPr>
        <w:snapToGrid w:val="0"/>
        <w:spacing w:line="420" w:lineRule="exact"/>
        <w:ind w:firstLine="422"/>
        <w:rPr>
          <w:rFonts w:hint="eastAsia" w:ascii="宋体" w:hAnsi="宋体"/>
          <w:b/>
          <w:color w:val="auto"/>
          <w:szCs w:val="21"/>
        </w:rPr>
      </w:pPr>
      <w:bookmarkStart w:id="71" w:name="_Hlk92285760"/>
      <w:r>
        <w:rPr>
          <w:rFonts w:ascii="宋体" w:hAnsi="宋体"/>
          <w:b/>
          <w:color w:val="auto"/>
          <w:szCs w:val="21"/>
        </w:rPr>
        <w:t>1.</w:t>
      </w:r>
      <w:r>
        <w:rPr>
          <w:rFonts w:hint="eastAsia" w:ascii="宋体" w:hAnsi="宋体"/>
          <w:b/>
          <w:color w:val="auto"/>
          <w:szCs w:val="21"/>
        </w:rPr>
        <w:t>资格文件：</w:t>
      </w:r>
    </w:p>
    <w:p w14:paraId="402B24A5">
      <w:pPr>
        <w:tabs>
          <w:tab w:val="left" w:pos="3870"/>
          <w:tab w:val="left" w:pos="4085"/>
        </w:tabs>
        <w:snapToGrid w:val="0"/>
        <w:spacing w:line="420" w:lineRule="exact"/>
        <w:ind w:firstLine="420"/>
        <w:rPr>
          <w:rFonts w:hint="eastAsia" w:ascii="宋体" w:hAnsi="宋体"/>
          <w:color w:val="auto"/>
          <w:szCs w:val="21"/>
        </w:rPr>
      </w:pPr>
      <w:r>
        <w:rPr>
          <w:rFonts w:hint="eastAsia" w:ascii="宋体" w:hAnsi="宋体" w:cs="宋体"/>
          <w:bCs/>
          <w:color w:val="auto"/>
          <w:kern w:val="0"/>
          <w:szCs w:val="21"/>
        </w:rPr>
        <w:t>★</w:t>
      </w:r>
      <w:bookmarkStart w:id="72" w:name="_Hlk90369149"/>
      <w:r>
        <w:rPr>
          <w:rFonts w:hint="eastAsia" w:ascii="宋体" w:hAnsi="宋体"/>
          <w:color w:val="auto"/>
          <w:szCs w:val="21"/>
        </w:rPr>
        <w:t>(</w:t>
      </w:r>
      <w:r>
        <w:rPr>
          <w:rFonts w:ascii="宋体" w:hAnsi="宋体"/>
          <w:color w:val="auto"/>
          <w:szCs w:val="21"/>
        </w:rPr>
        <w:t>1)</w:t>
      </w:r>
      <w:r>
        <w:rPr>
          <w:rFonts w:hint="eastAsia" w:ascii="宋体" w:hAnsi="宋体"/>
          <w:color w:val="auto"/>
          <w:szCs w:val="21"/>
        </w:rPr>
        <w:t>法人或者其他组织的营业执照等证明文件</w:t>
      </w:r>
    </w:p>
    <w:bookmarkEnd w:id="72"/>
    <w:p w14:paraId="3AC09939">
      <w:pPr>
        <w:tabs>
          <w:tab w:val="left" w:pos="3870"/>
          <w:tab w:val="left" w:pos="4085"/>
        </w:tabs>
        <w:snapToGrid w:val="0"/>
        <w:spacing w:line="420" w:lineRule="exact"/>
        <w:ind w:firstLine="420"/>
        <w:rPr>
          <w:rFonts w:hint="eastAsia" w:ascii="宋体" w:hAnsi="宋体" w:cs="宋体"/>
          <w:color w:val="auto"/>
          <w:szCs w:val="21"/>
        </w:rPr>
      </w:pPr>
      <w:r>
        <w:rPr>
          <w:rFonts w:hint="eastAsia" w:ascii="宋体" w:hAnsi="宋体" w:cs="宋体"/>
          <w:bCs/>
          <w:color w:val="auto"/>
          <w:kern w:val="0"/>
          <w:szCs w:val="21"/>
        </w:rPr>
        <w:t>★(</w:t>
      </w:r>
      <w:r>
        <w:rPr>
          <w:rFonts w:ascii="宋体" w:hAnsi="宋体" w:cs="宋体"/>
          <w:bCs/>
          <w:color w:val="auto"/>
          <w:kern w:val="0"/>
          <w:szCs w:val="21"/>
        </w:rPr>
        <w:t>2)</w:t>
      </w:r>
      <w:bookmarkStart w:id="73" w:name="_Hlk147761368"/>
      <w:r>
        <w:rPr>
          <w:rFonts w:hint="eastAsia" w:ascii="宋体" w:hAnsi="宋体"/>
          <w:color w:val="auto"/>
          <w:szCs w:val="21"/>
        </w:rPr>
        <w:t>供应商具备参加政府采购活动条件的承诺书</w:t>
      </w:r>
      <w:r>
        <w:rPr>
          <w:rFonts w:hint="eastAsia" w:ascii="宋体" w:hAnsi="宋体" w:cs="宋体"/>
          <w:color w:val="auto"/>
          <w:szCs w:val="21"/>
        </w:rPr>
        <w:t>(格式见第六章</w:t>
      </w:r>
      <w:r>
        <w:rPr>
          <w:rFonts w:ascii="宋体" w:hAnsi="宋体" w:cs="宋体"/>
          <w:color w:val="auto"/>
          <w:szCs w:val="21"/>
        </w:rPr>
        <w:t>）</w:t>
      </w:r>
      <w:bookmarkEnd w:id="73"/>
    </w:p>
    <w:p w14:paraId="0EF8A289">
      <w:pPr>
        <w:tabs>
          <w:tab w:val="left" w:pos="3870"/>
          <w:tab w:val="left" w:pos="4085"/>
        </w:tabs>
        <w:snapToGrid w:val="0"/>
        <w:spacing w:line="420" w:lineRule="exact"/>
        <w:ind w:firstLine="420"/>
        <w:rPr>
          <w:rFonts w:hint="eastAsia" w:hAnsi="宋体"/>
          <w:color w:val="auto"/>
          <w:spacing w:val="-4"/>
        </w:rPr>
      </w:pPr>
      <w:r>
        <w:rPr>
          <w:rFonts w:hint="eastAsia" w:ascii="宋体" w:hAnsi="宋体" w:cs="宋体"/>
          <w:bCs/>
          <w:color w:val="auto"/>
          <w:kern w:val="0"/>
          <w:szCs w:val="21"/>
        </w:rPr>
        <w:t>★(</w:t>
      </w:r>
      <w:r>
        <w:rPr>
          <w:rFonts w:ascii="宋体" w:hAnsi="宋体" w:cs="宋体"/>
          <w:bCs/>
          <w:color w:val="auto"/>
          <w:kern w:val="0"/>
          <w:szCs w:val="21"/>
        </w:rPr>
        <w:t>3)</w:t>
      </w:r>
      <w:r>
        <w:rPr>
          <w:rFonts w:hint="eastAsia" w:hAnsi="宋体"/>
          <w:color w:val="auto"/>
          <w:spacing w:val="-4"/>
        </w:rPr>
        <w:t>参加政府采购活动前3年内在经营活动中没有重大违法记录的书面声明(格式见第六章)</w:t>
      </w:r>
    </w:p>
    <w:p w14:paraId="0BD7A7E1">
      <w:pPr>
        <w:tabs>
          <w:tab w:val="left" w:pos="3870"/>
          <w:tab w:val="left" w:pos="4085"/>
        </w:tabs>
        <w:snapToGrid w:val="0"/>
        <w:spacing w:line="420" w:lineRule="exact"/>
        <w:ind w:firstLine="420"/>
        <w:rPr>
          <w:rFonts w:hint="eastAsia" w:ascii="宋体" w:hAnsi="宋体" w:cs="Times New Roman"/>
          <w:color w:val="auto"/>
          <w:szCs w:val="21"/>
        </w:rPr>
      </w:pPr>
      <w:r>
        <w:rPr>
          <w:rFonts w:hint="eastAsia" w:ascii="宋体" w:hAnsi="宋体" w:cs="Times New Roman"/>
          <w:color w:val="auto"/>
          <w:szCs w:val="21"/>
        </w:rPr>
        <w:t>★(</w:t>
      </w:r>
      <w:r>
        <w:rPr>
          <w:rFonts w:hint="eastAsia" w:ascii="宋体" w:hAnsi="宋体" w:cs="Times New Roman"/>
          <w:color w:val="auto"/>
          <w:szCs w:val="21"/>
          <w:lang w:val="en-US" w:eastAsia="zh-CN"/>
        </w:rPr>
        <w:t>4</w:t>
      </w:r>
      <w:r>
        <w:rPr>
          <w:rFonts w:hint="eastAsia" w:ascii="宋体" w:hAnsi="宋体" w:cs="Times New Roman"/>
          <w:color w:val="auto"/>
          <w:szCs w:val="21"/>
        </w:rPr>
        <w:t>)《中小企业声明函》（属于残疾人福利性单位的提供残疾人福利性单位声明函，属于监狱企业的提供由省级以上监狱管理局、戒毒管理局（含新疆生产建设兵团）出具的属于监狱企业的证明文件）(格式见第六章)</w:t>
      </w:r>
    </w:p>
    <w:p w14:paraId="12A8AEF9">
      <w:pPr>
        <w:pStyle w:val="17"/>
        <w:rPr>
          <w:rFonts w:hint="eastAsia"/>
        </w:rPr>
      </w:pPr>
    </w:p>
    <w:p w14:paraId="0FC9F894">
      <w:pPr>
        <w:snapToGrid w:val="0"/>
        <w:spacing w:line="420" w:lineRule="exact"/>
        <w:ind w:firstLine="422"/>
        <w:rPr>
          <w:rFonts w:hint="eastAsia" w:ascii="宋体" w:hAnsi="宋体"/>
          <w:color w:val="auto"/>
          <w:szCs w:val="21"/>
        </w:rPr>
      </w:pPr>
      <w:r>
        <w:rPr>
          <w:rFonts w:ascii="宋体" w:hAnsi="宋体"/>
          <w:b/>
          <w:color w:val="auto"/>
          <w:szCs w:val="21"/>
        </w:rPr>
        <w:t>2.</w:t>
      </w:r>
      <w:r>
        <w:rPr>
          <w:rFonts w:hint="eastAsia" w:ascii="宋体" w:hAnsi="宋体"/>
          <w:b/>
          <w:color w:val="auto"/>
          <w:szCs w:val="21"/>
        </w:rPr>
        <w:t>商务技术文件：</w:t>
      </w:r>
    </w:p>
    <w:p w14:paraId="0D9ED63F">
      <w:pPr>
        <w:tabs>
          <w:tab w:val="left" w:pos="3870"/>
          <w:tab w:val="left" w:pos="4085"/>
        </w:tabs>
        <w:snapToGrid w:val="0"/>
        <w:spacing w:line="420" w:lineRule="exact"/>
        <w:ind w:firstLine="420" w:firstLineChars="20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谈判函（格式见第六章）</w:t>
      </w:r>
    </w:p>
    <w:p w14:paraId="4F0C7676">
      <w:pPr>
        <w:tabs>
          <w:tab w:val="left" w:pos="3870"/>
          <w:tab w:val="left" w:pos="4085"/>
        </w:tabs>
        <w:snapToGrid w:val="0"/>
        <w:spacing w:line="420" w:lineRule="exact"/>
        <w:ind w:firstLine="420" w:firstLineChars="20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法定代表人身份证</w:t>
      </w:r>
    </w:p>
    <w:p w14:paraId="2AAB1931">
      <w:pPr>
        <w:snapToGrid w:val="0"/>
        <w:spacing w:line="420" w:lineRule="exact"/>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法定代表人授权委托书和代理人身份证（委托代理时必须提供，格式见第六章）</w:t>
      </w:r>
    </w:p>
    <w:p w14:paraId="1C48F9E1">
      <w:pPr>
        <w:snapToGrid w:val="0"/>
        <w:spacing w:line="420" w:lineRule="exact"/>
        <w:ind w:firstLine="422" w:firstLineChars="200"/>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(4</w:t>
      </w:r>
      <w:r>
        <w:rPr>
          <w:rFonts w:ascii="宋体" w:hAnsi="宋体"/>
          <w:color w:val="auto"/>
          <w:szCs w:val="21"/>
        </w:rPr>
        <w:t>)</w:t>
      </w:r>
      <w:r>
        <w:rPr>
          <w:rFonts w:ascii="宋体" w:hAnsi="宋体"/>
          <w:color w:val="auto"/>
        </w:rPr>
        <w:t>商务响应表(格式见第六章)</w:t>
      </w:r>
    </w:p>
    <w:p w14:paraId="34D993A3">
      <w:pPr>
        <w:snapToGrid w:val="0"/>
        <w:spacing w:line="420" w:lineRule="exact"/>
        <w:ind w:firstLine="422" w:firstLineChars="200"/>
        <w:rPr>
          <w:rFonts w:hint="eastAsia" w:ascii="宋体" w:hAnsi="宋体"/>
          <w:color w:val="auto"/>
        </w:rPr>
      </w:pPr>
      <w:bookmarkStart w:id="74" w:name="_Hlk111707698"/>
      <w:r>
        <w:rPr>
          <w:rFonts w:hint="eastAsia" w:ascii="宋体" w:hAnsi="宋体"/>
          <w:b/>
          <w:color w:val="auto"/>
          <w:szCs w:val="21"/>
        </w:rPr>
        <w:t>★</w:t>
      </w:r>
      <w:r>
        <w:rPr>
          <w:rFonts w:hint="eastAsia" w:ascii="宋体" w:hAnsi="宋体"/>
          <w:color w:val="auto"/>
        </w:rPr>
        <w:t>(5</w:t>
      </w:r>
      <w:r>
        <w:rPr>
          <w:rFonts w:ascii="宋体" w:hAnsi="宋体"/>
          <w:color w:val="auto"/>
        </w:rPr>
        <w:t>)</w:t>
      </w:r>
      <w:r>
        <w:rPr>
          <w:rFonts w:hint="eastAsia" w:ascii="宋体" w:hAnsi="宋体"/>
          <w:color w:val="auto"/>
          <w:szCs w:val="21"/>
        </w:rPr>
        <w:t>技术响应表</w:t>
      </w:r>
      <w:bookmarkStart w:id="75" w:name="_Hlk92285954"/>
      <w:r>
        <w:rPr>
          <w:rFonts w:ascii="宋体" w:hAnsi="宋体"/>
          <w:color w:val="auto"/>
        </w:rPr>
        <w:t>(格式见第六章)</w:t>
      </w:r>
      <w:bookmarkEnd w:id="75"/>
    </w:p>
    <w:p w14:paraId="5A7746BC">
      <w:pPr>
        <w:snapToGrid w:val="0"/>
        <w:spacing w:line="420" w:lineRule="exact"/>
        <w:ind w:firstLine="422" w:firstLineChars="200"/>
        <w:rPr>
          <w:rFonts w:hint="eastAsia" w:ascii="宋体" w:cs="宋体"/>
          <w:bCs/>
          <w:color w:val="auto"/>
          <w:kern w:val="0"/>
          <w:szCs w:val="21"/>
        </w:rPr>
      </w:pPr>
      <w:r>
        <w:rPr>
          <w:rFonts w:hint="eastAsia" w:ascii="宋体" w:hAnsi="宋体"/>
          <w:b/>
          <w:color w:val="auto"/>
          <w:szCs w:val="21"/>
        </w:rPr>
        <w:t>★</w:t>
      </w:r>
      <w:r>
        <w:rPr>
          <w:rFonts w:hint="eastAsia" w:ascii="宋体" w:cs="宋体"/>
          <w:bCs/>
          <w:color w:val="auto"/>
          <w:kern w:val="0"/>
          <w:szCs w:val="21"/>
        </w:rPr>
        <w:t>(6</w:t>
      </w:r>
      <w:r>
        <w:rPr>
          <w:rFonts w:ascii="宋体" w:cs="宋体"/>
          <w:bCs/>
          <w:color w:val="auto"/>
          <w:kern w:val="0"/>
          <w:szCs w:val="21"/>
        </w:rPr>
        <w:t>)</w:t>
      </w:r>
      <w:r>
        <w:rPr>
          <w:rFonts w:hint="eastAsia" w:ascii="宋体" w:cs="宋体"/>
          <w:color w:val="auto"/>
          <w:kern w:val="0"/>
          <w:szCs w:val="21"/>
        </w:rPr>
        <w:t>售后服务承诺书</w:t>
      </w:r>
      <w:r>
        <w:rPr>
          <w:rFonts w:hint="eastAsia" w:ascii="宋体" w:cs="宋体"/>
          <w:bCs/>
          <w:color w:val="auto"/>
          <w:kern w:val="0"/>
          <w:szCs w:val="21"/>
        </w:rPr>
        <w:t>（根据项目需求要求提供，格式自拟）</w:t>
      </w:r>
    </w:p>
    <w:p w14:paraId="6F9BEDB0">
      <w:pPr>
        <w:snapToGrid w:val="0"/>
        <w:spacing w:line="420" w:lineRule="exact"/>
        <w:ind w:firstLine="422" w:firstLineChars="200"/>
        <w:rPr>
          <w:rFonts w:hint="eastAsia"/>
          <w:color w:val="auto"/>
        </w:rPr>
      </w:pPr>
      <w:r>
        <w:rPr>
          <w:rFonts w:hint="eastAsia" w:ascii="宋体" w:hAnsi="宋体"/>
          <w:b/>
          <w:color w:val="auto"/>
          <w:szCs w:val="21"/>
        </w:rPr>
        <w:t>★</w:t>
      </w:r>
      <w:r>
        <w:rPr>
          <w:rFonts w:hint="eastAsia" w:ascii="宋体" w:cs="宋体"/>
          <w:bCs/>
          <w:color w:val="auto"/>
          <w:kern w:val="0"/>
          <w:szCs w:val="21"/>
        </w:rPr>
        <w:t>(</w:t>
      </w:r>
      <w:r>
        <w:rPr>
          <w:rFonts w:hint="eastAsia" w:ascii="宋体" w:cs="宋体"/>
          <w:bCs/>
          <w:color w:val="auto"/>
          <w:kern w:val="0"/>
          <w:szCs w:val="21"/>
          <w:lang w:val="en-US" w:eastAsia="zh-CN"/>
        </w:rPr>
        <w:t>7</w:t>
      </w:r>
      <w:r>
        <w:rPr>
          <w:rFonts w:ascii="宋体" w:cs="宋体"/>
          <w:bCs/>
          <w:color w:val="auto"/>
          <w:kern w:val="0"/>
          <w:szCs w:val="21"/>
        </w:rPr>
        <w:t>)</w:t>
      </w:r>
      <w:r>
        <w:rPr>
          <w:rFonts w:hint="eastAsia" w:ascii="宋体" w:hAnsi="宋体"/>
          <w:color w:val="auto"/>
          <w:szCs w:val="21"/>
        </w:rPr>
        <w:t>《项目需求》中要求必须提供的材料（如有，必须提供）</w:t>
      </w:r>
    </w:p>
    <w:bookmarkEnd w:id="74"/>
    <w:p w14:paraId="455B1BF5">
      <w:pPr>
        <w:snapToGrid w:val="0"/>
        <w:spacing w:line="420" w:lineRule="exact"/>
        <w:ind w:firstLine="422"/>
        <w:rPr>
          <w:rFonts w:hint="eastAsia" w:ascii="宋体" w:hAnsi="宋体"/>
          <w:b/>
          <w:color w:val="auto"/>
          <w:szCs w:val="21"/>
        </w:rPr>
      </w:pPr>
      <w:r>
        <w:rPr>
          <w:rFonts w:ascii="宋体" w:hAnsi="宋体"/>
          <w:b/>
          <w:color w:val="auto"/>
          <w:szCs w:val="21"/>
        </w:rPr>
        <w:t>3.</w:t>
      </w:r>
      <w:r>
        <w:rPr>
          <w:rFonts w:hint="eastAsia" w:ascii="宋体" w:hAnsi="宋体"/>
          <w:b/>
          <w:color w:val="auto"/>
          <w:szCs w:val="21"/>
        </w:rPr>
        <w:t>报价文件</w:t>
      </w:r>
    </w:p>
    <w:p w14:paraId="29D7F113">
      <w:pPr>
        <w:snapToGrid w:val="0"/>
        <w:spacing w:line="420" w:lineRule="exact"/>
        <w:rPr>
          <w:rFonts w:hint="eastAsia" w:ascii="宋体" w:hAnsi="宋体"/>
          <w:bCs/>
          <w:color w:val="auto"/>
          <w:szCs w:val="21"/>
        </w:rPr>
      </w:pPr>
      <w:bookmarkStart w:id="76" w:name="_Hlk92265738"/>
      <w:r>
        <w:rPr>
          <w:rFonts w:hint="eastAsia" w:ascii="宋体" w:hAnsi="宋体"/>
          <w:b/>
          <w:color w:val="auto"/>
          <w:szCs w:val="21"/>
        </w:rPr>
        <w:t xml:space="preserve"> </w:t>
      </w:r>
      <w:r>
        <w:rPr>
          <w:rFonts w:ascii="宋体" w:hAnsi="宋体"/>
          <w:b/>
          <w:color w:val="auto"/>
          <w:szCs w:val="21"/>
        </w:rPr>
        <w:t xml:space="preserve">   </w:t>
      </w:r>
      <w:r>
        <w:rPr>
          <w:rFonts w:hint="eastAsia" w:ascii="宋体" w:hAnsi="宋体"/>
          <w:b/>
          <w:color w:val="auto"/>
          <w:szCs w:val="21"/>
        </w:rPr>
        <w:t>★</w:t>
      </w:r>
      <w:r>
        <w:rPr>
          <w:rFonts w:hint="eastAsia" w:ascii="宋体" w:hAnsi="宋体"/>
          <w:bCs/>
          <w:color w:val="auto"/>
          <w:szCs w:val="21"/>
        </w:rPr>
        <w:t>报价明细表</w:t>
      </w:r>
      <w:bookmarkEnd w:id="76"/>
      <w:r>
        <w:rPr>
          <w:rFonts w:hint="eastAsia" w:ascii="宋体" w:hAnsi="宋体"/>
          <w:bCs/>
          <w:color w:val="auto"/>
          <w:szCs w:val="21"/>
        </w:rPr>
        <w:t>(格式见第六章)。</w:t>
      </w:r>
    </w:p>
    <w:bookmarkEnd w:id="71"/>
    <w:p w14:paraId="59327995">
      <w:pPr>
        <w:snapToGrid w:val="0"/>
        <w:spacing w:line="420" w:lineRule="exact"/>
        <w:ind w:firstLine="422"/>
        <w:rPr>
          <w:rFonts w:hint="eastAsia" w:ascii="宋体" w:hAnsi="宋体"/>
          <w:color w:val="auto"/>
          <w:szCs w:val="21"/>
        </w:rPr>
      </w:pPr>
      <w:r>
        <w:rPr>
          <w:rFonts w:hint="eastAsia" w:ascii="宋体" w:hAnsi="宋体"/>
          <w:color w:val="auto"/>
          <w:szCs w:val="21"/>
        </w:rPr>
        <w:t>注：标注★号的材料均为必须提供的材料须由供应商加盖公章，授权委托书必须由法定代表人签名，否则视为无效响应文件。</w:t>
      </w:r>
    </w:p>
    <w:p w14:paraId="1C62CA0D">
      <w:pPr>
        <w:spacing w:line="420" w:lineRule="exact"/>
        <w:ind w:firstLine="211" w:firstLineChars="100"/>
        <w:rPr>
          <w:rFonts w:hint="eastAsia" w:ascii="宋体" w:hAnsi="宋体"/>
          <w:b/>
          <w:bCs/>
          <w:color w:val="auto"/>
          <w:szCs w:val="21"/>
        </w:rPr>
      </w:pPr>
      <w:bookmarkStart w:id="77" w:name="_Hlk90906323"/>
      <w:r>
        <w:rPr>
          <w:rFonts w:hint="eastAsia" w:ascii="宋体" w:hAnsi="宋体"/>
          <w:b/>
          <w:color w:val="auto"/>
          <w:szCs w:val="21"/>
        </w:rPr>
        <w:t>（三）</w:t>
      </w:r>
      <w:bookmarkStart w:id="78" w:name="_Toc254970537"/>
      <w:bookmarkStart w:id="79" w:name="_Toc353785292"/>
      <w:bookmarkStart w:id="80" w:name="_Toc254970678"/>
      <w:bookmarkStart w:id="81" w:name="_Toc352700422"/>
      <w:r>
        <w:rPr>
          <w:rFonts w:hint="eastAsia" w:ascii="宋体" w:hAnsi="宋体"/>
          <w:b/>
          <w:bCs/>
          <w:color w:val="auto"/>
          <w:szCs w:val="21"/>
        </w:rPr>
        <w:t>响应文件的编制、签署及加密</w:t>
      </w:r>
    </w:p>
    <w:p w14:paraId="145BBC66">
      <w:pPr>
        <w:spacing w:line="420" w:lineRule="exact"/>
        <w:ind w:firstLine="420"/>
        <w:rPr>
          <w:rFonts w:hint="eastAsia" w:ascii="宋体" w:hAnsi="宋体"/>
          <w:color w:val="auto"/>
          <w:szCs w:val="21"/>
        </w:rPr>
      </w:pPr>
      <w:r>
        <w:rPr>
          <w:rFonts w:ascii="宋体" w:hAnsi="宋体"/>
          <w:color w:val="auto"/>
          <w:szCs w:val="21"/>
        </w:rPr>
        <w:t>1.</w:t>
      </w:r>
      <w:r>
        <w:rPr>
          <w:rFonts w:hint="eastAsia" w:ascii="宋体" w:hAnsi="宋体"/>
          <w:color w:val="auto"/>
          <w:szCs w:val="21"/>
        </w:rPr>
        <w:t>供应商应认真阅读、并充分理解招标文件的全部内容(包括所有的补充、修改内容)，承诺履行其各项条款的规定并按要求编制，响应文件应为电子文件或扫描件(样品除外)。</w:t>
      </w:r>
    </w:p>
    <w:p w14:paraId="3DA0A349">
      <w:pPr>
        <w:spacing w:line="420" w:lineRule="exact"/>
        <w:ind w:firstLine="420"/>
        <w:rPr>
          <w:rFonts w:hint="eastAsia" w:ascii="宋体" w:hAnsi="宋体"/>
          <w:color w:val="auto"/>
          <w:szCs w:val="21"/>
        </w:rPr>
      </w:pPr>
      <w:r>
        <w:rPr>
          <w:rFonts w:ascii="宋体" w:hAnsi="宋体"/>
          <w:color w:val="auto"/>
          <w:szCs w:val="21"/>
        </w:rPr>
        <w:t>2.</w:t>
      </w:r>
      <w:r>
        <w:rPr>
          <w:rFonts w:hint="eastAsia" w:ascii="宋体" w:hAnsi="宋体"/>
          <w:color w:val="auto"/>
          <w:szCs w:val="21"/>
        </w:rPr>
        <w:t>供应商应通过广西政采云投标客户端编制加密响应文件。</w:t>
      </w:r>
    </w:p>
    <w:p w14:paraId="1CB8458E">
      <w:pPr>
        <w:spacing w:line="420" w:lineRule="exact"/>
        <w:ind w:firstLine="420"/>
        <w:rPr>
          <w:rFonts w:hint="eastAsia" w:ascii="宋体" w:hAnsi="宋体"/>
          <w:color w:val="auto"/>
          <w:szCs w:val="21"/>
        </w:rPr>
      </w:pPr>
      <w:r>
        <w:rPr>
          <w:rFonts w:ascii="宋体" w:hAnsi="宋体"/>
          <w:color w:val="auto"/>
          <w:szCs w:val="21"/>
        </w:rPr>
        <w:t>3.</w:t>
      </w:r>
      <w:r>
        <w:rPr>
          <w:rFonts w:hint="eastAsia" w:ascii="宋体" w:hAnsi="宋体"/>
          <w:color w:val="auto"/>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340645E">
      <w:pPr>
        <w:spacing w:line="420" w:lineRule="exact"/>
        <w:rPr>
          <w:rFonts w:hint="eastAsia" w:ascii="宋体" w:hAnsi="宋体"/>
          <w:b/>
          <w:bCs/>
          <w:color w:val="auto"/>
          <w:szCs w:val="21"/>
        </w:rPr>
      </w:pPr>
      <w:r>
        <w:rPr>
          <w:rFonts w:ascii="宋体" w:hAnsi="宋体"/>
          <w:color w:val="auto"/>
          <w:szCs w:val="21"/>
        </w:rPr>
        <w:tab/>
      </w:r>
      <w:r>
        <w:rPr>
          <w:rFonts w:ascii="宋体" w:hAnsi="宋体"/>
          <w:b/>
          <w:bCs/>
          <w:color w:val="auto"/>
          <w:szCs w:val="21"/>
        </w:rPr>
        <w:t>4.</w:t>
      </w:r>
      <w:bookmarkStart w:id="82" w:name="_Hlk112311085"/>
      <w:r>
        <w:rPr>
          <w:rFonts w:hint="eastAsia" w:ascii="宋体" w:hAnsi="宋体"/>
          <w:b/>
          <w:bCs/>
          <w:color w:val="auto"/>
          <w:szCs w:val="21"/>
        </w:rPr>
        <w:t>响应文件由供应商在规定位置由法定代表人或授权委托人签名（可为电子签名）、填写供应商名称并加盖公章(简称“盖章”，可为电子公章)，供应商名称应写全称。</w:t>
      </w:r>
      <w:bookmarkEnd w:id="82"/>
    </w:p>
    <w:p w14:paraId="0A3A6C95">
      <w:pPr>
        <w:snapToGrid w:val="0"/>
        <w:spacing w:line="420" w:lineRule="exact"/>
        <w:ind w:firstLine="210" w:firstLineChars="100"/>
        <w:rPr>
          <w:rFonts w:hint="eastAsia" w:ascii="宋体" w:hAnsi="宋体"/>
          <w:b/>
          <w:bCs/>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响应文件内容不完整、编排混乱、不清晰等原因导致被误读或漏读的责任和后果由供应商承担。</w:t>
      </w:r>
    </w:p>
    <w:bookmarkEnd w:id="77"/>
    <w:p w14:paraId="07EC4FA9">
      <w:pPr>
        <w:spacing w:line="420" w:lineRule="exact"/>
        <w:ind w:firstLine="211" w:firstLineChars="100"/>
        <w:rPr>
          <w:color w:val="auto"/>
        </w:rPr>
      </w:pPr>
      <w:r>
        <w:rPr>
          <w:rFonts w:hint="eastAsia"/>
          <w:b/>
          <w:bCs/>
          <w:color w:val="auto"/>
        </w:rPr>
        <w:t>（四）响应文件的语言及计量</w:t>
      </w:r>
      <w:bookmarkEnd w:id="78"/>
      <w:bookmarkEnd w:id="79"/>
      <w:bookmarkEnd w:id="80"/>
      <w:bookmarkEnd w:id="81"/>
    </w:p>
    <w:p w14:paraId="64E05A94">
      <w:pPr>
        <w:snapToGrid w:val="0"/>
        <w:spacing w:line="420" w:lineRule="exact"/>
        <w:ind w:firstLine="420"/>
        <w:rPr>
          <w:rFonts w:hint="eastAsia" w:ascii="宋体" w:hAnsi="宋体"/>
          <w:color w:val="auto"/>
          <w:szCs w:val="21"/>
        </w:rPr>
      </w:pPr>
      <w:r>
        <w:rPr>
          <w:rFonts w:ascii="宋体" w:hAnsi="宋体"/>
          <w:color w:val="auto"/>
          <w:szCs w:val="21"/>
        </w:rPr>
        <w:t>1.</w:t>
      </w:r>
      <w:r>
        <w:rPr>
          <w:rFonts w:hint="eastAsia" w:ascii="宋体" w:hAnsi="宋体"/>
          <w:color w:val="auto"/>
          <w:szCs w:val="21"/>
        </w:rPr>
        <w:t>响应文件以及供应商与采购人、本中心就有关事宜的所有来往函电，均应以中文汉语书写。除签名、盖章、专用名称等特殊情形外，以中文汉语以外的文字表述的视为无效文件。</w:t>
      </w:r>
    </w:p>
    <w:p w14:paraId="2FF9A426">
      <w:pPr>
        <w:snapToGrid w:val="0"/>
        <w:spacing w:line="420" w:lineRule="exact"/>
        <w:ind w:firstLine="420"/>
        <w:rPr>
          <w:rFonts w:hint="eastAsia" w:ascii="宋体" w:hAnsi="宋体"/>
          <w:color w:val="auto"/>
          <w:szCs w:val="21"/>
        </w:rPr>
      </w:pPr>
      <w:r>
        <w:rPr>
          <w:rFonts w:ascii="宋体" w:hAnsi="宋体"/>
          <w:color w:val="auto"/>
          <w:szCs w:val="21"/>
        </w:rPr>
        <w:t>2.响应</w:t>
      </w:r>
      <w:r>
        <w:rPr>
          <w:rFonts w:hint="eastAsia" w:ascii="宋体" w:hAnsi="宋体"/>
          <w:color w:val="auto"/>
          <w:szCs w:val="21"/>
        </w:rPr>
        <w:t>文件的计量单位，采购文件已有明确规定的，使用采购文件规定的计量单位；采购文件没有规定的，应采用中华人民共和国法定计量单位（货币单位：人民币元），否则视为无效响应文件。</w:t>
      </w:r>
    </w:p>
    <w:p w14:paraId="533B4E36">
      <w:pPr>
        <w:pStyle w:val="3"/>
        <w:spacing w:before="0" w:after="0" w:line="440" w:lineRule="exact"/>
        <w:ind w:firstLine="211" w:firstLineChars="100"/>
        <w:rPr>
          <w:rFonts w:hint="eastAsia" w:ascii="宋体" w:hAnsi="宋体" w:eastAsia="宋体"/>
          <w:color w:val="auto"/>
          <w:sz w:val="21"/>
          <w:szCs w:val="21"/>
        </w:rPr>
      </w:pPr>
      <w:bookmarkStart w:id="83" w:name="_（五）报价"/>
      <w:bookmarkEnd w:id="83"/>
      <w:bookmarkStart w:id="84" w:name="_Toc254970538"/>
      <w:bookmarkStart w:id="85" w:name="_Toc254970679"/>
      <w:bookmarkStart w:id="86" w:name="_Toc353785293"/>
      <w:bookmarkStart w:id="87" w:name="_Toc352700423"/>
      <w:r>
        <w:rPr>
          <w:rFonts w:hint="eastAsia" w:ascii="宋体" w:hAnsi="宋体" w:eastAsia="宋体"/>
          <w:color w:val="auto"/>
          <w:sz w:val="21"/>
          <w:szCs w:val="21"/>
        </w:rPr>
        <w:t>（五）报价</w:t>
      </w:r>
      <w:bookmarkEnd w:id="84"/>
      <w:bookmarkEnd w:id="85"/>
      <w:bookmarkEnd w:id="86"/>
      <w:bookmarkEnd w:id="87"/>
    </w:p>
    <w:p w14:paraId="1BB24DF7">
      <w:pPr>
        <w:pStyle w:val="21"/>
        <w:snapToGrid w:val="0"/>
        <w:spacing w:line="420" w:lineRule="exact"/>
        <w:ind w:firstLine="420"/>
        <w:rPr>
          <w:rFonts w:hint="eastAsia" w:hAnsi="宋体"/>
          <w:color w:val="auto"/>
        </w:rPr>
      </w:pPr>
      <w:r>
        <w:rPr>
          <w:rFonts w:hAnsi="宋体"/>
          <w:color w:val="auto"/>
        </w:rPr>
        <w:t>1.</w:t>
      </w:r>
      <w:r>
        <w:rPr>
          <w:rFonts w:hint="eastAsia" w:hAnsi="宋体"/>
          <w:color w:val="auto"/>
        </w:rPr>
        <w:t>采购文件中未列明，而供应商认为必需的费用也须列入总报价。在合同实施时，采购人将不予支付成交供应商没有列入总报价的项目费用，并认为此项费用已包含在总报价中。</w:t>
      </w:r>
    </w:p>
    <w:p w14:paraId="61F942E6">
      <w:pPr>
        <w:pStyle w:val="21"/>
        <w:snapToGrid w:val="0"/>
        <w:spacing w:line="420" w:lineRule="exact"/>
        <w:ind w:firstLine="420"/>
        <w:rPr>
          <w:color w:val="auto"/>
        </w:rPr>
      </w:pPr>
      <w:r>
        <w:rPr>
          <w:rFonts w:hAnsi="宋体"/>
          <w:color w:val="auto"/>
        </w:rPr>
        <w:t>2</w:t>
      </w:r>
      <w:r>
        <w:rPr>
          <w:rFonts w:hint="eastAsia" w:hAnsi="宋体"/>
          <w:color w:val="auto"/>
        </w:rPr>
        <w:t>供应商</w:t>
      </w:r>
      <w:r>
        <w:rPr>
          <w:rFonts w:hint="eastAsia"/>
          <w:color w:val="auto"/>
        </w:rPr>
        <w:t>必须就《项目需求》货物和服务的内容作完整唯一报价</w:t>
      </w:r>
      <w:r>
        <w:rPr>
          <w:rFonts w:hint="eastAsia" w:hAnsi="宋体"/>
          <w:color w:val="auto"/>
        </w:rPr>
        <w:t>，有选择的或有条件的报价视为无效响应文件。</w:t>
      </w:r>
    </w:p>
    <w:p w14:paraId="1C779261">
      <w:pPr>
        <w:tabs>
          <w:tab w:val="left" w:pos="525"/>
        </w:tabs>
        <w:snapToGrid w:val="0"/>
        <w:spacing w:line="420" w:lineRule="exact"/>
        <w:ind w:firstLine="420"/>
        <w:rPr>
          <w:rFonts w:hint="eastAsia" w:ascii="宋体" w:hAnsi="宋体"/>
          <w:color w:val="auto"/>
          <w:szCs w:val="21"/>
        </w:rPr>
      </w:pPr>
      <w:r>
        <w:rPr>
          <w:rFonts w:ascii="宋体" w:hAnsi="宋体"/>
          <w:color w:val="auto"/>
          <w:szCs w:val="21"/>
        </w:rPr>
        <w:t>3.</w:t>
      </w:r>
      <w:r>
        <w:rPr>
          <w:rFonts w:hint="eastAsia" w:ascii="宋体" w:hAnsi="宋体"/>
          <w:color w:val="auto"/>
          <w:szCs w:val="21"/>
        </w:rPr>
        <w:t>供应商的报价必须按采购文件或广西政府采购云平台规定的格式填写，并在规定时间内提交最后报价。</w:t>
      </w:r>
    </w:p>
    <w:p w14:paraId="67B9C3DA">
      <w:pPr>
        <w:tabs>
          <w:tab w:val="left" w:pos="525"/>
        </w:tabs>
        <w:snapToGrid w:val="0"/>
        <w:spacing w:line="420" w:lineRule="exact"/>
        <w:ind w:firstLine="420"/>
        <w:rPr>
          <w:rFonts w:hint="eastAsia" w:ascii="宋体" w:hAnsi="宋体"/>
          <w:color w:val="auto"/>
          <w:szCs w:val="21"/>
        </w:rPr>
      </w:pPr>
      <w:r>
        <w:rPr>
          <w:rFonts w:ascii="宋体" w:hAnsi="宋体"/>
          <w:color w:val="auto"/>
          <w:szCs w:val="21"/>
        </w:rPr>
        <w:t>4.</w:t>
      </w:r>
      <w:r>
        <w:rPr>
          <w:rFonts w:hint="eastAsia" w:ascii="宋体" w:hAnsi="宋体"/>
          <w:color w:val="auto"/>
          <w:szCs w:val="21"/>
        </w:rPr>
        <w:t>最后报价是供应商响应文件的有效组成部分。</w:t>
      </w:r>
    </w:p>
    <w:p w14:paraId="3BE1D08B">
      <w:pPr>
        <w:spacing w:line="420" w:lineRule="exact"/>
        <w:ind w:firstLine="211" w:firstLineChars="100"/>
        <w:rPr>
          <w:b/>
          <w:bCs/>
          <w:color w:val="auto"/>
        </w:rPr>
      </w:pPr>
      <w:bookmarkStart w:id="88" w:name="_（六）谈判保证金"/>
      <w:bookmarkEnd w:id="88"/>
      <w:r>
        <w:rPr>
          <w:rFonts w:hint="eastAsia"/>
          <w:b/>
          <w:bCs/>
          <w:color w:val="auto"/>
        </w:rPr>
        <w:t>（六）响应文件的上传、提交、修改、撤回</w:t>
      </w:r>
    </w:p>
    <w:p w14:paraId="7FB97595">
      <w:pPr>
        <w:snapToGrid w:val="0"/>
        <w:spacing w:line="42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响应文件的上传和提交:供应商须将编制好的加密响应文件上传至广西政府采购云平台，并在响应文件提交截止时间前提交，否则广西政府采购云平台将予以拒收。</w:t>
      </w:r>
    </w:p>
    <w:p w14:paraId="5734C556">
      <w:pPr>
        <w:snapToGrid w:val="0"/>
        <w:spacing w:line="42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响应文件的修改和撤回：</w:t>
      </w:r>
      <w:r>
        <w:rPr>
          <w:rFonts w:hint="eastAsia"/>
          <w:color w:val="auto"/>
          <w:szCs w:val="21"/>
        </w:rPr>
        <w:t>供应商在提交响应文件截止时间前，可以对所提交的响应文件进行补充、修改或者撤回</w:t>
      </w:r>
      <w:r>
        <w:rPr>
          <w:rFonts w:hint="eastAsia" w:ascii="宋体" w:hAnsi="宋体"/>
          <w:color w:val="auto"/>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color w:val="auto"/>
          <w:szCs w:val="21"/>
        </w:rPr>
        <w:t>补充、修改的内容作为响应文件的组成部分。补充、修改的内容与响应文件不一致的，以补充、修改的内容为准。</w:t>
      </w:r>
    </w:p>
    <w:p w14:paraId="51E61E05">
      <w:pPr>
        <w:pStyle w:val="3"/>
        <w:spacing w:line="420" w:lineRule="exact"/>
        <w:rPr>
          <w:color w:val="auto"/>
        </w:rPr>
      </w:pPr>
      <w:bookmarkStart w:id="89" w:name="_四、响应文件开启"/>
      <w:bookmarkEnd w:id="89"/>
      <w:r>
        <w:rPr>
          <w:rFonts w:hint="eastAsia"/>
          <w:color w:val="auto"/>
        </w:rPr>
        <w:t>四、</w:t>
      </w:r>
      <w:bookmarkStart w:id="90" w:name="_Toc352700430"/>
      <w:bookmarkStart w:id="91" w:name="_Toc353785300"/>
      <w:r>
        <w:rPr>
          <w:rFonts w:hint="eastAsia"/>
          <w:color w:val="auto"/>
        </w:rPr>
        <w:t>响应文件开启</w:t>
      </w:r>
    </w:p>
    <w:bookmarkEnd w:id="90"/>
    <w:bookmarkEnd w:id="91"/>
    <w:p w14:paraId="3DE00DF7">
      <w:pPr>
        <w:spacing w:line="420" w:lineRule="exact"/>
        <w:ind w:firstLine="210" w:firstLineChars="100"/>
        <w:rPr>
          <w:rFonts w:ascii="方正小标宋_GBK" w:hAnsi="Arial" w:eastAsia="方正小标宋_GBK"/>
          <w:bCs/>
          <w:color w:val="auto"/>
          <w:sz w:val="24"/>
        </w:rPr>
      </w:pPr>
      <w:r>
        <w:rPr>
          <w:rFonts w:hint="eastAsia"/>
          <w:color w:val="auto"/>
        </w:rPr>
        <w:t>（一）本中心将在响应文件提交截止时间后在</w:t>
      </w:r>
      <w:bookmarkStart w:id="92" w:name="_Hlk90300735"/>
      <w:r>
        <w:rPr>
          <w:rFonts w:hint="eastAsia"/>
          <w:color w:val="auto"/>
        </w:rPr>
        <w:t>广西政采云远程开标大厅</w:t>
      </w:r>
      <w:bookmarkEnd w:id="92"/>
      <w:r>
        <w:rPr>
          <w:rFonts w:hint="eastAsia"/>
          <w:color w:val="auto"/>
        </w:rPr>
        <w:t>进行响应文件开启，供应商法定代表人或委托代理人须按时登录</w:t>
      </w:r>
      <w:bookmarkStart w:id="93" w:name="_Hlk90300780"/>
      <w:r>
        <w:rPr>
          <w:rFonts w:hint="eastAsia"/>
          <w:color w:val="auto"/>
        </w:rPr>
        <w:t>广西政采云远程开标大厅</w:t>
      </w:r>
      <w:bookmarkEnd w:id="93"/>
      <w:r>
        <w:rPr>
          <w:rFonts w:hint="eastAsia"/>
          <w:color w:val="auto"/>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4" w:name="_Toc352700431"/>
      <w:bookmarkStart w:id="95" w:name="_Toc353785301"/>
    </w:p>
    <w:p w14:paraId="3865ED30">
      <w:pPr>
        <w:spacing w:line="420" w:lineRule="exact"/>
        <w:ind w:firstLine="210" w:firstLineChars="100"/>
        <w:rPr>
          <w:rFonts w:ascii="方正小标宋_GBK" w:hAnsi="Arial" w:eastAsia="方正小标宋_GBK"/>
          <w:bCs/>
          <w:color w:val="auto"/>
          <w:sz w:val="24"/>
        </w:rPr>
      </w:pPr>
      <w:r>
        <w:rPr>
          <w:rFonts w:hint="eastAsia"/>
          <w:color w:val="auto"/>
        </w:rPr>
        <w:t>（二）</w:t>
      </w:r>
      <w:bookmarkEnd w:id="94"/>
      <w:bookmarkEnd w:id="95"/>
      <w:r>
        <w:rPr>
          <w:rFonts w:hint="eastAsia"/>
          <w:color w:val="auto"/>
        </w:rPr>
        <w:t>解密</w:t>
      </w:r>
    </w:p>
    <w:p w14:paraId="79914927">
      <w:pPr>
        <w:spacing w:line="420" w:lineRule="exact"/>
        <w:ind w:firstLine="420" w:firstLineChars="200"/>
        <w:rPr>
          <w:color w:val="auto"/>
        </w:rPr>
      </w:pPr>
      <w:r>
        <w:rPr>
          <w:rFonts w:hint="eastAsia"/>
          <w:color w:val="auto"/>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238244D1">
      <w:pPr>
        <w:spacing w:line="420" w:lineRule="exact"/>
        <w:ind w:firstLine="211" w:firstLineChars="100"/>
        <w:rPr>
          <w:b/>
          <w:bCs/>
          <w:color w:val="auto"/>
        </w:rPr>
      </w:pPr>
      <w:r>
        <w:rPr>
          <w:rFonts w:hint="eastAsia"/>
          <w:b/>
          <w:bCs/>
          <w:color w:val="auto"/>
        </w:rPr>
        <w:t>（三）资格审查</w:t>
      </w:r>
    </w:p>
    <w:p w14:paraId="6D1C8D2D">
      <w:pPr>
        <w:spacing w:line="420" w:lineRule="exact"/>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采购人依法对供应商的资格进行审查，资格性审查时，如发现下列情形之一的，响应文件将被视为无效：</w:t>
      </w:r>
    </w:p>
    <w:p w14:paraId="195FDE88">
      <w:pPr>
        <w:spacing w:line="420" w:lineRule="exact"/>
        <w:ind w:firstLine="420" w:firstLineChars="200"/>
        <w:rPr>
          <w:rFonts w:hint="eastAsia" w:ascii="宋体" w:hAnsi="宋体"/>
          <w:color w:val="auto"/>
          <w:szCs w:val="21"/>
        </w:rPr>
      </w:pPr>
      <w:r>
        <w:rPr>
          <w:rFonts w:hint="eastAsia" w:ascii="宋体" w:hAnsi="宋体"/>
          <w:color w:val="auto"/>
          <w:szCs w:val="21"/>
        </w:rPr>
        <w:t>(1)超越了按照法律法规规定必须获得行政许可或者行政审批的经营范围的；</w:t>
      </w:r>
    </w:p>
    <w:p w14:paraId="7EB8293B">
      <w:pPr>
        <w:spacing w:line="420" w:lineRule="exact"/>
        <w:ind w:firstLine="420" w:firstLineChars="200"/>
        <w:rPr>
          <w:rFonts w:hint="eastAsia" w:ascii="宋体" w:hAnsi="宋体"/>
          <w:color w:val="auto"/>
          <w:szCs w:val="21"/>
        </w:rPr>
      </w:pPr>
      <w:r>
        <w:rPr>
          <w:rFonts w:hint="eastAsia" w:ascii="宋体" w:hAnsi="宋体"/>
          <w:color w:val="auto"/>
          <w:szCs w:val="21"/>
        </w:rPr>
        <w:t>(2)资格证明文件不全的，或者不符合采购文件标明的资格要求的；</w:t>
      </w:r>
    </w:p>
    <w:p w14:paraId="713D31C8">
      <w:pPr>
        <w:snapToGrid w:val="0"/>
        <w:spacing w:line="420" w:lineRule="exact"/>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6A4BA53B">
      <w:pPr>
        <w:pStyle w:val="3"/>
        <w:spacing w:line="420" w:lineRule="exact"/>
        <w:rPr>
          <w:rFonts w:hint="eastAsia" w:ascii="宋体" w:hAnsi="宋体"/>
          <w:color w:val="auto"/>
          <w:szCs w:val="21"/>
        </w:rPr>
      </w:pPr>
      <w:bookmarkStart w:id="96" w:name="_五、评审与谈判"/>
      <w:bookmarkEnd w:id="96"/>
      <w:bookmarkStart w:id="97" w:name="_Toc254970545"/>
      <w:bookmarkStart w:id="98" w:name="_Toc353785302"/>
      <w:bookmarkStart w:id="99" w:name="_Toc254970686"/>
      <w:bookmarkStart w:id="100" w:name="_Toc352700432"/>
      <w:r>
        <w:rPr>
          <w:rFonts w:hint="eastAsia"/>
          <w:color w:val="auto"/>
        </w:rPr>
        <w:t>五、</w:t>
      </w:r>
      <w:bookmarkEnd w:id="97"/>
      <w:bookmarkEnd w:id="98"/>
      <w:bookmarkEnd w:id="99"/>
      <w:bookmarkEnd w:id="100"/>
      <w:r>
        <w:rPr>
          <w:rFonts w:hint="eastAsia" w:ascii="宋体" w:hAnsi="宋体"/>
          <w:color w:val="auto"/>
          <w:szCs w:val="21"/>
        </w:rPr>
        <w:t>评审与谈判</w:t>
      </w:r>
    </w:p>
    <w:p w14:paraId="694D65CE">
      <w:pPr>
        <w:snapToGrid w:val="0"/>
        <w:spacing w:line="420" w:lineRule="exact"/>
        <w:ind w:firstLine="211" w:firstLineChars="100"/>
        <w:rPr>
          <w:rFonts w:hint="eastAsia" w:ascii="宋体" w:hAnsi="宋体"/>
          <w:b/>
          <w:bCs/>
          <w:color w:val="auto"/>
          <w:szCs w:val="21"/>
        </w:rPr>
      </w:pPr>
      <w:bookmarkStart w:id="101" w:name="_Toc352700433"/>
      <w:bookmarkStart w:id="102" w:name="_Toc353785303"/>
      <w:r>
        <w:rPr>
          <w:rFonts w:hint="eastAsia" w:ascii="宋体" w:hAnsi="宋体"/>
          <w:b/>
          <w:bCs/>
          <w:color w:val="auto"/>
          <w:szCs w:val="21"/>
        </w:rPr>
        <w:t>（一）评审原则：</w:t>
      </w:r>
    </w:p>
    <w:p w14:paraId="3F05ED7D">
      <w:pPr>
        <w:snapToGrid w:val="0"/>
        <w:spacing w:line="42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77DAB427">
      <w:pPr>
        <w:snapToGrid w:val="0"/>
        <w:spacing w:line="42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s="Courier New"/>
          <w:color w:val="auto"/>
          <w:szCs w:val="21"/>
        </w:rPr>
        <w:t>本项目采用不公开方式评审，评审的依据为采购文件和响应文件。</w:t>
      </w:r>
    </w:p>
    <w:p w14:paraId="4D5CE3BC">
      <w:pPr>
        <w:snapToGrid w:val="0"/>
        <w:spacing w:line="420" w:lineRule="exact"/>
        <w:ind w:firstLine="211" w:firstLineChars="100"/>
        <w:rPr>
          <w:rFonts w:hint="eastAsia" w:ascii="宋体" w:hAnsi="宋体"/>
          <w:b/>
          <w:bCs/>
          <w:color w:val="auto"/>
          <w:szCs w:val="21"/>
        </w:rPr>
      </w:pPr>
      <w:r>
        <w:rPr>
          <w:rFonts w:hint="eastAsia"/>
          <w:b/>
          <w:bCs/>
          <w:color w:val="auto"/>
        </w:rPr>
        <w:t>（二）成立谈判小组</w:t>
      </w:r>
    </w:p>
    <w:p w14:paraId="2710C718">
      <w:pPr>
        <w:snapToGrid w:val="0"/>
        <w:spacing w:line="420" w:lineRule="exact"/>
        <w:ind w:firstLine="420" w:firstLineChars="200"/>
        <w:rPr>
          <w:rFonts w:hint="eastAsia" w:ascii="宋体" w:hAnsi="宋体"/>
          <w:color w:val="auto"/>
          <w:szCs w:val="21"/>
        </w:rPr>
      </w:pPr>
      <w:r>
        <w:rPr>
          <w:rFonts w:hint="eastAsia" w:ascii="宋体" w:hAnsi="宋体" w:cs="Courier New"/>
          <w:bCs/>
          <w:color w:val="auto"/>
          <w:szCs w:val="21"/>
        </w:rPr>
        <w:t>谈判小组</w:t>
      </w:r>
      <w:bookmarkEnd w:id="101"/>
      <w:bookmarkEnd w:id="102"/>
      <w:r>
        <w:rPr>
          <w:rFonts w:hint="eastAsia" w:ascii="宋体" w:hAnsi="宋体" w:cs="Courier New"/>
          <w:bCs/>
          <w:color w:val="auto"/>
          <w:szCs w:val="21"/>
        </w:rPr>
        <w:t>由采购人代表和评审专家共3人以上单数组成，其中评审专家人数不得少于谈判小组成员总数的2/3。</w:t>
      </w:r>
    </w:p>
    <w:p w14:paraId="2846AF43">
      <w:pPr>
        <w:spacing w:line="420" w:lineRule="exact"/>
        <w:ind w:firstLine="211" w:firstLineChars="100"/>
        <w:rPr>
          <w:rFonts w:hint="eastAsia" w:ascii="宋体" w:hAnsi="宋体"/>
          <w:b/>
          <w:bCs/>
          <w:color w:val="auto"/>
          <w:szCs w:val="21"/>
        </w:rPr>
      </w:pPr>
      <w:r>
        <w:rPr>
          <w:rFonts w:hint="eastAsia" w:ascii="宋体" w:hAnsi="宋体"/>
          <w:b/>
          <w:bCs/>
          <w:color w:val="auto"/>
          <w:szCs w:val="21"/>
        </w:rPr>
        <w:t>（三）确认谈判文件</w:t>
      </w:r>
    </w:p>
    <w:p w14:paraId="4FB4F622">
      <w:pPr>
        <w:spacing w:line="420" w:lineRule="exact"/>
        <w:ind w:firstLine="420" w:firstLineChars="200"/>
        <w:rPr>
          <w:rFonts w:hint="eastAsia" w:ascii="宋体" w:hAnsi="宋体"/>
          <w:b/>
          <w:bCs/>
          <w:color w:val="auto"/>
          <w:szCs w:val="21"/>
        </w:rPr>
      </w:pPr>
      <w:r>
        <w:rPr>
          <w:rFonts w:hint="eastAsia" w:hAnsi="宋体"/>
          <w:color w:val="auto"/>
        </w:rPr>
        <w:t>谈判小组对谈判文件进行确认，认可谈判文件的内容，符合法律法规的规定、不存在歧视性或排他性内容。</w:t>
      </w:r>
    </w:p>
    <w:p w14:paraId="5A1A4EF0">
      <w:pPr>
        <w:spacing w:line="420" w:lineRule="exact"/>
        <w:ind w:firstLine="211" w:firstLineChars="100"/>
        <w:rPr>
          <w:rFonts w:hint="eastAsia" w:ascii="宋体" w:hAnsi="宋体" w:cs="Courier New"/>
          <w:color w:val="auto"/>
          <w:szCs w:val="21"/>
        </w:rPr>
      </w:pPr>
      <w:r>
        <w:rPr>
          <w:rFonts w:hint="eastAsia" w:ascii="宋体" w:hAnsi="宋体"/>
          <w:b/>
          <w:bCs/>
          <w:color w:val="auto"/>
          <w:szCs w:val="21"/>
        </w:rPr>
        <w:t>（四）实质性审查</w:t>
      </w:r>
    </w:p>
    <w:p w14:paraId="78578A74">
      <w:pPr>
        <w:snapToGrid w:val="0"/>
        <w:spacing w:line="420" w:lineRule="exact"/>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D56DD10">
      <w:pPr>
        <w:snapToGrid w:val="0"/>
        <w:spacing w:line="420" w:lineRule="exact"/>
        <w:ind w:firstLine="422" w:firstLineChars="200"/>
        <w:rPr>
          <w:rFonts w:hint="eastAsia" w:ascii="宋体" w:hAnsi="宋体"/>
          <w:b/>
          <w:bCs/>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实质性审查时，如发现下列情形之一的，响应文件将被视为无效：</w:t>
      </w:r>
    </w:p>
    <w:p w14:paraId="354112E5">
      <w:pPr>
        <w:snapToGrid w:val="0"/>
        <w:spacing w:line="420" w:lineRule="exact"/>
        <w:ind w:firstLine="525" w:firstLineChars="250"/>
        <w:rPr>
          <w:rFonts w:hint="eastAsia" w:ascii="宋体" w:hAnsi="宋体"/>
          <w:color w:val="auto"/>
          <w:szCs w:val="21"/>
        </w:rPr>
      </w:pPr>
      <w:bookmarkStart w:id="103" w:name="_Hlk112311783"/>
      <w:r>
        <w:rPr>
          <w:rFonts w:hint="eastAsia" w:ascii="宋体" w:hAnsi="宋体"/>
          <w:color w:val="auto"/>
          <w:szCs w:val="21"/>
        </w:rPr>
        <w:t>①应交未交谈判保证金的；</w:t>
      </w:r>
    </w:p>
    <w:p w14:paraId="2BBBC453">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②响应文件未按响应文件编制要求提供或内容虚假的；</w:t>
      </w:r>
    </w:p>
    <w:p w14:paraId="66FBB82B">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③响应文件无法定代表人或其委托代理人签署、未提供授权委托书，或未按规定盖章的；</w:t>
      </w:r>
    </w:p>
    <w:p w14:paraId="1EAEFCAC">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④供应商代表未能出具身份证明或与法定代表人委托代理人身份不符的；</w:t>
      </w:r>
    </w:p>
    <w:p w14:paraId="332BCC85">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⑤未实质性响应采购文件采购需求的技术、服务要求的；</w:t>
      </w:r>
    </w:p>
    <w:p w14:paraId="667D5FE7">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⑥</w:t>
      </w:r>
      <w:r>
        <w:rPr>
          <w:rFonts w:hint="eastAsia" w:ascii="宋体" w:hAnsi="宋体"/>
          <w:color w:val="auto"/>
          <w:spacing w:val="-4"/>
          <w:szCs w:val="21"/>
        </w:rPr>
        <w:t>不符合采购文件要求的质量标准，或者与采购文件中的技术指标、功能、服务事项发生较大偏离，已不符合采购人需求的；</w:t>
      </w:r>
    </w:p>
    <w:p w14:paraId="60EDB8D7">
      <w:pPr>
        <w:snapToGrid w:val="0"/>
        <w:spacing w:line="420" w:lineRule="exact"/>
        <w:ind w:firstLine="505" w:firstLineChars="250"/>
        <w:rPr>
          <w:rFonts w:hint="eastAsia" w:ascii="宋体" w:hAnsi="宋体"/>
          <w:color w:val="auto"/>
          <w:szCs w:val="21"/>
        </w:rPr>
      </w:pPr>
      <w:r>
        <w:rPr>
          <w:rFonts w:hint="eastAsia" w:ascii="宋体" w:hAnsi="宋体"/>
          <w:color w:val="auto"/>
          <w:spacing w:val="-4"/>
          <w:szCs w:val="21"/>
        </w:rPr>
        <w:t>⑦</w:t>
      </w:r>
      <w:r>
        <w:rPr>
          <w:rFonts w:hint="eastAsia" w:ascii="宋体" w:hAnsi="宋体"/>
          <w:color w:val="auto"/>
          <w:szCs w:val="21"/>
        </w:rPr>
        <w:t>响应文件有采购人不能接受的附加条件的。</w:t>
      </w:r>
    </w:p>
    <w:p w14:paraId="6A7EFC04">
      <w:pPr>
        <w:snapToGrid w:val="0"/>
        <w:spacing w:line="420" w:lineRule="exact"/>
        <w:ind w:firstLine="525" w:firstLineChars="250"/>
        <w:rPr>
          <w:rFonts w:hint="eastAsia" w:ascii="宋体" w:hAnsi="宋体"/>
          <w:color w:val="auto"/>
          <w:spacing w:val="-4"/>
          <w:szCs w:val="21"/>
        </w:rPr>
      </w:pPr>
      <w:r>
        <w:rPr>
          <w:rFonts w:hint="eastAsia" w:ascii="宋体" w:hAnsi="宋体"/>
          <w:color w:val="auto"/>
          <w:szCs w:val="21"/>
        </w:rPr>
        <w:t>⑧</w:t>
      </w:r>
      <w:r>
        <w:rPr>
          <w:rFonts w:hint="eastAsia" w:ascii="宋体" w:hAnsi="宋体"/>
          <w:color w:val="auto"/>
          <w:spacing w:val="-4"/>
          <w:szCs w:val="21"/>
        </w:rPr>
        <w:t>响应文件技术方案不明确，存在一个或一个以上备选(替代)响应方案的；</w:t>
      </w:r>
    </w:p>
    <w:p w14:paraId="0BAA6807">
      <w:pPr>
        <w:snapToGrid w:val="0"/>
        <w:spacing w:line="420" w:lineRule="exact"/>
        <w:ind w:firstLine="505" w:firstLineChars="250"/>
        <w:rPr>
          <w:rFonts w:hint="eastAsia" w:ascii="宋体" w:hAnsi="宋体"/>
          <w:color w:val="auto"/>
          <w:szCs w:val="21"/>
        </w:rPr>
      </w:pPr>
      <w:r>
        <w:rPr>
          <w:rFonts w:hint="eastAsia" w:ascii="宋体" w:hAnsi="宋体"/>
          <w:color w:val="auto"/>
          <w:spacing w:val="-4"/>
          <w:szCs w:val="21"/>
        </w:rPr>
        <w:t>⑨</w:t>
      </w:r>
      <w:r>
        <w:rPr>
          <w:rFonts w:hint="eastAsia" w:ascii="宋体" w:hAnsi="宋体"/>
          <w:color w:val="auto"/>
          <w:szCs w:val="21"/>
        </w:rPr>
        <w:t>响应文件的实质性内容未使用中文表述、意思表述不明确、前后矛盾或者使用计量单位不符合采购文件要求的。</w:t>
      </w:r>
    </w:p>
    <w:bookmarkEnd w:id="103"/>
    <w:p w14:paraId="4E07D199">
      <w:pPr>
        <w:spacing w:line="420" w:lineRule="exact"/>
        <w:ind w:firstLine="211" w:firstLineChars="100"/>
        <w:rPr>
          <w:b/>
          <w:bCs/>
          <w:color w:val="auto"/>
        </w:rPr>
      </w:pPr>
      <w:r>
        <w:rPr>
          <w:rFonts w:hint="eastAsia"/>
          <w:b/>
          <w:bCs/>
          <w:color w:val="auto"/>
        </w:rPr>
        <w:t>（五）谈判</w:t>
      </w:r>
    </w:p>
    <w:p w14:paraId="74C54245">
      <w:pPr>
        <w:pStyle w:val="21"/>
        <w:spacing w:line="420" w:lineRule="exact"/>
        <w:ind w:firstLine="420" w:firstLineChars="200"/>
        <w:rPr>
          <w:color w:val="auto"/>
        </w:rPr>
      </w:pPr>
      <w:r>
        <w:rPr>
          <w:rFonts w:hint="eastAsia" w:hAnsi="宋体"/>
          <w:bCs/>
          <w:color w:val="auto"/>
        </w:rPr>
        <w:t>1</w:t>
      </w:r>
      <w:r>
        <w:rPr>
          <w:rFonts w:hAnsi="宋体"/>
          <w:bCs/>
          <w:color w:val="auto"/>
        </w:rPr>
        <w:t>.</w:t>
      </w:r>
      <w:r>
        <w:rPr>
          <w:rFonts w:hint="eastAsia"/>
          <w:color w:val="auto"/>
        </w:rPr>
        <w:t>谈判小组所有成员应当集中与单一供应商分别进行谈判，并给予所有参加谈判的供应商平等的谈判机会。</w:t>
      </w:r>
    </w:p>
    <w:p w14:paraId="47F83CA5">
      <w:pPr>
        <w:pStyle w:val="21"/>
        <w:spacing w:line="420" w:lineRule="exact"/>
        <w:ind w:firstLine="420" w:firstLineChars="200"/>
        <w:rPr>
          <w:rFonts w:hint="eastAsia" w:hAnsi="宋体"/>
          <w:bCs/>
          <w:color w:val="auto"/>
        </w:rPr>
      </w:pPr>
      <w:r>
        <w:rPr>
          <w:rFonts w:hint="eastAsia" w:hAnsi="宋体"/>
          <w:bCs/>
          <w:color w:val="auto"/>
        </w:rPr>
        <w:t>2</w:t>
      </w:r>
      <w:r>
        <w:rPr>
          <w:rFonts w:hAnsi="宋体"/>
          <w:bCs/>
          <w:color w:val="auto"/>
        </w:rPr>
        <w:t>.</w:t>
      </w:r>
      <w:r>
        <w:rPr>
          <w:rFonts w:hint="eastAsia" w:hAnsi="宋体"/>
          <w:bCs/>
          <w:color w:val="auto"/>
        </w:rPr>
        <w:t>谈判小组可以根据谈判文件和谈判情况实质性变动采购需求中的技术、服务要求以及合同草案条款，但不得变动谈判文件中的其他内容。实质性变动的内容，须经采购人代表确认。</w:t>
      </w:r>
    </w:p>
    <w:p w14:paraId="017B34FB">
      <w:pPr>
        <w:pStyle w:val="21"/>
        <w:spacing w:line="420" w:lineRule="exact"/>
        <w:ind w:firstLine="420" w:firstLineChars="200"/>
        <w:rPr>
          <w:rFonts w:hint="eastAsia" w:hAnsi="宋体"/>
          <w:bCs/>
          <w:color w:val="auto"/>
        </w:rPr>
      </w:pPr>
      <w:r>
        <w:rPr>
          <w:rFonts w:hAnsi="宋体"/>
          <w:bCs/>
          <w:color w:val="auto"/>
        </w:rPr>
        <w:t>3.</w:t>
      </w:r>
      <w:r>
        <w:rPr>
          <w:rFonts w:hint="eastAsia" w:hAnsi="宋体"/>
          <w:bCs/>
          <w:color w:val="auto"/>
        </w:rPr>
        <w:t>对谈判文件作出的实质性变动是谈判文件的有效组成部分，谈判小组应当及时以书面形式同时通知所有参加谈判的供应商。</w:t>
      </w:r>
    </w:p>
    <w:p w14:paraId="26F132CC">
      <w:pPr>
        <w:pStyle w:val="21"/>
        <w:spacing w:line="420" w:lineRule="exact"/>
        <w:ind w:firstLine="420" w:firstLineChars="200"/>
        <w:rPr>
          <w:rFonts w:hint="eastAsia" w:hAnsi="宋体"/>
          <w:bCs/>
          <w:color w:val="auto"/>
        </w:rPr>
      </w:pPr>
      <w:r>
        <w:rPr>
          <w:rFonts w:hint="eastAsia" w:hAnsi="宋体"/>
          <w:bCs/>
          <w:color w:val="auto"/>
        </w:rPr>
        <w:t>4</w:t>
      </w:r>
      <w:r>
        <w:rPr>
          <w:rFonts w:hAnsi="宋体"/>
          <w:bCs/>
          <w:color w:val="auto"/>
        </w:rPr>
        <w:t>.</w:t>
      </w:r>
      <w:r>
        <w:rPr>
          <w:rFonts w:hint="eastAsia" w:hAnsi="宋体"/>
          <w:bCs/>
          <w:color w:val="auto"/>
        </w:rPr>
        <w:t>供应商应当按照谈判文件的变动情况和谈判小组的要求重新提交响应文件，并由其法定代表人或授权代表签名或者加盖公章。由授权代表签名的，应当附法定代表人授权书。</w:t>
      </w:r>
      <w:bookmarkStart w:id="104" w:name="_Hlk92985140"/>
      <w:r>
        <w:rPr>
          <w:rFonts w:hint="eastAsia" w:hAnsi="宋体"/>
          <w:bCs/>
          <w:color w:val="auto"/>
        </w:rPr>
        <w:t>供应商为自然人的，应当由本人签名并附身份证明。</w:t>
      </w:r>
      <w:bookmarkEnd w:id="104"/>
      <w:r>
        <w:rPr>
          <w:rFonts w:hint="eastAsia" w:hAnsi="宋体"/>
          <w:bCs/>
          <w:color w:val="auto"/>
        </w:rPr>
        <w:t>逾时不提交的，视同放弃谈判。</w:t>
      </w:r>
    </w:p>
    <w:p w14:paraId="1DD475A7">
      <w:pPr>
        <w:pStyle w:val="21"/>
        <w:spacing w:line="420" w:lineRule="exact"/>
        <w:ind w:firstLine="420" w:firstLineChars="200"/>
        <w:rPr>
          <w:rFonts w:hint="eastAsia" w:hAnsi="宋体"/>
          <w:bCs/>
          <w:color w:val="auto"/>
        </w:rPr>
      </w:pPr>
      <w:r>
        <w:rPr>
          <w:rFonts w:hint="eastAsia" w:hAnsi="宋体"/>
          <w:bCs/>
          <w:color w:val="auto"/>
        </w:rPr>
        <w:t>5</w:t>
      </w:r>
      <w:r>
        <w:rPr>
          <w:rFonts w:hAnsi="宋体"/>
          <w:bCs/>
          <w:color w:val="auto"/>
        </w:rPr>
        <w:t>.</w:t>
      </w:r>
      <w:r>
        <w:rPr>
          <w:rFonts w:hint="eastAsia"/>
          <w:color w:val="auto"/>
        </w:rPr>
        <w:t>已提交响应文件的供应商，在提交最后报价之前，可以根据谈判情况退出谈判。</w:t>
      </w:r>
    </w:p>
    <w:p w14:paraId="03595272">
      <w:pPr>
        <w:spacing w:line="420" w:lineRule="exact"/>
        <w:ind w:firstLine="211" w:firstLineChars="100"/>
        <w:rPr>
          <w:b/>
          <w:bCs/>
          <w:color w:val="auto"/>
        </w:rPr>
      </w:pPr>
      <w:r>
        <w:rPr>
          <w:rFonts w:hint="eastAsia"/>
          <w:b/>
          <w:bCs/>
          <w:color w:val="auto"/>
        </w:rPr>
        <w:t>（六）最后报价</w:t>
      </w:r>
    </w:p>
    <w:p w14:paraId="39DB5508">
      <w:pPr>
        <w:spacing w:line="420" w:lineRule="exact"/>
        <w:ind w:firstLine="420" w:firstLineChars="200"/>
        <w:rPr>
          <w:color w:val="auto"/>
        </w:rPr>
      </w:pPr>
      <w:r>
        <w:rPr>
          <w:color w:val="auto"/>
        </w:rPr>
        <w:t>1.</w:t>
      </w:r>
      <w:r>
        <w:rPr>
          <w:rFonts w:hint="eastAsia"/>
          <w:color w:val="auto"/>
        </w:rPr>
        <w:t>谈判文件能够详细列明采购标的的技术、服务要求的，谈判结束后，谈判小组应当要求所有继续参加谈判的供应商在规定时间内提交最后报价，提交最后报价的供应商不得少于3家。</w:t>
      </w:r>
    </w:p>
    <w:p w14:paraId="5203832A">
      <w:pPr>
        <w:spacing w:line="420" w:lineRule="exact"/>
        <w:ind w:firstLine="420" w:firstLineChars="200"/>
        <w:rPr>
          <w:color w:val="auto"/>
        </w:rPr>
      </w:pPr>
      <w:r>
        <w:rPr>
          <w:rFonts w:hint="eastAsia"/>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F802D5B">
      <w:pPr>
        <w:spacing w:line="420" w:lineRule="exact"/>
        <w:ind w:firstLine="420" w:firstLineChars="200"/>
        <w:rPr>
          <w:color w:val="auto"/>
        </w:rPr>
      </w:pPr>
      <w:r>
        <w:rPr>
          <w:color w:val="auto"/>
        </w:rPr>
        <w:t>2.</w:t>
      </w:r>
      <w:r>
        <w:rPr>
          <w:rFonts w:hint="eastAsia"/>
          <w:color w:val="auto"/>
        </w:rPr>
        <w:t>最后报价应由其法定代表人或授权代表签名或者加盖公章，最后报价即系供应商响应报价。</w:t>
      </w:r>
    </w:p>
    <w:p w14:paraId="7EDC3F11">
      <w:pPr>
        <w:spacing w:line="420" w:lineRule="exact"/>
        <w:ind w:firstLine="422" w:firstLineChars="200"/>
        <w:rPr>
          <w:color w:val="auto"/>
        </w:rPr>
      </w:pPr>
      <w:r>
        <w:rPr>
          <w:rFonts w:hint="eastAsia"/>
          <w:b/>
          <w:bCs/>
          <w:color w:val="auto"/>
        </w:rPr>
        <w:t>3</w:t>
      </w:r>
      <w:r>
        <w:rPr>
          <w:rFonts w:hint="eastAsia" w:ascii="宋体" w:hAnsi="宋体" w:cs="Courier New"/>
          <w:b/>
          <w:color w:val="auto"/>
          <w:szCs w:val="21"/>
        </w:rPr>
        <w:t>.在报价评审时，如发现下列情形之一的，响应文件将被视为无效：</w:t>
      </w:r>
    </w:p>
    <w:p w14:paraId="1FB7B644">
      <w:pPr>
        <w:snapToGrid w:val="0"/>
        <w:spacing w:line="420" w:lineRule="exact"/>
        <w:ind w:firstLine="420" w:firstLineChars="200"/>
        <w:rPr>
          <w:rFonts w:hint="eastAsia" w:ascii="宋体" w:hAnsi="宋体"/>
          <w:color w:val="auto"/>
          <w:szCs w:val="21"/>
        </w:rPr>
      </w:pPr>
      <w:bookmarkStart w:id="105" w:name="_Hlk112312387"/>
      <w:r>
        <w:rPr>
          <w:rFonts w:hint="eastAsia" w:ascii="宋体" w:hAnsi="宋体"/>
          <w:color w:val="auto"/>
          <w:szCs w:val="21"/>
        </w:rPr>
        <w:t>(</w:t>
      </w:r>
      <w:r>
        <w:rPr>
          <w:rFonts w:ascii="宋体" w:hAnsi="宋体"/>
          <w:color w:val="auto"/>
          <w:szCs w:val="21"/>
        </w:rPr>
        <w:t>1)</w:t>
      </w:r>
      <w:r>
        <w:rPr>
          <w:rFonts w:hint="eastAsia" w:ascii="宋体" w:hAnsi="宋体"/>
          <w:color w:val="auto"/>
          <w:szCs w:val="21"/>
        </w:rPr>
        <w:t>报价未采用人民币或者未按照采购文件标明的币种报价的；</w:t>
      </w:r>
    </w:p>
    <w:p w14:paraId="311FA819">
      <w:pPr>
        <w:snapToGrid w:val="0"/>
        <w:spacing w:line="42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报价明细表中货物品牌、规格、型号、服务事项未明确或与响应文件中相应内容不一致的；</w:t>
      </w:r>
    </w:p>
    <w:p w14:paraId="6D5B33BC">
      <w:pPr>
        <w:snapToGrid w:val="0"/>
        <w:spacing w:line="420" w:lineRule="exact"/>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报价具有选择性的；</w:t>
      </w:r>
    </w:p>
    <w:p w14:paraId="7C153410">
      <w:pPr>
        <w:snapToGrid w:val="0"/>
        <w:spacing w:line="420" w:lineRule="exact"/>
        <w:ind w:firstLine="420" w:firstLineChars="200"/>
        <w:rPr>
          <w:rFonts w:hint="eastAsia" w:ascii="宋体" w:hAnsi="宋体"/>
          <w:color w:val="auto"/>
          <w:szCs w:val="21"/>
        </w:rPr>
      </w:pPr>
      <w:r>
        <w:rPr>
          <w:rFonts w:ascii="宋体" w:hAnsi="宋体"/>
          <w:color w:val="auto"/>
          <w:szCs w:val="21"/>
        </w:rPr>
        <w:t>(4)</w:t>
      </w:r>
      <w:r>
        <w:rPr>
          <w:rFonts w:hint="eastAsia" w:ascii="宋体" w:hAnsi="宋体"/>
          <w:color w:val="auto"/>
          <w:szCs w:val="21"/>
        </w:rPr>
        <w:t>报价未按采购文件或广西政府采购云平台规定的格式填写，或未在规定时间内提交最后报价的。</w:t>
      </w:r>
    </w:p>
    <w:bookmarkEnd w:id="105"/>
    <w:p w14:paraId="16B4153C">
      <w:pPr>
        <w:spacing w:line="420" w:lineRule="exact"/>
        <w:ind w:firstLine="211" w:firstLineChars="100"/>
        <w:rPr>
          <w:b/>
          <w:bCs/>
          <w:color w:val="auto"/>
        </w:rPr>
      </w:pPr>
      <w:r>
        <w:rPr>
          <w:rFonts w:hint="eastAsia"/>
          <w:b/>
          <w:bCs/>
          <w:color w:val="auto"/>
        </w:rPr>
        <w:t>（八）澄清、说明或者更正的形式</w:t>
      </w:r>
    </w:p>
    <w:p w14:paraId="7CD5B5F6">
      <w:pPr>
        <w:pStyle w:val="21"/>
        <w:spacing w:line="420" w:lineRule="exact"/>
        <w:ind w:firstLine="420"/>
        <w:rPr>
          <w:rFonts w:hint="eastAsia" w:hAnsi="宋体"/>
          <w:bCs/>
          <w:color w:val="auto"/>
        </w:rPr>
      </w:pPr>
      <w:r>
        <w:rPr>
          <w:rFonts w:hint="eastAsia" w:hAnsi="宋体"/>
          <w:bCs/>
          <w:color w:val="auto"/>
        </w:rPr>
        <w:t>1</w:t>
      </w:r>
      <w:r>
        <w:rPr>
          <w:rFonts w:hAnsi="宋体"/>
          <w:bCs/>
          <w:color w:val="auto"/>
        </w:rPr>
        <w:t>.</w:t>
      </w:r>
      <w:r>
        <w:rPr>
          <w:rFonts w:hint="eastAsia" w:hAnsi="宋体"/>
          <w:bCs/>
          <w:color w:val="auto"/>
        </w:rPr>
        <w:t>谈判小组在对响应文件的有效性、完整性和响应程度进行审查时，可以要求供应商对响应文件中含义不明确、同类问题表述不一致或者有明显文字和计算错误的内容等作出必要的</w:t>
      </w:r>
      <w:bookmarkStart w:id="106" w:name="_Hlk92462362"/>
      <w:r>
        <w:rPr>
          <w:rFonts w:hint="eastAsia" w:hAnsi="宋体"/>
          <w:bCs/>
          <w:color w:val="auto"/>
        </w:rPr>
        <w:t>澄清、说明或者更正</w:t>
      </w:r>
      <w:bookmarkEnd w:id="106"/>
      <w:r>
        <w:rPr>
          <w:rFonts w:hint="eastAsia" w:hAnsi="宋体"/>
          <w:bCs/>
          <w:color w:val="auto"/>
        </w:rPr>
        <w:t>。供应商的澄清、说明或者更正不得超出响应文件的范围或者改变响应文件的实质性内容。</w:t>
      </w:r>
    </w:p>
    <w:p w14:paraId="72EA607F">
      <w:pPr>
        <w:pStyle w:val="21"/>
        <w:spacing w:line="420" w:lineRule="exact"/>
        <w:ind w:firstLine="420"/>
        <w:rPr>
          <w:rFonts w:hint="eastAsia" w:hAnsi="宋体"/>
          <w:bCs/>
          <w:color w:val="auto"/>
        </w:rPr>
      </w:pPr>
      <w:r>
        <w:rPr>
          <w:rFonts w:hint="eastAsia" w:hAnsi="宋体"/>
          <w:bCs/>
          <w:color w:val="auto"/>
        </w:rPr>
        <w:t>2</w:t>
      </w:r>
      <w:r>
        <w:rPr>
          <w:rFonts w:hAnsi="宋体"/>
          <w:bCs/>
          <w:color w:val="auto"/>
        </w:rPr>
        <w:t>.</w:t>
      </w:r>
      <w:r>
        <w:rPr>
          <w:rFonts w:hint="eastAsia" w:hAnsi="宋体"/>
          <w:bCs/>
          <w:color w:val="auto"/>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2EB76A29">
      <w:pPr>
        <w:spacing w:line="420" w:lineRule="exact"/>
        <w:ind w:firstLine="211" w:firstLineChars="100"/>
        <w:rPr>
          <w:b/>
          <w:bCs/>
          <w:color w:val="auto"/>
        </w:rPr>
      </w:pPr>
      <w:r>
        <w:rPr>
          <w:rFonts w:hint="eastAsia"/>
          <w:b/>
          <w:bCs/>
          <w:color w:val="auto"/>
        </w:rPr>
        <w:t>（九）评定标准及推荐原则</w:t>
      </w:r>
    </w:p>
    <w:p w14:paraId="55B33031">
      <w:pPr>
        <w:spacing w:line="420" w:lineRule="exact"/>
        <w:ind w:firstLine="420" w:firstLineChars="200"/>
        <w:rPr>
          <w:color w:val="auto"/>
        </w:rPr>
      </w:pPr>
      <w:r>
        <w:rPr>
          <w:rFonts w:hint="eastAsia" w:ascii="宋体" w:hAnsi="Courier New" w:cs="Courier New"/>
          <w:color w:val="auto"/>
          <w:szCs w:val="21"/>
        </w:rPr>
        <w:t>详见第四章《评定标准及推荐原则》。</w:t>
      </w:r>
    </w:p>
    <w:p w14:paraId="7C8B9553">
      <w:pPr>
        <w:pStyle w:val="21"/>
        <w:spacing w:line="420" w:lineRule="exact"/>
        <w:ind w:firstLine="211" w:firstLineChars="100"/>
        <w:rPr>
          <w:rFonts w:hint="eastAsia" w:hAnsi="宋体"/>
          <w:b/>
          <w:color w:val="auto"/>
        </w:rPr>
      </w:pPr>
      <w:r>
        <w:rPr>
          <w:rFonts w:hint="eastAsia" w:hAnsi="宋体"/>
          <w:b/>
          <w:color w:val="auto"/>
        </w:rPr>
        <w:t>（十）供应商有下列情形之一的，属于恶意串通：</w:t>
      </w:r>
    </w:p>
    <w:p w14:paraId="00C9BC14">
      <w:pPr>
        <w:pStyle w:val="21"/>
        <w:spacing w:line="420" w:lineRule="exact"/>
        <w:ind w:firstLine="420" w:firstLineChars="200"/>
        <w:rPr>
          <w:rFonts w:hint="eastAsia" w:hAnsi="宋体" w:cs="Times New Roman"/>
          <w:color w:val="auto"/>
        </w:rPr>
      </w:pPr>
      <w:r>
        <w:rPr>
          <w:rFonts w:hint="eastAsia" w:hAnsi="宋体" w:cs="Times New Roman"/>
          <w:color w:val="auto"/>
        </w:rPr>
        <w:t>1</w:t>
      </w:r>
      <w:r>
        <w:rPr>
          <w:rFonts w:hAnsi="宋体" w:cs="Times New Roman"/>
          <w:color w:val="auto"/>
        </w:rPr>
        <w:t>.</w:t>
      </w:r>
      <w:r>
        <w:rPr>
          <w:rFonts w:hint="eastAsia" w:hAnsi="宋体" w:cs="Times New Roman"/>
          <w:color w:val="auto"/>
        </w:rPr>
        <w:t>供应商直接或者间接从采购人或者采购代理机构处获得其他供应商的相关情况并修改其响应文件；</w:t>
      </w:r>
    </w:p>
    <w:p w14:paraId="22370835">
      <w:pPr>
        <w:pStyle w:val="21"/>
        <w:spacing w:line="420" w:lineRule="exact"/>
        <w:ind w:firstLine="420" w:firstLineChars="200"/>
        <w:rPr>
          <w:rFonts w:hint="eastAsia" w:hAnsi="宋体" w:cs="Times New Roman"/>
          <w:color w:val="auto"/>
        </w:rPr>
      </w:pPr>
      <w:r>
        <w:rPr>
          <w:rFonts w:hint="eastAsia" w:hAnsi="宋体" w:cs="Times New Roman"/>
          <w:color w:val="auto"/>
        </w:rPr>
        <w:t>2</w:t>
      </w:r>
      <w:r>
        <w:rPr>
          <w:rFonts w:hAnsi="宋体" w:cs="Times New Roman"/>
          <w:color w:val="auto"/>
        </w:rPr>
        <w:t>.</w:t>
      </w:r>
      <w:r>
        <w:rPr>
          <w:rFonts w:hint="eastAsia" w:hAnsi="宋体" w:cs="Times New Roman"/>
          <w:color w:val="auto"/>
        </w:rPr>
        <w:t>供应商按照采购人或者采购代理机构的授意撤换、修改响应文件；</w:t>
      </w:r>
    </w:p>
    <w:p w14:paraId="5FB81613">
      <w:pPr>
        <w:pStyle w:val="21"/>
        <w:spacing w:line="420" w:lineRule="exact"/>
        <w:ind w:firstLine="420" w:firstLineChars="200"/>
        <w:rPr>
          <w:rFonts w:hint="eastAsia" w:hAnsi="宋体" w:cs="Times New Roman"/>
          <w:color w:val="auto"/>
        </w:rPr>
      </w:pPr>
      <w:r>
        <w:rPr>
          <w:rFonts w:hint="eastAsia" w:hAnsi="宋体" w:cs="Times New Roman"/>
          <w:color w:val="auto"/>
        </w:rPr>
        <w:t>3</w:t>
      </w:r>
      <w:r>
        <w:rPr>
          <w:rFonts w:hAnsi="宋体" w:cs="Times New Roman"/>
          <w:color w:val="auto"/>
        </w:rPr>
        <w:t>.</w:t>
      </w:r>
      <w:r>
        <w:rPr>
          <w:rFonts w:hint="eastAsia" w:hAnsi="宋体" w:cs="Times New Roman"/>
          <w:color w:val="auto"/>
        </w:rPr>
        <w:t>供应商之间协商报价、技术方案等响应文件的实质性内容；</w:t>
      </w:r>
    </w:p>
    <w:p w14:paraId="0C18A3B5">
      <w:pPr>
        <w:pStyle w:val="21"/>
        <w:spacing w:line="420" w:lineRule="exact"/>
        <w:ind w:firstLine="420" w:firstLineChars="200"/>
        <w:rPr>
          <w:rFonts w:hint="eastAsia" w:hAnsi="宋体" w:cs="Times New Roman"/>
          <w:color w:val="auto"/>
        </w:rPr>
      </w:pPr>
      <w:r>
        <w:rPr>
          <w:rFonts w:hint="eastAsia" w:hAnsi="宋体" w:cs="Times New Roman"/>
          <w:color w:val="auto"/>
        </w:rPr>
        <w:t>4</w:t>
      </w:r>
      <w:r>
        <w:rPr>
          <w:rFonts w:hAnsi="宋体" w:cs="Times New Roman"/>
          <w:color w:val="auto"/>
        </w:rPr>
        <w:t>.</w:t>
      </w:r>
      <w:r>
        <w:rPr>
          <w:rFonts w:hint="eastAsia" w:hAnsi="宋体" w:cs="Times New Roman"/>
          <w:color w:val="auto"/>
        </w:rPr>
        <w:t>属于同一集团、协会、商会等组织成员的供应商按照该组织要求协同参加政府采购活动；</w:t>
      </w:r>
    </w:p>
    <w:p w14:paraId="4AACDB08">
      <w:pPr>
        <w:pStyle w:val="21"/>
        <w:spacing w:line="420" w:lineRule="exact"/>
        <w:ind w:firstLine="420" w:firstLineChars="200"/>
        <w:rPr>
          <w:rFonts w:hint="eastAsia" w:hAnsi="宋体" w:cs="Times New Roman"/>
          <w:color w:val="auto"/>
        </w:rPr>
      </w:pPr>
      <w:r>
        <w:rPr>
          <w:rFonts w:hint="eastAsia" w:hAnsi="宋体" w:cs="Times New Roman"/>
          <w:color w:val="auto"/>
        </w:rPr>
        <w:t>5</w:t>
      </w:r>
      <w:r>
        <w:rPr>
          <w:rFonts w:hAnsi="宋体" w:cs="Times New Roman"/>
          <w:color w:val="auto"/>
        </w:rPr>
        <w:t>.</w:t>
      </w:r>
      <w:r>
        <w:rPr>
          <w:rFonts w:hint="eastAsia" w:hAnsi="宋体" w:cs="Times New Roman"/>
          <w:color w:val="auto"/>
        </w:rPr>
        <w:t>供应商之间事先约定由某一特定供应商成交；</w:t>
      </w:r>
    </w:p>
    <w:p w14:paraId="5A636C03">
      <w:pPr>
        <w:pStyle w:val="21"/>
        <w:spacing w:line="420" w:lineRule="exact"/>
        <w:ind w:firstLine="420" w:firstLineChars="200"/>
        <w:rPr>
          <w:rFonts w:hint="eastAsia" w:hAnsi="宋体" w:cs="Times New Roman"/>
          <w:color w:val="auto"/>
        </w:rPr>
      </w:pPr>
      <w:r>
        <w:rPr>
          <w:rFonts w:hint="eastAsia" w:hAnsi="宋体" w:cs="Times New Roman"/>
          <w:color w:val="auto"/>
        </w:rPr>
        <w:t>6</w:t>
      </w:r>
      <w:r>
        <w:rPr>
          <w:rFonts w:hAnsi="宋体" w:cs="Times New Roman"/>
          <w:color w:val="auto"/>
        </w:rPr>
        <w:t>.</w:t>
      </w:r>
      <w:r>
        <w:rPr>
          <w:rFonts w:hint="eastAsia" w:hAnsi="宋体" w:cs="Times New Roman"/>
          <w:color w:val="auto"/>
        </w:rPr>
        <w:t>供应商之间商定部分供应商放弃参加政府采购活动或者放弃成交；</w:t>
      </w:r>
    </w:p>
    <w:p w14:paraId="38002683">
      <w:pPr>
        <w:pStyle w:val="21"/>
        <w:spacing w:line="420" w:lineRule="exact"/>
        <w:ind w:firstLine="420" w:firstLineChars="200"/>
        <w:rPr>
          <w:rFonts w:hint="eastAsia" w:hAnsi="宋体" w:cs="Times New Roman"/>
          <w:color w:val="auto"/>
        </w:rPr>
      </w:pPr>
      <w:r>
        <w:rPr>
          <w:rFonts w:hint="eastAsia" w:hAnsi="宋体" w:cs="Times New Roman"/>
          <w:color w:val="auto"/>
        </w:rPr>
        <w:t>7</w:t>
      </w:r>
      <w:r>
        <w:rPr>
          <w:rFonts w:hAnsi="宋体" w:cs="Times New Roman"/>
          <w:color w:val="auto"/>
        </w:rPr>
        <w:t>.</w:t>
      </w:r>
      <w:r>
        <w:rPr>
          <w:rFonts w:hint="eastAsia" w:hAnsi="宋体" w:cs="Times New Roman"/>
          <w:color w:val="auto"/>
        </w:rPr>
        <w:t>供应商与采购人或者采购代理机构之间、供应商相互之间，为谋求特定供应商成交或者排斥其他供应商的其他串通行为。</w:t>
      </w:r>
    </w:p>
    <w:p w14:paraId="25B1687B">
      <w:pPr>
        <w:pStyle w:val="21"/>
        <w:spacing w:line="420" w:lineRule="exact"/>
        <w:ind w:firstLine="211" w:firstLineChars="100"/>
        <w:rPr>
          <w:rFonts w:hint="eastAsia" w:hAnsi="宋体"/>
          <w:b/>
          <w:color w:val="auto"/>
        </w:rPr>
      </w:pPr>
      <w:r>
        <w:rPr>
          <w:rFonts w:hint="eastAsia" w:hAnsi="宋体"/>
          <w:b/>
          <w:color w:val="auto"/>
        </w:rPr>
        <w:t>（十一）评审报告</w:t>
      </w:r>
    </w:p>
    <w:p w14:paraId="50D7BDF4">
      <w:pPr>
        <w:widowControl/>
        <w:tabs>
          <w:tab w:val="left" w:pos="540"/>
        </w:tabs>
        <w:spacing w:line="420" w:lineRule="exact"/>
        <w:ind w:firstLine="420" w:firstLineChars="200"/>
        <w:jc w:val="left"/>
        <w:rPr>
          <w:color w:val="auto"/>
          <w:szCs w:val="21"/>
        </w:rPr>
      </w:pPr>
      <w:r>
        <w:rPr>
          <w:rFonts w:hint="eastAsia"/>
          <w:color w:val="auto"/>
          <w:szCs w:val="21"/>
        </w:rPr>
        <w:t>1</w:t>
      </w:r>
      <w:r>
        <w:rPr>
          <w:color w:val="auto"/>
          <w:szCs w:val="21"/>
        </w:rPr>
        <w:t>.</w:t>
      </w:r>
      <w:r>
        <w:rPr>
          <w:rFonts w:hint="eastAsia"/>
          <w:color w:val="auto"/>
          <w:szCs w:val="21"/>
        </w:rPr>
        <w:t>谈判小组应当根据评审记录和评审结果编写评审报告，主要内容包括：</w:t>
      </w:r>
    </w:p>
    <w:p w14:paraId="17F4B2E5">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1)</w:t>
      </w:r>
      <w:r>
        <w:rPr>
          <w:rFonts w:hint="eastAsia"/>
          <w:color w:val="auto"/>
          <w:szCs w:val="21"/>
        </w:rPr>
        <w:t>邀请供应商参加采购活动的具体方式和相关情况，以及参加采购活动的供应商名单；</w:t>
      </w:r>
    </w:p>
    <w:p w14:paraId="4B11CA93">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2)</w:t>
      </w:r>
      <w:r>
        <w:rPr>
          <w:rFonts w:hint="eastAsia"/>
          <w:color w:val="auto"/>
          <w:szCs w:val="21"/>
        </w:rPr>
        <w:t>评审日期和地点，谈判小组成员名单；</w:t>
      </w:r>
    </w:p>
    <w:p w14:paraId="6EF681B3">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3)</w:t>
      </w:r>
      <w:r>
        <w:rPr>
          <w:rFonts w:hint="eastAsia"/>
          <w:color w:val="auto"/>
          <w:szCs w:val="21"/>
        </w:rPr>
        <w:t>评审情况记录和说明，包括对供应商的资格审查情况、供应商响应文件评审情况、谈判情况、报价情况等；</w:t>
      </w:r>
    </w:p>
    <w:p w14:paraId="3749C27F">
      <w:pPr>
        <w:widowControl/>
        <w:tabs>
          <w:tab w:val="left" w:pos="540"/>
        </w:tabs>
        <w:spacing w:line="420" w:lineRule="exact"/>
        <w:ind w:firstLine="420" w:firstLineChars="200"/>
        <w:jc w:val="left"/>
        <w:rPr>
          <w:rFonts w:hint="eastAsia" w:eastAsia="宋体"/>
          <w:color w:val="auto"/>
          <w:lang w:eastAsia="zh-CN"/>
        </w:rPr>
      </w:pPr>
      <w:r>
        <w:rPr>
          <w:rFonts w:hint="eastAsia"/>
          <w:color w:val="auto"/>
        </w:rPr>
        <w:t>(</w:t>
      </w:r>
      <w:r>
        <w:rPr>
          <w:color w:val="auto"/>
        </w:rPr>
        <w:t>4)</w:t>
      </w:r>
      <w:r>
        <w:rPr>
          <w:rFonts w:hint="eastAsia"/>
          <w:color w:val="auto"/>
        </w:rPr>
        <w:t>提出的成交候选人的名单及理由。</w:t>
      </w:r>
    </w:p>
    <w:p w14:paraId="76FA57F3">
      <w:pPr>
        <w:widowControl/>
        <w:tabs>
          <w:tab w:val="left" w:pos="540"/>
        </w:tabs>
        <w:spacing w:line="420" w:lineRule="exact"/>
        <w:ind w:firstLine="420" w:firstLineChars="200"/>
        <w:jc w:val="left"/>
        <w:rPr>
          <w:color w:val="auto"/>
          <w:szCs w:val="21"/>
        </w:rPr>
      </w:pPr>
      <w:r>
        <w:rPr>
          <w:rFonts w:hint="eastAsia"/>
          <w:color w:val="auto"/>
        </w:rPr>
        <w:t>　　2</w:t>
      </w:r>
      <w:r>
        <w:rPr>
          <w:color w:val="auto"/>
        </w:rPr>
        <w:t>.</w:t>
      </w:r>
      <w:r>
        <w:rPr>
          <w:rFonts w:hint="eastAsia"/>
          <w:color w:val="auto"/>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7A9F99EB">
      <w:pPr>
        <w:pStyle w:val="21"/>
        <w:spacing w:line="420" w:lineRule="exact"/>
        <w:ind w:firstLine="211" w:firstLineChars="100"/>
        <w:rPr>
          <w:rFonts w:hint="eastAsia" w:hAnsi="宋体"/>
          <w:color w:val="auto"/>
        </w:rPr>
      </w:pPr>
      <w:r>
        <w:rPr>
          <w:rFonts w:hint="eastAsia" w:hAnsi="宋体"/>
          <w:b/>
          <w:bCs/>
          <w:color w:val="auto"/>
        </w:rPr>
        <w:t>（十二）</w:t>
      </w:r>
      <w:r>
        <w:rPr>
          <w:rFonts w:hint="eastAsia" w:hAnsi="宋体"/>
          <w:b/>
          <w:color w:val="auto"/>
        </w:rPr>
        <w:t>出现下列情形之一的，本中心将终止竞争性谈判采购活动：</w:t>
      </w:r>
    </w:p>
    <w:p w14:paraId="41E03ED6">
      <w:pPr>
        <w:pStyle w:val="21"/>
        <w:spacing w:line="420" w:lineRule="exact"/>
        <w:ind w:firstLine="420" w:firstLineChars="200"/>
        <w:rPr>
          <w:rFonts w:hint="eastAsia" w:hAnsi="宋体"/>
          <w:color w:val="auto"/>
        </w:rPr>
      </w:pPr>
      <w:r>
        <w:rPr>
          <w:rFonts w:hint="eastAsia" w:hAnsi="宋体"/>
          <w:color w:val="auto"/>
        </w:rPr>
        <w:t>1</w:t>
      </w:r>
      <w:r>
        <w:rPr>
          <w:rFonts w:hAnsi="宋体"/>
          <w:color w:val="auto"/>
        </w:rPr>
        <w:t>.</w:t>
      </w:r>
      <w:r>
        <w:rPr>
          <w:rFonts w:hint="eastAsia" w:hAnsi="宋体"/>
          <w:color w:val="auto"/>
        </w:rPr>
        <w:t>因情况变化，不再符合规定的竞争性谈判采购方式适用情形的；</w:t>
      </w:r>
    </w:p>
    <w:p w14:paraId="4A3952AE">
      <w:pPr>
        <w:pStyle w:val="21"/>
        <w:spacing w:line="420" w:lineRule="exact"/>
        <w:ind w:firstLine="420" w:firstLineChars="200"/>
        <w:rPr>
          <w:rFonts w:hint="eastAsia" w:hAnsi="宋体"/>
          <w:color w:val="auto"/>
        </w:rPr>
      </w:pPr>
      <w:r>
        <w:rPr>
          <w:rFonts w:hint="eastAsia" w:hAnsi="宋体"/>
          <w:color w:val="auto"/>
        </w:rPr>
        <w:t>2</w:t>
      </w:r>
      <w:r>
        <w:rPr>
          <w:rFonts w:hAnsi="宋体"/>
          <w:color w:val="auto"/>
        </w:rPr>
        <w:t>.</w:t>
      </w:r>
      <w:r>
        <w:rPr>
          <w:rFonts w:hint="eastAsia" w:hAnsi="宋体"/>
          <w:color w:val="auto"/>
        </w:rPr>
        <w:t>出现影响采购公正的违法、违规行为的；</w:t>
      </w:r>
    </w:p>
    <w:p w14:paraId="56A91C50">
      <w:pPr>
        <w:pStyle w:val="21"/>
        <w:spacing w:line="420" w:lineRule="exact"/>
        <w:ind w:firstLine="420" w:firstLineChars="200"/>
        <w:rPr>
          <w:rFonts w:hint="eastAsia" w:hAnsi="宋体"/>
          <w:color w:val="auto"/>
        </w:rPr>
      </w:pPr>
      <w:r>
        <w:rPr>
          <w:rFonts w:hint="eastAsia" w:hAnsi="宋体"/>
          <w:color w:val="auto"/>
        </w:rPr>
        <w:t>3</w:t>
      </w:r>
      <w:r>
        <w:rPr>
          <w:rFonts w:hAnsi="宋体"/>
          <w:color w:val="auto"/>
        </w:rPr>
        <w:t>.</w:t>
      </w:r>
      <w:r>
        <w:rPr>
          <w:rFonts w:hint="eastAsia" w:hAnsi="宋体"/>
          <w:color w:val="auto"/>
        </w:rPr>
        <w:t>在采购过程中符合竞争要求的供应商或者报价未超过采购预算的供应商不足3家的。</w:t>
      </w:r>
    </w:p>
    <w:p w14:paraId="7BAABBD4">
      <w:pPr>
        <w:pStyle w:val="3"/>
        <w:spacing w:line="420" w:lineRule="exact"/>
        <w:rPr>
          <w:color w:val="auto"/>
        </w:rPr>
      </w:pPr>
      <w:r>
        <w:rPr>
          <w:rFonts w:hint="eastAsia"/>
          <w:color w:val="auto"/>
        </w:rPr>
        <w:t>六、确定成交供应商</w:t>
      </w:r>
    </w:p>
    <w:p w14:paraId="2C6FF657">
      <w:pPr>
        <w:pStyle w:val="21"/>
        <w:spacing w:line="420" w:lineRule="exact"/>
        <w:ind w:firstLine="420"/>
        <w:rPr>
          <w:rFonts w:hint="eastAsia" w:hAnsi="宋体"/>
          <w:color w:val="auto"/>
        </w:rPr>
      </w:pPr>
      <w:r>
        <w:rPr>
          <w:rFonts w:hint="eastAsia" w:hAnsi="宋体"/>
          <w:color w:val="auto"/>
        </w:rPr>
        <w:t>1</w:t>
      </w:r>
      <w:r>
        <w:rPr>
          <w:rFonts w:hAnsi="宋体"/>
          <w:color w:val="auto"/>
        </w:rPr>
        <w:t>.</w:t>
      </w:r>
      <w:r>
        <w:rPr>
          <w:rFonts w:hint="eastAsia" w:hAnsi="宋体"/>
          <w:color w:val="auto"/>
        </w:rPr>
        <w:t>本中心应当在评审结束后2个工作日内将评审报告送采购人确认。</w:t>
      </w:r>
    </w:p>
    <w:p w14:paraId="5FE19D5A">
      <w:pPr>
        <w:pStyle w:val="21"/>
        <w:spacing w:line="420" w:lineRule="exact"/>
        <w:ind w:firstLine="420"/>
        <w:rPr>
          <w:rFonts w:hint="eastAsia" w:hAnsi="宋体"/>
          <w:color w:val="auto"/>
        </w:rPr>
      </w:pPr>
      <w:r>
        <w:rPr>
          <w:rFonts w:hAnsi="宋体"/>
          <w:color w:val="auto"/>
        </w:rPr>
        <w:t>2.</w:t>
      </w:r>
      <w:r>
        <w:rPr>
          <w:rFonts w:hint="eastAsia" w:hAnsi="宋体"/>
          <w:color w:val="auto"/>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0837008">
      <w:pPr>
        <w:pStyle w:val="3"/>
        <w:spacing w:line="420" w:lineRule="exact"/>
        <w:rPr>
          <w:color w:val="auto"/>
        </w:rPr>
      </w:pPr>
      <w:r>
        <w:rPr>
          <w:rFonts w:hint="eastAsia"/>
          <w:color w:val="auto"/>
        </w:rPr>
        <w:t>七、结果公告</w:t>
      </w:r>
    </w:p>
    <w:p w14:paraId="62FEF6A1">
      <w:pPr>
        <w:pStyle w:val="21"/>
        <w:spacing w:line="420" w:lineRule="exact"/>
        <w:ind w:firstLine="420" w:firstLineChars="200"/>
        <w:rPr>
          <w:rFonts w:hint="eastAsia" w:hAnsi="宋体"/>
          <w:color w:val="auto"/>
        </w:rPr>
      </w:pPr>
      <w:r>
        <w:rPr>
          <w:rFonts w:hint="eastAsia" w:hAnsi="宋体"/>
          <w:color w:val="auto"/>
        </w:rPr>
        <w:t>本中心在成交供应商确定后2个工作日内，</w:t>
      </w:r>
      <w:r>
        <w:rPr>
          <w:rFonts w:hint="eastAsia"/>
          <w:color w:val="auto"/>
        </w:rPr>
        <w:t>在省级以上财政部门指定的媒体上公告</w:t>
      </w:r>
      <w:r>
        <w:rPr>
          <w:rFonts w:hint="eastAsia" w:hAnsi="宋体"/>
          <w:color w:val="auto"/>
        </w:rPr>
        <w:t>成交结果，同时向成交供应商发出成交通知书。</w:t>
      </w:r>
    </w:p>
    <w:p w14:paraId="09EC1934">
      <w:pPr>
        <w:pStyle w:val="3"/>
        <w:spacing w:line="420" w:lineRule="exact"/>
        <w:rPr>
          <w:color w:val="auto"/>
        </w:rPr>
      </w:pPr>
      <w:r>
        <w:rPr>
          <w:rFonts w:hint="eastAsia"/>
          <w:color w:val="auto"/>
        </w:rPr>
        <w:t>八、签订合同</w:t>
      </w:r>
    </w:p>
    <w:p w14:paraId="14022157">
      <w:pPr>
        <w:spacing w:line="420" w:lineRule="exact"/>
        <w:ind w:firstLine="210" w:firstLineChars="100"/>
        <w:rPr>
          <w:rFonts w:hint="eastAsia" w:ascii="宋体" w:hAnsi="宋体" w:cs="Courier New"/>
          <w:color w:val="auto"/>
          <w:szCs w:val="21"/>
        </w:rPr>
      </w:pPr>
      <w:r>
        <w:rPr>
          <w:rFonts w:hint="eastAsia" w:ascii="宋体" w:hAnsi="宋体"/>
          <w:color w:val="auto"/>
          <w:szCs w:val="21"/>
        </w:rPr>
        <w:t>（一）</w:t>
      </w:r>
      <w:r>
        <w:rPr>
          <w:rFonts w:hint="eastAsia" w:ascii="宋体" w:hAnsi="宋体" w:cs="Courier New"/>
          <w:color w:val="auto"/>
          <w:szCs w:val="21"/>
        </w:rPr>
        <w:t>采购人与成交供应商应当在成交通知书发出之日起</w:t>
      </w:r>
      <w:r>
        <w:rPr>
          <w:rFonts w:ascii="宋体" w:hAnsi="宋体" w:cs="Courier New"/>
          <w:color w:val="auto"/>
          <w:szCs w:val="21"/>
        </w:rPr>
        <w:t>15</w:t>
      </w:r>
      <w:r>
        <w:rPr>
          <w:rFonts w:hint="eastAsia" w:ascii="宋体" w:hAnsi="宋体" w:cs="Courier New"/>
          <w:color w:val="auto"/>
          <w:szCs w:val="21"/>
        </w:rPr>
        <w:t>日内，按照谈判文件确定的合同文本以及采购标的、规格型号、采购金额、采购数量、技术和服务要求等确定的事项签订政府采购合同。</w:t>
      </w:r>
    </w:p>
    <w:p w14:paraId="597EA9AA">
      <w:pPr>
        <w:widowControl/>
        <w:spacing w:line="420" w:lineRule="exact"/>
        <w:ind w:firstLine="210" w:firstLineChars="100"/>
        <w:jc w:val="left"/>
        <w:rPr>
          <w:rFonts w:hint="eastAsia" w:ascii="宋体" w:hAnsi="宋体" w:cs="宋体"/>
          <w:color w:val="auto"/>
          <w:kern w:val="0"/>
          <w:szCs w:val="21"/>
        </w:rPr>
      </w:pPr>
      <w:r>
        <w:rPr>
          <w:rFonts w:hint="eastAsia" w:ascii="宋体" w:hAnsi="宋体" w:cs="Courier New"/>
          <w:color w:val="auto"/>
          <w:szCs w:val="21"/>
        </w:rPr>
        <w:t>（二）</w:t>
      </w:r>
      <w:r>
        <w:rPr>
          <w:rFonts w:hint="eastAsia" w:ascii="宋体" w:hAnsi="宋体" w:cs="宋体"/>
          <w:color w:val="auto"/>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9FDC6F5">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（三）供应商可凭成交通知书或政府采购合同等在内的相关材料、信息，通过中征应收账款融资服务平台向银行业金融机构在线申请“政采贷”融资。</w:t>
      </w:r>
    </w:p>
    <w:p w14:paraId="55556C12">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（四）除不可抗力等因素外，成交通知书发出后，采购人改变成交结果，或者成交供应商拒绝签订政府采购合同的，应当承担相应的法律责任。</w:t>
      </w:r>
    </w:p>
    <w:p w14:paraId="7CDC971C">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（五）</w:t>
      </w:r>
      <w:r>
        <w:rPr>
          <w:rFonts w:ascii="Arial" w:hAnsi="Arial" w:cs="Arial"/>
          <w:color w:val="auto"/>
          <w:kern w:val="0"/>
          <w:szCs w:val="21"/>
        </w:rPr>
        <w:t>政府采购合同</w:t>
      </w:r>
      <w:r>
        <w:rPr>
          <w:rFonts w:hint="eastAsia" w:ascii="Arial" w:hAnsi="Arial" w:cs="Arial"/>
          <w:color w:val="auto"/>
          <w:kern w:val="0"/>
          <w:szCs w:val="21"/>
        </w:rPr>
        <w:t>适用《中华人民共和国民法典》</w:t>
      </w:r>
      <w:r>
        <w:rPr>
          <w:rFonts w:ascii="Arial" w:hAnsi="Arial" w:cs="Arial"/>
          <w:color w:val="auto"/>
          <w:kern w:val="0"/>
          <w:szCs w:val="21"/>
        </w:rPr>
        <w:t>。</w:t>
      </w:r>
    </w:p>
    <w:p w14:paraId="4BF749D9">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19C44AE9">
      <w:pPr>
        <w:pStyle w:val="3"/>
        <w:spacing w:line="420" w:lineRule="exact"/>
        <w:rPr>
          <w:color w:val="auto"/>
        </w:rPr>
      </w:pPr>
      <w:r>
        <w:rPr>
          <w:rFonts w:hint="eastAsia"/>
          <w:color w:val="auto"/>
        </w:rPr>
        <w:t>九、适用法律</w:t>
      </w:r>
    </w:p>
    <w:p w14:paraId="0D8A6587">
      <w:pPr>
        <w:spacing w:line="420" w:lineRule="exact"/>
        <w:ind w:firstLine="420" w:firstLineChars="200"/>
        <w:rPr>
          <w:rFonts w:hint="eastAsia" w:ascii="宋体" w:hAnsi="宋体"/>
          <w:color w:val="auto"/>
          <w:szCs w:val="21"/>
        </w:rPr>
      </w:pPr>
      <w:bookmarkStart w:id="107" w:name="_Hlk92794186"/>
      <w:r>
        <w:rPr>
          <w:rFonts w:hint="eastAsia" w:ascii="宋体" w:hAnsi="宋体"/>
          <w:color w:val="auto"/>
          <w:szCs w:val="21"/>
        </w:rPr>
        <w:t>本项目采购活动适用于《中华人民共和国政府采购法》及其实施条例、《政府采购非招标采购方式管理办法》等规定。</w:t>
      </w:r>
    </w:p>
    <w:bookmarkEnd w:id="107"/>
    <w:p w14:paraId="700297AC">
      <w:pPr>
        <w:pStyle w:val="3"/>
        <w:spacing w:line="420" w:lineRule="exact"/>
        <w:rPr>
          <w:color w:val="auto"/>
        </w:rPr>
      </w:pPr>
      <w:bookmarkStart w:id="108" w:name="_十、其他事项"/>
      <w:bookmarkEnd w:id="108"/>
      <w:r>
        <w:rPr>
          <w:rFonts w:hint="eastAsia"/>
          <w:color w:val="auto"/>
        </w:rPr>
        <w:t>十、其他事项</w:t>
      </w:r>
    </w:p>
    <w:p w14:paraId="663B0DB3">
      <w:pPr>
        <w:spacing w:line="420" w:lineRule="exact"/>
        <w:ind w:firstLine="210" w:firstLineChars="100"/>
        <w:rPr>
          <w:rFonts w:hint="eastAsia" w:hAnsi="宋体"/>
          <w:color w:val="auto"/>
        </w:rPr>
      </w:pPr>
      <w:r>
        <w:rPr>
          <w:rFonts w:hint="eastAsia" w:hAnsi="宋体"/>
          <w:color w:val="auto"/>
        </w:rPr>
        <w:t>（一）代理服务费</w:t>
      </w:r>
    </w:p>
    <w:p w14:paraId="254DD635">
      <w:pPr>
        <w:spacing w:line="420" w:lineRule="exact"/>
        <w:ind w:firstLine="420" w:firstLineChars="200"/>
        <w:rPr>
          <w:rFonts w:hint="eastAsia" w:hAnsi="宋体"/>
          <w:color w:val="auto"/>
        </w:rPr>
      </w:pPr>
      <w:r>
        <w:rPr>
          <w:rFonts w:hint="eastAsia" w:hAnsi="宋体"/>
          <w:color w:val="auto"/>
        </w:rPr>
        <w:t>1</w:t>
      </w:r>
      <w:r>
        <w:rPr>
          <w:rFonts w:hAnsi="宋体"/>
          <w:color w:val="auto"/>
        </w:rPr>
        <w:t>.</w:t>
      </w:r>
      <w:r>
        <w:rPr>
          <w:rFonts w:hint="eastAsia" w:hAnsi="宋体"/>
          <w:color w:val="auto"/>
        </w:rPr>
        <w:t>本中心按钦州市物价局“钦市价费﹝2013﹞4号”文件规定向成交供应商收取代理服务费，成交供应商须向本中心一次付清代理服务费。</w:t>
      </w:r>
    </w:p>
    <w:p w14:paraId="2FEB3825">
      <w:pPr>
        <w:spacing w:line="420" w:lineRule="exact"/>
        <w:ind w:firstLine="420" w:firstLineChars="200"/>
        <w:rPr>
          <w:rFonts w:hint="eastAsia" w:hAnsi="宋体"/>
          <w:bCs/>
          <w:color w:val="auto"/>
        </w:rPr>
      </w:pPr>
      <w:r>
        <w:rPr>
          <w:rFonts w:hint="eastAsia" w:hAnsi="宋体"/>
          <w:color w:val="auto"/>
        </w:rPr>
        <w:t>2</w:t>
      </w:r>
      <w:r>
        <w:rPr>
          <w:rFonts w:hAnsi="宋体"/>
          <w:color w:val="auto"/>
        </w:rPr>
        <w:t>.</w:t>
      </w:r>
      <w:r>
        <w:rPr>
          <w:rFonts w:hint="eastAsia" w:hAnsi="宋体"/>
          <w:bCs/>
          <w:color w:val="auto"/>
        </w:rPr>
        <w:t>代理服务收费标准：</w:t>
      </w:r>
    </w:p>
    <w:p w14:paraId="6D68D9DC">
      <w:pPr>
        <w:spacing w:line="420" w:lineRule="exact"/>
        <w:ind w:firstLine="420" w:firstLineChars="200"/>
        <w:rPr>
          <w:rFonts w:hint="eastAsia" w:hAnsi="宋体"/>
          <w:bCs/>
          <w:color w:val="auto"/>
        </w:rPr>
      </w:pPr>
    </w:p>
    <w:p w14:paraId="7DEE0177">
      <w:pPr>
        <w:pStyle w:val="17"/>
        <w:rPr>
          <w:rFonts w:hint="eastAsia" w:hAnsi="宋体"/>
          <w:bCs/>
          <w:color w:val="auto"/>
        </w:rPr>
      </w:pPr>
    </w:p>
    <w:p w14:paraId="42654203">
      <w:pPr>
        <w:rPr>
          <w:rFonts w:hint="eastAsia" w:hAnsi="宋体"/>
          <w:bCs/>
          <w:color w:val="auto"/>
        </w:rPr>
      </w:pPr>
    </w:p>
    <w:p w14:paraId="6D0F26C0">
      <w:pPr>
        <w:pStyle w:val="17"/>
        <w:rPr>
          <w:rFonts w:hint="eastAsia"/>
          <w:color w:val="auto"/>
        </w:rPr>
      </w:pPr>
    </w:p>
    <w:tbl>
      <w:tblPr>
        <w:tblStyle w:val="3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1838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04504098">
            <w:pPr>
              <w:spacing w:line="330" w:lineRule="exact"/>
              <w:ind w:firstLine="2310" w:firstLineChars="1100"/>
              <w:rPr>
                <w:rFonts w:hint="eastAsia" w:hAnsi="宋体"/>
                <w:color w:val="auto"/>
              </w:rPr>
            </w:pPr>
            <w:r>
              <w:rPr>
                <w:rFonts w:hAnsi="宋体"/>
                <w:color w:val="auto"/>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rPr>
              <w:t>采购类型</w:t>
            </w:r>
          </w:p>
          <w:p w14:paraId="2A5D22C8">
            <w:pPr>
              <w:spacing w:line="330" w:lineRule="exact"/>
              <w:rPr>
                <w:rFonts w:hint="eastAsia" w:hAnsi="宋体"/>
                <w:color w:val="auto"/>
              </w:rPr>
            </w:pPr>
          </w:p>
          <w:p w14:paraId="5875D28B">
            <w:pPr>
              <w:spacing w:line="330" w:lineRule="exact"/>
              <w:ind w:firstLine="1575" w:firstLineChars="750"/>
              <w:jc w:val="left"/>
              <w:rPr>
                <w:rFonts w:hint="eastAsia" w:hAnsi="宋体"/>
                <w:color w:val="auto"/>
              </w:rPr>
            </w:pPr>
            <w:r>
              <w:rPr>
                <w:rFonts w:hint="eastAsia" w:hAnsi="宋体"/>
                <w:color w:val="auto"/>
              </w:rPr>
              <w:t>费率</w:t>
            </w:r>
          </w:p>
          <w:p w14:paraId="27FDD3FD">
            <w:pPr>
              <w:spacing w:line="330" w:lineRule="exact"/>
              <w:ind w:leftChars="-1" w:hanging="2" w:hangingChars="1"/>
              <w:jc w:val="left"/>
              <w:rPr>
                <w:rFonts w:hint="eastAsia" w:hAnsi="宋体"/>
                <w:color w:val="auto"/>
              </w:rPr>
            </w:pPr>
          </w:p>
          <w:p w14:paraId="3621B06C">
            <w:pPr>
              <w:spacing w:line="330" w:lineRule="exact"/>
              <w:ind w:leftChars="-1" w:hanging="2" w:hangingChars="1"/>
              <w:jc w:val="left"/>
              <w:rPr>
                <w:rFonts w:hint="eastAsia" w:hAnsi="宋体"/>
                <w:color w:val="auto"/>
              </w:rPr>
            </w:pPr>
          </w:p>
          <w:p w14:paraId="02279F1E">
            <w:pPr>
              <w:spacing w:line="330" w:lineRule="exact"/>
              <w:jc w:val="left"/>
              <w:rPr>
                <w:rFonts w:hint="eastAsia" w:hAnsi="宋体"/>
                <w:color w:val="auto"/>
              </w:rPr>
            </w:pPr>
            <w:r>
              <w:rPr>
                <w:rFonts w:hint="eastAsia" w:hAnsi="宋体"/>
                <w:color w:val="auto"/>
              </w:rPr>
              <w:t>成交金额（万元）</w:t>
            </w:r>
          </w:p>
        </w:tc>
        <w:tc>
          <w:tcPr>
            <w:tcW w:w="5708" w:type="dxa"/>
            <w:gridSpan w:val="3"/>
            <w:vAlign w:val="center"/>
          </w:tcPr>
          <w:p w14:paraId="4A237B96">
            <w:pPr>
              <w:spacing w:line="330" w:lineRule="exact"/>
              <w:rPr>
                <w:rFonts w:hint="eastAsia" w:hAnsi="宋体"/>
                <w:color w:val="auto"/>
              </w:rPr>
            </w:pPr>
            <w:r>
              <w:rPr>
                <w:rFonts w:hint="eastAsia" w:hAnsi="宋体"/>
                <w:color w:val="auto"/>
              </w:rPr>
              <w:t>公开招标、邀请招标、竞争性谈判方式采购代理</w:t>
            </w:r>
          </w:p>
        </w:tc>
      </w:tr>
      <w:tr w14:paraId="4BA8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4E0052DF">
            <w:pPr>
              <w:spacing w:line="330" w:lineRule="exact"/>
              <w:ind w:firstLine="2620" w:firstLineChars="1248"/>
              <w:rPr>
                <w:rFonts w:hint="eastAsia" w:hAnsi="宋体"/>
                <w:color w:val="auto"/>
              </w:rPr>
            </w:pPr>
          </w:p>
        </w:tc>
        <w:tc>
          <w:tcPr>
            <w:tcW w:w="1932" w:type="dxa"/>
            <w:vAlign w:val="center"/>
          </w:tcPr>
          <w:p w14:paraId="282C76B3">
            <w:pPr>
              <w:spacing w:line="330" w:lineRule="exact"/>
              <w:jc w:val="center"/>
              <w:rPr>
                <w:rFonts w:hint="eastAsia" w:hAnsi="宋体"/>
                <w:color w:val="auto"/>
              </w:rPr>
            </w:pPr>
            <w:r>
              <w:rPr>
                <w:rFonts w:hint="eastAsia" w:hAnsi="宋体"/>
                <w:color w:val="auto"/>
              </w:rPr>
              <w:t>货物类</w:t>
            </w:r>
          </w:p>
        </w:tc>
        <w:tc>
          <w:tcPr>
            <w:tcW w:w="1800" w:type="dxa"/>
            <w:vAlign w:val="center"/>
          </w:tcPr>
          <w:p w14:paraId="384B7167">
            <w:pPr>
              <w:spacing w:line="330" w:lineRule="exact"/>
              <w:jc w:val="center"/>
              <w:rPr>
                <w:rFonts w:hint="eastAsia" w:hAnsi="宋体"/>
                <w:color w:val="auto"/>
              </w:rPr>
            </w:pPr>
            <w:r>
              <w:rPr>
                <w:rFonts w:hint="eastAsia" w:hAnsi="宋体"/>
                <w:color w:val="auto"/>
              </w:rPr>
              <w:t>服务类</w:t>
            </w:r>
          </w:p>
        </w:tc>
        <w:tc>
          <w:tcPr>
            <w:tcW w:w="1976" w:type="dxa"/>
            <w:vAlign w:val="center"/>
          </w:tcPr>
          <w:p w14:paraId="20C61B00">
            <w:pPr>
              <w:widowControl/>
              <w:spacing w:line="330" w:lineRule="exact"/>
              <w:jc w:val="center"/>
              <w:rPr>
                <w:rFonts w:hint="eastAsia" w:hAnsi="宋体"/>
                <w:color w:val="auto"/>
              </w:rPr>
            </w:pPr>
            <w:r>
              <w:rPr>
                <w:rFonts w:hint="eastAsia" w:hAnsi="宋体"/>
                <w:color w:val="auto"/>
              </w:rPr>
              <w:t>工程类</w:t>
            </w:r>
          </w:p>
        </w:tc>
      </w:tr>
      <w:tr w14:paraId="1817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591C91A9">
            <w:pPr>
              <w:spacing w:line="330" w:lineRule="exact"/>
              <w:jc w:val="center"/>
              <w:rPr>
                <w:rFonts w:hint="eastAsia" w:hAnsi="宋体"/>
                <w:color w:val="auto"/>
              </w:rPr>
            </w:pPr>
            <w:r>
              <w:rPr>
                <w:rFonts w:hint="eastAsia" w:hAnsi="宋体"/>
                <w:color w:val="auto"/>
              </w:rPr>
              <w:t>100以下</w:t>
            </w:r>
          </w:p>
        </w:tc>
        <w:tc>
          <w:tcPr>
            <w:tcW w:w="1932" w:type="dxa"/>
            <w:vAlign w:val="center"/>
          </w:tcPr>
          <w:p w14:paraId="4C5CB4E8">
            <w:pPr>
              <w:spacing w:line="330" w:lineRule="exact"/>
              <w:jc w:val="center"/>
              <w:rPr>
                <w:rFonts w:hint="eastAsia" w:hAnsi="宋体"/>
                <w:color w:val="auto"/>
              </w:rPr>
            </w:pPr>
            <w:r>
              <w:rPr>
                <w:rFonts w:hint="eastAsia" w:hAnsi="宋体"/>
                <w:color w:val="auto"/>
              </w:rPr>
              <w:t>1.2%</w:t>
            </w:r>
          </w:p>
        </w:tc>
        <w:tc>
          <w:tcPr>
            <w:tcW w:w="1800" w:type="dxa"/>
            <w:vAlign w:val="center"/>
          </w:tcPr>
          <w:p w14:paraId="4699294F">
            <w:pPr>
              <w:spacing w:line="330" w:lineRule="exact"/>
              <w:jc w:val="center"/>
              <w:rPr>
                <w:rFonts w:hint="eastAsia" w:hAnsi="宋体"/>
                <w:color w:val="auto"/>
              </w:rPr>
            </w:pPr>
            <w:r>
              <w:rPr>
                <w:rFonts w:hint="eastAsia" w:hAnsi="宋体"/>
                <w:color w:val="auto"/>
              </w:rPr>
              <w:t>1.2%</w:t>
            </w:r>
          </w:p>
        </w:tc>
        <w:tc>
          <w:tcPr>
            <w:tcW w:w="1976" w:type="dxa"/>
            <w:vAlign w:val="center"/>
          </w:tcPr>
          <w:p w14:paraId="095C7AF8">
            <w:pPr>
              <w:spacing w:line="330" w:lineRule="exact"/>
              <w:jc w:val="center"/>
              <w:rPr>
                <w:rFonts w:hint="eastAsia" w:hAnsi="宋体"/>
                <w:color w:val="auto"/>
              </w:rPr>
            </w:pPr>
            <w:r>
              <w:rPr>
                <w:rFonts w:hint="eastAsia" w:hAnsi="宋体"/>
                <w:color w:val="auto"/>
              </w:rPr>
              <w:t>0.8%</w:t>
            </w:r>
          </w:p>
        </w:tc>
      </w:tr>
      <w:tr w14:paraId="245D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26698127">
            <w:pPr>
              <w:spacing w:line="330" w:lineRule="exact"/>
              <w:jc w:val="center"/>
              <w:rPr>
                <w:rFonts w:hint="eastAsia" w:hAnsi="宋体"/>
                <w:color w:val="auto"/>
              </w:rPr>
            </w:pPr>
            <w:r>
              <w:rPr>
                <w:rFonts w:hint="eastAsia" w:hAnsi="宋体"/>
                <w:color w:val="auto"/>
              </w:rPr>
              <w:t>100-500</w:t>
            </w:r>
          </w:p>
        </w:tc>
        <w:tc>
          <w:tcPr>
            <w:tcW w:w="1932" w:type="dxa"/>
            <w:vAlign w:val="center"/>
          </w:tcPr>
          <w:p w14:paraId="44ED8D9B">
            <w:pPr>
              <w:spacing w:line="330" w:lineRule="exact"/>
              <w:jc w:val="center"/>
              <w:rPr>
                <w:rFonts w:hint="eastAsia" w:hAnsi="宋体"/>
                <w:color w:val="auto"/>
              </w:rPr>
            </w:pPr>
            <w:r>
              <w:rPr>
                <w:rFonts w:hint="eastAsia" w:hAnsi="宋体"/>
                <w:color w:val="auto"/>
              </w:rPr>
              <w:t>0.88%</w:t>
            </w:r>
          </w:p>
        </w:tc>
        <w:tc>
          <w:tcPr>
            <w:tcW w:w="1800" w:type="dxa"/>
            <w:vAlign w:val="center"/>
          </w:tcPr>
          <w:p w14:paraId="4238A6B9">
            <w:pPr>
              <w:spacing w:line="330" w:lineRule="exact"/>
              <w:jc w:val="center"/>
              <w:rPr>
                <w:rFonts w:hint="eastAsia" w:hAnsi="宋体"/>
                <w:color w:val="auto"/>
              </w:rPr>
            </w:pPr>
            <w:r>
              <w:rPr>
                <w:rFonts w:hint="eastAsia" w:hAnsi="宋体"/>
                <w:color w:val="auto"/>
              </w:rPr>
              <w:t>0.64%</w:t>
            </w:r>
          </w:p>
        </w:tc>
        <w:tc>
          <w:tcPr>
            <w:tcW w:w="1976" w:type="dxa"/>
            <w:vAlign w:val="center"/>
          </w:tcPr>
          <w:p w14:paraId="017B9A0B">
            <w:pPr>
              <w:spacing w:line="330" w:lineRule="exact"/>
              <w:jc w:val="center"/>
              <w:rPr>
                <w:rFonts w:hint="eastAsia" w:hAnsi="宋体"/>
                <w:color w:val="auto"/>
              </w:rPr>
            </w:pPr>
            <w:r>
              <w:rPr>
                <w:rFonts w:hint="eastAsia" w:hAnsi="宋体"/>
                <w:color w:val="auto"/>
              </w:rPr>
              <w:t>0.56%</w:t>
            </w:r>
          </w:p>
        </w:tc>
      </w:tr>
      <w:tr w14:paraId="75A0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2DB14CC5">
            <w:pPr>
              <w:spacing w:line="330" w:lineRule="exact"/>
              <w:jc w:val="center"/>
              <w:rPr>
                <w:rFonts w:hint="eastAsia" w:hAnsi="宋体"/>
                <w:color w:val="auto"/>
              </w:rPr>
            </w:pPr>
            <w:r>
              <w:rPr>
                <w:rFonts w:hint="eastAsia" w:hAnsi="宋体"/>
                <w:color w:val="auto"/>
              </w:rPr>
              <w:t>500-1000</w:t>
            </w:r>
          </w:p>
        </w:tc>
        <w:tc>
          <w:tcPr>
            <w:tcW w:w="1932" w:type="dxa"/>
            <w:vAlign w:val="center"/>
          </w:tcPr>
          <w:p w14:paraId="756BDF9F">
            <w:pPr>
              <w:spacing w:line="330" w:lineRule="exact"/>
              <w:jc w:val="center"/>
              <w:rPr>
                <w:rFonts w:hint="eastAsia" w:hAnsi="宋体"/>
                <w:color w:val="auto"/>
              </w:rPr>
            </w:pPr>
            <w:r>
              <w:rPr>
                <w:rFonts w:hint="eastAsia" w:hAnsi="宋体"/>
                <w:color w:val="auto"/>
              </w:rPr>
              <w:t>0.64%</w:t>
            </w:r>
          </w:p>
        </w:tc>
        <w:tc>
          <w:tcPr>
            <w:tcW w:w="1800" w:type="dxa"/>
            <w:vAlign w:val="center"/>
          </w:tcPr>
          <w:p w14:paraId="0049DCF9">
            <w:pPr>
              <w:spacing w:line="330" w:lineRule="exact"/>
              <w:jc w:val="center"/>
              <w:rPr>
                <w:rFonts w:hint="eastAsia" w:hAnsi="宋体"/>
                <w:color w:val="auto"/>
              </w:rPr>
            </w:pPr>
            <w:r>
              <w:rPr>
                <w:rFonts w:hint="eastAsia" w:hAnsi="宋体"/>
                <w:color w:val="auto"/>
              </w:rPr>
              <w:t>0.36%</w:t>
            </w:r>
          </w:p>
        </w:tc>
        <w:tc>
          <w:tcPr>
            <w:tcW w:w="1976" w:type="dxa"/>
            <w:vAlign w:val="center"/>
          </w:tcPr>
          <w:p w14:paraId="015DA87F">
            <w:pPr>
              <w:spacing w:line="330" w:lineRule="exact"/>
              <w:jc w:val="center"/>
              <w:rPr>
                <w:rFonts w:hint="eastAsia" w:hAnsi="宋体"/>
                <w:color w:val="auto"/>
              </w:rPr>
            </w:pPr>
            <w:r>
              <w:rPr>
                <w:rFonts w:hint="eastAsia" w:hAnsi="宋体"/>
                <w:color w:val="auto"/>
              </w:rPr>
              <w:t>0.44%</w:t>
            </w:r>
          </w:p>
        </w:tc>
      </w:tr>
      <w:tr w14:paraId="4AA5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37EEEB4F">
            <w:pPr>
              <w:spacing w:line="330" w:lineRule="exact"/>
              <w:jc w:val="center"/>
              <w:rPr>
                <w:rFonts w:hint="eastAsia" w:hAnsi="宋体"/>
                <w:color w:val="auto"/>
              </w:rPr>
            </w:pPr>
            <w:r>
              <w:rPr>
                <w:rFonts w:hint="eastAsia" w:hAnsi="宋体"/>
                <w:color w:val="auto"/>
              </w:rPr>
              <w:t>1000-5000</w:t>
            </w:r>
          </w:p>
        </w:tc>
        <w:tc>
          <w:tcPr>
            <w:tcW w:w="1932" w:type="dxa"/>
            <w:vAlign w:val="center"/>
          </w:tcPr>
          <w:p w14:paraId="0466730C">
            <w:pPr>
              <w:spacing w:line="330" w:lineRule="exact"/>
              <w:jc w:val="center"/>
              <w:rPr>
                <w:rFonts w:hint="eastAsia" w:hAnsi="宋体"/>
                <w:color w:val="auto"/>
              </w:rPr>
            </w:pPr>
            <w:r>
              <w:rPr>
                <w:rFonts w:hint="eastAsia" w:hAnsi="宋体"/>
                <w:color w:val="auto"/>
              </w:rPr>
              <w:t>0.4%</w:t>
            </w:r>
          </w:p>
        </w:tc>
        <w:tc>
          <w:tcPr>
            <w:tcW w:w="1800" w:type="dxa"/>
            <w:vAlign w:val="center"/>
          </w:tcPr>
          <w:p w14:paraId="4893A4EC">
            <w:pPr>
              <w:spacing w:line="330" w:lineRule="exact"/>
              <w:jc w:val="center"/>
              <w:rPr>
                <w:rFonts w:hint="eastAsia" w:hAnsi="宋体"/>
                <w:color w:val="auto"/>
              </w:rPr>
            </w:pPr>
            <w:r>
              <w:rPr>
                <w:rFonts w:hint="eastAsia" w:hAnsi="宋体"/>
                <w:color w:val="auto"/>
              </w:rPr>
              <w:t>0.2%</w:t>
            </w:r>
          </w:p>
        </w:tc>
        <w:tc>
          <w:tcPr>
            <w:tcW w:w="1976" w:type="dxa"/>
            <w:vAlign w:val="center"/>
          </w:tcPr>
          <w:p w14:paraId="12463289">
            <w:pPr>
              <w:spacing w:line="330" w:lineRule="exact"/>
              <w:jc w:val="center"/>
              <w:rPr>
                <w:rFonts w:hint="eastAsia" w:hAnsi="宋体"/>
                <w:color w:val="auto"/>
              </w:rPr>
            </w:pPr>
            <w:r>
              <w:rPr>
                <w:rFonts w:hint="eastAsia" w:hAnsi="宋体"/>
                <w:color w:val="auto"/>
              </w:rPr>
              <w:t>0.28%</w:t>
            </w:r>
          </w:p>
        </w:tc>
      </w:tr>
      <w:tr w14:paraId="2FAB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6B921E9A">
            <w:pPr>
              <w:spacing w:line="330" w:lineRule="exact"/>
              <w:jc w:val="center"/>
              <w:rPr>
                <w:rFonts w:hint="eastAsia" w:hAnsi="宋体"/>
                <w:color w:val="auto"/>
              </w:rPr>
            </w:pPr>
            <w:r>
              <w:rPr>
                <w:rFonts w:hint="eastAsia" w:hAnsi="宋体"/>
                <w:color w:val="auto"/>
              </w:rPr>
              <w:t>5000-10000</w:t>
            </w:r>
          </w:p>
        </w:tc>
        <w:tc>
          <w:tcPr>
            <w:tcW w:w="1932" w:type="dxa"/>
            <w:vAlign w:val="center"/>
          </w:tcPr>
          <w:p w14:paraId="5E3CB798">
            <w:pPr>
              <w:spacing w:line="330" w:lineRule="exact"/>
              <w:jc w:val="center"/>
              <w:rPr>
                <w:rFonts w:hint="eastAsia" w:hAnsi="宋体"/>
                <w:color w:val="auto"/>
              </w:rPr>
            </w:pPr>
            <w:r>
              <w:rPr>
                <w:rFonts w:hint="eastAsia" w:hAnsi="宋体"/>
                <w:color w:val="auto"/>
              </w:rPr>
              <w:t>0.2%</w:t>
            </w:r>
          </w:p>
        </w:tc>
        <w:tc>
          <w:tcPr>
            <w:tcW w:w="1800" w:type="dxa"/>
            <w:vAlign w:val="center"/>
          </w:tcPr>
          <w:p w14:paraId="671CCF56">
            <w:pPr>
              <w:spacing w:line="330" w:lineRule="exact"/>
              <w:jc w:val="center"/>
              <w:rPr>
                <w:rFonts w:hint="eastAsia" w:hAnsi="宋体"/>
                <w:color w:val="auto"/>
              </w:rPr>
            </w:pPr>
            <w:r>
              <w:rPr>
                <w:rFonts w:hint="eastAsia" w:hAnsi="宋体"/>
                <w:color w:val="auto"/>
              </w:rPr>
              <w:t>0.08%</w:t>
            </w:r>
          </w:p>
        </w:tc>
        <w:tc>
          <w:tcPr>
            <w:tcW w:w="1976" w:type="dxa"/>
            <w:vAlign w:val="center"/>
          </w:tcPr>
          <w:p w14:paraId="2AC474CF">
            <w:pPr>
              <w:spacing w:line="330" w:lineRule="exact"/>
              <w:jc w:val="center"/>
              <w:rPr>
                <w:rFonts w:hint="eastAsia" w:hAnsi="宋体"/>
                <w:color w:val="auto"/>
              </w:rPr>
            </w:pPr>
            <w:r>
              <w:rPr>
                <w:rFonts w:hint="eastAsia" w:hAnsi="宋体"/>
                <w:color w:val="auto"/>
              </w:rPr>
              <w:t>0.16%</w:t>
            </w:r>
          </w:p>
        </w:tc>
      </w:tr>
      <w:tr w14:paraId="11EC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1F64F8F8">
            <w:pPr>
              <w:spacing w:line="330" w:lineRule="exact"/>
              <w:jc w:val="center"/>
              <w:rPr>
                <w:rFonts w:hint="eastAsia" w:hAnsi="宋体"/>
                <w:color w:val="auto"/>
              </w:rPr>
            </w:pPr>
            <w:r>
              <w:rPr>
                <w:rFonts w:hint="eastAsia" w:hAnsi="宋体"/>
                <w:color w:val="auto"/>
              </w:rPr>
              <w:t>10000-100000</w:t>
            </w:r>
          </w:p>
        </w:tc>
        <w:tc>
          <w:tcPr>
            <w:tcW w:w="1932" w:type="dxa"/>
            <w:vAlign w:val="center"/>
          </w:tcPr>
          <w:p w14:paraId="7E87E62F">
            <w:pPr>
              <w:spacing w:line="330" w:lineRule="exact"/>
              <w:jc w:val="center"/>
              <w:rPr>
                <w:rFonts w:hint="eastAsia" w:hAnsi="宋体"/>
                <w:color w:val="auto"/>
              </w:rPr>
            </w:pPr>
            <w:r>
              <w:rPr>
                <w:rFonts w:hint="eastAsia" w:hAnsi="宋体"/>
                <w:color w:val="auto"/>
              </w:rPr>
              <w:t>0.04%</w:t>
            </w:r>
          </w:p>
        </w:tc>
        <w:tc>
          <w:tcPr>
            <w:tcW w:w="1800" w:type="dxa"/>
            <w:vAlign w:val="center"/>
          </w:tcPr>
          <w:p w14:paraId="1E2D5D8C">
            <w:pPr>
              <w:spacing w:line="330" w:lineRule="exact"/>
              <w:jc w:val="center"/>
              <w:rPr>
                <w:rFonts w:hint="eastAsia" w:hAnsi="宋体"/>
                <w:color w:val="auto"/>
              </w:rPr>
            </w:pPr>
            <w:r>
              <w:rPr>
                <w:rFonts w:hint="eastAsia" w:hAnsi="宋体"/>
                <w:color w:val="auto"/>
              </w:rPr>
              <w:t>0.04%</w:t>
            </w:r>
          </w:p>
        </w:tc>
        <w:tc>
          <w:tcPr>
            <w:tcW w:w="1976" w:type="dxa"/>
            <w:vAlign w:val="center"/>
          </w:tcPr>
          <w:p w14:paraId="746544B5">
            <w:pPr>
              <w:spacing w:line="330" w:lineRule="exact"/>
              <w:jc w:val="center"/>
              <w:rPr>
                <w:rFonts w:hint="eastAsia" w:hAnsi="宋体"/>
                <w:color w:val="auto"/>
              </w:rPr>
            </w:pPr>
            <w:r>
              <w:rPr>
                <w:rFonts w:hint="eastAsia" w:hAnsi="宋体"/>
                <w:color w:val="auto"/>
              </w:rPr>
              <w:t>0.04%</w:t>
            </w:r>
          </w:p>
        </w:tc>
      </w:tr>
      <w:tr w14:paraId="63C2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740AFAFC">
            <w:pPr>
              <w:spacing w:line="330" w:lineRule="exact"/>
              <w:jc w:val="center"/>
              <w:rPr>
                <w:rFonts w:hint="eastAsia" w:hAnsi="宋体"/>
                <w:color w:val="auto"/>
              </w:rPr>
            </w:pPr>
            <w:r>
              <w:rPr>
                <w:rFonts w:hint="eastAsia" w:hAnsi="宋体"/>
                <w:color w:val="auto"/>
              </w:rPr>
              <w:t>100000以上</w:t>
            </w:r>
          </w:p>
        </w:tc>
        <w:tc>
          <w:tcPr>
            <w:tcW w:w="1932" w:type="dxa"/>
            <w:vAlign w:val="center"/>
          </w:tcPr>
          <w:p w14:paraId="28AD3475">
            <w:pPr>
              <w:spacing w:line="330" w:lineRule="exact"/>
              <w:jc w:val="center"/>
              <w:rPr>
                <w:rFonts w:hint="eastAsia" w:hAnsi="宋体"/>
                <w:color w:val="auto"/>
              </w:rPr>
            </w:pPr>
            <w:r>
              <w:rPr>
                <w:rFonts w:hint="eastAsia" w:hAnsi="宋体"/>
                <w:color w:val="auto"/>
              </w:rPr>
              <w:t>0.008%</w:t>
            </w:r>
          </w:p>
        </w:tc>
        <w:tc>
          <w:tcPr>
            <w:tcW w:w="1800" w:type="dxa"/>
            <w:vAlign w:val="center"/>
          </w:tcPr>
          <w:p w14:paraId="3E8AD101">
            <w:pPr>
              <w:spacing w:line="330" w:lineRule="exact"/>
              <w:jc w:val="center"/>
              <w:rPr>
                <w:rFonts w:hint="eastAsia" w:hAnsi="宋体"/>
                <w:color w:val="auto"/>
              </w:rPr>
            </w:pPr>
            <w:r>
              <w:rPr>
                <w:rFonts w:hint="eastAsia" w:hAnsi="宋体"/>
                <w:color w:val="auto"/>
              </w:rPr>
              <w:t>0.008%</w:t>
            </w:r>
          </w:p>
        </w:tc>
        <w:tc>
          <w:tcPr>
            <w:tcW w:w="1976" w:type="dxa"/>
            <w:vAlign w:val="center"/>
          </w:tcPr>
          <w:p w14:paraId="11E60A43">
            <w:pPr>
              <w:spacing w:line="330" w:lineRule="exact"/>
              <w:jc w:val="center"/>
              <w:rPr>
                <w:rFonts w:hint="eastAsia" w:hAnsi="宋体"/>
                <w:color w:val="auto"/>
              </w:rPr>
            </w:pPr>
            <w:r>
              <w:rPr>
                <w:rFonts w:hint="eastAsia" w:hAnsi="宋体"/>
                <w:color w:val="auto"/>
              </w:rPr>
              <w:t>0.008%</w:t>
            </w:r>
          </w:p>
        </w:tc>
      </w:tr>
    </w:tbl>
    <w:p w14:paraId="613B7EB5">
      <w:pPr>
        <w:pStyle w:val="21"/>
        <w:spacing w:line="400" w:lineRule="exact"/>
        <w:ind w:firstLine="420" w:firstLineChars="200"/>
        <w:rPr>
          <w:rFonts w:hint="eastAsia" w:hAnsi="宋体"/>
          <w:color w:val="auto"/>
        </w:rPr>
      </w:pPr>
      <w:r>
        <w:rPr>
          <w:rFonts w:hint="eastAsia" w:hAnsi="宋体"/>
          <w:color w:val="auto"/>
        </w:rPr>
        <w:t>注：代理服务收费按差额定率累进法计算</w:t>
      </w:r>
    </w:p>
    <w:p w14:paraId="16304A5F">
      <w:pPr>
        <w:pStyle w:val="21"/>
        <w:spacing w:line="400" w:lineRule="exact"/>
        <w:ind w:firstLine="420" w:firstLineChars="200"/>
        <w:rPr>
          <w:rFonts w:hint="eastAsia" w:hAnsi="宋体"/>
          <w:bCs/>
          <w:color w:val="auto"/>
        </w:rPr>
      </w:pPr>
      <w:r>
        <w:rPr>
          <w:rFonts w:hint="eastAsia" w:hAnsi="宋体"/>
          <w:bCs/>
          <w:color w:val="auto"/>
        </w:rPr>
        <w:t>3.缴纳代理服务费银行账户信息：</w:t>
      </w:r>
    </w:p>
    <w:p w14:paraId="19DB7077">
      <w:pPr>
        <w:pStyle w:val="21"/>
        <w:spacing w:line="400" w:lineRule="exact"/>
        <w:ind w:firstLine="420" w:firstLineChars="200"/>
        <w:rPr>
          <w:rFonts w:hint="eastAsia" w:hAnsi="宋体"/>
          <w:bCs/>
          <w:color w:val="auto"/>
        </w:rPr>
      </w:pPr>
      <w:r>
        <w:rPr>
          <w:rFonts w:hint="eastAsia" w:hAnsi="宋体"/>
          <w:bCs/>
          <w:color w:val="auto"/>
        </w:rPr>
        <w:t>开户名称:钦州市政府采购中心</w:t>
      </w:r>
    </w:p>
    <w:p w14:paraId="6C1950AC">
      <w:pPr>
        <w:pStyle w:val="21"/>
        <w:spacing w:line="400" w:lineRule="exact"/>
        <w:ind w:firstLine="420" w:firstLineChars="200"/>
        <w:rPr>
          <w:rFonts w:hint="eastAsia" w:hAnsi="宋体"/>
          <w:bCs/>
          <w:color w:val="auto"/>
        </w:rPr>
      </w:pPr>
      <w:r>
        <w:rPr>
          <w:rFonts w:hint="eastAsia" w:hAnsi="宋体"/>
          <w:bCs/>
          <w:color w:val="auto"/>
        </w:rPr>
        <w:t>开户银行:兴业银行钦州支行</w:t>
      </w:r>
    </w:p>
    <w:p w14:paraId="56A27D8A">
      <w:pPr>
        <w:pStyle w:val="21"/>
        <w:spacing w:line="400" w:lineRule="exact"/>
        <w:ind w:firstLine="420" w:firstLineChars="200"/>
        <w:rPr>
          <w:rFonts w:hint="eastAsia" w:hAnsi="宋体"/>
          <w:color w:val="auto"/>
        </w:rPr>
      </w:pPr>
      <w:r>
        <w:rPr>
          <w:rFonts w:hint="eastAsia" w:hAnsi="宋体"/>
          <w:bCs/>
          <w:color w:val="auto"/>
        </w:rPr>
        <w:t>银行账号:554010100100129709</w:t>
      </w:r>
    </w:p>
    <w:p w14:paraId="04B8949F">
      <w:pPr>
        <w:pStyle w:val="21"/>
        <w:spacing w:line="400" w:lineRule="exact"/>
        <w:ind w:firstLine="210" w:firstLineChars="100"/>
        <w:rPr>
          <w:rFonts w:hint="eastAsia" w:hAnsi="宋体"/>
          <w:color w:val="auto"/>
          <w:spacing w:val="-4"/>
        </w:rPr>
      </w:pPr>
      <w:r>
        <w:rPr>
          <w:rFonts w:hint="eastAsia" w:hAnsi="宋体"/>
          <w:bCs/>
          <w:color w:val="auto"/>
        </w:rPr>
        <w:t>（二）解释权：</w:t>
      </w:r>
      <w:r>
        <w:rPr>
          <w:rFonts w:hint="eastAsia" w:hAnsi="宋体"/>
          <w:color w:val="auto"/>
          <w:spacing w:val="-4"/>
        </w:rPr>
        <w:t>本采购文件解释权属本中心。</w:t>
      </w:r>
    </w:p>
    <w:p w14:paraId="21A4D2F6">
      <w:pPr>
        <w:pStyle w:val="21"/>
        <w:spacing w:line="400" w:lineRule="exact"/>
        <w:ind w:firstLine="210" w:firstLineChars="100"/>
        <w:rPr>
          <w:rFonts w:hint="eastAsia" w:hAnsi="宋体"/>
          <w:color w:val="auto"/>
          <w:spacing w:val="-4"/>
        </w:rPr>
      </w:pPr>
      <w:r>
        <w:rPr>
          <w:rFonts w:hint="eastAsia" w:hAnsi="宋体"/>
          <w:bCs/>
          <w:color w:val="auto"/>
        </w:rPr>
        <w:t>（三）有关事宜</w:t>
      </w:r>
    </w:p>
    <w:p w14:paraId="2A8674DE">
      <w:pPr>
        <w:spacing w:line="400" w:lineRule="exact"/>
        <w:ind w:firstLine="420" w:firstLineChars="200"/>
        <w:rPr>
          <w:color w:val="auto"/>
        </w:rPr>
      </w:pPr>
      <w:r>
        <w:rPr>
          <w:rFonts w:hint="eastAsia"/>
          <w:color w:val="auto"/>
        </w:rPr>
        <w:t>所有与采购文件有关的函件请按下列通讯地址联系：</w:t>
      </w:r>
    </w:p>
    <w:p w14:paraId="2F7652EF">
      <w:pPr>
        <w:widowControl/>
        <w:spacing w:line="400" w:lineRule="exact"/>
        <w:ind w:firstLine="420" w:firstLineChars="200"/>
        <w:jc w:val="left"/>
        <w:rPr>
          <w:color w:val="auto"/>
        </w:rPr>
      </w:pPr>
      <w:r>
        <w:rPr>
          <w:rFonts w:hint="eastAsia"/>
          <w:color w:val="auto"/>
        </w:rPr>
        <w:t>钦州市政府采购中心</w:t>
      </w:r>
    </w:p>
    <w:p w14:paraId="417794B1">
      <w:pPr>
        <w:widowControl/>
        <w:spacing w:line="400" w:lineRule="exact"/>
        <w:ind w:firstLine="420" w:firstLineChars="200"/>
        <w:jc w:val="left"/>
        <w:rPr>
          <w:color w:val="auto"/>
        </w:rPr>
      </w:pPr>
      <w:r>
        <w:rPr>
          <w:rFonts w:hint="eastAsia"/>
          <w:color w:val="auto"/>
        </w:rPr>
        <w:t>通讯地址：钦州市金海湾东大街8号</w:t>
      </w:r>
    </w:p>
    <w:p w14:paraId="1789427C">
      <w:pPr>
        <w:widowControl/>
        <w:spacing w:line="400" w:lineRule="exact"/>
        <w:ind w:firstLine="420" w:firstLineChars="200"/>
        <w:jc w:val="left"/>
        <w:rPr>
          <w:color w:val="auto"/>
        </w:rPr>
      </w:pPr>
      <w:r>
        <w:rPr>
          <w:rFonts w:hint="eastAsia"/>
          <w:color w:val="auto"/>
        </w:rPr>
        <w:t>邮政编码：535000</w:t>
      </w:r>
    </w:p>
    <w:p w14:paraId="0C897E9E">
      <w:pPr>
        <w:widowControl/>
        <w:spacing w:line="400" w:lineRule="exact"/>
        <w:ind w:firstLine="420" w:firstLineChars="200"/>
        <w:jc w:val="left"/>
        <w:rPr>
          <w:color w:val="auto"/>
        </w:rPr>
      </w:pPr>
      <w:r>
        <w:rPr>
          <w:rFonts w:hint="eastAsia"/>
          <w:color w:val="auto"/>
        </w:rPr>
        <w:t>钦州市政府采购中心联系方式：</w:t>
      </w:r>
    </w:p>
    <w:p w14:paraId="7E60ABE6">
      <w:pPr>
        <w:widowControl/>
        <w:spacing w:line="400" w:lineRule="exact"/>
        <w:ind w:firstLine="420" w:firstLineChars="200"/>
        <w:jc w:val="left"/>
        <w:rPr>
          <w:color w:val="auto"/>
        </w:rPr>
      </w:pPr>
      <w:r>
        <w:rPr>
          <w:rFonts w:hint="eastAsia"/>
          <w:color w:val="auto"/>
        </w:rPr>
        <w:t>(1)采购部(采购文件)</w:t>
      </w:r>
    </w:p>
    <w:p w14:paraId="59273D48">
      <w:pPr>
        <w:widowControl/>
        <w:spacing w:line="400" w:lineRule="exact"/>
        <w:ind w:firstLine="420" w:firstLineChars="200"/>
        <w:jc w:val="left"/>
        <w:rPr>
          <w:color w:val="auto"/>
        </w:rPr>
      </w:pPr>
      <w:r>
        <w:rPr>
          <w:rFonts w:hint="eastAsia"/>
          <w:color w:val="auto"/>
        </w:rPr>
        <w:t xml:space="preserve">联系人：苏晓婷 </w:t>
      </w:r>
      <w:r>
        <w:rPr>
          <w:color w:val="auto"/>
        </w:rPr>
        <w:t xml:space="preserve"> </w:t>
      </w:r>
      <w:r>
        <w:rPr>
          <w:rFonts w:hint="eastAsia"/>
          <w:color w:val="auto"/>
        </w:rPr>
        <w:t xml:space="preserve"> 联系方式：0777-2886022</w:t>
      </w:r>
    </w:p>
    <w:p w14:paraId="573CA771">
      <w:pPr>
        <w:widowControl/>
        <w:spacing w:line="400" w:lineRule="exact"/>
        <w:ind w:firstLine="420" w:firstLineChars="200"/>
        <w:jc w:val="left"/>
        <w:rPr>
          <w:color w:val="auto"/>
        </w:rPr>
      </w:pPr>
      <w:r>
        <w:rPr>
          <w:rFonts w:hint="eastAsia"/>
          <w:color w:val="auto"/>
        </w:rPr>
        <w:t>(2)综合二部(评审、谈判、成交及合同管理)</w:t>
      </w:r>
    </w:p>
    <w:p w14:paraId="2DB0C386">
      <w:pPr>
        <w:widowControl/>
        <w:spacing w:line="400" w:lineRule="exact"/>
        <w:ind w:firstLine="420" w:firstLineChars="200"/>
        <w:jc w:val="left"/>
        <w:rPr>
          <w:color w:val="auto"/>
        </w:rPr>
      </w:pPr>
      <w:r>
        <w:rPr>
          <w:rFonts w:hint="eastAsia"/>
          <w:color w:val="auto"/>
        </w:rPr>
        <w:t xml:space="preserve">联系人：陈启梅、陈侃 </w:t>
      </w:r>
      <w:r>
        <w:rPr>
          <w:color w:val="auto"/>
        </w:rPr>
        <w:t xml:space="preserve">  </w:t>
      </w:r>
      <w:r>
        <w:rPr>
          <w:rFonts w:hint="eastAsia"/>
          <w:color w:val="auto"/>
        </w:rPr>
        <w:t>联系方式：0777-2886006</w:t>
      </w:r>
    </w:p>
    <w:p w14:paraId="01BC7412">
      <w:pPr>
        <w:widowControl/>
        <w:spacing w:line="400" w:lineRule="exact"/>
        <w:ind w:firstLine="420" w:firstLineChars="200"/>
        <w:jc w:val="left"/>
        <w:rPr>
          <w:color w:val="auto"/>
        </w:rPr>
      </w:pPr>
      <w:r>
        <w:rPr>
          <w:color w:val="auto"/>
        </w:rPr>
        <w:t>(</w:t>
      </w:r>
      <w:r>
        <w:rPr>
          <w:rFonts w:hint="eastAsia"/>
          <w:color w:val="auto"/>
          <w:lang w:val="en-US" w:eastAsia="zh-CN"/>
        </w:rPr>
        <w:t>3</w:t>
      </w:r>
      <w:r>
        <w:rPr>
          <w:color w:val="auto"/>
        </w:rPr>
        <w:t>)</w:t>
      </w:r>
      <w:r>
        <w:rPr>
          <w:rFonts w:hint="eastAsia"/>
          <w:color w:val="auto"/>
        </w:rPr>
        <w:t>广西政采云技术支持热线：</w:t>
      </w:r>
      <w:r>
        <w:rPr>
          <w:rFonts w:hAnsi="宋体"/>
          <w:color w:val="auto"/>
        </w:rPr>
        <w:t>95763</w:t>
      </w:r>
    </w:p>
    <w:p w14:paraId="72BCF212">
      <w:pPr>
        <w:widowControl/>
        <w:spacing w:line="400" w:lineRule="exact"/>
        <w:jc w:val="left"/>
        <w:rPr>
          <w:color w:val="auto"/>
        </w:rPr>
      </w:pPr>
    </w:p>
    <w:p w14:paraId="66AAC814">
      <w:pPr>
        <w:rPr>
          <w:color w:val="auto"/>
        </w:rPr>
      </w:pPr>
    </w:p>
    <w:p w14:paraId="058B91C8">
      <w:pPr>
        <w:rPr>
          <w:color w:val="auto"/>
        </w:rPr>
      </w:pPr>
    </w:p>
    <w:p w14:paraId="6A81FD76">
      <w:pPr>
        <w:rPr>
          <w:color w:val="auto"/>
        </w:rPr>
      </w:pPr>
    </w:p>
    <w:p w14:paraId="479D34E2">
      <w:pPr>
        <w:rPr>
          <w:color w:val="auto"/>
        </w:rPr>
      </w:pPr>
    </w:p>
    <w:p w14:paraId="1191A4BE">
      <w:pPr>
        <w:rPr>
          <w:color w:val="auto"/>
        </w:rPr>
      </w:pPr>
    </w:p>
    <w:p w14:paraId="750F2207">
      <w:pPr>
        <w:rPr>
          <w:color w:val="auto"/>
        </w:rPr>
      </w:pPr>
    </w:p>
    <w:p w14:paraId="26DA5A37">
      <w:pPr>
        <w:rPr>
          <w:color w:val="auto"/>
        </w:rPr>
      </w:pPr>
    </w:p>
    <w:p w14:paraId="1AF584FB">
      <w:pPr>
        <w:rPr>
          <w:color w:val="auto"/>
        </w:rPr>
      </w:pPr>
    </w:p>
    <w:p w14:paraId="58114421">
      <w:pPr>
        <w:rPr>
          <w:color w:val="auto"/>
        </w:rPr>
      </w:pPr>
    </w:p>
    <w:p w14:paraId="78292B0B">
      <w:pPr>
        <w:rPr>
          <w:color w:val="auto"/>
        </w:rPr>
      </w:pPr>
    </w:p>
    <w:p w14:paraId="2D6D9242">
      <w:pPr>
        <w:rPr>
          <w:color w:val="auto"/>
        </w:rPr>
      </w:pPr>
    </w:p>
    <w:p w14:paraId="01E302A2">
      <w:pPr>
        <w:rPr>
          <w:color w:val="auto"/>
        </w:rPr>
      </w:pPr>
    </w:p>
    <w:p w14:paraId="59A60850">
      <w:pPr>
        <w:pStyle w:val="5"/>
        <w:rPr>
          <w:color w:val="auto"/>
        </w:rPr>
      </w:pPr>
    </w:p>
    <w:p w14:paraId="68DEB91A">
      <w:pPr>
        <w:rPr>
          <w:color w:val="auto"/>
        </w:rPr>
      </w:pPr>
    </w:p>
    <w:p w14:paraId="35C30A15">
      <w:pPr>
        <w:pStyle w:val="5"/>
        <w:rPr>
          <w:color w:val="auto"/>
        </w:rPr>
      </w:pPr>
    </w:p>
    <w:p w14:paraId="126EB027">
      <w:pPr>
        <w:rPr>
          <w:color w:val="auto"/>
        </w:rPr>
      </w:pPr>
    </w:p>
    <w:p w14:paraId="5F161830">
      <w:pPr>
        <w:rPr>
          <w:color w:val="auto"/>
        </w:rPr>
      </w:pPr>
    </w:p>
    <w:p w14:paraId="6D28864C">
      <w:pPr>
        <w:pStyle w:val="2"/>
        <w:spacing w:line="400" w:lineRule="exact"/>
        <w:rPr>
          <w:rFonts w:hint="eastAsia" w:ascii="方正小标宋_GBK" w:hAnsi="宋体" w:eastAsia="方正小标宋_GBK"/>
          <w:color w:val="auto"/>
        </w:rPr>
      </w:pPr>
      <w:bookmarkStart w:id="109" w:name="_第四章__评定标准及推荐原则"/>
      <w:bookmarkEnd w:id="109"/>
      <w:bookmarkStart w:id="110" w:name="_Toc92355026"/>
      <w:r>
        <w:rPr>
          <w:rFonts w:hint="eastAsia" w:ascii="方正小标宋_GBK" w:hAnsi="宋体" w:eastAsia="方正小标宋_GBK"/>
          <w:color w:val="auto"/>
        </w:rPr>
        <w:t>第四章  评定标准及推荐原则</w:t>
      </w:r>
      <w:bookmarkEnd w:id="110"/>
    </w:p>
    <w:p w14:paraId="1B0C27FC">
      <w:pPr>
        <w:pStyle w:val="21"/>
        <w:spacing w:line="280" w:lineRule="exact"/>
        <w:jc w:val="center"/>
        <w:rPr>
          <w:color w:val="auto"/>
        </w:rPr>
      </w:pPr>
      <w:r>
        <w:rPr>
          <w:rFonts w:hAnsi="宋体"/>
          <w:b/>
          <w:bCs/>
          <w:color w:val="auto"/>
        </w:rPr>
        <w:br w:type="page"/>
      </w:r>
    </w:p>
    <w:p w14:paraId="408C235F">
      <w:pPr>
        <w:pStyle w:val="21"/>
        <w:spacing w:line="500" w:lineRule="exact"/>
        <w:jc w:val="center"/>
        <w:rPr>
          <w:rFonts w:hint="eastAsia" w:hAnsi="宋体" w:eastAsia="宋体"/>
          <w:b/>
          <w:bCs/>
          <w:color w:val="auto"/>
          <w:sz w:val="44"/>
          <w:szCs w:val="44"/>
          <w:lang w:eastAsia="zh-CN"/>
        </w:rPr>
      </w:pPr>
      <w:bookmarkStart w:id="111" w:name="_Hlk92463826"/>
      <w:r>
        <w:rPr>
          <w:rFonts w:hint="eastAsia" w:hAnsi="宋体"/>
          <w:b/>
          <w:bCs/>
          <w:color w:val="auto"/>
          <w:sz w:val="44"/>
          <w:szCs w:val="44"/>
        </w:rPr>
        <w:t>评定标准及推荐原则</w:t>
      </w:r>
    </w:p>
    <w:bookmarkEnd w:id="111"/>
    <w:p w14:paraId="703DA7B0">
      <w:pPr>
        <w:rPr>
          <w:color w:val="auto"/>
        </w:rPr>
      </w:pPr>
    </w:p>
    <w:p w14:paraId="1ED0377E">
      <w:pPr>
        <w:pStyle w:val="21"/>
        <w:spacing w:line="540" w:lineRule="exact"/>
        <w:rPr>
          <w:rFonts w:hint="eastAsia" w:hAnsi="宋体"/>
          <w:b/>
          <w:bCs/>
          <w:color w:val="auto"/>
        </w:rPr>
      </w:pPr>
      <w:r>
        <w:rPr>
          <w:rFonts w:hint="eastAsia" w:hAnsi="宋体"/>
          <w:b/>
          <w:bCs/>
          <w:color w:val="auto"/>
        </w:rPr>
        <w:t>一、评审原则</w:t>
      </w:r>
    </w:p>
    <w:p w14:paraId="434FBF62">
      <w:pPr>
        <w:pStyle w:val="21"/>
        <w:spacing w:line="540" w:lineRule="exact"/>
        <w:ind w:firstLine="420" w:firstLineChars="200"/>
        <w:rPr>
          <w:rFonts w:hint="eastAsia" w:hAnsi="宋体"/>
          <w:bCs/>
          <w:color w:val="auto"/>
        </w:rPr>
      </w:pPr>
      <w:r>
        <w:rPr>
          <w:rFonts w:hint="eastAsia" w:hAnsi="宋体"/>
          <w:bCs/>
          <w:color w:val="auto"/>
        </w:rPr>
        <w:t>(一)谈判小组组成：</w:t>
      </w:r>
      <w:bookmarkStart w:id="112" w:name="_Hlk89353643"/>
      <w:r>
        <w:rPr>
          <w:rFonts w:hint="eastAsia" w:hAnsi="宋体"/>
          <w:bCs/>
          <w:color w:val="auto"/>
        </w:rPr>
        <w:t>谈判小组由采购人代表和评审专家共3人以上单数组成，其中评审专家人数不得少于谈判小组成员总数的2/3。</w:t>
      </w:r>
      <w:bookmarkEnd w:id="112"/>
    </w:p>
    <w:p w14:paraId="2FBAD535">
      <w:pPr>
        <w:pStyle w:val="21"/>
        <w:spacing w:line="540" w:lineRule="exact"/>
        <w:ind w:firstLine="420" w:firstLineChars="200"/>
        <w:rPr>
          <w:rFonts w:hint="eastAsia" w:hAnsi="宋体"/>
          <w:b/>
          <w:bCs/>
          <w:color w:val="auto"/>
        </w:rPr>
      </w:pPr>
      <w:r>
        <w:rPr>
          <w:rFonts w:hint="eastAsia" w:hAnsi="宋体"/>
          <w:bCs/>
          <w:color w:val="auto"/>
        </w:rPr>
        <w:t>(二)评审依据：以竞争性谈判采购文件和响应文件为评定依据。</w:t>
      </w:r>
    </w:p>
    <w:p w14:paraId="2CCBEEAB">
      <w:pPr>
        <w:pStyle w:val="21"/>
        <w:spacing w:line="540" w:lineRule="exact"/>
        <w:rPr>
          <w:rFonts w:hint="eastAsia" w:hAnsi="宋体"/>
          <w:b/>
          <w:bCs/>
          <w:color w:val="auto"/>
        </w:rPr>
      </w:pPr>
      <w:r>
        <w:rPr>
          <w:rFonts w:hint="eastAsia" w:hAnsi="宋体"/>
          <w:b/>
          <w:bCs/>
          <w:color w:val="auto"/>
        </w:rPr>
        <w:t>二、评定标准</w:t>
      </w:r>
    </w:p>
    <w:p w14:paraId="60BCE5D8">
      <w:pPr>
        <w:pStyle w:val="21"/>
        <w:spacing w:line="540" w:lineRule="exact"/>
        <w:ind w:firstLine="420" w:firstLineChars="200"/>
        <w:rPr>
          <w:color w:val="auto"/>
        </w:rPr>
      </w:pPr>
      <w:r>
        <w:rPr>
          <w:rFonts w:hint="eastAsia"/>
          <w:color w:val="auto"/>
        </w:rPr>
        <w:t>（一）成交候选人的推荐原则：</w:t>
      </w:r>
    </w:p>
    <w:p w14:paraId="16C7A1D7">
      <w:pPr>
        <w:pStyle w:val="21"/>
        <w:spacing w:line="540" w:lineRule="exact"/>
        <w:ind w:firstLine="420" w:firstLineChars="200"/>
        <w:rPr>
          <w:color w:val="auto"/>
        </w:rPr>
      </w:pPr>
      <w:r>
        <w:rPr>
          <w:rFonts w:hint="eastAsia"/>
          <w:color w:val="auto"/>
        </w:rPr>
        <w:t>谈判小组从质量和服务均能满足采购文件实质性响应要求的供应商中，按照最后报价由低到高的顺序提出3名以上成交候选人（最后报价相同的，由谈判小组集体讨论确定排序）。</w:t>
      </w:r>
    </w:p>
    <w:p w14:paraId="15769B8F">
      <w:pPr>
        <w:widowControl/>
        <w:spacing w:line="540" w:lineRule="exact"/>
        <w:ind w:firstLine="420" w:firstLineChars="200"/>
        <w:jc w:val="left"/>
        <w:rPr>
          <w:color w:val="auto"/>
        </w:rPr>
      </w:pPr>
      <w:r>
        <w:rPr>
          <w:color w:val="auto"/>
        </w:rPr>
        <w:br w:type="page"/>
      </w:r>
    </w:p>
    <w:p w14:paraId="10268A19">
      <w:pPr>
        <w:rPr>
          <w:color w:val="auto"/>
        </w:rPr>
      </w:pPr>
    </w:p>
    <w:p w14:paraId="68D40787">
      <w:pPr>
        <w:rPr>
          <w:color w:val="auto"/>
        </w:rPr>
      </w:pPr>
    </w:p>
    <w:p w14:paraId="5C91B1F2">
      <w:pPr>
        <w:rPr>
          <w:color w:val="auto"/>
        </w:rPr>
      </w:pPr>
    </w:p>
    <w:p w14:paraId="688C0AE8">
      <w:pPr>
        <w:rPr>
          <w:color w:val="auto"/>
        </w:rPr>
      </w:pPr>
    </w:p>
    <w:p w14:paraId="492D7BFB">
      <w:pPr>
        <w:rPr>
          <w:color w:val="auto"/>
        </w:rPr>
      </w:pPr>
    </w:p>
    <w:p w14:paraId="3D5611A7">
      <w:pPr>
        <w:rPr>
          <w:color w:val="auto"/>
        </w:rPr>
      </w:pPr>
    </w:p>
    <w:p w14:paraId="6EA996E5">
      <w:pPr>
        <w:rPr>
          <w:color w:val="auto"/>
        </w:rPr>
      </w:pPr>
    </w:p>
    <w:p w14:paraId="564F3B15">
      <w:pPr>
        <w:rPr>
          <w:color w:val="auto"/>
        </w:rPr>
      </w:pPr>
    </w:p>
    <w:p w14:paraId="4F26846D">
      <w:pPr>
        <w:rPr>
          <w:color w:val="auto"/>
        </w:rPr>
      </w:pPr>
    </w:p>
    <w:p w14:paraId="283CF83E">
      <w:pPr>
        <w:rPr>
          <w:color w:val="auto"/>
        </w:rPr>
      </w:pPr>
    </w:p>
    <w:p w14:paraId="475DB8F7">
      <w:pPr>
        <w:rPr>
          <w:color w:val="auto"/>
        </w:rPr>
      </w:pPr>
    </w:p>
    <w:p w14:paraId="467F245E">
      <w:pPr>
        <w:rPr>
          <w:color w:val="auto"/>
        </w:rPr>
      </w:pPr>
    </w:p>
    <w:p w14:paraId="0DEB481A">
      <w:pPr>
        <w:pStyle w:val="2"/>
        <w:spacing w:line="400" w:lineRule="exact"/>
        <w:rPr>
          <w:rFonts w:ascii="方正小标宋_GBK" w:eastAsia="方正小标宋_GBK"/>
          <w:color w:val="auto"/>
        </w:rPr>
      </w:pPr>
      <w:bookmarkStart w:id="113" w:name="_Toc92355027"/>
      <w:r>
        <w:rPr>
          <w:rFonts w:hint="eastAsia" w:ascii="方正小标宋_GBK" w:eastAsia="方正小标宋_GBK"/>
          <w:color w:val="auto"/>
        </w:rPr>
        <w:t>第五章  合同文本</w:t>
      </w:r>
      <w:bookmarkEnd w:id="113"/>
    </w:p>
    <w:p w14:paraId="60D8FAE8">
      <w:pPr>
        <w:pStyle w:val="21"/>
        <w:jc w:val="center"/>
        <w:rPr>
          <w:rFonts w:hint="eastAsia" w:ascii="Times New Roman" w:hAnsi="宋体"/>
          <w:b/>
          <w:bCs/>
          <w:color w:val="auto"/>
          <w:sz w:val="28"/>
          <w:szCs w:val="28"/>
        </w:rPr>
      </w:pPr>
      <w:r>
        <w:rPr>
          <w:rFonts w:hint="eastAsia" w:ascii="Times New Roman" w:hAnsi="宋体"/>
          <w:b/>
          <w:bCs/>
          <w:color w:val="auto"/>
          <w:sz w:val="28"/>
          <w:szCs w:val="28"/>
        </w:rPr>
        <w:t>（参考格式）</w:t>
      </w:r>
    </w:p>
    <w:p w14:paraId="22594214">
      <w:pPr>
        <w:pStyle w:val="21"/>
        <w:spacing w:line="500" w:lineRule="exact"/>
        <w:rPr>
          <w:rFonts w:hint="eastAsia" w:hAnsi="宋体" w:cs="宋体"/>
          <w:b/>
          <w:bCs/>
          <w:color w:val="auto"/>
          <w:spacing w:val="-20"/>
          <w:kern w:val="44"/>
          <w:sz w:val="48"/>
          <w:szCs w:val="48"/>
        </w:rPr>
      </w:pPr>
      <w:r>
        <w:rPr>
          <w:color w:val="auto"/>
        </w:rPr>
        <w:br w:type="page"/>
      </w:r>
      <w:bookmarkStart w:id="114" w:name="_Toc3995"/>
    </w:p>
    <w:p w14:paraId="43DF427D">
      <w:pPr>
        <w:pStyle w:val="17"/>
        <w:jc w:val="center"/>
        <w:rPr>
          <w:rFonts w:hint="eastAsia" w:ascii="宋体" w:hAnsi="宋体" w:cs="宋体"/>
          <w:b/>
          <w:bCs/>
          <w:color w:val="auto"/>
          <w:spacing w:val="-20"/>
          <w:kern w:val="44"/>
          <w:sz w:val="48"/>
          <w:szCs w:val="48"/>
        </w:rPr>
      </w:pPr>
    </w:p>
    <w:p w14:paraId="2A2AD50E">
      <w:pPr>
        <w:pStyle w:val="17"/>
        <w:jc w:val="center"/>
        <w:rPr>
          <w:rFonts w:hint="eastAsia" w:ascii="宋体" w:hAnsi="宋体" w:cs="宋体"/>
          <w:b/>
          <w:bCs/>
          <w:color w:val="auto"/>
          <w:spacing w:val="-20"/>
          <w:kern w:val="44"/>
          <w:sz w:val="48"/>
          <w:szCs w:val="48"/>
        </w:rPr>
      </w:pPr>
    </w:p>
    <w:p w14:paraId="690F0D8E">
      <w:pPr>
        <w:pStyle w:val="17"/>
        <w:jc w:val="center"/>
        <w:rPr>
          <w:rFonts w:hint="eastAsia" w:ascii="宋体" w:hAnsi="宋体" w:cs="宋体"/>
          <w:b/>
          <w:bCs/>
          <w:color w:val="auto"/>
          <w:spacing w:val="-20"/>
          <w:kern w:val="44"/>
          <w:sz w:val="48"/>
          <w:szCs w:val="48"/>
        </w:rPr>
      </w:pPr>
    </w:p>
    <w:p w14:paraId="7892C8EB">
      <w:pPr>
        <w:pStyle w:val="17"/>
        <w:spacing w:line="500" w:lineRule="exact"/>
        <w:jc w:val="center"/>
        <w:rPr>
          <w:rFonts w:hint="eastAsia" w:ascii="宋体" w:hAnsi="宋体" w:cs="宋体"/>
          <w:b/>
          <w:bCs/>
          <w:color w:val="auto"/>
          <w:spacing w:val="-20"/>
          <w:kern w:val="44"/>
          <w:sz w:val="48"/>
          <w:szCs w:val="48"/>
        </w:rPr>
      </w:pPr>
    </w:p>
    <w:p w14:paraId="36317E6E">
      <w:pPr>
        <w:pStyle w:val="17"/>
        <w:spacing w:line="500" w:lineRule="exact"/>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政府采购货物买卖合同</w:t>
      </w:r>
    </w:p>
    <w:p w14:paraId="193D4D31">
      <w:pPr>
        <w:pStyle w:val="17"/>
        <w:spacing w:line="500" w:lineRule="exact"/>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（试行）</w:t>
      </w:r>
    </w:p>
    <w:p w14:paraId="17AC6220">
      <w:pPr>
        <w:rPr>
          <w:rFonts w:hint="eastAsia" w:ascii="宋体" w:hAnsi="宋体" w:cs="宋体"/>
          <w:b/>
          <w:bCs/>
          <w:color w:val="auto"/>
          <w:spacing w:val="-20"/>
          <w:kern w:val="44"/>
          <w:sz w:val="40"/>
          <w:szCs w:val="40"/>
        </w:rPr>
      </w:pPr>
    </w:p>
    <w:p w14:paraId="277D6EDB">
      <w:pPr>
        <w:rPr>
          <w:rFonts w:hint="eastAsia" w:ascii="宋体" w:hAnsi="宋体" w:cs="宋体"/>
          <w:b/>
          <w:bCs/>
          <w:color w:val="auto"/>
          <w:spacing w:val="-20"/>
          <w:kern w:val="44"/>
          <w:sz w:val="40"/>
          <w:szCs w:val="40"/>
        </w:rPr>
      </w:pPr>
    </w:p>
    <w:p w14:paraId="7DB406F6">
      <w:pPr>
        <w:rPr>
          <w:rFonts w:hint="eastAsia" w:ascii="宋体" w:hAnsi="宋体" w:cs="宋体"/>
          <w:b/>
          <w:bCs/>
          <w:color w:val="auto"/>
          <w:spacing w:val="-20"/>
          <w:kern w:val="44"/>
          <w:sz w:val="40"/>
          <w:szCs w:val="40"/>
        </w:rPr>
      </w:pPr>
    </w:p>
    <w:p w14:paraId="03BCC7FC">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20A625A9">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492C0398">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11DD6F2F">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63852B0F">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48495273">
      <w:pPr>
        <w:rPr>
          <w:color w:val="auto"/>
        </w:rPr>
      </w:pPr>
    </w:p>
    <w:p w14:paraId="4E51BB04">
      <w:pPr>
        <w:rPr>
          <w:rFonts w:eastAsia="黑体"/>
          <w:color w:val="auto"/>
          <w:sz w:val="44"/>
          <w:szCs w:val="44"/>
        </w:rPr>
      </w:pPr>
      <w:r>
        <w:rPr>
          <w:rFonts w:eastAsia="黑体"/>
          <w:color w:val="auto"/>
          <w:sz w:val="44"/>
          <w:szCs w:val="44"/>
        </w:rPr>
        <w:br w:type="page"/>
      </w:r>
    </w:p>
    <w:p w14:paraId="1D38AB92">
      <w:pPr>
        <w:rPr>
          <w:rFonts w:eastAsia="黑体"/>
          <w:color w:val="auto"/>
          <w:sz w:val="44"/>
          <w:szCs w:val="44"/>
        </w:rPr>
      </w:pPr>
    </w:p>
    <w:p w14:paraId="432188A9">
      <w:pPr>
        <w:rPr>
          <w:rFonts w:eastAsia="黑体"/>
          <w:color w:val="auto"/>
          <w:sz w:val="44"/>
          <w:szCs w:val="44"/>
        </w:rPr>
      </w:pPr>
    </w:p>
    <w:p w14:paraId="7EC44EA3">
      <w:pPr>
        <w:jc w:val="center"/>
        <w:rPr>
          <w:rFonts w:eastAsia="黑体"/>
          <w:color w:val="auto"/>
          <w:sz w:val="44"/>
          <w:szCs w:val="44"/>
        </w:rPr>
      </w:pPr>
      <w:r>
        <w:rPr>
          <w:rFonts w:hint="eastAsia" w:eastAsia="黑体"/>
          <w:color w:val="auto"/>
          <w:sz w:val="44"/>
          <w:szCs w:val="44"/>
        </w:rPr>
        <w:t>使 用 说 明</w:t>
      </w:r>
    </w:p>
    <w:p w14:paraId="60FE0E29">
      <w:pPr>
        <w:ind w:firstLine="640" w:firstLineChars="200"/>
        <w:rPr>
          <w:rFonts w:hint="eastAsia" w:ascii="仿宋_GB2312" w:hAnsi="仿宋_GB2312" w:eastAsia="仿宋_GB2312" w:cs="仿宋_GB2312"/>
          <w:color w:val="auto"/>
          <w:sz w:val="32"/>
          <w:szCs w:val="32"/>
        </w:rPr>
      </w:pPr>
    </w:p>
    <w:p w14:paraId="30F22AA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1.本合同标准文本适用于购买现成货物的采购项目，不包括需要供应商定制开发、创新研发的货物采购项目。</w:t>
      </w:r>
    </w:p>
    <w:p w14:paraId="7CF58D98">
      <w:pPr>
        <w:rPr>
          <w:rFonts w:eastAsia="黑体"/>
          <w:color w:val="auto"/>
          <w:sz w:val="44"/>
          <w:szCs w:val="44"/>
        </w:rPr>
      </w:pPr>
      <w:r>
        <w:rPr>
          <w:rFonts w:hint="eastAsia" w:eastAsia="黑体"/>
          <w:color w:val="auto"/>
          <w:sz w:val="44"/>
          <w:szCs w:val="44"/>
        </w:rPr>
        <w:t xml:space="preserve">   </w:t>
      </w:r>
      <w:r>
        <w:rPr>
          <w:rFonts w:hint="eastAsia" w:ascii="仿宋_GB2312" w:hAnsi="仿宋_GB2312" w:eastAsia="仿宋_GB2312" w:cs="仿宋_GB2312"/>
          <w:color w:val="auto"/>
          <w:sz w:val="32"/>
          <w:szCs w:val="32"/>
        </w:rPr>
        <w:t>2.本合同标准文本为政府采购货物买卖合同编制提供参考，可以结合采购项目具体情况，对文本作必要的调整修订后使用。</w:t>
      </w:r>
    </w:p>
    <w:p w14:paraId="74690F1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3.本合同标准文本各条款中，如涉及填写多家供应商、制造商，多种采购标的、分包主要内容等信息的，可根据采购项目具体情况添加信息项。</w:t>
      </w:r>
    </w:p>
    <w:p w14:paraId="6247341C">
      <w:pPr>
        <w:ind w:firstLine="880" w:firstLineChars="200"/>
        <w:rPr>
          <w:rFonts w:eastAsia="黑体"/>
          <w:color w:val="auto"/>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bookmarkEnd w:id="114"/>
    <w:p w14:paraId="52A11F71">
      <w:pPr>
        <w:pStyle w:val="3"/>
        <w:adjustRightInd w:val="0"/>
        <w:snapToGrid w:val="0"/>
        <w:jc w:val="center"/>
        <w:rPr>
          <w:rFonts w:hint="eastAsia" w:ascii="黑体" w:hAnsi="黑体"/>
          <w:color w:val="auto"/>
          <w:sz w:val="28"/>
          <w:szCs w:val="28"/>
        </w:rPr>
      </w:pPr>
      <w:bookmarkStart w:id="115" w:name="_Toc22209"/>
    </w:p>
    <w:p w14:paraId="47571490">
      <w:pPr>
        <w:pStyle w:val="3"/>
        <w:adjustRightInd w:val="0"/>
        <w:snapToGrid w:val="0"/>
        <w:jc w:val="center"/>
        <w:rPr>
          <w:rFonts w:hint="eastAsia" w:ascii="黑体" w:hAnsi="华文中宋"/>
          <w:b w:val="0"/>
          <w:bCs w:val="0"/>
          <w:color w:val="auto"/>
          <w:sz w:val="28"/>
          <w:szCs w:val="28"/>
        </w:rPr>
      </w:pPr>
      <w:r>
        <w:rPr>
          <w:rFonts w:hint="eastAsia" w:ascii="黑体" w:hAnsi="黑体"/>
          <w:b w:val="0"/>
          <w:bCs w:val="0"/>
          <w:color w:val="auto"/>
          <w:sz w:val="28"/>
          <w:szCs w:val="28"/>
        </w:rPr>
        <w:t xml:space="preserve">第一节 </w:t>
      </w:r>
      <w:r>
        <w:rPr>
          <w:rFonts w:hint="eastAsia" w:ascii="黑体" w:hAnsi="华文中宋"/>
          <w:b w:val="0"/>
          <w:bCs w:val="0"/>
          <w:color w:val="auto"/>
          <w:sz w:val="28"/>
          <w:szCs w:val="28"/>
        </w:rPr>
        <w:t>政府采购合同协议书</w:t>
      </w:r>
      <w:bookmarkEnd w:id="115"/>
    </w:p>
    <w:p w14:paraId="12161EF8">
      <w:pPr>
        <w:pStyle w:val="3"/>
        <w:adjustRightInd w:val="0"/>
        <w:snapToGrid w:val="0"/>
        <w:jc w:val="center"/>
        <w:rPr>
          <w:rFonts w:hint="eastAsia" w:ascii="黑体" w:hAnsi="华文中宋"/>
          <w:b w:val="0"/>
          <w:bCs w:val="0"/>
          <w:color w:val="auto"/>
          <w:sz w:val="28"/>
          <w:szCs w:val="28"/>
        </w:rPr>
      </w:pPr>
    </w:p>
    <w:p w14:paraId="0CEBCB86">
      <w:pPr>
        <w:adjustRightInd w:val="0"/>
        <w:snapToGrid w:val="0"/>
        <w:spacing w:line="400" w:lineRule="exact"/>
        <w:rPr>
          <w:rFonts w:hint="eastAsia"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（采购人、受采购人委托签订合同的单位或采购</w:t>
      </w:r>
      <w:r>
        <w:rPr>
          <w:rFonts w:hint="eastAsia" w:ascii="宋体" w:hAnsi="宋体"/>
          <w:color w:val="auto"/>
          <w:szCs w:val="21"/>
        </w:rPr>
        <w:tab/>
      </w:r>
      <w:r>
        <w:rPr>
          <w:rFonts w:hint="eastAsia" w:ascii="宋体" w:hAnsi="宋体"/>
          <w:color w:val="auto"/>
          <w:szCs w:val="21"/>
        </w:rPr>
        <w:t xml:space="preserve">                                   文件约定的合同甲方）</w:t>
      </w:r>
    </w:p>
    <w:p w14:paraId="1108CE78">
      <w:pPr>
        <w:adjustRightInd w:val="0"/>
        <w:snapToGrid w:val="0"/>
        <w:spacing w:line="400" w:lineRule="exact"/>
        <w:rPr>
          <w:rFonts w:hint="eastAsia" w:ascii="宋体" w:hAnsi="宋体"/>
          <w:color w:val="auto"/>
          <w:szCs w:val="21"/>
        </w:rPr>
      </w:pPr>
      <w:r>
        <w:rPr>
          <w:rFonts w:hint="eastAsia" w:ascii="宋体" w:hAnsi="宋体"/>
          <w:color w:val="auto"/>
          <w:szCs w:val="21"/>
        </w:rPr>
        <w:t>乙方1（全称）：</w:t>
      </w:r>
      <w:r>
        <w:rPr>
          <w:rFonts w:hint="eastAsia" w:ascii="宋体" w:hAnsi="宋体"/>
          <w:color w:val="auto"/>
          <w:szCs w:val="21"/>
          <w:u w:val="single"/>
        </w:rPr>
        <w:t xml:space="preserve">                       </w:t>
      </w:r>
      <w:r>
        <w:rPr>
          <w:rFonts w:hint="eastAsia" w:ascii="宋体" w:hAnsi="宋体"/>
          <w:color w:val="auto"/>
          <w:szCs w:val="21"/>
        </w:rPr>
        <w:t>（供应商）</w:t>
      </w:r>
    </w:p>
    <w:p w14:paraId="54D8E7DE">
      <w:pPr>
        <w:adjustRightInd w:val="0"/>
        <w:snapToGrid w:val="0"/>
        <w:spacing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2CA2AEB3">
      <w:pPr>
        <w:adjustRightInd w:val="0"/>
        <w:snapToGrid w:val="0"/>
        <w:spacing w:line="400" w:lineRule="exact"/>
        <w:rPr>
          <w:rFonts w:hint="eastAsia" w:ascii="宋体" w:hAnsi="宋体"/>
          <w:color w:val="auto"/>
          <w:szCs w:val="21"/>
        </w:rPr>
      </w:pPr>
      <w:r>
        <w:rPr>
          <w:rFonts w:hint="eastAsia"/>
          <w:color w:val="auto"/>
        </w:rPr>
        <w:t>乙方</w:t>
      </w:r>
      <w:r>
        <w:rPr>
          <w:rFonts w:hint="eastAsia" w:ascii="宋体" w:hAnsi="宋体"/>
          <w:color w:val="auto"/>
          <w:szCs w:val="21"/>
        </w:rPr>
        <w:t>3</w:t>
      </w:r>
      <w:r>
        <w:rPr>
          <w:rFonts w:hint="eastAsia"/>
          <w:color w:val="auto"/>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08203FC0">
      <w:pPr>
        <w:spacing w:line="400" w:lineRule="exact"/>
        <w:rPr>
          <w:rFonts w:hint="eastAsia" w:ascii="宋体" w:hAnsi="宋体" w:cs="宋体"/>
          <w:color w:val="auto"/>
          <w:szCs w:val="21"/>
        </w:rPr>
      </w:pPr>
    </w:p>
    <w:p w14:paraId="32BB9A83">
      <w:pPr>
        <w:pStyle w:val="18"/>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2F97849">
      <w:pPr>
        <w:numPr>
          <w:ilvl w:val="0"/>
          <w:numId w:val="5"/>
        </w:numPr>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项目信息</w:t>
      </w:r>
    </w:p>
    <w:p w14:paraId="6F963C92">
      <w:pPr>
        <w:pStyle w:val="18"/>
        <w:numPr>
          <w:ilvl w:val="0"/>
          <w:numId w:val="6"/>
        </w:numPr>
        <w:adjustRightInd w:val="0"/>
        <w:snapToGrid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采购项目名称：</w:t>
      </w:r>
      <w:r>
        <w:rPr>
          <w:rFonts w:hint="eastAsia" w:ascii="宋体" w:hAnsi="宋体" w:eastAsia="宋体" w:cs="宋体"/>
          <w:color w:val="auto"/>
          <w:sz w:val="21"/>
          <w:szCs w:val="21"/>
          <w:u w:val="single"/>
        </w:rPr>
        <w:t xml:space="preserve">                                          </w:t>
      </w:r>
    </w:p>
    <w:p w14:paraId="006690A5">
      <w:pPr>
        <w:pStyle w:val="18"/>
        <w:numPr>
          <w:ilvl w:val="255"/>
          <w:numId w:val="0"/>
        </w:numPr>
        <w:tabs>
          <w:tab w:val="left" w:pos="999"/>
        </w:tabs>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采购项目编号：</w:t>
      </w:r>
      <w:r>
        <w:rPr>
          <w:rFonts w:hint="eastAsia" w:ascii="宋体" w:hAnsi="宋体" w:eastAsia="宋体" w:cs="宋体"/>
          <w:color w:val="auto"/>
          <w:sz w:val="21"/>
          <w:szCs w:val="21"/>
          <w:u w:val="single"/>
        </w:rPr>
        <w:t xml:space="preserve">                                          </w:t>
      </w:r>
    </w:p>
    <w:p w14:paraId="2AE854F1">
      <w:pPr>
        <w:pStyle w:val="18"/>
        <w:adjustRightInd w:val="0"/>
        <w:snapToGrid w:val="0"/>
        <w:spacing w:line="400" w:lineRule="exact"/>
        <w:ind w:firstLine="420" w:firstLineChars="200"/>
        <w:rPr>
          <w:rFonts w:hint="eastAsia" w:ascii="宋体" w:hAnsi="宋体"/>
          <w:color w:val="auto"/>
          <w:szCs w:val="21"/>
        </w:rPr>
      </w:pPr>
      <w:r>
        <w:rPr>
          <w:rFonts w:hint="eastAsia" w:ascii="宋体" w:hAnsi="宋体" w:eastAsia="宋体" w:cs="宋体"/>
          <w:color w:val="auto"/>
          <w:sz w:val="21"/>
          <w:szCs w:val="21"/>
        </w:rPr>
        <w:t>（2）采购计划编号：</w:t>
      </w:r>
      <w:r>
        <w:rPr>
          <w:rFonts w:hint="eastAsia" w:ascii="宋体" w:hAnsi="宋体" w:eastAsia="宋体" w:cs="宋体"/>
          <w:color w:val="auto"/>
          <w:sz w:val="21"/>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p>
    <w:p w14:paraId="74C7EB7D">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0EECDCDD">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 xml:space="preserve">     采购标的及数量（台/套</w:t>
      </w:r>
      <w:r>
        <w:rPr>
          <w:rFonts w:ascii="宋体" w:hAnsi="宋体"/>
          <w:color w:val="auto"/>
          <w:szCs w:val="21"/>
          <w:lang w:val="en"/>
        </w:rPr>
        <w:t>/</w:t>
      </w:r>
      <w:r>
        <w:rPr>
          <w:rFonts w:hint="eastAsia" w:ascii="宋体" w:hAnsi="宋体"/>
          <w:color w:val="auto"/>
          <w:szCs w:val="21"/>
          <w:lang w:val="en"/>
        </w:rPr>
        <w:t>个</w:t>
      </w:r>
      <w:r>
        <w:rPr>
          <w:rFonts w:ascii="宋体" w:hAnsi="宋体"/>
          <w:color w:val="auto"/>
          <w:szCs w:val="21"/>
          <w:lang w:val="en"/>
        </w:rPr>
        <w:t>/</w:t>
      </w:r>
      <w:r>
        <w:rPr>
          <w:rFonts w:hint="eastAsia" w:ascii="宋体" w:hAnsi="宋体"/>
          <w:color w:val="auto"/>
          <w:szCs w:val="21"/>
          <w:lang w:val="en"/>
        </w:rPr>
        <w:t>架</w:t>
      </w:r>
      <w:r>
        <w:rPr>
          <w:rFonts w:ascii="宋体" w:hAnsi="宋体"/>
          <w:color w:val="auto"/>
          <w:szCs w:val="21"/>
          <w:lang w:val="en"/>
        </w:rPr>
        <w:t>/</w:t>
      </w:r>
      <w:r>
        <w:rPr>
          <w:rFonts w:hint="eastAsia" w:ascii="宋体" w:hAnsi="宋体"/>
          <w:color w:val="auto"/>
          <w:szCs w:val="21"/>
          <w:lang w:val="en"/>
        </w:rPr>
        <w:t>组等</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p w14:paraId="622CEF8C">
      <w:pPr>
        <w:numPr>
          <w:ilvl w:val="255"/>
          <w:numId w:val="0"/>
        </w:numPr>
        <w:adjustRightInd w:val="0"/>
        <w:snapToGrid w:val="0"/>
        <w:spacing w:line="400" w:lineRule="exact"/>
        <w:ind w:firstLine="420" w:firstLineChars="200"/>
        <w:rPr>
          <w:rFonts w:hint="eastAsia" w:ascii="宋体" w:hAnsi="宋体" w:cs="宋体"/>
          <w:color w:val="auto"/>
          <w:szCs w:val="21"/>
          <w:lang w:val="en"/>
        </w:rPr>
      </w:pPr>
      <w:r>
        <w:rPr>
          <w:rFonts w:hint="eastAsia" w:ascii="宋体" w:hAnsi="宋体"/>
          <w:color w:val="auto"/>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lang w:val="en"/>
        </w:rPr>
        <w:t xml:space="preserve">     </w:t>
      </w:r>
      <w:r>
        <w:rPr>
          <w:rFonts w:hint="eastAsia" w:ascii="宋体" w:hAnsi="宋体" w:cs="宋体"/>
          <w:color w:val="auto"/>
          <w:szCs w:val="21"/>
        </w:rPr>
        <w:t>规格型号：</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p>
    <w:p w14:paraId="6B157DD2">
      <w:pPr>
        <w:adjustRightInd w:val="0"/>
        <w:snapToGrid w:val="0"/>
        <w:spacing w:line="400" w:lineRule="exact"/>
        <w:ind w:firstLine="945" w:firstLineChars="450"/>
        <w:rPr>
          <w:rFonts w:hint="eastAsia" w:ascii="宋体" w:hAnsi="宋体"/>
          <w:color w:val="auto"/>
          <w:szCs w:val="21"/>
          <w:u w:val="single"/>
        </w:rPr>
      </w:pPr>
      <w:r>
        <w:rPr>
          <w:rFonts w:hint="eastAsia" w:ascii="宋体" w:hAnsi="宋体"/>
          <w:color w:val="auto"/>
          <w:szCs w:val="21"/>
        </w:rPr>
        <w:t>采购标的的技术要求、商务要求具体见附件。</w:t>
      </w:r>
    </w:p>
    <w:p w14:paraId="7535B43B">
      <w:pPr>
        <w:numPr>
          <w:ilvl w:val="255"/>
          <w:numId w:val="0"/>
        </w:numPr>
        <w:adjustRightInd w:val="0"/>
        <w:snapToGrid w:val="0"/>
        <w:spacing w:line="400" w:lineRule="exact"/>
        <w:ind w:firstLine="945" w:firstLineChars="450"/>
        <w:rPr>
          <w:rFonts w:hint="eastAsia" w:ascii="宋体" w:hAnsi="宋体" w:cs="宋体"/>
          <w:color w:val="auto"/>
          <w:szCs w:val="21"/>
        </w:rPr>
      </w:pPr>
      <w:r>
        <w:rPr>
          <w:rFonts w:hint="eastAsia" w:ascii="汉仪书宋二S" w:hAnsi="汉仪书宋二S" w:eastAsia="汉仪书宋二S" w:cs="汉仪书宋二S"/>
          <w:color w:val="auto"/>
          <w:szCs w:val="21"/>
        </w:rPr>
        <w:t>①</w:t>
      </w:r>
      <w:r>
        <w:rPr>
          <w:rFonts w:hint="eastAsia" w:ascii="宋体" w:hAnsi="宋体" w:cs="宋体"/>
          <w:color w:val="auto"/>
          <w:szCs w:val="21"/>
        </w:rPr>
        <w:t>涉及信息类产品，请填写该产品关键部件的品牌、型号：</w:t>
      </w:r>
    </w:p>
    <w:p w14:paraId="5F5B85F1">
      <w:pPr>
        <w:numPr>
          <w:ilvl w:val="255"/>
          <w:numId w:val="0"/>
        </w:numPr>
        <w:adjustRightInd w:val="0"/>
        <w:snapToGrid w:val="0"/>
        <w:spacing w:line="400" w:lineRule="exact"/>
        <w:ind w:firstLine="420" w:firstLineChars="200"/>
        <w:rPr>
          <w:rFonts w:hint="eastAsia" w:ascii="宋体" w:hAnsi="宋体" w:cs="宋体"/>
          <w:color w:val="auto"/>
          <w:kern w:val="0"/>
          <w:szCs w:val="21"/>
          <w:u w:val="single"/>
        </w:rPr>
      </w:pPr>
      <w:r>
        <w:rPr>
          <w:rFonts w:hint="eastAsia" w:ascii="宋体" w:hAnsi="宋体" w:cs="宋体"/>
          <w:color w:val="auto"/>
          <w:szCs w:val="21"/>
        </w:rPr>
        <w:t xml:space="preserve">     标的名称：</w:t>
      </w:r>
      <w:r>
        <w:rPr>
          <w:rFonts w:hint="eastAsia" w:ascii="宋体" w:hAnsi="宋体" w:cs="宋体"/>
          <w:color w:val="auto"/>
          <w:kern w:val="0"/>
          <w:szCs w:val="21"/>
          <w:u w:val="single"/>
        </w:rPr>
        <w:t xml:space="preserve">      </w:t>
      </w:r>
      <w:r>
        <w:rPr>
          <w:rFonts w:ascii="宋体" w:hAnsi="宋体" w:cs="宋体"/>
          <w:color w:val="auto"/>
          <w:kern w:val="0"/>
          <w:szCs w:val="21"/>
          <w:u w:val="single"/>
          <w:lang w:val="en"/>
        </w:rPr>
        <w:t xml:space="preserve">               </w:t>
      </w:r>
      <w:r>
        <w:rPr>
          <w:rFonts w:hint="eastAsia" w:ascii="宋体" w:hAnsi="宋体" w:cs="宋体"/>
          <w:color w:val="auto"/>
          <w:kern w:val="0"/>
          <w:szCs w:val="21"/>
          <w:u w:val="single"/>
        </w:rPr>
        <w:t xml:space="preserve">    </w:t>
      </w:r>
    </w:p>
    <w:p w14:paraId="1AB6763B">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关键部件：</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hint="eastAsia" w:ascii="宋体" w:hAnsi="宋体" w:cs="宋体"/>
          <w:color w:val="auto"/>
          <w:szCs w:val="21"/>
        </w:rPr>
        <w:t xml:space="preserve"> 型号：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6732E66">
      <w:pPr>
        <w:pStyle w:val="141"/>
        <w:ind w:firstLine="42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kern w:val="2"/>
          <w:sz w:val="21"/>
        </w:rPr>
        <w:t>关键部件</w:t>
      </w:r>
      <w:r>
        <w:rPr>
          <w:rFonts w:hint="eastAsia" w:ascii="宋体" w:hAnsi="宋体" w:eastAsia="宋体" w:cs="宋体"/>
          <w:color w:val="auto"/>
          <w:sz w:val="21"/>
        </w:rPr>
        <w:t>：</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536E07A2">
      <w:pPr>
        <w:pStyle w:val="141"/>
        <w:ind w:firstLine="420"/>
        <w:rPr>
          <w:rFonts w:hint="eastAsia" w:ascii="宋体" w:hAnsi="宋体" w:eastAsia="宋体" w:cs="宋体"/>
          <w:color w:val="auto"/>
          <w:sz w:val="21"/>
        </w:rPr>
      </w:pPr>
      <w:r>
        <w:rPr>
          <w:rFonts w:hint="eastAsia" w:ascii="宋体" w:hAnsi="宋体" w:eastAsia="宋体" w:cs="宋体"/>
          <w:color w:val="auto"/>
          <w:sz w:val="21"/>
        </w:rPr>
        <w:t xml:space="preserve">     关键部件：</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p>
    <w:p w14:paraId="22CCCA89">
      <w:pPr>
        <w:pStyle w:val="141"/>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（注：关键部件是指财政部会同有关部门发布的政府采购需求标准规定的需要通过国家有关部门指定的测评机构开展的安全可靠测评的软硬件，如CPU芯片、操作系统、数据库等。）</w:t>
      </w:r>
    </w:p>
    <w:p w14:paraId="11E59FAD">
      <w:pPr>
        <w:pStyle w:val="141"/>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汉仪书宋二S" w:hAnsi="汉仪书宋二S" w:eastAsia="汉仪书宋二S" w:cs="汉仪书宋二S"/>
          <w:color w:val="auto"/>
          <w:sz w:val="21"/>
        </w:rPr>
        <w:t>②</w:t>
      </w:r>
      <w:r>
        <w:rPr>
          <w:rFonts w:hint="eastAsia" w:ascii="宋体" w:hAnsi="宋体" w:eastAsia="宋体" w:cs="宋体"/>
          <w:color w:val="auto"/>
          <w:sz w:val="21"/>
        </w:rPr>
        <w:t>涉及车辆采购，请填写是否属于新能源汽车：</w:t>
      </w:r>
    </w:p>
    <w:p w14:paraId="421969FE">
      <w:pPr>
        <w:pStyle w:val="141"/>
        <w:numPr>
          <w:ilvl w:val="255"/>
          <w:numId w:val="0"/>
        </w:numPr>
        <w:snapToGrid w:val="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是，《政府采购品目分类目录》底级品目名称：</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数量：</w:t>
      </w:r>
      <w:r>
        <w:rPr>
          <w:rFonts w:hint="eastAsia" w:asciiTheme="minorEastAsia" w:hAnsiTheme="minorEastAsia" w:eastAsiaTheme="minorEastAsia" w:cstheme="minorEastAsia"/>
          <w:color w:val="auto"/>
          <w:sz w:val="21"/>
          <w:u w:val="single"/>
        </w:rPr>
        <w:t xml:space="preserve"> </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金额：</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w:t>
      </w:r>
    </w:p>
    <w:p w14:paraId="1AAB3694">
      <w:pPr>
        <w:pStyle w:val="141"/>
        <w:numPr>
          <w:ilvl w:val="255"/>
          <w:numId w:val="0"/>
        </w:numPr>
        <w:snapToGrid w:val="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否</w:t>
      </w:r>
    </w:p>
    <w:p w14:paraId="4425B2A9">
      <w:pPr>
        <w:pStyle w:val="141"/>
        <w:numPr>
          <w:ilvl w:val="255"/>
          <w:numId w:val="0"/>
        </w:numPr>
        <w:snapToGrid w:val="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asciiTheme="minorEastAsia" w:hAnsiTheme="minorEastAsia" w:eastAsiaTheme="minorEastAsia" w:cstheme="minorEastAsia"/>
          <w:color w:val="auto"/>
          <w:sz w:val="21"/>
          <w:lang w:val="en"/>
        </w:rPr>
        <w:t>4</w:t>
      </w:r>
      <w:r>
        <w:rPr>
          <w:rFonts w:hint="eastAsia" w:asciiTheme="minorEastAsia" w:hAnsiTheme="minorEastAsia" w:eastAsiaTheme="minorEastAsia" w:cstheme="minorEastAsia"/>
          <w:color w:val="auto"/>
          <w:sz w:val="21"/>
        </w:rPr>
        <w:t>）政府采购组织形式：</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政府集中采购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部门集中采购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分散采购</w:t>
      </w:r>
    </w:p>
    <w:p w14:paraId="07FA940E">
      <w:pPr>
        <w:pStyle w:val="141"/>
        <w:numPr>
          <w:ilvl w:val="255"/>
          <w:numId w:val="0"/>
        </w:numPr>
        <w:snapToGrid w:val="0"/>
        <w:ind w:firstLine="42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w:t>
      </w:r>
      <w:r>
        <w:rPr>
          <w:rFonts w:asciiTheme="minorEastAsia" w:hAnsiTheme="minorEastAsia" w:eastAsiaTheme="minorEastAsia" w:cstheme="minorEastAsia"/>
          <w:color w:val="auto"/>
          <w:sz w:val="21"/>
          <w:lang w:val="en"/>
        </w:rPr>
        <w:t>5</w:t>
      </w:r>
      <w:r>
        <w:rPr>
          <w:rFonts w:hint="eastAsia" w:asciiTheme="minorEastAsia" w:hAnsiTheme="minorEastAsia" w:eastAsiaTheme="minorEastAsia" w:cstheme="minorEastAsia"/>
          <w:color w:val="auto"/>
          <w:sz w:val="21"/>
        </w:rPr>
        <w:t>）政府采购方式：</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公开招标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邀请招标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竞争性谈判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竞争性磋商</w:t>
      </w:r>
    </w:p>
    <w:p w14:paraId="68D5DA29">
      <w:pPr>
        <w:pStyle w:val="141"/>
        <w:numPr>
          <w:ilvl w:val="255"/>
          <w:numId w:val="0"/>
        </w:numPr>
        <w:snapToGrid w:val="0"/>
        <w:ind w:firstLine="420"/>
        <w:rPr>
          <w:rFonts w:hint="eastAsia" w:ascii="宋体" w:hAnsi="宋体" w:eastAsia="宋体" w:cs="宋体"/>
          <w:color w:val="auto"/>
          <w:sz w:val="21"/>
          <w:u w:val="single"/>
        </w:rPr>
      </w:pPr>
      <w:r>
        <w:rPr>
          <w:rFonts w:hint="eastAsia" w:ascii="宋体" w:hAnsi="宋体" w:cs="宋体"/>
          <w:color w:val="auto"/>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询价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单一来源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框架协议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其他：</w:t>
      </w:r>
      <w:r>
        <w:rPr>
          <w:rFonts w:hint="eastAsia" w:ascii="宋体" w:hAnsi="宋体" w:eastAsia="宋体" w:cs="宋体"/>
          <w:color w:val="auto"/>
          <w:sz w:val="21"/>
          <w:u w:val="single"/>
        </w:rPr>
        <w:t xml:space="preserve">          </w:t>
      </w:r>
    </w:p>
    <w:p w14:paraId="5145CE50">
      <w:pPr>
        <w:pStyle w:val="141"/>
        <w:numPr>
          <w:ilvl w:val="255"/>
          <w:numId w:val="0"/>
        </w:numPr>
        <w:snapToGrid w:val="0"/>
        <w:ind w:firstLine="420"/>
        <w:rPr>
          <w:rFonts w:hint="eastAsia" w:ascii="宋体" w:hAnsi="宋体" w:eastAsia="宋体" w:cs="宋体"/>
          <w:color w:val="auto"/>
          <w:sz w:val="21"/>
        </w:rPr>
      </w:pPr>
      <w:r>
        <w:rPr>
          <w:rFonts w:hint="eastAsia" w:ascii="宋体" w:hAnsi="宋体" w:eastAsia="宋体" w:cs="宋体"/>
          <w:color w:val="auto"/>
          <w:sz w:val="21"/>
        </w:rPr>
        <w:t>（注：在框架协议采购的第二阶段，可选择使用该合同文本）</w:t>
      </w:r>
    </w:p>
    <w:p w14:paraId="5FEDB3EC">
      <w:pPr>
        <w:pStyle w:val="141"/>
        <w:numPr>
          <w:ilvl w:val="255"/>
          <w:numId w:val="0"/>
        </w:numPr>
        <w:snapToGrid w:val="0"/>
        <w:ind w:firstLine="220" w:firstLineChars="100"/>
        <w:rPr>
          <w:rFonts w:hint="eastAsia" w:ascii="宋体" w:hAnsi="宋体" w:eastAsia="宋体" w:cs="Times New Roman"/>
          <w:color w:val="auto"/>
          <w:kern w:val="2"/>
          <w:sz w:val="21"/>
        </w:rPr>
      </w:pPr>
      <w:r>
        <w:rPr>
          <w:rFonts w:hint="eastAsia" w:ascii="宋体" w:hAnsi="宋体"/>
          <w:color w:val="auto"/>
        </w:rPr>
        <w:t xml:space="preserve"> （</w:t>
      </w:r>
      <w:r>
        <w:rPr>
          <w:rFonts w:ascii="宋体" w:hAnsi="宋体"/>
          <w:color w:val="auto"/>
          <w:lang w:val="en"/>
        </w:rPr>
        <w:t>6</w:t>
      </w:r>
      <w:r>
        <w:rPr>
          <w:rFonts w:hint="eastAsia" w:ascii="宋体" w:hAnsi="宋体"/>
          <w:color w:val="auto"/>
        </w:rPr>
        <w:t>）</w:t>
      </w:r>
      <w:r>
        <w:rPr>
          <w:rFonts w:hint="eastAsia" w:ascii="宋体" w:hAnsi="宋体" w:eastAsia="宋体" w:cs="Times New Roman"/>
          <w:color w:val="auto"/>
          <w:kern w:val="2"/>
          <w:sz w:val="21"/>
        </w:rPr>
        <w:t>中标（成交）采购标的制造商是否为中小企业：</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 xml:space="preserve">是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689D81D8">
      <w:pPr>
        <w:numPr>
          <w:ilvl w:val="255"/>
          <w:numId w:val="0"/>
        </w:numPr>
        <w:adjustRightInd w:val="0"/>
        <w:snapToGrid w:val="0"/>
        <w:spacing w:line="400" w:lineRule="exact"/>
        <w:rPr>
          <w:rFonts w:hint="eastAsia" w:ascii="宋体" w:hAnsi="宋体"/>
          <w:iCs/>
          <w:color w:val="auto"/>
          <w:szCs w:val="21"/>
        </w:rPr>
      </w:pPr>
      <w:r>
        <w:rPr>
          <w:rFonts w:hint="eastAsia" w:ascii="宋体" w:hAnsi="宋体"/>
          <w:color w:val="auto"/>
          <w:szCs w:val="21"/>
        </w:rPr>
        <w:t xml:space="preserve">         本合同是否为专门面向中小企业的采购合同（中小企业预留合同）：</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4361CBB">
      <w:pPr>
        <w:numPr>
          <w:ilvl w:val="255"/>
          <w:numId w:val="0"/>
        </w:numPr>
        <w:adjustRightInd w:val="0"/>
        <w:snapToGrid w:val="0"/>
        <w:spacing w:line="400" w:lineRule="exact"/>
        <w:rPr>
          <w:rFonts w:hint="eastAsia" w:ascii="宋体" w:hAnsi="宋体"/>
          <w:iCs/>
          <w:color w:val="auto"/>
          <w:szCs w:val="21"/>
        </w:rPr>
      </w:pPr>
      <w:r>
        <w:rPr>
          <w:rFonts w:hint="eastAsia"/>
          <w:color w:val="auto"/>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2C16277">
      <w:pPr>
        <w:numPr>
          <w:ilvl w:val="255"/>
          <w:numId w:val="0"/>
        </w:numPr>
        <w:adjustRightInd w:val="0"/>
        <w:snapToGrid w:val="0"/>
        <w:spacing w:line="400" w:lineRule="exact"/>
        <w:rPr>
          <w:rFonts w:hint="eastAsia" w:ascii="宋体" w:hAnsi="宋体"/>
          <w:iCs/>
          <w:color w:val="auto"/>
          <w:szCs w:val="21"/>
        </w:rPr>
      </w:pPr>
      <w:r>
        <w:rPr>
          <w:rFonts w:hint="eastAsia"/>
          <w:color w:val="auto"/>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7FA228EF">
      <w:pPr>
        <w:snapToGrid w:val="0"/>
        <w:spacing w:line="400" w:lineRule="exact"/>
        <w:rPr>
          <w:color w:val="auto"/>
        </w:rPr>
      </w:pPr>
      <w:r>
        <w:rPr>
          <w:rFonts w:hint="eastAsia"/>
          <w:color w:val="auto"/>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39DC7B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lang w:val="e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7AEC9DF">
      <w:pPr>
        <w:adjustRightInd w:val="0"/>
        <w:snapToGrid w:val="0"/>
        <w:spacing w:line="400" w:lineRule="exact"/>
        <w:ind w:firstLine="840" w:firstLineChars="400"/>
        <w:rPr>
          <w:rFonts w:hint="eastAsia" w:ascii="宋体" w:hAnsi="宋体"/>
          <w:color w:val="auto"/>
          <w:szCs w:val="21"/>
          <w:u w:val="single"/>
        </w:rPr>
      </w:pPr>
      <w:r>
        <w:rPr>
          <w:rFonts w:hint="eastAsia" w:ascii="宋体" w:hAnsi="宋体"/>
          <w:color w:val="auto"/>
          <w:szCs w:val="21"/>
        </w:rPr>
        <w:t xml:space="preserve"> 分包主要内容：</w:t>
      </w:r>
      <w:r>
        <w:rPr>
          <w:rFonts w:hint="eastAsia" w:ascii="宋体" w:hAnsi="宋体"/>
          <w:color w:val="auto"/>
          <w:szCs w:val="21"/>
          <w:u w:val="single"/>
        </w:rPr>
        <w:t xml:space="preserve">                                            </w:t>
      </w:r>
    </w:p>
    <w:p w14:paraId="486F5899">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分包供应商/制造商名称（如供应商和制造商不同，请分别填写）：</w:t>
      </w:r>
    </w:p>
    <w:p w14:paraId="1F29AD48">
      <w:pPr>
        <w:adjustRightInd w:val="0"/>
        <w:snapToGrid w:val="0"/>
        <w:spacing w:line="400" w:lineRule="exact"/>
        <w:ind w:firstLine="840" w:firstLineChars="400"/>
        <w:rPr>
          <w:rFonts w:hint="eastAsia"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u w:val="single"/>
        </w:rPr>
        <w:t xml:space="preserve">                                                          </w:t>
      </w:r>
    </w:p>
    <w:p w14:paraId="43374179">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分包供应商/制造商类型（如果供应商和制造商不同，只填写制造商类型）：</w:t>
      </w:r>
    </w:p>
    <w:p w14:paraId="1A155652">
      <w:pPr>
        <w:adjustRightInd w:val="0"/>
        <w:snapToGrid w:val="0"/>
        <w:spacing w:line="400" w:lineRule="exact"/>
        <w:ind w:firstLine="840" w:firstLineChars="400"/>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 xml:space="preserve">小微型企业  </w:t>
      </w:r>
    </w:p>
    <w:p w14:paraId="47DA8EC1">
      <w:pPr>
        <w:adjustRightInd w:val="0"/>
        <w:snapToGrid w:val="0"/>
        <w:spacing w:line="400" w:lineRule="exact"/>
        <w:ind w:firstLine="840" w:firstLineChars="400"/>
        <w:rPr>
          <w:rFonts w:eastAsia="华文楷体"/>
          <w:color w:val="auto"/>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残疾人福利性单位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其他</w:t>
      </w:r>
    </w:p>
    <w:p w14:paraId="41103B8B">
      <w:pPr>
        <w:numPr>
          <w:ilvl w:val="255"/>
          <w:numId w:val="0"/>
        </w:numPr>
        <w:adjustRightInd w:val="0"/>
        <w:snapToGrid w:val="0"/>
        <w:spacing w:line="400" w:lineRule="exact"/>
        <w:rPr>
          <w:rFonts w:hint="eastAsia" w:ascii="宋体" w:hAnsi="宋体" w:cs="宋体"/>
          <w:iCs/>
          <w:color w:val="auto"/>
          <w:szCs w:val="21"/>
        </w:rPr>
      </w:pPr>
      <w:r>
        <w:rPr>
          <w:rFonts w:hint="eastAsia" w:ascii="宋体" w:hAnsi="宋体"/>
          <w:color w:val="auto"/>
          <w:szCs w:val="21"/>
        </w:rPr>
        <w:t xml:space="preserve">    </w:t>
      </w:r>
      <w:r>
        <w:rPr>
          <w:rFonts w:hint="eastAsia" w:ascii="宋体" w:hAnsi="宋体" w:cs="宋体"/>
          <w:color w:val="auto"/>
          <w:szCs w:val="21"/>
        </w:rPr>
        <w:t>（</w:t>
      </w:r>
      <w:r>
        <w:rPr>
          <w:rFonts w:ascii="宋体" w:hAnsi="宋体" w:cs="宋体"/>
          <w:color w:val="auto"/>
          <w:szCs w:val="21"/>
          <w:lang w:val="en"/>
        </w:rPr>
        <w:t>8</w:t>
      </w:r>
      <w:r>
        <w:rPr>
          <w:rFonts w:hint="eastAsia" w:ascii="宋体" w:hAnsi="宋体" w:cs="宋体"/>
          <w:color w:val="auto"/>
          <w:szCs w:val="21"/>
        </w:rPr>
        <w:t>）中标（成交）供应商是否为外商投资企业：</w:t>
      </w:r>
      <w:r>
        <w:rPr>
          <w:rFonts w:hint="eastAsia" w:ascii="宋体" w:hAnsi="宋体" w:cs="宋体"/>
          <w:iCs/>
          <w:color w:val="auto"/>
          <w:szCs w:val="21"/>
        </w:rPr>
        <w:sym w:font="Wingdings" w:char="00A8"/>
      </w:r>
      <w:r>
        <w:rPr>
          <w:rFonts w:hint="eastAsia" w:ascii="宋体" w:hAnsi="宋体" w:cs="宋体"/>
          <w:iCs/>
          <w:color w:val="auto"/>
          <w:szCs w:val="21"/>
        </w:rPr>
        <w:t xml:space="preserve">是       </w:t>
      </w:r>
      <w:r>
        <w:rPr>
          <w:rFonts w:hint="eastAsia" w:ascii="宋体" w:hAnsi="宋体" w:cs="宋体"/>
          <w:iCs/>
          <w:color w:val="auto"/>
          <w:szCs w:val="21"/>
        </w:rPr>
        <w:sym w:font="Wingdings" w:char="00A8"/>
      </w:r>
      <w:r>
        <w:rPr>
          <w:rFonts w:hint="eastAsia" w:ascii="宋体" w:hAnsi="宋体" w:cs="宋体"/>
          <w:iCs/>
          <w:color w:val="auto"/>
          <w:szCs w:val="21"/>
        </w:rPr>
        <w:t>否</w:t>
      </w:r>
    </w:p>
    <w:p w14:paraId="18154C1F">
      <w:pPr>
        <w:pStyle w:val="141"/>
        <w:tabs>
          <w:tab w:val="left" w:pos="1340"/>
        </w:tabs>
        <w:ind w:firstLine="420"/>
        <w:rPr>
          <w:rFonts w:hint="eastAsia" w:ascii="宋体" w:hAnsi="宋体" w:eastAsia="宋体" w:cs="宋体"/>
          <w:color w:val="auto"/>
          <w:sz w:val="21"/>
          <w:u w:val="single"/>
        </w:rPr>
      </w:pPr>
      <w:r>
        <w:rPr>
          <w:rFonts w:hint="eastAsia" w:ascii="宋体" w:hAnsi="宋体" w:eastAsia="宋体" w:cs="宋体"/>
          <w:color w:val="auto"/>
          <w:sz w:val="21"/>
        </w:rPr>
        <w:t xml:space="preserve">     外商投资企业类型：</w:t>
      </w:r>
      <w:r>
        <w:rPr>
          <w:rFonts w:hint="eastAsia" w:ascii="宋体" w:hAnsi="宋体" w:eastAsia="宋体" w:cs="宋体"/>
          <w:iCs/>
          <w:color w:val="auto"/>
          <w:sz w:val="21"/>
        </w:rPr>
        <w:sym w:font="Wingdings" w:char="00A8"/>
      </w:r>
      <w:r>
        <w:rPr>
          <w:rFonts w:hint="eastAsia" w:ascii="宋体" w:hAnsi="宋体" w:eastAsia="宋体" w:cs="宋体"/>
          <w:color w:val="auto"/>
          <w:sz w:val="21"/>
        </w:rPr>
        <w:t xml:space="preserve">全部由外国投资者投资  </w:t>
      </w:r>
      <w:r>
        <w:rPr>
          <w:rFonts w:hint="eastAsia" w:ascii="宋体" w:hAnsi="宋体" w:eastAsia="宋体" w:cs="宋体"/>
          <w:iCs/>
          <w:color w:val="auto"/>
          <w:sz w:val="21"/>
        </w:rPr>
        <w:sym w:font="Wingdings" w:char="00A8"/>
      </w:r>
      <w:r>
        <w:rPr>
          <w:rFonts w:hint="eastAsia" w:ascii="宋体" w:hAnsi="宋体" w:eastAsia="宋体" w:cs="宋体"/>
          <w:iCs/>
          <w:color w:val="auto"/>
          <w:sz w:val="21"/>
        </w:rPr>
        <w:t>部分由外国投资者投资</w:t>
      </w:r>
    </w:p>
    <w:p w14:paraId="06A3F8A7">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lang w:val="en"/>
        </w:rPr>
        <w:t>9</w:t>
      </w:r>
      <w:r>
        <w:rPr>
          <w:rFonts w:hint="eastAsia" w:ascii="宋体" w:hAnsi="宋体" w:cs="宋体"/>
          <w:color w:val="auto"/>
          <w:szCs w:val="21"/>
        </w:rPr>
        <w:t>）是否涉及进口产品：</w:t>
      </w:r>
    </w:p>
    <w:p w14:paraId="5888F738">
      <w:pPr>
        <w:numPr>
          <w:ilvl w:val="255"/>
          <w:numId w:val="0"/>
        </w:numPr>
        <w:adjustRightInd w:val="0"/>
        <w:snapToGrid w:val="0"/>
        <w:spacing w:line="400" w:lineRule="exact"/>
        <w:ind w:firstLine="840" w:firstLineChars="400"/>
        <w:rPr>
          <w:rFonts w:hint="eastAsia"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rPr>
        <w:sym w:font="Wingdings" w:char="00A8"/>
      </w:r>
      <w:r>
        <w:rPr>
          <w:rFonts w:hint="eastAsia" w:ascii="宋体" w:hAnsi="宋体" w:cs="宋体"/>
          <w:color w:val="auto"/>
          <w:szCs w:val="21"/>
        </w:rPr>
        <w:t>是，《政府采购品目分类目录》底级品目名称：</w:t>
      </w:r>
      <w:r>
        <w:rPr>
          <w:rFonts w:hint="eastAsia" w:ascii="宋体" w:hAnsi="宋体" w:cs="宋体"/>
          <w:color w:val="auto"/>
          <w:szCs w:val="21"/>
          <w:u w:val="single"/>
        </w:rPr>
        <w:t xml:space="preserve">         </w:t>
      </w:r>
      <w:r>
        <w:rPr>
          <w:rFonts w:hint="eastAsia" w:ascii="宋体" w:hAnsi="宋体" w:cs="宋体"/>
          <w:color w:val="auto"/>
          <w:szCs w:val="21"/>
        </w:rPr>
        <w:t xml:space="preserve"> 金额：</w:t>
      </w:r>
      <w:r>
        <w:rPr>
          <w:rFonts w:hint="eastAsia" w:ascii="宋体" w:hAnsi="宋体" w:cs="宋体"/>
          <w:color w:val="auto"/>
          <w:szCs w:val="21"/>
          <w:u w:val="single"/>
        </w:rPr>
        <w:t xml:space="preserve">        </w:t>
      </w:r>
    </w:p>
    <w:p w14:paraId="24DE52FD">
      <w:pPr>
        <w:numPr>
          <w:ilvl w:val="255"/>
          <w:numId w:val="0"/>
        </w:numPr>
        <w:adjustRightInd w:val="0"/>
        <w:snapToGrid w:val="0"/>
        <w:spacing w:line="400" w:lineRule="exact"/>
        <w:ind w:firstLine="840" w:firstLineChars="400"/>
        <w:rPr>
          <w:rFonts w:hint="eastAsia" w:ascii="宋体" w:hAnsi="宋体"/>
          <w:color w:val="auto"/>
          <w:szCs w:val="21"/>
        </w:rPr>
      </w:pPr>
      <w:r>
        <w:rPr>
          <w:rFonts w:hint="eastAsia" w:ascii="宋体" w:hAnsi="宋体" w:cs="宋体"/>
          <w:color w:val="auto"/>
          <w:szCs w:val="21"/>
        </w:rPr>
        <w:t xml:space="preserve">        国别：</w:t>
      </w:r>
      <w:r>
        <w:rPr>
          <w:rFonts w:hint="eastAsia" w:ascii="宋体" w:hAnsi="宋体" w:cs="宋体"/>
          <w:color w:val="auto"/>
          <w:szCs w:val="21"/>
          <w:u w:val="single"/>
        </w:rPr>
        <w:t xml:space="preserve">        </w:t>
      </w:r>
      <w:r>
        <w:rPr>
          <w:rFonts w:hint="eastAsia" w:ascii="宋体" w:hAnsi="宋体" w:cs="宋体"/>
          <w:color w:val="auto"/>
          <w:szCs w:val="21"/>
        </w:rPr>
        <w:t xml:space="preserve"> 品牌：</w:t>
      </w:r>
      <w:r>
        <w:rPr>
          <w:rFonts w:hint="eastAsia" w:ascii="宋体" w:hAnsi="宋体" w:cs="宋体"/>
          <w:color w:val="auto"/>
          <w:szCs w:val="21"/>
          <w:u w:val="single"/>
        </w:rPr>
        <w:t xml:space="preserve">        </w:t>
      </w:r>
      <w:r>
        <w:rPr>
          <w:rFonts w:hint="eastAsia" w:ascii="宋体" w:hAnsi="宋体" w:cs="宋体"/>
          <w:color w:val="auto"/>
          <w:szCs w:val="21"/>
        </w:rPr>
        <w:t xml:space="preserve"> 规格型号：</w:t>
      </w:r>
      <w:r>
        <w:rPr>
          <w:rFonts w:hint="eastAsia" w:ascii="宋体" w:hAnsi="宋体" w:cs="宋体"/>
          <w:color w:val="auto"/>
          <w:szCs w:val="21"/>
          <w:u w:val="single"/>
        </w:rPr>
        <w:t xml:space="preserve">        </w:t>
      </w:r>
      <w:r>
        <w:rPr>
          <w:rFonts w:hint="eastAsia" w:ascii="宋体" w:hAnsi="宋体"/>
          <w:color w:val="auto"/>
          <w:szCs w:val="21"/>
        </w:rPr>
        <w:t xml:space="preserve">      </w:t>
      </w:r>
    </w:p>
    <w:p w14:paraId="0C469FE6">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452959A3">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lang w:val="en"/>
        </w:rPr>
        <w:t>0</w:t>
      </w:r>
      <w:r>
        <w:rPr>
          <w:rFonts w:hint="eastAsia" w:ascii="宋体" w:hAnsi="宋体"/>
          <w:color w:val="auto"/>
          <w:szCs w:val="21"/>
        </w:rPr>
        <w:t>）是否涉及节能产品：</w:t>
      </w:r>
    </w:p>
    <w:p w14:paraId="3FF186E2">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是，《节能产品政府采购品目清单》的底级品目名称：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5EEB4BAB">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506F916">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2CF6D432">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是否涉及环境标志产品：</w:t>
      </w:r>
    </w:p>
    <w:p w14:paraId="068F36AB">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是，《环境标志产品政府采购品目清单》的底级品目名称：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66962D3E">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DDA9694">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3010DAC0">
      <w:pPr>
        <w:pStyle w:val="141"/>
        <w:numPr>
          <w:ilvl w:val="255"/>
          <w:numId w:val="0"/>
        </w:numPr>
        <w:snapToGrid w:val="0"/>
        <w:rPr>
          <w:rFonts w:hint="eastAsia" w:ascii="宋体" w:hAnsi="宋体" w:eastAsia="宋体" w:cs="Times New Roman"/>
          <w:color w:val="auto"/>
          <w:kern w:val="2"/>
          <w:sz w:val="21"/>
        </w:rPr>
      </w:pPr>
      <w:r>
        <w:rPr>
          <w:rFonts w:hint="eastAsia" w:ascii="宋体" w:hAnsi="宋体"/>
          <w:color w:val="auto"/>
          <w:sz w:val="21"/>
        </w:rPr>
        <w:t xml:space="preserve">          </w:t>
      </w:r>
      <w:r>
        <w:rPr>
          <w:rFonts w:hint="eastAsia" w:ascii="宋体" w:hAnsi="宋体" w:eastAsia="宋体" w:cs="Times New Roman"/>
          <w:color w:val="auto"/>
          <w:kern w:val="2"/>
          <w:sz w:val="21"/>
        </w:rPr>
        <w:t xml:space="preserve">是否涉及绿色产品： </w:t>
      </w:r>
    </w:p>
    <w:p w14:paraId="15C16AC2">
      <w:pPr>
        <w:pStyle w:val="141"/>
        <w:ind w:firstLine="420" w:firstLineChars="0"/>
        <w:rPr>
          <w:rFonts w:hint="eastAsia" w:ascii="宋体" w:hAnsi="宋体" w:eastAsia="宋体"/>
          <w:color w:val="auto"/>
          <w:u w:val="single"/>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是，绿色产品政府采购相关政策确定的底级品目名称：</w:t>
      </w:r>
      <w:r>
        <w:rPr>
          <w:rFonts w:hint="eastAsia" w:ascii="宋体" w:hAnsi="宋体" w:eastAsia="宋体"/>
          <w:color w:val="auto"/>
          <w:u w:val="single"/>
        </w:rPr>
        <w:t xml:space="preserve">         </w:t>
      </w:r>
    </w:p>
    <w:p w14:paraId="1ADC50A7">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65B6C912">
      <w:pPr>
        <w:pStyle w:val="141"/>
        <w:ind w:firstLine="420" w:firstLineChars="0"/>
        <w:rPr>
          <w:rFonts w:hint="eastAsia" w:ascii="宋体" w:hAnsi="宋体"/>
          <w:color w:val="auto"/>
          <w:sz w:val="21"/>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3F922894">
      <w:pPr>
        <w:numPr>
          <w:ilvl w:val="255"/>
          <w:numId w:val="0"/>
        </w:numPr>
        <w:adjustRightInd w:val="0"/>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lang w:val="en"/>
        </w:rPr>
        <w:t>1</w:t>
      </w:r>
      <w:r>
        <w:rPr>
          <w:rFonts w:hint="eastAsia" w:ascii="宋体" w:hAnsi="宋体"/>
          <w:color w:val="auto"/>
          <w:szCs w:val="21"/>
        </w:rPr>
        <w:t>）涉及商品包装和快递包装的，是否参考《商品包装政府采购需求标准（试行）》、《快递包装政府采购需求标准（试行）》明确产品及相关快递服务的具体包装要求：</w:t>
      </w:r>
    </w:p>
    <w:p w14:paraId="5ABF2B2A">
      <w:pPr>
        <w:numPr>
          <w:ilvl w:val="255"/>
          <w:numId w:val="0"/>
        </w:num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 xml:space="preserve">是       </w:t>
      </w:r>
      <w:r>
        <w:rPr>
          <w:rFonts w:hint="eastAsia" w:ascii="宋体" w:hAnsi="宋体"/>
          <w:color w:val="auto"/>
          <w:szCs w:val="21"/>
        </w:rPr>
        <w:sym w:font="Wingdings" w:char="00A8"/>
      </w:r>
      <w:r>
        <w:rPr>
          <w:rFonts w:hint="eastAsia" w:ascii="宋体" w:hAnsi="宋体"/>
          <w:color w:val="auto"/>
          <w:szCs w:val="21"/>
        </w:rPr>
        <w:t xml:space="preserve">否      </w:t>
      </w:r>
      <w:r>
        <w:rPr>
          <w:rFonts w:hint="eastAsia" w:ascii="宋体" w:hAnsi="宋体"/>
          <w:color w:val="auto"/>
          <w:szCs w:val="21"/>
        </w:rPr>
        <w:sym w:font="Wingdings" w:char="00A8"/>
      </w:r>
      <w:r>
        <w:rPr>
          <w:rFonts w:hint="eastAsia" w:ascii="宋体" w:hAnsi="宋体"/>
          <w:color w:val="auto"/>
          <w:szCs w:val="21"/>
        </w:rPr>
        <w:t>不涉及</w:t>
      </w:r>
    </w:p>
    <w:p w14:paraId="0D001AAF">
      <w:pPr>
        <w:numPr>
          <w:ilvl w:val="0"/>
          <w:numId w:val="5"/>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合同金额</w:t>
      </w:r>
    </w:p>
    <w:p w14:paraId="3D07038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14:paraId="070E8AD5">
      <w:pPr>
        <w:adjustRightInd w:val="0"/>
        <w:snapToGrid w:val="0"/>
        <w:spacing w:line="400" w:lineRule="exact"/>
        <w:rPr>
          <w:rFonts w:hint="eastAsia"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09E2486F">
      <w:pPr>
        <w:adjustRightInd w:val="0"/>
        <w:snapToGrid w:val="0"/>
        <w:spacing w:line="400" w:lineRule="exact"/>
        <w:rPr>
          <w:rFonts w:hint="eastAsia" w:ascii="宋体" w:hAnsi="宋体"/>
          <w:color w:val="auto"/>
          <w:szCs w:val="21"/>
        </w:rPr>
      </w:pPr>
      <w:r>
        <w:rPr>
          <w:rFonts w:hint="eastAsia" w:ascii="宋体" w:hAnsi="宋体"/>
          <w:color w:val="auto"/>
          <w:szCs w:val="21"/>
        </w:rPr>
        <w:t xml:space="preserve">         分包金额（如有）小写：</w:t>
      </w:r>
      <w:r>
        <w:rPr>
          <w:rFonts w:hint="eastAsia" w:ascii="宋体" w:hAnsi="宋体"/>
          <w:color w:val="auto"/>
          <w:szCs w:val="21"/>
          <w:u w:val="single"/>
        </w:rPr>
        <w:t xml:space="preserve">                   </w:t>
      </w:r>
    </w:p>
    <w:p w14:paraId="52C5DEF7">
      <w:pPr>
        <w:adjustRightInd w:val="0"/>
        <w:snapToGrid w:val="0"/>
        <w:spacing w:line="400" w:lineRule="exact"/>
        <w:rPr>
          <w:rFonts w:hint="eastAsia"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0121301E">
      <w:pPr>
        <w:adjustRightInd w:val="0"/>
        <w:snapToGrid w:val="0"/>
        <w:spacing w:line="400" w:lineRule="exact"/>
        <w:rPr>
          <w:rFonts w:hint="eastAsia" w:ascii="宋体" w:hAnsi="宋体"/>
          <w:color w:val="auto"/>
          <w:szCs w:val="21"/>
        </w:rPr>
      </w:pPr>
      <w:r>
        <w:rPr>
          <w:rFonts w:hint="eastAsia" w:ascii="宋体" w:hAnsi="宋体"/>
          <w:color w:val="auto"/>
          <w:szCs w:val="21"/>
        </w:rPr>
        <w:t xml:space="preserve">    （注：固定单价合同应填写单价和最高限价）</w:t>
      </w:r>
    </w:p>
    <w:p w14:paraId="1276F23E">
      <w:pPr>
        <w:numPr>
          <w:ilvl w:val="255"/>
          <w:numId w:val="0"/>
        </w:numPr>
        <w:adjustRightInd w:val="0"/>
        <w:snapToGrid w:val="0"/>
        <w:spacing w:line="400" w:lineRule="exact"/>
        <w:rPr>
          <w:rFonts w:hint="eastAsia" w:ascii="宋体" w:hAnsi="宋体"/>
          <w:color w:val="auto"/>
          <w:szCs w:val="21"/>
        </w:rPr>
      </w:pPr>
      <w:r>
        <w:rPr>
          <w:rFonts w:hint="eastAsia" w:ascii="宋体" w:hAnsi="宋体"/>
          <w:color w:val="auto"/>
          <w:szCs w:val="21"/>
        </w:rPr>
        <w:t xml:space="preserve">    （2）合同定价方式（采用组合定价方式的，可以勾选多项）：</w:t>
      </w:r>
    </w:p>
    <w:p w14:paraId="1AF07F84">
      <w:pPr>
        <w:adjustRightInd w:val="0"/>
        <w:snapToGrid w:val="0"/>
        <w:spacing w:line="400" w:lineRule="exact"/>
        <w:ind w:firstLine="420" w:firstLineChars="200"/>
        <w:rPr>
          <w:rFonts w:hint="eastAsia" w:ascii="宋体" w:hAnsi="宋体"/>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 xml:space="preserve">固定单价 </w:t>
      </w:r>
      <w:r>
        <w:rPr>
          <w:rFonts w:hint="eastAsia" w:ascii="宋体" w:hAnsi="宋体"/>
          <w:iCs/>
          <w:color w:val="auto"/>
          <w:szCs w:val="21"/>
        </w:rPr>
        <w:sym w:font="Wingdings" w:char="00A8"/>
      </w:r>
      <w:r>
        <w:rPr>
          <w:rFonts w:hint="eastAsia" w:ascii="宋体" w:hAnsi="宋体"/>
          <w:iCs/>
          <w:color w:val="auto"/>
          <w:szCs w:val="21"/>
        </w:rPr>
        <w:t xml:space="preserve">固定费率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 xml:space="preserve">绩效激励 </w:t>
      </w:r>
      <w:r>
        <w:rPr>
          <w:rFonts w:hint="eastAsia" w:ascii="宋体" w:hAnsi="宋体"/>
          <w:iCs/>
          <w:color w:val="auto"/>
          <w:szCs w:val="21"/>
        </w:rPr>
        <w:sym w:font="Wingdings" w:char="00A8"/>
      </w:r>
      <w:r>
        <w:rPr>
          <w:rFonts w:hint="eastAsia" w:ascii="宋体" w:hAnsi="宋体"/>
          <w:iCs/>
          <w:color w:val="auto"/>
          <w:szCs w:val="21"/>
        </w:rPr>
        <w:t>其他</w:t>
      </w:r>
      <w:r>
        <w:rPr>
          <w:rFonts w:hint="eastAsia" w:ascii="宋体" w:hAnsi="宋体"/>
          <w:color w:val="auto"/>
          <w:szCs w:val="21"/>
          <w:u w:val="single"/>
        </w:rPr>
        <w:t xml:space="preserve">       </w:t>
      </w:r>
    </w:p>
    <w:p w14:paraId="697463DE">
      <w:pPr>
        <w:pStyle w:val="91"/>
        <w:spacing w:line="400" w:lineRule="exact"/>
        <w:rPr>
          <w:color w:val="auto"/>
        </w:rPr>
      </w:pPr>
      <w:r>
        <w:rPr>
          <w:rFonts w:hint="eastAsia" w:ascii="宋体" w:hAnsi="宋体"/>
          <w:color w:val="auto"/>
        </w:rPr>
        <w:t>（3）付款方式（按项目实际勾选填写）：</w:t>
      </w:r>
    </w:p>
    <w:p w14:paraId="0E2421D6">
      <w:pPr>
        <w:adjustRightInd w:val="0"/>
        <w:snapToGrid w:val="0"/>
        <w:spacing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（应明确一次性支付合同款项的条件）                    </w:t>
      </w:r>
    </w:p>
    <w:p w14:paraId="7A4A91DF">
      <w:pPr>
        <w:snapToGrid w:val="0"/>
        <w:spacing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（应明确分期支付合同款项的各期比例和支付条件，各期支付条件应与分期履约验收情况挂钩） </w:t>
      </w:r>
      <w:r>
        <w:rPr>
          <w:rFonts w:hint="eastAsia" w:ascii="宋体" w:hAnsi="宋体"/>
          <w:color w:val="auto"/>
          <w:szCs w:val="21"/>
        </w:rPr>
        <w:t>，其中涉及预付款的：</w:t>
      </w:r>
      <w:r>
        <w:rPr>
          <w:rFonts w:hint="eastAsia" w:ascii="宋体" w:hAnsi="宋体"/>
          <w:color w:val="auto"/>
          <w:szCs w:val="21"/>
          <w:u w:val="single"/>
        </w:rPr>
        <w:t xml:space="preserve"> （应明确预付款的支付比例和支付条件） </w:t>
      </w:r>
    </w:p>
    <w:p w14:paraId="2CB4CE62">
      <w:pPr>
        <w:adjustRightInd w:val="0"/>
        <w:snapToGrid w:val="0"/>
        <w:spacing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61C24D6D">
      <w:pPr>
        <w:adjustRightInd w:val="0"/>
        <w:snapToGrid w:val="0"/>
        <w:spacing w:line="400" w:lineRule="exact"/>
        <w:ind w:firstLine="630" w:firstLineChars="300"/>
        <w:rPr>
          <w:rFonts w:hint="eastAsia"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1CD58AD7">
      <w:pPr>
        <w:numPr>
          <w:ilvl w:val="0"/>
          <w:numId w:val="5"/>
        </w:numPr>
        <w:adjustRightInd w:val="0"/>
        <w:snapToGrid w:val="0"/>
        <w:spacing w:line="400" w:lineRule="exact"/>
        <w:ind w:firstLine="422" w:firstLineChars="200"/>
        <w:rPr>
          <w:rFonts w:hint="eastAsia" w:ascii="宋体" w:hAnsi="宋体"/>
          <w:b/>
          <w:color w:val="auto"/>
          <w:szCs w:val="21"/>
          <w:u w:val="single"/>
        </w:rPr>
      </w:pPr>
      <w:r>
        <w:rPr>
          <w:rFonts w:hint="eastAsia" w:ascii="宋体" w:hAnsi="宋体"/>
          <w:b/>
          <w:color w:val="auto"/>
          <w:szCs w:val="21"/>
        </w:rPr>
        <w:t>合同履行</w:t>
      </w:r>
    </w:p>
    <w:p w14:paraId="20D3582C">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726F395">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（2）履约地点</w:t>
      </w:r>
      <w:r>
        <w:rPr>
          <w:rFonts w:hint="eastAsia" w:ascii="宋体" w:hAnsi="宋体" w:cs="宋体"/>
          <w:bCs/>
          <w:color w:val="auto"/>
          <w:szCs w:val="21"/>
        </w:rPr>
        <w:t>：</w:t>
      </w:r>
      <w:r>
        <w:rPr>
          <w:rFonts w:hint="eastAsia" w:ascii="宋体" w:hAnsi="宋体" w:cs="宋体"/>
          <w:color w:val="auto"/>
          <w:szCs w:val="21"/>
          <w:u w:val="single"/>
        </w:rPr>
        <w:t xml:space="preserve">                             </w:t>
      </w:r>
    </w:p>
    <w:p w14:paraId="7A122A5E">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bCs/>
          <w:color w:val="auto"/>
          <w:szCs w:val="21"/>
        </w:rPr>
        <w:t>（3）履约担保：</w:t>
      </w:r>
      <w:r>
        <w:rPr>
          <w:rFonts w:hint="eastAsia" w:ascii="宋体" w:hAnsi="宋体" w:cs="宋体"/>
          <w:color w:val="auto"/>
        </w:rPr>
        <w:t>是否收取履约保证金：</w:t>
      </w:r>
      <w:r>
        <w:rPr>
          <w:rFonts w:hint="eastAsia" w:ascii="宋体" w:hAnsi="宋体" w:cs="宋体"/>
          <w:color w:val="auto"/>
          <w:szCs w:val="21"/>
        </w:rPr>
        <w:sym w:font="Wingdings" w:char="00A8"/>
      </w:r>
      <w:r>
        <w:rPr>
          <w:rFonts w:hint="eastAsia" w:ascii="宋体" w:hAnsi="宋体" w:cs="宋体"/>
          <w:color w:val="auto"/>
          <w:szCs w:val="21"/>
        </w:rPr>
        <w:t xml:space="preserve">是    </w:t>
      </w:r>
      <w:r>
        <w:rPr>
          <w:rFonts w:hint="eastAsia" w:ascii="宋体" w:hAnsi="宋体" w:cs="宋体"/>
          <w:color w:val="auto"/>
          <w:szCs w:val="21"/>
        </w:rPr>
        <w:sym w:font="Wingdings" w:char="00A8"/>
      </w:r>
      <w:r>
        <w:rPr>
          <w:rFonts w:hint="eastAsia" w:ascii="宋体" w:hAnsi="宋体" w:cs="宋体"/>
          <w:color w:val="auto"/>
          <w:szCs w:val="21"/>
        </w:rPr>
        <w:t>否</w:t>
      </w:r>
    </w:p>
    <w:p w14:paraId="4DA3B679">
      <w:pPr>
        <w:pStyle w:val="141"/>
        <w:rPr>
          <w:rFonts w:hint="eastAsia" w:ascii="宋体" w:hAnsi="宋体" w:eastAsia="宋体" w:cs="宋体"/>
          <w:color w:val="auto"/>
          <w:sz w:val="21"/>
        </w:rPr>
      </w:pPr>
      <w:r>
        <w:rPr>
          <w:rFonts w:hint="eastAsia" w:ascii="宋体" w:hAnsi="宋体" w:cs="宋体"/>
          <w:bCs/>
          <w:color w:val="auto"/>
        </w:rPr>
        <w:t xml:space="preserve">  </w:t>
      </w:r>
      <w:r>
        <w:rPr>
          <w:rFonts w:hint="eastAsia" w:ascii="宋体" w:hAnsi="宋体" w:eastAsia="宋体" w:cs="宋体"/>
          <w:color w:val="auto"/>
          <w:sz w:val="21"/>
        </w:rPr>
        <w:t xml:space="preserve">  收取履约保证金形式：</w:t>
      </w:r>
      <w:r>
        <w:rPr>
          <w:rFonts w:hint="eastAsia" w:ascii="宋体" w:hAnsi="宋体" w:eastAsia="宋体" w:cs="宋体"/>
          <w:bCs/>
          <w:color w:val="auto"/>
          <w:sz w:val="21"/>
          <w:u w:val="single"/>
        </w:rPr>
        <w:t xml:space="preserve">                            </w:t>
      </w:r>
    </w:p>
    <w:p w14:paraId="653CC1CE">
      <w:pPr>
        <w:pStyle w:val="141"/>
        <w:ind w:firstLine="420"/>
        <w:rPr>
          <w:rFonts w:hint="eastAsia" w:ascii="宋体" w:hAnsi="宋体" w:eastAsia="宋体" w:cs="宋体"/>
          <w:color w:val="auto"/>
          <w:sz w:val="21"/>
        </w:rPr>
      </w:pPr>
      <w:r>
        <w:rPr>
          <w:rFonts w:hint="eastAsia" w:ascii="宋体" w:hAnsi="宋体" w:eastAsia="宋体" w:cs="宋体"/>
          <w:color w:val="auto"/>
          <w:sz w:val="21"/>
        </w:rPr>
        <w:t xml:space="preserve">    收取履约保证金金额：</w:t>
      </w:r>
      <w:r>
        <w:rPr>
          <w:rFonts w:hint="eastAsia" w:ascii="宋体" w:hAnsi="宋体" w:eastAsia="宋体" w:cs="宋体"/>
          <w:bCs/>
          <w:color w:val="auto"/>
          <w:sz w:val="21"/>
          <w:u w:val="single"/>
        </w:rPr>
        <w:t xml:space="preserve">                            </w:t>
      </w:r>
    </w:p>
    <w:p w14:paraId="0EA19FA0">
      <w:pPr>
        <w:snapToGrid w:val="0"/>
        <w:spacing w:line="400" w:lineRule="exact"/>
        <w:ind w:firstLine="420" w:firstLineChars="200"/>
        <w:rPr>
          <w:rFonts w:hint="eastAsia" w:ascii="宋体" w:hAnsi="宋体" w:cs="宋体"/>
          <w:color w:val="auto"/>
        </w:rPr>
      </w:pPr>
      <w:r>
        <w:rPr>
          <w:rFonts w:hint="eastAsia" w:ascii="宋体" w:hAnsi="宋体" w:cs="宋体"/>
          <w:bCs/>
          <w:color w:val="auto"/>
          <w:szCs w:val="21"/>
        </w:rPr>
        <w:t xml:space="preserve">    履约担保期限：</w:t>
      </w:r>
      <w:r>
        <w:rPr>
          <w:rFonts w:hint="eastAsia" w:ascii="宋体" w:hAnsi="宋体" w:cs="宋体"/>
          <w:bCs/>
          <w:color w:val="auto"/>
          <w:szCs w:val="21"/>
          <w:u w:val="single"/>
        </w:rPr>
        <w:t xml:space="preserve">                                  </w:t>
      </w:r>
    </w:p>
    <w:p w14:paraId="6196F489">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p>
    <w:p w14:paraId="4420F819">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（5）风险处置措施和替代方案：</w:t>
      </w:r>
      <w:r>
        <w:rPr>
          <w:rFonts w:hint="eastAsia" w:ascii="宋体" w:hAnsi="宋体" w:cs="宋体"/>
          <w:color w:val="auto"/>
          <w:szCs w:val="21"/>
          <w:u w:val="single"/>
        </w:rPr>
        <w:t xml:space="preserve">                                                               </w:t>
      </w:r>
    </w:p>
    <w:p w14:paraId="62C03FDD">
      <w:pPr>
        <w:numPr>
          <w:ilvl w:val="0"/>
          <w:numId w:val="5"/>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合同验收</w:t>
      </w:r>
    </w:p>
    <w:p w14:paraId="054E42C1">
      <w:pPr>
        <w:numPr>
          <w:ilvl w:val="0"/>
          <w:numId w:val="7"/>
        </w:num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cs="宋体"/>
          <w:color w:val="auto"/>
          <w:szCs w:val="21"/>
        </w:rPr>
        <w:sym w:font="Wingdings" w:char="00A8"/>
      </w:r>
      <w:r>
        <w:rPr>
          <w:rFonts w:hint="eastAsia" w:ascii="宋体" w:hAnsi="宋体"/>
          <w:bCs/>
          <w:color w:val="auto"/>
          <w:szCs w:val="21"/>
        </w:rPr>
        <w:t xml:space="preserve">自行组织 </w:t>
      </w:r>
      <w:r>
        <w:rPr>
          <w:rFonts w:hint="eastAsia" w:ascii="宋体" w:hAnsi="宋体" w:cs="宋体"/>
          <w:color w:val="auto"/>
          <w:szCs w:val="21"/>
        </w:rPr>
        <w:sym w:font="Wingdings" w:char="00A8"/>
      </w:r>
      <w:r>
        <w:rPr>
          <w:rFonts w:hint="eastAsia" w:ascii="宋体" w:hAnsi="宋体"/>
          <w:bCs/>
          <w:color w:val="auto"/>
          <w:szCs w:val="21"/>
        </w:rPr>
        <w:t>委托第三方组织</w:t>
      </w:r>
    </w:p>
    <w:p w14:paraId="4FA5CE23">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验收主体：</w:t>
      </w:r>
      <w:r>
        <w:rPr>
          <w:rFonts w:hint="eastAsia" w:ascii="宋体" w:hAnsi="宋体"/>
          <w:bCs/>
          <w:color w:val="auto"/>
          <w:szCs w:val="21"/>
          <w:u w:val="single"/>
        </w:rPr>
        <w:t xml:space="preserve">                  </w:t>
      </w:r>
    </w:p>
    <w:p w14:paraId="603D681B">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是否邀请本项目的其他供应商参加验收：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636F2248">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是否邀请专家参加验收：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5F124F7B">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是否邀请服务对象参加验收：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53F8CAFB">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是否邀请第三方检测机构参加验收：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50B6334C">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是否进行抽查检测：</w:t>
      </w:r>
      <w:r>
        <w:rPr>
          <w:rFonts w:hint="eastAsia" w:ascii="宋体" w:hAnsi="宋体" w:cs="宋体"/>
          <w:color w:val="auto"/>
          <w:szCs w:val="21"/>
        </w:rPr>
        <w:sym w:font="Wingdings" w:char="00A8"/>
      </w:r>
      <w:r>
        <w:rPr>
          <w:rFonts w:hint="eastAsia" w:ascii="宋体" w:hAnsi="宋体"/>
          <w:bCs/>
          <w:color w:val="auto"/>
          <w:szCs w:val="21"/>
        </w:rPr>
        <w:t>是，抽查比例：</w:t>
      </w:r>
      <w:r>
        <w:rPr>
          <w:rFonts w:hint="eastAsia" w:ascii="宋体" w:hAnsi="宋体"/>
          <w:bCs/>
          <w:color w:val="auto"/>
          <w:szCs w:val="21"/>
          <w:u w:val="single"/>
        </w:rPr>
        <w:t xml:space="preserve">        </w:t>
      </w: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2113E430">
      <w:pPr>
        <w:adjustRightInd w:val="0"/>
        <w:snapToGrid w:val="0"/>
        <w:spacing w:line="400" w:lineRule="exact"/>
        <w:ind w:firstLine="840" w:firstLineChars="400"/>
        <w:rPr>
          <w:rFonts w:hint="eastAsia" w:ascii="宋体" w:hAnsi="宋体"/>
          <w:bCs/>
          <w:color w:val="auto"/>
          <w:szCs w:val="21"/>
          <w:u w:val="single"/>
        </w:rPr>
      </w:pPr>
      <w:r>
        <w:rPr>
          <w:rFonts w:hint="eastAsia" w:ascii="宋体" w:hAnsi="宋体"/>
          <w:bCs/>
          <w:color w:val="auto"/>
          <w:szCs w:val="21"/>
        </w:rPr>
        <w:t>是否存在破坏性检测：</w:t>
      </w:r>
      <w:r>
        <w:rPr>
          <w:rFonts w:hint="eastAsia" w:ascii="宋体" w:hAnsi="宋体" w:cs="宋体"/>
          <w:color w:val="auto"/>
          <w:szCs w:val="21"/>
        </w:rPr>
        <w:sym w:font="Wingdings" w:char="00A8"/>
      </w:r>
      <w:r>
        <w:rPr>
          <w:rFonts w:hint="eastAsia" w:ascii="宋体" w:hAnsi="宋体"/>
          <w:bCs/>
          <w:color w:val="auto"/>
          <w:szCs w:val="21"/>
        </w:rPr>
        <w:t>是，</w:t>
      </w:r>
      <w:r>
        <w:rPr>
          <w:rFonts w:hint="eastAsia" w:ascii="宋体" w:hAnsi="宋体"/>
          <w:bCs/>
          <w:color w:val="auto"/>
          <w:szCs w:val="21"/>
          <w:u w:val="single"/>
        </w:rPr>
        <w:t>（应明确对被破坏的检测产品的处理方式）</w:t>
      </w:r>
    </w:p>
    <w:p w14:paraId="3FFED593">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31CF0CE5">
      <w:pPr>
        <w:adjustRightInd w:val="0"/>
        <w:snapToGrid w:val="0"/>
        <w:spacing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39D9F205">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 xml:space="preserve">（计划于何时验收/供应商提出验收申请之日起   日内组织验收） </w:t>
      </w:r>
    </w:p>
    <w:p w14:paraId="77CB820E">
      <w:p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cs="宋体"/>
          <w:color w:val="auto"/>
          <w:szCs w:val="21"/>
        </w:rPr>
        <w:sym w:font="Wingdings" w:char="00A8"/>
      </w:r>
      <w:r>
        <w:rPr>
          <w:rFonts w:hint="eastAsia" w:ascii="宋体" w:hAnsi="宋体"/>
          <w:bCs/>
          <w:color w:val="auto"/>
          <w:szCs w:val="21"/>
        </w:rPr>
        <w:t xml:space="preserve">一次性验收         </w:t>
      </w:r>
    </w:p>
    <w:p w14:paraId="43F2C8DB">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分期/分项验收：</w:t>
      </w:r>
      <w:r>
        <w:rPr>
          <w:rFonts w:hint="eastAsia" w:ascii="宋体" w:hAnsi="宋体"/>
          <w:bCs/>
          <w:color w:val="auto"/>
          <w:szCs w:val="21"/>
          <w:u w:val="single"/>
        </w:rPr>
        <w:t xml:space="preserve"> （应明确分期</w:t>
      </w:r>
      <w:r>
        <w:rPr>
          <w:rFonts w:ascii="宋体" w:hAnsi="宋体"/>
          <w:bCs/>
          <w:color w:val="auto"/>
          <w:szCs w:val="21"/>
          <w:u w:val="single"/>
          <w:lang w:val="en"/>
        </w:rPr>
        <w:t>/</w:t>
      </w:r>
      <w:r>
        <w:rPr>
          <w:rFonts w:hint="eastAsia" w:ascii="宋体" w:hAnsi="宋体"/>
          <w:bCs/>
          <w:color w:val="auto"/>
          <w:szCs w:val="21"/>
          <w:u w:val="single"/>
          <w:lang w:val="en"/>
        </w:rPr>
        <w:t>分项验收的工作安排</w:t>
      </w:r>
      <w:r>
        <w:rPr>
          <w:rFonts w:hint="eastAsia" w:ascii="宋体" w:hAnsi="宋体"/>
          <w:bCs/>
          <w:color w:val="auto"/>
          <w:szCs w:val="21"/>
          <w:u w:val="single"/>
        </w:rPr>
        <w:t xml:space="preserve">）  </w:t>
      </w:r>
    </w:p>
    <w:p w14:paraId="4EE7D867">
      <w:p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62D5B780">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（应当包括每一项技术和商务要求的履约情况，特别是落实政府采购扶持中小企业，支持绿色发展和乡村振兴等政策情况）                                      </w:t>
      </w:r>
    </w:p>
    <w:p w14:paraId="35636EE0">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0D6F9B20">
      <w:pPr>
        <w:pStyle w:val="141"/>
        <w:ind w:firstLine="420"/>
        <w:rPr>
          <w:rFonts w:hint="eastAsia"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sym w:font="Wingdings" w:char="00A8"/>
      </w:r>
      <w:r>
        <w:rPr>
          <w:rFonts w:hint="eastAsia" w:ascii="宋体" w:hAnsi="宋体" w:eastAsia="宋体" w:cs="宋体"/>
          <w:bCs/>
          <w:color w:val="auto"/>
          <w:sz w:val="21"/>
        </w:rPr>
        <w:t xml:space="preserve">是  </w:t>
      </w:r>
      <w:r>
        <w:rPr>
          <w:rFonts w:hint="eastAsia" w:ascii="宋体" w:hAnsi="宋体" w:eastAsia="宋体" w:cs="宋体"/>
          <w:color w:val="auto"/>
          <w:sz w:val="21"/>
        </w:rPr>
        <w:sym w:font="Wingdings" w:char="00A8"/>
      </w:r>
      <w:r>
        <w:rPr>
          <w:rFonts w:hint="eastAsia" w:ascii="宋体" w:hAnsi="宋体" w:eastAsia="宋体" w:cs="宋体"/>
          <w:bCs/>
          <w:color w:val="auto"/>
          <w:sz w:val="21"/>
        </w:rPr>
        <w:t>否</w:t>
      </w:r>
    </w:p>
    <w:p w14:paraId="5BB3EC16">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（产权过户登记等）          </w:t>
      </w:r>
    </w:p>
    <w:p w14:paraId="62C4A8B9">
      <w:pPr>
        <w:numPr>
          <w:ilvl w:val="0"/>
          <w:numId w:val="5"/>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15B6265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7BDE2498">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（1）政府采购合同协议书及其变更、补充协议</w:t>
      </w:r>
    </w:p>
    <w:p w14:paraId="4D7EBA1F">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（2）政府采购合同专用条款</w:t>
      </w:r>
    </w:p>
    <w:p w14:paraId="1E4136F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（3）政府采购合同通用条款</w:t>
      </w:r>
    </w:p>
    <w:p w14:paraId="7998EAE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（4）中标（成交）通知书</w:t>
      </w:r>
    </w:p>
    <w:p w14:paraId="4DF2B574">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（5）投标（响应）文件</w:t>
      </w:r>
    </w:p>
    <w:p w14:paraId="304D110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（6）采购文件</w:t>
      </w:r>
    </w:p>
    <w:p w14:paraId="593382B1">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（7）有关技术文件，图纸</w:t>
      </w:r>
    </w:p>
    <w:p w14:paraId="4B29572B">
      <w:pPr>
        <w:pStyle w:val="141"/>
        <w:ind w:firstLine="420"/>
        <w:rPr>
          <w:rFonts w:hint="eastAsia"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3542F2C5">
      <w:pPr>
        <w:numPr>
          <w:ilvl w:val="0"/>
          <w:numId w:val="5"/>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2F94F908">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79BD8F6F">
      <w:pPr>
        <w:numPr>
          <w:ilvl w:val="0"/>
          <w:numId w:val="5"/>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76D5F9BE">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份，甲方执</w:t>
      </w:r>
      <w:r>
        <w:rPr>
          <w:rFonts w:hint="eastAsia" w:ascii="宋体" w:hAnsi="宋体"/>
          <w:color w:val="auto"/>
          <w:szCs w:val="21"/>
          <w:u w:val="single"/>
        </w:rPr>
        <w:t xml:space="preserve">    </w:t>
      </w:r>
      <w:r>
        <w:rPr>
          <w:rFonts w:hint="eastAsia" w:ascii="宋体" w:hAnsi="宋体"/>
          <w:color w:val="auto"/>
          <w:szCs w:val="21"/>
        </w:rPr>
        <w:t>份，乙方执</w:t>
      </w:r>
      <w:r>
        <w:rPr>
          <w:rFonts w:hint="eastAsia" w:ascii="宋体" w:hAnsi="宋体"/>
          <w:color w:val="auto"/>
          <w:szCs w:val="21"/>
          <w:u w:val="single"/>
        </w:rPr>
        <w:t xml:space="preserve">    </w:t>
      </w:r>
      <w:r>
        <w:rPr>
          <w:rFonts w:hint="eastAsia" w:ascii="宋体" w:hAnsi="宋体"/>
          <w:color w:val="auto"/>
          <w:szCs w:val="21"/>
        </w:rPr>
        <w:t>份，均具有同等法律效力。</w:t>
      </w:r>
    </w:p>
    <w:p w14:paraId="583390DA">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845C049">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58DE1334">
      <w:pPr>
        <w:adjustRightInd w:val="0"/>
        <w:snapToGrid w:val="0"/>
        <w:spacing w:line="400" w:lineRule="exact"/>
        <w:ind w:firstLine="420" w:firstLineChars="200"/>
        <w:rPr>
          <w:color w:val="auto"/>
        </w:rPr>
      </w:pPr>
      <w:r>
        <w:rPr>
          <w:rFonts w:hint="eastAsia" w:ascii="宋体" w:hAnsi="宋体"/>
          <w:color w:val="auto"/>
          <w:szCs w:val="21"/>
        </w:rPr>
        <w:t>附件：具体标的及其技术要求和商务要求、联合协议、分包意向协议等。</w:t>
      </w:r>
    </w:p>
    <w:p w14:paraId="5D0F2D66">
      <w:pPr>
        <w:pStyle w:val="91"/>
        <w:spacing w:line="400" w:lineRule="exact"/>
        <w:rPr>
          <w:color w:val="auto"/>
        </w:rPr>
      </w:pPr>
    </w:p>
    <w:p w14:paraId="096D4357">
      <w:pPr>
        <w:pStyle w:val="3"/>
        <w:rPr>
          <w:rFonts w:hint="eastAsia" w:ascii="宋体" w:hAnsi="宋体"/>
          <w:b w:val="0"/>
          <w:bCs w:val="0"/>
          <w:color w:val="auto"/>
          <w:sz w:val="21"/>
          <w:szCs w:val="21"/>
        </w:rPr>
      </w:pPr>
      <w:r>
        <w:rPr>
          <w:color w:val="auto"/>
          <w:lang w:val="en"/>
        </w:rPr>
        <w:t xml:space="preserve">   </w:t>
      </w:r>
    </w:p>
    <w:p w14:paraId="64073C71">
      <w:pPr>
        <w:rPr>
          <w:color w:val="auto"/>
        </w:rPr>
      </w:pPr>
      <w:r>
        <w:rPr>
          <w:rFonts w:hint="eastAsia"/>
          <w:color w:val="auto"/>
        </w:rPr>
        <w:br w:type="page"/>
      </w:r>
    </w:p>
    <w:p w14:paraId="6A6161CB">
      <w:pPr>
        <w:pStyle w:val="91"/>
        <w:rPr>
          <w:color w:val="auto"/>
        </w:rPr>
      </w:pPr>
    </w:p>
    <w:tbl>
      <w:tblPr>
        <w:tblStyle w:val="3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50"/>
        <w:gridCol w:w="2869"/>
        <w:gridCol w:w="2354"/>
        <w:gridCol w:w="2517"/>
      </w:tblGrid>
      <w:tr w14:paraId="61FF6F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A693844">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rPr>
              <w:t>、受采购人委托签订合同的单位或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17A5E10F">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4E5B89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4676491">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B7C826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9A44096">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259" w:type="pct"/>
            <w:tcBorders>
              <w:top w:val="single" w:color="auto" w:sz="2" w:space="0"/>
              <w:left w:val="single" w:color="auto" w:sz="2" w:space="0"/>
              <w:bottom w:val="single" w:color="auto" w:sz="2" w:space="0"/>
            </w:tcBorders>
            <w:vAlign w:val="center"/>
          </w:tcPr>
          <w:p w14:paraId="3F8CC1E8">
            <w:pPr>
              <w:adjustRightInd w:val="0"/>
              <w:snapToGrid w:val="0"/>
              <w:spacing w:line="300" w:lineRule="exact"/>
              <w:jc w:val="center"/>
              <w:rPr>
                <w:color w:val="auto"/>
                <w:spacing w:val="20"/>
                <w:szCs w:val="21"/>
              </w:rPr>
            </w:pPr>
          </w:p>
        </w:tc>
      </w:tr>
      <w:tr w14:paraId="049473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C6AAEB9">
            <w:pPr>
              <w:adjustRightInd w:val="0"/>
              <w:snapToGrid w:val="0"/>
              <w:spacing w:line="300" w:lineRule="exact"/>
              <w:jc w:val="center"/>
              <w:rPr>
                <w:color w:val="auto"/>
                <w:szCs w:val="21"/>
              </w:rPr>
            </w:pPr>
            <w:r>
              <w:rPr>
                <w:color w:val="auto"/>
                <w:szCs w:val="21"/>
              </w:rPr>
              <w:t>法定代表人</w:t>
            </w:r>
          </w:p>
          <w:p w14:paraId="7B0FE000">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541D3E85">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2B89F0B9">
            <w:pPr>
              <w:adjustRightInd w:val="0"/>
              <w:snapToGrid w:val="0"/>
              <w:spacing w:line="300" w:lineRule="exact"/>
              <w:jc w:val="center"/>
              <w:rPr>
                <w:color w:val="auto"/>
                <w:szCs w:val="21"/>
              </w:rPr>
            </w:pPr>
            <w:r>
              <w:rPr>
                <w:color w:val="auto"/>
                <w:szCs w:val="21"/>
              </w:rPr>
              <w:t>法定代表人</w:t>
            </w:r>
          </w:p>
          <w:p w14:paraId="40B09CF1">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2F8DB5D4">
            <w:pPr>
              <w:adjustRightInd w:val="0"/>
              <w:snapToGrid w:val="0"/>
              <w:spacing w:line="300" w:lineRule="exact"/>
              <w:jc w:val="center"/>
              <w:rPr>
                <w:color w:val="auto"/>
                <w:szCs w:val="21"/>
              </w:rPr>
            </w:pPr>
          </w:p>
        </w:tc>
      </w:tr>
      <w:tr w14:paraId="7AF962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C6C94D1">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39A2E227">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76C20F">
            <w:pPr>
              <w:adjustRightInd w:val="0"/>
              <w:snapToGrid w:val="0"/>
              <w:spacing w:line="300" w:lineRule="exact"/>
              <w:jc w:val="center"/>
              <w:rPr>
                <w:color w:val="auto"/>
                <w:szCs w:val="21"/>
              </w:rPr>
            </w:pPr>
            <w:r>
              <w:rPr>
                <w:rFonts w:hint="eastAsia"/>
                <w:color w:val="auto"/>
                <w:szCs w:val="21"/>
              </w:rPr>
              <w:t>拥有者性别</w:t>
            </w:r>
          </w:p>
        </w:tc>
        <w:tc>
          <w:tcPr>
            <w:tcW w:w="1259" w:type="pct"/>
            <w:tcBorders>
              <w:top w:val="single" w:color="auto" w:sz="2" w:space="0"/>
              <w:left w:val="single" w:color="auto" w:sz="2" w:space="0"/>
              <w:bottom w:val="single" w:color="auto" w:sz="2" w:space="0"/>
            </w:tcBorders>
            <w:vAlign w:val="center"/>
          </w:tcPr>
          <w:p w14:paraId="6EF6FCC7">
            <w:pPr>
              <w:adjustRightInd w:val="0"/>
              <w:snapToGrid w:val="0"/>
              <w:spacing w:line="300" w:lineRule="exact"/>
              <w:jc w:val="center"/>
              <w:rPr>
                <w:color w:val="auto"/>
                <w:spacing w:val="20"/>
                <w:szCs w:val="21"/>
              </w:rPr>
            </w:pPr>
          </w:p>
        </w:tc>
      </w:tr>
      <w:tr w14:paraId="4031CC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44BEC9">
            <w:pPr>
              <w:adjustRightInd w:val="0"/>
              <w:snapToGrid w:val="0"/>
              <w:spacing w:line="300" w:lineRule="exact"/>
              <w:jc w:val="center"/>
              <w:rPr>
                <w:color w:val="auto"/>
                <w:szCs w:val="21"/>
              </w:rPr>
            </w:pPr>
            <w:r>
              <w:rPr>
                <w:rFonts w:hint="eastAsia"/>
                <w:color w:val="auto"/>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2950E9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832A57">
            <w:pPr>
              <w:adjustRightInd w:val="0"/>
              <w:snapToGrid w:val="0"/>
              <w:spacing w:line="300" w:lineRule="exact"/>
              <w:jc w:val="center"/>
              <w:rPr>
                <w:color w:val="auto"/>
                <w:szCs w:val="21"/>
              </w:rPr>
            </w:pPr>
            <w:r>
              <w:rPr>
                <w:rFonts w:hint="eastAsia"/>
                <w:color w:val="auto"/>
                <w:szCs w:val="21"/>
              </w:rPr>
              <w:t>住  所</w:t>
            </w:r>
          </w:p>
        </w:tc>
        <w:tc>
          <w:tcPr>
            <w:tcW w:w="1259" w:type="pct"/>
            <w:tcBorders>
              <w:top w:val="single" w:color="auto" w:sz="2" w:space="0"/>
              <w:left w:val="single" w:color="auto" w:sz="2" w:space="0"/>
              <w:bottom w:val="single" w:color="auto" w:sz="2" w:space="0"/>
            </w:tcBorders>
            <w:vAlign w:val="center"/>
          </w:tcPr>
          <w:p w14:paraId="167A8434">
            <w:pPr>
              <w:adjustRightInd w:val="0"/>
              <w:snapToGrid w:val="0"/>
              <w:spacing w:line="300" w:lineRule="exact"/>
              <w:jc w:val="center"/>
              <w:rPr>
                <w:color w:val="auto"/>
                <w:spacing w:val="20"/>
                <w:szCs w:val="21"/>
              </w:rPr>
            </w:pPr>
          </w:p>
        </w:tc>
      </w:tr>
      <w:tr w14:paraId="2C9B30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7F04F6">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A15A52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9F131F">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3A1D598E">
            <w:pPr>
              <w:adjustRightInd w:val="0"/>
              <w:snapToGrid w:val="0"/>
              <w:spacing w:line="300" w:lineRule="exact"/>
              <w:jc w:val="center"/>
              <w:rPr>
                <w:color w:val="auto"/>
                <w:spacing w:val="20"/>
                <w:szCs w:val="21"/>
              </w:rPr>
            </w:pPr>
          </w:p>
        </w:tc>
      </w:tr>
      <w:tr w14:paraId="799C50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30F5BA4B">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6D9C73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117D150">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357FAB0F">
            <w:pPr>
              <w:adjustRightInd w:val="0"/>
              <w:snapToGrid w:val="0"/>
              <w:spacing w:line="300" w:lineRule="exact"/>
              <w:jc w:val="center"/>
              <w:rPr>
                <w:color w:val="auto"/>
                <w:spacing w:val="20"/>
                <w:szCs w:val="21"/>
              </w:rPr>
            </w:pPr>
          </w:p>
        </w:tc>
      </w:tr>
      <w:tr w14:paraId="4A2F21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A991B1">
            <w:pPr>
              <w:adjustRightInd w:val="0"/>
              <w:snapToGrid w:val="0"/>
              <w:spacing w:line="300" w:lineRule="exact"/>
              <w:jc w:val="center"/>
              <w:rPr>
                <w:color w:val="auto"/>
                <w:szCs w:val="21"/>
              </w:rPr>
            </w:pPr>
            <w:r>
              <w:rPr>
                <w:rFonts w:hint="eastAsia"/>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E20463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142216">
            <w:pPr>
              <w:adjustRightInd w:val="0"/>
              <w:snapToGrid w:val="0"/>
              <w:spacing w:line="300" w:lineRule="exact"/>
              <w:jc w:val="center"/>
              <w:rPr>
                <w:color w:val="auto"/>
                <w:szCs w:val="21"/>
              </w:rPr>
            </w:pPr>
            <w:r>
              <w:rPr>
                <w:rFonts w:hint="eastAsia"/>
                <w:color w:val="auto"/>
                <w:szCs w:val="21"/>
              </w:rPr>
              <w:t>通信地址</w:t>
            </w:r>
          </w:p>
        </w:tc>
        <w:tc>
          <w:tcPr>
            <w:tcW w:w="1259" w:type="pct"/>
            <w:tcBorders>
              <w:top w:val="single" w:color="auto" w:sz="2" w:space="0"/>
              <w:left w:val="single" w:color="auto" w:sz="2" w:space="0"/>
              <w:bottom w:val="single" w:color="auto" w:sz="2" w:space="0"/>
            </w:tcBorders>
            <w:vAlign w:val="center"/>
          </w:tcPr>
          <w:p w14:paraId="25B95667">
            <w:pPr>
              <w:adjustRightInd w:val="0"/>
              <w:snapToGrid w:val="0"/>
              <w:spacing w:line="300" w:lineRule="exact"/>
              <w:jc w:val="center"/>
              <w:rPr>
                <w:color w:val="auto"/>
                <w:spacing w:val="20"/>
                <w:szCs w:val="21"/>
              </w:rPr>
            </w:pPr>
          </w:p>
        </w:tc>
      </w:tr>
      <w:tr w14:paraId="1DC526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E28028">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76511A7">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377D47">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0CD1E447">
            <w:pPr>
              <w:adjustRightInd w:val="0"/>
              <w:snapToGrid w:val="0"/>
              <w:spacing w:line="300" w:lineRule="exact"/>
              <w:jc w:val="center"/>
              <w:rPr>
                <w:color w:val="auto"/>
                <w:spacing w:val="20"/>
                <w:szCs w:val="21"/>
              </w:rPr>
            </w:pPr>
          </w:p>
        </w:tc>
      </w:tr>
      <w:tr w14:paraId="13C9F1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4D2242">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1A9E9F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A396DA7">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0E1A80DE">
            <w:pPr>
              <w:adjustRightInd w:val="0"/>
              <w:snapToGrid w:val="0"/>
              <w:spacing w:line="300" w:lineRule="exact"/>
              <w:jc w:val="center"/>
              <w:rPr>
                <w:color w:val="auto"/>
                <w:spacing w:val="20"/>
                <w:szCs w:val="21"/>
              </w:rPr>
            </w:pPr>
          </w:p>
        </w:tc>
      </w:tr>
      <w:tr w14:paraId="34AA1B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2E5F31">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7556736">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BCFFEF">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2D6EAE5A">
            <w:pPr>
              <w:adjustRightInd w:val="0"/>
              <w:snapToGrid w:val="0"/>
              <w:spacing w:line="300" w:lineRule="exact"/>
              <w:jc w:val="center"/>
              <w:rPr>
                <w:color w:val="auto"/>
                <w:spacing w:val="20"/>
                <w:szCs w:val="21"/>
              </w:rPr>
            </w:pPr>
          </w:p>
        </w:tc>
      </w:tr>
      <w:tr w14:paraId="3E52FA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5276847F">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AD16EC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A3EC10">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036C75C9">
            <w:pPr>
              <w:adjustRightInd w:val="0"/>
              <w:snapToGrid w:val="0"/>
              <w:spacing w:line="300" w:lineRule="exact"/>
              <w:jc w:val="center"/>
              <w:rPr>
                <w:color w:val="auto"/>
                <w:spacing w:val="20"/>
                <w:szCs w:val="21"/>
              </w:rPr>
            </w:pPr>
          </w:p>
        </w:tc>
      </w:tr>
      <w:tr w14:paraId="67BF1F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360BA8">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45648C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F57110A">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03C0B383">
            <w:pPr>
              <w:adjustRightInd w:val="0"/>
              <w:snapToGrid w:val="0"/>
              <w:spacing w:line="300" w:lineRule="exact"/>
              <w:jc w:val="center"/>
              <w:rPr>
                <w:color w:val="auto"/>
                <w:spacing w:val="20"/>
                <w:szCs w:val="21"/>
              </w:rPr>
            </w:pPr>
          </w:p>
        </w:tc>
      </w:tr>
      <w:tr w14:paraId="749474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D502BC">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C58435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730969">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1BA9DC63">
            <w:pPr>
              <w:adjustRightInd w:val="0"/>
              <w:snapToGrid w:val="0"/>
              <w:spacing w:line="300" w:lineRule="exact"/>
              <w:jc w:val="center"/>
              <w:rPr>
                <w:color w:val="auto"/>
                <w:spacing w:val="20"/>
                <w:szCs w:val="21"/>
              </w:rPr>
            </w:pPr>
          </w:p>
        </w:tc>
      </w:tr>
      <w:tr w14:paraId="22FEF9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7C0DCE4">
            <w:pPr>
              <w:pStyle w:val="18"/>
              <w:adjustRightInd w:val="0"/>
              <w:snapToGrid w:val="0"/>
              <w:spacing w:before="156" w:beforeLines="50" w:line="360" w:lineRule="auto"/>
              <w:ind w:firstLine="1126"/>
              <w:jc w:val="left"/>
              <w:rPr>
                <w:color w:val="auto"/>
                <w:spacing w:val="20"/>
                <w:szCs w:val="21"/>
              </w:rPr>
            </w:pPr>
            <w:r>
              <w:rPr>
                <w:rFonts w:hint="eastAsia" w:ascii="宋体" w:hAnsi="宋体"/>
                <w:color w:val="auto"/>
                <w:szCs w:val="21"/>
              </w:rPr>
              <w:t>注：涉及联合体或其他合同主体的信息应按上表格式加列。</w:t>
            </w:r>
          </w:p>
        </w:tc>
      </w:tr>
    </w:tbl>
    <w:p w14:paraId="7FFAEC86">
      <w:pPr>
        <w:pStyle w:val="3"/>
        <w:adjustRightInd w:val="0"/>
        <w:snapToGrid w:val="0"/>
        <w:spacing w:before="156" w:beforeLines="50"/>
        <w:jc w:val="center"/>
        <w:rPr>
          <w:rFonts w:hint="eastAsia" w:ascii="黑体" w:hAnsi="黑体"/>
          <w:color w:val="auto"/>
          <w:sz w:val="28"/>
          <w:szCs w:val="28"/>
        </w:rPr>
      </w:pPr>
      <w:r>
        <w:rPr>
          <w:rFonts w:ascii="宋体" w:hAnsi="宋体"/>
          <w:color w:val="auto"/>
          <w:sz w:val="21"/>
          <w:szCs w:val="21"/>
          <w:u w:val="single"/>
        </w:rPr>
        <w:br w:type="page"/>
      </w:r>
      <w:bookmarkStart w:id="116" w:name="_Toc27624"/>
      <w:r>
        <w:rPr>
          <w:rFonts w:hint="eastAsia" w:ascii="黑体" w:hAnsi="黑体"/>
          <w:b w:val="0"/>
          <w:bCs w:val="0"/>
          <w:color w:val="auto"/>
          <w:sz w:val="28"/>
          <w:szCs w:val="28"/>
        </w:rPr>
        <w:t>第二节 政府采购合同通用条款</w:t>
      </w:r>
      <w:bookmarkEnd w:id="116"/>
    </w:p>
    <w:p w14:paraId="484093D7">
      <w:pPr>
        <w:tabs>
          <w:tab w:val="left" w:pos="8820"/>
          <w:tab w:val="left" w:pos="9345"/>
          <w:tab w:val="left" w:pos="9765"/>
        </w:tabs>
        <w:adjustRightInd w:val="0"/>
        <w:snapToGrid w:val="0"/>
        <w:spacing w:line="400" w:lineRule="exact"/>
        <w:jc w:val="left"/>
        <w:rPr>
          <w:rFonts w:hint="eastAsia" w:ascii="宋体" w:hAnsi="宋体"/>
          <w:b/>
          <w:bCs/>
          <w:color w:val="auto"/>
          <w:sz w:val="24"/>
        </w:rPr>
      </w:pPr>
      <w:r>
        <w:rPr>
          <w:rFonts w:hint="eastAsia" w:ascii="宋体" w:hAnsi="宋体"/>
          <w:b/>
          <w:color w:val="auto"/>
          <w:sz w:val="24"/>
        </w:rPr>
        <w:t xml:space="preserve">1. </w:t>
      </w:r>
      <w:r>
        <w:rPr>
          <w:rFonts w:hint="eastAsia" w:ascii="宋体" w:hAnsi="宋体"/>
          <w:b/>
          <w:bCs/>
          <w:color w:val="auto"/>
          <w:sz w:val="24"/>
        </w:rPr>
        <w:t>定义</w:t>
      </w:r>
    </w:p>
    <w:p w14:paraId="368AD00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1.1合同当事人</w:t>
      </w:r>
    </w:p>
    <w:p w14:paraId="017317D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（1）采购人（以下称甲方）是指使用财政性资金，通过政府采购方式向供应商购买货物及其相关服务的国家机关、事业单位、团体组织。</w:t>
      </w:r>
    </w:p>
    <w:p w14:paraId="6D6C380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（2）供应商（以下称乙方）是指参加政府采购活动并且中标（成交），向采购人提供合同约定的货物及其相关服务的法人、非法人组织或者自然人。</w:t>
      </w:r>
    </w:p>
    <w:p w14:paraId="772D27D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（3）其他合同主体是指除采购人和供应商以外，</w:t>
      </w:r>
      <w:r>
        <w:rPr>
          <w:rFonts w:hint="eastAsia" w:ascii="宋体" w:hAnsi="宋体" w:cs="宋体"/>
          <w:bCs/>
          <w:color w:val="auto"/>
          <w:szCs w:val="21"/>
        </w:rPr>
        <w:t>依法参与合同缔结或履行，享有权利、承担义务的合同当事人</w:t>
      </w:r>
      <w:r>
        <w:rPr>
          <w:rFonts w:hint="eastAsia" w:ascii="宋体" w:hAnsi="宋体"/>
          <w:color w:val="auto"/>
          <w:szCs w:val="21"/>
        </w:rPr>
        <w:t>。</w:t>
      </w:r>
    </w:p>
    <w:p w14:paraId="75E6CB95">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1.2本合同下列术语应解释为：</w:t>
      </w:r>
    </w:p>
    <w:p w14:paraId="3E4DE6C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（1）“合同”系指</w:t>
      </w:r>
      <w:r>
        <w:rPr>
          <w:rFonts w:hint="eastAsia" w:ascii="宋体" w:hAnsi="宋体" w:cs="宋体"/>
          <w:bCs/>
          <w:color w:val="auto"/>
          <w:szCs w:val="21"/>
        </w:rPr>
        <w:t>合同当事人意思表示达成一致的任何协议，包括签署的</w:t>
      </w:r>
      <w:r>
        <w:rPr>
          <w:rFonts w:hint="eastAsia" w:ascii="宋体" w:hAnsi="宋体"/>
          <w:color w:val="auto"/>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rPr>
        <w:t>国家法律、行政法规和规章制度规定或合同约定的作为合同组成部分的其他文件</w:t>
      </w:r>
      <w:r>
        <w:rPr>
          <w:rFonts w:hint="eastAsia" w:ascii="宋体" w:hAnsi="宋体"/>
          <w:color w:val="auto"/>
          <w:szCs w:val="21"/>
        </w:rPr>
        <w:t>。</w:t>
      </w:r>
    </w:p>
    <w:p w14:paraId="00D4FFFA">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（2）“合同价款”系指根据本合同规定乙方在全面履行合同义务后甲方应支付给乙方的价款。</w:t>
      </w:r>
    </w:p>
    <w:p w14:paraId="6098E095">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（3）“货物”系指乙方根据本合同规定须向甲方提供的各种形态和种类的物品，包括原材料、设备、产品（包括软件）及相关的其备品备件、工具、手册及</w:t>
      </w:r>
      <w:r>
        <w:rPr>
          <w:rFonts w:ascii="宋体" w:hAnsi="宋体"/>
          <w:color w:val="auto"/>
          <w:szCs w:val="21"/>
          <w:lang w:val="en"/>
        </w:rPr>
        <w:t>其他</w:t>
      </w:r>
      <w:r>
        <w:rPr>
          <w:rFonts w:hint="eastAsia" w:ascii="宋体" w:hAnsi="宋体"/>
          <w:color w:val="auto"/>
          <w:szCs w:val="21"/>
        </w:rPr>
        <w:t>技术资料和材料等。</w:t>
      </w:r>
    </w:p>
    <w:p w14:paraId="74345EC7">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（4）“相关服务”系指根据合同规定，乙方应提供的与货物有关的技术、管理和</w:t>
      </w:r>
      <w:r>
        <w:rPr>
          <w:rFonts w:ascii="宋体" w:hAnsi="宋体"/>
          <w:color w:val="auto"/>
          <w:szCs w:val="21"/>
          <w:lang w:val="en"/>
        </w:rPr>
        <w:t>其他</w:t>
      </w:r>
      <w:r>
        <w:rPr>
          <w:rFonts w:hint="eastAsia" w:ascii="宋体" w:hAnsi="宋体"/>
          <w:color w:val="auto"/>
          <w:szCs w:val="21"/>
        </w:rPr>
        <w:t>服务，包括但不限于：管理和质量保证、运输、保险、检验、现场准备、安装、集成、调试、培训、维修、废弃处置、技术支持等以及合同中规定乙方应承担的</w:t>
      </w:r>
      <w:r>
        <w:rPr>
          <w:rFonts w:ascii="宋体" w:hAnsi="宋体"/>
          <w:color w:val="auto"/>
          <w:szCs w:val="21"/>
          <w:lang w:val="en"/>
        </w:rPr>
        <w:t>其他</w:t>
      </w:r>
      <w:r>
        <w:rPr>
          <w:rFonts w:hint="eastAsia" w:ascii="宋体" w:hAnsi="宋体"/>
          <w:color w:val="auto"/>
          <w:szCs w:val="21"/>
        </w:rPr>
        <w:t>义务。</w:t>
      </w:r>
    </w:p>
    <w:p w14:paraId="134C2C8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（5）“分包”系指中标（成交）供应商按采购文件、投标（响应）文件的规定，根据分包意向协议，将中标（成交）项目中的部分履约内容，分给具有相应资质条件的供应商履行合同的行为。</w:t>
      </w:r>
    </w:p>
    <w:p w14:paraId="4467705B">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rPr>
        <w:t>政府采购合同专用条款</w:t>
      </w:r>
      <w:r>
        <w:rPr>
          <w:rFonts w:hint="eastAsia" w:ascii="宋体" w:hAnsi="宋体"/>
          <w:color w:val="auto"/>
          <w:szCs w:val="21"/>
        </w:rPr>
        <w:t>】。</w:t>
      </w:r>
    </w:p>
    <w:p w14:paraId="5CFD4451">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（7）其他术语解释，见【</w:t>
      </w:r>
      <w:r>
        <w:rPr>
          <w:rFonts w:hint="eastAsia" w:ascii="宋体" w:hAnsi="宋体"/>
          <w:b/>
          <w:bCs/>
          <w:color w:val="auto"/>
          <w:szCs w:val="21"/>
        </w:rPr>
        <w:t>政府采购合同专用条款</w:t>
      </w:r>
      <w:r>
        <w:rPr>
          <w:rFonts w:hint="eastAsia" w:ascii="宋体" w:hAnsi="宋体"/>
          <w:color w:val="auto"/>
          <w:szCs w:val="21"/>
        </w:rPr>
        <w:t>】。</w:t>
      </w:r>
    </w:p>
    <w:p w14:paraId="3E52A1B8">
      <w:pPr>
        <w:numPr>
          <w:ilvl w:val="0"/>
          <w:numId w:val="8"/>
        </w:num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color w:val="auto"/>
          <w:sz w:val="24"/>
        </w:rPr>
        <w:t>合同标的及金额</w:t>
      </w:r>
    </w:p>
    <w:p w14:paraId="41328158">
      <w:pPr>
        <w:autoSpaceDE w:val="0"/>
        <w:autoSpaceDN w:val="0"/>
        <w:adjustRightInd w:val="0"/>
        <w:snapToGrid w:val="0"/>
        <w:spacing w:line="400" w:lineRule="exact"/>
        <w:ind w:firstLine="420" w:firstLineChars="200"/>
        <w:jc w:val="left"/>
        <w:rPr>
          <w:rFonts w:hint="eastAsia" w:ascii="宋体" w:hAnsi="宋体"/>
          <w:b/>
          <w:bCs/>
          <w:i/>
          <w:iCs/>
          <w:color w:val="auto"/>
          <w:szCs w:val="21"/>
        </w:rPr>
      </w:pPr>
      <w:r>
        <w:rPr>
          <w:rFonts w:hint="eastAsia" w:ascii="宋体" w:hAnsi="宋体"/>
          <w:color w:val="auto"/>
          <w:szCs w:val="21"/>
        </w:rPr>
        <w:t>2.1 合同标的及金额应与中标（成交）结果一致。乙方为履行本合同而发生的所有费用均应包含在合同价款中，甲方不再另行支付</w:t>
      </w:r>
      <w:r>
        <w:rPr>
          <w:rFonts w:ascii="宋体" w:hAnsi="宋体"/>
          <w:color w:val="auto"/>
          <w:szCs w:val="21"/>
          <w:lang w:val="en"/>
        </w:rPr>
        <w:t>其他</w:t>
      </w:r>
      <w:r>
        <w:rPr>
          <w:rFonts w:hint="eastAsia" w:ascii="宋体" w:hAnsi="宋体"/>
          <w:color w:val="auto"/>
          <w:szCs w:val="21"/>
        </w:rPr>
        <w:t>任何费用。</w:t>
      </w:r>
    </w:p>
    <w:p w14:paraId="1C282058">
      <w:pPr>
        <w:adjustRightInd w:val="0"/>
        <w:snapToGrid w:val="0"/>
        <w:spacing w:line="400" w:lineRule="exact"/>
        <w:jc w:val="left"/>
        <w:rPr>
          <w:rFonts w:hint="eastAsia" w:ascii="宋体" w:hAnsi="宋体"/>
          <w:b/>
          <w:color w:val="auto"/>
          <w:sz w:val="24"/>
        </w:rPr>
      </w:pPr>
      <w:r>
        <w:rPr>
          <w:rFonts w:hint="eastAsia" w:ascii="宋体" w:hAnsi="宋体"/>
          <w:b/>
          <w:color w:val="auto"/>
          <w:sz w:val="24"/>
        </w:rPr>
        <w:t>3. 履行合同的时间、地点和方式</w:t>
      </w:r>
    </w:p>
    <w:p w14:paraId="07222E9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3.1 </w:t>
      </w:r>
      <w:r>
        <w:rPr>
          <w:rFonts w:hint="eastAsia" w:ascii="宋体" w:hAnsi="宋体" w:cs="宋体"/>
          <w:color w:val="auto"/>
          <w:szCs w:val="21"/>
        </w:rPr>
        <w:t>乙方应当在约定的时间、地点，按照约定方式履行合同。</w:t>
      </w:r>
    </w:p>
    <w:p w14:paraId="00C8AAAD">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4. 甲方的权利和义务</w:t>
      </w:r>
    </w:p>
    <w:p w14:paraId="03958B0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4.1</w:t>
      </w:r>
      <w:r>
        <w:rPr>
          <w:rFonts w:ascii="宋体" w:hAnsi="宋体"/>
          <w:color w:val="auto"/>
          <w:szCs w:val="21"/>
        </w:rPr>
        <w:t xml:space="preserve"> 签署合同后，甲方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r>
        <w:rPr>
          <w:rFonts w:hint="eastAsia" w:ascii="宋体" w:hAnsi="宋体"/>
          <w:color w:val="auto"/>
          <w:szCs w:val="21"/>
        </w:rPr>
        <w:t>甲方有权对乙方的履约行为进行检查，并</w:t>
      </w:r>
      <w:r>
        <w:rPr>
          <w:rFonts w:ascii="宋体" w:hAnsi="宋体"/>
          <w:color w:val="auto"/>
          <w:szCs w:val="21"/>
        </w:rPr>
        <w:t>及时确认乙方提交的事项</w:t>
      </w:r>
      <w:r>
        <w:rPr>
          <w:rFonts w:hint="eastAsia" w:ascii="宋体" w:hAnsi="宋体"/>
          <w:color w:val="auto"/>
          <w:szCs w:val="21"/>
        </w:rPr>
        <w:t>。甲方应当</w:t>
      </w:r>
      <w:r>
        <w:rPr>
          <w:rFonts w:ascii="宋体" w:hAnsi="宋体"/>
          <w:color w:val="auto"/>
          <w:szCs w:val="21"/>
        </w:rPr>
        <w:t>配合乙方完成</w:t>
      </w:r>
      <w:r>
        <w:rPr>
          <w:rFonts w:hint="eastAsia" w:ascii="宋体" w:hAnsi="宋体"/>
          <w:color w:val="auto"/>
          <w:szCs w:val="21"/>
        </w:rPr>
        <w:t>相关项目</w:t>
      </w:r>
      <w:r>
        <w:rPr>
          <w:rFonts w:ascii="宋体" w:hAnsi="宋体"/>
          <w:color w:val="auto"/>
          <w:szCs w:val="21"/>
        </w:rPr>
        <w:t>实施工作。</w:t>
      </w:r>
    </w:p>
    <w:p w14:paraId="141EC89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4.2 </w:t>
      </w:r>
      <w:r>
        <w:rPr>
          <w:rFonts w:ascii="宋体" w:hAnsi="宋体"/>
          <w:color w:val="auto"/>
          <w:szCs w:val="21"/>
        </w:rPr>
        <w:t>甲方有权要求乙方按时提交各阶段有关</w:t>
      </w:r>
      <w:r>
        <w:rPr>
          <w:rFonts w:hint="eastAsia" w:ascii="宋体" w:hAnsi="宋体"/>
          <w:color w:val="auto"/>
          <w:szCs w:val="21"/>
        </w:rPr>
        <w:t>安排计划</w:t>
      </w:r>
      <w:r>
        <w:rPr>
          <w:rFonts w:ascii="宋体" w:hAnsi="宋体"/>
          <w:color w:val="auto"/>
          <w:szCs w:val="21"/>
        </w:rPr>
        <w:t>，并有权</w:t>
      </w:r>
      <w:r>
        <w:rPr>
          <w:rFonts w:hint="eastAsia" w:ascii="宋体" w:hAnsi="宋体"/>
          <w:color w:val="auto"/>
          <w:szCs w:val="21"/>
        </w:rPr>
        <w:t>定期核对乙方提供货物数量、规格、质量等内容。甲方</w:t>
      </w:r>
      <w:r>
        <w:rPr>
          <w:rFonts w:ascii="宋体" w:hAnsi="宋体"/>
          <w:color w:val="auto"/>
          <w:szCs w:val="21"/>
        </w:rPr>
        <w:t>有权督促乙方工作并要求乙方</w:t>
      </w:r>
      <w:r>
        <w:rPr>
          <w:rFonts w:hint="eastAsia" w:ascii="宋体" w:hAnsi="宋体"/>
          <w:color w:val="auto"/>
          <w:szCs w:val="21"/>
        </w:rPr>
        <w:t>更</w:t>
      </w:r>
      <w:r>
        <w:rPr>
          <w:rFonts w:ascii="宋体" w:hAnsi="宋体"/>
          <w:color w:val="auto"/>
          <w:szCs w:val="21"/>
        </w:rPr>
        <w:t>换不符合要求的</w:t>
      </w:r>
      <w:r>
        <w:rPr>
          <w:rFonts w:hint="eastAsia" w:ascii="宋体" w:hAnsi="宋体"/>
          <w:color w:val="auto"/>
          <w:szCs w:val="21"/>
        </w:rPr>
        <w:t>货物</w:t>
      </w:r>
      <w:r>
        <w:rPr>
          <w:rFonts w:ascii="宋体" w:hAnsi="宋体"/>
          <w:color w:val="auto"/>
          <w:szCs w:val="21"/>
        </w:rPr>
        <w:t>。</w:t>
      </w:r>
    </w:p>
    <w:p w14:paraId="7C88166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甲方</w:t>
      </w:r>
      <w:r>
        <w:rPr>
          <w:rFonts w:hint="eastAsia" w:ascii="宋体" w:hAnsi="宋体"/>
          <w:color w:val="auto"/>
          <w:szCs w:val="21"/>
        </w:rPr>
        <w:t>有权要求乙方对缺陷部分予以修复，并按合同约定享有货物保修及其他合同约定的权利。</w:t>
      </w:r>
    </w:p>
    <w:p w14:paraId="48C15A02">
      <w:pPr>
        <w:snapToGrid w:val="0"/>
        <w:spacing w:line="400" w:lineRule="exact"/>
        <w:ind w:firstLine="420" w:firstLineChars="200"/>
        <w:rPr>
          <w:rFonts w:eastAsia="华文楷体"/>
          <w:color w:val="auto"/>
        </w:rPr>
      </w:pPr>
      <w:r>
        <w:rPr>
          <w:rFonts w:ascii="宋体" w:hAnsi="宋体"/>
          <w:color w:val="auto"/>
          <w:szCs w:val="21"/>
        </w:rPr>
        <w:t>4.4 甲方应当按照合同约定及时对交付的货物进行验收</w:t>
      </w:r>
      <w:r>
        <w:rPr>
          <w:rFonts w:hint="eastAsia" w:ascii="宋体" w:hAnsi="宋体"/>
          <w:color w:val="auto"/>
          <w:szCs w:val="21"/>
        </w:rPr>
        <w:t>，</w:t>
      </w:r>
      <w:r>
        <w:rPr>
          <w:rFonts w:hint="eastAsia" w:ascii="宋体" w:hAnsi="宋体" w:cs="宋体"/>
          <w:color w:val="auto"/>
          <w:szCs w:val="21"/>
        </w:rPr>
        <w:t>未</w:t>
      </w:r>
      <w:r>
        <w:rPr>
          <w:rFonts w:hint="eastAsia" w:ascii="宋体" w:hAnsi="宋体"/>
          <w:color w:val="auto"/>
          <w:szCs w:val="21"/>
        </w:rPr>
        <w:t>在</w:t>
      </w:r>
      <w:r>
        <w:rPr>
          <w:rFonts w:hint="eastAsia" w:ascii="宋体" w:hAnsi="宋体" w:cs="宋体"/>
          <w:b/>
          <w:bCs/>
          <w:color w:val="auto"/>
          <w:szCs w:val="21"/>
        </w:rPr>
        <w:t>【政府采购合同专用条款】</w:t>
      </w:r>
      <w:r>
        <w:rPr>
          <w:rFonts w:hint="eastAsia" w:ascii="宋体" w:hAnsi="宋体" w:cs="宋体"/>
          <w:color w:val="auto"/>
          <w:szCs w:val="21"/>
        </w:rPr>
        <w:t>约定的期限内对乙方履约提出任何异议或者向乙方作出任何说明的，</w:t>
      </w:r>
      <w:r>
        <w:rPr>
          <w:rFonts w:hint="eastAsia" w:ascii="宋体" w:hAnsi="宋体"/>
          <w:color w:val="auto"/>
          <w:szCs w:val="21"/>
        </w:rPr>
        <w:t>视为验收通过。</w:t>
      </w:r>
    </w:p>
    <w:p w14:paraId="473A387A">
      <w:pPr>
        <w:autoSpaceDE w:val="0"/>
        <w:autoSpaceDN w:val="0"/>
        <w:adjustRightInd w:val="0"/>
        <w:snapToGrid w:val="0"/>
        <w:spacing w:line="400" w:lineRule="exact"/>
        <w:ind w:firstLine="420" w:firstLineChars="200"/>
        <w:jc w:val="left"/>
        <w:rPr>
          <w:rFonts w:hint="eastAsia"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甲方应当根据合同约定及时向乙方支付合同价款</w:t>
      </w:r>
      <w:r>
        <w:rPr>
          <w:rFonts w:ascii="宋体" w:hAnsi="宋体"/>
          <w:color w:val="auto"/>
          <w:szCs w:val="21"/>
        </w:rPr>
        <w:t>，不得以内部人员变更、履行内部付款流程等为由，拒绝或迟延支付。</w:t>
      </w:r>
    </w:p>
    <w:p w14:paraId="602635E2">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4.6</w:t>
      </w:r>
      <w:r>
        <w:rPr>
          <w:rFonts w:ascii="宋体" w:hAnsi="宋体"/>
          <w:color w:val="auto"/>
          <w:szCs w:val="21"/>
        </w:rPr>
        <w:t xml:space="preserve"> </w:t>
      </w:r>
      <w:r>
        <w:rPr>
          <w:rFonts w:hint="eastAsia" w:ascii="宋体" w:hAnsi="宋体"/>
          <w:color w:val="auto"/>
          <w:szCs w:val="21"/>
        </w:rPr>
        <w:t>国家法律法规规定及</w:t>
      </w:r>
      <w:r>
        <w:rPr>
          <w:rFonts w:hint="eastAsia" w:ascii="宋体" w:hAnsi="宋体" w:cs="宋体"/>
          <w:b/>
          <w:bCs/>
          <w:color w:val="auto"/>
          <w:szCs w:val="21"/>
        </w:rPr>
        <w:t>【政府采购合同专用条款】</w:t>
      </w:r>
      <w:r>
        <w:rPr>
          <w:rFonts w:hint="eastAsia" w:ascii="宋体" w:hAnsi="宋体"/>
          <w:color w:val="auto"/>
          <w:szCs w:val="21"/>
        </w:rPr>
        <w:t>约定应由甲方承担的其他义务和责任。</w:t>
      </w:r>
    </w:p>
    <w:p w14:paraId="348E2B7B">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5. 乙方的权利和义务</w:t>
      </w:r>
    </w:p>
    <w:p w14:paraId="2B196D4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5.1 </w:t>
      </w:r>
      <w:r>
        <w:rPr>
          <w:rFonts w:ascii="宋体" w:hAnsi="宋体"/>
          <w:color w:val="auto"/>
          <w:szCs w:val="21"/>
        </w:rPr>
        <w:t>签署合同后，乙方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p>
    <w:p w14:paraId="0EBA655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5.</w:t>
      </w:r>
      <w:r>
        <w:rPr>
          <w:rFonts w:ascii="宋体" w:hAnsi="宋体"/>
          <w:color w:val="auto"/>
          <w:szCs w:val="21"/>
        </w:rPr>
        <w:t>2 乙方应按照合同要求</w:t>
      </w:r>
      <w:r>
        <w:rPr>
          <w:rFonts w:hint="eastAsia" w:ascii="宋体" w:hAnsi="宋体"/>
          <w:color w:val="auto"/>
          <w:szCs w:val="21"/>
        </w:rPr>
        <w:t>履约</w:t>
      </w:r>
      <w:r>
        <w:rPr>
          <w:rFonts w:ascii="宋体" w:hAnsi="宋体"/>
          <w:color w:val="auto"/>
          <w:szCs w:val="21"/>
        </w:rPr>
        <w:t>，充分合理安排，确保</w:t>
      </w:r>
      <w:r>
        <w:rPr>
          <w:rFonts w:hint="eastAsia" w:ascii="宋体" w:hAnsi="宋体"/>
          <w:color w:val="auto"/>
          <w:szCs w:val="21"/>
        </w:rPr>
        <w:t>提供的货物及相关服务符合合同有关</w:t>
      </w:r>
      <w:r>
        <w:rPr>
          <w:rFonts w:ascii="宋体" w:hAnsi="宋体"/>
          <w:color w:val="auto"/>
          <w:szCs w:val="21"/>
        </w:rPr>
        <w:t>要求</w:t>
      </w:r>
      <w:r>
        <w:rPr>
          <w:rFonts w:hint="eastAsia" w:ascii="宋体" w:hAnsi="宋体"/>
          <w:color w:val="auto"/>
          <w:szCs w:val="21"/>
        </w:rPr>
        <w:t>。接受项目行业管理部门及政府有关部门的指导，配合甲方的履约检查及验收，并</w:t>
      </w:r>
      <w:r>
        <w:rPr>
          <w:rFonts w:ascii="宋体" w:hAnsi="宋体"/>
          <w:color w:val="auto"/>
          <w:szCs w:val="21"/>
        </w:rPr>
        <w:t>负责项目实施过程中的所有协调工作。</w:t>
      </w:r>
    </w:p>
    <w:p w14:paraId="5F3F243C">
      <w:pPr>
        <w:pStyle w:val="17"/>
        <w:spacing w:line="400" w:lineRule="exact"/>
        <w:ind w:firstLine="422" w:firstLineChars="176"/>
        <w:rPr>
          <w:rFonts w:hint="eastAsia" w:ascii="宋体" w:hAnsi="宋体" w:cs="宋体"/>
          <w:color w:val="auto"/>
          <w:szCs w:val="21"/>
        </w:rPr>
      </w:pPr>
      <w:r>
        <w:rPr>
          <w:rFonts w:hint="eastAsia" w:ascii="宋体" w:hAnsi="宋体"/>
          <w:color w:val="auto"/>
          <w:szCs w:val="21"/>
        </w:rPr>
        <w:t>5.</w:t>
      </w:r>
      <w:r>
        <w:rPr>
          <w:rFonts w:ascii="宋体" w:hAnsi="宋体"/>
          <w:color w:val="auto"/>
          <w:szCs w:val="21"/>
        </w:rPr>
        <w:t>3</w:t>
      </w:r>
      <w:r>
        <w:rPr>
          <w:rFonts w:hint="eastAsia" w:ascii="宋体" w:hAnsi="宋体"/>
          <w:color w:val="auto"/>
          <w:szCs w:val="21"/>
        </w:rPr>
        <w:t>乙方有权</w:t>
      </w:r>
      <w:r>
        <w:rPr>
          <w:rFonts w:hint="eastAsia" w:ascii="宋体" w:hAnsi="宋体" w:cs="宋体"/>
          <w:color w:val="auto"/>
          <w:szCs w:val="21"/>
        </w:rPr>
        <w:t>根据合同约定向甲方收取合同价款。</w:t>
      </w:r>
    </w:p>
    <w:p w14:paraId="56A347DF">
      <w:pPr>
        <w:pStyle w:val="17"/>
        <w:spacing w:line="400" w:lineRule="exact"/>
        <w:ind w:firstLine="422" w:firstLineChars="176"/>
        <w:rPr>
          <w:rFonts w:hint="eastAsia" w:ascii="宋体" w:hAnsi="宋体" w:cs="宋体"/>
          <w:color w:val="auto"/>
          <w:szCs w:val="21"/>
        </w:rPr>
      </w:pPr>
      <w:r>
        <w:rPr>
          <w:rFonts w:hint="eastAsia" w:ascii="宋体" w:hAnsi="宋体"/>
          <w:color w:val="auto"/>
          <w:szCs w:val="21"/>
        </w:rPr>
        <w:t>5.</w:t>
      </w:r>
      <w:r>
        <w:rPr>
          <w:rFonts w:ascii="宋体" w:hAnsi="宋体"/>
          <w:color w:val="auto"/>
          <w:szCs w:val="21"/>
        </w:rPr>
        <w:t>4</w:t>
      </w:r>
      <w:r>
        <w:rPr>
          <w:rFonts w:hint="eastAsia" w:ascii="宋体" w:hAnsi="宋体" w:cs="宋体"/>
          <w:color w:val="auto"/>
          <w:szCs w:val="21"/>
        </w:rPr>
        <w:t>国家法律法规规定</w:t>
      </w:r>
      <w:r>
        <w:rPr>
          <w:rFonts w:hint="eastAsia" w:ascii="宋体" w:hAnsi="宋体"/>
          <w:color w:val="auto"/>
          <w:szCs w:val="21"/>
        </w:rPr>
        <w:t>及</w:t>
      </w:r>
      <w:r>
        <w:rPr>
          <w:rFonts w:hint="eastAsia" w:ascii="宋体" w:hAnsi="宋体" w:cs="宋体"/>
          <w:b/>
          <w:bCs/>
          <w:color w:val="auto"/>
          <w:szCs w:val="21"/>
        </w:rPr>
        <w:t>【政府采购合同专用条款】</w:t>
      </w:r>
      <w:r>
        <w:rPr>
          <w:rFonts w:hint="eastAsia" w:ascii="宋体" w:hAnsi="宋体" w:cs="宋体"/>
          <w:color w:val="auto"/>
          <w:szCs w:val="21"/>
        </w:rPr>
        <w:t>约定应由乙方承担的其他义务和责任。</w:t>
      </w:r>
    </w:p>
    <w:p w14:paraId="06D54B34">
      <w:pPr>
        <w:numPr>
          <w:ilvl w:val="0"/>
          <w:numId w:val="9"/>
        </w:num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合同履行</w:t>
      </w:r>
    </w:p>
    <w:p w14:paraId="31F5825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6.1 甲乙双方应当按照</w:t>
      </w:r>
      <w:r>
        <w:rPr>
          <w:rFonts w:hint="eastAsia" w:ascii="宋体" w:hAnsi="宋体" w:cs="宋体"/>
          <w:b/>
          <w:bCs/>
          <w:color w:val="auto"/>
          <w:szCs w:val="21"/>
        </w:rPr>
        <w:t>【政府采购合同专用条款】</w:t>
      </w:r>
      <w:r>
        <w:rPr>
          <w:rFonts w:hint="eastAsia" w:ascii="宋体" w:hAnsi="宋体"/>
          <w:color w:val="auto"/>
          <w:szCs w:val="21"/>
        </w:rPr>
        <w:t>约定顺序履行合同义务；如果没有先后顺序的，应当同时履行。</w:t>
      </w:r>
    </w:p>
    <w:p w14:paraId="5E9705B2">
      <w:pPr>
        <w:autoSpaceDE w:val="0"/>
        <w:autoSpaceDN w:val="0"/>
        <w:adjustRightInd w:val="0"/>
        <w:snapToGrid w:val="0"/>
        <w:spacing w:line="400" w:lineRule="exact"/>
        <w:ind w:firstLine="420" w:firstLineChars="200"/>
        <w:jc w:val="left"/>
        <w:rPr>
          <w:color w:val="auto"/>
        </w:rPr>
      </w:pPr>
      <w:r>
        <w:rPr>
          <w:rFonts w:hint="eastAsia" w:ascii="宋体" w:hAnsi="宋体"/>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340290C7">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7. 货物包装、运输、保险和交付要求</w:t>
      </w:r>
    </w:p>
    <w:p w14:paraId="23D1A33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7.1 本合同</w:t>
      </w:r>
      <w:r>
        <w:rPr>
          <w:rFonts w:hint="eastAsia" w:ascii="宋体" w:hAnsi="宋体"/>
          <w:bCs/>
          <w:color w:val="auto"/>
          <w:szCs w:val="21"/>
        </w:rPr>
        <w:t>涉及商品包装、快递包装的，</w:t>
      </w:r>
      <w:r>
        <w:rPr>
          <w:rFonts w:hint="eastAsia" w:ascii="宋体" w:hAnsi="宋体"/>
          <w:color w:val="auto"/>
          <w:szCs w:val="21"/>
        </w:rPr>
        <w:t>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包装应适应远距离运输、防潮、防震、防锈和防野蛮装卸等要求，确保货物安全无损地运抵</w:t>
      </w:r>
      <w:r>
        <w:rPr>
          <w:rFonts w:hint="eastAsia" w:ascii="宋体" w:hAnsi="宋体"/>
          <w:b/>
          <w:color w:val="auto"/>
          <w:szCs w:val="21"/>
        </w:rPr>
        <w:t>【政府采购合同专用条款】</w:t>
      </w:r>
      <w:r>
        <w:rPr>
          <w:rFonts w:hint="eastAsia" w:ascii="宋体" w:hAnsi="宋体"/>
          <w:bCs/>
          <w:color w:val="auto"/>
          <w:szCs w:val="21"/>
        </w:rPr>
        <w:t>约定的</w:t>
      </w:r>
      <w:r>
        <w:rPr>
          <w:rFonts w:hint="eastAsia" w:ascii="宋体" w:hAnsi="宋体"/>
          <w:color w:val="auto"/>
          <w:szCs w:val="21"/>
        </w:rPr>
        <w:t>指定现场。</w:t>
      </w:r>
    </w:p>
    <w:p w14:paraId="62DFD632">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7.2 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乙方负责办理将货物运抵本合同规定的交货地点，并装卸、交付至甲方的一切运输事项，相关费用应包含在合同价款中。</w:t>
      </w:r>
    </w:p>
    <w:p w14:paraId="7CA1C1A2">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7.3 货物保险要求按</w:t>
      </w:r>
      <w:r>
        <w:rPr>
          <w:rFonts w:hint="eastAsia" w:ascii="宋体" w:hAnsi="宋体"/>
          <w:b/>
          <w:color w:val="auto"/>
          <w:szCs w:val="21"/>
        </w:rPr>
        <w:t>【政府采购合同专用条款】</w:t>
      </w:r>
      <w:r>
        <w:rPr>
          <w:rFonts w:hint="eastAsia" w:ascii="宋体" w:hAnsi="宋体"/>
          <w:bCs/>
          <w:color w:val="auto"/>
          <w:szCs w:val="21"/>
        </w:rPr>
        <w:t>规定执行</w:t>
      </w:r>
      <w:r>
        <w:rPr>
          <w:rFonts w:hint="eastAsia" w:ascii="宋体" w:hAnsi="宋体"/>
          <w:color w:val="auto"/>
          <w:szCs w:val="21"/>
        </w:rPr>
        <w:t>。</w:t>
      </w:r>
    </w:p>
    <w:p w14:paraId="543F2B8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08B575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7.5 </w:t>
      </w:r>
      <w:r>
        <w:rPr>
          <w:rFonts w:hint="eastAsia" w:ascii="宋体" w:hAnsi="宋体" w:cs="宋体"/>
          <w:color w:val="auto"/>
          <w:szCs w:val="21"/>
        </w:rPr>
        <w:t>乙方在运输到达之前应提前通知甲方，并提示货物运输装卸的注意事项，甲方配合乙方做好货物的接收工作。</w:t>
      </w:r>
    </w:p>
    <w:p w14:paraId="6B173E59">
      <w:pPr>
        <w:pStyle w:val="141"/>
        <w:ind w:firstLine="420"/>
        <w:rPr>
          <w:rFonts w:hint="eastAsia"/>
          <w:color w:val="auto"/>
          <w:sz w:val="21"/>
        </w:rPr>
      </w:pPr>
      <w:r>
        <w:rPr>
          <w:rFonts w:hint="eastAsia" w:ascii="宋体" w:hAnsi="宋体" w:eastAsia="宋体" w:cs="Times New Roman"/>
          <w:color w:val="auto"/>
          <w:kern w:val="2"/>
          <w:sz w:val="21"/>
        </w:rPr>
        <w:t>7.6 如因包装、运输问题导致货物损毁、丢失或者品质下降，甲方有权要求降价、换货、拒收部分或整批货物，由此产生的费用和损失，均由乙方承担。</w:t>
      </w:r>
    </w:p>
    <w:p w14:paraId="33986B9C">
      <w:pPr>
        <w:adjustRightInd w:val="0"/>
        <w:snapToGrid w:val="0"/>
        <w:spacing w:line="400" w:lineRule="exact"/>
        <w:jc w:val="left"/>
        <w:rPr>
          <w:rFonts w:hint="eastAsia" w:ascii="宋体" w:hAnsi="宋体"/>
          <w:b/>
          <w:color w:val="auto"/>
          <w:sz w:val="24"/>
        </w:rPr>
      </w:pPr>
      <w:r>
        <w:rPr>
          <w:rFonts w:hint="eastAsia" w:ascii="宋体" w:hAnsi="宋体"/>
          <w:b/>
          <w:color w:val="auto"/>
          <w:sz w:val="24"/>
        </w:rPr>
        <w:t>8. 质量标准和保证</w:t>
      </w:r>
    </w:p>
    <w:p w14:paraId="2D451E0B">
      <w:pPr>
        <w:pStyle w:val="21"/>
        <w:adjustRightInd w:val="0"/>
        <w:snapToGrid w:val="0"/>
        <w:spacing w:line="400" w:lineRule="exact"/>
        <w:ind w:firstLine="420" w:firstLineChars="200"/>
        <w:jc w:val="left"/>
        <w:rPr>
          <w:rFonts w:hint="eastAsia" w:hAnsi="宋体"/>
          <w:b/>
          <w:color w:val="auto"/>
        </w:rPr>
      </w:pPr>
      <w:r>
        <w:rPr>
          <w:rFonts w:hint="eastAsia" w:hAnsi="宋体"/>
          <w:color w:val="auto"/>
        </w:rPr>
        <w:t>8.1 质量标准</w:t>
      </w:r>
    </w:p>
    <w:p w14:paraId="10E8B416">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（1）本合同下提供的货物应符合合同</w:t>
      </w:r>
      <w:r>
        <w:rPr>
          <w:rFonts w:hint="eastAsia" w:ascii="宋体" w:hAnsi="宋体" w:cs="宋体"/>
          <w:color w:val="auto"/>
          <w:szCs w:val="21"/>
        </w:rPr>
        <w:t>约定的品牌、规格型号、技术性能、配置、质量、数量等要求。</w:t>
      </w:r>
      <w:r>
        <w:rPr>
          <w:rFonts w:hint="eastAsia" w:ascii="宋体" w:hAnsi="宋体"/>
          <w:color w:val="auto"/>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23A2788">
      <w:pPr>
        <w:pStyle w:val="21"/>
        <w:adjustRightInd w:val="0"/>
        <w:snapToGrid w:val="0"/>
        <w:spacing w:line="400" w:lineRule="exact"/>
        <w:ind w:firstLine="420" w:firstLineChars="200"/>
        <w:jc w:val="left"/>
        <w:rPr>
          <w:rFonts w:hint="eastAsia" w:hAnsi="宋体"/>
          <w:color w:val="auto"/>
        </w:rPr>
      </w:pPr>
      <w:r>
        <w:rPr>
          <w:rFonts w:hint="eastAsia" w:hAnsi="宋体"/>
          <w:color w:val="auto"/>
        </w:rPr>
        <w:t>（2）采用中华人民共和国法定计量单位。</w:t>
      </w:r>
    </w:p>
    <w:p w14:paraId="2D83D98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（3）乙方所提供的货物应符合国家有关安全、环保、卫生的规定。</w:t>
      </w:r>
    </w:p>
    <w:p w14:paraId="2C5A846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（4）乙方应向甲方提交所提供货物的技术文件，包括相应的中文技术文件，如：产品目录、图纸、操作手册、使用说明、维护手册或服务指南等。上述文件应包装好随货物一同发运。</w:t>
      </w:r>
    </w:p>
    <w:p w14:paraId="5924A58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8.2 保证</w:t>
      </w:r>
    </w:p>
    <w:p w14:paraId="0507640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（1）乙方应保证提供的货物完全符合合同规定的质量、规格和性能要求。乙方应保证货物在正确安装、正常使用和保养条件下，</w:t>
      </w:r>
      <w:r>
        <w:rPr>
          <w:rFonts w:hint="eastAsia" w:ascii="宋体" w:hAnsi="宋体" w:cs="宋体"/>
          <w:color w:val="auto"/>
          <w:szCs w:val="21"/>
        </w:rPr>
        <w:t>在其使用寿命期内具备合同约定的性能</w:t>
      </w:r>
      <w:r>
        <w:rPr>
          <w:rFonts w:hint="eastAsia" w:ascii="宋体" w:hAnsi="宋体"/>
          <w:color w:val="auto"/>
          <w:szCs w:val="21"/>
        </w:rPr>
        <w:t>。存在质量保证期的，货物最终交付验收合格后在</w:t>
      </w:r>
      <w:r>
        <w:rPr>
          <w:rFonts w:hint="eastAsia" w:ascii="宋体" w:hAnsi="宋体"/>
          <w:b/>
          <w:color w:val="auto"/>
          <w:szCs w:val="21"/>
        </w:rPr>
        <w:t>【政府采购合同专用条款】</w:t>
      </w:r>
      <w:r>
        <w:rPr>
          <w:rFonts w:hint="eastAsia" w:ascii="宋体" w:hAnsi="宋体"/>
          <w:color w:val="auto"/>
          <w:szCs w:val="21"/>
        </w:rPr>
        <w:t>规定或乙方书面承诺（两者以较长的为准）的质量保证期内，本保证保持有效。</w:t>
      </w:r>
    </w:p>
    <w:p w14:paraId="3094F97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（2）在质量保证期内所发现的缺陷，甲方应尽快以书面形式通知乙方。</w:t>
      </w:r>
    </w:p>
    <w:p w14:paraId="1CA4E1F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（3）乙方收到通知后，应在</w:t>
      </w:r>
      <w:r>
        <w:rPr>
          <w:rFonts w:hint="eastAsia" w:ascii="宋体" w:hAnsi="宋体"/>
          <w:b/>
          <w:color w:val="auto"/>
          <w:szCs w:val="21"/>
        </w:rPr>
        <w:t>【政府采购合同专用条款】</w:t>
      </w:r>
      <w:r>
        <w:rPr>
          <w:rFonts w:hint="eastAsia" w:ascii="宋体" w:hAnsi="宋体"/>
          <w:color w:val="auto"/>
          <w:szCs w:val="21"/>
        </w:rPr>
        <w:t>规定的响应时间内以合理的速度免费维修或更换有缺陷的货物或部件。</w:t>
      </w:r>
    </w:p>
    <w:p w14:paraId="64ED7C6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FAB2745">
      <w:pPr>
        <w:adjustRightInd w:val="0"/>
        <w:snapToGrid w:val="0"/>
        <w:spacing w:line="400" w:lineRule="exact"/>
        <w:ind w:firstLine="420" w:firstLineChars="200"/>
        <w:jc w:val="left"/>
        <w:rPr>
          <w:color w:val="auto"/>
        </w:rPr>
      </w:pPr>
      <w:r>
        <w:rPr>
          <w:rFonts w:hint="eastAsia" w:ascii="宋体" w:hAnsi="宋体"/>
          <w:color w:val="auto"/>
          <w:szCs w:val="21"/>
        </w:rPr>
        <w:t>（5）乙方在约定的时间内未能弥补缺陷，甲方可采取必要的补救措施，但其风险和费用将由乙方承担，甲方根据合同约定对乙方行使的其他权利不受影响。</w:t>
      </w:r>
    </w:p>
    <w:p w14:paraId="543324B9">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9. 权利瑕疵担保</w:t>
      </w:r>
    </w:p>
    <w:p w14:paraId="3480368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9.1 乙方保证对其出售的货物享有合法的权利。</w:t>
      </w:r>
    </w:p>
    <w:p w14:paraId="5AEEFFB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9.2 </w:t>
      </w:r>
      <w:r>
        <w:rPr>
          <w:rFonts w:hint="eastAsia" w:ascii="宋体" w:hAnsi="宋体" w:cs="宋体"/>
          <w:color w:val="auto"/>
          <w:szCs w:val="15"/>
        </w:rPr>
        <w:t>乙方保证在交付的货物上不存在抵押权等担保物权。</w:t>
      </w:r>
    </w:p>
    <w:p w14:paraId="6D7B92C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9.3 如甲方使用上述货物构成对第三人侵权的，则由乙方承担全部责任。</w:t>
      </w:r>
    </w:p>
    <w:p w14:paraId="6CF78824">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10. 知识产权保护</w:t>
      </w:r>
    </w:p>
    <w:p w14:paraId="52704B1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10.1 乙方对其所销售的货物应当享有知识产权或经权利人合法授权，保证没有侵犯任何第三人的知识产权等权利。</w:t>
      </w:r>
      <w:bookmarkStart w:id="117" w:name="_Hlk163047038"/>
      <w:r>
        <w:rPr>
          <w:rFonts w:hint="eastAsia" w:ascii="宋体" w:hAnsi="宋体" w:cs="宋体"/>
          <w:color w:val="auto"/>
          <w:szCs w:val="15"/>
        </w:rPr>
        <w:t>因违反前述约定对第三人构成侵权的，应当由乙方向第三人承担法律责任；甲方依法向第三人赔偿后，有权向乙方追偿。甲方有其他损失的，乙方应当赔偿</w:t>
      </w:r>
      <w:bookmarkEnd w:id="117"/>
      <w:r>
        <w:rPr>
          <w:rFonts w:hint="eastAsia" w:ascii="宋体" w:hAnsi="宋体"/>
          <w:color w:val="auto"/>
          <w:szCs w:val="21"/>
        </w:rPr>
        <w:t>。</w:t>
      </w:r>
    </w:p>
    <w:p w14:paraId="2CD6FF56">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11. 保密义务</w:t>
      </w:r>
    </w:p>
    <w:p w14:paraId="686364CA">
      <w:pPr>
        <w:autoSpaceDE w:val="0"/>
        <w:autoSpaceDN w:val="0"/>
        <w:adjustRightInd w:val="0"/>
        <w:snapToGrid w:val="0"/>
        <w:spacing w:line="400" w:lineRule="exact"/>
        <w:ind w:firstLine="420" w:firstLineChars="200"/>
        <w:jc w:val="left"/>
        <w:rPr>
          <w:rFonts w:hint="eastAsia" w:ascii="宋体" w:hAnsi="宋体" w:cs="宋体"/>
          <w:color w:val="auto"/>
          <w:szCs w:val="15"/>
        </w:rPr>
      </w:pPr>
      <w:r>
        <w:rPr>
          <w:rFonts w:hint="eastAsia" w:ascii="宋体" w:hAnsi="宋体" w:cs="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rPr>
        <w:t>【政府采购合同专用条款】</w:t>
      </w:r>
      <w:r>
        <w:rPr>
          <w:rFonts w:hint="eastAsia" w:ascii="宋体" w:hAnsi="宋体" w:cs="宋体"/>
          <w:color w:val="auto"/>
          <w:szCs w:val="15"/>
        </w:rPr>
        <w:t>中约定。</w:t>
      </w:r>
    </w:p>
    <w:p w14:paraId="2500376F">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12. 合同价款支付</w:t>
      </w:r>
    </w:p>
    <w:p w14:paraId="5A03671D">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12.1 合同价款支付按照国库集中支付制度及财政管理相关规定执行。</w:t>
      </w:r>
    </w:p>
    <w:p w14:paraId="0281889D">
      <w:pPr>
        <w:pStyle w:val="3"/>
        <w:ind w:firstLine="420" w:firstLineChars="200"/>
        <w:rPr>
          <w:rFonts w:eastAsia="宋体"/>
          <w:color w:val="auto"/>
        </w:rPr>
      </w:pPr>
      <w:r>
        <w:rPr>
          <w:rFonts w:hint="eastAsia" w:ascii="宋体" w:hAnsi="宋体"/>
          <w:b w:val="0"/>
          <w:bCs w:val="0"/>
          <w:color w:val="auto"/>
          <w:sz w:val="21"/>
          <w:szCs w:val="21"/>
        </w:rPr>
        <w:t xml:space="preserve">12.2 </w:t>
      </w:r>
      <w:r>
        <w:rPr>
          <w:rFonts w:hint="eastAsia" w:ascii="宋体" w:hAnsi="宋体" w:eastAsia="宋体"/>
          <w:b w:val="0"/>
          <w:bCs w:val="0"/>
          <w:color w:val="auto"/>
          <w:sz w:val="21"/>
          <w:szCs w:val="21"/>
        </w:rPr>
        <w:t>对于满足合同约定支付条件的，甲方原则上应当自收到发票后10个工作日内将资金支付到合同约定的</w:t>
      </w:r>
      <w:r>
        <w:rPr>
          <w:rFonts w:hint="eastAsia" w:ascii="宋体" w:hAnsi="宋体"/>
          <w:b w:val="0"/>
          <w:bCs w:val="0"/>
          <w:color w:val="auto"/>
          <w:sz w:val="21"/>
          <w:szCs w:val="21"/>
        </w:rPr>
        <w:t>乙方</w:t>
      </w:r>
      <w:r>
        <w:rPr>
          <w:rFonts w:hint="eastAsia" w:ascii="宋体" w:hAnsi="宋体" w:eastAsia="宋体"/>
          <w:b w:val="0"/>
          <w:bCs w:val="0"/>
          <w:color w:val="auto"/>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sz w:val="21"/>
          <w:szCs w:val="21"/>
        </w:rPr>
        <w:t>政府采购合同专用条款</w:t>
      </w:r>
      <w:r>
        <w:rPr>
          <w:rFonts w:hint="eastAsia" w:ascii="宋体" w:hAnsi="宋体" w:eastAsia="宋体"/>
          <w:b w:val="0"/>
          <w:bCs w:val="0"/>
          <w:color w:val="auto"/>
          <w:sz w:val="21"/>
          <w:szCs w:val="21"/>
        </w:rPr>
        <w:t>】中</w:t>
      </w:r>
      <w:r>
        <w:rPr>
          <w:rFonts w:hint="eastAsia" w:ascii="宋体" w:hAnsi="宋体"/>
          <w:b w:val="0"/>
          <w:bCs w:val="0"/>
          <w:color w:val="auto"/>
          <w:sz w:val="21"/>
          <w:szCs w:val="21"/>
        </w:rPr>
        <w:t>约</w:t>
      </w:r>
      <w:r>
        <w:rPr>
          <w:rFonts w:hint="eastAsia" w:ascii="宋体" w:hAnsi="宋体" w:eastAsia="宋体"/>
          <w:b w:val="0"/>
          <w:bCs w:val="0"/>
          <w:color w:val="auto"/>
          <w:sz w:val="21"/>
          <w:szCs w:val="21"/>
        </w:rPr>
        <w:t>定。</w:t>
      </w:r>
    </w:p>
    <w:p w14:paraId="660AAB80">
      <w:pPr>
        <w:pStyle w:val="17"/>
        <w:spacing w:line="400" w:lineRule="exact"/>
        <w:rPr>
          <w:rFonts w:hint="eastAsia" w:ascii="宋体" w:hAnsi="宋体"/>
          <w:b/>
          <w:bCs/>
          <w:color w:val="auto"/>
        </w:rPr>
      </w:pPr>
      <w:r>
        <w:rPr>
          <w:rFonts w:hint="eastAsia" w:ascii="宋体" w:hAnsi="宋体"/>
          <w:b/>
          <w:bCs/>
          <w:color w:val="auto"/>
        </w:rPr>
        <w:t>13. 履约保证金</w:t>
      </w:r>
    </w:p>
    <w:p w14:paraId="0564592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13.1 </w:t>
      </w:r>
      <w:r>
        <w:rPr>
          <w:rFonts w:hint="eastAsia" w:ascii="宋体" w:hAnsi="宋体" w:cs="宋体"/>
          <w:color w:val="auto"/>
          <w:szCs w:val="15"/>
        </w:rPr>
        <w:t>乙方应当以支票、汇票、本票或者金融机构、担保机构出具的保函等非现金形式提交。</w:t>
      </w:r>
    </w:p>
    <w:p w14:paraId="3516E706">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13.2 如果乙方出现</w:t>
      </w:r>
      <w:r>
        <w:rPr>
          <w:rFonts w:hint="eastAsia" w:ascii="宋体" w:hAnsi="宋体" w:cs="宋体"/>
          <w:b/>
          <w:bCs/>
          <w:color w:val="auto"/>
          <w:szCs w:val="15"/>
        </w:rPr>
        <w:t>【政府采购合同专用条款】</w:t>
      </w:r>
      <w:r>
        <w:rPr>
          <w:rFonts w:hint="eastAsia" w:ascii="宋体" w:hAnsi="宋体" w:cs="宋体"/>
          <w:color w:val="auto"/>
          <w:szCs w:val="15"/>
        </w:rPr>
        <w:t>约定情形的</w:t>
      </w:r>
      <w:r>
        <w:rPr>
          <w:rFonts w:hint="eastAsia" w:ascii="宋体" w:hAnsi="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6254AECF">
      <w:pPr>
        <w:spacing w:line="400" w:lineRule="exact"/>
        <w:ind w:firstLine="420"/>
        <w:rPr>
          <w:color w:val="auto"/>
        </w:rPr>
      </w:pPr>
      <w:r>
        <w:rPr>
          <w:rFonts w:hint="eastAsia" w:ascii="宋体" w:hAnsi="宋体"/>
          <w:color w:val="auto"/>
          <w:szCs w:val="21"/>
        </w:rPr>
        <w:t>13.3 甲方在项目通过验收后按照</w:t>
      </w:r>
      <w:r>
        <w:rPr>
          <w:rFonts w:hint="eastAsia" w:ascii="宋体" w:hAnsi="宋体"/>
          <w:b/>
          <w:color w:val="auto"/>
          <w:szCs w:val="21"/>
        </w:rPr>
        <w:t>【政府采购合同专用条款】</w:t>
      </w:r>
      <w:r>
        <w:rPr>
          <w:rFonts w:hint="eastAsia" w:ascii="宋体" w:hAnsi="宋体"/>
          <w:color w:val="auto"/>
          <w:szCs w:val="21"/>
        </w:rPr>
        <w:t>规定的时间内将履约保证金退还乙方；逾期退还的，乙方可要求甲方支付违约金，违约金按照</w:t>
      </w:r>
      <w:r>
        <w:rPr>
          <w:rFonts w:hint="eastAsia" w:ascii="宋体" w:hAnsi="宋体"/>
          <w:b/>
          <w:color w:val="auto"/>
          <w:szCs w:val="21"/>
        </w:rPr>
        <w:t>【政府采购合同专用条款】</w:t>
      </w:r>
      <w:r>
        <w:rPr>
          <w:rFonts w:hint="eastAsia" w:ascii="宋体" w:hAnsi="宋体"/>
          <w:color w:val="auto"/>
          <w:szCs w:val="21"/>
        </w:rPr>
        <w:t>规定支付。</w:t>
      </w:r>
    </w:p>
    <w:p w14:paraId="5A2EDDF1">
      <w:p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14:paraId="2F188ED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14.1 除项目不涉及或采购活动中明确约定无须承担外，乙方还应提供下列服务：</w:t>
      </w:r>
    </w:p>
    <w:p w14:paraId="0FF16C9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（1）货物的现场移动、安装、调试、启动监督及技术支持；</w:t>
      </w:r>
    </w:p>
    <w:p w14:paraId="111E665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（2）提供货物组装和维修所需的专用工具和辅助材料；</w:t>
      </w:r>
    </w:p>
    <w:p w14:paraId="11EDE9E1">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（3）在</w:t>
      </w:r>
      <w:r>
        <w:rPr>
          <w:rFonts w:hint="eastAsia" w:ascii="宋体" w:hAnsi="宋体" w:cs="宋体"/>
          <w:b/>
          <w:bCs/>
          <w:color w:val="auto"/>
          <w:szCs w:val="15"/>
        </w:rPr>
        <w:t>【政府采购合同专用条款】</w:t>
      </w:r>
      <w:r>
        <w:rPr>
          <w:rFonts w:hint="eastAsia" w:ascii="宋体" w:hAnsi="宋体"/>
          <w:color w:val="auto"/>
          <w:szCs w:val="21"/>
        </w:rPr>
        <w:t>约定的期限内对所有的货物实施运行监督、维修，但前提条件是该服务并不能免除乙方在质量保证期内所承担的义务；</w:t>
      </w:r>
    </w:p>
    <w:p w14:paraId="715F828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（4）在制造商所在地或指定现场就货物的安装、启动、运营、维护、废弃处置等对甲方操作人员进行培训</w:t>
      </w:r>
      <w:r>
        <w:rPr>
          <w:rFonts w:hint="eastAsia" w:ascii="宋体" w:hAnsi="宋体" w:cs="宋体"/>
          <w:color w:val="auto"/>
          <w:szCs w:val="15"/>
        </w:rPr>
        <w:t>；</w:t>
      </w:r>
    </w:p>
    <w:p w14:paraId="74588008">
      <w:pPr>
        <w:pStyle w:val="141"/>
        <w:ind w:firstLine="420"/>
        <w:rPr>
          <w:rFonts w:hint="eastAsia" w:ascii="宋体" w:hAnsi="宋体" w:eastAsia="宋体" w:cs="宋体"/>
          <w:color w:val="auto"/>
          <w:sz w:val="21"/>
        </w:rPr>
      </w:pPr>
      <w:r>
        <w:rPr>
          <w:rFonts w:hint="eastAsia" w:ascii="宋体" w:hAnsi="宋体" w:eastAsia="宋体" w:cs="宋体"/>
          <w:color w:val="auto"/>
          <w:sz w:val="21"/>
        </w:rPr>
        <w:t>（5）依照法律、行政法规的规定或者按照</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约定，货物在有效使用年限届满后应予回收的，乙方负有自行或者委托第三人对货物予以回收的义务；</w:t>
      </w:r>
    </w:p>
    <w:p w14:paraId="147DB80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w:t>
      </w:r>
      <w:r>
        <w:rPr>
          <w:rFonts w:hint="eastAsia" w:ascii="宋体" w:hAnsi="宋体"/>
          <w:b/>
          <w:color w:val="auto"/>
          <w:szCs w:val="21"/>
        </w:rPr>
        <w:t>【政府采购合同专用条款】</w:t>
      </w:r>
      <w:r>
        <w:rPr>
          <w:rFonts w:hint="eastAsia" w:ascii="宋体" w:hAnsi="宋体"/>
          <w:color w:val="auto"/>
          <w:szCs w:val="21"/>
        </w:rPr>
        <w:t>规定由乙方提供的其他服务。</w:t>
      </w:r>
    </w:p>
    <w:p w14:paraId="06DE423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14.2 乙方提供的售后服务的费用已包含在合同价款中，甲方不再另行支付。</w:t>
      </w:r>
    </w:p>
    <w:p w14:paraId="46A2A49F">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15. 违约责任</w:t>
      </w:r>
    </w:p>
    <w:p w14:paraId="292AE6A5">
      <w:pPr>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15.1质量瑕疵的违约责任</w:t>
      </w:r>
    </w:p>
    <w:p w14:paraId="1B83F5A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乙方提供的产品不符合合同约定的质量标准或存在产品质量缺陷，甲方有权要求乙方根据</w:t>
      </w:r>
      <w:r>
        <w:rPr>
          <w:rFonts w:hint="eastAsia" w:ascii="宋体" w:hAnsi="宋体"/>
          <w:b/>
          <w:color w:val="auto"/>
          <w:szCs w:val="21"/>
        </w:rPr>
        <w:t>【政府采购合同专用条款】</w:t>
      </w:r>
      <w:r>
        <w:rPr>
          <w:rFonts w:hint="eastAsia" w:ascii="宋体" w:hAnsi="宋体"/>
          <w:bCs/>
          <w:color w:val="auto"/>
          <w:szCs w:val="21"/>
        </w:rPr>
        <w:t>要求</w:t>
      </w:r>
      <w:r>
        <w:rPr>
          <w:rFonts w:hint="eastAsia" w:ascii="宋体" w:hAnsi="宋体"/>
          <w:color w:val="auto"/>
          <w:szCs w:val="21"/>
        </w:rPr>
        <w:t>及时修理、重作、更换，并承担由此给甲方造成的损失。</w:t>
      </w:r>
    </w:p>
    <w:p w14:paraId="325AC908">
      <w:pPr>
        <w:autoSpaceDE w:val="0"/>
        <w:autoSpaceDN w:val="0"/>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15.2 迟延交货的违约责任</w:t>
      </w:r>
    </w:p>
    <w:p w14:paraId="429A07C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CBA729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（2）如果乙方没有按照合同规定的时间交货和提供相关服务，甲方有权从货款中扣除误期赔偿费而不影响合同项下的其他补救方法，赔偿费按</w:t>
      </w:r>
      <w:r>
        <w:rPr>
          <w:rFonts w:hint="eastAsia" w:ascii="宋体" w:hAnsi="宋体"/>
          <w:b/>
          <w:color w:val="auto"/>
          <w:szCs w:val="21"/>
        </w:rPr>
        <w:t>【政府采购合同专用条款】</w:t>
      </w:r>
      <w:r>
        <w:rPr>
          <w:rFonts w:hint="eastAsia" w:ascii="宋体" w:hAnsi="宋体"/>
          <w:color w:val="auto"/>
          <w:szCs w:val="21"/>
        </w:rPr>
        <w:t>规定执行。如果涉及公共利益，且赔偿金额无法弥补公共利益损失，甲方可要求继续履行或者采取其他补救措施。</w:t>
      </w:r>
    </w:p>
    <w:p w14:paraId="6F5DF53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15.3 迟延支付的违约责任</w:t>
      </w:r>
    </w:p>
    <w:p w14:paraId="3DCA22C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甲方存在迟延支付乙方合同款项的，应当承担</w:t>
      </w:r>
      <w:r>
        <w:rPr>
          <w:rFonts w:hint="eastAsia" w:ascii="宋体" w:hAnsi="宋体"/>
          <w:b/>
          <w:bCs/>
          <w:color w:val="auto"/>
          <w:szCs w:val="21"/>
        </w:rPr>
        <w:t>【政府采购合同专用条款】</w:t>
      </w:r>
      <w:r>
        <w:rPr>
          <w:rFonts w:hint="eastAsia" w:ascii="宋体" w:hAnsi="宋体"/>
          <w:color w:val="auto"/>
          <w:szCs w:val="21"/>
        </w:rPr>
        <w:t>规定的逾期付款利息。</w:t>
      </w:r>
    </w:p>
    <w:p w14:paraId="183FE495">
      <w:pPr>
        <w:adjustRightInd w:val="0"/>
        <w:snapToGrid w:val="0"/>
        <w:spacing w:line="400" w:lineRule="exact"/>
        <w:ind w:firstLine="420" w:firstLineChars="200"/>
        <w:jc w:val="left"/>
        <w:rPr>
          <w:rFonts w:hint="eastAsia" w:ascii="宋体" w:hAnsi="宋体"/>
          <w:color w:val="auto"/>
          <w:szCs w:val="21"/>
        </w:rPr>
      </w:pPr>
      <w:r>
        <w:rPr>
          <w:rFonts w:hint="eastAsia" w:ascii="宋体" w:hAnsi="宋体"/>
          <w:bCs/>
          <w:color w:val="auto"/>
          <w:szCs w:val="21"/>
        </w:rPr>
        <w:t>15.4其他违约责任根据项目实际需要按</w:t>
      </w:r>
      <w:r>
        <w:rPr>
          <w:rFonts w:hint="eastAsia" w:ascii="宋体" w:hAnsi="宋体"/>
          <w:b/>
          <w:bCs/>
          <w:color w:val="auto"/>
          <w:szCs w:val="21"/>
        </w:rPr>
        <w:t>【政府采购合同专用条款】</w:t>
      </w:r>
      <w:r>
        <w:rPr>
          <w:rFonts w:hint="eastAsia" w:ascii="宋体" w:hAnsi="宋体"/>
          <w:color w:val="auto"/>
          <w:szCs w:val="21"/>
        </w:rPr>
        <w:t>规定执行。</w:t>
      </w:r>
    </w:p>
    <w:p w14:paraId="7E66BD36">
      <w:pPr>
        <w:numPr>
          <w:ilvl w:val="0"/>
          <w:numId w:val="10"/>
        </w:num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合同变更、中止与终止</w:t>
      </w:r>
    </w:p>
    <w:p w14:paraId="798002DD">
      <w:pPr>
        <w:adjustRightInd w:val="0"/>
        <w:snapToGrid w:val="0"/>
        <w:spacing w:line="400" w:lineRule="exact"/>
        <w:jc w:val="left"/>
        <w:rPr>
          <w:rFonts w:hint="eastAsia" w:ascii="宋体" w:hAnsi="宋体"/>
          <w:color w:val="auto"/>
          <w:szCs w:val="21"/>
        </w:rPr>
      </w:pPr>
      <w:r>
        <w:rPr>
          <w:rFonts w:hint="eastAsia" w:ascii="宋体" w:hAnsi="宋体"/>
          <w:color w:val="auto"/>
          <w:szCs w:val="21"/>
        </w:rPr>
        <w:t xml:space="preserve">    16.1合同的变更</w:t>
      </w:r>
    </w:p>
    <w:p w14:paraId="0C33ED1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政府采购合同履行中，在不改变合同其他条款的前提下，甲方可以在合同价款10%的范围内追加与合同标的相同的货物，并就此与乙方协商一致后签订补充协议。</w:t>
      </w:r>
    </w:p>
    <w:p w14:paraId="2ED4EE0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16.2合同的中止</w:t>
      </w:r>
    </w:p>
    <w:p w14:paraId="6A69504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（1）合同履行过程中因供应商就采购文件、采购过程或结果提起投诉的，甲方认为有必要的，可以中止合同的履行。</w:t>
      </w:r>
    </w:p>
    <w:p w14:paraId="2AE41EF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D747BAA">
      <w:pPr>
        <w:pStyle w:val="141"/>
        <w:ind w:firstLine="420"/>
        <w:jc w:val="both"/>
        <w:rPr>
          <w:rFonts w:hint="eastAsia"/>
          <w:color w:val="auto"/>
          <w:sz w:val="21"/>
        </w:rPr>
      </w:pPr>
      <w:r>
        <w:rPr>
          <w:rFonts w:hint="eastAsia" w:ascii="宋体" w:hAnsi="宋体" w:eastAsia="宋体" w:cs="宋体"/>
          <w:color w:val="auto"/>
          <w:sz w:val="21"/>
        </w:rPr>
        <w:t>（3）乙方分立、合并或者变更住所的，应当及时以书面形式告知甲方。乙方没有及时告知甲方，致使合同履行发生困难的，甲方可以中止合同履行并要求乙方承担由此给甲方造成的损失。</w:t>
      </w:r>
    </w:p>
    <w:p w14:paraId="0C966C61">
      <w:pPr>
        <w:snapToGrid w:val="0"/>
        <w:spacing w:line="400" w:lineRule="exact"/>
        <w:ind w:firstLine="420" w:firstLineChars="200"/>
        <w:jc w:val="left"/>
        <w:rPr>
          <w:color w:val="auto"/>
        </w:rPr>
      </w:pPr>
      <w:r>
        <w:rPr>
          <w:rFonts w:hint="eastAsia" w:ascii="宋体" w:hAnsi="宋体"/>
          <w:color w:val="auto"/>
          <w:szCs w:val="21"/>
        </w:rPr>
        <w:t>（4）甲方不得以行政区划调整、政府换届、机构或者职能调整以及相关责任人更替为由中止合同。</w:t>
      </w:r>
    </w:p>
    <w:p w14:paraId="3401A7CD">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16.3合同的终止</w:t>
      </w:r>
    </w:p>
    <w:p w14:paraId="063B9491">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（1）合同因有效期限届满而终止；</w:t>
      </w:r>
    </w:p>
    <w:p w14:paraId="2CC0C7FC">
      <w:pPr>
        <w:snapToGrid w:val="0"/>
        <w:spacing w:line="400" w:lineRule="exact"/>
        <w:ind w:firstLine="420" w:firstLineChars="200"/>
        <w:rPr>
          <w:rFonts w:hint="eastAsia" w:ascii="宋体" w:hAnsi="宋体" w:cs="宋体"/>
          <w:color w:val="auto"/>
          <w:szCs w:val="21"/>
        </w:rPr>
      </w:pPr>
      <w:r>
        <w:rPr>
          <w:rFonts w:hint="eastAsia" w:ascii="宋体" w:hAnsi="宋体"/>
          <w:color w:val="auto"/>
          <w:szCs w:val="21"/>
        </w:rPr>
        <w:t>（2）乙方未按合同约定履行，构成根本性违约的，甲方有权终止合同，</w:t>
      </w:r>
      <w:r>
        <w:rPr>
          <w:rFonts w:hint="eastAsia" w:ascii="宋体" w:hAnsi="宋体" w:cs="宋体"/>
          <w:color w:val="auto"/>
          <w:szCs w:val="21"/>
        </w:rPr>
        <w:t>并追究乙方的违约责任</w:t>
      </w:r>
      <w:r>
        <w:rPr>
          <w:rFonts w:hint="eastAsia" w:ascii="宋体" w:hAnsi="宋体"/>
          <w:color w:val="auto"/>
          <w:szCs w:val="21"/>
        </w:rPr>
        <w:t>。</w:t>
      </w:r>
    </w:p>
    <w:p w14:paraId="659BBB62">
      <w:pPr>
        <w:pStyle w:val="141"/>
        <w:rPr>
          <w:rFonts w:hint="eastAsia" w:ascii="宋体" w:hAnsi="宋体"/>
          <w:color w:val="auto"/>
        </w:rPr>
      </w:pPr>
      <w:r>
        <w:rPr>
          <w:rFonts w:hint="eastAsia" w:ascii="宋体" w:hAnsi="宋体"/>
          <w:color w:val="auto"/>
        </w:rPr>
        <w:t xml:space="preserve">16.4 </w:t>
      </w:r>
      <w:r>
        <w:rPr>
          <w:rFonts w:hint="eastAsia" w:ascii="宋体" w:hAnsi="宋体" w:eastAsia="宋体" w:cs="Times New Roman"/>
          <w:color w:val="auto"/>
          <w:kern w:val="2"/>
          <w:sz w:val="21"/>
        </w:rPr>
        <w:t>涉及国家利益、社会公共利益的情形</w:t>
      </w:r>
    </w:p>
    <w:p w14:paraId="2D09F019">
      <w:pPr>
        <w:pStyle w:val="141"/>
        <w:ind w:firstLine="420"/>
        <w:jc w:val="both"/>
        <w:rPr>
          <w:rFonts w:hint="eastAsia"/>
          <w:color w:val="auto"/>
          <w:sz w:val="21"/>
        </w:rPr>
      </w:pPr>
      <w:r>
        <w:rPr>
          <w:rFonts w:hint="eastAsia" w:ascii="宋体" w:hAnsi="宋体" w:eastAsia="宋体" w:cs="宋体"/>
          <w:color w:val="auto"/>
          <w:sz w:val="21"/>
        </w:rPr>
        <w:t>政府采购合同继续履行将损害国家利益和社会公共利益的，双方当事人应当变更、中止或者终止合同。有过错的一方应当承担赔偿责任，双方都有过错的，各自承担相应的责任。</w:t>
      </w:r>
    </w:p>
    <w:p w14:paraId="72081D6A">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17. 合同分包</w:t>
      </w:r>
    </w:p>
    <w:p w14:paraId="5F12E412">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17.1 乙方不得将合同转包给其他供应商。涉及合同分包的，乙方应根据采购文件和投标（响应）文件规定进行合同分包。</w:t>
      </w:r>
    </w:p>
    <w:p w14:paraId="5F0F459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17.2 乙方执行政府采购政策向中小企业依法分包的，乙方应当按采购文件和投标（响应）文件签订分包意向协议，分包意向协议属于本合同组成部分。</w:t>
      </w:r>
    </w:p>
    <w:p w14:paraId="10F44E74">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18. 不可抗力</w:t>
      </w:r>
    </w:p>
    <w:p w14:paraId="25EF7DA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18.1 不可抗力是指合同双方不能预见、不能避免且不能克服的客观情况。</w:t>
      </w:r>
    </w:p>
    <w:p w14:paraId="1D0175A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18.2 任何一方对由于不可抗力造成的部分或全部不能履行合同不承担违约责任。但迟延履行后发生不可抗力的，不能免除责任。</w:t>
      </w:r>
    </w:p>
    <w:p w14:paraId="2786E73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0BC67CD">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19. 解决争议的方法</w:t>
      </w:r>
    </w:p>
    <w:p w14:paraId="7F1D6388">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19.1 因本合同及合同有关事项发生的争议，由甲乙双方友好协商解决。协商不成时，可以向有关组织申请调解。合同一方或双方不愿调解或调解不成的，可以通过仲裁或诉讼的方式解决争议。</w:t>
      </w:r>
    </w:p>
    <w:p w14:paraId="764B5F46">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19.2 选择仲裁的，应在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316C7AE4">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19.3 如甲乙双方有争议的事项不影响合同其他部分的履行，在争议解决期间，合同其他部分应当继续履行。</w:t>
      </w:r>
    </w:p>
    <w:p w14:paraId="55D6A5EA">
      <w:pPr>
        <w:autoSpaceDE w:val="0"/>
        <w:autoSpaceDN w:val="0"/>
        <w:adjustRightInd w:val="0"/>
        <w:snapToGrid w:val="0"/>
        <w:spacing w:line="400" w:lineRule="exact"/>
        <w:jc w:val="left"/>
        <w:rPr>
          <w:rFonts w:hint="eastAsia" w:ascii="宋体" w:hAnsi="宋体"/>
          <w:color w:val="auto"/>
          <w:sz w:val="24"/>
        </w:rPr>
      </w:pPr>
      <w:r>
        <w:rPr>
          <w:rFonts w:hint="eastAsia" w:ascii="宋体" w:hAnsi="宋体"/>
          <w:b/>
          <w:color w:val="auto"/>
          <w:sz w:val="24"/>
        </w:rPr>
        <w:t>20. 政府采购政策</w:t>
      </w:r>
    </w:p>
    <w:p w14:paraId="11FD37C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20.1 </w:t>
      </w:r>
      <w:r>
        <w:rPr>
          <w:rFonts w:hint="eastAsia" w:ascii="宋体" w:hAnsi="宋体" w:cs="宋体"/>
          <w:color w:val="auto"/>
          <w:lang w:val="en-GB"/>
        </w:rPr>
        <w:t>本合同应当按照规定执行政府采购政策。</w:t>
      </w:r>
    </w:p>
    <w:p w14:paraId="6B58B0A8">
      <w:pPr>
        <w:autoSpaceDE w:val="0"/>
        <w:autoSpaceDN w:val="0"/>
        <w:adjustRightInd w:val="0"/>
        <w:snapToGrid w:val="0"/>
        <w:spacing w:line="400" w:lineRule="exact"/>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0.2 本合同依法执行政府采购政策的方式和内容，属于合同履约验收的范围。</w:t>
      </w:r>
      <w:r>
        <w:rPr>
          <w:rFonts w:hint="eastAsia" w:ascii="宋体" w:hAnsi="宋体" w:cs="宋体"/>
          <w:color w:val="auto"/>
        </w:rPr>
        <w:t>甲乙双方</w:t>
      </w:r>
      <w:r>
        <w:rPr>
          <w:rFonts w:hint="eastAsia" w:ascii="宋体" w:hAnsi="宋体" w:cs="宋体"/>
          <w:color w:val="auto"/>
          <w:lang w:val="en-GB"/>
        </w:rPr>
        <w:t>未按规定要求执行政府采购政策造成损失的</w:t>
      </w:r>
      <w:r>
        <w:rPr>
          <w:rFonts w:hint="eastAsia" w:ascii="宋体" w:hAnsi="宋体"/>
          <w:color w:val="auto"/>
          <w:szCs w:val="21"/>
        </w:rPr>
        <w:t>，有过错的一方应当承担赔偿责任，双方都有过错的，各自承担相应的责任。</w:t>
      </w:r>
    </w:p>
    <w:p w14:paraId="33E98D72">
      <w:pPr>
        <w:pStyle w:val="17"/>
        <w:spacing w:line="400" w:lineRule="exact"/>
        <w:ind w:firstLine="480" w:firstLineChars="200"/>
        <w:rPr>
          <w:color w:val="auto"/>
        </w:rPr>
      </w:pPr>
      <w:r>
        <w:rPr>
          <w:rFonts w:ascii="宋体" w:hAnsi="宋体"/>
          <w:color w:val="auto"/>
          <w:szCs w:val="21"/>
        </w:rPr>
        <w:t>2</w:t>
      </w:r>
      <w:r>
        <w:rPr>
          <w:rFonts w:hint="eastAsia" w:ascii="宋体" w:hAnsi="宋体"/>
          <w:color w:val="auto"/>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8C06BD9">
      <w:p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21. 法律适用</w:t>
      </w:r>
    </w:p>
    <w:p w14:paraId="6F12229F">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21.1 本合同的订立、生效、解释、履行及与本合同有关的争议解决，均适用法律、行政法规。</w:t>
      </w:r>
    </w:p>
    <w:p w14:paraId="27039C64">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21.2 本合同条款与法律、行政法规的强制性规定不一致的，双方当事人应按照法律、行政法规的强制性规定修改本合同的相关条款。</w:t>
      </w:r>
    </w:p>
    <w:p w14:paraId="7877DEA4">
      <w:pPr>
        <w:numPr>
          <w:ilvl w:val="255"/>
          <w:numId w:val="0"/>
        </w:num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22. 通知</w:t>
      </w:r>
    </w:p>
    <w:p w14:paraId="5CB24CCB">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22.1 本合同任何一方向对方发出的通知、信件、数据电文等，应当发送至本合同第一部分《政府采购合同协议书》所约定的通讯地址、联系人、联系电话或电子邮箱。</w:t>
      </w:r>
    </w:p>
    <w:p w14:paraId="32040F5B">
      <w:pPr>
        <w:pStyle w:val="141"/>
        <w:ind w:firstLine="0" w:firstLineChars="0"/>
        <w:jc w:val="both"/>
        <w:rPr>
          <w:rFonts w:hint="eastAsia"/>
          <w:color w:val="auto"/>
          <w:sz w:val="21"/>
        </w:rPr>
      </w:pPr>
      <w:r>
        <w:rPr>
          <w:rFonts w:hint="eastAsia" w:ascii="宋体" w:hAnsi="宋体" w:eastAsia="宋体" w:cs="宋体"/>
          <w:color w:val="auto"/>
          <w:sz w:val="21"/>
        </w:rPr>
        <w:t xml:space="preserve">    22.2 一方当事人变更名称、住所、联系人、联系电话或电子邮箱等信息的，应当在变更后3日内及时书面通知对方，对方实际收到变更通知前的送达仍为有效送达。</w:t>
      </w:r>
    </w:p>
    <w:p w14:paraId="1DACDC06">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22.3本合同一方给另一方的通知均应采用书面形式，传真或快递送到本合同中规定的对方的地址和办理签收手续。</w:t>
      </w:r>
    </w:p>
    <w:p w14:paraId="3912651A">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22.4通知以送达之日或通知书中规定的生效之日起生效，两者中以较迟之日为准。</w:t>
      </w:r>
    </w:p>
    <w:p w14:paraId="30C5DDD4">
      <w:pPr>
        <w:numPr>
          <w:ilvl w:val="0"/>
          <w:numId w:val="11"/>
        </w:num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合同未尽事项</w:t>
      </w:r>
    </w:p>
    <w:p w14:paraId="1304F898">
      <w:pPr>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23.1合同未尽事项见</w:t>
      </w:r>
      <w:r>
        <w:rPr>
          <w:rFonts w:hint="eastAsia" w:ascii="宋体" w:hAnsi="宋体"/>
          <w:b/>
          <w:color w:val="auto"/>
          <w:szCs w:val="21"/>
        </w:rPr>
        <w:t>【政府采购合同专用条款】</w:t>
      </w:r>
      <w:r>
        <w:rPr>
          <w:rFonts w:hint="eastAsia" w:ascii="宋体" w:hAnsi="宋体"/>
          <w:bCs/>
          <w:color w:val="auto"/>
          <w:szCs w:val="21"/>
        </w:rPr>
        <w:t>。</w:t>
      </w:r>
    </w:p>
    <w:p w14:paraId="0472D106">
      <w:pPr>
        <w:adjustRightInd w:val="0"/>
        <w:snapToGrid w:val="0"/>
        <w:spacing w:line="400" w:lineRule="exact"/>
        <w:jc w:val="left"/>
        <w:rPr>
          <w:rFonts w:hint="eastAsia" w:ascii="黑体" w:hAnsi="华文中宋" w:eastAsia="黑体"/>
          <w:color w:val="auto"/>
          <w:sz w:val="28"/>
          <w:szCs w:val="28"/>
        </w:rPr>
      </w:pPr>
      <w:r>
        <w:rPr>
          <w:rFonts w:hint="eastAsia" w:ascii="宋体" w:hAnsi="宋体"/>
          <w:bCs/>
          <w:color w:val="auto"/>
          <w:szCs w:val="21"/>
        </w:rPr>
        <w:t xml:space="preserve">    23.2 合同附件与合同正文具有同等的法律效力。</w:t>
      </w:r>
      <w:bookmarkStart w:id="118" w:name="_Toc20313"/>
    </w:p>
    <w:p w14:paraId="244B8D44">
      <w:pPr>
        <w:adjustRightInd w:val="0"/>
        <w:snapToGrid w:val="0"/>
        <w:jc w:val="center"/>
        <w:rPr>
          <w:rFonts w:hint="eastAsia" w:ascii="黑体" w:hAnsi="华文中宋" w:eastAsia="黑体"/>
          <w:color w:val="auto"/>
          <w:sz w:val="28"/>
          <w:szCs w:val="28"/>
        </w:rPr>
      </w:pPr>
      <w:r>
        <w:rPr>
          <w:rFonts w:hint="eastAsia" w:ascii="黑体" w:hAnsi="华文中宋" w:eastAsia="黑体"/>
          <w:color w:val="auto"/>
          <w:sz w:val="28"/>
          <w:szCs w:val="28"/>
        </w:rPr>
        <w:br w:type="page"/>
      </w:r>
    </w:p>
    <w:p w14:paraId="08EFAC86">
      <w:pPr>
        <w:pStyle w:val="3"/>
        <w:adjustRightInd w:val="0"/>
        <w:snapToGrid w:val="0"/>
        <w:jc w:val="center"/>
        <w:rPr>
          <w:rFonts w:hint="eastAsia" w:ascii="黑体" w:hAnsi="华文中宋"/>
          <w:b w:val="0"/>
          <w:bCs w:val="0"/>
          <w:color w:val="auto"/>
          <w:sz w:val="28"/>
          <w:szCs w:val="28"/>
        </w:rPr>
      </w:pPr>
      <w:r>
        <w:rPr>
          <w:rFonts w:hint="eastAsia" w:ascii="黑体" w:hAnsi="华文中宋"/>
          <w:b w:val="0"/>
          <w:bCs w:val="0"/>
          <w:color w:val="auto"/>
          <w:sz w:val="28"/>
          <w:szCs w:val="28"/>
        </w:rPr>
        <w:t>第三节 政府采购合同专用条款</w:t>
      </w:r>
      <w:bookmarkEnd w:id="118"/>
    </w:p>
    <w:tbl>
      <w:tblPr>
        <w:tblStyle w:val="3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1EE9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D32DAB">
            <w:pPr>
              <w:adjustRightInd w:val="0"/>
              <w:snapToGrid w:val="0"/>
              <w:jc w:val="center"/>
              <w:rPr>
                <w:rFonts w:hint="eastAsia" w:ascii="宋体" w:hAnsi="宋体"/>
                <w:color w:val="auto"/>
                <w:szCs w:val="21"/>
              </w:rPr>
            </w:pPr>
            <w:r>
              <w:rPr>
                <w:rFonts w:hint="eastAsia" w:ascii="宋体" w:hAnsi="宋体"/>
                <w:color w:val="auto"/>
                <w:szCs w:val="21"/>
              </w:rPr>
              <w:t>第二节</w:t>
            </w:r>
          </w:p>
          <w:p w14:paraId="692591F6">
            <w:pPr>
              <w:adjustRightInd w:val="0"/>
              <w:snapToGrid w:val="0"/>
              <w:jc w:val="center"/>
              <w:rPr>
                <w:rFonts w:hint="eastAsia" w:ascii="宋体" w:hAnsi="宋体"/>
                <w:color w:val="auto"/>
                <w:szCs w:val="21"/>
              </w:rPr>
            </w:pPr>
            <w:r>
              <w:rPr>
                <w:rFonts w:hint="eastAsia" w:ascii="宋体" w:hAnsi="宋体"/>
                <w:color w:val="auto"/>
                <w:szCs w:val="21"/>
              </w:rPr>
              <w:t>第1.2（6）项</w:t>
            </w:r>
          </w:p>
        </w:tc>
        <w:tc>
          <w:tcPr>
            <w:tcW w:w="1742" w:type="dxa"/>
            <w:vAlign w:val="center"/>
          </w:tcPr>
          <w:p w14:paraId="10C0C725">
            <w:pPr>
              <w:adjustRightInd w:val="0"/>
              <w:snapToGrid w:val="0"/>
              <w:jc w:val="left"/>
              <w:rPr>
                <w:rFonts w:hint="eastAsia" w:ascii="宋体" w:hAnsi="宋体"/>
                <w:color w:val="auto"/>
                <w:szCs w:val="21"/>
              </w:rPr>
            </w:pPr>
            <w:r>
              <w:rPr>
                <w:rFonts w:hint="eastAsia" w:ascii="宋体" w:hAnsi="宋体"/>
                <w:color w:val="auto"/>
                <w:szCs w:val="21"/>
              </w:rPr>
              <w:t>联合体具体要求</w:t>
            </w:r>
          </w:p>
        </w:tc>
        <w:tc>
          <w:tcPr>
            <w:tcW w:w="5170" w:type="dxa"/>
            <w:vAlign w:val="center"/>
          </w:tcPr>
          <w:p w14:paraId="7EA6E778">
            <w:pPr>
              <w:adjustRightInd w:val="0"/>
              <w:snapToGrid w:val="0"/>
              <w:jc w:val="left"/>
              <w:rPr>
                <w:rFonts w:hint="eastAsia" w:ascii="宋体" w:hAnsi="宋体"/>
                <w:color w:val="auto"/>
                <w:szCs w:val="21"/>
              </w:rPr>
            </w:pPr>
          </w:p>
        </w:tc>
      </w:tr>
      <w:tr w14:paraId="14EADF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35598C3">
            <w:pPr>
              <w:adjustRightInd w:val="0"/>
              <w:snapToGrid w:val="0"/>
              <w:jc w:val="center"/>
              <w:rPr>
                <w:rFonts w:hint="eastAsia" w:ascii="宋体" w:hAnsi="宋体"/>
                <w:color w:val="auto"/>
                <w:szCs w:val="21"/>
              </w:rPr>
            </w:pPr>
            <w:r>
              <w:rPr>
                <w:rFonts w:hint="eastAsia" w:ascii="宋体" w:hAnsi="宋体"/>
                <w:color w:val="auto"/>
                <w:szCs w:val="21"/>
              </w:rPr>
              <w:t>第二节</w:t>
            </w:r>
          </w:p>
          <w:p w14:paraId="45BE67FA">
            <w:pPr>
              <w:adjustRightInd w:val="0"/>
              <w:snapToGrid w:val="0"/>
              <w:jc w:val="center"/>
              <w:rPr>
                <w:rFonts w:hint="eastAsia" w:ascii="宋体" w:hAnsi="宋体"/>
                <w:color w:val="auto"/>
                <w:szCs w:val="21"/>
              </w:rPr>
            </w:pPr>
            <w:r>
              <w:rPr>
                <w:rFonts w:hint="eastAsia" w:ascii="宋体" w:hAnsi="宋体"/>
                <w:color w:val="auto"/>
                <w:szCs w:val="21"/>
              </w:rPr>
              <w:t>第1.2（7）项</w:t>
            </w:r>
          </w:p>
        </w:tc>
        <w:tc>
          <w:tcPr>
            <w:tcW w:w="1742" w:type="dxa"/>
            <w:vAlign w:val="center"/>
          </w:tcPr>
          <w:p w14:paraId="3043C359">
            <w:pPr>
              <w:adjustRightInd w:val="0"/>
              <w:snapToGrid w:val="0"/>
              <w:jc w:val="left"/>
              <w:rPr>
                <w:rFonts w:hint="eastAsia" w:ascii="宋体" w:hAnsi="宋体"/>
                <w:color w:val="auto"/>
                <w:szCs w:val="21"/>
              </w:rPr>
            </w:pPr>
            <w:r>
              <w:rPr>
                <w:rFonts w:hint="eastAsia" w:ascii="宋体" w:hAnsi="宋体"/>
                <w:color w:val="auto"/>
                <w:szCs w:val="21"/>
              </w:rPr>
              <w:t>其他术语解释</w:t>
            </w:r>
          </w:p>
        </w:tc>
        <w:tc>
          <w:tcPr>
            <w:tcW w:w="5170" w:type="dxa"/>
            <w:vAlign w:val="center"/>
          </w:tcPr>
          <w:p w14:paraId="3E609136">
            <w:pPr>
              <w:adjustRightInd w:val="0"/>
              <w:snapToGrid w:val="0"/>
              <w:jc w:val="left"/>
              <w:rPr>
                <w:rFonts w:hint="eastAsia" w:ascii="宋体" w:hAnsi="宋体"/>
                <w:color w:val="auto"/>
                <w:szCs w:val="21"/>
              </w:rPr>
            </w:pPr>
          </w:p>
        </w:tc>
      </w:tr>
      <w:tr w14:paraId="05BF7B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F976E0">
            <w:pPr>
              <w:adjustRightInd w:val="0"/>
              <w:snapToGrid w:val="0"/>
              <w:jc w:val="center"/>
              <w:rPr>
                <w:rFonts w:hint="eastAsia" w:ascii="宋体" w:hAnsi="宋体"/>
                <w:color w:val="auto"/>
                <w:szCs w:val="21"/>
              </w:rPr>
            </w:pPr>
            <w:r>
              <w:rPr>
                <w:rFonts w:hint="eastAsia" w:ascii="宋体" w:hAnsi="宋体"/>
                <w:color w:val="auto"/>
                <w:szCs w:val="21"/>
              </w:rPr>
              <w:t>第二节</w:t>
            </w:r>
          </w:p>
          <w:p w14:paraId="1BE0B0C6">
            <w:pPr>
              <w:adjustRightInd w:val="0"/>
              <w:snapToGrid w:val="0"/>
              <w:jc w:val="center"/>
              <w:rPr>
                <w:rFonts w:hint="eastAsia" w:ascii="宋体" w:hAnsi="宋体"/>
                <w:color w:val="auto"/>
                <w:szCs w:val="21"/>
              </w:rPr>
            </w:pPr>
            <w:r>
              <w:rPr>
                <w:rFonts w:hint="eastAsia" w:ascii="宋体" w:hAnsi="宋体"/>
                <w:color w:val="auto"/>
                <w:szCs w:val="21"/>
              </w:rPr>
              <w:t>第4.4款</w:t>
            </w:r>
          </w:p>
        </w:tc>
        <w:tc>
          <w:tcPr>
            <w:tcW w:w="1742" w:type="dxa"/>
            <w:vAlign w:val="center"/>
          </w:tcPr>
          <w:p w14:paraId="78E971C7">
            <w:pPr>
              <w:adjustRightInd w:val="0"/>
              <w:snapToGrid w:val="0"/>
              <w:jc w:val="left"/>
              <w:rPr>
                <w:rFonts w:hint="eastAsia" w:ascii="宋体" w:hAnsi="宋体"/>
                <w:color w:val="auto"/>
                <w:szCs w:val="21"/>
              </w:rPr>
            </w:pPr>
            <w:r>
              <w:rPr>
                <w:rFonts w:hint="eastAsia" w:ascii="宋体" w:hAnsi="宋体"/>
                <w:color w:val="auto"/>
                <w:szCs w:val="21"/>
              </w:rPr>
              <w:t>履约验收中甲方提出异议或作出说明的期限</w:t>
            </w:r>
          </w:p>
        </w:tc>
        <w:tc>
          <w:tcPr>
            <w:tcW w:w="5170" w:type="dxa"/>
            <w:vAlign w:val="center"/>
          </w:tcPr>
          <w:p w14:paraId="41DEF0AE">
            <w:pPr>
              <w:adjustRightInd w:val="0"/>
              <w:snapToGrid w:val="0"/>
              <w:jc w:val="left"/>
              <w:rPr>
                <w:rFonts w:hint="eastAsia" w:ascii="宋体" w:hAnsi="宋体"/>
                <w:color w:val="auto"/>
                <w:szCs w:val="21"/>
              </w:rPr>
            </w:pPr>
          </w:p>
        </w:tc>
      </w:tr>
      <w:tr w14:paraId="7C543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2EC26D">
            <w:pPr>
              <w:adjustRightInd w:val="0"/>
              <w:snapToGrid w:val="0"/>
              <w:jc w:val="center"/>
              <w:rPr>
                <w:rFonts w:hint="eastAsia" w:ascii="宋体" w:hAnsi="宋体"/>
                <w:color w:val="auto"/>
                <w:szCs w:val="21"/>
              </w:rPr>
            </w:pPr>
            <w:r>
              <w:rPr>
                <w:rFonts w:hint="eastAsia" w:ascii="宋体" w:hAnsi="宋体"/>
                <w:color w:val="auto"/>
                <w:szCs w:val="21"/>
              </w:rPr>
              <w:t>第二节</w:t>
            </w:r>
          </w:p>
          <w:p w14:paraId="7E4CA06D">
            <w:pPr>
              <w:adjustRightInd w:val="0"/>
              <w:snapToGrid w:val="0"/>
              <w:jc w:val="center"/>
              <w:rPr>
                <w:rFonts w:hint="eastAsia" w:ascii="宋体" w:hAnsi="宋体"/>
                <w:color w:val="auto"/>
                <w:szCs w:val="21"/>
              </w:rPr>
            </w:pPr>
            <w:r>
              <w:rPr>
                <w:rFonts w:hint="eastAsia" w:ascii="宋体" w:hAnsi="宋体"/>
                <w:color w:val="auto"/>
                <w:szCs w:val="21"/>
              </w:rPr>
              <w:t>第4.6款</w:t>
            </w:r>
          </w:p>
        </w:tc>
        <w:tc>
          <w:tcPr>
            <w:tcW w:w="1742" w:type="dxa"/>
            <w:vAlign w:val="center"/>
          </w:tcPr>
          <w:p w14:paraId="42753615">
            <w:pPr>
              <w:adjustRightInd w:val="0"/>
              <w:snapToGrid w:val="0"/>
              <w:jc w:val="left"/>
              <w:rPr>
                <w:rFonts w:hint="eastAsia" w:ascii="宋体" w:hAnsi="宋体"/>
                <w:color w:val="auto"/>
                <w:szCs w:val="21"/>
              </w:rPr>
            </w:pPr>
            <w:r>
              <w:rPr>
                <w:rFonts w:hint="eastAsia" w:ascii="宋体" w:hAnsi="宋体"/>
                <w:color w:val="auto"/>
                <w:szCs w:val="21"/>
              </w:rPr>
              <w:t>约定甲方承担的其他义务和责任</w:t>
            </w:r>
          </w:p>
        </w:tc>
        <w:tc>
          <w:tcPr>
            <w:tcW w:w="5170" w:type="dxa"/>
            <w:vAlign w:val="center"/>
          </w:tcPr>
          <w:p w14:paraId="75D765F7">
            <w:pPr>
              <w:adjustRightInd w:val="0"/>
              <w:snapToGrid w:val="0"/>
              <w:jc w:val="left"/>
              <w:rPr>
                <w:rFonts w:hint="eastAsia" w:ascii="宋体" w:hAnsi="宋体"/>
                <w:color w:val="auto"/>
                <w:szCs w:val="21"/>
              </w:rPr>
            </w:pPr>
          </w:p>
        </w:tc>
      </w:tr>
      <w:tr w14:paraId="7F3184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F76F79">
            <w:pPr>
              <w:adjustRightInd w:val="0"/>
              <w:snapToGrid w:val="0"/>
              <w:jc w:val="center"/>
              <w:rPr>
                <w:rFonts w:hint="eastAsia" w:ascii="宋体" w:hAnsi="宋体"/>
                <w:color w:val="auto"/>
                <w:szCs w:val="21"/>
              </w:rPr>
            </w:pPr>
            <w:r>
              <w:rPr>
                <w:rFonts w:hint="eastAsia" w:ascii="宋体" w:hAnsi="宋体"/>
                <w:color w:val="auto"/>
                <w:szCs w:val="21"/>
              </w:rPr>
              <w:t>第二节</w:t>
            </w:r>
          </w:p>
          <w:p w14:paraId="16B6478C">
            <w:pPr>
              <w:snapToGrid w:val="0"/>
              <w:jc w:val="center"/>
              <w:rPr>
                <w:color w:val="auto"/>
              </w:rPr>
            </w:pPr>
            <w:r>
              <w:rPr>
                <w:rFonts w:hint="eastAsia" w:ascii="宋体" w:hAnsi="宋体"/>
                <w:color w:val="auto"/>
                <w:szCs w:val="21"/>
              </w:rPr>
              <w:t>第5.4款</w:t>
            </w:r>
          </w:p>
        </w:tc>
        <w:tc>
          <w:tcPr>
            <w:tcW w:w="1742" w:type="dxa"/>
            <w:vAlign w:val="center"/>
          </w:tcPr>
          <w:p w14:paraId="42FF3CF0">
            <w:pPr>
              <w:adjustRightInd w:val="0"/>
              <w:snapToGrid w:val="0"/>
              <w:jc w:val="left"/>
              <w:rPr>
                <w:rFonts w:hint="eastAsia" w:ascii="宋体" w:hAnsi="宋体"/>
                <w:color w:val="auto"/>
                <w:szCs w:val="21"/>
              </w:rPr>
            </w:pPr>
            <w:r>
              <w:rPr>
                <w:rFonts w:hint="eastAsia" w:ascii="宋体" w:hAnsi="宋体"/>
                <w:color w:val="auto"/>
                <w:szCs w:val="21"/>
              </w:rPr>
              <w:t>约定乙方承担的其他义务和责任</w:t>
            </w:r>
          </w:p>
        </w:tc>
        <w:tc>
          <w:tcPr>
            <w:tcW w:w="5170" w:type="dxa"/>
            <w:vAlign w:val="center"/>
          </w:tcPr>
          <w:p w14:paraId="1B39A408">
            <w:pPr>
              <w:adjustRightInd w:val="0"/>
              <w:snapToGrid w:val="0"/>
              <w:jc w:val="left"/>
              <w:rPr>
                <w:rFonts w:hint="eastAsia" w:ascii="宋体" w:hAnsi="宋体"/>
                <w:color w:val="auto"/>
                <w:szCs w:val="21"/>
              </w:rPr>
            </w:pPr>
          </w:p>
        </w:tc>
      </w:tr>
      <w:tr w14:paraId="71DE60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3EB0B5">
            <w:pPr>
              <w:adjustRightInd w:val="0"/>
              <w:snapToGrid w:val="0"/>
              <w:jc w:val="center"/>
              <w:rPr>
                <w:rFonts w:hint="eastAsia" w:ascii="宋体" w:hAnsi="宋体"/>
                <w:color w:val="auto"/>
                <w:szCs w:val="21"/>
              </w:rPr>
            </w:pPr>
            <w:r>
              <w:rPr>
                <w:rFonts w:hint="eastAsia" w:ascii="宋体" w:hAnsi="宋体"/>
                <w:color w:val="auto"/>
                <w:szCs w:val="21"/>
              </w:rPr>
              <w:t>第二节</w:t>
            </w:r>
          </w:p>
          <w:p w14:paraId="1E3CEB99">
            <w:pPr>
              <w:snapToGrid w:val="0"/>
              <w:jc w:val="center"/>
              <w:rPr>
                <w:rFonts w:hint="eastAsia" w:ascii="宋体" w:hAnsi="宋体"/>
                <w:color w:val="auto"/>
                <w:szCs w:val="21"/>
              </w:rPr>
            </w:pPr>
            <w:r>
              <w:rPr>
                <w:rFonts w:hint="eastAsia" w:ascii="宋体" w:hAnsi="宋体"/>
                <w:color w:val="auto"/>
                <w:szCs w:val="21"/>
              </w:rPr>
              <w:t>第6.1款</w:t>
            </w:r>
          </w:p>
        </w:tc>
        <w:tc>
          <w:tcPr>
            <w:tcW w:w="1742" w:type="dxa"/>
            <w:vAlign w:val="center"/>
          </w:tcPr>
          <w:p w14:paraId="29F4B363">
            <w:pPr>
              <w:adjustRightInd w:val="0"/>
              <w:snapToGrid w:val="0"/>
              <w:jc w:val="left"/>
              <w:rPr>
                <w:rFonts w:hint="eastAsia" w:ascii="宋体" w:hAnsi="宋体"/>
                <w:color w:val="auto"/>
                <w:szCs w:val="21"/>
              </w:rPr>
            </w:pPr>
            <w:r>
              <w:rPr>
                <w:rFonts w:hint="eastAsia" w:ascii="宋体" w:hAnsi="宋体"/>
                <w:color w:val="auto"/>
                <w:szCs w:val="21"/>
              </w:rPr>
              <w:t>履行合同义务的顺序</w:t>
            </w:r>
          </w:p>
        </w:tc>
        <w:tc>
          <w:tcPr>
            <w:tcW w:w="5170" w:type="dxa"/>
            <w:vAlign w:val="center"/>
          </w:tcPr>
          <w:p w14:paraId="523320A6">
            <w:pPr>
              <w:adjustRightInd w:val="0"/>
              <w:snapToGrid w:val="0"/>
              <w:jc w:val="left"/>
              <w:rPr>
                <w:rFonts w:hint="eastAsia" w:ascii="宋体" w:hAnsi="宋体"/>
                <w:color w:val="auto"/>
                <w:szCs w:val="21"/>
              </w:rPr>
            </w:pPr>
          </w:p>
        </w:tc>
      </w:tr>
      <w:tr w14:paraId="631EF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1DD5907">
            <w:pPr>
              <w:adjustRightInd w:val="0"/>
              <w:snapToGrid w:val="0"/>
              <w:jc w:val="center"/>
              <w:rPr>
                <w:rFonts w:hint="eastAsia" w:ascii="宋体" w:hAnsi="宋体"/>
                <w:color w:val="auto"/>
                <w:szCs w:val="21"/>
              </w:rPr>
            </w:pPr>
            <w:r>
              <w:rPr>
                <w:rFonts w:hint="eastAsia" w:ascii="宋体" w:hAnsi="宋体"/>
                <w:color w:val="auto"/>
                <w:szCs w:val="21"/>
              </w:rPr>
              <w:t>第二节</w:t>
            </w:r>
          </w:p>
          <w:p w14:paraId="156E363F">
            <w:pPr>
              <w:adjustRightInd w:val="0"/>
              <w:snapToGrid w:val="0"/>
              <w:jc w:val="center"/>
              <w:rPr>
                <w:rFonts w:hint="eastAsia" w:ascii="宋体" w:hAnsi="宋体"/>
                <w:color w:val="auto"/>
                <w:szCs w:val="21"/>
              </w:rPr>
            </w:pPr>
            <w:r>
              <w:rPr>
                <w:rFonts w:hint="eastAsia" w:ascii="宋体" w:hAnsi="宋体"/>
                <w:color w:val="auto"/>
                <w:szCs w:val="21"/>
              </w:rPr>
              <w:t>第7.1款</w:t>
            </w:r>
          </w:p>
        </w:tc>
        <w:tc>
          <w:tcPr>
            <w:tcW w:w="1742" w:type="dxa"/>
            <w:vAlign w:val="center"/>
          </w:tcPr>
          <w:p w14:paraId="2E027AD7">
            <w:pPr>
              <w:adjustRightInd w:val="0"/>
              <w:snapToGrid w:val="0"/>
              <w:jc w:val="left"/>
              <w:rPr>
                <w:rFonts w:hint="eastAsia" w:ascii="宋体" w:hAnsi="宋体"/>
                <w:color w:val="auto"/>
                <w:szCs w:val="21"/>
              </w:rPr>
            </w:pPr>
            <w:r>
              <w:rPr>
                <w:rFonts w:hint="eastAsia" w:ascii="宋体" w:hAnsi="宋体"/>
                <w:color w:val="auto"/>
                <w:szCs w:val="21"/>
              </w:rPr>
              <w:t>包装特殊要求</w:t>
            </w:r>
          </w:p>
        </w:tc>
        <w:tc>
          <w:tcPr>
            <w:tcW w:w="5170" w:type="dxa"/>
            <w:vAlign w:val="center"/>
          </w:tcPr>
          <w:p w14:paraId="06BD33CB">
            <w:pPr>
              <w:rPr>
                <w:color w:val="auto"/>
              </w:rPr>
            </w:pPr>
          </w:p>
        </w:tc>
      </w:tr>
      <w:tr w14:paraId="45E591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CE8C902">
            <w:pPr>
              <w:adjustRightInd w:val="0"/>
              <w:snapToGrid w:val="0"/>
              <w:jc w:val="center"/>
              <w:rPr>
                <w:rFonts w:hint="eastAsia" w:ascii="宋体" w:hAnsi="宋体"/>
                <w:color w:val="auto"/>
                <w:szCs w:val="21"/>
              </w:rPr>
            </w:pPr>
          </w:p>
        </w:tc>
        <w:tc>
          <w:tcPr>
            <w:tcW w:w="1742" w:type="dxa"/>
            <w:vAlign w:val="center"/>
          </w:tcPr>
          <w:p w14:paraId="2C55816E">
            <w:pPr>
              <w:adjustRightInd w:val="0"/>
              <w:snapToGrid w:val="0"/>
              <w:jc w:val="left"/>
              <w:rPr>
                <w:rFonts w:hint="eastAsia" w:ascii="宋体" w:hAnsi="宋体"/>
                <w:color w:val="auto"/>
                <w:szCs w:val="21"/>
              </w:rPr>
            </w:pPr>
            <w:r>
              <w:rPr>
                <w:rFonts w:hint="eastAsia" w:ascii="宋体" w:hAnsi="宋体"/>
                <w:color w:val="auto"/>
                <w:szCs w:val="21"/>
              </w:rPr>
              <w:t>指定现场</w:t>
            </w:r>
          </w:p>
        </w:tc>
        <w:tc>
          <w:tcPr>
            <w:tcW w:w="5170" w:type="dxa"/>
            <w:vAlign w:val="center"/>
          </w:tcPr>
          <w:p w14:paraId="5673413E">
            <w:pPr>
              <w:rPr>
                <w:color w:val="auto"/>
              </w:rPr>
            </w:pPr>
          </w:p>
        </w:tc>
      </w:tr>
      <w:tr w14:paraId="51C70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5A768F5">
            <w:pPr>
              <w:adjustRightInd w:val="0"/>
              <w:snapToGrid w:val="0"/>
              <w:jc w:val="center"/>
              <w:rPr>
                <w:rFonts w:hint="eastAsia" w:ascii="宋体" w:hAnsi="宋体"/>
                <w:color w:val="auto"/>
                <w:szCs w:val="21"/>
              </w:rPr>
            </w:pPr>
            <w:r>
              <w:rPr>
                <w:rFonts w:hint="eastAsia" w:ascii="宋体" w:hAnsi="宋体"/>
                <w:color w:val="auto"/>
                <w:szCs w:val="21"/>
              </w:rPr>
              <w:t>第二节</w:t>
            </w:r>
          </w:p>
          <w:p w14:paraId="0CC111D6">
            <w:pPr>
              <w:adjustRightInd w:val="0"/>
              <w:snapToGrid w:val="0"/>
              <w:jc w:val="center"/>
              <w:rPr>
                <w:rFonts w:hint="eastAsia" w:ascii="宋体" w:hAnsi="宋体"/>
                <w:color w:val="auto"/>
                <w:szCs w:val="21"/>
              </w:rPr>
            </w:pPr>
            <w:r>
              <w:rPr>
                <w:rFonts w:hint="eastAsia" w:ascii="宋体" w:hAnsi="宋体"/>
                <w:color w:val="auto"/>
                <w:szCs w:val="21"/>
              </w:rPr>
              <w:t>第7.2款</w:t>
            </w:r>
          </w:p>
        </w:tc>
        <w:tc>
          <w:tcPr>
            <w:tcW w:w="1742" w:type="dxa"/>
            <w:vAlign w:val="center"/>
          </w:tcPr>
          <w:p w14:paraId="7114E254">
            <w:pPr>
              <w:adjustRightInd w:val="0"/>
              <w:snapToGrid w:val="0"/>
              <w:jc w:val="left"/>
              <w:rPr>
                <w:rFonts w:hint="eastAsia" w:ascii="宋体" w:hAnsi="宋体"/>
                <w:color w:val="auto"/>
                <w:szCs w:val="21"/>
              </w:rPr>
            </w:pPr>
            <w:r>
              <w:rPr>
                <w:rFonts w:hint="eastAsia" w:ascii="宋体" w:hAnsi="宋体"/>
                <w:color w:val="auto"/>
                <w:szCs w:val="21"/>
              </w:rPr>
              <w:t>运输特殊要求</w:t>
            </w:r>
          </w:p>
        </w:tc>
        <w:tc>
          <w:tcPr>
            <w:tcW w:w="5170" w:type="dxa"/>
            <w:vAlign w:val="center"/>
          </w:tcPr>
          <w:p w14:paraId="2AE366DB">
            <w:pPr>
              <w:rPr>
                <w:color w:val="auto"/>
              </w:rPr>
            </w:pPr>
          </w:p>
        </w:tc>
      </w:tr>
      <w:tr w14:paraId="374388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F9C1BF1">
            <w:pPr>
              <w:adjustRightInd w:val="0"/>
              <w:snapToGrid w:val="0"/>
              <w:jc w:val="center"/>
              <w:rPr>
                <w:rFonts w:hint="eastAsia" w:ascii="宋体" w:hAnsi="宋体"/>
                <w:color w:val="auto"/>
                <w:szCs w:val="21"/>
              </w:rPr>
            </w:pPr>
            <w:r>
              <w:rPr>
                <w:rFonts w:hint="eastAsia" w:ascii="宋体" w:hAnsi="宋体"/>
                <w:color w:val="auto"/>
                <w:szCs w:val="21"/>
              </w:rPr>
              <w:t>第二节</w:t>
            </w:r>
          </w:p>
          <w:p w14:paraId="2F08AF9F">
            <w:pPr>
              <w:adjustRightInd w:val="0"/>
              <w:snapToGrid w:val="0"/>
              <w:jc w:val="center"/>
              <w:rPr>
                <w:rFonts w:hint="eastAsia" w:ascii="宋体" w:hAnsi="宋体"/>
                <w:color w:val="auto"/>
                <w:szCs w:val="21"/>
              </w:rPr>
            </w:pPr>
            <w:r>
              <w:rPr>
                <w:rFonts w:hint="eastAsia" w:ascii="宋体" w:hAnsi="宋体"/>
                <w:color w:val="auto"/>
                <w:szCs w:val="21"/>
              </w:rPr>
              <w:t>第7.3款</w:t>
            </w:r>
          </w:p>
        </w:tc>
        <w:tc>
          <w:tcPr>
            <w:tcW w:w="1742" w:type="dxa"/>
            <w:vAlign w:val="center"/>
          </w:tcPr>
          <w:p w14:paraId="629EAC2B">
            <w:pPr>
              <w:adjustRightInd w:val="0"/>
              <w:snapToGrid w:val="0"/>
              <w:jc w:val="left"/>
              <w:rPr>
                <w:rFonts w:hint="eastAsia" w:ascii="宋体" w:hAnsi="宋体"/>
                <w:color w:val="auto"/>
                <w:szCs w:val="21"/>
              </w:rPr>
            </w:pPr>
            <w:r>
              <w:rPr>
                <w:rFonts w:hint="eastAsia" w:ascii="宋体" w:hAnsi="宋体"/>
                <w:color w:val="auto"/>
                <w:szCs w:val="21"/>
              </w:rPr>
              <w:t>保险要求</w:t>
            </w:r>
          </w:p>
        </w:tc>
        <w:tc>
          <w:tcPr>
            <w:tcW w:w="5170" w:type="dxa"/>
            <w:vAlign w:val="center"/>
          </w:tcPr>
          <w:p w14:paraId="11B45C47">
            <w:pPr>
              <w:rPr>
                <w:color w:val="auto"/>
              </w:rPr>
            </w:pPr>
          </w:p>
        </w:tc>
      </w:tr>
      <w:tr w14:paraId="6936E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D83899">
            <w:pPr>
              <w:adjustRightInd w:val="0"/>
              <w:snapToGrid w:val="0"/>
              <w:jc w:val="center"/>
              <w:rPr>
                <w:rFonts w:hint="eastAsia" w:ascii="宋体" w:hAnsi="宋体"/>
                <w:color w:val="auto"/>
                <w:szCs w:val="21"/>
              </w:rPr>
            </w:pPr>
            <w:r>
              <w:rPr>
                <w:rFonts w:hint="eastAsia" w:ascii="宋体" w:hAnsi="宋体"/>
                <w:color w:val="auto"/>
                <w:szCs w:val="21"/>
              </w:rPr>
              <w:t>第二节</w:t>
            </w:r>
          </w:p>
          <w:p w14:paraId="30FF6EF0">
            <w:pPr>
              <w:adjustRightInd w:val="0"/>
              <w:snapToGrid w:val="0"/>
              <w:jc w:val="center"/>
              <w:rPr>
                <w:rFonts w:hint="eastAsia" w:ascii="宋体" w:hAnsi="宋体"/>
                <w:color w:val="auto"/>
                <w:szCs w:val="21"/>
              </w:rPr>
            </w:pPr>
            <w:r>
              <w:rPr>
                <w:rFonts w:hint="eastAsia" w:ascii="宋体" w:hAnsi="宋体"/>
                <w:color w:val="auto"/>
                <w:szCs w:val="21"/>
              </w:rPr>
              <w:t>第8.2（1）项</w:t>
            </w:r>
          </w:p>
        </w:tc>
        <w:tc>
          <w:tcPr>
            <w:tcW w:w="1742" w:type="dxa"/>
            <w:vAlign w:val="center"/>
          </w:tcPr>
          <w:p w14:paraId="4A3A317B">
            <w:pPr>
              <w:adjustRightInd w:val="0"/>
              <w:snapToGrid w:val="0"/>
              <w:jc w:val="left"/>
              <w:rPr>
                <w:rFonts w:hint="eastAsia" w:ascii="宋体" w:hAnsi="宋体"/>
                <w:color w:val="auto"/>
                <w:szCs w:val="21"/>
              </w:rPr>
            </w:pPr>
            <w:r>
              <w:rPr>
                <w:rFonts w:hint="eastAsia" w:ascii="宋体" w:hAnsi="宋体"/>
                <w:color w:val="auto"/>
                <w:szCs w:val="21"/>
              </w:rPr>
              <w:t>质量保证期</w:t>
            </w:r>
          </w:p>
        </w:tc>
        <w:tc>
          <w:tcPr>
            <w:tcW w:w="5170" w:type="dxa"/>
            <w:vAlign w:val="center"/>
          </w:tcPr>
          <w:p w14:paraId="05EE0771">
            <w:pPr>
              <w:autoSpaceDE w:val="0"/>
              <w:autoSpaceDN w:val="0"/>
              <w:adjustRightInd w:val="0"/>
              <w:snapToGrid w:val="0"/>
              <w:ind w:firstLine="420" w:firstLineChars="200"/>
              <w:jc w:val="left"/>
              <w:rPr>
                <w:rFonts w:hint="eastAsia" w:ascii="宋体" w:hAnsi="宋体"/>
                <w:color w:val="auto"/>
                <w:szCs w:val="21"/>
              </w:rPr>
            </w:pPr>
          </w:p>
        </w:tc>
      </w:tr>
      <w:tr w14:paraId="37E4E1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44B9BD">
            <w:pPr>
              <w:adjustRightInd w:val="0"/>
              <w:snapToGrid w:val="0"/>
              <w:jc w:val="center"/>
              <w:rPr>
                <w:rFonts w:hint="eastAsia" w:ascii="宋体" w:hAnsi="宋体"/>
                <w:color w:val="auto"/>
                <w:szCs w:val="21"/>
              </w:rPr>
            </w:pPr>
            <w:r>
              <w:rPr>
                <w:rFonts w:hint="eastAsia" w:ascii="宋体" w:hAnsi="宋体"/>
                <w:color w:val="auto"/>
                <w:szCs w:val="21"/>
              </w:rPr>
              <w:t>第二节</w:t>
            </w:r>
          </w:p>
          <w:p w14:paraId="01F72BAA">
            <w:pPr>
              <w:adjustRightInd w:val="0"/>
              <w:snapToGrid w:val="0"/>
              <w:jc w:val="center"/>
              <w:rPr>
                <w:rFonts w:hint="eastAsia" w:ascii="宋体" w:hAnsi="宋体"/>
                <w:color w:val="auto"/>
                <w:szCs w:val="21"/>
              </w:rPr>
            </w:pPr>
            <w:r>
              <w:rPr>
                <w:rFonts w:hint="eastAsia" w:ascii="宋体" w:hAnsi="宋体"/>
                <w:color w:val="auto"/>
                <w:szCs w:val="21"/>
              </w:rPr>
              <w:t>第8.2（3）项</w:t>
            </w:r>
          </w:p>
        </w:tc>
        <w:tc>
          <w:tcPr>
            <w:tcW w:w="1742" w:type="dxa"/>
            <w:vAlign w:val="center"/>
          </w:tcPr>
          <w:p w14:paraId="50F3D35D">
            <w:pPr>
              <w:adjustRightInd w:val="0"/>
              <w:snapToGrid w:val="0"/>
              <w:jc w:val="left"/>
              <w:rPr>
                <w:rFonts w:hint="eastAsia" w:ascii="宋体" w:hAnsi="宋体"/>
                <w:color w:val="auto"/>
                <w:szCs w:val="21"/>
              </w:rPr>
            </w:pPr>
            <w:r>
              <w:rPr>
                <w:rFonts w:hint="eastAsia" w:ascii="宋体" w:hAnsi="宋体"/>
                <w:color w:val="auto"/>
                <w:szCs w:val="21"/>
              </w:rPr>
              <w:t>货物质量缺陷</w:t>
            </w:r>
          </w:p>
          <w:p w14:paraId="5B899FDD">
            <w:pPr>
              <w:adjustRightInd w:val="0"/>
              <w:snapToGrid w:val="0"/>
              <w:jc w:val="left"/>
              <w:rPr>
                <w:rFonts w:hint="eastAsia" w:ascii="宋体" w:hAnsi="宋体"/>
                <w:color w:val="auto"/>
                <w:szCs w:val="21"/>
              </w:rPr>
            </w:pPr>
            <w:r>
              <w:rPr>
                <w:rFonts w:hint="eastAsia" w:ascii="宋体" w:hAnsi="宋体"/>
                <w:color w:val="auto"/>
                <w:szCs w:val="21"/>
              </w:rPr>
              <w:t>响应时间</w:t>
            </w:r>
          </w:p>
        </w:tc>
        <w:tc>
          <w:tcPr>
            <w:tcW w:w="5170" w:type="dxa"/>
            <w:vAlign w:val="center"/>
          </w:tcPr>
          <w:p w14:paraId="4092F4F2">
            <w:pPr>
              <w:adjustRightInd w:val="0"/>
              <w:snapToGrid w:val="0"/>
              <w:jc w:val="left"/>
              <w:rPr>
                <w:rFonts w:hint="eastAsia" w:ascii="宋体" w:hAnsi="宋体"/>
                <w:color w:val="auto"/>
                <w:szCs w:val="21"/>
              </w:rPr>
            </w:pPr>
          </w:p>
        </w:tc>
      </w:tr>
      <w:tr w14:paraId="02A844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3B9132">
            <w:pPr>
              <w:snapToGrid w:val="0"/>
              <w:jc w:val="center"/>
              <w:rPr>
                <w:rFonts w:hint="eastAsia" w:ascii="宋体" w:hAnsi="宋体" w:cs="宋体"/>
                <w:color w:val="auto"/>
                <w:szCs w:val="21"/>
              </w:rPr>
            </w:pPr>
            <w:r>
              <w:rPr>
                <w:rFonts w:hint="eastAsia" w:ascii="宋体" w:hAnsi="宋体" w:cs="宋体"/>
                <w:color w:val="auto"/>
                <w:szCs w:val="21"/>
              </w:rPr>
              <w:t>第二节</w:t>
            </w:r>
          </w:p>
          <w:p w14:paraId="6B6456B3">
            <w:pPr>
              <w:pStyle w:val="141"/>
              <w:ind w:firstLine="0" w:firstLineChars="0"/>
              <w:jc w:val="center"/>
              <w:rPr>
                <w:rFonts w:hint="eastAsia"/>
                <w:color w:val="auto"/>
              </w:rPr>
            </w:pPr>
            <w:r>
              <w:rPr>
                <w:rFonts w:hint="eastAsia" w:ascii="宋体" w:hAnsi="宋体" w:eastAsia="宋体" w:cs="宋体"/>
                <w:color w:val="auto"/>
              </w:rPr>
              <w:t>第11.1款</w:t>
            </w:r>
          </w:p>
        </w:tc>
        <w:tc>
          <w:tcPr>
            <w:tcW w:w="1742" w:type="dxa"/>
            <w:vAlign w:val="center"/>
          </w:tcPr>
          <w:p w14:paraId="3EAF579F">
            <w:pPr>
              <w:adjustRightInd w:val="0"/>
              <w:snapToGrid w:val="0"/>
              <w:rPr>
                <w:rFonts w:hint="eastAsia" w:ascii="宋体" w:hAnsi="宋体"/>
                <w:color w:val="auto"/>
                <w:szCs w:val="21"/>
              </w:rPr>
            </w:pPr>
            <w:r>
              <w:rPr>
                <w:rFonts w:hint="eastAsia" w:ascii="宋体" w:hAnsi="宋体"/>
                <w:color w:val="auto"/>
                <w:szCs w:val="21"/>
              </w:rPr>
              <w:t>其他应当保密的信息</w:t>
            </w:r>
          </w:p>
        </w:tc>
        <w:tc>
          <w:tcPr>
            <w:tcW w:w="5170" w:type="dxa"/>
            <w:vAlign w:val="center"/>
          </w:tcPr>
          <w:p w14:paraId="078CC818">
            <w:pPr>
              <w:adjustRightInd w:val="0"/>
              <w:snapToGrid w:val="0"/>
              <w:jc w:val="left"/>
              <w:rPr>
                <w:rFonts w:hint="eastAsia" w:ascii="宋体" w:hAnsi="宋体"/>
                <w:color w:val="auto"/>
                <w:szCs w:val="21"/>
              </w:rPr>
            </w:pPr>
          </w:p>
        </w:tc>
      </w:tr>
      <w:tr w14:paraId="3DE4C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8B559AC">
            <w:pPr>
              <w:adjustRightInd w:val="0"/>
              <w:snapToGrid w:val="0"/>
              <w:jc w:val="center"/>
              <w:rPr>
                <w:rFonts w:hint="eastAsia" w:ascii="宋体" w:hAnsi="宋体"/>
                <w:color w:val="auto"/>
                <w:szCs w:val="21"/>
              </w:rPr>
            </w:pPr>
            <w:r>
              <w:rPr>
                <w:rFonts w:hint="eastAsia" w:ascii="宋体" w:hAnsi="宋体"/>
                <w:color w:val="auto"/>
                <w:szCs w:val="21"/>
              </w:rPr>
              <w:t>第二节</w:t>
            </w:r>
          </w:p>
          <w:p w14:paraId="036E2742">
            <w:pPr>
              <w:adjustRightInd w:val="0"/>
              <w:snapToGrid w:val="0"/>
              <w:jc w:val="center"/>
              <w:rPr>
                <w:rFonts w:hint="eastAsia" w:ascii="宋体" w:hAnsi="宋体"/>
                <w:color w:val="auto"/>
                <w:szCs w:val="21"/>
              </w:rPr>
            </w:pPr>
            <w:r>
              <w:rPr>
                <w:rFonts w:hint="eastAsia" w:ascii="宋体" w:hAnsi="宋体"/>
                <w:color w:val="auto"/>
                <w:szCs w:val="21"/>
              </w:rPr>
              <w:t>第12.2款</w:t>
            </w:r>
          </w:p>
        </w:tc>
        <w:tc>
          <w:tcPr>
            <w:tcW w:w="1742" w:type="dxa"/>
            <w:vAlign w:val="center"/>
          </w:tcPr>
          <w:p w14:paraId="095E4E3D">
            <w:pPr>
              <w:adjustRightInd w:val="0"/>
              <w:snapToGrid w:val="0"/>
              <w:jc w:val="left"/>
              <w:rPr>
                <w:rFonts w:hint="eastAsia" w:ascii="宋体" w:hAnsi="宋体"/>
                <w:color w:val="auto"/>
                <w:szCs w:val="21"/>
              </w:rPr>
            </w:pPr>
            <w:r>
              <w:rPr>
                <w:rFonts w:hint="eastAsia" w:ascii="宋体" w:hAnsi="宋体"/>
                <w:color w:val="auto"/>
                <w:szCs w:val="21"/>
              </w:rPr>
              <w:t>合同价款支付时间</w:t>
            </w:r>
          </w:p>
        </w:tc>
        <w:tc>
          <w:tcPr>
            <w:tcW w:w="5170" w:type="dxa"/>
            <w:vAlign w:val="center"/>
          </w:tcPr>
          <w:p w14:paraId="74C167F9">
            <w:pPr>
              <w:adjustRightInd w:val="0"/>
              <w:snapToGrid w:val="0"/>
              <w:jc w:val="left"/>
              <w:rPr>
                <w:rFonts w:hint="eastAsia" w:ascii="宋体" w:hAnsi="宋体"/>
                <w:color w:val="auto"/>
                <w:szCs w:val="21"/>
              </w:rPr>
            </w:pPr>
          </w:p>
        </w:tc>
      </w:tr>
      <w:tr w14:paraId="4FDB23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48631F">
            <w:pPr>
              <w:adjustRightInd w:val="0"/>
              <w:snapToGrid w:val="0"/>
              <w:jc w:val="center"/>
              <w:rPr>
                <w:rFonts w:hint="eastAsia" w:ascii="宋体" w:hAnsi="宋体"/>
                <w:color w:val="auto"/>
                <w:szCs w:val="21"/>
              </w:rPr>
            </w:pPr>
            <w:r>
              <w:rPr>
                <w:rFonts w:hint="eastAsia" w:ascii="宋体" w:hAnsi="宋体"/>
                <w:color w:val="auto"/>
                <w:szCs w:val="21"/>
              </w:rPr>
              <w:t>第二节</w:t>
            </w:r>
          </w:p>
          <w:p w14:paraId="6BC41FF9">
            <w:pPr>
              <w:adjustRightInd w:val="0"/>
              <w:snapToGrid w:val="0"/>
              <w:jc w:val="center"/>
              <w:rPr>
                <w:rFonts w:hint="eastAsia" w:ascii="宋体" w:hAnsi="宋体"/>
                <w:color w:val="auto"/>
                <w:szCs w:val="21"/>
              </w:rPr>
            </w:pPr>
            <w:r>
              <w:rPr>
                <w:rFonts w:hint="eastAsia" w:ascii="宋体" w:hAnsi="宋体"/>
                <w:color w:val="auto"/>
                <w:szCs w:val="21"/>
              </w:rPr>
              <w:t>第13.2款</w:t>
            </w:r>
          </w:p>
        </w:tc>
        <w:tc>
          <w:tcPr>
            <w:tcW w:w="1742" w:type="dxa"/>
            <w:vAlign w:val="center"/>
          </w:tcPr>
          <w:p w14:paraId="1BCF3B1F">
            <w:pPr>
              <w:adjustRightInd w:val="0"/>
              <w:snapToGrid w:val="0"/>
              <w:jc w:val="left"/>
              <w:rPr>
                <w:rFonts w:hint="eastAsia" w:ascii="宋体" w:hAnsi="宋体"/>
                <w:color w:val="auto"/>
                <w:szCs w:val="21"/>
              </w:rPr>
            </w:pPr>
            <w:r>
              <w:rPr>
                <w:rFonts w:hint="eastAsia" w:ascii="宋体" w:hAnsi="宋体"/>
                <w:color w:val="auto"/>
                <w:szCs w:val="21"/>
              </w:rPr>
              <w:t>履约保证金不予退还的情形</w:t>
            </w:r>
          </w:p>
        </w:tc>
        <w:tc>
          <w:tcPr>
            <w:tcW w:w="5170" w:type="dxa"/>
            <w:vAlign w:val="center"/>
          </w:tcPr>
          <w:p w14:paraId="39E4EB1F">
            <w:pPr>
              <w:adjustRightInd w:val="0"/>
              <w:snapToGrid w:val="0"/>
              <w:jc w:val="left"/>
              <w:rPr>
                <w:rFonts w:hint="eastAsia" w:ascii="宋体" w:hAnsi="宋体"/>
                <w:color w:val="auto"/>
                <w:szCs w:val="21"/>
              </w:rPr>
            </w:pPr>
          </w:p>
        </w:tc>
      </w:tr>
      <w:tr w14:paraId="69E5AD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5E58D0">
            <w:pPr>
              <w:adjustRightInd w:val="0"/>
              <w:snapToGrid w:val="0"/>
              <w:jc w:val="center"/>
              <w:rPr>
                <w:rFonts w:hint="eastAsia" w:ascii="宋体" w:hAnsi="宋体"/>
                <w:color w:val="auto"/>
                <w:szCs w:val="21"/>
              </w:rPr>
            </w:pPr>
            <w:r>
              <w:rPr>
                <w:rFonts w:hint="eastAsia" w:ascii="宋体" w:hAnsi="宋体"/>
                <w:color w:val="auto"/>
                <w:szCs w:val="21"/>
              </w:rPr>
              <w:t>第二节</w:t>
            </w:r>
          </w:p>
          <w:p w14:paraId="1D3D6B9D">
            <w:pPr>
              <w:adjustRightInd w:val="0"/>
              <w:snapToGrid w:val="0"/>
              <w:jc w:val="center"/>
              <w:rPr>
                <w:rFonts w:hint="eastAsia" w:ascii="宋体" w:hAnsi="宋体"/>
                <w:color w:val="auto"/>
                <w:szCs w:val="21"/>
              </w:rPr>
            </w:pPr>
            <w:r>
              <w:rPr>
                <w:rFonts w:hint="eastAsia" w:ascii="宋体" w:hAnsi="宋体"/>
                <w:color w:val="auto"/>
                <w:szCs w:val="21"/>
              </w:rPr>
              <w:t>第13.3款</w:t>
            </w:r>
          </w:p>
        </w:tc>
        <w:tc>
          <w:tcPr>
            <w:tcW w:w="1742" w:type="dxa"/>
            <w:vAlign w:val="center"/>
          </w:tcPr>
          <w:p w14:paraId="3A831D1B">
            <w:pPr>
              <w:adjustRightInd w:val="0"/>
              <w:snapToGrid w:val="0"/>
              <w:jc w:val="left"/>
              <w:rPr>
                <w:rFonts w:hint="eastAsia" w:ascii="宋体" w:hAnsi="宋体"/>
                <w:color w:val="auto"/>
                <w:szCs w:val="21"/>
              </w:rPr>
            </w:pPr>
            <w:r>
              <w:rPr>
                <w:rFonts w:hint="eastAsia" w:ascii="宋体" w:hAnsi="宋体"/>
                <w:color w:val="auto"/>
                <w:szCs w:val="21"/>
              </w:rPr>
              <w:t>履约保证金退还时间及逾期退还的违约金</w:t>
            </w:r>
          </w:p>
        </w:tc>
        <w:tc>
          <w:tcPr>
            <w:tcW w:w="5170" w:type="dxa"/>
            <w:vAlign w:val="center"/>
          </w:tcPr>
          <w:p w14:paraId="56926A3D">
            <w:pPr>
              <w:adjustRightInd w:val="0"/>
              <w:snapToGrid w:val="0"/>
              <w:jc w:val="left"/>
              <w:rPr>
                <w:rFonts w:hint="eastAsia" w:ascii="宋体" w:hAnsi="宋体"/>
                <w:color w:val="auto"/>
                <w:szCs w:val="21"/>
              </w:rPr>
            </w:pPr>
          </w:p>
        </w:tc>
      </w:tr>
      <w:tr w14:paraId="0DE1A8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25669D6">
            <w:pPr>
              <w:adjustRightInd w:val="0"/>
              <w:snapToGrid w:val="0"/>
              <w:jc w:val="center"/>
              <w:rPr>
                <w:rFonts w:hint="eastAsia" w:ascii="宋体" w:hAnsi="宋体"/>
                <w:color w:val="auto"/>
                <w:szCs w:val="21"/>
              </w:rPr>
            </w:pPr>
            <w:r>
              <w:rPr>
                <w:rFonts w:hint="eastAsia" w:ascii="宋体" w:hAnsi="宋体"/>
                <w:color w:val="auto"/>
                <w:szCs w:val="21"/>
              </w:rPr>
              <w:t>第二节</w:t>
            </w:r>
          </w:p>
          <w:p w14:paraId="2D2FBDEA">
            <w:pPr>
              <w:adjustRightInd w:val="0"/>
              <w:snapToGrid w:val="0"/>
              <w:jc w:val="center"/>
              <w:rPr>
                <w:rFonts w:hint="eastAsia" w:ascii="宋体" w:hAnsi="宋体"/>
                <w:color w:val="auto"/>
                <w:szCs w:val="21"/>
              </w:rPr>
            </w:pPr>
            <w:r>
              <w:rPr>
                <w:rFonts w:hint="eastAsia" w:ascii="宋体" w:hAnsi="宋体"/>
                <w:color w:val="auto"/>
                <w:szCs w:val="21"/>
              </w:rPr>
              <w:t>第14.1（3）项</w:t>
            </w:r>
          </w:p>
        </w:tc>
        <w:tc>
          <w:tcPr>
            <w:tcW w:w="1742" w:type="dxa"/>
            <w:vAlign w:val="center"/>
          </w:tcPr>
          <w:p w14:paraId="5A17E96C">
            <w:pPr>
              <w:adjustRightInd w:val="0"/>
              <w:snapToGrid w:val="0"/>
              <w:jc w:val="left"/>
              <w:rPr>
                <w:rFonts w:hint="eastAsia" w:ascii="宋体" w:hAnsi="宋体"/>
                <w:color w:val="auto"/>
                <w:szCs w:val="21"/>
              </w:rPr>
            </w:pPr>
            <w:r>
              <w:rPr>
                <w:rFonts w:hint="eastAsia" w:ascii="宋体" w:hAnsi="宋体"/>
                <w:color w:val="auto"/>
                <w:szCs w:val="21"/>
              </w:rPr>
              <w:t>运行监督、维修期限</w:t>
            </w:r>
          </w:p>
        </w:tc>
        <w:tc>
          <w:tcPr>
            <w:tcW w:w="5170" w:type="dxa"/>
            <w:vAlign w:val="center"/>
          </w:tcPr>
          <w:p w14:paraId="35669716">
            <w:pPr>
              <w:adjustRightInd w:val="0"/>
              <w:snapToGrid w:val="0"/>
              <w:jc w:val="left"/>
              <w:rPr>
                <w:rFonts w:hint="eastAsia" w:ascii="宋体" w:hAnsi="宋体"/>
                <w:color w:val="auto"/>
                <w:szCs w:val="21"/>
              </w:rPr>
            </w:pPr>
          </w:p>
        </w:tc>
      </w:tr>
      <w:tr w14:paraId="5150E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D26D774">
            <w:pPr>
              <w:adjustRightInd w:val="0"/>
              <w:snapToGrid w:val="0"/>
              <w:jc w:val="center"/>
              <w:rPr>
                <w:rFonts w:hint="eastAsia" w:ascii="宋体" w:hAnsi="宋体"/>
                <w:color w:val="auto"/>
                <w:szCs w:val="21"/>
              </w:rPr>
            </w:pPr>
            <w:r>
              <w:rPr>
                <w:rFonts w:hint="eastAsia" w:ascii="宋体" w:hAnsi="宋体"/>
                <w:color w:val="auto"/>
                <w:szCs w:val="21"/>
              </w:rPr>
              <w:t>第二节</w:t>
            </w:r>
          </w:p>
          <w:p w14:paraId="0E16791A">
            <w:pPr>
              <w:adjustRightInd w:val="0"/>
              <w:snapToGrid w:val="0"/>
              <w:jc w:val="center"/>
              <w:rPr>
                <w:rFonts w:hint="eastAsia" w:ascii="宋体" w:hAnsi="宋体"/>
                <w:color w:val="auto"/>
                <w:szCs w:val="21"/>
              </w:rPr>
            </w:pPr>
            <w:r>
              <w:rPr>
                <w:rFonts w:hint="eastAsia" w:ascii="宋体" w:hAnsi="宋体"/>
                <w:color w:val="auto"/>
                <w:szCs w:val="21"/>
              </w:rPr>
              <w:t>第14.1（5）项</w:t>
            </w:r>
          </w:p>
        </w:tc>
        <w:tc>
          <w:tcPr>
            <w:tcW w:w="1742" w:type="dxa"/>
            <w:vAlign w:val="center"/>
          </w:tcPr>
          <w:p w14:paraId="512BA3C1">
            <w:pPr>
              <w:adjustRightInd w:val="0"/>
              <w:snapToGrid w:val="0"/>
              <w:jc w:val="left"/>
              <w:rPr>
                <w:rFonts w:hint="eastAsia" w:ascii="宋体" w:hAnsi="宋体"/>
                <w:color w:val="auto"/>
                <w:szCs w:val="21"/>
              </w:rPr>
            </w:pPr>
            <w:r>
              <w:rPr>
                <w:rFonts w:hint="eastAsia" w:ascii="宋体" w:hAnsi="宋体"/>
                <w:color w:val="auto"/>
                <w:szCs w:val="21"/>
              </w:rPr>
              <w:t>货物回收的约定</w:t>
            </w:r>
          </w:p>
        </w:tc>
        <w:tc>
          <w:tcPr>
            <w:tcW w:w="5170" w:type="dxa"/>
            <w:vAlign w:val="center"/>
          </w:tcPr>
          <w:p w14:paraId="2A8E39ED">
            <w:pPr>
              <w:adjustRightInd w:val="0"/>
              <w:snapToGrid w:val="0"/>
              <w:jc w:val="left"/>
              <w:rPr>
                <w:rFonts w:hint="eastAsia" w:ascii="宋体" w:hAnsi="宋体"/>
                <w:color w:val="auto"/>
                <w:szCs w:val="21"/>
              </w:rPr>
            </w:pPr>
          </w:p>
        </w:tc>
      </w:tr>
      <w:tr w14:paraId="5ADE2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96CCEB">
            <w:pPr>
              <w:adjustRightInd w:val="0"/>
              <w:snapToGrid w:val="0"/>
              <w:jc w:val="center"/>
              <w:rPr>
                <w:rFonts w:hint="eastAsia" w:ascii="宋体" w:hAnsi="宋体"/>
                <w:color w:val="auto"/>
                <w:szCs w:val="21"/>
              </w:rPr>
            </w:pPr>
            <w:r>
              <w:rPr>
                <w:rFonts w:hint="eastAsia" w:ascii="宋体" w:hAnsi="宋体"/>
                <w:color w:val="auto"/>
                <w:szCs w:val="21"/>
              </w:rPr>
              <w:t>第二节</w:t>
            </w:r>
          </w:p>
          <w:p w14:paraId="466A53DE">
            <w:pPr>
              <w:adjustRightInd w:val="0"/>
              <w:snapToGrid w:val="0"/>
              <w:jc w:val="center"/>
              <w:rPr>
                <w:rFonts w:hint="eastAsia" w:ascii="宋体" w:hAnsi="宋体"/>
                <w:color w:val="auto"/>
                <w:szCs w:val="21"/>
              </w:rPr>
            </w:pPr>
            <w:r>
              <w:rPr>
                <w:rFonts w:hint="eastAsia" w:ascii="宋体" w:hAnsi="宋体"/>
                <w:color w:val="auto"/>
                <w:szCs w:val="21"/>
              </w:rPr>
              <w:t>第14.1（6）项</w:t>
            </w:r>
          </w:p>
        </w:tc>
        <w:tc>
          <w:tcPr>
            <w:tcW w:w="1742" w:type="dxa"/>
            <w:vAlign w:val="center"/>
          </w:tcPr>
          <w:p w14:paraId="10E2DD3B">
            <w:pPr>
              <w:adjustRightInd w:val="0"/>
              <w:snapToGrid w:val="0"/>
              <w:jc w:val="left"/>
              <w:rPr>
                <w:rFonts w:hint="eastAsia" w:ascii="宋体" w:hAnsi="宋体"/>
                <w:color w:val="auto"/>
                <w:szCs w:val="21"/>
              </w:rPr>
            </w:pPr>
            <w:r>
              <w:rPr>
                <w:rFonts w:hint="eastAsia" w:ascii="宋体" w:hAnsi="宋体"/>
                <w:color w:val="auto"/>
                <w:szCs w:val="21"/>
              </w:rPr>
              <w:t>乙方提供的其他服务</w:t>
            </w:r>
          </w:p>
        </w:tc>
        <w:tc>
          <w:tcPr>
            <w:tcW w:w="5170" w:type="dxa"/>
            <w:vAlign w:val="center"/>
          </w:tcPr>
          <w:p w14:paraId="3E5EBADE">
            <w:pPr>
              <w:adjustRightInd w:val="0"/>
              <w:snapToGrid w:val="0"/>
              <w:jc w:val="left"/>
              <w:rPr>
                <w:rFonts w:hint="eastAsia" w:ascii="宋体" w:hAnsi="宋体"/>
                <w:color w:val="auto"/>
                <w:szCs w:val="21"/>
              </w:rPr>
            </w:pPr>
          </w:p>
        </w:tc>
      </w:tr>
      <w:tr w14:paraId="1BA44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9BCE30">
            <w:pPr>
              <w:adjustRightInd w:val="0"/>
              <w:snapToGrid w:val="0"/>
              <w:jc w:val="center"/>
              <w:rPr>
                <w:rFonts w:hint="eastAsia" w:ascii="宋体" w:hAnsi="宋体"/>
                <w:color w:val="auto"/>
                <w:szCs w:val="21"/>
              </w:rPr>
            </w:pPr>
            <w:r>
              <w:rPr>
                <w:rFonts w:hint="eastAsia" w:ascii="宋体" w:hAnsi="宋体"/>
                <w:color w:val="auto"/>
                <w:szCs w:val="21"/>
              </w:rPr>
              <w:t>第二节</w:t>
            </w:r>
          </w:p>
          <w:p w14:paraId="7E703433">
            <w:pPr>
              <w:adjustRightInd w:val="0"/>
              <w:snapToGrid w:val="0"/>
              <w:jc w:val="center"/>
              <w:rPr>
                <w:rFonts w:hint="eastAsia" w:ascii="宋体" w:hAnsi="宋体"/>
                <w:color w:val="auto"/>
                <w:szCs w:val="21"/>
              </w:rPr>
            </w:pPr>
            <w:r>
              <w:rPr>
                <w:rFonts w:hint="eastAsia" w:ascii="宋体" w:hAnsi="宋体"/>
                <w:color w:val="auto"/>
                <w:szCs w:val="21"/>
              </w:rPr>
              <w:t>第15.1款</w:t>
            </w:r>
          </w:p>
        </w:tc>
        <w:tc>
          <w:tcPr>
            <w:tcW w:w="1742" w:type="dxa"/>
            <w:vAlign w:val="center"/>
          </w:tcPr>
          <w:p w14:paraId="3B42535D">
            <w:pPr>
              <w:adjustRightInd w:val="0"/>
              <w:snapToGrid w:val="0"/>
              <w:jc w:val="left"/>
              <w:rPr>
                <w:rFonts w:hint="eastAsia" w:ascii="宋体" w:hAnsi="宋体"/>
                <w:color w:val="auto"/>
                <w:szCs w:val="21"/>
              </w:rPr>
            </w:pPr>
            <w:r>
              <w:rPr>
                <w:rFonts w:hint="eastAsia" w:ascii="宋体" w:hAnsi="宋体"/>
                <w:color w:val="auto"/>
                <w:szCs w:val="21"/>
              </w:rPr>
              <w:t>修理、重作、更换相关具体规定</w:t>
            </w:r>
          </w:p>
        </w:tc>
        <w:tc>
          <w:tcPr>
            <w:tcW w:w="5170" w:type="dxa"/>
            <w:vAlign w:val="center"/>
          </w:tcPr>
          <w:p w14:paraId="5D2991F4">
            <w:pPr>
              <w:adjustRightInd w:val="0"/>
              <w:snapToGrid w:val="0"/>
              <w:jc w:val="left"/>
              <w:rPr>
                <w:rFonts w:hint="eastAsia" w:ascii="宋体" w:hAnsi="宋体"/>
                <w:color w:val="auto"/>
                <w:szCs w:val="21"/>
              </w:rPr>
            </w:pPr>
          </w:p>
        </w:tc>
      </w:tr>
      <w:tr w14:paraId="57C201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C6CAB8">
            <w:pPr>
              <w:adjustRightInd w:val="0"/>
              <w:snapToGrid w:val="0"/>
              <w:jc w:val="center"/>
              <w:rPr>
                <w:rFonts w:hint="eastAsia" w:ascii="宋体" w:hAnsi="宋体"/>
                <w:color w:val="auto"/>
                <w:szCs w:val="21"/>
              </w:rPr>
            </w:pPr>
            <w:r>
              <w:rPr>
                <w:rFonts w:hint="eastAsia" w:ascii="宋体" w:hAnsi="宋体"/>
                <w:color w:val="auto"/>
                <w:szCs w:val="21"/>
              </w:rPr>
              <w:t>第二节</w:t>
            </w:r>
          </w:p>
          <w:p w14:paraId="1362628B">
            <w:pPr>
              <w:adjustRightInd w:val="0"/>
              <w:snapToGrid w:val="0"/>
              <w:jc w:val="center"/>
              <w:rPr>
                <w:rFonts w:hint="eastAsia" w:ascii="宋体" w:hAnsi="宋体"/>
                <w:color w:val="auto"/>
                <w:szCs w:val="21"/>
              </w:rPr>
            </w:pPr>
            <w:r>
              <w:rPr>
                <w:rFonts w:hint="eastAsia" w:ascii="宋体" w:hAnsi="宋体"/>
                <w:color w:val="auto"/>
                <w:szCs w:val="21"/>
              </w:rPr>
              <w:t>第15.2（2）项</w:t>
            </w:r>
          </w:p>
        </w:tc>
        <w:tc>
          <w:tcPr>
            <w:tcW w:w="1742" w:type="dxa"/>
            <w:vAlign w:val="center"/>
          </w:tcPr>
          <w:p w14:paraId="05C3AE19">
            <w:pPr>
              <w:adjustRightInd w:val="0"/>
              <w:snapToGrid w:val="0"/>
              <w:jc w:val="left"/>
              <w:rPr>
                <w:rFonts w:hint="eastAsia" w:ascii="宋体" w:hAnsi="宋体"/>
                <w:color w:val="auto"/>
                <w:szCs w:val="21"/>
              </w:rPr>
            </w:pPr>
            <w:r>
              <w:rPr>
                <w:rFonts w:hint="eastAsia" w:ascii="宋体" w:hAnsi="宋体"/>
                <w:color w:val="auto"/>
                <w:szCs w:val="21"/>
              </w:rPr>
              <w:t>迟延交货赔偿费</w:t>
            </w:r>
          </w:p>
        </w:tc>
        <w:tc>
          <w:tcPr>
            <w:tcW w:w="5170" w:type="dxa"/>
            <w:vAlign w:val="center"/>
          </w:tcPr>
          <w:p w14:paraId="0F32FA00">
            <w:pPr>
              <w:adjustRightInd w:val="0"/>
              <w:snapToGrid w:val="0"/>
              <w:jc w:val="left"/>
              <w:rPr>
                <w:rFonts w:hint="eastAsia" w:ascii="宋体" w:hAnsi="宋体"/>
                <w:color w:val="auto"/>
                <w:szCs w:val="21"/>
                <w:u w:val="single"/>
              </w:rPr>
            </w:pPr>
          </w:p>
        </w:tc>
      </w:tr>
      <w:tr w14:paraId="29B08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88D0AF">
            <w:pPr>
              <w:adjustRightInd w:val="0"/>
              <w:snapToGrid w:val="0"/>
              <w:jc w:val="center"/>
              <w:rPr>
                <w:rFonts w:hint="eastAsia" w:ascii="宋体" w:hAnsi="宋体"/>
                <w:color w:val="auto"/>
                <w:szCs w:val="21"/>
              </w:rPr>
            </w:pPr>
            <w:r>
              <w:rPr>
                <w:rFonts w:hint="eastAsia" w:ascii="宋体" w:hAnsi="宋体"/>
                <w:color w:val="auto"/>
                <w:szCs w:val="21"/>
              </w:rPr>
              <w:t>第二节</w:t>
            </w:r>
          </w:p>
          <w:p w14:paraId="12060E0F">
            <w:pPr>
              <w:adjustRightInd w:val="0"/>
              <w:snapToGrid w:val="0"/>
              <w:jc w:val="center"/>
              <w:rPr>
                <w:rFonts w:hint="eastAsia" w:ascii="宋体" w:hAnsi="宋体"/>
                <w:color w:val="auto"/>
                <w:szCs w:val="21"/>
              </w:rPr>
            </w:pPr>
            <w:r>
              <w:rPr>
                <w:rFonts w:hint="eastAsia" w:ascii="宋体" w:hAnsi="宋体"/>
                <w:color w:val="auto"/>
                <w:szCs w:val="21"/>
              </w:rPr>
              <w:t>第15.3款</w:t>
            </w:r>
          </w:p>
        </w:tc>
        <w:tc>
          <w:tcPr>
            <w:tcW w:w="1742" w:type="dxa"/>
            <w:vAlign w:val="center"/>
          </w:tcPr>
          <w:p w14:paraId="629461F4">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51102298">
            <w:pPr>
              <w:adjustRightInd w:val="0"/>
              <w:snapToGrid w:val="0"/>
              <w:jc w:val="left"/>
              <w:rPr>
                <w:rFonts w:hint="eastAsia" w:ascii="宋体" w:hAnsi="宋体"/>
                <w:color w:val="auto"/>
                <w:szCs w:val="21"/>
                <w:u w:val="single"/>
              </w:rPr>
            </w:pPr>
          </w:p>
        </w:tc>
      </w:tr>
      <w:tr w14:paraId="600DB6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27A4BA3">
            <w:pPr>
              <w:adjustRightInd w:val="0"/>
              <w:snapToGrid w:val="0"/>
              <w:jc w:val="center"/>
              <w:rPr>
                <w:rFonts w:hint="eastAsia" w:ascii="宋体" w:hAnsi="宋体"/>
                <w:color w:val="auto"/>
                <w:szCs w:val="21"/>
              </w:rPr>
            </w:pPr>
            <w:r>
              <w:rPr>
                <w:rFonts w:hint="eastAsia" w:ascii="宋体" w:hAnsi="宋体"/>
                <w:color w:val="auto"/>
                <w:szCs w:val="21"/>
              </w:rPr>
              <w:t>第二节</w:t>
            </w:r>
          </w:p>
          <w:p w14:paraId="3423CAE7">
            <w:pPr>
              <w:adjustRightInd w:val="0"/>
              <w:snapToGrid w:val="0"/>
              <w:jc w:val="center"/>
              <w:rPr>
                <w:rFonts w:hint="eastAsia" w:ascii="宋体" w:hAnsi="宋体"/>
                <w:color w:val="auto"/>
                <w:szCs w:val="21"/>
              </w:rPr>
            </w:pPr>
            <w:r>
              <w:rPr>
                <w:rFonts w:hint="eastAsia" w:ascii="宋体" w:hAnsi="宋体"/>
                <w:color w:val="auto"/>
                <w:szCs w:val="21"/>
              </w:rPr>
              <w:t>第15.4款</w:t>
            </w:r>
          </w:p>
        </w:tc>
        <w:tc>
          <w:tcPr>
            <w:tcW w:w="1742" w:type="dxa"/>
            <w:tcBorders>
              <w:left w:val="single" w:color="auto" w:sz="2" w:space="0"/>
              <w:bottom w:val="single" w:color="auto" w:sz="2" w:space="0"/>
              <w:right w:val="single" w:color="auto" w:sz="2" w:space="0"/>
            </w:tcBorders>
            <w:vAlign w:val="center"/>
          </w:tcPr>
          <w:p w14:paraId="39BED375">
            <w:pPr>
              <w:adjustRightInd w:val="0"/>
              <w:snapToGrid w:val="0"/>
              <w:jc w:val="left"/>
              <w:rPr>
                <w:rFonts w:hint="eastAsia"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774610E1">
            <w:pPr>
              <w:adjustRightInd w:val="0"/>
              <w:snapToGrid w:val="0"/>
              <w:jc w:val="left"/>
              <w:rPr>
                <w:rFonts w:hint="eastAsia" w:ascii="宋体" w:hAnsi="宋体"/>
                <w:color w:val="auto"/>
                <w:szCs w:val="21"/>
                <w:u w:val="single"/>
              </w:rPr>
            </w:pPr>
          </w:p>
        </w:tc>
      </w:tr>
      <w:tr w14:paraId="31CBE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57147A">
            <w:pPr>
              <w:adjustRightInd w:val="0"/>
              <w:snapToGrid w:val="0"/>
              <w:jc w:val="center"/>
              <w:rPr>
                <w:rFonts w:hint="eastAsia" w:ascii="宋体" w:hAnsi="宋体"/>
                <w:color w:val="auto"/>
                <w:szCs w:val="21"/>
              </w:rPr>
            </w:pPr>
            <w:r>
              <w:rPr>
                <w:rFonts w:hint="eastAsia" w:ascii="宋体" w:hAnsi="宋体"/>
                <w:color w:val="auto"/>
                <w:szCs w:val="21"/>
              </w:rPr>
              <w:t>第二节</w:t>
            </w:r>
          </w:p>
          <w:p w14:paraId="2B0EF5BB">
            <w:pPr>
              <w:adjustRightInd w:val="0"/>
              <w:snapToGrid w:val="0"/>
              <w:jc w:val="center"/>
              <w:rPr>
                <w:rFonts w:hint="eastAsia" w:ascii="宋体" w:hAnsi="宋体"/>
                <w:color w:val="auto"/>
                <w:szCs w:val="21"/>
              </w:rPr>
            </w:pPr>
            <w:r>
              <w:rPr>
                <w:rFonts w:hint="eastAsia" w:ascii="宋体" w:hAnsi="宋体"/>
                <w:color w:val="auto"/>
                <w:szCs w:val="21"/>
              </w:rPr>
              <w:t>第19.2款</w:t>
            </w:r>
          </w:p>
        </w:tc>
        <w:tc>
          <w:tcPr>
            <w:tcW w:w="1742" w:type="dxa"/>
            <w:tcBorders>
              <w:top w:val="single" w:color="auto" w:sz="2" w:space="0"/>
              <w:left w:val="single" w:color="auto" w:sz="2" w:space="0"/>
              <w:right w:val="single" w:color="auto" w:sz="2" w:space="0"/>
            </w:tcBorders>
            <w:vAlign w:val="center"/>
          </w:tcPr>
          <w:p w14:paraId="7401EC6C">
            <w:pPr>
              <w:adjustRightInd w:val="0"/>
              <w:snapToGrid w:val="0"/>
              <w:jc w:val="left"/>
              <w:rPr>
                <w:rFonts w:hint="eastAsia" w:ascii="宋体" w:hAnsi="宋体"/>
                <w:color w:val="auto"/>
                <w:szCs w:val="21"/>
              </w:rPr>
            </w:pPr>
            <w:r>
              <w:rPr>
                <w:rFonts w:hint="eastAsia" w:ascii="宋体" w:hAnsi="宋体"/>
                <w:color w:val="auto"/>
                <w:szCs w:val="21"/>
              </w:rPr>
              <w:t>解决争议的方法</w:t>
            </w:r>
          </w:p>
        </w:tc>
        <w:tc>
          <w:tcPr>
            <w:tcW w:w="5170" w:type="dxa"/>
            <w:tcBorders>
              <w:top w:val="single" w:color="auto" w:sz="2" w:space="0"/>
              <w:left w:val="single" w:color="auto" w:sz="2" w:space="0"/>
            </w:tcBorders>
            <w:vAlign w:val="center"/>
          </w:tcPr>
          <w:p w14:paraId="236D4649">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w:t>
            </w:r>
            <w:r>
              <w:rPr>
                <w:rFonts w:hint="eastAsia" w:ascii="宋体" w:hAnsi="宋体" w:cs="宋体"/>
                <w:iCs/>
                <w:color w:val="auto"/>
                <w:szCs w:val="21"/>
              </w:rPr>
              <w:t>种方式解决：</w:t>
            </w:r>
          </w:p>
          <w:p w14:paraId="7DB48519">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w:t>
            </w:r>
            <w:r>
              <w:rPr>
                <w:rFonts w:hint="eastAsia" w:ascii="宋体" w:hAnsi="宋体" w:cs="宋体"/>
                <w:iCs/>
                <w:color w:val="auto"/>
                <w:szCs w:val="21"/>
              </w:rPr>
              <w:t>；</w:t>
            </w:r>
          </w:p>
          <w:p w14:paraId="2BBE4A2B">
            <w:pPr>
              <w:adjustRightInd w:val="0"/>
              <w:snapToGrid w:val="0"/>
              <w:jc w:val="left"/>
              <w:rPr>
                <w:rFonts w:hint="eastAsia" w:ascii="宋体" w:hAnsi="宋体"/>
                <w:color w:val="auto"/>
                <w:szCs w:val="21"/>
                <w:u w:val="single"/>
              </w:rPr>
            </w:pPr>
            <w:r>
              <w:rPr>
                <w:rFonts w:hint="eastAsia" w:ascii="宋体" w:hAnsi="宋体" w:cs="宋体"/>
                <w:iCs/>
                <w:color w:val="auto"/>
                <w:szCs w:val="21"/>
              </w:rPr>
              <w:t>（2）向</w:t>
            </w:r>
            <w:r>
              <w:rPr>
                <w:rFonts w:hint="eastAsia" w:ascii="宋体" w:hAnsi="宋体" w:cs="宋体"/>
                <w:iCs/>
                <w:color w:val="auto"/>
                <w:szCs w:val="21"/>
                <w:u w:val="single"/>
              </w:rPr>
              <w:t xml:space="preserve">                    </w:t>
            </w:r>
            <w:r>
              <w:rPr>
                <w:rFonts w:hint="eastAsia" w:ascii="宋体" w:hAnsi="宋体" w:cs="宋体"/>
                <w:iCs/>
                <w:color w:val="auto"/>
                <w:szCs w:val="21"/>
              </w:rPr>
              <w:t>人民法院起诉。</w:t>
            </w:r>
          </w:p>
        </w:tc>
      </w:tr>
      <w:tr w14:paraId="22FDFD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72B04C8">
            <w:pPr>
              <w:adjustRightInd w:val="0"/>
              <w:snapToGrid w:val="0"/>
              <w:jc w:val="center"/>
              <w:rPr>
                <w:rFonts w:hint="eastAsia" w:ascii="宋体" w:hAnsi="宋体"/>
                <w:color w:val="auto"/>
                <w:szCs w:val="21"/>
              </w:rPr>
            </w:pPr>
            <w:r>
              <w:rPr>
                <w:rFonts w:hint="eastAsia" w:ascii="宋体" w:hAnsi="宋体"/>
                <w:color w:val="auto"/>
                <w:szCs w:val="21"/>
              </w:rPr>
              <w:t>第二节</w:t>
            </w:r>
          </w:p>
          <w:p w14:paraId="4405BE8D">
            <w:pPr>
              <w:adjustRightInd w:val="0"/>
              <w:snapToGrid w:val="0"/>
              <w:jc w:val="center"/>
              <w:rPr>
                <w:rFonts w:hint="eastAsia" w:ascii="宋体" w:hAnsi="宋体"/>
                <w:color w:val="auto"/>
                <w:szCs w:val="21"/>
              </w:rPr>
            </w:pPr>
            <w:r>
              <w:rPr>
                <w:rFonts w:hint="eastAsia" w:ascii="宋体" w:hAnsi="宋体"/>
                <w:color w:val="auto"/>
                <w:szCs w:val="21"/>
              </w:rPr>
              <w:t>第23.1款</w:t>
            </w:r>
          </w:p>
        </w:tc>
        <w:tc>
          <w:tcPr>
            <w:tcW w:w="1742" w:type="dxa"/>
            <w:vAlign w:val="center"/>
          </w:tcPr>
          <w:p w14:paraId="6C4D4D6B">
            <w:pPr>
              <w:adjustRightInd w:val="0"/>
              <w:snapToGrid w:val="0"/>
              <w:jc w:val="left"/>
              <w:rPr>
                <w:rFonts w:hint="eastAsia" w:ascii="宋体" w:hAnsi="宋体"/>
                <w:color w:val="auto"/>
                <w:szCs w:val="21"/>
              </w:rPr>
            </w:pPr>
            <w:r>
              <w:rPr>
                <w:rFonts w:hint="eastAsia" w:ascii="宋体" w:hAnsi="宋体"/>
                <w:bCs/>
                <w:color w:val="auto"/>
                <w:szCs w:val="21"/>
              </w:rPr>
              <w:t>其他专用条款</w:t>
            </w:r>
          </w:p>
        </w:tc>
        <w:tc>
          <w:tcPr>
            <w:tcW w:w="5170" w:type="dxa"/>
            <w:vAlign w:val="center"/>
          </w:tcPr>
          <w:p w14:paraId="356BBA84">
            <w:pPr>
              <w:adjustRightInd w:val="0"/>
              <w:snapToGrid w:val="0"/>
              <w:jc w:val="left"/>
              <w:rPr>
                <w:rFonts w:hint="eastAsia" w:ascii="宋体" w:hAnsi="宋体"/>
                <w:color w:val="auto"/>
                <w:szCs w:val="21"/>
              </w:rPr>
            </w:pPr>
          </w:p>
        </w:tc>
      </w:tr>
    </w:tbl>
    <w:p w14:paraId="3464D80D">
      <w:pPr>
        <w:rPr>
          <w:color w:val="auto"/>
        </w:rPr>
      </w:pPr>
    </w:p>
    <w:p w14:paraId="5FD0ABA9">
      <w:pPr>
        <w:rPr>
          <w:color w:val="auto"/>
        </w:rPr>
      </w:pPr>
    </w:p>
    <w:p w14:paraId="64D9D70B">
      <w:pPr>
        <w:rPr>
          <w:color w:val="auto"/>
        </w:rPr>
      </w:pPr>
    </w:p>
    <w:p w14:paraId="6AD57D04">
      <w:pPr>
        <w:pStyle w:val="21"/>
        <w:jc w:val="left"/>
        <w:rPr>
          <w:color w:val="auto"/>
        </w:rPr>
      </w:pPr>
    </w:p>
    <w:p w14:paraId="523AB334">
      <w:pPr>
        <w:rPr>
          <w:color w:val="auto"/>
        </w:rPr>
      </w:pPr>
    </w:p>
    <w:p w14:paraId="619D8BE8">
      <w:pPr>
        <w:rPr>
          <w:color w:val="auto"/>
        </w:rPr>
      </w:pPr>
    </w:p>
    <w:p w14:paraId="5A0CCCD4">
      <w:pPr>
        <w:rPr>
          <w:color w:val="auto"/>
        </w:rPr>
      </w:pPr>
    </w:p>
    <w:p w14:paraId="00F850AB">
      <w:pPr>
        <w:rPr>
          <w:color w:val="auto"/>
        </w:rPr>
      </w:pPr>
    </w:p>
    <w:p w14:paraId="6063B2DA">
      <w:pPr>
        <w:rPr>
          <w:color w:val="auto"/>
        </w:rPr>
      </w:pPr>
    </w:p>
    <w:p w14:paraId="030B8ED5">
      <w:pPr>
        <w:rPr>
          <w:color w:val="auto"/>
        </w:rPr>
      </w:pPr>
    </w:p>
    <w:p w14:paraId="36E9FBE9">
      <w:pPr>
        <w:rPr>
          <w:color w:val="auto"/>
        </w:rPr>
      </w:pPr>
    </w:p>
    <w:p w14:paraId="2F650FF9">
      <w:pPr>
        <w:rPr>
          <w:color w:val="auto"/>
        </w:rPr>
      </w:pPr>
    </w:p>
    <w:p w14:paraId="55AC7953">
      <w:pPr>
        <w:rPr>
          <w:color w:val="auto"/>
        </w:rPr>
      </w:pPr>
    </w:p>
    <w:p w14:paraId="49AF7FB3">
      <w:pPr>
        <w:pStyle w:val="141"/>
        <w:rPr>
          <w:rFonts w:hint="eastAsia"/>
          <w:color w:val="auto"/>
        </w:rPr>
      </w:pPr>
    </w:p>
    <w:p w14:paraId="2E5F74B8">
      <w:pPr>
        <w:pStyle w:val="141"/>
        <w:rPr>
          <w:rFonts w:hint="eastAsia"/>
          <w:color w:val="auto"/>
        </w:rPr>
      </w:pPr>
    </w:p>
    <w:p w14:paraId="08E2EF30">
      <w:pPr>
        <w:pStyle w:val="141"/>
        <w:rPr>
          <w:rFonts w:hint="eastAsia"/>
          <w:color w:val="auto"/>
        </w:rPr>
      </w:pPr>
    </w:p>
    <w:p w14:paraId="0D11AA8F">
      <w:pPr>
        <w:pStyle w:val="141"/>
        <w:rPr>
          <w:rFonts w:hint="eastAsia"/>
          <w:color w:val="auto"/>
        </w:rPr>
      </w:pPr>
    </w:p>
    <w:p w14:paraId="3E6D8D8B">
      <w:pPr>
        <w:pStyle w:val="141"/>
        <w:rPr>
          <w:rFonts w:hint="eastAsia"/>
          <w:color w:val="auto"/>
        </w:rPr>
      </w:pPr>
    </w:p>
    <w:p w14:paraId="0D1F5E57">
      <w:pPr>
        <w:pStyle w:val="141"/>
        <w:rPr>
          <w:rFonts w:hint="eastAsia"/>
          <w:color w:val="auto"/>
        </w:rPr>
      </w:pPr>
    </w:p>
    <w:p w14:paraId="58877A74">
      <w:pPr>
        <w:pStyle w:val="141"/>
        <w:rPr>
          <w:rFonts w:hint="eastAsia"/>
          <w:color w:val="auto"/>
        </w:rPr>
      </w:pPr>
    </w:p>
    <w:p w14:paraId="54773BDB">
      <w:pPr>
        <w:pStyle w:val="141"/>
        <w:rPr>
          <w:rFonts w:hint="eastAsia"/>
          <w:color w:val="auto"/>
        </w:rPr>
      </w:pPr>
    </w:p>
    <w:p w14:paraId="35046823">
      <w:pPr>
        <w:pStyle w:val="141"/>
        <w:rPr>
          <w:rFonts w:hint="eastAsia"/>
          <w:color w:val="auto"/>
        </w:rPr>
      </w:pPr>
    </w:p>
    <w:p w14:paraId="2D986A9E">
      <w:pPr>
        <w:pStyle w:val="141"/>
        <w:rPr>
          <w:rFonts w:hint="eastAsia"/>
          <w:color w:val="auto"/>
        </w:rPr>
      </w:pPr>
    </w:p>
    <w:p w14:paraId="33F8A79A">
      <w:pPr>
        <w:pStyle w:val="141"/>
        <w:rPr>
          <w:rFonts w:hint="eastAsia"/>
          <w:color w:val="auto"/>
        </w:rPr>
      </w:pPr>
    </w:p>
    <w:p w14:paraId="5D3CD0A5">
      <w:pPr>
        <w:pStyle w:val="141"/>
        <w:rPr>
          <w:rFonts w:hint="eastAsia"/>
          <w:color w:val="auto"/>
        </w:rPr>
      </w:pPr>
    </w:p>
    <w:p w14:paraId="1AB665E6">
      <w:pPr>
        <w:pStyle w:val="141"/>
        <w:rPr>
          <w:rFonts w:hint="eastAsia"/>
          <w:color w:val="auto"/>
        </w:rPr>
      </w:pPr>
    </w:p>
    <w:p w14:paraId="389B40A7">
      <w:pPr>
        <w:pStyle w:val="141"/>
        <w:rPr>
          <w:rFonts w:hint="eastAsia"/>
          <w:color w:val="auto"/>
        </w:rPr>
      </w:pPr>
    </w:p>
    <w:p w14:paraId="365A0545">
      <w:pPr>
        <w:pStyle w:val="141"/>
        <w:rPr>
          <w:rFonts w:hint="eastAsia"/>
          <w:color w:val="auto"/>
        </w:rPr>
      </w:pPr>
    </w:p>
    <w:p w14:paraId="5CE17A3F">
      <w:pPr>
        <w:pStyle w:val="141"/>
        <w:rPr>
          <w:rFonts w:hint="eastAsia"/>
          <w:color w:val="auto"/>
        </w:rPr>
      </w:pPr>
    </w:p>
    <w:p w14:paraId="79C5A73D">
      <w:pPr>
        <w:pStyle w:val="141"/>
        <w:rPr>
          <w:rFonts w:hint="eastAsia"/>
          <w:color w:val="auto"/>
        </w:rPr>
      </w:pPr>
    </w:p>
    <w:p w14:paraId="0DFB4C81">
      <w:pPr>
        <w:pStyle w:val="141"/>
        <w:rPr>
          <w:rFonts w:hint="eastAsia"/>
          <w:color w:val="auto"/>
        </w:rPr>
      </w:pPr>
    </w:p>
    <w:p w14:paraId="71182023">
      <w:pPr>
        <w:pStyle w:val="141"/>
        <w:rPr>
          <w:rFonts w:hint="eastAsia"/>
          <w:color w:val="auto"/>
        </w:rPr>
      </w:pPr>
    </w:p>
    <w:p w14:paraId="670F43FC">
      <w:pPr>
        <w:rPr>
          <w:color w:val="auto"/>
        </w:rPr>
      </w:pPr>
    </w:p>
    <w:p w14:paraId="10431E8B">
      <w:pPr>
        <w:rPr>
          <w:color w:val="auto"/>
        </w:rPr>
      </w:pPr>
    </w:p>
    <w:p w14:paraId="014BE32A">
      <w:pPr>
        <w:rPr>
          <w:color w:val="auto"/>
        </w:rPr>
      </w:pPr>
    </w:p>
    <w:p w14:paraId="676771A7">
      <w:pPr>
        <w:rPr>
          <w:color w:val="auto"/>
        </w:rPr>
      </w:pPr>
    </w:p>
    <w:p w14:paraId="4670F751">
      <w:pPr>
        <w:pStyle w:val="2"/>
        <w:spacing w:line="400" w:lineRule="exact"/>
        <w:rPr>
          <w:rFonts w:hint="eastAsia" w:ascii="方正小标宋_GBK" w:hAnsi="方正小标宋_GBK" w:eastAsia="方正小标宋_GBK"/>
          <w:color w:val="auto"/>
        </w:rPr>
      </w:pPr>
      <w:bookmarkStart w:id="119" w:name="_Toc92355028"/>
      <w:bookmarkStart w:id="120" w:name="_Toc397585460"/>
      <w:r>
        <w:rPr>
          <w:rFonts w:hint="eastAsia" w:ascii="方正小标宋_GBK" w:hAnsi="方正小标宋_GBK" w:eastAsia="方正小标宋_GBK"/>
          <w:color w:val="auto"/>
        </w:rPr>
        <w:t>第六章  响应文件格式</w:t>
      </w:r>
      <w:bookmarkEnd w:id="119"/>
      <w:bookmarkEnd w:id="120"/>
    </w:p>
    <w:p w14:paraId="6CA06B8A">
      <w:pPr>
        <w:jc w:val="left"/>
        <w:rPr>
          <w:rFonts w:hint="eastAsia" w:hAnsi="宋体"/>
          <w:color w:val="auto"/>
          <w:sz w:val="36"/>
          <w:szCs w:val="36"/>
        </w:rPr>
      </w:pPr>
      <w:r>
        <w:rPr>
          <w:b/>
          <w:color w:val="auto"/>
          <w:sz w:val="30"/>
          <w:szCs w:val="30"/>
        </w:rPr>
        <w:br w:type="page"/>
      </w:r>
      <w:r>
        <w:rPr>
          <w:rFonts w:hint="eastAsia" w:ascii="仿宋_GB2312"/>
          <w:b/>
          <w:bCs/>
          <w:color w:val="auto"/>
          <w:sz w:val="36"/>
          <w:szCs w:val="36"/>
        </w:rPr>
        <w:t>一、供应商资格文件</w:t>
      </w:r>
    </w:p>
    <w:p w14:paraId="5A039781">
      <w:pPr>
        <w:tabs>
          <w:tab w:val="left" w:pos="3402"/>
        </w:tabs>
        <w:ind w:firstLine="602"/>
        <w:jc w:val="center"/>
        <w:rPr>
          <w:rFonts w:hint="eastAsia" w:ascii="仿宋_GB2312" w:hAnsi="Adobe 仿宋 Std R" w:eastAsia="仿宋_GB2312"/>
          <w:b/>
          <w:color w:val="auto"/>
          <w:spacing w:val="10"/>
          <w:sz w:val="32"/>
          <w:szCs w:val="32"/>
        </w:rPr>
      </w:pPr>
      <w:bookmarkStart w:id="121" w:name="_Hlk111728366"/>
      <w:r>
        <w:rPr>
          <w:rFonts w:hint="eastAsia" w:ascii="仿宋_GB2312" w:hAnsi="Adobe 仿宋 Std R" w:eastAsia="仿宋_GB2312"/>
          <w:b/>
          <w:color w:val="auto"/>
          <w:spacing w:val="10"/>
          <w:sz w:val="32"/>
          <w:szCs w:val="32"/>
        </w:rPr>
        <w:t>供应商具备参加政府采购活动条件的承诺书</w:t>
      </w:r>
      <w:r>
        <w:rPr>
          <w:rFonts w:hint="eastAsia" w:ascii="仿宋_GB2312" w:hAnsi="Adobe 仿宋 Std R" w:eastAsia="仿宋_GB2312" w:cs="黑体"/>
          <w:bCs/>
          <w:color w:val="auto"/>
          <w:sz w:val="24"/>
        </w:rPr>
        <w:t>(格式)</w:t>
      </w:r>
    </w:p>
    <w:p w14:paraId="484B9BFF">
      <w:pPr>
        <w:tabs>
          <w:tab w:val="left" w:pos="3402"/>
        </w:tabs>
        <w:jc w:val="left"/>
        <w:rPr>
          <w:rFonts w:hint="eastAsia" w:ascii="仿宋_GB2312" w:hAnsi="仿宋" w:eastAsia="仿宋_GB2312"/>
          <w:b/>
          <w:color w:val="auto"/>
          <w:spacing w:val="10"/>
          <w:szCs w:val="21"/>
        </w:rPr>
      </w:pPr>
    </w:p>
    <w:p w14:paraId="266F725D">
      <w:pPr>
        <w:spacing w:line="520" w:lineRule="exact"/>
        <w:rPr>
          <w:rFonts w:hint="eastAsia" w:ascii="宋体" w:hAnsi="宋体"/>
          <w:bCs/>
          <w:color w:val="auto"/>
          <w:szCs w:val="22"/>
        </w:rPr>
      </w:pPr>
      <w:r>
        <w:rPr>
          <w:rFonts w:hint="eastAsia" w:ascii="宋体" w:hAnsi="宋体"/>
          <w:bCs/>
          <w:color w:val="auto"/>
          <w:szCs w:val="22"/>
        </w:rPr>
        <w:t>钦州市政府采购中心：</w:t>
      </w:r>
    </w:p>
    <w:p w14:paraId="3AAEB58C">
      <w:pPr>
        <w:spacing w:line="520" w:lineRule="exact"/>
        <w:ind w:firstLine="420"/>
        <w:rPr>
          <w:rFonts w:hint="eastAsia" w:ascii="宋体" w:hAnsi="宋体"/>
          <w:bCs/>
          <w:color w:val="auto"/>
          <w:szCs w:val="22"/>
        </w:rPr>
      </w:pPr>
      <w:r>
        <w:rPr>
          <w:rFonts w:hint="eastAsia" w:ascii="宋体" w:hAnsi="宋体"/>
          <w:bCs/>
          <w:color w:val="auto"/>
          <w:szCs w:val="22"/>
        </w:rPr>
        <w:t>根据《中华人民共和国政府采购法》实施条例第十七条的规定，现郑重承诺：</w:t>
      </w:r>
    </w:p>
    <w:p w14:paraId="696F4480">
      <w:pPr>
        <w:spacing w:line="520" w:lineRule="exact"/>
        <w:ind w:firstLine="420"/>
        <w:rPr>
          <w:rFonts w:hint="eastAsia" w:ascii="宋体" w:hAnsi="宋体"/>
          <w:bCs/>
          <w:color w:val="auto"/>
          <w:szCs w:val="22"/>
        </w:rPr>
      </w:pPr>
      <w:r>
        <w:rPr>
          <w:rFonts w:ascii="宋体" w:hAnsi="宋体"/>
          <w:bCs/>
          <w:color w:val="auto"/>
          <w:szCs w:val="22"/>
          <w:u w:val="single"/>
        </w:rPr>
        <w:t>(</w:t>
      </w:r>
      <w:r>
        <w:rPr>
          <w:rFonts w:hint="eastAsia" w:ascii="宋体" w:hAnsi="宋体"/>
          <w:bCs/>
          <w:color w:val="auto"/>
          <w:szCs w:val="22"/>
          <w:u w:val="single"/>
        </w:rPr>
        <w:t>供应商名称)</w:t>
      </w:r>
      <w:r>
        <w:rPr>
          <w:rFonts w:hint="eastAsia" w:ascii="宋体" w:hAnsi="宋体"/>
          <w:bCs/>
          <w:color w:val="auto"/>
          <w:szCs w:val="22"/>
        </w:rPr>
        <w:t>具有良好的商业信誉和健全的财务会计制度，具有履行合同所必需的设备和专业技术能力，有依法缴纳税收和社会保障资金的良好记录。</w:t>
      </w:r>
    </w:p>
    <w:p w14:paraId="11F2A836">
      <w:pPr>
        <w:spacing w:line="520" w:lineRule="exact"/>
        <w:ind w:firstLine="420"/>
        <w:rPr>
          <w:rFonts w:hint="eastAsia" w:ascii="宋体" w:hAnsi="宋体"/>
          <w:bCs/>
          <w:color w:val="auto"/>
          <w:szCs w:val="22"/>
        </w:rPr>
      </w:pPr>
      <w:r>
        <w:rPr>
          <w:rFonts w:hint="eastAsia" w:ascii="宋体" w:hAnsi="宋体"/>
          <w:bCs/>
          <w:color w:val="auto"/>
          <w:szCs w:val="22"/>
        </w:rPr>
        <w:t>本单位对上述承诺内容事项真实性负责，如有虚假，由我单位承担相关法律责任。</w:t>
      </w:r>
    </w:p>
    <w:p w14:paraId="07178378">
      <w:pPr>
        <w:spacing w:line="520" w:lineRule="exact"/>
        <w:ind w:firstLine="420"/>
        <w:rPr>
          <w:rFonts w:hint="eastAsia" w:ascii="宋体" w:hAnsi="宋体"/>
          <w:bCs/>
          <w:color w:val="auto"/>
          <w:szCs w:val="22"/>
        </w:rPr>
      </w:pPr>
      <w:r>
        <w:rPr>
          <w:rFonts w:hint="eastAsia" w:ascii="宋体" w:hAnsi="宋体"/>
          <w:bCs/>
          <w:color w:val="auto"/>
          <w:szCs w:val="22"/>
        </w:rPr>
        <w:t>特此承诺。</w:t>
      </w:r>
    </w:p>
    <w:p w14:paraId="4645DB51">
      <w:pPr>
        <w:ind w:firstLine="420"/>
        <w:rPr>
          <w:rFonts w:hint="eastAsia" w:ascii="宋体" w:hAnsi="宋体"/>
          <w:bCs/>
          <w:color w:val="auto"/>
          <w:szCs w:val="22"/>
        </w:rPr>
      </w:pPr>
    </w:p>
    <w:p w14:paraId="47CD7E86">
      <w:pPr>
        <w:ind w:firstLine="420"/>
        <w:rPr>
          <w:rFonts w:hint="eastAsia" w:ascii="宋体" w:hAnsi="宋体"/>
          <w:bCs/>
          <w:color w:val="auto"/>
          <w:szCs w:val="22"/>
        </w:rPr>
      </w:pPr>
    </w:p>
    <w:p w14:paraId="4DD878AA">
      <w:pPr>
        <w:spacing w:line="440" w:lineRule="exact"/>
        <w:ind w:right="1050" w:rightChars="500" w:firstLine="5250" w:firstLineChars="2500"/>
        <w:jc w:val="left"/>
        <w:rPr>
          <w:rFonts w:hint="eastAsia" w:ascii="宋体" w:hAnsi="宋体"/>
          <w:bCs/>
          <w:color w:val="auto"/>
        </w:rPr>
      </w:pPr>
      <w:r>
        <w:rPr>
          <w:rFonts w:hint="eastAsia" w:ascii="宋体" w:hAnsi="宋体"/>
          <w:bCs/>
          <w:color w:val="auto"/>
          <w:szCs w:val="22"/>
        </w:rPr>
        <w:t xml:space="preserve"> </w:t>
      </w:r>
      <w:r>
        <w:rPr>
          <w:rFonts w:ascii="宋体" w:hAnsi="宋体"/>
          <w:bCs/>
          <w:color w:val="auto"/>
          <w:szCs w:val="22"/>
        </w:rPr>
        <w:t xml:space="preserve">   </w:t>
      </w: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25AF02F4">
      <w:pPr>
        <w:spacing w:line="440" w:lineRule="exact"/>
        <w:ind w:right="420"/>
        <w:jc w:val="center"/>
        <w:rPr>
          <w:rFonts w:hint="eastAsia"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bCs/>
          <w:color w:val="auto"/>
        </w:rPr>
        <w:t>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bookmarkEnd w:id="121"/>
    <w:p w14:paraId="371CA21D">
      <w:pPr>
        <w:rPr>
          <w:color w:val="auto"/>
        </w:rPr>
      </w:pPr>
    </w:p>
    <w:p w14:paraId="42CBE819">
      <w:pPr>
        <w:rPr>
          <w:color w:val="auto"/>
        </w:rPr>
      </w:pPr>
    </w:p>
    <w:p w14:paraId="0A71469C">
      <w:pPr>
        <w:rPr>
          <w:color w:val="auto"/>
        </w:rPr>
      </w:pPr>
    </w:p>
    <w:p w14:paraId="38B235AD">
      <w:pPr>
        <w:rPr>
          <w:color w:val="auto"/>
        </w:rPr>
      </w:pPr>
    </w:p>
    <w:p w14:paraId="70B4A01C">
      <w:pPr>
        <w:rPr>
          <w:color w:val="auto"/>
        </w:rPr>
      </w:pPr>
    </w:p>
    <w:p w14:paraId="23FE80A9">
      <w:pPr>
        <w:tabs>
          <w:tab w:val="left" w:pos="3402"/>
        </w:tabs>
        <w:spacing w:line="460" w:lineRule="exact"/>
        <w:jc w:val="center"/>
        <w:rPr>
          <w:rFonts w:hint="eastAsia" w:ascii="仿宋_GB2312" w:hAnsi="仿宋" w:eastAsia="仿宋_GB2312"/>
          <w:b/>
          <w:color w:val="auto"/>
          <w:spacing w:val="10"/>
          <w:sz w:val="32"/>
          <w:szCs w:val="32"/>
        </w:rPr>
      </w:pPr>
      <w:r>
        <w:rPr>
          <w:rFonts w:hint="eastAsia" w:ascii="仿宋_GB2312" w:hAnsi="仿宋" w:eastAsia="仿宋_GB2312"/>
          <w:b/>
          <w:color w:val="auto"/>
          <w:spacing w:val="10"/>
          <w:sz w:val="32"/>
          <w:szCs w:val="32"/>
        </w:rPr>
        <w:t>无重大违法记录的书面声明</w:t>
      </w:r>
      <w:r>
        <w:rPr>
          <w:rFonts w:hint="eastAsia" w:ascii="仿宋" w:hAnsi="仿宋" w:eastAsia="仿宋" w:cs="黑体"/>
          <w:bCs/>
          <w:color w:val="auto"/>
          <w:sz w:val="24"/>
        </w:rPr>
        <w:t>(格式</w:t>
      </w:r>
      <w:r>
        <w:rPr>
          <w:rFonts w:ascii="仿宋" w:hAnsi="仿宋" w:eastAsia="仿宋" w:cs="黑体"/>
          <w:bCs/>
          <w:color w:val="auto"/>
          <w:sz w:val="24"/>
        </w:rPr>
        <w:t>)</w:t>
      </w:r>
    </w:p>
    <w:p w14:paraId="6AADE6C6">
      <w:pPr>
        <w:spacing w:line="400" w:lineRule="exact"/>
        <w:rPr>
          <w:rFonts w:hint="eastAsia" w:ascii="宋体" w:hAnsi="宋体"/>
          <w:b/>
          <w:color w:val="auto"/>
        </w:rPr>
      </w:pPr>
    </w:p>
    <w:p w14:paraId="49C45B34">
      <w:pPr>
        <w:spacing w:line="520" w:lineRule="exact"/>
        <w:rPr>
          <w:rFonts w:hint="eastAsia" w:ascii="宋体" w:hAnsi="宋体"/>
          <w:bCs/>
          <w:color w:val="auto"/>
        </w:rPr>
      </w:pPr>
      <w:r>
        <w:rPr>
          <w:rFonts w:hint="eastAsia" w:ascii="宋体" w:hAnsi="宋体"/>
          <w:bCs/>
          <w:color w:val="auto"/>
        </w:rPr>
        <w:t>钦州市政府采购中心：</w:t>
      </w:r>
    </w:p>
    <w:p w14:paraId="560988A2">
      <w:pPr>
        <w:spacing w:line="520" w:lineRule="exact"/>
        <w:ind w:firstLine="420"/>
        <w:rPr>
          <w:rFonts w:hint="eastAsia" w:ascii="宋体" w:hAnsi="宋体"/>
          <w:bCs/>
          <w:color w:val="auto"/>
        </w:rPr>
      </w:pPr>
      <w:r>
        <w:rPr>
          <w:rFonts w:hint="eastAsia" w:ascii="宋体" w:hAnsi="宋体"/>
          <w:bCs/>
          <w:color w:val="auto"/>
        </w:rPr>
        <w:t>根据《中华人民共和国政府采购法实施条例》第十七条第一款第(四</w:t>
      </w:r>
      <w:r>
        <w:rPr>
          <w:rFonts w:ascii="宋体" w:hAnsi="宋体"/>
          <w:bCs/>
          <w:color w:val="auto"/>
        </w:rPr>
        <w:t>）</w:t>
      </w:r>
      <w:r>
        <w:rPr>
          <w:rFonts w:hint="eastAsia" w:ascii="宋体" w:hAnsi="宋体"/>
          <w:bCs/>
          <w:color w:val="auto"/>
        </w:rPr>
        <w:t>项的规定，现郑重声明：</w:t>
      </w:r>
    </w:p>
    <w:p w14:paraId="7424332B">
      <w:pPr>
        <w:spacing w:line="520" w:lineRule="exact"/>
        <w:ind w:firstLine="420"/>
        <w:rPr>
          <w:rFonts w:hint="eastAsia" w:ascii="宋体" w:hAnsi="宋体"/>
          <w:bCs/>
          <w:color w:val="auto"/>
        </w:rPr>
      </w:pPr>
      <w:r>
        <w:rPr>
          <w:rFonts w:ascii="宋体" w:hAnsi="宋体"/>
          <w:bCs/>
          <w:color w:val="auto"/>
          <w:u w:val="single"/>
        </w:rPr>
        <w:t>(</w:t>
      </w:r>
      <w:r>
        <w:rPr>
          <w:rFonts w:hint="eastAsia" w:ascii="宋体" w:hAnsi="宋体"/>
          <w:bCs/>
          <w:color w:val="auto"/>
          <w:u w:val="single"/>
        </w:rPr>
        <w:t>供应商名称)</w:t>
      </w:r>
      <w:r>
        <w:rPr>
          <w:rFonts w:hint="eastAsia" w:ascii="宋体" w:hAnsi="宋体"/>
          <w:bCs/>
          <w:color w:val="auto"/>
        </w:rPr>
        <w:t>在参加本次政府采购活动前3年内在经营活动中没有重大违法记录（</w:t>
      </w:r>
      <w:r>
        <w:rPr>
          <w:rFonts w:hint="eastAsia" w:ascii="宋体" w:hAnsi="宋体"/>
          <w:bCs/>
          <w:color w:val="auto"/>
          <w:u w:val="single"/>
        </w:rPr>
        <w:t>即因违法经营受到刑事处罚或者责令停产停业、吊销许可证或者执照、较大数额罚款等行政处罚的行为</w:t>
      </w:r>
      <w:r>
        <w:rPr>
          <w:rFonts w:hint="eastAsia" w:ascii="宋体" w:hAnsi="宋体"/>
          <w:bCs/>
          <w:color w:val="auto"/>
        </w:rPr>
        <w:t>）。</w:t>
      </w:r>
    </w:p>
    <w:p w14:paraId="6E576E3B">
      <w:pPr>
        <w:spacing w:line="520" w:lineRule="exact"/>
        <w:ind w:firstLine="420"/>
        <w:rPr>
          <w:rFonts w:hint="eastAsia" w:ascii="宋体" w:hAnsi="宋体"/>
          <w:bCs/>
          <w:color w:val="auto"/>
        </w:rPr>
      </w:pPr>
      <w:r>
        <w:rPr>
          <w:rFonts w:hint="eastAsia" w:ascii="宋体" w:hAnsi="宋体"/>
          <w:bCs/>
          <w:color w:val="auto"/>
        </w:rPr>
        <w:t>本单位对上述声明内容事项真实性负责，如有虚假，由我单位承担相关法律责任。</w:t>
      </w:r>
    </w:p>
    <w:p w14:paraId="7EC770DA">
      <w:pPr>
        <w:spacing w:line="520" w:lineRule="exact"/>
        <w:ind w:firstLine="420"/>
        <w:rPr>
          <w:rFonts w:hint="eastAsia" w:ascii="宋体" w:hAnsi="宋体"/>
          <w:bCs/>
          <w:color w:val="auto"/>
        </w:rPr>
      </w:pPr>
      <w:r>
        <w:rPr>
          <w:rFonts w:hint="eastAsia" w:ascii="宋体" w:hAnsi="宋体"/>
          <w:bCs/>
          <w:color w:val="auto"/>
        </w:rPr>
        <w:t>特此声明。</w:t>
      </w:r>
    </w:p>
    <w:p w14:paraId="79B75E52">
      <w:pPr>
        <w:rPr>
          <w:rFonts w:hint="eastAsia" w:ascii="宋体" w:hAnsi="宋体"/>
          <w:bCs/>
          <w:color w:val="auto"/>
          <w:szCs w:val="22"/>
        </w:rPr>
      </w:pPr>
    </w:p>
    <w:p w14:paraId="44F15C01">
      <w:pPr>
        <w:rPr>
          <w:rFonts w:hint="eastAsia" w:ascii="宋体" w:hAnsi="宋体"/>
          <w:bCs/>
          <w:color w:val="auto"/>
          <w:szCs w:val="22"/>
        </w:rPr>
      </w:pPr>
    </w:p>
    <w:p w14:paraId="7AACDDF9">
      <w:pPr>
        <w:spacing w:line="440" w:lineRule="exact"/>
        <w:ind w:right="1050" w:rightChars="500" w:firstLine="5670" w:firstLineChars="2700"/>
        <w:jc w:val="left"/>
        <w:rPr>
          <w:rFonts w:hint="eastAsia" w:ascii="宋体" w:hAnsi="宋体"/>
          <w:bCs/>
          <w:color w:val="auto"/>
        </w:rPr>
      </w:pP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26F609ED">
      <w:pPr>
        <w:spacing w:line="440" w:lineRule="exact"/>
        <w:ind w:right="420"/>
        <w:jc w:val="center"/>
        <w:rPr>
          <w:rFonts w:hint="eastAsia"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bCs/>
          <w:color w:val="auto"/>
        </w:rPr>
        <w:t>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5A5ACB8E">
      <w:pPr>
        <w:spacing w:line="400" w:lineRule="exact"/>
        <w:ind w:right="1050" w:rightChars="500"/>
        <w:jc w:val="right"/>
        <w:rPr>
          <w:rFonts w:hint="eastAsia" w:ascii="黑体" w:hAnsi="黑体" w:eastAsia="黑体" w:cs="黑体"/>
          <w:b/>
          <w:color w:val="auto"/>
          <w:sz w:val="32"/>
          <w:szCs w:val="32"/>
        </w:rPr>
      </w:pPr>
    </w:p>
    <w:p w14:paraId="78134953">
      <w:pPr>
        <w:widowControl/>
        <w:jc w:val="left"/>
        <w:rPr>
          <w:rFonts w:hint="eastAsia" w:ascii="黑体" w:hAnsi="黑体" w:eastAsia="黑体" w:cs="黑体"/>
          <w:b/>
          <w:color w:val="auto"/>
          <w:sz w:val="32"/>
          <w:szCs w:val="32"/>
        </w:rPr>
      </w:pPr>
      <w:r>
        <w:rPr>
          <w:rFonts w:ascii="黑体" w:hAnsi="黑体" w:eastAsia="黑体" w:cs="黑体"/>
          <w:b/>
          <w:color w:val="auto"/>
          <w:sz w:val="32"/>
          <w:szCs w:val="32"/>
        </w:rPr>
        <w:br w:type="page"/>
      </w:r>
      <w:r>
        <w:rPr>
          <w:rFonts w:hint="eastAsia" w:ascii="仿宋" w:hAnsi="仿宋" w:eastAsia="仿宋"/>
          <w:b/>
          <w:color w:val="auto"/>
          <w:sz w:val="36"/>
          <w:szCs w:val="36"/>
        </w:rPr>
        <w:t>二、商务技术文件</w:t>
      </w:r>
    </w:p>
    <w:p w14:paraId="3AD15AD2">
      <w:pPr>
        <w:widowControl/>
        <w:jc w:val="center"/>
        <w:rPr>
          <w:rFonts w:hint="eastAsia" w:ascii="仿宋" w:hAnsi="仿宋" w:eastAsia="仿宋" w:cs="黑体"/>
          <w:b/>
          <w:color w:val="auto"/>
          <w:sz w:val="32"/>
          <w:szCs w:val="32"/>
        </w:rPr>
      </w:pPr>
      <w:bookmarkStart w:id="122" w:name="_Hlk92702324"/>
      <w:r>
        <w:rPr>
          <w:rFonts w:hint="eastAsia" w:ascii="仿宋" w:hAnsi="仿宋" w:eastAsia="仿宋" w:cs="黑体"/>
          <w:b/>
          <w:color w:val="auto"/>
          <w:sz w:val="32"/>
          <w:szCs w:val="32"/>
        </w:rPr>
        <w:t>谈 判 函</w:t>
      </w:r>
      <w:bookmarkEnd w:id="122"/>
      <w:r>
        <w:rPr>
          <w:rFonts w:hint="eastAsia" w:ascii="仿宋" w:hAnsi="仿宋" w:eastAsia="仿宋" w:cs="黑体"/>
          <w:bCs/>
          <w:color w:val="auto"/>
          <w:sz w:val="24"/>
        </w:rPr>
        <w:t>(格式</w:t>
      </w:r>
      <w:r>
        <w:rPr>
          <w:rFonts w:ascii="仿宋" w:hAnsi="仿宋" w:eastAsia="仿宋" w:cs="黑体"/>
          <w:bCs/>
          <w:color w:val="auto"/>
          <w:sz w:val="24"/>
        </w:rPr>
        <w:t>)</w:t>
      </w:r>
    </w:p>
    <w:p w14:paraId="3336357B">
      <w:pPr>
        <w:spacing w:line="360" w:lineRule="exact"/>
        <w:jc w:val="center"/>
        <w:rPr>
          <w:rFonts w:hint="eastAsia" w:ascii="宋体" w:hAnsi="宋体"/>
          <w:b/>
          <w:color w:val="auto"/>
          <w:szCs w:val="21"/>
        </w:rPr>
      </w:pPr>
    </w:p>
    <w:p w14:paraId="17540D26">
      <w:pPr>
        <w:spacing w:line="400" w:lineRule="exact"/>
        <w:rPr>
          <w:rFonts w:hint="eastAsia" w:ascii="宋体" w:hAnsi="宋体"/>
          <w:color w:val="auto"/>
          <w:szCs w:val="21"/>
        </w:rPr>
      </w:pPr>
      <w:r>
        <w:rPr>
          <w:rFonts w:hint="eastAsia" w:ascii="宋体" w:hAnsi="宋体"/>
          <w:color w:val="auto"/>
          <w:szCs w:val="21"/>
        </w:rPr>
        <w:t>致：钦州市政府采购中心：</w:t>
      </w:r>
    </w:p>
    <w:p w14:paraId="30168758">
      <w:pPr>
        <w:pStyle w:val="21"/>
        <w:spacing w:line="480" w:lineRule="exact"/>
        <w:ind w:firstLine="420"/>
        <w:rPr>
          <w:rFonts w:hint="eastAsia" w:hAnsi="宋体"/>
          <w:color w:val="auto"/>
        </w:rPr>
      </w:pPr>
      <w:r>
        <w:rPr>
          <w:rFonts w:hint="eastAsia" w:hAnsi="宋体"/>
          <w:color w:val="auto"/>
        </w:rPr>
        <w:t>依据贵方</w:t>
      </w:r>
      <w:r>
        <w:rPr>
          <w:rFonts w:hint="eastAsia" w:hAnsi="宋体"/>
          <w:color w:val="auto"/>
          <w:u w:val="single"/>
        </w:rPr>
        <w:t>（项目名称/文件编号）</w:t>
      </w:r>
      <w:r>
        <w:rPr>
          <w:rFonts w:hint="eastAsia" w:hAnsi="宋体"/>
          <w:color w:val="auto"/>
        </w:rPr>
        <w:t>项目竞争性谈判采购文件，我方</w:t>
      </w:r>
      <w:r>
        <w:rPr>
          <w:rFonts w:hint="eastAsia" w:hAnsi="宋体"/>
          <w:color w:val="auto"/>
          <w:u w:val="single"/>
        </w:rPr>
        <w:t xml:space="preserve"> （供应商名称） </w:t>
      </w:r>
      <w:r>
        <w:rPr>
          <w:rFonts w:hint="eastAsia" w:hAnsi="宋体"/>
          <w:color w:val="auto"/>
        </w:rPr>
        <w:t>经正式授权代表</w:t>
      </w:r>
      <w:r>
        <w:rPr>
          <w:rFonts w:hint="eastAsia" w:hAnsi="宋体"/>
          <w:color w:val="auto"/>
          <w:u w:val="single"/>
        </w:rPr>
        <w:t xml:space="preserve">   （被授权人）</w:t>
      </w:r>
      <w:r>
        <w:rPr>
          <w:rFonts w:hint="eastAsia" w:hAnsi="宋体"/>
          <w:color w:val="auto"/>
        </w:rPr>
        <w:t>提交响应文件。</w:t>
      </w:r>
    </w:p>
    <w:p w14:paraId="03B33F2D">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据此函，我公司承诺：</w:t>
      </w:r>
    </w:p>
    <w:p w14:paraId="15A77E64">
      <w:pPr>
        <w:snapToGrid w:val="0"/>
        <w:spacing w:line="36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我方已详细审阅采购文件（包括澄清或者修改文件），已经了解我方对于采购文件、采购过程、采购结果有依法进行询问、质疑、投诉的权利及相关渠道和要求。</w:t>
      </w:r>
    </w:p>
    <w:p w14:paraId="0262698C">
      <w:pPr>
        <w:snapToGrid w:val="0"/>
        <w:spacing w:line="360" w:lineRule="exact"/>
        <w:ind w:firstLine="420" w:firstLineChars="200"/>
        <w:rPr>
          <w:rFonts w:hint="eastAsia"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19F6F452">
      <w:pPr>
        <w:snapToGrid w:val="0"/>
        <w:spacing w:line="360" w:lineRule="exact"/>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我方在谈判之前已经与贵方进行了充分的沟通，完全理解并接受采购文件的各项规定和要求，对采购文件的合理性、合法性不再有异议。</w:t>
      </w:r>
    </w:p>
    <w:p w14:paraId="32A0152E">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4</w:t>
      </w:r>
      <w:r>
        <w:rPr>
          <w:rFonts w:hint="eastAsia" w:ascii="宋体" w:hAnsi="宋体"/>
          <w:color w:val="auto"/>
          <w:szCs w:val="21"/>
        </w:rPr>
        <w:t>.我方根据采购文件的规定，承担完成合同的责任和义务。</w:t>
      </w:r>
    </w:p>
    <w:p w14:paraId="2DF6B5BC">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.同意向贵方提供贵方可能要求的与本项目采购有关的人员、数据和资料。</w:t>
      </w:r>
    </w:p>
    <w:p w14:paraId="15F56FD5">
      <w:pPr>
        <w:spacing w:line="400" w:lineRule="exact"/>
        <w:ind w:firstLine="424" w:firstLineChars="202"/>
        <w:rPr>
          <w:rFonts w:hint="eastAsia" w:ascii="宋体" w:hAnsi="宋体"/>
          <w:color w:val="auto"/>
          <w:szCs w:val="21"/>
        </w:rPr>
      </w:pPr>
      <w:r>
        <w:rPr>
          <w:rFonts w:ascii="宋体" w:hAnsi="宋体"/>
          <w:color w:val="auto"/>
          <w:szCs w:val="21"/>
        </w:rPr>
        <w:t>6.</w:t>
      </w:r>
      <w:r>
        <w:rPr>
          <w:rFonts w:hint="eastAsia" w:ascii="宋体" w:hAnsi="宋体"/>
          <w:color w:val="auto"/>
          <w:szCs w:val="21"/>
        </w:rPr>
        <w:t>我方向贵方提交的所有响应文件、资料都是准确的和真实的。</w:t>
      </w:r>
    </w:p>
    <w:p w14:paraId="546C0B40">
      <w:pPr>
        <w:spacing w:line="400" w:lineRule="exact"/>
        <w:rPr>
          <w:rFonts w:hint="eastAsia" w:ascii="宋体" w:hAnsi="宋体"/>
          <w:color w:val="auto"/>
          <w:szCs w:val="21"/>
        </w:rPr>
      </w:pPr>
    </w:p>
    <w:p w14:paraId="3005A57E">
      <w:pPr>
        <w:spacing w:line="400" w:lineRule="exact"/>
        <w:ind w:firstLine="426"/>
        <w:rPr>
          <w:rFonts w:hint="eastAsia" w:ascii="宋体" w:hAnsi="宋体"/>
          <w:color w:val="auto"/>
          <w:szCs w:val="21"/>
        </w:rPr>
      </w:pPr>
      <w:r>
        <w:rPr>
          <w:rFonts w:hint="eastAsia" w:ascii="宋体" w:hAnsi="宋体"/>
          <w:color w:val="auto"/>
          <w:szCs w:val="21"/>
        </w:rPr>
        <w:t>与我公司有关的正式通讯方式：</w:t>
      </w:r>
    </w:p>
    <w:p w14:paraId="62A92A4E">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地址：</w:t>
      </w:r>
      <w:r>
        <w:rPr>
          <w:rFonts w:hint="eastAsia" w:ascii="宋体" w:hAnsi="宋体"/>
          <w:color w:val="auto"/>
          <w:szCs w:val="21"/>
          <w:u w:val="single"/>
        </w:rPr>
        <w:t xml:space="preserve">                                   </w:t>
      </w:r>
    </w:p>
    <w:p w14:paraId="70A28087">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邮政编码：</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0E53BB89">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电话、电报、传真或电传：</w:t>
      </w:r>
      <w:r>
        <w:rPr>
          <w:rFonts w:hint="eastAsia" w:ascii="宋体" w:hAnsi="宋体"/>
          <w:color w:val="auto"/>
          <w:szCs w:val="21"/>
          <w:u w:val="single"/>
        </w:rPr>
        <w:t xml:space="preserve">                 </w:t>
      </w:r>
    </w:p>
    <w:p w14:paraId="46E4C4C8">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开户名称：</w:t>
      </w:r>
      <w:r>
        <w:rPr>
          <w:rFonts w:hint="eastAsia" w:ascii="宋体" w:hAnsi="宋体"/>
          <w:color w:val="auto"/>
          <w:szCs w:val="21"/>
          <w:u w:val="single"/>
        </w:rPr>
        <w:t xml:space="preserve">                               </w:t>
      </w:r>
    </w:p>
    <w:p w14:paraId="4D45174E">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开户银行：</w:t>
      </w:r>
      <w:r>
        <w:rPr>
          <w:rFonts w:hint="eastAsia" w:ascii="宋体" w:hAnsi="宋体"/>
          <w:color w:val="auto"/>
          <w:szCs w:val="21"/>
          <w:u w:val="single"/>
        </w:rPr>
        <w:t xml:space="preserve">                               </w:t>
      </w:r>
    </w:p>
    <w:p w14:paraId="07EC7723">
      <w:pPr>
        <w:spacing w:line="400" w:lineRule="exact"/>
        <w:rPr>
          <w:rFonts w:hint="eastAsia" w:ascii="宋体" w:hAnsi="宋体"/>
          <w:color w:val="auto"/>
          <w:szCs w:val="21"/>
          <w:u w:val="single"/>
        </w:rPr>
      </w:pPr>
      <w:r>
        <w:rPr>
          <w:rFonts w:ascii="宋体" w:hAnsi="宋体"/>
          <w:color w:val="auto"/>
          <w:szCs w:val="21"/>
        </w:rPr>
        <w:tab/>
      </w:r>
      <w:r>
        <w:rPr>
          <w:rFonts w:hint="eastAsia" w:ascii="宋体" w:hAnsi="宋体"/>
          <w:color w:val="auto"/>
          <w:szCs w:val="21"/>
        </w:rPr>
        <w:t>账    号：</w:t>
      </w:r>
      <w:r>
        <w:rPr>
          <w:rFonts w:hint="eastAsia" w:ascii="宋体" w:hAnsi="宋体"/>
          <w:color w:val="auto"/>
          <w:szCs w:val="21"/>
          <w:u w:val="single"/>
        </w:rPr>
        <w:t xml:space="preserve">                               </w:t>
      </w:r>
    </w:p>
    <w:p w14:paraId="2F5B743F">
      <w:pPr>
        <w:rPr>
          <w:color w:val="auto"/>
        </w:rPr>
      </w:pPr>
    </w:p>
    <w:p w14:paraId="42515475">
      <w:pPr>
        <w:rPr>
          <w:color w:val="auto"/>
        </w:rPr>
      </w:pPr>
    </w:p>
    <w:p w14:paraId="46AE4D72">
      <w:pPr>
        <w:rPr>
          <w:color w:val="auto"/>
        </w:rPr>
      </w:pPr>
    </w:p>
    <w:p w14:paraId="373C9343">
      <w:pPr>
        <w:rPr>
          <w:color w:val="auto"/>
        </w:rPr>
      </w:pPr>
    </w:p>
    <w:p w14:paraId="40F13DCF">
      <w:pPr>
        <w:rPr>
          <w:color w:val="auto"/>
        </w:rPr>
      </w:pPr>
    </w:p>
    <w:p w14:paraId="4D2B4521">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0EBDBD65">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日期：</w:t>
      </w:r>
      <w:r>
        <w:rPr>
          <w:rFonts w:hint="eastAsia" w:ascii="宋体" w:hAnsi="宋体"/>
          <w:color w:val="auto"/>
          <w:szCs w:val="21"/>
          <w:u w:val="single"/>
        </w:rPr>
        <w:t xml:space="preserve">                    </w:t>
      </w:r>
      <w:r>
        <w:rPr>
          <w:rFonts w:ascii="宋体" w:hAnsi="宋体"/>
          <w:color w:val="auto"/>
          <w:szCs w:val="21"/>
          <w:u w:val="single"/>
        </w:rPr>
        <w:t xml:space="preserve">     </w:t>
      </w:r>
    </w:p>
    <w:p w14:paraId="4EA2F724">
      <w:pPr>
        <w:widowControl/>
        <w:jc w:val="left"/>
        <w:rPr>
          <w:color w:val="auto"/>
        </w:rPr>
      </w:pPr>
      <w:r>
        <w:rPr>
          <w:color w:val="auto"/>
        </w:rPr>
        <w:br w:type="page"/>
      </w:r>
    </w:p>
    <w:p w14:paraId="5510FE5F">
      <w:pPr>
        <w:rPr>
          <w:color w:val="auto"/>
        </w:rPr>
      </w:pPr>
    </w:p>
    <w:p w14:paraId="697064E5">
      <w:pPr>
        <w:jc w:val="center"/>
        <w:rPr>
          <w:rFonts w:hint="eastAsia" w:ascii="仿宋" w:hAnsi="仿宋" w:eastAsia="仿宋"/>
          <w:color w:val="auto"/>
          <w:sz w:val="32"/>
          <w:szCs w:val="32"/>
        </w:rPr>
      </w:pPr>
      <w:r>
        <w:rPr>
          <w:rFonts w:hint="eastAsia" w:ascii="仿宋" w:hAnsi="仿宋" w:eastAsia="仿宋"/>
          <w:b/>
          <w:color w:val="auto"/>
          <w:sz w:val="32"/>
          <w:szCs w:val="32"/>
        </w:rPr>
        <w:t>授权委托书</w:t>
      </w:r>
      <w:bookmarkStart w:id="123" w:name="_Hlk92703623"/>
      <w:r>
        <w:rPr>
          <w:rFonts w:hint="eastAsia" w:ascii="仿宋" w:hAnsi="仿宋" w:eastAsia="仿宋"/>
          <w:color w:val="auto"/>
          <w:sz w:val="24"/>
        </w:rPr>
        <w:t>(格式</w:t>
      </w:r>
      <w:r>
        <w:rPr>
          <w:rFonts w:ascii="仿宋" w:hAnsi="仿宋" w:eastAsia="仿宋"/>
          <w:color w:val="auto"/>
          <w:sz w:val="24"/>
        </w:rPr>
        <w:t>)</w:t>
      </w:r>
      <w:bookmarkEnd w:id="123"/>
    </w:p>
    <w:p w14:paraId="79875F7C">
      <w:pPr>
        <w:snapToGrid w:val="0"/>
        <w:spacing w:before="156" w:beforeLines="50" w:after="50" w:line="500" w:lineRule="exact"/>
        <w:rPr>
          <w:rFonts w:hint="eastAsia" w:ascii="宋体" w:hAnsi="宋体"/>
          <w:b/>
          <w:bCs/>
          <w:color w:val="auto"/>
          <w:szCs w:val="21"/>
        </w:rPr>
      </w:pPr>
      <w:r>
        <w:rPr>
          <w:rFonts w:hint="eastAsia" w:ascii="宋体" w:hAnsi="宋体"/>
          <w:bCs/>
          <w:color w:val="auto"/>
          <w:szCs w:val="21"/>
        </w:rPr>
        <w:t>致：</w:t>
      </w:r>
      <w:r>
        <w:rPr>
          <w:rFonts w:hint="eastAsia"/>
          <w:color w:val="auto"/>
        </w:rPr>
        <w:t>钦州市政府采购中心</w:t>
      </w:r>
    </w:p>
    <w:p w14:paraId="2E42D1A0">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rPr>
        <w:t>我</w:t>
      </w:r>
      <w:r>
        <w:rPr>
          <w:rFonts w:hint="eastAsia" w:ascii="宋体" w:hAnsi="宋体"/>
          <w:color w:val="auto"/>
          <w:szCs w:val="21"/>
          <w:u w:val="single"/>
        </w:rPr>
        <w:t>（姓名）</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的法定代表人，现授权委托本单位在职职工</w:t>
      </w:r>
      <w:r>
        <w:rPr>
          <w:rFonts w:hint="eastAsia" w:ascii="宋体" w:hAnsi="宋体"/>
          <w:color w:val="auto"/>
          <w:szCs w:val="21"/>
          <w:u w:val="single"/>
        </w:rPr>
        <w:t>（姓名）</w:t>
      </w:r>
      <w:r>
        <w:rPr>
          <w:rFonts w:hint="eastAsia" w:ascii="宋体" w:hAnsi="宋体"/>
          <w:color w:val="auto"/>
          <w:szCs w:val="21"/>
        </w:rPr>
        <w:t>以我方的名义参加</w:t>
      </w:r>
      <w:r>
        <w:rPr>
          <w:rFonts w:hint="eastAsia" w:ascii="宋体" w:hAnsi="宋体"/>
          <w:color w:val="auto"/>
          <w:szCs w:val="21"/>
          <w:u w:val="single"/>
        </w:rPr>
        <w:t>（项目名称/项目编号）</w:t>
      </w:r>
      <w:r>
        <w:rPr>
          <w:rFonts w:hint="eastAsia" w:ascii="宋体" w:hAnsi="宋体"/>
          <w:color w:val="auto"/>
          <w:szCs w:val="21"/>
        </w:rPr>
        <w:t>的谈判活动，并代表我方全权办理针对上述项目的谈判、签约等具体事务和签署相关文件。</w:t>
      </w:r>
    </w:p>
    <w:p w14:paraId="3297209F">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rPr>
        <w:t>我方对被授权人的签名事项负全部责任。</w:t>
      </w:r>
    </w:p>
    <w:p w14:paraId="54189BAE">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214ED860">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rPr>
        <w:t>被授权人无转委托权，特此委托。</w:t>
      </w:r>
    </w:p>
    <w:p w14:paraId="18A1B757">
      <w:pPr>
        <w:snapToGrid w:val="0"/>
        <w:spacing w:before="156" w:beforeLines="50" w:after="50" w:line="300" w:lineRule="exact"/>
        <w:ind w:firstLine="525" w:firstLineChars="250"/>
        <w:rPr>
          <w:rFonts w:hint="eastAsia" w:ascii="宋体" w:hAnsi="宋体"/>
          <w:color w:val="auto"/>
          <w:szCs w:val="21"/>
        </w:rPr>
      </w:pPr>
    </w:p>
    <w:p w14:paraId="4395831F">
      <w:pPr>
        <w:snapToGrid w:val="0"/>
        <w:spacing w:before="156" w:beforeLines="50" w:after="50" w:line="300" w:lineRule="exact"/>
        <w:ind w:firstLine="420" w:firstLineChars="200"/>
        <w:rPr>
          <w:rFonts w:hint="eastAsia"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p>
    <w:p w14:paraId="2D886933">
      <w:pPr>
        <w:snapToGrid w:val="0"/>
        <w:spacing w:before="156" w:beforeLines="50" w:after="50" w:line="300" w:lineRule="exact"/>
        <w:ind w:firstLine="420" w:firstLineChars="200"/>
        <w:rPr>
          <w:rFonts w:hint="eastAsia"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02A1FBEB">
      <w:pPr>
        <w:snapToGrid w:val="0"/>
        <w:spacing w:before="156" w:beforeLines="50" w:after="50" w:line="300" w:lineRule="exact"/>
        <w:ind w:firstLine="420" w:firstLineChars="200"/>
        <w:rPr>
          <w:rFonts w:hint="eastAsia"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14:paraId="62D234B0">
      <w:pPr>
        <w:snapToGrid w:val="0"/>
        <w:spacing w:before="156" w:beforeLines="50" w:after="50" w:line="300" w:lineRule="exact"/>
        <w:ind w:firstLine="420" w:firstLineChars="200"/>
        <w:rPr>
          <w:rFonts w:hint="eastAsia" w:hAnsi="宋体"/>
          <w:color w:val="auto"/>
        </w:rPr>
      </w:pPr>
      <w:r>
        <w:rPr>
          <w:rFonts w:hint="eastAsia" w:hAnsi="宋体"/>
          <w:color w:val="auto"/>
        </w:rPr>
        <w:t>附：委托代理人身份证(正反面</w:t>
      </w:r>
      <w:r>
        <w:rPr>
          <w:rFonts w:hAnsi="宋体"/>
          <w:color w:val="auto"/>
        </w:rPr>
        <w:t>)</w:t>
      </w:r>
    </w:p>
    <w:p w14:paraId="34616B81">
      <w:pPr>
        <w:rPr>
          <w:color w:val="auto"/>
        </w:rPr>
      </w:pPr>
    </w:p>
    <w:p w14:paraId="45F15F9F">
      <w:pPr>
        <w:rPr>
          <w:color w:val="auto"/>
        </w:rPr>
      </w:pPr>
    </w:p>
    <w:p w14:paraId="37508885">
      <w:pPr>
        <w:snapToGrid w:val="0"/>
        <w:spacing w:before="156" w:beforeLines="50" w:after="50" w:line="200" w:lineRule="exact"/>
        <w:ind w:firstLine="4620" w:firstLineChars="2200"/>
        <w:rPr>
          <w:rFonts w:hint="eastAsia" w:ascii="宋体" w:hAnsi="宋体"/>
          <w:color w:val="auto"/>
          <w:szCs w:val="21"/>
          <w:u w:val="single"/>
        </w:rPr>
      </w:pPr>
      <w:r>
        <w:rPr>
          <w:rFonts w:hint="eastAsia" w:ascii="宋体" w:hAnsi="宋体"/>
          <w:color w:val="auto"/>
          <w:szCs w:val="21"/>
        </w:rPr>
        <w:t xml:space="preserve">       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7BF25461">
      <w:pPr>
        <w:snapToGrid w:val="0"/>
        <w:spacing w:before="156" w:beforeLines="50" w:after="50" w:line="200" w:lineRule="exact"/>
        <w:ind w:firstLine="5355" w:firstLineChars="2550"/>
        <w:rPr>
          <w:rFonts w:hint="eastAsia" w:ascii="宋体" w:hAnsi="宋体"/>
          <w:color w:val="auto"/>
          <w:szCs w:val="21"/>
        </w:rPr>
      </w:pPr>
      <w:r>
        <w:rPr>
          <w:rFonts w:hint="eastAsia" w:ascii="宋体" w:hAnsi="宋体"/>
          <w:color w:val="auto"/>
          <w:szCs w:val="21"/>
        </w:rPr>
        <w:t>法定代表人签名：</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4DB6D2ED">
      <w:pPr>
        <w:snapToGrid w:val="0"/>
        <w:spacing w:before="156" w:beforeLines="50" w:after="50" w:line="200" w:lineRule="exact"/>
        <w:ind w:firstLine="5355" w:firstLineChars="2550"/>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3D3829C">
      <w:pPr>
        <w:widowControl/>
        <w:jc w:val="left"/>
        <w:rPr>
          <w:rFonts w:ascii="宋体" w:hAnsi="Courier New" w:cs="Courier New"/>
          <w:b/>
          <w:bCs/>
          <w:color w:val="auto"/>
          <w:szCs w:val="21"/>
        </w:rPr>
      </w:pPr>
      <w:r>
        <w:rPr>
          <w:b/>
          <w:bCs/>
          <w:color w:val="auto"/>
        </w:rPr>
        <w:br w:type="page"/>
      </w:r>
    </w:p>
    <w:p w14:paraId="7A18FEC3">
      <w:pPr>
        <w:rPr>
          <w:color w:val="auto"/>
        </w:rPr>
      </w:pPr>
    </w:p>
    <w:p w14:paraId="2AFC1184">
      <w:pPr>
        <w:snapToGrid w:val="0"/>
        <w:spacing w:before="156" w:beforeLines="50" w:after="50" w:line="360" w:lineRule="exact"/>
        <w:jc w:val="center"/>
        <w:rPr>
          <w:rFonts w:ascii="仿宋" w:hAnsi="仿宋" w:eastAsia="仿宋"/>
          <w:color w:val="auto"/>
          <w:sz w:val="24"/>
        </w:rPr>
      </w:pPr>
      <w:r>
        <w:rPr>
          <w:rFonts w:hint="eastAsia" w:ascii="仿宋" w:hAnsi="仿宋" w:eastAsia="仿宋"/>
          <w:b/>
          <w:color w:val="auto"/>
          <w:sz w:val="32"/>
          <w:szCs w:val="32"/>
        </w:rPr>
        <w:t>商务响应表</w:t>
      </w:r>
      <w:r>
        <w:rPr>
          <w:rFonts w:hint="eastAsia" w:ascii="仿宋" w:hAnsi="仿宋" w:eastAsia="仿宋"/>
          <w:color w:val="auto"/>
          <w:sz w:val="24"/>
        </w:rPr>
        <w:t>(格式</w:t>
      </w:r>
      <w:r>
        <w:rPr>
          <w:rFonts w:ascii="仿宋" w:hAnsi="仿宋" w:eastAsia="仿宋"/>
          <w:color w:val="auto"/>
          <w:sz w:val="24"/>
        </w:rPr>
        <w:t>)</w:t>
      </w:r>
    </w:p>
    <w:p w14:paraId="32256730">
      <w:pPr>
        <w:rPr>
          <w:rFonts w:hint="eastAsia"/>
          <w:color w:val="auto"/>
        </w:rPr>
      </w:pPr>
    </w:p>
    <w:p w14:paraId="03C0B4D8">
      <w:pPr>
        <w:rPr>
          <w:rFonts w:hint="eastAsia"/>
          <w:color w:val="auto"/>
        </w:rPr>
      </w:pPr>
    </w:p>
    <w:p w14:paraId="20A798A8">
      <w:pPr>
        <w:rPr>
          <w:color w:val="auto"/>
        </w:rPr>
      </w:pPr>
      <w:r>
        <w:rPr>
          <w:rFonts w:hint="eastAsia"/>
          <w:color w:val="auto"/>
        </w:rPr>
        <w:t>采购项目编号：</w:t>
      </w:r>
      <w:r>
        <w:rPr>
          <w:rFonts w:hint="eastAsia"/>
          <w:color w:val="auto"/>
          <w:u w:val="single"/>
        </w:rPr>
        <w:t xml:space="preserve">                 </w:t>
      </w:r>
    </w:p>
    <w:p w14:paraId="1A67A047">
      <w:pPr>
        <w:rPr>
          <w:rFonts w:hint="eastAsia"/>
          <w:color w:val="auto"/>
          <w:u w:val="single"/>
        </w:rPr>
      </w:pPr>
      <w:r>
        <w:rPr>
          <w:rFonts w:hint="eastAsia"/>
          <w:color w:val="auto"/>
        </w:rPr>
        <w:t>采购项目名称：</w:t>
      </w:r>
      <w:r>
        <w:rPr>
          <w:rFonts w:hint="eastAsia"/>
          <w:color w:val="auto"/>
          <w:u w:val="single"/>
        </w:rPr>
        <w:t xml:space="preserve">                 </w:t>
      </w:r>
    </w:p>
    <w:p w14:paraId="1FA2ABFC">
      <w:pPr>
        <w:rPr>
          <w:rFonts w:hint="eastAsia" w:ascii="仿宋" w:hAnsi="仿宋" w:eastAsia="仿宋"/>
          <w:color w:val="auto"/>
          <w:sz w:val="24"/>
        </w:rPr>
      </w:pPr>
      <w:r>
        <w:rPr>
          <w:rFonts w:hint="eastAsia"/>
          <w:color w:val="auto"/>
          <w:u w:val="none"/>
          <w:lang w:val="en-US" w:eastAsia="zh-CN"/>
        </w:rPr>
        <w:t>分标号：</w:t>
      </w:r>
      <w:r>
        <w:rPr>
          <w:rFonts w:hint="eastAsia"/>
          <w:color w:val="auto"/>
          <w:u w:val="single"/>
        </w:rPr>
        <w:t xml:space="preserve">                 </w:t>
      </w:r>
      <w:r>
        <w:rPr>
          <w:rFonts w:hint="eastAsia"/>
          <w:color w:val="auto"/>
          <w:u w:val="single"/>
          <w:lang w:val="en-US" w:eastAsia="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7C0CE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D6E4502">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344615ED">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2964500E">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504497E7">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是否响应</w:t>
            </w:r>
          </w:p>
        </w:tc>
      </w:tr>
      <w:tr w14:paraId="7B779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04C83B8F">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47D3E8E5">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39B24F33">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25FBCFE">
            <w:pPr>
              <w:snapToGrid w:val="0"/>
              <w:spacing w:before="156" w:beforeLines="50" w:line="360" w:lineRule="exact"/>
              <w:jc w:val="center"/>
              <w:rPr>
                <w:rFonts w:hint="eastAsia" w:ascii="宋体" w:hAnsi="宋体"/>
                <w:color w:val="auto"/>
                <w:szCs w:val="21"/>
              </w:rPr>
            </w:pPr>
          </w:p>
        </w:tc>
      </w:tr>
      <w:tr w14:paraId="5E349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210CE28">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0A78DFA7">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41453AB">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671B3346">
            <w:pPr>
              <w:snapToGrid w:val="0"/>
              <w:spacing w:before="156" w:beforeLines="50" w:line="360" w:lineRule="exact"/>
              <w:jc w:val="center"/>
              <w:rPr>
                <w:rFonts w:hint="eastAsia" w:ascii="宋体" w:hAnsi="宋体"/>
                <w:color w:val="auto"/>
                <w:szCs w:val="21"/>
              </w:rPr>
            </w:pPr>
          </w:p>
        </w:tc>
      </w:tr>
      <w:tr w14:paraId="4BD3F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69881FD6">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30376DC5">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7946B446">
            <w:pPr>
              <w:snapToGrid w:val="0"/>
              <w:spacing w:before="156" w:beforeLines="50" w:line="360" w:lineRule="exact"/>
              <w:ind w:left="43"/>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D06C2E3">
            <w:pPr>
              <w:snapToGrid w:val="0"/>
              <w:spacing w:before="156" w:beforeLines="50" w:line="360" w:lineRule="exact"/>
              <w:ind w:left="43"/>
              <w:jc w:val="center"/>
              <w:rPr>
                <w:rFonts w:hint="eastAsia" w:ascii="宋体" w:hAnsi="宋体"/>
                <w:color w:val="auto"/>
                <w:szCs w:val="21"/>
              </w:rPr>
            </w:pPr>
          </w:p>
        </w:tc>
      </w:tr>
      <w:tr w14:paraId="15B65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C269A3F">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354675C9">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91E0E73">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3E0F733B">
            <w:pPr>
              <w:snapToGrid w:val="0"/>
              <w:spacing w:before="156" w:beforeLines="50" w:line="360" w:lineRule="exact"/>
              <w:jc w:val="center"/>
              <w:rPr>
                <w:rFonts w:hint="eastAsia" w:ascii="宋体" w:hAnsi="宋体"/>
                <w:color w:val="auto"/>
                <w:szCs w:val="21"/>
              </w:rPr>
            </w:pPr>
          </w:p>
        </w:tc>
      </w:tr>
      <w:tr w14:paraId="36CA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9C5268A">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4034B07A">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2220194E">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F698EE3">
            <w:pPr>
              <w:snapToGrid w:val="0"/>
              <w:spacing w:before="156" w:beforeLines="50" w:line="360" w:lineRule="exact"/>
              <w:jc w:val="center"/>
              <w:rPr>
                <w:rFonts w:hint="eastAsia" w:ascii="宋体" w:hAnsi="宋体"/>
                <w:color w:val="auto"/>
                <w:szCs w:val="21"/>
              </w:rPr>
            </w:pPr>
          </w:p>
        </w:tc>
      </w:tr>
    </w:tbl>
    <w:p w14:paraId="60649D6B">
      <w:pPr>
        <w:tabs>
          <w:tab w:val="left" w:pos="3870"/>
          <w:tab w:val="left" w:pos="4085"/>
        </w:tabs>
        <w:snapToGrid w:val="0"/>
        <w:spacing w:line="400" w:lineRule="exact"/>
        <w:rPr>
          <w:rFonts w:hint="eastAsia" w:ascii="宋体" w:hAnsi="宋体"/>
          <w:b/>
          <w:color w:val="auto"/>
          <w:szCs w:val="21"/>
        </w:rPr>
      </w:pPr>
    </w:p>
    <w:p w14:paraId="194CD0DC">
      <w:pPr>
        <w:pStyle w:val="16"/>
        <w:spacing w:line="380" w:lineRule="exact"/>
        <w:rPr>
          <w:b w:val="0"/>
          <w:bCs w:val="0"/>
          <w:color w:val="auto"/>
          <w:sz w:val="21"/>
          <w:szCs w:val="21"/>
        </w:rPr>
      </w:pPr>
      <w:r>
        <w:rPr>
          <w:rFonts w:hint="eastAsia"/>
          <w:b w:val="0"/>
          <w:bCs w:val="0"/>
          <w:color w:val="auto"/>
          <w:sz w:val="21"/>
          <w:szCs w:val="21"/>
        </w:rPr>
        <w:t>注：应对照采购文件“第二章 项目需求”中的商务要求逐条作明确的竞标响应。</w:t>
      </w:r>
    </w:p>
    <w:p w14:paraId="794572CD">
      <w:pPr>
        <w:tabs>
          <w:tab w:val="left" w:pos="3870"/>
          <w:tab w:val="left" w:pos="4085"/>
        </w:tabs>
        <w:snapToGrid w:val="0"/>
        <w:spacing w:line="400" w:lineRule="exact"/>
        <w:rPr>
          <w:rFonts w:hint="eastAsia" w:ascii="宋体" w:hAnsi="宋体"/>
          <w:b/>
          <w:color w:val="auto"/>
          <w:szCs w:val="21"/>
        </w:rPr>
      </w:pPr>
    </w:p>
    <w:p w14:paraId="6E428F7D">
      <w:pPr>
        <w:snapToGrid w:val="0"/>
        <w:spacing w:before="50" w:after="50" w:line="350" w:lineRule="exact"/>
        <w:ind w:right="-817" w:rightChars="-389"/>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供应商（盖章）：</w:t>
      </w:r>
      <w:r>
        <w:rPr>
          <w:rFonts w:hint="eastAsia" w:ascii="宋体" w:hAnsi="宋体"/>
          <w:color w:val="auto"/>
          <w:szCs w:val="21"/>
          <w:u w:val="single"/>
        </w:rPr>
        <w:t xml:space="preserve">         </w:t>
      </w:r>
    </w:p>
    <w:p w14:paraId="7A7A201D">
      <w:pPr>
        <w:snapToGrid w:val="0"/>
        <w:spacing w:before="50" w:after="50" w:line="350" w:lineRule="exact"/>
        <w:ind w:right="-817" w:rightChars="-389"/>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日</w:t>
      </w:r>
    </w:p>
    <w:p w14:paraId="51987BDD">
      <w:pPr>
        <w:snapToGrid w:val="0"/>
        <w:spacing w:before="50" w:after="50" w:line="350" w:lineRule="exact"/>
        <w:ind w:right="-817" w:rightChars="-389"/>
        <w:rPr>
          <w:rFonts w:hint="eastAsia" w:ascii="宋体" w:hAnsi="宋体"/>
          <w:color w:val="auto"/>
          <w:szCs w:val="21"/>
        </w:rPr>
      </w:pPr>
    </w:p>
    <w:p w14:paraId="53E66B03">
      <w:pPr>
        <w:snapToGrid w:val="0"/>
        <w:spacing w:before="50" w:after="50" w:line="350" w:lineRule="exact"/>
        <w:ind w:right="-817" w:rightChars="-389"/>
        <w:rPr>
          <w:rFonts w:hint="eastAsia" w:ascii="宋体" w:hAnsi="宋体"/>
          <w:color w:val="auto"/>
          <w:szCs w:val="21"/>
        </w:rPr>
      </w:pPr>
    </w:p>
    <w:p w14:paraId="3C551844">
      <w:pPr>
        <w:snapToGrid w:val="0"/>
        <w:spacing w:before="50" w:after="50" w:line="350" w:lineRule="exact"/>
        <w:ind w:right="-817" w:rightChars="-389"/>
        <w:rPr>
          <w:rFonts w:hint="eastAsia" w:ascii="宋体" w:hAnsi="宋体"/>
          <w:color w:val="auto"/>
          <w:szCs w:val="21"/>
        </w:rPr>
      </w:pPr>
    </w:p>
    <w:p w14:paraId="3CA585B6">
      <w:pPr>
        <w:snapToGrid w:val="0"/>
        <w:spacing w:before="50" w:after="50" w:line="350" w:lineRule="exact"/>
        <w:ind w:right="-817" w:rightChars="-389"/>
        <w:rPr>
          <w:rFonts w:hint="eastAsia" w:ascii="宋体" w:hAnsi="宋体"/>
          <w:color w:val="auto"/>
          <w:szCs w:val="21"/>
        </w:rPr>
      </w:pPr>
    </w:p>
    <w:p w14:paraId="011CCF5D">
      <w:pPr>
        <w:snapToGrid w:val="0"/>
        <w:spacing w:before="50" w:after="50" w:line="350" w:lineRule="exact"/>
        <w:ind w:right="-817" w:rightChars="-389"/>
        <w:rPr>
          <w:rFonts w:hint="eastAsia" w:ascii="宋体" w:hAnsi="宋体"/>
          <w:color w:val="auto"/>
          <w:szCs w:val="21"/>
        </w:rPr>
      </w:pPr>
    </w:p>
    <w:p w14:paraId="27600494">
      <w:pPr>
        <w:snapToGrid w:val="0"/>
        <w:spacing w:before="50" w:after="50" w:line="350" w:lineRule="exact"/>
        <w:ind w:right="-817" w:rightChars="-389"/>
        <w:rPr>
          <w:rFonts w:hint="eastAsia" w:ascii="宋体" w:hAnsi="宋体"/>
          <w:color w:val="auto"/>
          <w:szCs w:val="21"/>
        </w:rPr>
      </w:pPr>
    </w:p>
    <w:p w14:paraId="6F711FB2">
      <w:pPr>
        <w:snapToGrid w:val="0"/>
        <w:spacing w:before="50" w:after="50" w:line="350" w:lineRule="exact"/>
        <w:ind w:right="-817" w:rightChars="-389"/>
        <w:rPr>
          <w:rFonts w:hint="eastAsia" w:ascii="宋体" w:hAnsi="宋体"/>
          <w:color w:val="auto"/>
          <w:szCs w:val="21"/>
        </w:rPr>
      </w:pPr>
    </w:p>
    <w:p w14:paraId="397EC156">
      <w:pPr>
        <w:snapToGrid w:val="0"/>
        <w:spacing w:before="50" w:after="50" w:line="350" w:lineRule="exact"/>
        <w:ind w:right="-817" w:rightChars="-389"/>
        <w:rPr>
          <w:rFonts w:hint="eastAsia" w:ascii="宋体" w:hAnsi="宋体"/>
          <w:color w:val="auto"/>
          <w:szCs w:val="21"/>
        </w:rPr>
      </w:pPr>
    </w:p>
    <w:p w14:paraId="65D84413">
      <w:pPr>
        <w:snapToGrid w:val="0"/>
        <w:spacing w:before="50" w:after="50" w:line="350" w:lineRule="exact"/>
        <w:ind w:right="-817" w:rightChars="-389"/>
        <w:rPr>
          <w:rFonts w:hint="eastAsia" w:ascii="宋体" w:hAnsi="宋体"/>
          <w:color w:val="auto"/>
          <w:szCs w:val="21"/>
        </w:rPr>
      </w:pPr>
    </w:p>
    <w:p w14:paraId="2DA4DB4A">
      <w:pPr>
        <w:snapToGrid w:val="0"/>
        <w:spacing w:before="50" w:after="50" w:line="350" w:lineRule="exact"/>
        <w:ind w:right="-817" w:rightChars="-389"/>
        <w:rPr>
          <w:rFonts w:hint="eastAsia" w:ascii="宋体" w:hAnsi="宋体"/>
          <w:color w:val="auto"/>
          <w:szCs w:val="21"/>
        </w:rPr>
      </w:pPr>
    </w:p>
    <w:p w14:paraId="10028D1A">
      <w:pPr>
        <w:snapToGrid w:val="0"/>
        <w:spacing w:before="50" w:after="50" w:line="350" w:lineRule="exact"/>
        <w:ind w:right="-817" w:rightChars="-389"/>
        <w:rPr>
          <w:rFonts w:hint="eastAsia" w:ascii="宋体" w:hAnsi="宋体"/>
          <w:color w:val="auto"/>
          <w:szCs w:val="21"/>
        </w:rPr>
      </w:pPr>
    </w:p>
    <w:p w14:paraId="19B19773">
      <w:pPr>
        <w:snapToGrid w:val="0"/>
        <w:spacing w:before="50" w:after="50" w:line="350" w:lineRule="exact"/>
        <w:ind w:right="-817" w:rightChars="-389"/>
        <w:rPr>
          <w:rFonts w:hint="eastAsia" w:ascii="宋体" w:hAnsi="宋体"/>
          <w:color w:val="auto"/>
          <w:szCs w:val="21"/>
        </w:rPr>
      </w:pPr>
    </w:p>
    <w:p w14:paraId="7D3BAAD8">
      <w:pPr>
        <w:snapToGrid w:val="0"/>
        <w:spacing w:before="50" w:after="50" w:line="350" w:lineRule="exact"/>
        <w:ind w:right="-817" w:rightChars="-389"/>
        <w:rPr>
          <w:rFonts w:hint="eastAsia" w:ascii="宋体" w:hAnsi="宋体"/>
          <w:color w:val="auto"/>
          <w:szCs w:val="21"/>
        </w:rPr>
      </w:pPr>
    </w:p>
    <w:p w14:paraId="12BED38B">
      <w:pPr>
        <w:snapToGrid w:val="0"/>
        <w:spacing w:before="50" w:after="50" w:line="350" w:lineRule="exact"/>
        <w:ind w:right="-817" w:rightChars="-389"/>
        <w:rPr>
          <w:rFonts w:hint="eastAsia" w:ascii="宋体" w:hAnsi="宋体"/>
          <w:color w:val="auto"/>
          <w:szCs w:val="21"/>
        </w:rPr>
      </w:pPr>
    </w:p>
    <w:p w14:paraId="56A90C09">
      <w:pPr>
        <w:snapToGrid w:val="0"/>
        <w:spacing w:before="50" w:after="50" w:line="350" w:lineRule="exact"/>
        <w:ind w:right="-817" w:rightChars="-389"/>
        <w:rPr>
          <w:rFonts w:hint="eastAsia" w:ascii="宋体" w:hAnsi="宋体"/>
          <w:color w:val="auto"/>
          <w:szCs w:val="21"/>
        </w:rPr>
      </w:pPr>
    </w:p>
    <w:p w14:paraId="5CD714B8">
      <w:pPr>
        <w:snapToGrid w:val="0"/>
        <w:spacing w:before="50" w:after="50" w:line="350" w:lineRule="exact"/>
        <w:ind w:right="-817" w:rightChars="-389"/>
        <w:rPr>
          <w:rFonts w:hint="eastAsia" w:ascii="宋体" w:hAnsi="宋体"/>
          <w:color w:val="auto"/>
          <w:szCs w:val="21"/>
        </w:rPr>
      </w:pPr>
    </w:p>
    <w:p w14:paraId="4ACE9F9D">
      <w:pPr>
        <w:snapToGrid w:val="0"/>
        <w:spacing w:before="50" w:after="50" w:line="350" w:lineRule="exact"/>
        <w:ind w:right="-817" w:rightChars="-389"/>
        <w:rPr>
          <w:rFonts w:hint="eastAsia" w:ascii="宋体" w:hAnsi="宋体"/>
          <w:color w:val="auto"/>
          <w:szCs w:val="21"/>
        </w:rPr>
      </w:pPr>
    </w:p>
    <w:p w14:paraId="0B5054C8">
      <w:pPr>
        <w:snapToGrid w:val="0"/>
        <w:spacing w:before="50" w:after="50" w:line="350" w:lineRule="exact"/>
        <w:ind w:right="-817" w:rightChars="-389"/>
        <w:rPr>
          <w:rFonts w:hint="eastAsia" w:ascii="宋体" w:hAnsi="宋体"/>
          <w:color w:val="auto"/>
          <w:szCs w:val="21"/>
        </w:rPr>
      </w:pPr>
    </w:p>
    <w:p w14:paraId="536CCDF0">
      <w:pPr>
        <w:pStyle w:val="21"/>
        <w:spacing w:line="440" w:lineRule="exact"/>
        <w:ind w:firstLine="840"/>
        <w:jc w:val="center"/>
        <w:rPr>
          <w:rFonts w:hint="eastAsia" w:ascii="仿宋" w:hAnsi="仿宋" w:eastAsia="仿宋"/>
          <w:color w:val="auto"/>
        </w:rPr>
      </w:pPr>
      <w:r>
        <w:rPr>
          <w:rFonts w:hint="eastAsia" w:ascii="仿宋" w:hAnsi="仿宋" w:eastAsia="仿宋" w:cs="黑体"/>
          <w:b/>
          <w:color w:val="auto"/>
          <w:sz w:val="32"/>
          <w:szCs w:val="32"/>
        </w:rPr>
        <w:t>技术响应表</w:t>
      </w:r>
      <w:r>
        <w:rPr>
          <w:rFonts w:hint="eastAsia" w:ascii="仿宋" w:hAnsi="仿宋" w:eastAsia="仿宋"/>
          <w:color w:val="auto"/>
          <w:sz w:val="24"/>
          <w:szCs w:val="24"/>
        </w:rPr>
        <w:t>(格式</w:t>
      </w:r>
      <w:r>
        <w:rPr>
          <w:rFonts w:ascii="仿宋" w:hAnsi="仿宋" w:eastAsia="仿宋"/>
          <w:color w:val="auto"/>
          <w:sz w:val="24"/>
          <w:szCs w:val="24"/>
        </w:rPr>
        <w:t>)</w:t>
      </w:r>
    </w:p>
    <w:p w14:paraId="06D5771F">
      <w:pPr>
        <w:rPr>
          <w:color w:val="auto"/>
        </w:rPr>
      </w:pPr>
    </w:p>
    <w:p w14:paraId="46F2257E">
      <w:pPr>
        <w:rPr>
          <w:color w:val="auto"/>
        </w:rPr>
      </w:pPr>
      <w:r>
        <w:rPr>
          <w:rFonts w:hint="eastAsia"/>
          <w:color w:val="auto"/>
        </w:rPr>
        <w:t>采购项目编号：</w:t>
      </w:r>
      <w:r>
        <w:rPr>
          <w:rFonts w:hint="eastAsia"/>
          <w:color w:val="auto"/>
          <w:u w:val="single"/>
        </w:rPr>
        <w:t xml:space="preserve">                 </w:t>
      </w:r>
    </w:p>
    <w:p w14:paraId="66B0625F">
      <w:pPr>
        <w:rPr>
          <w:rFonts w:hint="eastAsia"/>
          <w:color w:val="auto"/>
          <w:u w:val="single"/>
        </w:rPr>
      </w:pPr>
      <w:r>
        <w:rPr>
          <w:rFonts w:hint="eastAsia"/>
          <w:color w:val="auto"/>
        </w:rPr>
        <w:t>采购项目名称：</w:t>
      </w:r>
      <w:r>
        <w:rPr>
          <w:rFonts w:hint="eastAsia"/>
          <w:color w:val="auto"/>
          <w:u w:val="single"/>
        </w:rPr>
        <w:t xml:space="preserve">                 </w:t>
      </w:r>
    </w:p>
    <w:p w14:paraId="05E7E202">
      <w:pPr>
        <w:rPr>
          <w:rFonts w:hint="default" w:eastAsia="宋体"/>
          <w:color w:val="auto"/>
          <w:u w:val="single"/>
          <w:lang w:val="en-US" w:eastAsia="zh-CN"/>
        </w:rPr>
      </w:pPr>
      <w:r>
        <w:rPr>
          <w:rFonts w:hint="eastAsia"/>
          <w:color w:val="auto"/>
          <w:u w:val="none"/>
          <w:lang w:val="en-US" w:eastAsia="zh-CN"/>
        </w:rPr>
        <w:t>分标号：</w:t>
      </w:r>
      <w:r>
        <w:rPr>
          <w:rFonts w:hint="eastAsia"/>
          <w:color w:val="auto"/>
          <w:u w:val="single"/>
        </w:rPr>
        <w:t xml:space="preserve">                 </w:t>
      </w:r>
      <w:r>
        <w:rPr>
          <w:rFonts w:hint="eastAsia"/>
          <w:color w:val="auto"/>
          <w:u w:val="single"/>
          <w:lang w:val="en-US" w:eastAsia="zh-CN"/>
        </w:rPr>
        <w:t xml:space="preserve">      </w:t>
      </w:r>
    </w:p>
    <w:p w14:paraId="783A142E">
      <w:pPr>
        <w:rPr>
          <w:rFonts w:hint="default" w:eastAsia="宋体"/>
          <w:color w:val="auto"/>
          <w:u w:val="single"/>
          <w:lang w:val="en-US" w:eastAsia="zh-CN"/>
        </w:rPr>
      </w:pPr>
    </w:p>
    <w:tbl>
      <w:tblPr>
        <w:tblStyle w:val="37"/>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119DDD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030AAAC8">
            <w:pPr>
              <w:jc w:val="center"/>
              <w:rPr>
                <w:color w:val="auto"/>
              </w:rPr>
            </w:pPr>
            <w:r>
              <w:rPr>
                <w:rFonts w:hint="eastAsia"/>
                <w:color w:val="auto"/>
              </w:rPr>
              <w:t>序号</w:t>
            </w:r>
          </w:p>
        </w:tc>
        <w:tc>
          <w:tcPr>
            <w:tcW w:w="1480" w:type="dxa"/>
            <w:vAlign w:val="center"/>
          </w:tcPr>
          <w:p w14:paraId="5341D5E0">
            <w:pPr>
              <w:jc w:val="center"/>
              <w:rPr>
                <w:color w:val="auto"/>
              </w:rPr>
            </w:pPr>
            <w:r>
              <w:rPr>
                <w:rFonts w:hint="eastAsia"/>
                <w:color w:val="auto"/>
              </w:rPr>
              <w:t>标的名称</w:t>
            </w:r>
          </w:p>
        </w:tc>
        <w:tc>
          <w:tcPr>
            <w:tcW w:w="2835" w:type="dxa"/>
            <w:vAlign w:val="center"/>
          </w:tcPr>
          <w:p w14:paraId="53F9708D">
            <w:pPr>
              <w:jc w:val="center"/>
              <w:rPr>
                <w:color w:val="auto"/>
              </w:rPr>
            </w:pPr>
            <w:r>
              <w:rPr>
                <w:rFonts w:hint="eastAsia"/>
                <w:color w:val="auto"/>
              </w:rPr>
              <w:t>竞争性谈判采购文件要求</w:t>
            </w:r>
          </w:p>
        </w:tc>
        <w:tc>
          <w:tcPr>
            <w:tcW w:w="2268" w:type="dxa"/>
            <w:vAlign w:val="center"/>
          </w:tcPr>
          <w:p w14:paraId="33BCB1F0">
            <w:pPr>
              <w:jc w:val="center"/>
              <w:rPr>
                <w:color w:val="auto"/>
              </w:rPr>
            </w:pPr>
            <w:r>
              <w:rPr>
                <w:rFonts w:hint="eastAsia"/>
                <w:color w:val="auto"/>
              </w:rPr>
              <w:t>响应文件具体响应</w:t>
            </w:r>
          </w:p>
        </w:tc>
        <w:tc>
          <w:tcPr>
            <w:tcW w:w="1418" w:type="dxa"/>
            <w:vAlign w:val="center"/>
          </w:tcPr>
          <w:p w14:paraId="6D938C3D">
            <w:pPr>
              <w:jc w:val="center"/>
              <w:rPr>
                <w:color w:val="auto"/>
              </w:rPr>
            </w:pPr>
            <w:r>
              <w:rPr>
                <w:rFonts w:hint="eastAsia"/>
                <w:color w:val="auto"/>
              </w:rPr>
              <w:t>响应/偏离</w:t>
            </w:r>
          </w:p>
        </w:tc>
        <w:tc>
          <w:tcPr>
            <w:tcW w:w="709" w:type="dxa"/>
            <w:vAlign w:val="center"/>
          </w:tcPr>
          <w:p w14:paraId="61E37847">
            <w:pPr>
              <w:jc w:val="center"/>
              <w:rPr>
                <w:color w:val="auto"/>
              </w:rPr>
            </w:pPr>
            <w:r>
              <w:rPr>
                <w:rFonts w:hint="eastAsia"/>
                <w:color w:val="auto"/>
              </w:rPr>
              <w:t>说明</w:t>
            </w:r>
          </w:p>
        </w:tc>
      </w:tr>
      <w:tr w14:paraId="760F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373747E">
            <w:pPr>
              <w:jc w:val="center"/>
              <w:rPr>
                <w:color w:val="auto"/>
              </w:rPr>
            </w:pPr>
            <w:r>
              <w:rPr>
                <w:rFonts w:hint="eastAsia"/>
                <w:color w:val="auto"/>
              </w:rPr>
              <w:t>1</w:t>
            </w:r>
          </w:p>
        </w:tc>
        <w:tc>
          <w:tcPr>
            <w:tcW w:w="1480" w:type="dxa"/>
            <w:vAlign w:val="center"/>
          </w:tcPr>
          <w:p w14:paraId="1DAB651F">
            <w:pPr>
              <w:rPr>
                <w:color w:val="auto"/>
              </w:rPr>
            </w:pPr>
          </w:p>
        </w:tc>
        <w:tc>
          <w:tcPr>
            <w:tcW w:w="2835" w:type="dxa"/>
            <w:vAlign w:val="center"/>
          </w:tcPr>
          <w:p w14:paraId="586F4F59">
            <w:pPr>
              <w:rPr>
                <w:color w:val="auto"/>
              </w:rPr>
            </w:pPr>
          </w:p>
        </w:tc>
        <w:tc>
          <w:tcPr>
            <w:tcW w:w="2268" w:type="dxa"/>
            <w:vAlign w:val="center"/>
          </w:tcPr>
          <w:p w14:paraId="05E36031">
            <w:pPr>
              <w:rPr>
                <w:color w:val="auto"/>
              </w:rPr>
            </w:pPr>
          </w:p>
        </w:tc>
        <w:tc>
          <w:tcPr>
            <w:tcW w:w="1418" w:type="dxa"/>
            <w:vAlign w:val="center"/>
          </w:tcPr>
          <w:p w14:paraId="2421DF20">
            <w:pPr>
              <w:rPr>
                <w:color w:val="auto"/>
              </w:rPr>
            </w:pPr>
          </w:p>
        </w:tc>
        <w:tc>
          <w:tcPr>
            <w:tcW w:w="709" w:type="dxa"/>
            <w:vAlign w:val="center"/>
          </w:tcPr>
          <w:p w14:paraId="205A5CD2">
            <w:pPr>
              <w:rPr>
                <w:color w:val="auto"/>
              </w:rPr>
            </w:pPr>
          </w:p>
        </w:tc>
      </w:tr>
      <w:tr w14:paraId="7743F1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042D2CF">
            <w:pPr>
              <w:jc w:val="center"/>
              <w:rPr>
                <w:color w:val="auto"/>
              </w:rPr>
            </w:pPr>
            <w:r>
              <w:rPr>
                <w:rFonts w:hint="eastAsia"/>
                <w:color w:val="auto"/>
              </w:rPr>
              <w:t>2</w:t>
            </w:r>
          </w:p>
        </w:tc>
        <w:tc>
          <w:tcPr>
            <w:tcW w:w="1480" w:type="dxa"/>
            <w:vAlign w:val="center"/>
          </w:tcPr>
          <w:p w14:paraId="672371AE">
            <w:pPr>
              <w:rPr>
                <w:color w:val="auto"/>
              </w:rPr>
            </w:pPr>
          </w:p>
        </w:tc>
        <w:tc>
          <w:tcPr>
            <w:tcW w:w="2835" w:type="dxa"/>
            <w:vAlign w:val="center"/>
          </w:tcPr>
          <w:p w14:paraId="6320FCA1">
            <w:pPr>
              <w:rPr>
                <w:color w:val="auto"/>
              </w:rPr>
            </w:pPr>
          </w:p>
        </w:tc>
        <w:tc>
          <w:tcPr>
            <w:tcW w:w="2268" w:type="dxa"/>
            <w:vAlign w:val="center"/>
          </w:tcPr>
          <w:p w14:paraId="3B14D918">
            <w:pPr>
              <w:rPr>
                <w:color w:val="auto"/>
              </w:rPr>
            </w:pPr>
          </w:p>
        </w:tc>
        <w:tc>
          <w:tcPr>
            <w:tcW w:w="1418" w:type="dxa"/>
            <w:vAlign w:val="center"/>
          </w:tcPr>
          <w:p w14:paraId="3869CF5A">
            <w:pPr>
              <w:rPr>
                <w:color w:val="auto"/>
              </w:rPr>
            </w:pPr>
          </w:p>
        </w:tc>
        <w:tc>
          <w:tcPr>
            <w:tcW w:w="709" w:type="dxa"/>
            <w:vAlign w:val="center"/>
          </w:tcPr>
          <w:p w14:paraId="39732E53">
            <w:pPr>
              <w:rPr>
                <w:color w:val="auto"/>
              </w:rPr>
            </w:pPr>
          </w:p>
        </w:tc>
      </w:tr>
      <w:tr w14:paraId="0DAAF7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B77E5E2">
            <w:pPr>
              <w:jc w:val="center"/>
              <w:rPr>
                <w:color w:val="auto"/>
              </w:rPr>
            </w:pPr>
            <w:r>
              <w:rPr>
                <w:rFonts w:hint="eastAsia"/>
                <w:color w:val="auto"/>
              </w:rPr>
              <w:t>3</w:t>
            </w:r>
          </w:p>
        </w:tc>
        <w:tc>
          <w:tcPr>
            <w:tcW w:w="1480" w:type="dxa"/>
            <w:vAlign w:val="center"/>
          </w:tcPr>
          <w:p w14:paraId="12C29516">
            <w:pPr>
              <w:rPr>
                <w:color w:val="auto"/>
              </w:rPr>
            </w:pPr>
          </w:p>
        </w:tc>
        <w:tc>
          <w:tcPr>
            <w:tcW w:w="2835" w:type="dxa"/>
            <w:vAlign w:val="center"/>
          </w:tcPr>
          <w:p w14:paraId="46DF37E6">
            <w:pPr>
              <w:rPr>
                <w:color w:val="auto"/>
              </w:rPr>
            </w:pPr>
          </w:p>
        </w:tc>
        <w:tc>
          <w:tcPr>
            <w:tcW w:w="2268" w:type="dxa"/>
            <w:vAlign w:val="center"/>
          </w:tcPr>
          <w:p w14:paraId="43524DA1">
            <w:pPr>
              <w:rPr>
                <w:color w:val="auto"/>
              </w:rPr>
            </w:pPr>
          </w:p>
        </w:tc>
        <w:tc>
          <w:tcPr>
            <w:tcW w:w="1418" w:type="dxa"/>
            <w:vAlign w:val="center"/>
          </w:tcPr>
          <w:p w14:paraId="2AEB1ADE">
            <w:pPr>
              <w:rPr>
                <w:color w:val="auto"/>
              </w:rPr>
            </w:pPr>
          </w:p>
        </w:tc>
        <w:tc>
          <w:tcPr>
            <w:tcW w:w="709" w:type="dxa"/>
            <w:vAlign w:val="center"/>
          </w:tcPr>
          <w:p w14:paraId="057C62E6">
            <w:pPr>
              <w:rPr>
                <w:color w:val="auto"/>
              </w:rPr>
            </w:pPr>
          </w:p>
        </w:tc>
      </w:tr>
      <w:tr w14:paraId="36E002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F1EBC8B">
            <w:pPr>
              <w:jc w:val="center"/>
              <w:rPr>
                <w:color w:val="auto"/>
              </w:rPr>
            </w:pPr>
            <w:r>
              <w:rPr>
                <w:rFonts w:hint="eastAsia"/>
                <w:color w:val="auto"/>
              </w:rPr>
              <w:t>4</w:t>
            </w:r>
          </w:p>
        </w:tc>
        <w:tc>
          <w:tcPr>
            <w:tcW w:w="1480" w:type="dxa"/>
            <w:vAlign w:val="center"/>
          </w:tcPr>
          <w:p w14:paraId="6D850639">
            <w:pPr>
              <w:rPr>
                <w:color w:val="auto"/>
              </w:rPr>
            </w:pPr>
          </w:p>
        </w:tc>
        <w:tc>
          <w:tcPr>
            <w:tcW w:w="2835" w:type="dxa"/>
            <w:vAlign w:val="center"/>
          </w:tcPr>
          <w:p w14:paraId="22A20A9C">
            <w:pPr>
              <w:rPr>
                <w:color w:val="auto"/>
              </w:rPr>
            </w:pPr>
          </w:p>
        </w:tc>
        <w:tc>
          <w:tcPr>
            <w:tcW w:w="2268" w:type="dxa"/>
            <w:vAlign w:val="center"/>
          </w:tcPr>
          <w:p w14:paraId="51687F65">
            <w:pPr>
              <w:rPr>
                <w:color w:val="auto"/>
              </w:rPr>
            </w:pPr>
          </w:p>
        </w:tc>
        <w:tc>
          <w:tcPr>
            <w:tcW w:w="1418" w:type="dxa"/>
            <w:vAlign w:val="center"/>
          </w:tcPr>
          <w:p w14:paraId="00D3C2F7">
            <w:pPr>
              <w:rPr>
                <w:color w:val="auto"/>
              </w:rPr>
            </w:pPr>
          </w:p>
        </w:tc>
        <w:tc>
          <w:tcPr>
            <w:tcW w:w="709" w:type="dxa"/>
            <w:vAlign w:val="center"/>
          </w:tcPr>
          <w:p w14:paraId="40E27110">
            <w:pPr>
              <w:rPr>
                <w:color w:val="auto"/>
              </w:rPr>
            </w:pPr>
          </w:p>
        </w:tc>
      </w:tr>
      <w:tr w14:paraId="7DF987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F069B38">
            <w:pPr>
              <w:jc w:val="center"/>
              <w:rPr>
                <w:color w:val="auto"/>
              </w:rPr>
            </w:pPr>
            <w:r>
              <w:rPr>
                <w:rFonts w:hint="eastAsia"/>
                <w:color w:val="auto"/>
              </w:rPr>
              <w:t>5</w:t>
            </w:r>
          </w:p>
        </w:tc>
        <w:tc>
          <w:tcPr>
            <w:tcW w:w="1480" w:type="dxa"/>
            <w:vAlign w:val="center"/>
          </w:tcPr>
          <w:p w14:paraId="1E4D3D36">
            <w:pPr>
              <w:rPr>
                <w:color w:val="auto"/>
              </w:rPr>
            </w:pPr>
          </w:p>
        </w:tc>
        <w:tc>
          <w:tcPr>
            <w:tcW w:w="2835" w:type="dxa"/>
            <w:vAlign w:val="center"/>
          </w:tcPr>
          <w:p w14:paraId="6EBFA0D4">
            <w:pPr>
              <w:rPr>
                <w:color w:val="auto"/>
              </w:rPr>
            </w:pPr>
          </w:p>
        </w:tc>
        <w:tc>
          <w:tcPr>
            <w:tcW w:w="2268" w:type="dxa"/>
            <w:vAlign w:val="center"/>
          </w:tcPr>
          <w:p w14:paraId="1C9A5631">
            <w:pPr>
              <w:rPr>
                <w:color w:val="auto"/>
              </w:rPr>
            </w:pPr>
          </w:p>
        </w:tc>
        <w:tc>
          <w:tcPr>
            <w:tcW w:w="1418" w:type="dxa"/>
            <w:vAlign w:val="center"/>
          </w:tcPr>
          <w:p w14:paraId="3548A75D">
            <w:pPr>
              <w:rPr>
                <w:color w:val="auto"/>
              </w:rPr>
            </w:pPr>
          </w:p>
        </w:tc>
        <w:tc>
          <w:tcPr>
            <w:tcW w:w="709" w:type="dxa"/>
            <w:vAlign w:val="center"/>
          </w:tcPr>
          <w:p w14:paraId="146FFD10">
            <w:pPr>
              <w:rPr>
                <w:color w:val="auto"/>
              </w:rPr>
            </w:pPr>
          </w:p>
        </w:tc>
      </w:tr>
      <w:tr w14:paraId="24FE88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5A4CD91D">
            <w:pPr>
              <w:jc w:val="center"/>
              <w:rPr>
                <w:color w:val="auto"/>
              </w:rPr>
            </w:pPr>
            <w:r>
              <w:rPr>
                <w:rFonts w:hint="eastAsia"/>
                <w:color w:val="auto"/>
              </w:rPr>
              <w:t>…</w:t>
            </w:r>
          </w:p>
        </w:tc>
        <w:tc>
          <w:tcPr>
            <w:tcW w:w="1480" w:type="dxa"/>
            <w:vAlign w:val="center"/>
          </w:tcPr>
          <w:p w14:paraId="5615759F">
            <w:pPr>
              <w:rPr>
                <w:color w:val="auto"/>
              </w:rPr>
            </w:pPr>
          </w:p>
        </w:tc>
        <w:tc>
          <w:tcPr>
            <w:tcW w:w="2835" w:type="dxa"/>
            <w:vAlign w:val="center"/>
          </w:tcPr>
          <w:p w14:paraId="31D718B2">
            <w:pPr>
              <w:rPr>
                <w:color w:val="auto"/>
              </w:rPr>
            </w:pPr>
          </w:p>
        </w:tc>
        <w:tc>
          <w:tcPr>
            <w:tcW w:w="2268" w:type="dxa"/>
            <w:vAlign w:val="center"/>
          </w:tcPr>
          <w:p w14:paraId="1256B01B">
            <w:pPr>
              <w:rPr>
                <w:color w:val="auto"/>
              </w:rPr>
            </w:pPr>
          </w:p>
        </w:tc>
        <w:tc>
          <w:tcPr>
            <w:tcW w:w="1418" w:type="dxa"/>
            <w:tcBorders>
              <w:right w:val="single" w:color="auto" w:sz="4" w:space="0"/>
            </w:tcBorders>
            <w:vAlign w:val="center"/>
          </w:tcPr>
          <w:p w14:paraId="674E3654">
            <w:pPr>
              <w:rPr>
                <w:color w:val="auto"/>
              </w:rPr>
            </w:pPr>
          </w:p>
        </w:tc>
        <w:tc>
          <w:tcPr>
            <w:tcW w:w="709" w:type="dxa"/>
            <w:tcBorders>
              <w:left w:val="single" w:color="auto" w:sz="4" w:space="0"/>
            </w:tcBorders>
            <w:vAlign w:val="center"/>
          </w:tcPr>
          <w:p w14:paraId="1045BDF1">
            <w:pPr>
              <w:rPr>
                <w:color w:val="auto"/>
              </w:rPr>
            </w:pPr>
          </w:p>
        </w:tc>
      </w:tr>
    </w:tbl>
    <w:p w14:paraId="18F2F719">
      <w:pPr>
        <w:pStyle w:val="18"/>
        <w:spacing w:line="300" w:lineRule="auto"/>
        <w:ind w:firstLine="105" w:firstLineChars="50"/>
        <w:rPr>
          <w:rFonts w:hint="eastAsia" w:ascii="宋体" w:hAnsi="宋体" w:eastAsia="宋体"/>
          <w:color w:val="auto"/>
          <w:sz w:val="21"/>
          <w:szCs w:val="21"/>
        </w:rPr>
      </w:pPr>
      <w:r>
        <w:rPr>
          <w:rFonts w:hint="eastAsia" w:ascii="宋体" w:hAnsi="宋体" w:eastAsia="宋体"/>
          <w:color w:val="auto"/>
          <w:sz w:val="21"/>
          <w:szCs w:val="21"/>
        </w:rPr>
        <w:t>注：供应商须对照竞争性谈判采购文件第二章《项目需求》，逐条说明所提供货物和服务对项目需求中货物的</w:t>
      </w:r>
      <w:bookmarkStart w:id="124" w:name="_Hlk92703260"/>
      <w:r>
        <w:rPr>
          <w:rFonts w:hint="eastAsia" w:ascii="宋体" w:hAnsi="宋体" w:eastAsia="宋体"/>
          <w:color w:val="auto"/>
          <w:sz w:val="21"/>
          <w:szCs w:val="21"/>
        </w:rPr>
        <w:t>技术参数及其性能（规格）</w:t>
      </w:r>
      <w:bookmarkEnd w:id="124"/>
      <w:r>
        <w:rPr>
          <w:rFonts w:hint="eastAsia" w:ascii="宋体" w:hAnsi="宋体" w:eastAsia="宋体"/>
          <w:color w:val="auto"/>
          <w:sz w:val="21"/>
          <w:szCs w:val="21"/>
        </w:rPr>
        <w:t>及服务要求作出的响应，并申明偏离情况。对有具体参数要求的指标，供应商须提供所供设备的具体技术参数及其性能（规格）。</w:t>
      </w:r>
    </w:p>
    <w:p w14:paraId="091F2373">
      <w:pPr>
        <w:pStyle w:val="18"/>
        <w:spacing w:line="300" w:lineRule="auto"/>
        <w:ind w:firstLine="0" w:firstLineChars="0"/>
        <w:rPr>
          <w:rFonts w:hint="eastAsia" w:ascii="宋体" w:hAnsi="宋体" w:eastAsia="宋体"/>
          <w:color w:val="auto"/>
          <w:sz w:val="21"/>
          <w:szCs w:val="21"/>
        </w:rPr>
      </w:pPr>
    </w:p>
    <w:p w14:paraId="21B9B746">
      <w:pPr>
        <w:pStyle w:val="21"/>
        <w:spacing w:line="300" w:lineRule="auto"/>
        <w:rPr>
          <w:rFonts w:hint="eastAsia" w:hAnsi="宋体"/>
          <w:color w:val="auto"/>
        </w:rPr>
      </w:pPr>
    </w:p>
    <w:p w14:paraId="651198B3">
      <w:pPr>
        <w:pStyle w:val="21"/>
        <w:spacing w:line="300" w:lineRule="auto"/>
        <w:ind w:firstLine="5880" w:firstLineChars="2800"/>
        <w:rPr>
          <w:rFonts w:hint="eastAsia" w:hAnsi="宋体"/>
          <w:color w:val="auto"/>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7298B1E1">
      <w:pPr>
        <w:pStyle w:val="21"/>
        <w:spacing w:line="300" w:lineRule="auto"/>
        <w:ind w:firstLine="5880" w:firstLineChars="2800"/>
        <w:rPr>
          <w:rFonts w:hint="eastAsia" w:hAnsi="宋体"/>
          <w:color w:val="auto"/>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bookmarkEnd w:id="41"/>
    <w:bookmarkEnd w:id="42"/>
    <w:bookmarkEnd w:id="43"/>
    <w:bookmarkEnd w:id="44"/>
    <w:p w14:paraId="700FD585">
      <w:pPr>
        <w:rPr>
          <w:color w:val="auto"/>
        </w:rPr>
      </w:pPr>
    </w:p>
    <w:p w14:paraId="1C870BDD">
      <w:pPr>
        <w:rPr>
          <w:color w:val="auto"/>
        </w:rPr>
      </w:pPr>
    </w:p>
    <w:p w14:paraId="66E53B2C">
      <w:pPr>
        <w:rPr>
          <w:color w:val="auto"/>
        </w:rPr>
      </w:pPr>
    </w:p>
    <w:p w14:paraId="75A0E0E9">
      <w:pPr>
        <w:rPr>
          <w:color w:val="auto"/>
        </w:rPr>
      </w:pPr>
    </w:p>
    <w:p w14:paraId="65D4CB42">
      <w:pPr>
        <w:rPr>
          <w:color w:val="auto"/>
        </w:rPr>
      </w:pPr>
    </w:p>
    <w:p w14:paraId="31C56CA7">
      <w:pPr>
        <w:rPr>
          <w:color w:val="auto"/>
        </w:rPr>
      </w:pPr>
    </w:p>
    <w:p w14:paraId="3EC73AAE">
      <w:pPr>
        <w:rPr>
          <w:color w:val="auto"/>
        </w:rPr>
      </w:pPr>
    </w:p>
    <w:p w14:paraId="2B939753">
      <w:pPr>
        <w:rPr>
          <w:color w:val="auto"/>
        </w:rPr>
      </w:pPr>
    </w:p>
    <w:p w14:paraId="0F0C4874">
      <w:pPr>
        <w:rPr>
          <w:color w:val="auto"/>
        </w:rPr>
      </w:pPr>
    </w:p>
    <w:p w14:paraId="4DB68055">
      <w:pPr>
        <w:rPr>
          <w:color w:val="auto"/>
        </w:rPr>
      </w:pPr>
    </w:p>
    <w:p w14:paraId="340C57D4">
      <w:pPr>
        <w:rPr>
          <w:color w:val="auto"/>
        </w:rPr>
      </w:pPr>
    </w:p>
    <w:p w14:paraId="17D37557">
      <w:pPr>
        <w:rPr>
          <w:color w:val="auto"/>
        </w:rPr>
      </w:pPr>
    </w:p>
    <w:p w14:paraId="62FA8BA2">
      <w:pPr>
        <w:rPr>
          <w:color w:val="auto"/>
        </w:rPr>
      </w:pPr>
    </w:p>
    <w:p w14:paraId="22A0C04F">
      <w:pPr>
        <w:rPr>
          <w:color w:val="auto"/>
        </w:rPr>
      </w:pPr>
    </w:p>
    <w:p w14:paraId="44E7FDF5">
      <w:pPr>
        <w:rPr>
          <w:color w:val="auto"/>
        </w:rPr>
      </w:pPr>
    </w:p>
    <w:p w14:paraId="31706746">
      <w:pPr>
        <w:rPr>
          <w:color w:val="auto"/>
        </w:rPr>
      </w:pPr>
    </w:p>
    <w:p w14:paraId="6255DF63">
      <w:pPr>
        <w:rPr>
          <w:color w:val="auto"/>
        </w:rPr>
      </w:pPr>
    </w:p>
    <w:p w14:paraId="150B470B">
      <w:pPr>
        <w:rPr>
          <w:color w:val="auto"/>
        </w:rPr>
      </w:pPr>
    </w:p>
    <w:p w14:paraId="62DC9E62">
      <w:pPr>
        <w:spacing w:line="440" w:lineRule="exact"/>
        <w:ind w:left="420" w:hanging="420"/>
        <w:jc w:val="center"/>
        <w:rPr>
          <w:rFonts w:hint="eastAsia" w:ascii="仿宋" w:hAnsi="仿宋" w:eastAsia="仿宋"/>
          <w:b/>
          <w:color w:val="auto"/>
          <w:sz w:val="32"/>
          <w:szCs w:val="32"/>
        </w:rPr>
      </w:pPr>
      <w:bookmarkStart w:id="125" w:name="_Hlk94194102"/>
      <w:r>
        <w:rPr>
          <w:rFonts w:hint="eastAsia" w:ascii="仿宋" w:hAnsi="仿宋" w:eastAsia="仿宋"/>
          <w:b/>
          <w:color w:val="auto"/>
          <w:sz w:val="32"/>
          <w:szCs w:val="32"/>
        </w:rPr>
        <w:t>中小企业声明函</w:t>
      </w:r>
      <w:r>
        <w:rPr>
          <w:rFonts w:hint="eastAsia" w:ascii="仿宋" w:hAnsi="仿宋" w:eastAsia="仿宋"/>
          <w:color w:val="auto"/>
          <w:sz w:val="24"/>
        </w:rPr>
        <w:t>(格式</w:t>
      </w:r>
      <w:r>
        <w:rPr>
          <w:rFonts w:ascii="仿宋" w:hAnsi="仿宋" w:eastAsia="仿宋"/>
          <w:color w:val="auto"/>
          <w:sz w:val="24"/>
        </w:rPr>
        <w:t>)</w:t>
      </w:r>
    </w:p>
    <w:p w14:paraId="7768B74A">
      <w:pPr>
        <w:rPr>
          <w:color w:val="auto"/>
        </w:rPr>
      </w:pPr>
    </w:p>
    <w:p w14:paraId="6449E47A">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本公司郑重声明，根据</w:t>
      </w:r>
      <w:bookmarkStart w:id="126" w:name="_Hlk82091685"/>
      <w:r>
        <w:rPr>
          <w:rFonts w:ascii="宋体" w:hAnsi="宋体"/>
          <w:bCs/>
          <w:color w:val="auto"/>
          <w:szCs w:val="21"/>
        </w:rPr>
        <w:fldChar w:fldCharType="begin"/>
      </w:r>
      <w:r>
        <w:rPr>
          <w:rFonts w:ascii="宋体" w:hAnsi="宋体"/>
          <w:bCs/>
          <w:color w:val="auto"/>
          <w:szCs w:val="21"/>
        </w:rPr>
        <w:instrText xml:space="preserve"> </w:instrText>
      </w:r>
      <w:r>
        <w:rPr>
          <w:rFonts w:hint="eastAsia" w:ascii="宋体" w:hAnsi="宋体"/>
          <w:bCs/>
          <w:color w:val="auto"/>
          <w:szCs w:val="21"/>
        </w:rPr>
        <w:instrText xml:space="preserve">HYPERLINK "http://www.gov.cn/zhengce/zhengceku/2020-12/29/content_5574611.htm"</w:instrText>
      </w:r>
      <w:r>
        <w:rPr>
          <w:rFonts w:ascii="宋体" w:hAnsi="宋体"/>
          <w:bCs/>
          <w:color w:val="auto"/>
          <w:szCs w:val="21"/>
        </w:rPr>
        <w:instrText xml:space="preserve"> </w:instrText>
      </w:r>
      <w:r>
        <w:rPr>
          <w:rFonts w:ascii="宋体" w:hAnsi="宋体"/>
          <w:bCs/>
          <w:color w:val="auto"/>
          <w:szCs w:val="21"/>
        </w:rPr>
        <w:fldChar w:fldCharType="separate"/>
      </w:r>
      <w:r>
        <w:rPr>
          <w:rStyle w:val="44"/>
          <w:rFonts w:hint="eastAsia" w:ascii="宋体" w:hAnsi="宋体"/>
          <w:bCs/>
          <w:color w:val="auto"/>
          <w:szCs w:val="21"/>
          <w:u w:val="none"/>
        </w:rPr>
        <w:t>《政府采购促进中小企业发展管理办法》</w:t>
      </w:r>
      <w:bookmarkStart w:id="127" w:name="_Hlk60836554"/>
      <w:r>
        <w:rPr>
          <w:rStyle w:val="44"/>
          <w:rFonts w:hint="eastAsia" w:ascii="宋体" w:hAnsi="宋体"/>
          <w:bCs/>
          <w:color w:val="auto"/>
          <w:szCs w:val="21"/>
          <w:u w:val="none"/>
        </w:rPr>
        <w:t>（财库﹝2020﹞46号）</w:t>
      </w:r>
      <w:bookmarkEnd w:id="126"/>
      <w:bookmarkEnd w:id="127"/>
      <w:r>
        <w:rPr>
          <w:rFonts w:ascii="宋体" w:hAnsi="宋体"/>
          <w:bCs/>
          <w:color w:val="auto"/>
          <w:szCs w:val="21"/>
        </w:rPr>
        <w:fldChar w:fldCharType="end"/>
      </w:r>
      <w:r>
        <w:rPr>
          <w:rFonts w:hint="eastAsia" w:ascii="宋体" w:hAnsi="宋体"/>
          <w:bCs/>
          <w:color w:val="auto"/>
          <w:szCs w:val="21"/>
        </w:rPr>
        <w:t>的规定，本公司参加</w:t>
      </w:r>
      <w:bookmarkStart w:id="128" w:name="_Hlk82091228"/>
      <w:r>
        <w:rPr>
          <w:rFonts w:hint="eastAsia" w:ascii="宋体" w:hAnsi="宋体"/>
          <w:bCs/>
          <w:color w:val="auto"/>
          <w:szCs w:val="21"/>
        </w:rPr>
        <w:t>（</w:t>
      </w:r>
      <w:r>
        <w:rPr>
          <w:rFonts w:hint="eastAsia" w:ascii="宋体" w:hAnsi="宋体"/>
          <w:bCs/>
          <w:color w:val="auto"/>
          <w:szCs w:val="21"/>
          <w:u w:val="single"/>
        </w:rPr>
        <w:t>单位名称</w:t>
      </w:r>
      <w:r>
        <w:rPr>
          <w:rFonts w:hint="eastAsia" w:ascii="宋体" w:hAnsi="宋体"/>
          <w:bCs/>
          <w:color w:val="auto"/>
          <w:szCs w:val="21"/>
        </w:rPr>
        <w:t>）的（</w:t>
      </w:r>
      <w:r>
        <w:rPr>
          <w:rFonts w:hint="eastAsia" w:ascii="宋体" w:hAnsi="宋体"/>
          <w:bCs/>
          <w:color w:val="auto"/>
          <w:szCs w:val="21"/>
          <w:u w:val="single"/>
        </w:rPr>
        <w:t>项目名称</w:t>
      </w:r>
      <w:r>
        <w:rPr>
          <w:rFonts w:hint="eastAsia" w:ascii="宋体" w:hAnsi="宋体"/>
          <w:bCs/>
          <w:color w:val="auto"/>
          <w:szCs w:val="21"/>
        </w:rPr>
        <w:t>）</w:t>
      </w:r>
      <w:bookmarkEnd w:id="128"/>
      <w:r>
        <w:rPr>
          <w:rFonts w:hint="eastAsia" w:ascii="宋体" w:hAnsi="宋体"/>
          <w:bCs/>
          <w:color w:val="auto"/>
          <w:szCs w:val="21"/>
        </w:rPr>
        <w:t>采购活动，提供的货物全部由符合政策要求的中小企业制造。相关企业的具体情况如下：</w:t>
      </w:r>
    </w:p>
    <w:p w14:paraId="6AD9D124">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1.</w:t>
      </w:r>
      <w:bookmarkStart w:id="129" w:name="_Hlk60836996"/>
      <w:r>
        <w:rPr>
          <w:rFonts w:hint="eastAsia" w:ascii="宋体" w:hAnsi="宋体"/>
          <w:bCs/>
          <w:color w:val="auto"/>
          <w:szCs w:val="21"/>
        </w:rPr>
        <w:t>（</w:t>
      </w:r>
      <w:r>
        <w:rPr>
          <w:rFonts w:hint="eastAsia" w:ascii="宋体" w:hAnsi="宋体"/>
          <w:bCs/>
          <w:color w:val="auto"/>
          <w:szCs w:val="21"/>
          <w:u w:val="single"/>
        </w:rPr>
        <w:t>标的名称</w:t>
      </w:r>
      <w:r>
        <w:rPr>
          <w:rFonts w:ascii="宋体" w:hAnsi="宋体"/>
          <w:bCs/>
          <w:color w:val="auto"/>
          <w:szCs w:val="21"/>
        </w:rPr>
        <w:t>）</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ascii="宋体" w:hAnsi="宋体"/>
          <w:bCs/>
          <w:color w:val="auto"/>
          <w:szCs w:val="21"/>
        </w:rPr>
        <w:t>）</w:t>
      </w:r>
      <w:r>
        <w:rPr>
          <w:rFonts w:hint="eastAsia" w:ascii="宋体" w:hAnsi="宋体"/>
          <w:bCs/>
          <w:color w:val="auto"/>
          <w:szCs w:val="21"/>
        </w:rPr>
        <w:t>行业；制造商为(</w:t>
      </w:r>
      <w:r>
        <w:rPr>
          <w:rFonts w:hint="eastAsia" w:ascii="宋体" w:hAnsi="宋体"/>
          <w:bCs/>
          <w:color w:val="auto"/>
          <w:szCs w:val="21"/>
          <w:u w:val="single"/>
        </w:rPr>
        <w:t>企业名称</w:t>
      </w:r>
      <w:r>
        <w:rPr>
          <w:rFonts w:ascii="宋体" w:hAnsi="宋体"/>
          <w:bCs/>
          <w:color w:val="auto"/>
          <w:szCs w:val="21"/>
        </w:rPr>
        <w:t>）</w:t>
      </w:r>
      <w:r>
        <w:rPr>
          <w:rFonts w:hint="eastAsia" w:ascii="宋体" w:hAnsi="宋体"/>
          <w:bCs/>
          <w:color w:val="auto"/>
          <w:szCs w:val="21"/>
        </w:rPr>
        <w:t>，从业人员</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bookmarkEnd w:id="129"/>
    </w:p>
    <w:p w14:paraId="4F8FDAE9">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2.（</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)行业；制造商为(</w:t>
      </w:r>
      <w:r>
        <w:rPr>
          <w:rFonts w:hint="eastAsia" w:ascii="宋体" w:hAnsi="宋体"/>
          <w:bCs/>
          <w:color w:val="auto"/>
          <w:szCs w:val="21"/>
          <w:u w:val="single"/>
        </w:rPr>
        <w:t>企业名称</w:t>
      </w:r>
      <w:r>
        <w:rPr>
          <w:rFonts w:hint="eastAsia" w:ascii="宋体" w:hAnsi="宋体"/>
          <w:bCs/>
          <w:color w:val="auto"/>
          <w:szCs w:val="21"/>
        </w:rPr>
        <w:t>)，从业人员</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p>
    <w:p w14:paraId="177D6004">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w:t>
      </w:r>
    </w:p>
    <w:p w14:paraId="7F174EE9">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以上企业，不属于大企业的分支机构，不存在控股股东为大企业的情形，也不存在与大企业的负责人为同一人的情形。</w:t>
      </w:r>
    </w:p>
    <w:p w14:paraId="43883349">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本企业对上述声明内容的真实性负责。如有虚假，将依法承担相应责任。</w:t>
      </w:r>
    </w:p>
    <w:p w14:paraId="7CFC2DF4">
      <w:pPr>
        <w:spacing w:line="400" w:lineRule="exact"/>
        <w:rPr>
          <w:color w:val="auto"/>
          <w:szCs w:val="21"/>
        </w:rPr>
      </w:pPr>
    </w:p>
    <w:p w14:paraId="599DB754">
      <w:pPr>
        <w:spacing w:line="400" w:lineRule="exact"/>
        <w:rPr>
          <w:color w:val="auto"/>
          <w:szCs w:val="21"/>
        </w:rPr>
      </w:pPr>
    </w:p>
    <w:p w14:paraId="19079285">
      <w:pPr>
        <w:spacing w:line="400" w:lineRule="exact"/>
        <w:rPr>
          <w:color w:val="auto"/>
          <w:szCs w:val="21"/>
        </w:rPr>
      </w:pPr>
    </w:p>
    <w:p w14:paraId="28D9FF7D">
      <w:pPr>
        <w:spacing w:line="440" w:lineRule="exact"/>
        <w:ind w:firstLine="5250" w:firstLineChars="2500"/>
        <w:jc w:val="left"/>
        <w:rPr>
          <w:rFonts w:hint="eastAsia" w:ascii="宋体" w:hAnsi="宋体"/>
          <w:bCs/>
          <w:color w:val="auto"/>
          <w:szCs w:val="21"/>
        </w:rPr>
      </w:pPr>
      <w:r>
        <w:rPr>
          <w:rFonts w:hint="eastAsia" w:ascii="宋体" w:hAnsi="宋体"/>
          <w:bCs/>
          <w:color w:val="auto"/>
          <w:szCs w:val="21"/>
        </w:rPr>
        <w:t>企业名称（盖章）：</w:t>
      </w:r>
      <w:r>
        <w:rPr>
          <w:rFonts w:hint="eastAsia" w:hAnsi="宋体"/>
          <w:color w:val="auto"/>
          <w:szCs w:val="21"/>
          <w:u w:val="single"/>
        </w:rPr>
        <w:t xml:space="preserve"> </w:t>
      </w:r>
      <w:r>
        <w:rPr>
          <w:rFonts w:hAnsi="宋体"/>
          <w:color w:val="auto"/>
          <w:szCs w:val="21"/>
          <w:u w:val="single"/>
        </w:rPr>
        <w:t xml:space="preserve">              </w:t>
      </w:r>
    </w:p>
    <w:p w14:paraId="16344696">
      <w:pPr>
        <w:spacing w:line="440" w:lineRule="exact"/>
        <w:ind w:firstLine="5250" w:firstLineChars="2500"/>
        <w:jc w:val="left"/>
        <w:rPr>
          <w:rFonts w:hint="eastAsia" w:ascii="宋体" w:hAnsi="宋体"/>
          <w:bCs/>
          <w:color w:val="auto"/>
          <w:szCs w:val="21"/>
        </w:rPr>
      </w:pPr>
      <w:r>
        <w:rPr>
          <w:rFonts w:hint="eastAsia" w:ascii="宋体" w:hAnsi="宋体"/>
          <w:bCs/>
          <w:color w:val="auto"/>
          <w:szCs w:val="21"/>
        </w:rPr>
        <w:t>日 期：</w:t>
      </w:r>
      <w:r>
        <w:rPr>
          <w:rFonts w:hint="eastAsia" w:hAnsi="宋体"/>
          <w:color w:val="auto"/>
          <w:szCs w:val="21"/>
          <w:u w:val="single"/>
        </w:rPr>
        <w:t xml:space="preserve"> </w:t>
      </w:r>
      <w:r>
        <w:rPr>
          <w:rFonts w:hAnsi="宋体"/>
          <w:color w:val="auto"/>
          <w:szCs w:val="21"/>
          <w:u w:val="single"/>
        </w:rPr>
        <w:t xml:space="preserve">                        </w:t>
      </w:r>
    </w:p>
    <w:p w14:paraId="340B7B03">
      <w:pPr>
        <w:rPr>
          <w:color w:val="auto"/>
        </w:rPr>
      </w:pPr>
    </w:p>
    <w:p w14:paraId="60E87F17">
      <w:pPr>
        <w:rPr>
          <w:color w:val="auto"/>
        </w:rPr>
      </w:pPr>
    </w:p>
    <w:p w14:paraId="1CF10074">
      <w:pPr>
        <w:rPr>
          <w:color w:val="auto"/>
        </w:rPr>
      </w:pPr>
    </w:p>
    <w:p w14:paraId="6BF3ED4C">
      <w:pPr>
        <w:rPr>
          <w:color w:val="auto"/>
        </w:rPr>
      </w:pPr>
    </w:p>
    <w:p w14:paraId="26256984">
      <w:pPr>
        <w:rPr>
          <w:color w:val="auto"/>
        </w:rPr>
      </w:pPr>
    </w:p>
    <w:p w14:paraId="1F8AB8D7">
      <w:pPr>
        <w:rPr>
          <w:color w:val="auto"/>
        </w:rPr>
      </w:pPr>
    </w:p>
    <w:p w14:paraId="773B9FEC">
      <w:pPr>
        <w:rPr>
          <w:color w:val="auto"/>
        </w:rPr>
      </w:pPr>
    </w:p>
    <w:p w14:paraId="45A5EDAB">
      <w:pPr>
        <w:rPr>
          <w:color w:val="auto"/>
        </w:rPr>
      </w:pPr>
    </w:p>
    <w:p w14:paraId="347E3D39">
      <w:pPr>
        <w:rPr>
          <w:color w:val="auto"/>
        </w:rPr>
      </w:pPr>
    </w:p>
    <w:p w14:paraId="4FF3796F">
      <w:pPr>
        <w:rPr>
          <w:color w:val="auto"/>
        </w:rPr>
      </w:pPr>
    </w:p>
    <w:p w14:paraId="13BD2245">
      <w:pPr>
        <w:spacing w:line="320" w:lineRule="exact"/>
        <w:jc w:val="left"/>
        <w:rPr>
          <w:rFonts w:hint="eastAsia" w:hAnsi="宋体"/>
          <w:bCs/>
          <w:color w:val="auto"/>
          <w:sz w:val="18"/>
          <w:szCs w:val="18"/>
        </w:rPr>
      </w:pPr>
      <w:bookmarkStart w:id="130" w:name="_Hlk82091879"/>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),从)</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),人)</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),员)</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),收)</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),资)</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),产)</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),总)</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),额)</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),填)</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),报)</w:instrText>
      </w:r>
      <w:r>
        <w:rPr>
          <w:rFonts w:hAnsi="宋体"/>
          <w:bCs/>
          <w:color w:val="auto"/>
          <w:sz w:val="18"/>
          <w:szCs w:val="18"/>
        </w:rPr>
        <w:fldChar w:fldCharType="end"/>
      </w:r>
      <w:bookmarkEnd w:id="130"/>
      <w:r>
        <w:rPr>
          <w:rFonts w:hint="eastAsia" w:hAnsi="宋体"/>
          <w:bCs/>
          <w:color w:val="auto"/>
          <w:sz w:val="18"/>
          <w:szCs w:val="18"/>
        </w:rPr>
        <w:t>上一年度数据，无上一年度数据的新成立企业可不填报。</w:t>
      </w:r>
    </w:p>
    <w:p w14:paraId="701450A7">
      <w:pPr>
        <w:spacing w:line="320" w:lineRule="exact"/>
        <w:jc w:val="left"/>
        <w:rPr>
          <w:rFonts w:hint="eastAsia" w:hAnsi="宋体"/>
          <w:bCs/>
          <w:color w:val="auto"/>
          <w:sz w:val="18"/>
          <w:szCs w:val="18"/>
        </w:rPr>
      </w:pPr>
    </w:p>
    <w:p w14:paraId="10998C9F">
      <w:pPr>
        <w:spacing w:line="320" w:lineRule="exact"/>
        <w:jc w:val="left"/>
        <w:rPr>
          <w:rFonts w:hint="eastAsia" w:hAnsi="宋体"/>
          <w:bCs/>
          <w:color w:val="auto"/>
          <w:sz w:val="18"/>
          <w:szCs w:val="18"/>
        </w:rPr>
      </w:pPr>
    </w:p>
    <w:p w14:paraId="321F86DC">
      <w:pPr>
        <w:spacing w:line="320" w:lineRule="exact"/>
        <w:jc w:val="left"/>
        <w:rPr>
          <w:rFonts w:hint="eastAsia" w:hAnsi="宋体"/>
          <w:bCs/>
          <w:color w:val="auto"/>
          <w:sz w:val="18"/>
          <w:szCs w:val="18"/>
        </w:rPr>
      </w:pPr>
    </w:p>
    <w:p w14:paraId="6E1479BF">
      <w:pPr>
        <w:spacing w:line="320" w:lineRule="exact"/>
        <w:jc w:val="left"/>
        <w:rPr>
          <w:rFonts w:hint="eastAsia" w:hAnsi="宋体"/>
          <w:bCs/>
          <w:color w:val="auto"/>
          <w:sz w:val="18"/>
          <w:szCs w:val="18"/>
        </w:rPr>
      </w:pPr>
    </w:p>
    <w:tbl>
      <w:tblPr>
        <w:tblStyle w:val="37"/>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14:paraId="0F78A4A8">
        <w:tblPrEx>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12557773">
            <w:pPr>
              <w:widowControl/>
              <w:jc w:val="center"/>
              <w:rPr>
                <w:rFonts w:hint="eastAsia" w:ascii="Helvetica" w:hAnsi="Helvetica" w:cs="Helvetica"/>
                <w:b/>
                <w:bCs/>
                <w:color w:val="auto"/>
                <w:kern w:val="0"/>
                <w:szCs w:val="21"/>
              </w:rPr>
            </w:pPr>
            <w:r>
              <w:rPr>
                <w:rFonts w:ascii="Helvetica" w:hAnsi="Helvetica" w:cs="Helvetica"/>
                <w:b/>
                <w:bCs/>
                <w:color w:val="auto"/>
                <w:kern w:val="0"/>
                <w:szCs w:val="21"/>
              </w:rPr>
              <w:t>大中小微型企业划分标准</w:t>
            </w:r>
          </w:p>
        </w:tc>
      </w:tr>
      <w:tr w14:paraId="3099E293">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577C50">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D7B5AA">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E283F1">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计量</w:t>
            </w:r>
          </w:p>
          <w:p w14:paraId="6D8D9B19">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E2F488">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3FAE07">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EBDA55">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D72911">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微型</w:t>
            </w:r>
          </w:p>
        </w:tc>
      </w:tr>
      <w:tr w14:paraId="1A6E09B3">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D08CB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9492F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BA0FA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5ADAB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358C9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D3832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7F75B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w:t>
            </w:r>
          </w:p>
        </w:tc>
      </w:tr>
      <w:tr w14:paraId="7A0579DD">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02518C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0E5D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4DD62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F72F1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AA03A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9CE3B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A1554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4CF5DDC1">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596C5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86887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49B2A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A8F6F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7D4BF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4BC89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F83FA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w:t>
            </w:r>
          </w:p>
        </w:tc>
      </w:tr>
      <w:tr w14:paraId="697E1D2A">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C6F79E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5E90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AB137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D77AA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05F65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A3FC0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B9DA9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w:t>
            </w:r>
          </w:p>
        </w:tc>
      </w:tr>
      <w:tr w14:paraId="6B7A2DA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D9E00D">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74A4F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0A8E6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FD7D5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F2224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24B13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034F4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Z＜300</w:t>
            </w:r>
          </w:p>
        </w:tc>
      </w:tr>
      <w:tr w14:paraId="14CF25CE">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69DA94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0A60A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EF8A1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2EFBE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0AE2F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79396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92087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X＜5</w:t>
            </w:r>
          </w:p>
        </w:tc>
      </w:tr>
      <w:tr w14:paraId="537BC6E6">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9F396A">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526FA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E5C5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33D15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343CB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625DB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A6D3D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w:t>
            </w:r>
          </w:p>
        </w:tc>
      </w:tr>
      <w:tr w14:paraId="6F8E6D86">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2C6F3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DCE3C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BC2F1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BCDB0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A30A1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5CD92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0FECE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11F383C0">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7078B2">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C1DF4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8AEA9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04CBF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7C3CD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46C5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51F7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5DA38B2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6C7545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00C29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95D68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A5E44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0FABE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54ABE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62F3E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48277825">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5867B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1DA7D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C4058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BF87E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E934C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3EDBA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FE8CD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w:t>
            </w:r>
          </w:p>
        </w:tc>
      </w:tr>
      <w:tr w14:paraId="0FA8F232">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C0E43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6DF26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2A331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B99BE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C634C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82FFE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6B808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5D55DE15">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8EEC85">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6524D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CC1C2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C362B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245F1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5F69E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A2255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2977E4ED">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261DEA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E86E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602B0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590FC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CC651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A850C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56E44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5FAB0D88">
        <w:tblPrEx>
          <w:shd w:val="clear" w:color="auto" w:fill="FFFFFF"/>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72B37E">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698D1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B8307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E430B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FFCB9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518FB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C10F4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2399801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5A6349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D04CC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6099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802BB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1419C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76CD1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EC128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447E064C">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5E262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C9C18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9EF25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6021E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978EE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52FD3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46045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14E2A897">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6A7D51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50AC6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078AD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DD65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FFD18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F5C1F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294A8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12EB1A61">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FD524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2B3FA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3BB01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6562F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0E642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3C9EE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23EE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5799CED2">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93DAB0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B262A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61232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6BE5B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70012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E1C1B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2AC40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2608C866">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D95783">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F747A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FA359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D2F5B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95E3B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26C56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75E07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18D31EF4">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8169DB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E4AC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3F0D4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17338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7F8CC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08D97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998FA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70702CB7">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1ACF03">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C69A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DC585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9C088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264C0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3AAFE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DB2C8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w:t>
            </w:r>
          </w:p>
        </w:tc>
      </w:tr>
      <w:tr w14:paraId="74211B3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EB713B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81286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AB844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3CB4F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7B5E2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C830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7C0AD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035986D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9DCBAC">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9EBE1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DA865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FBAD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E14A3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AC6B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C0E4B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Z＜2000</w:t>
            </w:r>
          </w:p>
        </w:tc>
      </w:tr>
      <w:tr w14:paraId="7F4D2957">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33FFE8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34D39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C3E1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E3328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CC3BC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2A54B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E9EEA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w:t>
            </w:r>
          </w:p>
        </w:tc>
      </w:tr>
      <w:tr w14:paraId="1D1D40EF">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4BC51B">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70767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F5392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9C83E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BE660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ADB96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3E010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Y＜500</w:t>
            </w:r>
          </w:p>
        </w:tc>
      </w:tr>
      <w:tr w14:paraId="6CD9749E">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01BA6E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2030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0F93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9FD1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C6EC7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A90F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D8209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3AA27F37">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B2389F">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DA3D0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F9A07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87552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5E701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B845B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778BF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Z＜100</w:t>
            </w:r>
          </w:p>
        </w:tc>
      </w:tr>
      <w:tr w14:paraId="3A25762B">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4590D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1194E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9E5E1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D52A2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CACF6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4747A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AC5AF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bl>
    <w:p w14:paraId="29F548BC">
      <w:pPr>
        <w:widowControl/>
        <w:jc w:val="left"/>
        <w:rPr>
          <w:color w:val="auto"/>
        </w:rPr>
      </w:pPr>
    </w:p>
    <w:p w14:paraId="30B0BA5C">
      <w:pPr>
        <w:widowControl/>
        <w:shd w:val="clear" w:color="auto" w:fill="FFFFFF"/>
        <w:spacing w:line="360" w:lineRule="atLeast"/>
        <w:jc w:val="left"/>
        <w:rPr>
          <w:rFonts w:hint="eastAsia" w:ascii="Helvetica" w:hAnsi="Helvetica" w:cs="Helvetica"/>
          <w:color w:val="auto"/>
          <w:kern w:val="0"/>
          <w:sz w:val="18"/>
          <w:szCs w:val="18"/>
        </w:rPr>
      </w:pPr>
    </w:p>
    <w:p w14:paraId="666FE59E">
      <w:pPr>
        <w:widowControl/>
        <w:shd w:val="clear" w:color="auto" w:fill="FFFFFF"/>
        <w:spacing w:line="360" w:lineRule="atLeast"/>
        <w:jc w:val="left"/>
        <w:rPr>
          <w:rFonts w:hint="eastAsia" w:ascii="Helvetica" w:hAnsi="Helvetica" w:cs="Helvetica"/>
          <w:color w:val="auto"/>
          <w:kern w:val="0"/>
          <w:sz w:val="18"/>
          <w:szCs w:val="18"/>
        </w:rPr>
      </w:pPr>
      <w:r>
        <w:rPr>
          <w:rFonts w:ascii="Helvetica" w:hAnsi="Helvetica" w:cs="Helvetica"/>
          <w:color w:val="auto"/>
          <w:kern w:val="0"/>
          <w:sz w:val="18"/>
          <w:szCs w:val="18"/>
        </w:rPr>
        <w:t>说明：</w:t>
      </w:r>
    </w:p>
    <w:p w14:paraId="4A73C21C">
      <w:pPr>
        <w:widowControl/>
        <w:shd w:val="clear" w:color="auto" w:fill="FFFFFF"/>
        <w:spacing w:line="360" w:lineRule="atLeast"/>
        <w:ind w:firstLine="480"/>
        <w:jc w:val="left"/>
        <w:rPr>
          <w:rFonts w:hint="eastAsia" w:ascii="Helvetica" w:hAnsi="Helvetica" w:cs="Helvetica"/>
          <w:color w:val="auto"/>
          <w:kern w:val="0"/>
          <w:sz w:val="18"/>
          <w:szCs w:val="18"/>
        </w:rPr>
      </w:pPr>
      <w:r>
        <w:rPr>
          <w:rFonts w:ascii="Helvetica" w:hAnsi="Helvetica" w:cs="Helvetica"/>
          <w:color w:val="auto"/>
          <w:kern w:val="0"/>
          <w:sz w:val="18"/>
          <w:szCs w:val="18"/>
        </w:rPr>
        <w:t>1.大型、中型和小型企业须同时满足所列指标的下限，否则下划一档；微型企业只须满足所列指标中的一项即可。</w:t>
      </w:r>
    </w:p>
    <w:p w14:paraId="52A27511">
      <w:pPr>
        <w:widowControl/>
        <w:shd w:val="clear" w:color="auto" w:fill="FFFFFF"/>
        <w:spacing w:line="360" w:lineRule="atLeast"/>
        <w:ind w:firstLine="480"/>
        <w:jc w:val="left"/>
        <w:rPr>
          <w:rFonts w:hint="eastAsia" w:ascii="Helvetica" w:hAnsi="Helvetica" w:cs="Helvetica"/>
          <w:color w:val="auto"/>
          <w:kern w:val="0"/>
          <w:sz w:val="18"/>
          <w:szCs w:val="18"/>
        </w:rPr>
      </w:pPr>
      <w:r>
        <w:rPr>
          <w:rFonts w:ascii="Helvetica" w:hAnsi="Helvetica" w:cs="Helvetica"/>
          <w:color w:val="auto"/>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rPr>
        <w:fldChar w:fldCharType="begin"/>
      </w:r>
      <w:r>
        <w:rPr>
          <w:color w:val="auto"/>
        </w:rPr>
        <w:instrText xml:space="preserve"> HYPERLINK "https://baike.baidu.com/item/%E5%A4%9A%E5%BC%8F%E8%81%94%E8%BF%90/3342240?fromModule=lemma_inlink" \t "_blank" </w:instrText>
      </w:r>
      <w:r>
        <w:rPr>
          <w:color w:val="auto"/>
        </w:rPr>
        <w:fldChar w:fldCharType="separate"/>
      </w:r>
      <w:r>
        <w:rPr>
          <w:rFonts w:ascii="Helvetica" w:hAnsi="Helvetica" w:cs="Helvetica"/>
          <w:color w:val="auto"/>
          <w:kern w:val="0"/>
          <w:sz w:val="18"/>
          <w:szCs w:val="18"/>
          <w:u w:val="single"/>
        </w:rPr>
        <w:t>多式联运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和运输代理业、</w:t>
      </w:r>
      <w:r>
        <w:rPr>
          <w:color w:val="auto"/>
        </w:rPr>
        <w:fldChar w:fldCharType="begin"/>
      </w:r>
      <w:r>
        <w:rPr>
          <w:color w:val="auto"/>
        </w:rPr>
        <w:instrText xml:space="preserve"> HYPERLINK "https://baike.baidu.com/item/%E8%A3%85%E5%8D%B8%E6%90%AC%E8%BF%90/6511400?fromModule=lemma_inlink" \t "_blank" </w:instrText>
      </w:r>
      <w:r>
        <w:rPr>
          <w:color w:val="auto"/>
        </w:rPr>
        <w:fldChar w:fldCharType="separate"/>
      </w:r>
      <w:r>
        <w:rPr>
          <w:rFonts w:ascii="Helvetica" w:hAnsi="Helvetica" w:cs="Helvetica"/>
          <w:color w:val="auto"/>
          <w:kern w:val="0"/>
          <w:sz w:val="18"/>
          <w:szCs w:val="18"/>
          <w:u w:val="single"/>
        </w:rPr>
        <w:t>装卸搬运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，不包括铁路运输业；</w:t>
      </w:r>
      <w:r>
        <w:rPr>
          <w:color w:val="auto"/>
        </w:rPr>
        <w:fldChar w:fldCharType="begin"/>
      </w:r>
      <w:r>
        <w:rPr>
          <w:color w:val="auto"/>
        </w:rPr>
        <w:instrText xml:space="preserve"> HYPERLINK "https://baike.baidu.com/item/%E4%BB%93%E5%82%A8%E4%B8%9A/3487863?fromModule=lemma_inlink" \t "_blank" </w:instrText>
      </w:r>
      <w:r>
        <w:rPr>
          <w:color w:val="auto"/>
        </w:rPr>
        <w:fldChar w:fldCharType="separate"/>
      </w:r>
      <w:r>
        <w:rPr>
          <w:rFonts w:ascii="Helvetica" w:hAnsi="Helvetica" w:cs="Helvetica"/>
          <w:color w:val="auto"/>
          <w:kern w:val="0"/>
          <w:sz w:val="18"/>
          <w:szCs w:val="18"/>
          <w:u w:val="single"/>
        </w:rPr>
        <w:t>仓储业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包括通用仓储，低温仓储，危险品仓储，谷物、棉花等农产品仓储，中药材仓储和其他仓储业;</w:t>
      </w:r>
      <w:r>
        <w:rPr>
          <w:color w:val="auto"/>
        </w:rPr>
        <w:fldChar w:fldCharType="begin"/>
      </w:r>
      <w:r>
        <w:rPr>
          <w:color w:val="auto"/>
        </w:rPr>
        <w:instrText xml:space="preserve"> HYPERLINK "https://baike.baidu.com/item/%E4%BF%A1%E6%81%AF%E4%BC%A0%E8%BE%93%E4%B8%9A/61331990?fromModule=lemma_inlink" \t "_blank" </w:instrText>
      </w:r>
      <w:r>
        <w:rPr>
          <w:color w:val="auto"/>
        </w:rPr>
        <w:fldChar w:fldCharType="separate"/>
      </w:r>
      <w:r>
        <w:rPr>
          <w:rFonts w:ascii="Helvetica" w:hAnsi="Helvetica" w:cs="Helvetica"/>
          <w:color w:val="auto"/>
          <w:kern w:val="0"/>
          <w:sz w:val="18"/>
          <w:szCs w:val="18"/>
          <w:u w:val="single"/>
        </w:rPr>
        <w:t>信息传输业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9B7BA81">
      <w:pPr>
        <w:widowControl/>
        <w:shd w:val="clear" w:color="auto" w:fill="FFFFFF"/>
        <w:spacing w:line="360" w:lineRule="atLeast"/>
        <w:ind w:firstLine="480"/>
        <w:jc w:val="left"/>
        <w:rPr>
          <w:rFonts w:hint="eastAsia" w:ascii="Helvetica" w:hAnsi="Helvetica" w:cs="Helvetica"/>
          <w:color w:val="auto"/>
          <w:kern w:val="0"/>
          <w:sz w:val="18"/>
          <w:szCs w:val="18"/>
        </w:rPr>
      </w:pPr>
      <w:r>
        <w:rPr>
          <w:rFonts w:ascii="Helvetica" w:hAnsi="Helvetica" w:cs="Helvetica"/>
          <w:color w:val="auto"/>
          <w:kern w:val="0"/>
          <w:sz w:val="18"/>
          <w:szCs w:val="18"/>
        </w:rPr>
        <w:t>3.企业划分指标以现行</w:t>
      </w:r>
      <w:r>
        <w:rPr>
          <w:color w:val="auto"/>
        </w:rPr>
        <w:fldChar w:fldCharType="begin"/>
      </w:r>
      <w:r>
        <w:rPr>
          <w:color w:val="auto"/>
        </w:rPr>
        <w:instrText xml:space="preserve"> HYPERLINK "https://baike.baidu.com/item/%E7%BB%9F%E8%AE%A1%E5%88%B6%E5%BA%A6/917165?fromModule=lemma_inlink" \t "_blank" </w:instrText>
      </w:r>
      <w:r>
        <w:rPr>
          <w:color w:val="auto"/>
        </w:rPr>
        <w:fldChar w:fldCharType="separate"/>
      </w:r>
      <w:r>
        <w:rPr>
          <w:rFonts w:ascii="Helvetica" w:hAnsi="Helvetica" w:cs="Helvetica"/>
          <w:color w:val="auto"/>
          <w:kern w:val="0"/>
          <w:sz w:val="18"/>
          <w:szCs w:val="18"/>
          <w:u w:val="single"/>
        </w:rPr>
        <w:t>统计制度</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为准。（1）从业人员，是指期末从业人员数，没有期末从业人员数的，采用全年平均人员数代替。（2）</w:t>
      </w:r>
      <w:r>
        <w:rPr>
          <w:color w:val="auto"/>
        </w:rPr>
        <w:fldChar w:fldCharType="begin"/>
      </w:r>
      <w:r>
        <w:rPr>
          <w:color w:val="auto"/>
        </w:rPr>
        <w:instrText xml:space="preserve"> HYPERLINK "https://baike.baidu.com/item/%E8%90%A5%E4%B8%9A%E6%94%B6%E5%85%A5/5099832?fromModule=lemma_inlink" \t "_blank" </w:instrText>
      </w:r>
      <w:r>
        <w:rPr>
          <w:color w:val="auto"/>
        </w:rPr>
        <w:fldChar w:fldCharType="separate"/>
      </w:r>
      <w:r>
        <w:rPr>
          <w:rFonts w:ascii="Helvetica" w:hAnsi="Helvetica" w:cs="Helvetica"/>
          <w:color w:val="auto"/>
          <w:kern w:val="0"/>
          <w:sz w:val="18"/>
          <w:szCs w:val="18"/>
          <w:u w:val="single"/>
        </w:rPr>
        <w:t>营业收入</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rPr>
        <w:fldChar w:fldCharType="begin"/>
      </w:r>
      <w:r>
        <w:rPr>
          <w:color w:val="auto"/>
        </w:rPr>
        <w:instrText xml:space="preserve"> HYPERLINK "https://baike.baidu.com/item/%E8%B5%84%E4%BA%A7%E6%80%BB%E9%A2%9D/716517?fromModule=lemma_inlink" \t "_blank" </w:instrText>
      </w:r>
      <w:r>
        <w:rPr>
          <w:color w:val="auto"/>
        </w:rPr>
        <w:fldChar w:fldCharType="separate"/>
      </w:r>
      <w:r>
        <w:rPr>
          <w:rFonts w:ascii="Helvetica" w:hAnsi="Helvetica" w:cs="Helvetica"/>
          <w:color w:val="auto"/>
          <w:kern w:val="0"/>
          <w:sz w:val="18"/>
          <w:szCs w:val="18"/>
          <w:u w:val="single"/>
        </w:rPr>
        <w:t>资产总额</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，采用资产总计代替。</w:t>
      </w:r>
    </w:p>
    <w:p w14:paraId="2F60DF62">
      <w:pPr>
        <w:widowControl/>
        <w:jc w:val="left"/>
        <w:rPr>
          <w:rFonts w:hint="eastAsia" w:hAnsi="宋体"/>
          <w:bCs/>
          <w:color w:val="auto"/>
          <w:sz w:val="18"/>
          <w:szCs w:val="18"/>
        </w:rPr>
      </w:pPr>
      <w:r>
        <w:rPr>
          <w:rFonts w:hAnsi="宋体"/>
          <w:bCs/>
          <w:color w:val="auto"/>
          <w:sz w:val="18"/>
          <w:szCs w:val="18"/>
        </w:rPr>
        <w:br w:type="page"/>
      </w:r>
    </w:p>
    <w:p w14:paraId="091F7160">
      <w:pPr>
        <w:spacing w:line="320" w:lineRule="exact"/>
        <w:jc w:val="left"/>
        <w:rPr>
          <w:rFonts w:hint="eastAsia" w:hAnsi="宋体"/>
          <w:bCs/>
          <w:color w:val="auto"/>
          <w:sz w:val="18"/>
          <w:szCs w:val="18"/>
        </w:rPr>
      </w:pPr>
    </w:p>
    <w:p w14:paraId="36B173F6">
      <w:pPr>
        <w:pStyle w:val="21"/>
        <w:spacing w:line="440" w:lineRule="exact"/>
        <w:jc w:val="center"/>
        <w:rPr>
          <w:rFonts w:hint="eastAsia" w:ascii="仿宋" w:hAnsi="仿宋" w:eastAsia="仿宋"/>
          <w:b/>
          <w:color w:val="auto"/>
          <w:kern w:val="0"/>
          <w:sz w:val="32"/>
          <w:szCs w:val="32"/>
        </w:rPr>
      </w:pPr>
      <w:r>
        <w:rPr>
          <w:rFonts w:hint="eastAsia" w:ascii="仿宋" w:hAnsi="仿宋" w:eastAsia="仿宋"/>
          <w:b/>
          <w:color w:val="auto"/>
          <w:kern w:val="0"/>
          <w:sz w:val="32"/>
          <w:szCs w:val="32"/>
        </w:rPr>
        <w:t>残疾人福利性单位声明函</w:t>
      </w:r>
      <w:r>
        <w:rPr>
          <w:rFonts w:hint="eastAsia" w:ascii="仿宋" w:hAnsi="仿宋" w:eastAsia="仿宋"/>
          <w:color w:val="auto"/>
          <w:sz w:val="24"/>
        </w:rPr>
        <w:t>(格式</w:t>
      </w:r>
      <w:r>
        <w:rPr>
          <w:rFonts w:ascii="仿宋" w:hAnsi="仿宋" w:eastAsia="仿宋"/>
          <w:color w:val="auto"/>
          <w:sz w:val="24"/>
        </w:rPr>
        <w:t>)</w:t>
      </w:r>
    </w:p>
    <w:p w14:paraId="4B7D4AEB">
      <w:pPr>
        <w:rPr>
          <w:color w:val="auto"/>
        </w:rPr>
      </w:pPr>
    </w:p>
    <w:p w14:paraId="31CA3FD5">
      <w:pPr>
        <w:spacing w:line="6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本单位郑重声明，根据</w:t>
      </w:r>
      <w:bookmarkStart w:id="131" w:name="_Hlk82091361"/>
      <w:r>
        <w:rPr>
          <w:rFonts w:hint="eastAsia" w:ascii="宋体" w:hAnsi="宋体" w:cs="Courier New"/>
          <w:color w:val="auto"/>
          <w:kern w:val="0"/>
          <w:szCs w:val="21"/>
        </w:rPr>
        <w:t>《</w:t>
      </w:r>
      <w:r>
        <w:rPr>
          <w:color w:val="auto"/>
        </w:rPr>
        <w:fldChar w:fldCharType="begin"/>
      </w:r>
      <w:r>
        <w:rPr>
          <w:color w:val="auto"/>
        </w:rPr>
        <w:instrText xml:space="preserve"> HYPERLINK "http://www.mof.gov.cn/gp/xxgkml/gks/201709/t20170901_2689542.htm" </w:instrText>
      </w:r>
      <w:r>
        <w:rPr>
          <w:color w:val="auto"/>
        </w:rPr>
        <w:fldChar w:fldCharType="separate"/>
      </w:r>
      <w:r>
        <w:rPr>
          <w:rFonts w:hint="eastAsia" w:ascii="宋体" w:hAnsi="Courier New" w:cs="Courier New"/>
          <w:color w:val="auto"/>
          <w:kern w:val="0"/>
          <w:szCs w:val="21"/>
        </w:rPr>
        <w:t>财政部 民政部 中国残疾人联合会关于促进残疾人就业政府采购政策的通知》（财库〔2017〕141号）</w:t>
      </w:r>
      <w:r>
        <w:rPr>
          <w:rFonts w:hint="eastAsia" w:ascii="宋体" w:hAnsi="Courier New" w:cs="Courier New"/>
          <w:color w:val="auto"/>
          <w:kern w:val="0"/>
          <w:szCs w:val="21"/>
        </w:rPr>
        <w:fldChar w:fldCharType="end"/>
      </w:r>
      <w:bookmarkEnd w:id="131"/>
      <w:r>
        <w:rPr>
          <w:rFonts w:hint="eastAsia" w:ascii="宋体" w:hAnsi="宋体" w:cs="Courier New"/>
          <w:color w:val="auto"/>
          <w:kern w:val="0"/>
          <w:szCs w:val="21"/>
        </w:rPr>
        <w:t>的规定，本单位为符合条件的残疾人福利性单位，且本单位参加（</w:t>
      </w:r>
      <w:r>
        <w:rPr>
          <w:rFonts w:hint="eastAsia" w:ascii="宋体" w:hAnsi="宋体" w:cs="Courier New"/>
          <w:color w:val="auto"/>
          <w:kern w:val="0"/>
          <w:szCs w:val="21"/>
          <w:u w:val="single"/>
        </w:rPr>
        <w:t>单位名称</w:t>
      </w:r>
      <w:r>
        <w:rPr>
          <w:rFonts w:hint="eastAsia" w:ascii="宋体" w:hAnsi="宋体" w:cs="Courier New"/>
          <w:color w:val="auto"/>
          <w:kern w:val="0"/>
          <w:szCs w:val="21"/>
        </w:rPr>
        <w:t>）的（</w:t>
      </w:r>
      <w:r>
        <w:rPr>
          <w:rFonts w:hint="eastAsia" w:ascii="宋体" w:hAnsi="宋体" w:cs="Courier New"/>
          <w:color w:val="auto"/>
          <w:kern w:val="0"/>
          <w:szCs w:val="21"/>
          <w:u w:val="single"/>
        </w:rPr>
        <w:t>项目名称</w:t>
      </w:r>
      <w:r>
        <w:rPr>
          <w:rFonts w:hint="eastAsia" w:ascii="宋体" w:hAnsi="宋体" w:cs="Courier New"/>
          <w:color w:val="auto"/>
          <w:kern w:val="0"/>
          <w:szCs w:val="21"/>
        </w:rPr>
        <w:t>）采购活动提供本单位制造的货物，或者提供其他残疾人福利性单位（</w:t>
      </w:r>
      <w:r>
        <w:rPr>
          <w:rFonts w:hint="eastAsia" w:ascii="宋体" w:hAnsi="宋体" w:cs="Courier New"/>
          <w:color w:val="auto"/>
          <w:kern w:val="0"/>
          <w:szCs w:val="21"/>
          <w:u w:val="single"/>
        </w:rPr>
        <w:t>请填写具体单位名称</w:t>
      </w:r>
      <w:r>
        <w:rPr>
          <w:rFonts w:hint="eastAsia" w:ascii="宋体" w:hAnsi="宋体" w:cs="Courier New"/>
          <w:color w:val="auto"/>
          <w:kern w:val="0"/>
          <w:szCs w:val="21"/>
        </w:rPr>
        <w:t>）制造的货物（不包括使用非残疾人福利性单位注册商标的货物）。</w:t>
      </w:r>
    </w:p>
    <w:p w14:paraId="62564C4A">
      <w:pPr>
        <w:spacing w:line="6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本单位对上述声明的真实性负责。如有虚假，将依法承担相应责任。</w:t>
      </w:r>
    </w:p>
    <w:p w14:paraId="280EB1E7">
      <w:pPr>
        <w:spacing w:line="400" w:lineRule="exact"/>
        <w:rPr>
          <w:color w:val="auto"/>
          <w:szCs w:val="21"/>
        </w:rPr>
      </w:pPr>
    </w:p>
    <w:p w14:paraId="7DB060AC">
      <w:pPr>
        <w:spacing w:line="400" w:lineRule="exact"/>
        <w:rPr>
          <w:color w:val="auto"/>
          <w:szCs w:val="21"/>
        </w:rPr>
      </w:pPr>
    </w:p>
    <w:p w14:paraId="421D9729">
      <w:pPr>
        <w:spacing w:line="400" w:lineRule="exact"/>
        <w:rPr>
          <w:color w:val="auto"/>
          <w:szCs w:val="21"/>
        </w:rPr>
      </w:pPr>
    </w:p>
    <w:p w14:paraId="577E9BA3">
      <w:pPr>
        <w:spacing w:line="440" w:lineRule="exact"/>
        <w:ind w:firstLine="5250" w:firstLineChars="2500"/>
        <w:rPr>
          <w:rFonts w:hint="eastAsia" w:ascii="宋体" w:hAnsi="宋体" w:cs="Courier New"/>
          <w:color w:val="auto"/>
          <w:kern w:val="0"/>
          <w:szCs w:val="21"/>
        </w:rPr>
      </w:pPr>
      <w:r>
        <w:rPr>
          <w:rFonts w:hint="eastAsia" w:ascii="宋体" w:hAnsi="宋体" w:cs="Courier New"/>
          <w:color w:val="auto"/>
          <w:kern w:val="0"/>
          <w:szCs w:val="21"/>
        </w:rPr>
        <w:t>单位名称（盖章）：</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p w14:paraId="276342D1">
      <w:pPr>
        <w:spacing w:line="440" w:lineRule="exact"/>
        <w:ind w:firstLine="5250" w:firstLineChars="2500"/>
        <w:rPr>
          <w:rFonts w:hint="eastAsia" w:ascii="宋体" w:hAnsi="宋体" w:cs="Courier New"/>
          <w:color w:val="auto"/>
          <w:szCs w:val="21"/>
          <w:u w:val="single"/>
        </w:rPr>
      </w:pPr>
      <w:r>
        <w:rPr>
          <w:rFonts w:hint="eastAsia" w:ascii="宋体" w:hAnsi="宋体" w:cs="Courier New"/>
          <w:color w:val="auto"/>
          <w:kern w:val="0"/>
          <w:szCs w:val="21"/>
        </w:rPr>
        <w:t>日  期：</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bookmarkEnd w:id="125"/>
    <w:p w14:paraId="4B5BE68A">
      <w:pPr>
        <w:widowControl/>
        <w:jc w:val="left"/>
        <w:rPr>
          <w:rFonts w:ascii="宋体" w:hAnsi="Courier New" w:cs="Courier New"/>
          <w:color w:val="auto"/>
          <w:sz w:val="18"/>
          <w:szCs w:val="18"/>
        </w:rPr>
      </w:pPr>
      <w:r>
        <w:rPr>
          <w:rFonts w:ascii="宋体" w:hAnsi="Courier New" w:cs="Courier New"/>
          <w:color w:val="auto"/>
          <w:sz w:val="18"/>
          <w:szCs w:val="18"/>
        </w:rPr>
        <w:br w:type="page"/>
      </w:r>
    </w:p>
    <w:p w14:paraId="58BF43A1">
      <w:pPr>
        <w:jc w:val="left"/>
        <w:rPr>
          <w:rFonts w:hint="eastAsia" w:ascii="宋体" w:hAnsi="宋体"/>
          <w:b/>
          <w:bCs/>
          <w:color w:val="auto"/>
          <w:sz w:val="36"/>
          <w:szCs w:val="36"/>
        </w:rPr>
      </w:pPr>
      <w:r>
        <w:rPr>
          <w:rFonts w:hint="eastAsia" w:ascii="宋体" w:hAnsi="宋体"/>
          <w:b/>
          <w:bCs/>
          <w:color w:val="auto"/>
          <w:sz w:val="36"/>
          <w:szCs w:val="36"/>
        </w:rPr>
        <w:t>三、报价文件</w:t>
      </w:r>
    </w:p>
    <w:p w14:paraId="504FEFF9">
      <w:pPr>
        <w:jc w:val="center"/>
        <w:rPr>
          <w:rFonts w:hint="eastAsia" w:ascii="仿宋" w:hAnsi="仿宋" w:eastAsia="仿宋"/>
          <w:b/>
          <w:bCs/>
          <w:color w:val="auto"/>
          <w:sz w:val="30"/>
          <w:szCs w:val="30"/>
        </w:rPr>
      </w:pPr>
      <w:r>
        <w:rPr>
          <w:rFonts w:hint="eastAsia" w:ascii="仿宋" w:hAnsi="仿宋" w:eastAsia="仿宋"/>
          <w:b/>
          <w:bCs/>
          <w:color w:val="auto"/>
          <w:sz w:val="32"/>
          <w:szCs w:val="32"/>
        </w:rPr>
        <w:t>报价明细表</w:t>
      </w:r>
      <w:r>
        <w:rPr>
          <w:rFonts w:hint="eastAsia" w:ascii="仿宋" w:hAnsi="仿宋" w:eastAsia="仿宋"/>
          <w:color w:val="auto"/>
          <w:sz w:val="24"/>
        </w:rPr>
        <w:t>(格式</w:t>
      </w:r>
      <w:r>
        <w:rPr>
          <w:rFonts w:ascii="仿宋" w:hAnsi="仿宋" w:eastAsia="仿宋"/>
          <w:color w:val="auto"/>
          <w:sz w:val="24"/>
        </w:rPr>
        <w:t>)</w:t>
      </w:r>
    </w:p>
    <w:p w14:paraId="284140BF">
      <w:pPr>
        <w:rPr>
          <w:color w:val="auto"/>
        </w:rPr>
      </w:pPr>
    </w:p>
    <w:p w14:paraId="720A1D18">
      <w:pPr>
        <w:spacing w:line="400" w:lineRule="exact"/>
        <w:rPr>
          <w:rFonts w:hint="eastAsia"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6F814E7B">
      <w:pPr>
        <w:spacing w:line="400" w:lineRule="exact"/>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p>
    <w:p w14:paraId="6AB64A05">
      <w:pPr>
        <w:spacing w:line="400" w:lineRule="exact"/>
        <w:rPr>
          <w:rFonts w:hint="eastAsia" w:ascii="宋体" w:hAnsi="宋体"/>
          <w:color w:val="auto"/>
          <w:szCs w:val="21"/>
          <w:u w:val="single"/>
        </w:rPr>
      </w:pPr>
      <w:r>
        <w:rPr>
          <w:rFonts w:hint="eastAsia"/>
          <w:color w:val="auto"/>
          <w:u w:val="none"/>
          <w:lang w:val="en-US" w:eastAsia="zh-CN"/>
        </w:rPr>
        <w:t>分标号：</w:t>
      </w:r>
      <w:r>
        <w:rPr>
          <w:rFonts w:hint="eastAsia"/>
          <w:color w:val="auto"/>
          <w:u w:val="single"/>
        </w:rPr>
        <w:t xml:space="preserve">                 </w:t>
      </w:r>
      <w:r>
        <w:rPr>
          <w:rFonts w:hint="eastAsia"/>
          <w:color w:val="auto"/>
          <w:u w:val="single"/>
          <w:lang w:val="en-US" w:eastAsia="zh-CN"/>
        </w:rPr>
        <w:t xml:space="preserve">             </w:t>
      </w:r>
      <w:r>
        <w:rPr>
          <w:rFonts w:ascii="宋体" w:hAnsi="宋体"/>
          <w:color w:val="auto"/>
          <w:szCs w:val="21"/>
        </w:rPr>
        <w:t xml:space="preserve">                                         单位：元</w:t>
      </w:r>
    </w:p>
    <w:tbl>
      <w:tblPr>
        <w:tblStyle w:val="3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7294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14216F08">
            <w:pPr>
              <w:spacing w:line="300" w:lineRule="exact"/>
              <w:jc w:val="center"/>
              <w:rPr>
                <w:rFonts w:hint="eastAsia" w:ascii="宋体" w:hAnsi="宋体" w:cs="Courier New"/>
                <w:color w:val="auto"/>
                <w:szCs w:val="21"/>
              </w:rPr>
            </w:pPr>
            <w:bookmarkStart w:id="132" w:name="_Hlk97823529"/>
            <w:r>
              <w:rPr>
                <w:rFonts w:hint="eastAsia" w:ascii="宋体" w:hAnsi="宋体" w:cs="Courier New"/>
                <w:color w:val="auto"/>
                <w:szCs w:val="21"/>
              </w:rPr>
              <w:t>序号</w:t>
            </w:r>
          </w:p>
        </w:tc>
        <w:tc>
          <w:tcPr>
            <w:tcW w:w="1145" w:type="dxa"/>
            <w:tcBorders>
              <w:bottom w:val="single" w:color="auto" w:sz="4" w:space="0"/>
            </w:tcBorders>
            <w:vAlign w:val="center"/>
          </w:tcPr>
          <w:p w14:paraId="6E91B1AF">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货物名称</w:t>
            </w:r>
          </w:p>
        </w:tc>
        <w:tc>
          <w:tcPr>
            <w:tcW w:w="698" w:type="dxa"/>
            <w:tcBorders>
              <w:bottom w:val="single" w:color="auto" w:sz="4" w:space="0"/>
            </w:tcBorders>
            <w:vAlign w:val="center"/>
          </w:tcPr>
          <w:p w14:paraId="0823C0BD">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品牌</w:t>
            </w:r>
          </w:p>
        </w:tc>
        <w:tc>
          <w:tcPr>
            <w:tcW w:w="709" w:type="dxa"/>
            <w:tcBorders>
              <w:bottom w:val="single" w:color="auto" w:sz="4" w:space="0"/>
            </w:tcBorders>
            <w:vAlign w:val="center"/>
          </w:tcPr>
          <w:p w14:paraId="45579B40">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型号</w:t>
            </w:r>
          </w:p>
        </w:tc>
        <w:tc>
          <w:tcPr>
            <w:tcW w:w="708" w:type="dxa"/>
            <w:tcBorders>
              <w:bottom w:val="single" w:color="auto" w:sz="4" w:space="0"/>
            </w:tcBorders>
            <w:vAlign w:val="center"/>
          </w:tcPr>
          <w:p w14:paraId="4A8F99E5">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产地</w:t>
            </w:r>
          </w:p>
        </w:tc>
        <w:tc>
          <w:tcPr>
            <w:tcW w:w="1701" w:type="dxa"/>
            <w:tcBorders>
              <w:bottom w:val="single" w:color="auto" w:sz="4" w:space="0"/>
            </w:tcBorders>
            <w:vAlign w:val="center"/>
          </w:tcPr>
          <w:p w14:paraId="7C9B6C61">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技术参数及性能（规格）</w:t>
            </w:r>
          </w:p>
        </w:tc>
        <w:tc>
          <w:tcPr>
            <w:tcW w:w="1701" w:type="dxa"/>
            <w:tcBorders>
              <w:bottom w:val="single" w:color="auto" w:sz="4" w:space="0"/>
            </w:tcBorders>
            <w:vAlign w:val="center"/>
          </w:tcPr>
          <w:p w14:paraId="6DFC5D61">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数量、单位</w:t>
            </w:r>
            <w:r>
              <w:rPr>
                <w:rFonts w:hint="eastAsia" w:hAnsi="宋体"/>
                <w:color w:val="auto"/>
              </w:rPr>
              <w:t>①</w:t>
            </w:r>
          </w:p>
        </w:tc>
        <w:tc>
          <w:tcPr>
            <w:tcW w:w="851" w:type="dxa"/>
            <w:tcBorders>
              <w:bottom w:val="single" w:color="auto" w:sz="4" w:space="0"/>
            </w:tcBorders>
            <w:vAlign w:val="center"/>
          </w:tcPr>
          <w:p w14:paraId="1286FE25">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单价</w:t>
            </w:r>
            <w:r>
              <w:rPr>
                <w:rFonts w:hint="eastAsia" w:hAnsi="宋体"/>
                <w:color w:val="auto"/>
              </w:rPr>
              <w:t>②</w:t>
            </w:r>
          </w:p>
        </w:tc>
        <w:tc>
          <w:tcPr>
            <w:tcW w:w="1340" w:type="dxa"/>
            <w:tcBorders>
              <w:bottom w:val="single" w:color="auto" w:sz="4" w:space="0"/>
            </w:tcBorders>
            <w:vAlign w:val="center"/>
          </w:tcPr>
          <w:p w14:paraId="7005753F">
            <w:pPr>
              <w:spacing w:line="300" w:lineRule="exact"/>
              <w:jc w:val="center"/>
              <w:rPr>
                <w:rFonts w:hint="eastAsia" w:ascii="宋体" w:hAnsi="宋体" w:cs="Courier New"/>
                <w:color w:val="auto"/>
                <w:szCs w:val="21"/>
              </w:rPr>
            </w:pPr>
            <w:r>
              <w:rPr>
                <w:rFonts w:hint="eastAsia" w:ascii="宋体" w:hAnsi="宋体" w:cs="Courier New"/>
                <w:color w:val="auto"/>
                <w:szCs w:val="21"/>
              </w:rPr>
              <w:t>单项合价</w:t>
            </w:r>
          </w:p>
          <w:p w14:paraId="6A4FFA08">
            <w:pPr>
              <w:spacing w:line="300" w:lineRule="exact"/>
              <w:jc w:val="center"/>
              <w:rPr>
                <w:rFonts w:hint="eastAsia" w:ascii="宋体" w:hAnsi="宋体" w:cs="Courier New"/>
                <w:color w:val="auto"/>
                <w:szCs w:val="21"/>
              </w:rPr>
            </w:pPr>
            <w:r>
              <w:rPr>
                <w:rFonts w:hint="eastAsia" w:ascii="宋体" w:hAnsi="宋体" w:cs="Courier New"/>
                <w:color w:val="auto"/>
                <w:szCs w:val="21"/>
              </w:rPr>
              <w:t>③</w:t>
            </w:r>
            <w:r>
              <w:rPr>
                <w:rFonts w:ascii="宋体" w:hAnsi="宋体" w:cs="Courier New"/>
                <w:color w:val="auto"/>
                <w:szCs w:val="21"/>
              </w:rPr>
              <w:t>=</w:t>
            </w:r>
            <w:r>
              <w:rPr>
                <w:rFonts w:hint="eastAsia" w:ascii="宋体" w:hAnsi="宋体" w:cs="Courier New"/>
                <w:color w:val="auto"/>
                <w:szCs w:val="21"/>
              </w:rPr>
              <w:t>①×②</w:t>
            </w:r>
          </w:p>
        </w:tc>
      </w:tr>
      <w:tr w14:paraId="05C5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2A08716E">
            <w:pPr>
              <w:spacing w:line="440" w:lineRule="exact"/>
              <w:ind w:right="-34" w:rightChars="-16"/>
              <w:jc w:val="center"/>
              <w:rPr>
                <w:rFonts w:hint="eastAsia" w:ascii="宋体" w:hAnsi="宋体"/>
                <w:color w:val="auto"/>
                <w:sz w:val="24"/>
              </w:rPr>
            </w:pPr>
            <w:r>
              <w:rPr>
                <w:rFonts w:hint="eastAsia" w:ascii="宋体" w:hAnsi="宋体"/>
                <w:color w:val="auto"/>
                <w:sz w:val="24"/>
              </w:rPr>
              <w:t>1</w:t>
            </w:r>
          </w:p>
        </w:tc>
        <w:tc>
          <w:tcPr>
            <w:tcW w:w="1145" w:type="dxa"/>
            <w:vAlign w:val="center"/>
          </w:tcPr>
          <w:p w14:paraId="699D5E06">
            <w:pPr>
              <w:spacing w:line="440" w:lineRule="exact"/>
              <w:ind w:firstLine="33" w:firstLineChars="16"/>
              <w:jc w:val="center"/>
              <w:rPr>
                <w:rFonts w:hint="eastAsia" w:ascii="宋体" w:hAnsi="宋体"/>
                <w:color w:val="auto"/>
              </w:rPr>
            </w:pPr>
          </w:p>
        </w:tc>
        <w:tc>
          <w:tcPr>
            <w:tcW w:w="698" w:type="dxa"/>
            <w:vAlign w:val="center"/>
          </w:tcPr>
          <w:p w14:paraId="6249A50D">
            <w:pPr>
              <w:spacing w:line="440" w:lineRule="exact"/>
              <w:ind w:firstLine="35" w:firstLineChars="17"/>
              <w:jc w:val="center"/>
              <w:rPr>
                <w:rFonts w:hint="eastAsia" w:ascii="宋体" w:hAnsi="宋体"/>
                <w:color w:val="auto"/>
              </w:rPr>
            </w:pPr>
          </w:p>
        </w:tc>
        <w:tc>
          <w:tcPr>
            <w:tcW w:w="709" w:type="dxa"/>
            <w:vAlign w:val="center"/>
          </w:tcPr>
          <w:p w14:paraId="640A5848">
            <w:pPr>
              <w:spacing w:line="440" w:lineRule="exact"/>
              <w:jc w:val="center"/>
              <w:rPr>
                <w:rFonts w:hint="eastAsia" w:ascii="宋体" w:hAnsi="宋体"/>
                <w:color w:val="auto"/>
              </w:rPr>
            </w:pPr>
          </w:p>
        </w:tc>
        <w:tc>
          <w:tcPr>
            <w:tcW w:w="708" w:type="dxa"/>
            <w:vAlign w:val="center"/>
          </w:tcPr>
          <w:p w14:paraId="668D8D38">
            <w:pPr>
              <w:spacing w:line="440" w:lineRule="exact"/>
              <w:ind w:firstLine="23" w:firstLineChars="11"/>
              <w:jc w:val="center"/>
              <w:rPr>
                <w:rFonts w:hint="eastAsia" w:ascii="宋体" w:hAnsi="宋体"/>
                <w:color w:val="auto"/>
              </w:rPr>
            </w:pPr>
          </w:p>
        </w:tc>
        <w:tc>
          <w:tcPr>
            <w:tcW w:w="1701" w:type="dxa"/>
            <w:vAlign w:val="center"/>
          </w:tcPr>
          <w:p w14:paraId="7C19B1C8">
            <w:pPr>
              <w:spacing w:line="440" w:lineRule="exact"/>
              <w:ind w:firstLine="23" w:firstLineChars="11"/>
              <w:jc w:val="center"/>
              <w:rPr>
                <w:rFonts w:hint="eastAsia" w:ascii="宋体" w:hAnsi="宋体"/>
                <w:color w:val="auto"/>
              </w:rPr>
            </w:pPr>
          </w:p>
        </w:tc>
        <w:tc>
          <w:tcPr>
            <w:tcW w:w="1701" w:type="dxa"/>
            <w:vAlign w:val="center"/>
          </w:tcPr>
          <w:p w14:paraId="40CDF136">
            <w:pPr>
              <w:spacing w:line="440" w:lineRule="exact"/>
              <w:jc w:val="center"/>
              <w:rPr>
                <w:rFonts w:hint="eastAsia" w:ascii="宋体" w:hAnsi="宋体"/>
                <w:color w:val="auto"/>
              </w:rPr>
            </w:pPr>
          </w:p>
        </w:tc>
        <w:tc>
          <w:tcPr>
            <w:tcW w:w="851" w:type="dxa"/>
            <w:vAlign w:val="center"/>
          </w:tcPr>
          <w:p w14:paraId="3CDAFFEC">
            <w:pPr>
              <w:spacing w:line="440" w:lineRule="exact"/>
              <w:jc w:val="center"/>
              <w:rPr>
                <w:rFonts w:hint="eastAsia" w:ascii="宋体" w:hAnsi="宋体"/>
                <w:color w:val="auto"/>
              </w:rPr>
            </w:pPr>
          </w:p>
        </w:tc>
        <w:tc>
          <w:tcPr>
            <w:tcW w:w="1340" w:type="dxa"/>
            <w:vAlign w:val="center"/>
          </w:tcPr>
          <w:p w14:paraId="3D5471B9">
            <w:pPr>
              <w:spacing w:line="440" w:lineRule="exact"/>
              <w:jc w:val="center"/>
              <w:rPr>
                <w:rFonts w:hint="eastAsia" w:ascii="宋体" w:hAnsi="宋体"/>
                <w:color w:val="auto"/>
              </w:rPr>
            </w:pPr>
          </w:p>
        </w:tc>
      </w:tr>
      <w:tr w14:paraId="6074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390C33EC">
            <w:pPr>
              <w:spacing w:line="440" w:lineRule="exact"/>
              <w:jc w:val="center"/>
              <w:rPr>
                <w:rFonts w:hint="eastAsia" w:ascii="宋体" w:hAnsi="宋体"/>
                <w:color w:val="auto"/>
                <w:sz w:val="24"/>
              </w:rPr>
            </w:pPr>
            <w:r>
              <w:rPr>
                <w:rFonts w:hint="eastAsia" w:ascii="宋体" w:hAnsi="宋体"/>
                <w:color w:val="auto"/>
                <w:sz w:val="24"/>
              </w:rPr>
              <w:t>2</w:t>
            </w:r>
          </w:p>
        </w:tc>
        <w:tc>
          <w:tcPr>
            <w:tcW w:w="1145" w:type="dxa"/>
            <w:vAlign w:val="center"/>
          </w:tcPr>
          <w:p w14:paraId="2960F5B7">
            <w:pPr>
              <w:spacing w:line="440" w:lineRule="exact"/>
              <w:ind w:firstLine="33" w:firstLineChars="16"/>
              <w:jc w:val="center"/>
              <w:rPr>
                <w:rFonts w:hint="eastAsia" w:ascii="宋体" w:hAnsi="宋体"/>
                <w:color w:val="auto"/>
              </w:rPr>
            </w:pPr>
          </w:p>
        </w:tc>
        <w:tc>
          <w:tcPr>
            <w:tcW w:w="698" w:type="dxa"/>
            <w:vAlign w:val="center"/>
          </w:tcPr>
          <w:p w14:paraId="2FC9D32B">
            <w:pPr>
              <w:spacing w:line="440" w:lineRule="exact"/>
              <w:ind w:firstLine="35" w:firstLineChars="17"/>
              <w:jc w:val="center"/>
              <w:rPr>
                <w:rFonts w:hint="eastAsia" w:ascii="宋体" w:hAnsi="宋体"/>
                <w:color w:val="auto"/>
              </w:rPr>
            </w:pPr>
          </w:p>
        </w:tc>
        <w:tc>
          <w:tcPr>
            <w:tcW w:w="709" w:type="dxa"/>
            <w:vAlign w:val="center"/>
          </w:tcPr>
          <w:p w14:paraId="0D73338C">
            <w:pPr>
              <w:spacing w:line="440" w:lineRule="exact"/>
              <w:jc w:val="center"/>
              <w:rPr>
                <w:rFonts w:hint="eastAsia" w:ascii="宋体" w:hAnsi="宋体"/>
                <w:color w:val="auto"/>
              </w:rPr>
            </w:pPr>
          </w:p>
        </w:tc>
        <w:tc>
          <w:tcPr>
            <w:tcW w:w="708" w:type="dxa"/>
            <w:vAlign w:val="center"/>
          </w:tcPr>
          <w:p w14:paraId="06B5FADD">
            <w:pPr>
              <w:spacing w:line="440" w:lineRule="exact"/>
              <w:ind w:firstLine="23" w:firstLineChars="11"/>
              <w:jc w:val="center"/>
              <w:rPr>
                <w:rFonts w:hint="eastAsia" w:ascii="宋体" w:hAnsi="宋体"/>
                <w:color w:val="auto"/>
              </w:rPr>
            </w:pPr>
          </w:p>
        </w:tc>
        <w:tc>
          <w:tcPr>
            <w:tcW w:w="1701" w:type="dxa"/>
            <w:vAlign w:val="center"/>
          </w:tcPr>
          <w:p w14:paraId="32080939">
            <w:pPr>
              <w:spacing w:line="440" w:lineRule="exact"/>
              <w:ind w:firstLine="23" w:firstLineChars="11"/>
              <w:jc w:val="center"/>
              <w:rPr>
                <w:rFonts w:hint="eastAsia" w:ascii="宋体" w:hAnsi="宋体"/>
                <w:color w:val="auto"/>
              </w:rPr>
            </w:pPr>
          </w:p>
        </w:tc>
        <w:tc>
          <w:tcPr>
            <w:tcW w:w="1701" w:type="dxa"/>
            <w:vAlign w:val="center"/>
          </w:tcPr>
          <w:p w14:paraId="6C1C293D">
            <w:pPr>
              <w:spacing w:line="440" w:lineRule="exact"/>
              <w:jc w:val="center"/>
              <w:rPr>
                <w:rFonts w:hint="eastAsia" w:ascii="宋体" w:hAnsi="宋体"/>
                <w:color w:val="auto"/>
              </w:rPr>
            </w:pPr>
          </w:p>
        </w:tc>
        <w:tc>
          <w:tcPr>
            <w:tcW w:w="851" w:type="dxa"/>
            <w:vAlign w:val="center"/>
          </w:tcPr>
          <w:p w14:paraId="52842CBD">
            <w:pPr>
              <w:spacing w:line="440" w:lineRule="exact"/>
              <w:jc w:val="center"/>
              <w:rPr>
                <w:rFonts w:hint="eastAsia" w:ascii="宋体" w:hAnsi="宋体"/>
                <w:color w:val="auto"/>
              </w:rPr>
            </w:pPr>
          </w:p>
        </w:tc>
        <w:tc>
          <w:tcPr>
            <w:tcW w:w="1340" w:type="dxa"/>
            <w:vAlign w:val="center"/>
          </w:tcPr>
          <w:p w14:paraId="5E9BD4C6">
            <w:pPr>
              <w:spacing w:line="440" w:lineRule="exact"/>
              <w:jc w:val="center"/>
              <w:rPr>
                <w:rFonts w:hint="eastAsia" w:ascii="宋体" w:hAnsi="宋体"/>
                <w:color w:val="auto"/>
              </w:rPr>
            </w:pPr>
          </w:p>
        </w:tc>
      </w:tr>
      <w:tr w14:paraId="3ECA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664F5375">
            <w:pPr>
              <w:spacing w:line="440" w:lineRule="exact"/>
              <w:jc w:val="center"/>
              <w:rPr>
                <w:rFonts w:hint="eastAsia" w:ascii="宋体" w:hAnsi="宋体"/>
                <w:color w:val="auto"/>
                <w:sz w:val="24"/>
              </w:rPr>
            </w:pPr>
            <w:r>
              <w:rPr>
                <w:rFonts w:hint="eastAsia" w:ascii="宋体" w:hAnsi="宋体"/>
                <w:color w:val="auto"/>
                <w:sz w:val="24"/>
              </w:rPr>
              <w:t>3</w:t>
            </w:r>
          </w:p>
        </w:tc>
        <w:tc>
          <w:tcPr>
            <w:tcW w:w="1145" w:type="dxa"/>
            <w:vAlign w:val="center"/>
          </w:tcPr>
          <w:p w14:paraId="6F7AF774">
            <w:pPr>
              <w:spacing w:line="440" w:lineRule="exact"/>
              <w:ind w:firstLine="33" w:firstLineChars="16"/>
              <w:jc w:val="center"/>
              <w:rPr>
                <w:rFonts w:hint="eastAsia" w:ascii="宋体" w:hAnsi="宋体"/>
                <w:color w:val="auto"/>
              </w:rPr>
            </w:pPr>
          </w:p>
        </w:tc>
        <w:tc>
          <w:tcPr>
            <w:tcW w:w="698" w:type="dxa"/>
            <w:vAlign w:val="center"/>
          </w:tcPr>
          <w:p w14:paraId="512A3135">
            <w:pPr>
              <w:spacing w:line="440" w:lineRule="exact"/>
              <w:ind w:firstLine="35" w:firstLineChars="17"/>
              <w:jc w:val="center"/>
              <w:rPr>
                <w:rFonts w:hint="eastAsia" w:ascii="宋体" w:hAnsi="宋体"/>
                <w:color w:val="auto"/>
              </w:rPr>
            </w:pPr>
          </w:p>
        </w:tc>
        <w:tc>
          <w:tcPr>
            <w:tcW w:w="709" w:type="dxa"/>
            <w:vAlign w:val="center"/>
          </w:tcPr>
          <w:p w14:paraId="5884141B">
            <w:pPr>
              <w:spacing w:line="440" w:lineRule="exact"/>
              <w:jc w:val="center"/>
              <w:rPr>
                <w:rFonts w:hint="eastAsia" w:ascii="宋体" w:hAnsi="宋体"/>
                <w:color w:val="auto"/>
              </w:rPr>
            </w:pPr>
          </w:p>
        </w:tc>
        <w:tc>
          <w:tcPr>
            <w:tcW w:w="708" w:type="dxa"/>
            <w:vAlign w:val="center"/>
          </w:tcPr>
          <w:p w14:paraId="3EC94793">
            <w:pPr>
              <w:spacing w:line="440" w:lineRule="exact"/>
              <w:ind w:firstLine="23" w:firstLineChars="11"/>
              <w:jc w:val="center"/>
              <w:rPr>
                <w:rFonts w:hint="eastAsia" w:ascii="宋体" w:hAnsi="宋体"/>
                <w:color w:val="auto"/>
              </w:rPr>
            </w:pPr>
          </w:p>
        </w:tc>
        <w:tc>
          <w:tcPr>
            <w:tcW w:w="1701" w:type="dxa"/>
            <w:vAlign w:val="center"/>
          </w:tcPr>
          <w:p w14:paraId="7EDD0EE7">
            <w:pPr>
              <w:spacing w:line="440" w:lineRule="exact"/>
              <w:ind w:firstLine="23" w:firstLineChars="11"/>
              <w:jc w:val="center"/>
              <w:rPr>
                <w:rFonts w:hint="eastAsia" w:ascii="宋体" w:hAnsi="宋体"/>
                <w:color w:val="auto"/>
              </w:rPr>
            </w:pPr>
          </w:p>
        </w:tc>
        <w:tc>
          <w:tcPr>
            <w:tcW w:w="1701" w:type="dxa"/>
            <w:vAlign w:val="center"/>
          </w:tcPr>
          <w:p w14:paraId="3934A8CC">
            <w:pPr>
              <w:spacing w:line="440" w:lineRule="exact"/>
              <w:jc w:val="center"/>
              <w:rPr>
                <w:rFonts w:hint="eastAsia" w:ascii="宋体" w:hAnsi="宋体"/>
                <w:color w:val="auto"/>
              </w:rPr>
            </w:pPr>
          </w:p>
        </w:tc>
        <w:tc>
          <w:tcPr>
            <w:tcW w:w="851" w:type="dxa"/>
            <w:vAlign w:val="center"/>
          </w:tcPr>
          <w:p w14:paraId="40E2D112">
            <w:pPr>
              <w:spacing w:line="440" w:lineRule="exact"/>
              <w:jc w:val="center"/>
              <w:rPr>
                <w:rFonts w:hint="eastAsia" w:ascii="宋体" w:hAnsi="宋体"/>
                <w:color w:val="auto"/>
              </w:rPr>
            </w:pPr>
          </w:p>
        </w:tc>
        <w:tc>
          <w:tcPr>
            <w:tcW w:w="1340" w:type="dxa"/>
            <w:vAlign w:val="center"/>
          </w:tcPr>
          <w:p w14:paraId="72826CAC">
            <w:pPr>
              <w:spacing w:line="440" w:lineRule="exact"/>
              <w:jc w:val="center"/>
              <w:rPr>
                <w:rFonts w:hint="eastAsia" w:ascii="宋体" w:hAnsi="宋体"/>
                <w:color w:val="auto"/>
              </w:rPr>
            </w:pPr>
          </w:p>
        </w:tc>
      </w:tr>
      <w:tr w14:paraId="4851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754CFF1D">
            <w:pPr>
              <w:spacing w:line="440" w:lineRule="exact"/>
              <w:jc w:val="center"/>
              <w:rPr>
                <w:rFonts w:hint="eastAsia" w:ascii="宋体" w:hAnsi="宋体"/>
                <w:color w:val="auto"/>
                <w:sz w:val="24"/>
              </w:rPr>
            </w:pPr>
            <w:r>
              <w:rPr>
                <w:rFonts w:ascii="宋体" w:hAnsi="宋体"/>
                <w:color w:val="auto"/>
                <w:sz w:val="24"/>
              </w:rPr>
              <w:t>…</w:t>
            </w:r>
          </w:p>
        </w:tc>
        <w:tc>
          <w:tcPr>
            <w:tcW w:w="1145" w:type="dxa"/>
            <w:vAlign w:val="center"/>
          </w:tcPr>
          <w:p w14:paraId="78296072">
            <w:pPr>
              <w:spacing w:line="440" w:lineRule="exact"/>
              <w:ind w:firstLine="33" w:firstLineChars="16"/>
              <w:jc w:val="center"/>
              <w:rPr>
                <w:rFonts w:hint="eastAsia" w:ascii="宋体" w:hAnsi="宋体"/>
                <w:color w:val="auto"/>
              </w:rPr>
            </w:pPr>
          </w:p>
        </w:tc>
        <w:tc>
          <w:tcPr>
            <w:tcW w:w="698" w:type="dxa"/>
            <w:vAlign w:val="center"/>
          </w:tcPr>
          <w:p w14:paraId="601E98A8">
            <w:pPr>
              <w:spacing w:line="440" w:lineRule="exact"/>
              <w:ind w:firstLine="35" w:firstLineChars="17"/>
              <w:jc w:val="center"/>
              <w:rPr>
                <w:rFonts w:hint="eastAsia" w:ascii="宋体" w:hAnsi="宋体"/>
                <w:color w:val="auto"/>
              </w:rPr>
            </w:pPr>
          </w:p>
        </w:tc>
        <w:tc>
          <w:tcPr>
            <w:tcW w:w="709" w:type="dxa"/>
            <w:vAlign w:val="center"/>
          </w:tcPr>
          <w:p w14:paraId="2E7CE5A5">
            <w:pPr>
              <w:spacing w:line="440" w:lineRule="exact"/>
              <w:jc w:val="center"/>
              <w:rPr>
                <w:rFonts w:hint="eastAsia" w:ascii="宋体" w:hAnsi="宋体"/>
                <w:color w:val="auto"/>
              </w:rPr>
            </w:pPr>
          </w:p>
        </w:tc>
        <w:tc>
          <w:tcPr>
            <w:tcW w:w="708" w:type="dxa"/>
            <w:vAlign w:val="center"/>
          </w:tcPr>
          <w:p w14:paraId="62A492DE">
            <w:pPr>
              <w:spacing w:line="440" w:lineRule="exact"/>
              <w:ind w:firstLine="23" w:firstLineChars="11"/>
              <w:jc w:val="center"/>
              <w:rPr>
                <w:rFonts w:hint="eastAsia" w:ascii="宋体" w:hAnsi="宋体"/>
                <w:color w:val="auto"/>
              </w:rPr>
            </w:pPr>
          </w:p>
        </w:tc>
        <w:tc>
          <w:tcPr>
            <w:tcW w:w="1701" w:type="dxa"/>
            <w:vAlign w:val="center"/>
          </w:tcPr>
          <w:p w14:paraId="778ADE1C">
            <w:pPr>
              <w:spacing w:line="440" w:lineRule="exact"/>
              <w:ind w:firstLine="23" w:firstLineChars="11"/>
              <w:jc w:val="center"/>
              <w:rPr>
                <w:rFonts w:hint="eastAsia" w:ascii="宋体" w:hAnsi="宋体"/>
                <w:color w:val="auto"/>
              </w:rPr>
            </w:pPr>
          </w:p>
        </w:tc>
        <w:tc>
          <w:tcPr>
            <w:tcW w:w="1701" w:type="dxa"/>
            <w:vAlign w:val="center"/>
          </w:tcPr>
          <w:p w14:paraId="3682FE5E">
            <w:pPr>
              <w:spacing w:line="440" w:lineRule="exact"/>
              <w:jc w:val="center"/>
              <w:rPr>
                <w:rFonts w:hint="eastAsia" w:ascii="宋体" w:hAnsi="宋体"/>
                <w:color w:val="auto"/>
              </w:rPr>
            </w:pPr>
          </w:p>
        </w:tc>
        <w:tc>
          <w:tcPr>
            <w:tcW w:w="851" w:type="dxa"/>
            <w:vAlign w:val="center"/>
          </w:tcPr>
          <w:p w14:paraId="6656896A">
            <w:pPr>
              <w:spacing w:line="440" w:lineRule="exact"/>
              <w:jc w:val="center"/>
              <w:rPr>
                <w:rFonts w:hint="eastAsia" w:ascii="宋体" w:hAnsi="宋体"/>
                <w:color w:val="auto"/>
              </w:rPr>
            </w:pPr>
          </w:p>
        </w:tc>
        <w:tc>
          <w:tcPr>
            <w:tcW w:w="1340" w:type="dxa"/>
            <w:vAlign w:val="center"/>
          </w:tcPr>
          <w:p w14:paraId="0F196B1C">
            <w:pPr>
              <w:spacing w:line="440" w:lineRule="exact"/>
              <w:jc w:val="center"/>
              <w:rPr>
                <w:rFonts w:hint="eastAsia" w:ascii="宋体" w:hAnsi="宋体"/>
                <w:color w:val="auto"/>
              </w:rPr>
            </w:pPr>
          </w:p>
        </w:tc>
      </w:tr>
      <w:tr w14:paraId="12DE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9"/>
            <w:vAlign w:val="center"/>
          </w:tcPr>
          <w:p w14:paraId="21B9ADF0">
            <w:pPr>
              <w:spacing w:line="440" w:lineRule="exact"/>
              <w:ind w:firstLine="27" w:firstLineChars="14"/>
              <w:rPr>
                <w:rFonts w:hint="eastAsia" w:ascii="宋体" w:hAnsi="宋体" w:cs="Courier New"/>
                <w:color w:val="auto"/>
                <w:spacing w:val="-6"/>
                <w:szCs w:val="21"/>
              </w:rPr>
            </w:pPr>
            <w:r>
              <w:rPr>
                <w:rFonts w:hint="eastAsia" w:ascii="宋体" w:hAnsi="宋体" w:cs="Courier New"/>
                <w:color w:val="auto"/>
                <w:spacing w:val="-6"/>
                <w:szCs w:val="21"/>
              </w:rPr>
              <w:t>总报价（人民币大写）：</w:t>
            </w:r>
            <w:r>
              <w:rPr>
                <w:rFonts w:hint="eastAsia" w:ascii="宋体" w:hAnsi="宋体" w:cs="Courier New"/>
                <w:color w:val="auto"/>
                <w:spacing w:val="-6"/>
                <w:szCs w:val="21"/>
                <w:u w:val="single"/>
              </w:rPr>
              <w:t xml:space="preserve">                                       </w:t>
            </w:r>
            <w:r>
              <w:rPr>
                <w:rFonts w:hint="eastAsia" w:ascii="宋体" w:hAnsi="宋体" w:cs="Courier New"/>
                <w:color w:val="auto"/>
                <w:spacing w:val="-6"/>
                <w:szCs w:val="21"/>
              </w:rPr>
              <w:t>（￥</w:t>
            </w:r>
            <w:r>
              <w:rPr>
                <w:rFonts w:hint="eastAsia" w:ascii="宋体" w:hAnsi="宋体" w:cs="Courier New"/>
                <w:color w:val="auto"/>
                <w:spacing w:val="-6"/>
                <w:szCs w:val="21"/>
                <w:u w:val="single"/>
              </w:rPr>
              <w:t xml:space="preserve">                       元</w:t>
            </w:r>
            <w:r>
              <w:rPr>
                <w:rFonts w:hint="eastAsia" w:ascii="宋体" w:hAnsi="宋体" w:cs="Courier New"/>
                <w:color w:val="auto"/>
                <w:spacing w:val="-6"/>
                <w:szCs w:val="21"/>
              </w:rPr>
              <w:t>）</w:t>
            </w:r>
          </w:p>
        </w:tc>
      </w:tr>
      <w:bookmarkEnd w:id="132"/>
    </w:tbl>
    <w:p w14:paraId="1EC0CEEC">
      <w:pPr>
        <w:spacing w:line="440" w:lineRule="exact"/>
        <w:rPr>
          <w:rFonts w:hint="eastAsia" w:ascii="宋体" w:hAnsi="宋体"/>
          <w:color w:val="auto"/>
          <w:szCs w:val="21"/>
        </w:rPr>
      </w:pPr>
      <w:r>
        <w:rPr>
          <w:rFonts w:hint="eastAsia" w:ascii="宋体" w:hAnsi="宋体"/>
          <w:color w:val="auto"/>
          <w:szCs w:val="21"/>
        </w:rPr>
        <w:t>注：1.所有价格均用人民币表示，单位为元，精确到个数位。</w:t>
      </w:r>
    </w:p>
    <w:p w14:paraId="2EFC84AD">
      <w:pPr>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bCs/>
          <w:color w:val="auto"/>
          <w:szCs w:val="21"/>
        </w:rPr>
        <w:t>2.总报价应包含货物、货物标准附件、备品备件、专用工具、设备安装辅材、包装、运输、保险等各种费用以及安装、调试、税金、售后服务、技术培训费、更新升级其所有成本费用。</w:t>
      </w:r>
    </w:p>
    <w:p w14:paraId="2EABF731">
      <w:pPr>
        <w:rPr>
          <w:color w:val="auto"/>
        </w:rPr>
      </w:pPr>
    </w:p>
    <w:p w14:paraId="1F2A2576">
      <w:pPr>
        <w:rPr>
          <w:color w:val="auto"/>
        </w:rPr>
      </w:pPr>
    </w:p>
    <w:p w14:paraId="3F7623C6">
      <w:pPr>
        <w:pStyle w:val="21"/>
        <w:spacing w:line="440" w:lineRule="exact"/>
        <w:ind w:firstLine="3675" w:firstLineChars="1750"/>
        <w:rPr>
          <w:rFonts w:hint="eastAsia" w:hAnsi="宋体"/>
          <w:color w:val="auto"/>
          <w:u w:val="single"/>
        </w:rPr>
      </w:pPr>
    </w:p>
    <w:p w14:paraId="2DCB22ED">
      <w:pPr>
        <w:pStyle w:val="21"/>
        <w:spacing w:line="440" w:lineRule="exact"/>
        <w:ind w:firstLine="3675" w:firstLineChars="1750"/>
        <w:rPr>
          <w:rFonts w:hint="eastAsia" w:hAnsi="宋体"/>
          <w:color w:val="auto"/>
          <w:u w:val="single"/>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00D38B76">
      <w:pPr>
        <w:spacing w:line="440" w:lineRule="exact"/>
        <w:ind w:firstLine="3675" w:firstLineChars="1750"/>
        <w:rPr>
          <w:rFonts w:hint="eastAsia" w:ascii="宋体" w:hAnsi="宋体"/>
          <w:color w:val="auto"/>
          <w:szCs w:val="21"/>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sectPr>
      <w:headerReference r:id="rId8" w:type="default"/>
      <w:footerReference r:id="rId9"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6D75">
    <w:pPr>
      <w:pStyle w:val="2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430AE">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7430AE">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35D4CE77">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B222">
    <w:pPr>
      <w:pStyle w:val="25"/>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2E87A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14:paraId="72E87A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49BE">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8A58E">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208A58E">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569ED">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4318117C">
                              <w:pPr>
                                <w:pStyle w:val="25"/>
                                <w:jc w:val="center"/>
                              </w:pPr>
                              <w:r>
                                <w:fldChar w:fldCharType="begin"/>
                              </w:r>
                              <w:r>
                                <w:instrText xml:space="preserve">PAGE   \* MERGEFORMAT</w:instrText>
                              </w:r>
                              <w:r>
                                <w:fldChar w:fldCharType="separate"/>
                              </w:r>
                              <w:r>
                                <w:t>23</w:t>
                              </w:r>
                              <w:r>
                                <w:fldChar w:fldCharType="end"/>
                              </w:r>
                            </w:p>
                          </w:sdtContent>
                        </w:sdt>
                        <w:p w14:paraId="0B731F4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
                    </w:sdtPr>
                    <w:sdtContent>
                      <w:p w14:paraId="4318117C">
                        <w:pPr>
                          <w:pStyle w:val="25"/>
                          <w:jc w:val="center"/>
                        </w:pPr>
                        <w:r>
                          <w:fldChar w:fldCharType="begin"/>
                        </w:r>
                        <w:r>
                          <w:instrText xml:space="preserve">PAGE   \* MERGEFORMAT</w:instrText>
                        </w:r>
                        <w:r>
                          <w:fldChar w:fldCharType="separate"/>
                        </w:r>
                        <w:r>
                          <w:t>23</w:t>
                        </w:r>
                        <w:r>
                          <w:fldChar w:fldCharType="end"/>
                        </w:r>
                      </w:p>
                    </w:sdtContent>
                  </w:sdt>
                  <w:p w14:paraId="0B731F41"/>
                </w:txbxContent>
              </v:textbox>
            </v:shape>
          </w:pict>
        </mc:Fallback>
      </mc:AlternateContent>
    </w:r>
  </w:p>
  <w:p w14:paraId="395E5241">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D99EC">
    <w:pPr>
      <w:pStyle w:val="26"/>
      <w:ind w:firstLine="2160" w:firstLineChars="1200"/>
      <w:jc w:val="both"/>
    </w:pPr>
    <w:r>
      <w:rPr>
        <w:rFonts w:hint="eastAsia"/>
        <w:lang w:eastAsia="zh-CN"/>
      </w:rPr>
      <w:t>浦北县第一职业技术学校2024年双优建设项目</w:t>
    </w:r>
    <w:r>
      <w:rPr>
        <w:rFonts w:hint="eastAsia"/>
      </w:rPr>
      <w:t xml:space="preserve"> (</w:t>
    </w:r>
    <w:r>
      <w:rPr>
        <w:rFonts w:hint="eastAsia"/>
        <w:lang w:eastAsia="zh-CN"/>
      </w:rPr>
      <w:t xml:space="preserve"> QZZC2025-J1-220138-QZSZ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8B78">
    <w:pPr>
      <w:pStyle w:val="26"/>
      <w:ind w:firstLine="540" w:firstLineChars="300"/>
      <w:jc w:val="both"/>
    </w:pPr>
    <w:r>
      <w:rPr>
        <w:rFonts w:hint="eastAsia"/>
        <w:lang w:eastAsia="zh-CN"/>
      </w:rPr>
      <w:t>浦北县第一职业技术学校2024年双优建设项目</w:t>
    </w:r>
    <w:r>
      <w:rPr>
        <w:rFonts w:hint="eastAsia"/>
      </w:rPr>
      <w:t xml:space="preserve"> (</w:t>
    </w:r>
    <w:r>
      <w:rPr>
        <w:rFonts w:hint="eastAsia"/>
        <w:lang w:eastAsia="zh-CN"/>
      </w:rPr>
      <w:t xml:space="preserve"> QZZC2025-J1-220138-QZSZ</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6332">
    <w:pPr>
      <w:pStyle w:val="26"/>
      <w:ind w:firstLine="1080" w:firstLineChars="600"/>
      <w:jc w:val="both"/>
    </w:pPr>
    <w:r>
      <w:rPr>
        <w:rFonts w:hint="eastAsia"/>
        <w:lang w:eastAsia="zh-CN"/>
      </w:rPr>
      <w:t>浦北县第一职业技术学校2024年双优建设项目</w:t>
    </w:r>
    <w:r>
      <w:rPr>
        <w:rFonts w:hint="eastAsia"/>
      </w:rPr>
      <w:t xml:space="preserve"> (</w:t>
    </w:r>
    <w:r>
      <w:rPr>
        <w:rFonts w:hint="eastAsia"/>
        <w:lang w:eastAsia="zh-CN"/>
      </w:rPr>
      <w:t xml:space="preserve"> QZZC2025-J1-220138-QZSZ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AF64DDF"/>
    <w:multiLevelType w:val="singleLevel"/>
    <w:tmpl w:val="CAF64DDF"/>
    <w:lvl w:ilvl="0" w:tentative="0">
      <w:start w:val="4"/>
      <w:numFmt w:val="chineseCounting"/>
      <w:suff w:val="nothing"/>
      <w:lvlText w:val="%1、"/>
      <w:lvlJc w:val="left"/>
      <w:rPr>
        <w:rFonts w:hint="eastAsia"/>
      </w:r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8">
    <w:nsid w:val="270266B9"/>
    <w:multiLevelType w:val="singleLevel"/>
    <w:tmpl w:val="270266B9"/>
    <w:lvl w:ilvl="0" w:tentative="0">
      <w:start w:val="1"/>
      <w:numFmt w:val="decimal"/>
      <w:lvlText w:val="%1."/>
      <w:lvlJc w:val="left"/>
      <w:pPr>
        <w:tabs>
          <w:tab w:val="left" w:pos="312"/>
        </w:tabs>
      </w:pPr>
    </w:lvl>
  </w:abstractNum>
  <w:abstractNum w:abstractNumId="9">
    <w:nsid w:val="6EE4D402"/>
    <w:multiLevelType w:val="singleLevel"/>
    <w:tmpl w:val="6EE4D402"/>
    <w:lvl w:ilvl="0" w:tentative="0">
      <w:start w:val="1"/>
      <w:numFmt w:val="decimal"/>
      <w:lvlText w:val="%1."/>
      <w:lvlJc w:val="left"/>
      <w:pPr>
        <w:tabs>
          <w:tab w:val="left" w:pos="312"/>
        </w:tabs>
      </w:pPr>
    </w:lvl>
  </w:abstractNum>
  <w:abstractNum w:abstractNumId="10">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9"/>
  </w:num>
  <w:num w:numId="4">
    <w:abstractNumId w:val="1"/>
  </w:num>
  <w:num w:numId="5">
    <w:abstractNumId w:val="10"/>
  </w:num>
  <w:num w:numId="6">
    <w:abstractNumId w:val="2"/>
  </w:num>
  <w:num w:numId="7">
    <w:abstractNumId w:val="6"/>
  </w:num>
  <w:num w:numId="8">
    <w:abstractNumId w:val="4"/>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NDNhMDYxZDRlNDM0MjMzM2NmYWYwMDk2OWE0MTQ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4D5"/>
    <w:rsid w:val="001A2637"/>
    <w:rsid w:val="001A270B"/>
    <w:rsid w:val="001A2CE9"/>
    <w:rsid w:val="001A37A7"/>
    <w:rsid w:val="001A395C"/>
    <w:rsid w:val="001A397E"/>
    <w:rsid w:val="001A3D56"/>
    <w:rsid w:val="001A4A03"/>
    <w:rsid w:val="001A4CFB"/>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5A3D"/>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6B15"/>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2F7"/>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6E8"/>
    <w:rsid w:val="005048DA"/>
    <w:rsid w:val="00504C15"/>
    <w:rsid w:val="00504CCB"/>
    <w:rsid w:val="00505537"/>
    <w:rsid w:val="00506754"/>
    <w:rsid w:val="00506C1E"/>
    <w:rsid w:val="00506CCD"/>
    <w:rsid w:val="0050717B"/>
    <w:rsid w:val="00507647"/>
    <w:rsid w:val="0051007E"/>
    <w:rsid w:val="00510BB6"/>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2F15"/>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65CB"/>
    <w:rsid w:val="00586646"/>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97E84"/>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57D"/>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348F"/>
    <w:rsid w:val="00DE34A7"/>
    <w:rsid w:val="00DE3907"/>
    <w:rsid w:val="00DE3A0D"/>
    <w:rsid w:val="00DE4ACE"/>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255330"/>
    <w:rsid w:val="01301ECB"/>
    <w:rsid w:val="01690227"/>
    <w:rsid w:val="01F255B3"/>
    <w:rsid w:val="01FB5C4F"/>
    <w:rsid w:val="0256548E"/>
    <w:rsid w:val="02657094"/>
    <w:rsid w:val="02890D36"/>
    <w:rsid w:val="029370C7"/>
    <w:rsid w:val="02960963"/>
    <w:rsid w:val="02BD78CB"/>
    <w:rsid w:val="02DE1725"/>
    <w:rsid w:val="02FF41F8"/>
    <w:rsid w:val="0314419D"/>
    <w:rsid w:val="04691FC5"/>
    <w:rsid w:val="04AD20F7"/>
    <w:rsid w:val="04E24159"/>
    <w:rsid w:val="04E81B1A"/>
    <w:rsid w:val="05097AD0"/>
    <w:rsid w:val="05187985"/>
    <w:rsid w:val="053A4F12"/>
    <w:rsid w:val="053C0C8A"/>
    <w:rsid w:val="056D174C"/>
    <w:rsid w:val="056D3AD0"/>
    <w:rsid w:val="05A37EBD"/>
    <w:rsid w:val="05B64463"/>
    <w:rsid w:val="05CC0E93"/>
    <w:rsid w:val="05F306FA"/>
    <w:rsid w:val="06443FD4"/>
    <w:rsid w:val="066C1DBB"/>
    <w:rsid w:val="066E7569"/>
    <w:rsid w:val="06A13863"/>
    <w:rsid w:val="06BD225B"/>
    <w:rsid w:val="06BE3CA7"/>
    <w:rsid w:val="07277E4A"/>
    <w:rsid w:val="072B3DB9"/>
    <w:rsid w:val="0730481F"/>
    <w:rsid w:val="073F1CAD"/>
    <w:rsid w:val="07B16AC6"/>
    <w:rsid w:val="08073E22"/>
    <w:rsid w:val="081437C9"/>
    <w:rsid w:val="087424D8"/>
    <w:rsid w:val="08822685"/>
    <w:rsid w:val="08FA104A"/>
    <w:rsid w:val="08FA57C7"/>
    <w:rsid w:val="099F3178"/>
    <w:rsid w:val="09AA1547"/>
    <w:rsid w:val="09E3201C"/>
    <w:rsid w:val="0A18470E"/>
    <w:rsid w:val="0A765FB8"/>
    <w:rsid w:val="0A814349"/>
    <w:rsid w:val="0AB02A92"/>
    <w:rsid w:val="0AF8308E"/>
    <w:rsid w:val="0B581C7A"/>
    <w:rsid w:val="0B832C72"/>
    <w:rsid w:val="0BB35B91"/>
    <w:rsid w:val="0BD25EA5"/>
    <w:rsid w:val="0BE04A65"/>
    <w:rsid w:val="0C1634CB"/>
    <w:rsid w:val="0C483CB5"/>
    <w:rsid w:val="0C5F0057"/>
    <w:rsid w:val="0C6D77AF"/>
    <w:rsid w:val="0C7F0993"/>
    <w:rsid w:val="0CAF268A"/>
    <w:rsid w:val="0D38584D"/>
    <w:rsid w:val="0D6126DC"/>
    <w:rsid w:val="0D8D654B"/>
    <w:rsid w:val="0DA914DF"/>
    <w:rsid w:val="0E263246"/>
    <w:rsid w:val="0E26741D"/>
    <w:rsid w:val="0E3015D7"/>
    <w:rsid w:val="0E6A02CB"/>
    <w:rsid w:val="0EBB17B7"/>
    <w:rsid w:val="0F035E77"/>
    <w:rsid w:val="0F1C5B09"/>
    <w:rsid w:val="0F2446FC"/>
    <w:rsid w:val="0F9206B9"/>
    <w:rsid w:val="101500B2"/>
    <w:rsid w:val="10507C42"/>
    <w:rsid w:val="105A7962"/>
    <w:rsid w:val="10944E27"/>
    <w:rsid w:val="109C3C4F"/>
    <w:rsid w:val="11341659"/>
    <w:rsid w:val="115C57C9"/>
    <w:rsid w:val="11B12A7E"/>
    <w:rsid w:val="11BC2E71"/>
    <w:rsid w:val="11F62C07"/>
    <w:rsid w:val="12314CA5"/>
    <w:rsid w:val="123E24E6"/>
    <w:rsid w:val="124F3295"/>
    <w:rsid w:val="136A106C"/>
    <w:rsid w:val="13737B75"/>
    <w:rsid w:val="13894B8D"/>
    <w:rsid w:val="13B43E61"/>
    <w:rsid w:val="147719A1"/>
    <w:rsid w:val="1484195D"/>
    <w:rsid w:val="148C1946"/>
    <w:rsid w:val="14A4244E"/>
    <w:rsid w:val="14AD2260"/>
    <w:rsid w:val="14B8240A"/>
    <w:rsid w:val="14F0383F"/>
    <w:rsid w:val="154C7218"/>
    <w:rsid w:val="155557E1"/>
    <w:rsid w:val="156D5FF4"/>
    <w:rsid w:val="15F333DA"/>
    <w:rsid w:val="16AE3114"/>
    <w:rsid w:val="17707100"/>
    <w:rsid w:val="17853822"/>
    <w:rsid w:val="17E06C0C"/>
    <w:rsid w:val="1868584B"/>
    <w:rsid w:val="18947263"/>
    <w:rsid w:val="18BF3C55"/>
    <w:rsid w:val="195A572B"/>
    <w:rsid w:val="196C5A40"/>
    <w:rsid w:val="19C2556A"/>
    <w:rsid w:val="19C41B53"/>
    <w:rsid w:val="1A2608F3"/>
    <w:rsid w:val="1A2A3350"/>
    <w:rsid w:val="1A336B23"/>
    <w:rsid w:val="1A9019A5"/>
    <w:rsid w:val="1A9F789A"/>
    <w:rsid w:val="1B28788F"/>
    <w:rsid w:val="1B686DBB"/>
    <w:rsid w:val="1B824877"/>
    <w:rsid w:val="1BCD57AB"/>
    <w:rsid w:val="1C0E1A98"/>
    <w:rsid w:val="1C2078F3"/>
    <w:rsid w:val="1C490289"/>
    <w:rsid w:val="1C6F4FB4"/>
    <w:rsid w:val="1C8F08AF"/>
    <w:rsid w:val="1CA6768D"/>
    <w:rsid w:val="1CDB5968"/>
    <w:rsid w:val="1CE5110B"/>
    <w:rsid w:val="1CFE635D"/>
    <w:rsid w:val="1D1E53EE"/>
    <w:rsid w:val="1D1F6145"/>
    <w:rsid w:val="1D3369BF"/>
    <w:rsid w:val="1D54432D"/>
    <w:rsid w:val="1DA82A10"/>
    <w:rsid w:val="1DC86030"/>
    <w:rsid w:val="1E2D620F"/>
    <w:rsid w:val="1E422931"/>
    <w:rsid w:val="1EA615BB"/>
    <w:rsid w:val="1ED10ED1"/>
    <w:rsid w:val="1ED40638"/>
    <w:rsid w:val="1F306401"/>
    <w:rsid w:val="1F4277F5"/>
    <w:rsid w:val="1F5E4382"/>
    <w:rsid w:val="1F7D5FAC"/>
    <w:rsid w:val="201812D5"/>
    <w:rsid w:val="20621846"/>
    <w:rsid w:val="2066678B"/>
    <w:rsid w:val="207A7435"/>
    <w:rsid w:val="208244E5"/>
    <w:rsid w:val="208337BA"/>
    <w:rsid w:val="208B3C6E"/>
    <w:rsid w:val="20B80C41"/>
    <w:rsid w:val="213456A4"/>
    <w:rsid w:val="217E06CB"/>
    <w:rsid w:val="21A36F99"/>
    <w:rsid w:val="21BD09EA"/>
    <w:rsid w:val="21C734F7"/>
    <w:rsid w:val="21D2510C"/>
    <w:rsid w:val="221C424A"/>
    <w:rsid w:val="22352DE9"/>
    <w:rsid w:val="22352E85"/>
    <w:rsid w:val="22550749"/>
    <w:rsid w:val="22B60C01"/>
    <w:rsid w:val="22B91715"/>
    <w:rsid w:val="231879A1"/>
    <w:rsid w:val="23242793"/>
    <w:rsid w:val="2349711F"/>
    <w:rsid w:val="237D1557"/>
    <w:rsid w:val="239A46F7"/>
    <w:rsid w:val="2411343C"/>
    <w:rsid w:val="2425741B"/>
    <w:rsid w:val="247174BF"/>
    <w:rsid w:val="24855F40"/>
    <w:rsid w:val="249E6E14"/>
    <w:rsid w:val="249F6523"/>
    <w:rsid w:val="24A54BEC"/>
    <w:rsid w:val="24EE61B2"/>
    <w:rsid w:val="2593314B"/>
    <w:rsid w:val="25975E01"/>
    <w:rsid w:val="25AD1ED4"/>
    <w:rsid w:val="25B84A72"/>
    <w:rsid w:val="26CA35AD"/>
    <w:rsid w:val="2749366C"/>
    <w:rsid w:val="27BD5803"/>
    <w:rsid w:val="28145A17"/>
    <w:rsid w:val="28B1694E"/>
    <w:rsid w:val="28BC0562"/>
    <w:rsid w:val="28F860D0"/>
    <w:rsid w:val="29747D10"/>
    <w:rsid w:val="298635F5"/>
    <w:rsid w:val="29931B49"/>
    <w:rsid w:val="29EA739F"/>
    <w:rsid w:val="29F96A50"/>
    <w:rsid w:val="2A1F2738"/>
    <w:rsid w:val="2A2D713F"/>
    <w:rsid w:val="2A423861"/>
    <w:rsid w:val="2A63541A"/>
    <w:rsid w:val="2A7964DB"/>
    <w:rsid w:val="2A8F5EDF"/>
    <w:rsid w:val="2AA84B6D"/>
    <w:rsid w:val="2ABF0192"/>
    <w:rsid w:val="2AFB6893"/>
    <w:rsid w:val="2B230073"/>
    <w:rsid w:val="2B5B1830"/>
    <w:rsid w:val="2B6A0848"/>
    <w:rsid w:val="2B937D0B"/>
    <w:rsid w:val="2BB521F8"/>
    <w:rsid w:val="2BC876CA"/>
    <w:rsid w:val="2C773E97"/>
    <w:rsid w:val="2CBF5B6F"/>
    <w:rsid w:val="2CC54020"/>
    <w:rsid w:val="2D185E53"/>
    <w:rsid w:val="2D566901"/>
    <w:rsid w:val="2D7D2E49"/>
    <w:rsid w:val="2D966AB6"/>
    <w:rsid w:val="2DCA0C7A"/>
    <w:rsid w:val="2E0B1B47"/>
    <w:rsid w:val="2E1E06B9"/>
    <w:rsid w:val="2EAD630D"/>
    <w:rsid w:val="2EB61B31"/>
    <w:rsid w:val="2EDE1D07"/>
    <w:rsid w:val="2EF8259B"/>
    <w:rsid w:val="2EF8398F"/>
    <w:rsid w:val="2F2537C4"/>
    <w:rsid w:val="2F2954D5"/>
    <w:rsid w:val="2F8F3DC0"/>
    <w:rsid w:val="2F9959A7"/>
    <w:rsid w:val="2FDE4A00"/>
    <w:rsid w:val="3023432F"/>
    <w:rsid w:val="30251807"/>
    <w:rsid w:val="30575FA2"/>
    <w:rsid w:val="30633998"/>
    <w:rsid w:val="30A316D0"/>
    <w:rsid w:val="30A957E4"/>
    <w:rsid w:val="30C56DD2"/>
    <w:rsid w:val="30E177A7"/>
    <w:rsid w:val="314225B0"/>
    <w:rsid w:val="3198766B"/>
    <w:rsid w:val="319D0DD6"/>
    <w:rsid w:val="323B7E0F"/>
    <w:rsid w:val="328E3A30"/>
    <w:rsid w:val="32CA15BD"/>
    <w:rsid w:val="32DE1F01"/>
    <w:rsid w:val="331630E9"/>
    <w:rsid w:val="335F6FD7"/>
    <w:rsid w:val="33EB76A9"/>
    <w:rsid w:val="34227F73"/>
    <w:rsid w:val="3430230D"/>
    <w:rsid w:val="34377FF9"/>
    <w:rsid w:val="343B6470"/>
    <w:rsid w:val="34B6585F"/>
    <w:rsid w:val="34C131AF"/>
    <w:rsid w:val="34CA3577"/>
    <w:rsid w:val="34E520F2"/>
    <w:rsid w:val="34E87C04"/>
    <w:rsid w:val="35476355"/>
    <w:rsid w:val="356928AF"/>
    <w:rsid w:val="35D579E0"/>
    <w:rsid w:val="35E84393"/>
    <w:rsid w:val="35F322D0"/>
    <w:rsid w:val="36013D27"/>
    <w:rsid w:val="36025D97"/>
    <w:rsid w:val="36B45A08"/>
    <w:rsid w:val="36C9251E"/>
    <w:rsid w:val="36E47B9D"/>
    <w:rsid w:val="370928C0"/>
    <w:rsid w:val="3747231F"/>
    <w:rsid w:val="37645C9B"/>
    <w:rsid w:val="376C2F19"/>
    <w:rsid w:val="37A23B04"/>
    <w:rsid w:val="38095130"/>
    <w:rsid w:val="382A30AF"/>
    <w:rsid w:val="38413B63"/>
    <w:rsid w:val="386A72E1"/>
    <w:rsid w:val="38733E42"/>
    <w:rsid w:val="38C2712E"/>
    <w:rsid w:val="38EB4DDC"/>
    <w:rsid w:val="39A62C24"/>
    <w:rsid w:val="39CB790F"/>
    <w:rsid w:val="39CF05D0"/>
    <w:rsid w:val="39ED53DC"/>
    <w:rsid w:val="39F45841"/>
    <w:rsid w:val="3A29797A"/>
    <w:rsid w:val="3A3E409C"/>
    <w:rsid w:val="3A5B7D04"/>
    <w:rsid w:val="3AAB6697"/>
    <w:rsid w:val="3AB30E95"/>
    <w:rsid w:val="3AF15396"/>
    <w:rsid w:val="3B045C51"/>
    <w:rsid w:val="3B1D351E"/>
    <w:rsid w:val="3B2575DE"/>
    <w:rsid w:val="3B2F5F58"/>
    <w:rsid w:val="3B426CC9"/>
    <w:rsid w:val="3B863442"/>
    <w:rsid w:val="3C5D1BB7"/>
    <w:rsid w:val="3C682428"/>
    <w:rsid w:val="3C9402BA"/>
    <w:rsid w:val="3CB70770"/>
    <w:rsid w:val="3CF66AB4"/>
    <w:rsid w:val="3D3034A4"/>
    <w:rsid w:val="3D417B8C"/>
    <w:rsid w:val="3D4C5F1D"/>
    <w:rsid w:val="3DEB0EC4"/>
    <w:rsid w:val="3E1A5671"/>
    <w:rsid w:val="3E220650"/>
    <w:rsid w:val="3E667CEF"/>
    <w:rsid w:val="3E6809D1"/>
    <w:rsid w:val="3E780B78"/>
    <w:rsid w:val="3ED21E29"/>
    <w:rsid w:val="3ED34AA0"/>
    <w:rsid w:val="3EEC5C83"/>
    <w:rsid w:val="3F2A54AE"/>
    <w:rsid w:val="3F6E789D"/>
    <w:rsid w:val="3FE04FF8"/>
    <w:rsid w:val="3FED2FEE"/>
    <w:rsid w:val="40610FCA"/>
    <w:rsid w:val="406A624F"/>
    <w:rsid w:val="40B118C6"/>
    <w:rsid w:val="40CE78E8"/>
    <w:rsid w:val="40FE0BC1"/>
    <w:rsid w:val="412874F2"/>
    <w:rsid w:val="41517290"/>
    <w:rsid w:val="41664225"/>
    <w:rsid w:val="4194717D"/>
    <w:rsid w:val="42014C57"/>
    <w:rsid w:val="42161379"/>
    <w:rsid w:val="423C2DDB"/>
    <w:rsid w:val="42AF6075"/>
    <w:rsid w:val="42CC520C"/>
    <w:rsid w:val="42CF43AB"/>
    <w:rsid w:val="42E12969"/>
    <w:rsid w:val="42ED0561"/>
    <w:rsid w:val="42EE6E5E"/>
    <w:rsid w:val="430F4AB3"/>
    <w:rsid w:val="43204EC2"/>
    <w:rsid w:val="43C845C3"/>
    <w:rsid w:val="44006D4C"/>
    <w:rsid w:val="44015629"/>
    <w:rsid w:val="447B4624"/>
    <w:rsid w:val="44A479C5"/>
    <w:rsid w:val="44A553F2"/>
    <w:rsid w:val="44ED7546"/>
    <w:rsid w:val="44FF51C4"/>
    <w:rsid w:val="457B1CEE"/>
    <w:rsid w:val="45AA6F6F"/>
    <w:rsid w:val="46077F6D"/>
    <w:rsid w:val="46737A24"/>
    <w:rsid w:val="46844CC8"/>
    <w:rsid w:val="469D0882"/>
    <w:rsid w:val="46CA0433"/>
    <w:rsid w:val="46DE264B"/>
    <w:rsid w:val="46E22556"/>
    <w:rsid w:val="47530F1F"/>
    <w:rsid w:val="47772728"/>
    <w:rsid w:val="47B4245A"/>
    <w:rsid w:val="47C876CB"/>
    <w:rsid w:val="47D73A93"/>
    <w:rsid w:val="47EC1AC1"/>
    <w:rsid w:val="48034366"/>
    <w:rsid w:val="481B4154"/>
    <w:rsid w:val="482A7FA0"/>
    <w:rsid w:val="48516FB5"/>
    <w:rsid w:val="4860425D"/>
    <w:rsid w:val="488E0B7F"/>
    <w:rsid w:val="48910A08"/>
    <w:rsid w:val="48B459D5"/>
    <w:rsid w:val="48D21BB1"/>
    <w:rsid w:val="48F416EC"/>
    <w:rsid w:val="49497D40"/>
    <w:rsid w:val="494D37A0"/>
    <w:rsid w:val="49BD3AE3"/>
    <w:rsid w:val="49C44B36"/>
    <w:rsid w:val="49EF612F"/>
    <w:rsid w:val="49FB2EE2"/>
    <w:rsid w:val="4A3A6E9E"/>
    <w:rsid w:val="4A5E657A"/>
    <w:rsid w:val="4A7D2EA4"/>
    <w:rsid w:val="4A9216E3"/>
    <w:rsid w:val="4AE820F1"/>
    <w:rsid w:val="4B0576C2"/>
    <w:rsid w:val="4B991F60"/>
    <w:rsid w:val="4BA62F67"/>
    <w:rsid w:val="4C3E19EB"/>
    <w:rsid w:val="4C681932"/>
    <w:rsid w:val="4CAA52F9"/>
    <w:rsid w:val="4D267823"/>
    <w:rsid w:val="4D9066EF"/>
    <w:rsid w:val="4DAB5852"/>
    <w:rsid w:val="4DD52FF7"/>
    <w:rsid w:val="4E584E31"/>
    <w:rsid w:val="4E6241F5"/>
    <w:rsid w:val="4E634927"/>
    <w:rsid w:val="4E751CC3"/>
    <w:rsid w:val="4EAD1E2E"/>
    <w:rsid w:val="4EBE1CDD"/>
    <w:rsid w:val="4F0244ED"/>
    <w:rsid w:val="4F105D44"/>
    <w:rsid w:val="4F355850"/>
    <w:rsid w:val="4F5C4B3F"/>
    <w:rsid w:val="4F645657"/>
    <w:rsid w:val="4F8B14B0"/>
    <w:rsid w:val="4FB671CF"/>
    <w:rsid w:val="4FEFB9BD"/>
    <w:rsid w:val="4FFD7F4B"/>
    <w:rsid w:val="501F5F01"/>
    <w:rsid w:val="5063360F"/>
    <w:rsid w:val="5079308D"/>
    <w:rsid w:val="50BF05A8"/>
    <w:rsid w:val="50C11611"/>
    <w:rsid w:val="50E74F74"/>
    <w:rsid w:val="5144207A"/>
    <w:rsid w:val="51717068"/>
    <w:rsid w:val="51861BAA"/>
    <w:rsid w:val="519F5DF6"/>
    <w:rsid w:val="51A04A97"/>
    <w:rsid w:val="51DF1D99"/>
    <w:rsid w:val="52077FA0"/>
    <w:rsid w:val="523E6CC9"/>
    <w:rsid w:val="52D5390A"/>
    <w:rsid w:val="52E361B6"/>
    <w:rsid w:val="52F61E27"/>
    <w:rsid w:val="530B34BA"/>
    <w:rsid w:val="539D3912"/>
    <w:rsid w:val="53D224B3"/>
    <w:rsid w:val="545C6276"/>
    <w:rsid w:val="556C60B3"/>
    <w:rsid w:val="561A74D1"/>
    <w:rsid w:val="56474697"/>
    <w:rsid w:val="565A7F33"/>
    <w:rsid w:val="56A36D09"/>
    <w:rsid w:val="57283E0B"/>
    <w:rsid w:val="574A1DC1"/>
    <w:rsid w:val="578F1CA8"/>
    <w:rsid w:val="57AC7E74"/>
    <w:rsid w:val="57C00B06"/>
    <w:rsid w:val="58021570"/>
    <w:rsid w:val="580E5197"/>
    <w:rsid w:val="582C16A6"/>
    <w:rsid w:val="5831455A"/>
    <w:rsid w:val="5863030F"/>
    <w:rsid w:val="58E93DFA"/>
    <w:rsid w:val="58F52B38"/>
    <w:rsid w:val="58FA7DB6"/>
    <w:rsid w:val="5906339C"/>
    <w:rsid w:val="592616D2"/>
    <w:rsid w:val="59341B00"/>
    <w:rsid w:val="595F144E"/>
    <w:rsid w:val="59DE0E81"/>
    <w:rsid w:val="59F55223"/>
    <w:rsid w:val="59FF35B4"/>
    <w:rsid w:val="5ABA0295"/>
    <w:rsid w:val="5AE470AA"/>
    <w:rsid w:val="5AF2051E"/>
    <w:rsid w:val="5B2B34B2"/>
    <w:rsid w:val="5B301727"/>
    <w:rsid w:val="5B5A5DEF"/>
    <w:rsid w:val="5B8069E9"/>
    <w:rsid w:val="5BB41608"/>
    <w:rsid w:val="5BC56904"/>
    <w:rsid w:val="5C0A6E8C"/>
    <w:rsid w:val="5CA9096B"/>
    <w:rsid w:val="5CEC2D02"/>
    <w:rsid w:val="5D16383F"/>
    <w:rsid w:val="5D2353DA"/>
    <w:rsid w:val="5D2F1D61"/>
    <w:rsid w:val="5D675ECA"/>
    <w:rsid w:val="5DA14B7B"/>
    <w:rsid w:val="5DC100D0"/>
    <w:rsid w:val="5DDF7727"/>
    <w:rsid w:val="5E252AE9"/>
    <w:rsid w:val="5EA3775E"/>
    <w:rsid w:val="5F6D531F"/>
    <w:rsid w:val="5FAE2505"/>
    <w:rsid w:val="5FD64891"/>
    <w:rsid w:val="60056797"/>
    <w:rsid w:val="60D07D7A"/>
    <w:rsid w:val="61094D40"/>
    <w:rsid w:val="61271980"/>
    <w:rsid w:val="614172DE"/>
    <w:rsid w:val="614F2973"/>
    <w:rsid w:val="6160574F"/>
    <w:rsid w:val="618840A3"/>
    <w:rsid w:val="6232236E"/>
    <w:rsid w:val="62FE0DBC"/>
    <w:rsid w:val="630700DA"/>
    <w:rsid w:val="64770E73"/>
    <w:rsid w:val="648B18C9"/>
    <w:rsid w:val="64CD2937"/>
    <w:rsid w:val="64F96933"/>
    <w:rsid w:val="6511265D"/>
    <w:rsid w:val="651C4271"/>
    <w:rsid w:val="655B398A"/>
    <w:rsid w:val="65A8181D"/>
    <w:rsid w:val="65A93AD5"/>
    <w:rsid w:val="65EB72B5"/>
    <w:rsid w:val="662B3EC2"/>
    <w:rsid w:val="664663E8"/>
    <w:rsid w:val="66786787"/>
    <w:rsid w:val="66B25BAB"/>
    <w:rsid w:val="66C80CB9"/>
    <w:rsid w:val="66CF4630"/>
    <w:rsid w:val="66D36063"/>
    <w:rsid w:val="679F4E53"/>
    <w:rsid w:val="680660A3"/>
    <w:rsid w:val="6808013C"/>
    <w:rsid w:val="68406925"/>
    <w:rsid w:val="68490BA5"/>
    <w:rsid w:val="685305E5"/>
    <w:rsid w:val="6872092B"/>
    <w:rsid w:val="68A320F0"/>
    <w:rsid w:val="68A60271"/>
    <w:rsid w:val="68C10A03"/>
    <w:rsid w:val="68D221B5"/>
    <w:rsid w:val="691702F9"/>
    <w:rsid w:val="692E7F1E"/>
    <w:rsid w:val="69430A4C"/>
    <w:rsid w:val="695A32F7"/>
    <w:rsid w:val="69625FE3"/>
    <w:rsid w:val="698C6D71"/>
    <w:rsid w:val="69CE6C54"/>
    <w:rsid w:val="69E421A0"/>
    <w:rsid w:val="69FF6FDA"/>
    <w:rsid w:val="6A242849"/>
    <w:rsid w:val="6A496830"/>
    <w:rsid w:val="6A6C49B9"/>
    <w:rsid w:val="6A8F166B"/>
    <w:rsid w:val="6ADF78E5"/>
    <w:rsid w:val="6B0B3C2C"/>
    <w:rsid w:val="6B69766A"/>
    <w:rsid w:val="6B72636C"/>
    <w:rsid w:val="6B8D0D02"/>
    <w:rsid w:val="6BE57493"/>
    <w:rsid w:val="6C6F7B7A"/>
    <w:rsid w:val="6C7C2B89"/>
    <w:rsid w:val="6C8143AB"/>
    <w:rsid w:val="6CB30AE5"/>
    <w:rsid w:val="6CC833BE"/>
    <w:rsid w:val="6E0C0467"/>
    <w:rsid w:val="6E10608E"/>
    <w:rsid w:val="6E8B0923"/>
    <w:rsid w:val="6E92338D"/>
    <w:rsid w:val="6EA50F15"/>
    <w:rsid w:val="6ECD2F43"/>
    <w:rsid w:val="6EFA3169"/>
    <w:rsid w:val="6F1218C9"/>
    <w:rsid w:val="6F35142D"/>
    <w:rsid w:val="6F873FB6"/>
    <w:rsid w:val="6FDB35C9"/>
    <w:rsid w:val="6FE10C9C"/>
    <w:rsid w:val="701423EB"/>
    <w:rsid w:val="70257F20"/>
    <w:rsid w:val="70375E28"/>
    <w:rsid w:val="70593DDE"/>
    <w:rsid w:val="707A6818"/>
    <w:rsid w:val="70982CEF"/>
    <w:rsid w:val="70CE3BAA"/>
    <w:rsid w:val="71240C74"/>
    <w:rsid w:val="7137174F"/>
    <w:rsid w:val="713F3812"/>
    <w:rsid w:val="717C1858"/>
    <w:rsid w:val="7213064F"/>
    <w:rsid w:val="72401A80"/>
    <w:rsid w:val="725168ED"/>
    <w:rsid w:val="726603B7"/>
    <w:rsid w:val="726868DD"/>
    <w:rsid w:val="727A7B45"/>
    <w:rsid w:val="728E103A"/>
    <w:rsid w:val="7298562B"/>
    <w:rsid w:val="72AD3F56"/>
    <w:rsid w:val="73047240"/>
    <w:rsid w:val="73577E87"/>
    <w:rsid w:val="737C78ED"/>
    <w:rsid w:val="74125278"/>
    <w:rsid w:val="742D6B8B"/>
    <w:rsid w:val="74577CFC"/>
    <w:rsid w:val="7474619D"/>
    <w:rsid w:val="748F53FE"/>
    <w:rsid w:val="74DD7D93"/>
    <w:rsid w:val="75063D16"/>
    <w:rsid w:val="751D6A31"/>
    <w:rsid w:val="75435570"/>
    <w:rsid w:val="763E2D8B"/>
    <w:rsid w:val="765E373E"/>
    <w:rsid w:val="76912AA8"/>
    <w:rsid w:val="76936197"/>
    <w:rsid w:val="76B1521D"/>
    <w:rsid w:val="76B352E5"/>
    <w:rsid w:val="76BB5179"/>
    <w:rsid w:val="77291B3A"/>
    <w:rsid w:val="786E73D3"/>
    <w:rsid w:val="78D37FAF"/>
    <w:rsid w:val="78F735A9"/>
    <w:rsid w:val="790C5439"/>
    <w:rsid w:val="79263959"/>
    <w:rsid w:val="794F282E"/>
    <w:rsid w:val="7A2D6D03"/>
    <w:rsid w:val="7A926212"/>
    <w:rsid w:val="7AE15C86"/>
    <w:rsid w:val="7AF244C2"/>
    <w:rsid w:val="7B7968C3"/>
    <w:rsid w:val="7BF60BE3"/>
    <w:rsid w:val="7C091F3A"/>
    <w:rsid w:val="7C492337"/>
    <w:rsid w:val="7C8313D5"/>
    <w:rsid w:val="7CB1637A"/>
    <w:rsid w:val="7CD82311"/>
    <w:rsid w:val="7CEA6A35"/>
    <w:rsid w:val="7D0564AB"/>
    <w:rsid w:val="7D3C3520"/>
    <w:rsid w:val="7D5052A6"/>
    <w:rsid w:val="7D8E46AE"/>
    <w:rsid w:val="7DA912DF"/>
    <w:rsid w:val="7DE50961"/>
    <w:rsid w:val="7E280463"/>
    <w:rsid w:val="7E3A462D"/>
    <w:rsid w:val="7E7D055C"/>
    <w:rsid w:val="7E813419"/>
    <w:rsid w:val="7EC74BC9"/>
    <w:rsid w:val="7ED06D3F"/>
    <w:rsid w:val="7F0163B7"/>
    <w:rsid w:val="7F0204F0"/>
    <w:rsid w:val="7F106C3A"/>
    <w:rsid w:val="7F6E6C48"/>
    <w:rsid w:val="7F880827"/>
    <w:rsid w:val="7F9D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84"/>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0"/>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28"/>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29"/>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0"/>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3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2"/>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33"/>
    <w:qFormat/>
    <w:uiPriority w:val="0"/>
    <w:pPr>
      <w:shd w:val="clear" w:color="auto" w:fill="000080"/>
    </w:pPr>
  </w:style>
  <w:style w:type="paragraph" w:styleId="15">
    <w:name w:val="annotation text"/>
    <w:basedOn w:val="1"/>
    <w:link w:val="74"/>
    <w:qFormat/>
    <w:uiPriority w:val="0"/>
    <w:pPr>
      <w:jc w:val="left"/>
    </w:pPr>
  </w:style>
  <w:style w:type="paragraph" w:styleId="16">
    <w:name w:val="Body Text 3"/>
    <w:basedOn w:val="1"/>
    <w:link w:val="134"/>
    <w:qFormat/>
    <w:uiPriority w:val="0"/>
    <w:pPr>
      <w:spacing w:line="500" w:lineRule="exact"/>
    </w:pPr>
    <w:rPr>
      <w:b/>
      <w:bCs/>
      <w:sz w:val="24"/>
    </w:rPr>
  </w:style>
  <w:style w:type="paragraph" w:styleId="17">
    <w:name w:val="Body Text"/>
    <w:basedOn w:val="1"/>
    <w:next w:val="1"/>
    <w:link w:val="135"/>
    <w:qFormat/>
    <w:uiPriority w:val="0"/>
    <w:pPr>
      <w:spacing w:line="380" w:lineRule="exact"/>
    </w:pPr>
    <w:rPr>
      <w:sz w:val="24"/>
    </w:rPr>
  </w:style>
  <w:style w:type="paragraph" w:styleId="18">
    <w:name w:val="Body Text Indent"/>
    <w:basedOn w:val="1"/>
    <w:link w:val="67"/>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pPr>
  </w:style>
  <w:style w:type="paragraph" w:styleId="20">
    <w:name w:val="List 2"/>
    <w:basedOn w:val="1"/>
    <w:qFormat/>
    <w:uiPriority w:val="0"/>
    <w:pPr>
      <w:ind w:left="100" w:leftChars="200" w:hanging="200" w:hangingChars="200"/>
    </w:pPr>
    <w:rPr>
      <w:sz w:val="28"/>
    </w:rPr>
  </w:style>
  <w:style w:type="paragraph" w:styleId="21">
    <w:name w:val="Plain Text"/>
    <w:basedOn w:val="1"/>
    <w:link w:val="54"/>
    <w:qFormat/>
    <w:uiPriority w:val="0"/>
    <w:rPr>
      <w:rFonts w:ascii="宋体" w:hAnsi="Courier New" w:cs="Courier New"/>
      <w:szCs w:val="21"/>
    </w:rPr>
  </w:style>
  <w:style w:type="paragraph" w:styleId="22">
    <w:name w:val="Date"/>
    <w:basedOn w:val="1"/>
    <w:next w:val="1"/>
    <w:link w:val="136"/>
    <w:qFormat/>
    <w:uiPriority w:val="0"/>
    <w:pPr>
      <w:ind w:left="100" w:leftChars="2500"/>
    </w:pPr>
    <w:rPr>
      <w:rFonts w:ascii="宋体" w:hAnsi="Courier New" w:cs="Courier New"/>
      <w:szCs w:val="21"/>
    </w:rPr>
  </w:style>
  <w:style w:type="paragraph" w:styleId="23">
    <w:name w:val="Body Text Indent 2"/>
    <w:basedOn w:val="1"/>
    <w:link w:val="137"/>
    <w:qFormat/>
    <w:uiPriority w:val="0"/>
    <w:pPr>
      <w:ind w:firstLine="630"/>
    </w:pPr>
    <w:rPr>
      <w:sz w:val="32"/>
      <w:szCs w:val="20"/>
    </w:rPr>
  </w:style>
  <w:style w:type="paragraph" w:styleId="24">
    <w:name w:val="Balloon Text"/>
    <w:basedOn w:val="1"/>
    <w:link w:val="73"/>
    <w:qFormat/>
    <w:uiPriority w:val="0"/>
    <w:rPr>
      <w:sz w:val="18"/>
      <w:szCs w:val="18"/>
      <w:lang w:val="zh-CN"/>
    </w:rPr>
  </w:style>
  <w:style w:type="paragraph" w:styleId="25">
    <w:name w:val="footer"/>
    <w:basedOn w:val="1"/>
    <w:link w:val="69"/>
    <w:qFormat/>
    <w:uiPriority w:val="99"/>
    <w:pPr>
      <w:tabs>
        <w:tab w:val="center" w:pos="4153"/>
        <w:tab w:val="right" w:pos="8306"/>
      </w:tabs>
      <w:snapToGrid w:val="0"/>
      <w:jc w:val="left"/>
    </w:pPr>
    <w:rPr>
      <w:sz w:val="18"/>
      <w:szCs w:val="18"/>
      <w:lang w:val="zh-CN"/>
    </w:rPr>
  </w:style>
  <w:style w:type="paragraph" w:styleId="26">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72"/>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Body Text Indent 3"/>
    <w:basedOn w:val="1"/>
    <w:link w:val="138"/>
    <w:qFormat/>
    <w:uiPriority w:val="0"/>
    <w:pPr>
      <w:spacing w:after="120"/>
      <w:ind w:left="420" w:leftChars="200"/>
    </w:pPr>
    <w:rPr>
      <w:sz w:val="16"/>
      <w:szCs w:val="16"/>
    </w:rPr>
  </w:style>
  <w:style w:type="paragraph" w:styleId="31">
    <w:name w:val="Body Text 2"/>
    <w:basedOn w:val="1"/>
    <w:link w:val="139"/>
    <w:qFormat/>
    <w:uiPriority w:val="0"/>
    <w:pPr>
      <w:spacing w:after="120" w:line="480" w:lineRule="auto"/>
    </w:pPr>
  </w:style>
  <w:style w:type="paragraph" w:styleId="32">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annotation subject"/>
    <w:basedOn w:val="15"/>
    <w:next w:val="15"/>
    <w:link w:val="85"/>
    <w:qFormat/>
    <w:uiPriority w:val="0"/>
    <w:rPr>
      <w:b/>
      <w:bCs/>
    </w:rPr>
  </w:style>
  <w:style w:type="paragraph" w:styleId="36">
    <w:name w:val="Body Text First Indent"/>
    <w:basedOn w:val="17"/>
    <w:qFormat/>
    <w:uiPriority w:val="0"/>
    <w:pPr>
      <w:spacing w:after="120"/>
      <w:ind w:firstLine="420" w:firstLineChars="100"/>
    </w:pPr>
    <w:rPr>
      <w:rFonts w:ascii="宋体"/>
      <w:sz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ascii="Times New Roman" w:hAnsi="Times New Roman" w:eastAsia="宋体" w:cs="Times New Roman"/>
      <w:b/>
      <w:bCs/>
    </w:rPr>
  </w:style>
  <w:style w:type="character" w:styleId="41">
    <w:name w:val="page number"/>
    <w:qFormat/>
    <w:uiPriority w:val="0"/>
    <w:rPr>
      <w:rFonts w:ascii="Times New Roman" w:hAnsi="Times New Roman" w:eastAsia="宋体" w:cs="Times New Roman"/>
    </w:rPr>
  </w:style>
  <w:style w:type="character" w:styleId="42">
    <w:name w:val="FollowedHyperlink"/>
    <w:basedOn w:val="39"/>
    <w:semiHidden/>
    <w:unhideWhenUsed/>
    <w:qFormat/>
    <w:uiPriority w:val="99"/>
    <w:rPr>
      <w:color w:val="954F72" w:themeColor="followedHyperlink"/>
      <w:u w:val="single"/>
      <w14:textFill>
        <w14:solidFill>
          <w14:schemeClr w14:val="folHlink"/>
        </w14:solidFill>
      </w14:textFill>
    </w:rPr>
  </w:style>
  <w:style w:type="character" w:styleId="43">
    <w:name w:val="Emphasis"/>
    <w:qFormat/>
    <w:uiPriority w:val="0"/>
    <w:rPr>
      <w:rFonts w:ascii="Times New Roman" w:hAnsi="Times New Roman" w:eastAsia="宋体" w:cs="Times New Roman"/>
      <w:color w:val="CC0033"/>
    </w:rPr>
  </w:style>
  <w:style w:type="character" w:styleId="44">
    <w:name w:val="Hyperlink"/>
    <w:qFormat/>
    <w:uiPriority w:val="99"/>
    <w:rPr>
      <w:rFonts w:ascii="Times New Roman" w:hAnsi="Times New Roman" w:eastAsia="宋体" w:cs="Times New Roman"/>
      <w:color w:val="0000FF"/>
      <w:u w:val="single"/>
    </w:rPr>
  </w:style>
  <w:style w:type="character" w:styleId="45">
    <w:name w:val="annotation reference"/>
    <w:qFormat/>
    <w:uiPriority w:val="0"/>
    <w:rPr>
      <w:rFonts w:ascii="Times New Roman" w:hAnsi="Times New Roman" w:eastAsia="宋体" w:cs="Times New Roman"/>
      <w:sz w:val="21"/>
      <w:szCs w:val="21"/>
    </w:rPr>
  </w:style>
  <w:style w:type="paragraph" w:customStyle="1" w:styleId="46">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47">
    <w:name w:val="font21"/>
    <w:qFormat/>
    <w:uiPriority w:val="0"/>
    <w:rPr>
      <w:rFonts w:hint="eastAsia" w:ascii="宋体" w:hAnsi="宋体" w:eastAsia="宋体" w:cs="宋体"/>
      <w:color w:val="000000"/>
      <w:sz w:val="20"/>
      <w:szCs w:val="20"/>
    </w:rPr>
  </w:style>
  <w:style w:type="character" w:customStyle="1" w:styleId="48">
    <w:name w:val="st1"/>
    <w:qFormat/>
    <w:uiPriority w:val="0"/>
    <w:rPr>
      <w:rFonts w:ascii="Times New Roman" w:hAnsi="Times New Roman" w:eastAsia="宋体" w:cs="Times New Roman"/>
    </w:rPr>
  </w:style>
  <w:style w:type="character" w:customStyle="1" w:styleId="49">
    <w:name w:val="标题 1 字符"/>
    <w:link w:val="2"/>
    <w:qFormat/>
    <w:uiPriority w:val="9"/>
    <w:rPr>
      <w:rFonts w:ascii="Times New Roman" w:hAnsi="Times New Roman" w:eastAsia="仿宋_GB2312" w:cs="Times New Roman"/>
      <w:b/>
      <w:bCs/>
      <w:kern w:val="44"/>
      <w:sz w:val="44"/>
      <w:szCs w:val="44"/>
      <w:lang w:val="en-US" w:eastAsia="zh-CN" w:bidi="ar-SA"/>
    </w:rPr>
  </w:style>
  <w:style w:type="character" w:customStyle="1" w:styleId="50">
    <w:name w:val="ca-2"/>
    <w:qFormat/>
    <w:uiPriority w:val="0"/>
    <w:rPr>
      <w:rFonts w:ascii="Times New Roman" w:hAnsi="Times New Roman" w:eastAsia="宋体" w:cs="Times New Roman"/>
    </w:rPr>
  </w:style>
  <w:style w:type="character" w:customStyle="1" w:styleId="51">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2">
    <w:name w:val="1ji Char"/>
    <w:link w:val="53"/>
    <w:qFormat/>
    <w:uiPriority w:val="0"/>
    <w:rPr>
      <w:rFonts w:ascii="宋体" w:hAnsi="宋体" w:eastAsia="仿宋_GB2312" w:cs="Times New Roman"/>
      <w:b/>
      <w:bCs/>
      <w:kern w:val="44"/>
      <w:sz w:val="36"/>
      <w:szCs w:val="44"/>
      <w:lang w:val="en-US" w:eastAsia="zh-CN" w:bidi="ar-SA"/>
    </w:rPr>
  </w:style>
  <w:style w:type="paragraph" w:customStyle="1" w:styleId="53">
    <w:name w:val="1ji"/>
    <w:basedOn w:val="2"/>
    <w:link w:val="52"/>
    <w:qFormat/>
    <w:uiPriority w:val="0"/>
    <w:pPr>
      <w:keepLines w:val="0"/>
      <w:widowControl/>
      <w:spacing w:before="0" w:after="0" w:line="240" w:lineRule="auto"/>
    </w:pPr>
    <w:rPr>
      <w:rFonts w:ascii="宋体" w:hAnsi="宋体"/>
      <w:sz w:val="36"/>
    </w:rPr>
  </w:style>
  <w:style w:type="character" w:customStyle="1" w:styleId="54">
    <w:name w:val="纯文本 字符"/>
    <w:link w:val="21"/>
    <w:qFormat/>
    <w:uiPriority w:val="0"/>
    <w:rPr>
      <w:rFonts w:ascii="宋体" w:hAnsi="Courier New" w:eastAsia="宋体" w:cs="Courier New"/>
      <w:kern w:val="2"/>
      <w:sz w:val="21"/>
      <w:szCs w:val="21"/>
      <w:lang w:val="en-US" w:eastAsia="zh-CN" w:bidi="ar-SA"/>
    </w:rPr>
  </w:style>
  <w:style w:type="character" w:customStyle="1" w:styleId="55">
    <w:name w:val="font41"/>
    <w:qFormat/>
    <w:uiPriority w:val="0"/>
    <w:rPr>
      <w:rFonts w:hint="default" w:ascii="Times New Roman" w:hAnsi="Times New Roman" w:eastAsia="宋体" w:cs="Times New Roman"/>
      <w:color w:val="000000"/>
      <w:sz w:val="20"/>
      <w:szCs w:val="20"/>
    </w:rPr>
  </w:style>
  <w:style w:type="character" w:customStyle="1" w:styleId="56">
    <w:name w:val="font31"/>
    <w:qFormat/>
    <w:uiPriority w:val="0"/>
    <w:rPr>
      <w:rFonts w:hint="default" w:ascii="Times New Roman" w:hAnsi="Times New Roman" w:eastAsia="宋体" w:cs="Times New Roman"/>
      <w:color w:val="000000"/>
      <w:sz w:val="20"/>
      <w:szCs w:val="20"/>
    </w:rPr>
  </w:style>
  <w:style w:type="character" w:customStyle="1" w:styleId="57">
    <w:name w:val="apple-style-span"/>
    <w:qFormat/>
    <w:uiPriority w:val="0"/>
    <w:rPr>
      <w:rFonts w:ascii="Times New Roman" w:hAnsi="Times New Roman" w:eastAsia="宋体" w:cs="Times New Roman"/>
    </w:rPr>
  </w:style>
  <w:style w:type="character" w:customStyle="1" w:styleId="58">
    <w:name w:val="正文缩进 字符"/>
    <w:link w:val="7"/>
    <w:qFormat/>
    <w:uiPriority w:val="0"/>
    <w:rPr>
      <w:rFonts w:ascii="Times New Roman" w:hAnsi="Times New Roman" w:eastAsia="宋体" w:cs="Times New Roman"/>
      <w:kern w:val="2"/>
      <w:sz w:val="21"/>
      <w:lang w:val="en-US" w:eastAsia="zh-CN" w:bidi="ar-SA"/>
    </w:rPr>
  </w:style>
  <w:style w:type="character" w:customStyle="1" w:styleId="59">
    <w:name w:val="font51"/>
    <w:qFormat/>
    <w:uiPriority w:val="0"/>
    <w:rPr>
      <w:rFonts w:hint="default" w:ascii="Times New Roman" w:hAnsi="Times New Roman" w:eastAsia="宋体" w:cs="Times New Roman"/>
      <w:color w:val="000000"/>
      <w:sz w:val="20"/>
      <w:szCs w:val="20"/>
    </w:rPr>
  </w:style>
  <w:style w:type="character" w:customStyle="1" w:styleId="60">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61">
    <w:name w:val="apple-converted-space"/>
    <w:qFormat/>
    <w:uiPriority w:val="0"/>
    <w:rPr>
      <w:rFonts w:ascii="Times New Roman" w:hAnsi="Times New Roman" w:eastAsia="宋体" w:cs="Times New Roman"/>
    </w:rPr>
  </w:style>
  <w:style w:type="character" w:customStyle="1" w:styleId="62">
    <w:name w:val="Header Char"/>
    <w:qFormat/>
    <w:uiPriority w:val="0"/>
    <w:rPr>
      <w:rFonts w:ascii="Calibri" w:hAnsi="Calibri" w:eastAsia="宋体" w:cs="Times New Roman"/>
      <w:kern w:val="2"/>
      <w:sz w:val="18"/>
      <w:szCs w:val="18"/>
      <w:lang w:val="en-US" w:eastAsia="zh-CN" w:bidi="ar-SA"/>
    </w:rPr>
  </w:style>
  <w:style w:type="character" w:customStyle="1" w:styleId="63">
    <w:name w:val="Footer Char"/>
    <w:qFormat/>
    <w:uiPriority w:val="0"/>
    <w:rPr>
      <w:rFonts w:ascii="Calibri" w:hAnsi="Calibri" w:eastAsia="宋体" w:cs="Times New Roman"/>
      <w:kern w:val="2"/>
      <w:sz w:val="18"/>
      <w:szCs w:val="18"/>
      <w:lang w:val="en-US" w:eastAsia="zh-CN" w:bidi="ar-SA"/>
    </w:rPr>
  </w:style>
  <w:style w:type="character" w:customStyle="1" w:styleId="64">
    <w:name w:val="Plain Text Char"/>
    <w:qFormat/>
    <w:uiPriority w:val="0"/>
    <w:rPr>
      <w:rFonts w:ascii="宋体" w:hAnsi="Courier New" w:eastAsia="宋体" w:cs="Times New Roman"/>
      <w:lang w:bidi="ar-SA"/>
    </w:rPr>
  </w:style>
  <w:style w:type="character" w:customStyle="1" w:styleId="65">
    <w:name w:val="普通文字 Char Char3"/>
    <w:qFormat/>
    <w:uiPriority w:val="0"/>
    <w:rPr>
      <w:rFonts w:ascii="宋体" w:hAnsi="Times New Roman" w:eastAsia="宋体" w:cs="Courier New"/>
      <w:kern w:val="2"/>
      <w:sz w:val="21"/>
      <w:szCs w:val="21"/>
      <w:lang w:val="en-US" w:eastAsia="zh-CN" w:bidi="ar-SA"/>
    </w:rPr>
  </w:style>
  <w:style w:type="character" w:customStyle="1" w:styleId="66">
    <w:name w:val="样式 正文 +"/>
    <w:qFormat/>
    <w:uiPriority w:val="0"/>
    <w:rPr>
      <w:rFonts w:ascii="Times New Roman" w:hAnsi="Times New Roman" w:eastAsia="宋体" w:cs="Times New Roman"/>
      <w:kern w:val="0"/>
      <w:sz w:val="28"/>
    </w:rPr>
  </w:style>
  <w:style w:type="character" w:customStyle="1" w:styleId="67">
    <w:name w:val="正文文本缩进 字符"/>
    <w:link w:val="18"/>
    <w:qFormat/>
    <w:uiPriority w:val="0"/>
    <w:rPr>
      <w:rFonts w:ascii="仿宋_GB2312" w:hAnsi="Times New Roman" w:eastAsia="仿宋_GB2312" w:cs="Times New Roman"/>
      <w:kern w:val="2"/>
      <w:sz w:val="32"/>
      <w:lang w:val="en-US" w:eastAsia="zh-CN" w:bidi="ar-SA"/>
    </w:rPr>
  </w:style>
  <w:style w:type="character" w:customStyle="1" w:styleId="68">
    <w:name w:val="普通文字 Char Char2"/>
    <w:qFormat/>
    <w:uiPriority w:val="0"/>
    <w:rPr>
      <w:rFonts w:ascii="宋体" w:hAnsi="Courier New" w:eastAsia="宋体" w:cs="Times New Roman"/>
      <w:kern w:val="2"/>
      <w:sz w:val="21"/>
      <w:lang w:val="en-US" w:eastAsia="zh-CN" w:bidi="ar-SA"/>
    </w:rPr>
  </w:style>
  <w:style w:type="character" w:customStyle="1" w:styleId="69">
    <w:name w:val="页脚 字符"/>
    <w:link w:val="25"/>
    <w:qFormat/>
    <w:uiPriority w:val="99"/>
    <w:rPr>
      <w:rFonts w:ascii="Times New Roman" w:hAnsi="Times New Roman" w:eastAsia="宋体" w:cs="Times New Roman"/>
      <w:kern w:val="2"/>
      <w:sz w:val="18"/>
      <w:szCs w:val="18"/>
    </w:rPr>
  </w:style>
  <w:style w:type="character" w:customStyle="1" w:styleId="70">
    <w:name w:val="样式 宋体 小四"/>
    <w:qFormat/>
    <w:uiPriority w:val="0"/>
    <w:rPr>
      <w:rFonts w:ascii="宋体" w:hAnsi="宋体" w:eastAsia="宋体" w:cs="Times New Roman"/>
      <w:sz w:val="24"/>
    </w:rPr>
  </w:style>
  <w:style w:type="character" w:customStyle="1" w:styleId="71">
    <w:name w:val="页眉 字符"/>
    <w:link w:val="26"/>
    <w:qFormat/>
    <w:uiPriority w:val="99"/>
    <w:rPr>
      <w:rFonts w:ascii="Times New Roman" w:hAnsi="Times New Roman" w:eastAsia="宋体" w:cs="Times New Roman"/>
      <w:kern w:val="2"/>
      <w:sz w:val="18"/>
      <w:szCs w:val="18"/>
      <w:lang w:val="en-US" w:eastAsia="zh-CN" w:bidi="ar-SA"/>
    </w:rPr>
  </w:style>
  <w:style w:type="character" w:customStyle="1" w:styleId="72">
    <w:name w:val="副标题 字符"/>
    <w:link w:val="28"/>
    <w:qFormat/>
    <w:uiPriority w:val="0"/>
    <w:rPr>
      <w:rFonts w:ascii="Cambria" w:hAnsi="Cambria" w:eastAsia="宋体" w:cs="Times New Roman"/>
      <w:b/>
      <w:bCs/>
      <w:kern w:val="28"/>
      <w:sz w:val="28"/>
      <w:szCs w:val="32"/>
      <w:lang w:val="en-US" w:eastAsia="zh-CN" w:bidi="ar-SA"/>
    </w:rPr>
  </w:style>
  <w:style w:type="character" w:customStyle="1" w:styleId="73">
    <w:name w:val="批注框文本 字符"/>
    <w:link w:val="24"/>
    <w:qFormat/>
    <w:uiPriority w:val="0"/>
    <w:rPr>
      <w:rFonts w:ascii="Times New Roman" w:hAnsi="Times New Roman" w:eastAsia="宋体" w:cs="Times New Roman"/>
      <w:kern w:val="2"/>
      <w:sz w:val="18"/>
      <w:szCs w:val="18"/>
    </w:rPr>
  </w:style>
  <w:style w:type="character" w:customStyle="1" w:styleId="74">
    <w:name w:val="批注文字 字符"/>
    <w:link w:val="15"/>
    <w:qFormat/>
    <w:uiPriority w:val="0"/>
    <w:rPr>
      <w:rFonts w:ascii="Times New Roman" w:hAnsi="Times New Roman" w:eastAsia="宋体" w:cs="Times New Roman"/>
      <w:kern w:val="2"/>
      <w:sz w:val="21"/>
      <w:szCs w:val="24"/>
      <w:lang w:val="en-US" w:eastAsia="zh-CN" w:bidi="ar-SA"/>
    </w:rPr>
  </w:style>
  <w:style w:type="character" w:customStyle="1" w:styleId="75">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6">
    <w:name w:val="ca-1"/>
    <w:qFormat/>
    <w:uiPriority w:val="0"/>
    <w:rPr>
      <w:rFonts w:ascii="Times New Roman" w:hAnsi="Times New Roman" w:eastAsia="宋体" w:cs="Times New Roman"/>
    </w:rPr>
  </w:style>
  <w:style w:type="character" w:customStyle="1" w:styleId="77">
    <w:name w:val="正文360首行缩进 Char"/>
    <w:link w:val="78"/>
    <w:qFormat/>
    <w:uiPriority w:val="0"/>
    <w:rPr>
      <w:rFonts w:ascii="Times New Roman" w:hAnsi="Times New Roman" w:eastAsia="宋体" w:cs="Times New Roman"/>
      <w:sz w:val="24"/>
      <w:szCs w:val="24"/>
    </w:rPr>
  </w:style>
  <w:style w:type="paragraph" w:customStyle="1" w:styleId="78">
    <w:name w:val="正文360首行缩进"/>
    <w:basedOn w:val="1"/>
    <w:link w:val="77"/>
    <w:qFormat/>
    <w:uiPriority w:val="0"/>
    <w:pPr>
      <w:widowControl/>
      <w:spacing w:before="120" w:line="300" w:lineRule="auto"/>
      <w:ind w:firstLine="200"/>
      <w:jc w:val="left"/>
    </w:pPr>
    <w:rPr>
      <w:kern w:val="0"/>
      <w:sz w:val="24"/>
    </w:rPr>
  </w:style>
  <w:style w:type="character" w:customStyle="1" w:styleId="79">
    <w:name w:val="List Paragraph Char"/>
    <w:link w:val="80"/>
    <w:qFormat/>
    <w:locked/>
    <w:uiPriority w:val="0"/>
    <w:rPr>
      <w:rFonts w:ascii="宋体" w:hAnsi="宋体" w:cs="宋体"/>
      <w:sz w:val="24"/>
      <w:szCs w:val="24"/>
    </w:rPr>
  </w:style>
  <w:style w:type="paragraph" w:customStyle="1" w:styleId="80">
    <w:name w:val="列表段落1"/>
    <w:basedOn w:val="1"/>
    <w:link w:val="79"/>
    <w:qFormat/>
    <w:uiPriority w:val="0"/>
    <w:pPr>
      <w:widowControl/>
      <w:ind w:firstLine="420" w:firstLineChars="200"/>
      <w:jc w:val="left"/>
    </w:pPr>
    <w:rPr>
      <w:rFonts w:ascii="宋体" w:hAnsi="宋体"/>
      <w:kern w:val="0"/>
      <w:sz w:val="24"/>
      <w:lang w:val="zh-CN"/>
    </w:rPr>
  </w:style>
  <w:style w:type="character" w:customStyle="1" w:styleId="81">
    <w:name w:val="yyii"/>
    <w:qFormat/>
    <w:uiPriority w:val="0"/>
    <w:rPr>
      <w:rFonts w:ascii="Times New Roman" w:hAnsi="Times New Roman" w:eastAsia="宋体" w:cs="Times New Roman"/>
    </w:rPr>
  </w:style>
  <w:style w:type="character" w:customStyle="1" w:styleId="82">
    <w:name w:val="纯文本 Char1"/>
    <w:qFormat/>
    <w:uiPriority w:val="0"/>
    <w:rPr>
      <w:rFonts w:ascii="宋体" w:hAnsi="Courier New" w:eastAsia="宋体" w:cs="Times New Roman"/>
      <w:kern w:val="2"/>
      <w:sz w:val="21"/>
    </w:rPr>
  </w:style>
  <w:style w:type="character" w:customStyle="1" w:styleId="83">
    <w:name w:val="标题 1 Char1"/>
    <w:qFormat/>
    <w:uiPriority w:val="0"/>
    <w:rPr>
      <w:rFonts w:ascii="Times New Roman" w:hAnsi="Times New Roman" w:eastAsia="宋体" w:cs="Times New Roman"/>
      <w:b/>
      <w:bCs/>
      <w:kern w:val="44"/>
      <w:sz w:val="44"/>
      <w:szCs w:val="44"/>
    </w:rPr>
  </w:style>
  <w:style w:type="character" w:customStyle="1" w:styleId="84">
    <w:name w:val="标题 2 字符"/>
    <w:link w:val="3"/>
    <w:qFormat/>
    <w:uiPriority w:val="9"/>
    <w:rPr>
      <w:rFonts w:ascii="Arial" w:hAnsi="Arial" w:eastAsia="黑体"/>
      <w:b/>
      <w:bCs/>
      <w:kern w:val="2"/>
      <w:sz w:val="24"/>
      <w:szCs w:val="32"/>
    </w:rPr>
  </w:style>
  <w:style w:type="character" w:customStyle="1" w:styleId="85">
    <w:name w:val="批注主题 字符"/>
    <w:link w:val="35"/>
    <w:qFormat/>
    <w:uiPriority w:val="0"/>
    <w:rPr>
      <w:rFonts w:ascii="Times New Roman" w:hAnsi="Times New Roman" w:eastAsia="宋体" w:cs="Times New Roman"/>
      <w:b/>
      <w:bCs/>
      <w:kern w:val="2"/>
      <w:sz w:val="21"/>
      <w:szCs w:val="24"/>
      <w:lang w:val="en-US" w:eastAsia="zh-CN" w:bidi="ar-SA"/>
    </w:rPr>
  </w:style>
  <w:style w:type="paragraph" w:customStyle="1" w:styleId="86">
    <w:name w:val="目录 11"/>
    <w:basedOn w:val="1"/>
    <w:next w:val="1"/>
    <w:qFormat/>
    <w:uiPriority w:val="39"/>
  </w:style>
  <w:style w:type="paragraph" w:customStyle="1" w:styleId="87">
    <w:name w:val="目录 21"/>
    <w:basedOn w:val="1"/>
    <w:next w:val="1"/>
    <w:qFormat/>
    <w:uiPriority w:val="39"/>
    <w:pPr>
      <w:tabs>
        <w:tab w:val="right" w:leader="dot" w:pos="9402"/>
      </w:tabs>
      <w:ind w:left="718" w:leftChars="200" w:hanging="298" w:hangingChars="142"/>
    </w:pPr>
  </w:style>
  <w:style w:type="paragraph" w:customStyle="1" w:styleId="88">
    <w:name w:val="目录 31"/>
    <w:basedOn w:val="1"/>
    <w:next w:val="1"/>
    <w:qFormat/>
    <w:uiPriority w:val="39"/>
    <w:pPr>
      <w:ind w:left="840" w:leftChars="400"/>
    </w:pPr>
  </w:style>
  <w:style w:type="paragraph" w:customStyle="1" w:styleId="89">
    <w:name w:val="正文首行缩进1"/>
    <w:basedOn w:val="17"/>
    <w:qFormat/>
    <w:uiPriority w:val="0"/>
    <w:pPr>
      <w:spacing w:after="120" w:line="240" w:lineRule="auto"/>
      <w:ind w:firstLine="420" w:firstLineChars="100"/>
    </w:pPr>
    <w:rPr>
      <w:sz w:val="21"/>
    </w:rPr>
  </w:style>
  <w:style w:type="paragraph" w:customStyle="1" w:styleId="90">
    <w:name w:val="Char Char1 Char Char Char Char"/>
    <w:basedOn w:val="14"/>
    <w:qFormat/>
    <w:uiPriority w:val="0"/>
    <w:rPr>
      <w:rFonts w:ascii="Tahoma" w:hAnsi="Tahoma"/>
      <w:sz w:val="24"/>
    </w:rPr>
  </w:style>
  <w:style w:type="paragraph" w:customStyle="1" w:styleId="91">
    <w:name w:val="列出段落1"/>
    <w:basedOn w:val="1"/>
    <w:qFormat/>
    <w:uiPriority w:val="99"/>
    <w:pPr>
      <w:ind w:firstLine="420" w:firstLineChars="200"/>
    </w:pPr>
    <w:rPr>
      <w:rFonts w:ascii="Calibri" w:hAnsi="Calibri"/>
    </w:rPr>
  </w:style>
  <w:style w:type="paragraph" w:customStyle="1" w:styleId="92">
    <w:name w:val="Char Char Char1 Char"/>
    <w:basedOn w:val="14"/>
    <w:qFormat/>
    <w:uiPriority w:val="0"/>
  </w:style>
  <w:style w:type="paragraph" w:customStyle="1" w:styleId="93">
    <w:name w:val="pa-5"/>
    <w:basedOn w:val="1"/>
    <w:qFormat/>
    <w:uiPriority w:val="0"/>
    <w:pPr>
      <w:widowControl/>
      <w:spacing w:before="150" w:after="150"/>
      <w:jc w:val="left"/>
    </w:pPr>
    <w:rPr>
      <w:rFonts w:ascii="宋体" w:hAnsi="宋体" w:cs="宋体"/>
      <w:kern w:val="0"/>
      <w:sz w:val="24"/>
    </w:rPr>
  </w:style>
  <w:style w:type="paragraph" w:customStyle="1" w:styleId="94">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5">
    <w:name w:val="Char Char1 Char Char Char Char1"/>
    <w:basedOn w:val="14"/>
    <w:qFormat/>
    <w:uiPriority w:val="0"/>
    <w:rPr>
      <w:rFonts w:ascii="Tahoma" w:hAnsi="Tahoma"/>
      <w:sz w:val="24"/>
    </w:rPr>
  </w:style>
  <w:style w:type="paragraph" w:customStyle="1" w:styleId="96">
    <w:name w:val="_Style 35"/>
    <w:basedOn w:val="14"/>
    <w:qFormat/>
    <w:uiPriority w:val="0"/>
    <w:pPr>
      <w:widowControl/>
      <w:ind w:firstLine="454"/>
      <w:jc w:val="left"/>
    </w:pPr>
  </w:style>
  <w:style w:type="paragraph" w:customStyle="1" w:styleId="97">
    <w:name w:val="5 Char Char Char Char Char Char Char Char Char Char"/>
    <w:basedOn w:val="1"/>
    <w:qFormat/>
    <w:uiPriority w:val="0"/>
  </w:style>
  <w:style w:type="paragraph" w:customStyle="1" w:styleId="9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9">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0">
    <w:name w:val="默认段落字体 Para Char"/>
    <w:basedOn w:val="1"/>
    <w:qFormat/>
    <w:uiPriority w:val="0"/>
    <w:rPr>
      <w:szCs w:val="20"/>
    </w:rPr>
  </w:style>
  <w:style w:type="paragraph" w:customStyle="1" w:styleId="101">
    <w:name w:val="表格文字"/>
    <w:basedOn w:val="1"/>
    <w:qFormat/>
    <w:uiPriority w:val="0"/>
    <w:pPr>
      <w:spacing w:before="25" w:after="25"/>
      <w:jc w:val="left"/>
    </w:pPr>
    <w:rPr>
      <w:bCs/>
      <w:spacing w:val="10"/>
      <w:kern w:val="0"/>
      <w:sz w:val="24"/>
    </w:rPr>
  </w:style>
  <w:style w:type="paragraph" w:customStyle="1" w:styleId="102">
    <w:name w:val="_Style 7"/>
    <w:basedOn w:val="14"/>
    <w:qFormat/>
    <w:uiPriority w:val="0"/>
  </w:style>
  <w:style w:type="paragraph" w:customStyle="1" w:styleId="10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默认段落字体 Para Char Char Char Char Char Char Char Char Char1 Char Char Char Char"/>
    <w:basedOn w:val="1"/>
    <w:qFormat/>
    <w:uiPriority w:val="0"/>
    <w:rPr>
      <w:rFonts w:ascii="Tahoma" w:hAnsi="Tahoma"/>
      <w:sz w:val="24"/>
      <w:szCs w:val="20"/>
    </w:rPr>
  </w:style>
  <w:style w:type="paragraph" w:customStyle="1" w:styleId="105">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06">
    <w:name w:val="样式 小四 行距: 1.5 倍行距"/>
    <w:basedOn w:val="1"/>
    <w:qFormat/>
    <w:uiPriority w:val="0"/>
    <w:pPr>
      <w:spacing w:line="360" w:lineRule="auto"/>
      <w:ind w:firstLine="480" w:firstLineChars="200"/>
    </w:pPr>
    <w:rPr>
      <w:rFonts w:cs="宋体"/>
      <w:sz w:val="24"/>
      <w:szCs w:val="20"/>
    </w:rPr>
  </w:style>
  <w:style w:type="paragraph" w:customStyle="1" w:styleId="107">
    <w:name w:val="p0"/>
    <w:basedOn w:val="1"/>
    <w:qFormat/>
    <w:uiPriority w:val="0"/>
    <w:pPr>
      <w:widowControl/>
    </w:pPr>
    <w:rPr>
      <w:rFonts w:ascii="宋体" w:hAnsi="宋体" w:cs="宋体"/>
      <w:kern w:val="0"/>
      <w:szCs w:val="21"/>
    </w:rPr>
  </w:style>
  <w:style w:type="paragraph" w:customStyle="1" w:styleId="108">
    <w:name w:val="Char Char Char Char Char Char Char Char Char Char Char Char"/>
    <w:basedOn w:val="1"/>
    <w:qFormat/>
    <w:uiPriority w:val="0"/>
    <w:pPr>
      <w:widowControl/>
      <w:spacing w:after="160" w:line="240" w:lineRule="exact"/>
      <w:jc w:val="left"/>
    </w:pPr>
  </w:style>
  <w:style w:type="paragraph" w:customStyle="1" w:styleId="109">
    <w:name w:val="Char Char Char1 Char1"/>
    <w:basedOn w:val="1"/>
    <w:qFormat/>
    <w:uiPriority w:val="0"/>
    <w:rPr>
      <w:rFonts w:ascii="Calibri" w:hAnsi="Calibri"/>
      <w:szCs w:val="22"/>
    </w:rPr>
  </w:style>
  <w:style w:type="paragraph" w:customStyle="1" w:styleId="110">
    <w:name w:val="Char Char Char Char Char Char Char"/>
    <w:basedOn w:val="1"/>
    <w:qFormat/>
    <w:uiPriority w:val="0"/>
  </w:style>
  <w:style w:type="paragraph" w:customStyle="1" w:styleId="111">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2">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5">
    <w:name w:val="Char"/>
    <w:basedOn w:val="14"/>
    <w:qFormat/>
    <w:uiPriority w:val="0"/>
    <w:pPr>
      <w:widowControl/>
      <w:ind w:firstLine="454"/>
      <w:jc w:val="left"/>
    </w:pPr>
    <w:rPr>
      <w:rFonts w:ascii="Tahoma" w:hAnsi="Tahoma" w:cs="宋体"/>
      <w:kern w:val="0"/>
      <w:sz w:val="24"/>
      <w:szCs w:val="20"/>
    </w:rPr>
  </w:style>
  <w:style w:type="paragraph" w:customStyle="1" w:styleId="116">
    <w:name w:val="Char1"/>
    <w:basedOn w:val="14"/>
    <w:qFormat/>
    <w:uiPriority w:val="0"/>
    <w:pPr>
      <w:widowControl/>
      <w:ind w:firstLine="454"/>
      <w:jc w:val="left"/>
    </w:pPr>
    <w:rPr>
      <w:rFonts w:ascii="Tahoma" w:hAnsi="Tahoma" w:cs="宋体"/>
      <w:kern w:val="0"/>
      <w:sz w:val="24"/>
      <w:szCs w:val="20"/>
    </w:rPr>
  </w:style>
  <w:style w:type="paragraph" w:customStyle="1" w:styleId="117">
    <w:name w:val="1"/>
    <w:basedOn w:val="1"/>
    <w:next w:val="21"/>
    <w:qFormat/>
    <w:uiPriority w:val="0"/>
    <w:rPr>
      <w:rFonts w:ascii="宋体" w:hAnsi="Courier New"/>
      <w:szCs w:val="20"/>
    </w:rPr>
  </w:style>
  <w:style w:type="paragraph" w:customStyle="1" w:styleId="118">
    <w:name w:val="_Style 2"/>
    <w:basedOn w:val="1"/>
    <w:qFormat/>
    <w:uiPriority w:val="0"/>
    <w:pPr>
      <w:ind w:firstLine="420" w:firstLineChars="200"/>
    </w:pPr>
  </w:style>
  <w:style w:type="paragraph" w:customStyle="1" w:styleId="119">
    <w:name w:val="正文段"/>
    <w:basedOn w:val="1"/>
    <w:qFormat/>
    <w:uiPriority w:val="0"/>
    <w:pPr>
      <w:widowControl/>
      <w:snapToGrid w:val="0"/>
      <w:spacing w:after="156" w:afterLines="50"/>
      <w:ind w:firstLine="200" w:firstLineChars="200"/>
    </w:pPr>
    <w:rPr>
      <w:kern w:val="0"/>
      <w:sz w:val="24"/>
      <w:szCs w:val="20"/>
    </w:rPr>
  </w:style>
  <w:style w:type="paragraph" w:customStyle="1" w:styleId="120">
    <w:name w:val="列出段落2"/>
    <w:basedOn w:val="1"/>
    <w:qFormat/>
    <w:uiPriority w:val="34"/>
    <w:pPr>
      <w:ind w:firstLine="420" w:firstLineChars="200"/>
    </w:pPr>
    <w:rPr>
      <w:rFonts w:ascii="Calibri" w:hAnsi="Calibri"/>
      <w:szCs w:val="22"/>
    </w:rPr>
  </w:style>
  <w:style w:type="paragraph" w:styleId="12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2">
    <w:name w:val="未处理的提及1"/>
    <w:basedOn w:val="39"/>
    <w:semiHidden/>
    <w:unhideWhenUsed/>
    <w:qFormat/>
    <w:uiPriority w:val="99"/>
    <w:rPr>
      <w:color w:val="605E5C"/>
      <w:shd w:val="clear" w:color="auto" w:fill="E1DFDD"/>
    </w:rPr>
  </w:style>
  <w:style w:type="character" w:customStyle="1" w:styleId="123">
    <w:name w:val="font81"/>
    <w:basedOn w:val="39"/>
    <w:qFormat/>
    <w:uiPriority w:val="0"/>
    <w:rPr>
      <w:rFonts w:hint="eastAsia" w:ascii="宋体" w:hAnsi="宋体" w:eastAsia="宋体" w:cs="宋体"/>
      <w:color w:val="000000"/>
      <w:sz w:val="18"/>
      <w:szCs w:val="18"/>
      <w:u w:val="none"/>
    </w:rPr>
  </w:style>
  <w:style w:type="paragraph" w:styleId="124">
    <w:name w:val="List Paragraph"/>
    <w:basedOn w:val="1"/>
    <w:qFormat/>
    <w:uiPriority w:val="34"/>
    <w:pPr>
      <w:ind w:firstLine="420" w:firstLineChars="200"/>
    </w:pPr>
  </w:style>
  <w:style w:type="character" w:customStyle="1" w:styleId="125">
    <w:name w:val="未处理的提及2"/>
    <w:basedOn w:val="39"/>
    <w:semiHidden/>
    <w:unhideWhenUsed/>
    <w:qFormat/>
    <w:uiPriority w:val="99"/>
    <w:rPr>
      <w:color w:val="605E5C"/>
      <w:shd w:val="clear" w:color="auto" w:fill="E1DFDD"/>
    </w:rPr>
  </w:style>
  <w:style w:type="character" w:customStyle="1" w:styleId="126">
    <w:name w:val="纯文本 字符1"/>
    <w:qFormat/>
    <w:uiPriority w:val="0"/>
    <w:rPr>
      <w:rFonts w:ascii="宋体" w:hAnsi="Courier New" w:eastAsia="宋体" w:cs="Courier New"/>
      <w:kern w:val="2"/>
      <w:sz w:val="21"/>
      <w:szCs w:val="21"/>
      <w:lang w:val="en-US" w:eastAsia="zh-CN" w:bidi="ar-SA"/>
    </w:rPr>
  </w:style>
  <w:style w:type="paragraph" w:customStyle="1" w:styleId="127">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8">
    <w:name w:val="标题 5 字符"/>
    <w:basedOn w:val="39"/>
    <w:link w:val="6"/>
    <w:qFormat/>
    <w:uiPriority w:val="0"/>
    <w:rPr>
      <w:b/>
      <w:kern w:val="2"/>
      <w:sz w:val="28"/>
      <w:szCs w:val="24"/>
    </w:rPr>
  </w:style>
  <w:style w:type="character" w:customStyle="1" w:styleId="129">
    <w:name w:val="标题 6 字符"/>
    <w:basedOn w:val="39"/>
    <w:link w:val="8"/>
    <w:qFormat/>
    <w:uiPriority w:val="0"/>
    <w:rPr>
      <w:rFonts w:ascii="Arial" w:hAnsi="Arial" w:eastAsia="黑体"/>
      <w:b/>
      <w:kern w:val="2"/>
      <w:sz w:val="24"/>
      <w:szCs w:val="24"/>
    </w:rPr>
  </w:style>
  <w:style w:type="character" w:customStyle="1" w:styleId="130">
    <w:name w:val="标题 7 字符"/>
    <w:basedOn w:val="39"/>
    <w:link w:val="9"/>
    <w:qFormat/>
    <w:uiPriority w:val="0"/>
    <w:rPr>
      <w:b/>
      <w:kern w:val="2"/>
      <w:sz w:val="24"/>
      <w:szCs w:val="24"/>
    </w:rPr>
  </w:style>
  <w:style w:type="character" w:customStyle="1" w:styleId="131">
    <w:name w:val="标题 8 字符"/>
    <w:basedOn w:val="39"/>
    <w:link w:val="10"/>
    <w:qFormat/>
    <w:uiPriority w:val="0"/>
    <w:rPr>
      <w:rFonts w:ascii="Arial" w:hAnsi="Arial" w:eastAsia="黑体"/>
      <w:kern w:val="2"/>
      <w:sz w:val="24"/>
      <w:szCs w:val="24"/>
    </w:rPr>
  </w:style>
  <w:style w:type="character" w:customStyle="1" w:styleId="132">
    <w:name w:val="标题 9 字符"/>
    <w:basedOn w:val="39"/>
    <w:link w:val="11"/>
    <w:qFormat/>
    <w:uiPriority w:val="0"/>
    <w:rPr>
      <w:rFonts w:ascii="Arial" w:hAnsi="Arial" w:eastAsia="黑体"/>
      <w:kern w:val="2"/>
      <w:sz w:val="21"/>
      <w:szCs w:val="24"/>
    </w:rPr>
  </w:style>
  <w:style w:type="character" w:customStyle="1" w:styleId="133">
    <w:name w:val="文档结构图 字符"/>
    <w:basedOn w:val="39"/>
    <w:link w:val="14"/>
    <w:qFormat/>
    <w:uiPriority w:val="0"/>
    <w:rPr>
      <w:kern w:val="2"/>
      <w:sz w:val="21"/>
      <w:szCs w:val="24"/>
      <w:shd w:val="clear" w:color="auto" w:fill="000080"/>
    </w:rPr>
  </w:style>
  <w:style w:type="character" w:customStyle="1" w:styleId="134">
    <w:name w:val="正文文本 3 字符"/>
    <w:basedOn w:val="39"/>
    <w:link w:val="16"/>
    <w:qFormat/>
    <w:uiPriority w:val="0"/>
    <w:rPr>
      <w:b/>
      <w:bCs/>
      <w:kern w:val="2"/>
      <w:sz w:val="24"/>
      <w:szCs w:val="24"/>
    </w:rPr>
  </w:style>
  <w:style w:type="character" w:customStyle="1" w:styleId="135">
    <w:name w:val="正文文本 字符"/>
    <w:basedOn w:val="39"/>
    <w:link w:val="17"/>
    <w:qFormat/>
    <w:uiPriority w:val="0"/>
    <w:rPr>
      <w:kern w:val="2"/>
      <w:sz w:val="24"/>
      <w:szCs w:val="24"/>
    </w:rPr>
  </w:style>
  <w:style w:type="character" w:customStyle="1" w:styleId="136">
    <w:name w:val="日期 字符"/>
    <w:basedOn w:val="39"/>
    <w:link w:val="22"/>
    <w:qFormat/>
    <w:uiPriority w:val="0"/>
    <w:rPr>
      <w:rFonts w:ascii="宋体" w:hAnsi="Courier New" w:cs="Courier New"/>
      <w:kern w:val="2"/>
      <w:sz w:val="21"/>
      <w:szCs w:val="21"/>
    </w:rPr>
  </w:style>
  <w:style w:type="character" w:customStyle="1" w:styleId="137">
    <w:name w:val="正文文本缩进 2 字符"/>
    <w:basedOn w:val="39"/>
    <w:link w:val="23"/>
    <w:qFormat/>
    <w:uiPriority w:val="0"/>
    <w:rPr>
      <w:kern w:val="2"/>
      <w:sz w:val="32"/>
    </w:rPr>
  </w:style>
  <w:style w:type="character" w:customStyle="1" w:styleId="138">
    <w:name w:val="正文文本缩进 3 字符"/>
    <w:basedOn w:val="39"/>
    <w:link w:val="30"/>
    <w:qFormat/>
    <w:uiPriority w:val="0"/>
    <w:rPr>
      <w:kern w:val="2"/>
      <w:sz w:val="16"/>
      <w:szCs w:val="16"/>
    </w:rPr>
  </w:style>
  <w:style w:type="character" w:customStyle="1" w:styleId="139">
    <w:name w:val="正文文本 2 字符"/>
    <w:basedOn w:val="39"/>
    <w:link w:val="31"/>
    <w:qFormat/>
    <w:uiPriority w:val="0"/>
    <w:rPr>
      <w:kern w:val="2"/>
      <w:sz w:val="21"/>
      <w:szCs w:val="24"/>
    </w:rPr>
  </w:style>
  <w:style w:type="character" w:customStyle="1" w:styleId="140">
    <w:name w:val="HTML 预设格式 字符"/>
    <w:basedOn w:val="39"/>
    <w:link w:val="32"/>
    <w:qFormat/>
    <w:uiPriority w:val="0"/>
    <w:rPr>
      <w:rFonts w:ascii="宋体" w:hAnsi="宋体" w:cs="宋体"/>
      <w:sz w:val="24"/>
      <w:szCs w:val="24"/>
    </w:rPr>
  </w:style>
  <w:style w:type="paragraph" w:customStyle="1" w:styleId="1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2">
    <w:name w:val="font122"/>
    <w:basedOn w:val="39"/>
    <w:qFormat/>
    <w:uiPriority w:val="0"/>
    <w:rPr>
      <w:rFonts w:hint="default" w:ascii="Times New Roman" w:hAnsi="Times New Roman" w:cs="Times New Roman"/>
      <w:color w:val="000000"/>
      <w:sz w:val="20"/>
      <w:szCs w:val="20"/>
      <w:u w:val="none"/>
    </w:rPr>
  </w:style>
  <w:style w:type="character" w:customStyle="1" w:styleId="143">
    <w:name w:val="font01"/>
    <w:basedOn w:val="39"/>
    <w:qFormat/>
    <w:uiPriority w:val="0"/>
    <w:rPr>
      <w:rFonts w:hint="eastAsia" w:ascii="宋体" w:hAnsi="宋体" w:eastAsia="宋体" w:cs="宋体"/>
      <w:color w:val="000000"/>
      <w:sz w:val="22"/>
      <w:szCs w:val="22"/>
      <w:u w:val="none"/>
    </w:rPr>
  </w:style>
  <w:style w:type="paragraph" w:customStyle="1" w:styleId="14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46">
    <w:name w:val="font11"/>
    <w:basedOn w:val="39"/>
    <w:qFormat/>
    <w:uiPriority w:val="0"/>
    <w:rPr>
      <w:rFonts w:hint="eastAsia" w:ascii="宋体" w:hAnsi="宋体" w:eastAsia="宋体" w:cs="宋体"/>
      <w:color w:val="000000"/>
      <w:sz w:val="24"/>
      <w:szCs w:val="24"/>
      <w:u w:val="none"/>
    </w:rPr>
  </w:style>
  <w:style w:type="paragraph" w:customStyle="1" w:styleId="14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11507</Words>
  <Characters>13314</Characters>
  <Lines>706</Lines>
  <Paragraphs>198</Paragraphs>
  <TotalTime>20</TotalTime>
  <ScaleCrop>false</ScaleCrop>
  <LinksUpToDate>false</LinksUpToDate>
  <CharactersWithSpaces>13479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2024-06-17T15:53:00Z</dcterms:created>
  <dc:creator>Huang Qian</dc:creator>
  <cp:lastModifiedBy>~猫~石榴</cp:lastModifiedBy>
  <cp:lastPrinted>2025-08-05T02:05:00Z</cp:lastPrinted>
  <dcterms:modified xsi:type="dcterms:W3CDTF">2025-08-19T06:47:44Z</dcterms:modified>
  <dc:title>竞争性谈判文件</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4F3F75CBC9CF474689F9A520B33A5CB5</vt:lpwstr>
  </property>
  <property fmtid="{D5CDD505-2E9C-101B-9397-08002B2CF9AE}" pid="4" name="KSOTemplateDocerSaveRecord">
    <vt:lpwstr>eyJoZGlkIjoiMTM0NGFlOTE5YzM3NmI1Mjk3MTU1YWRiMjQ4ZDZiNGUiLCJ1c2VySWQiOiIxMzM5Mjk0NDEwIn0=</vt:lpwstr>
  </property>
</Properties>
</file>