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38353"/>
    <w:p w14:paraId="69598E9C"/>
    <w:p w14:paraId="3B9D7855"/>
    <w:p w14:paraId="348BFBFA"/>
    <w:p w14:paraId="1468A15D">
      <w:pPr>
        <w:spacing w:beforeLines="50" w:line="780" w:lineRule="exact"/>
        <w:jc w:val="center"/>
        <w:rPr>
          <w:rFonts w:ascii="方正小标宋_GBK" w:hAnsi="黑体" w:eastAsia="方正小标宋_GBK"/>
          <w:b/>
          <w:sz w:val="84"/>
          <w:szCs w:val="84"/>
        </w:rPr>
      </w:pPr>
      <w:r>
        <w:rPr>
          <w:rFonts w:hint="eastAsia" w:ascii="方正小标宋_GBK" w:hAnsi="黑体" w:eastAsia="方正小标宋_GBK"/>
          <w:b/>
          <w:sz w:val="84"/>
          <w:szCs w:val="84"/>
        </w:rPr>
        <w:t>竞争性谈判采购文件</w:t>
      </w:r>
    </w:p>
    <w:p w14:paraId="31DE3D8C"/>
    <w:p w14:paraId="27AF7F6D"/>
    <w:p w14:paraId="7A89FEE3"/>
    <w:p w14:paraId="477B4C5A"/>
    <w:p w14:paraId="1B9AE18B"/>
    <w:p w14:paraId="6BFA050A"/>
    <w:p w14:paraId="6E0EB421"/>
    <w:p w14:paraId="52AA8F52"/>
    <w:p w14:paraId="13858B36"/>
    <w:p w14:paraId="164EBDB8"/>
    <w:p w14:paraId="33C72BED"/>
    <w:p w14:paraId="2CE60D3F"/>
    <w:p w14:paraId="5825DB50">
      <w:pPr>
        <w:spacing w:line="500" w:lineRule="exact"/>
        <w:ind w:left="2557" w:leftChars="608" w:hanging="1280" w:hangingChars="4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项目名称:</w:t>
      </w:r>
      <w:r>
        <w:rPr>
          <w:rFonts w:hint="eastAsia" w:ascii="方正小标宋_GBK" w:hAnsi="微软雅黑" w:eastAsia="方正小标宋_GBK"/>
          <w:sz w:val="32"/>
          <w:szCs w:val="32"/>
          <w:lang w:eastAsia="zh-CN"/>
        </w:rPr>
        <w:t>钦州市外国语学校新校区办公室信创计算机设备采购项目</w:t>
      </w:r>
    </w:p>
    <w:p w14:paraId="7FCFCD7C">
      <w:pPr>
        <w:spacing w:line="500" w:lineRule="exact"/>
        <w:ind w:firstLine="1280" w:firstLineChars="4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项目编号:</w:t>
      </w:r>
      <w:r>
        <w:rPr>
          <w:rFonts w:hint="eastAsia" w:ascii="方正小标宋_GBK" w:hAnsi="微软雅黑" w:eastAsia="方正小标宋_GBK"/>
          <w:sz w:val="32"/>
          <w:szCs w:val="32"/>
          <w:lang w:eastAsia="zh-CN"/>
        </w:rPr>
        <w:t>QZZC2025-J1-990214-QZSZ</w:t>
      </w:r>
    </w:p>
    <w:p w14:paraId="4360E712"/>
    <w:p w14:paraId="529B7250"/>
    <w:p w14:paraId="00C4E9D8"/>
    <w:p w14:paraId="661F9AE1"/>
    <w:p w14:paraId="05B3D4DF"/>
    <w:p w14:paraId="6E9D825D"/>
    <w:p w14:paraId="1182806E"/>
    <w:p w14:paraId="397EC5EE"/>
    <w:p w14:paraId="53BE0AF0"/>
    <w:p w14:paraId="62BB3385"/>
    <w:p w14:paraId="11A120F4"/>
    <w:p w14:paraId="71AF87D5"/>
    <w:p w14:paraId="759F29CA"/>
    <w:p w14:paraId="1EC7681D"/>
    <w:p w14:paraId="28A2BD89"/>
    <w:p w14:paraId="765AAB41"/>
    <w:p w14:paraId="0DB39B18"/>
    <w:p w14:paraId="3A297DA9"/>
    <w:p w14:paraId="59B580F0">
      <w:pPr>
        <w:spacing w:line="360" w:lineRule="exact"/>
        <w:jc w:val="center"/>
        <w:rPr>
          <w:rFonts w:ascii="方正小标宋_GBK" w:hAnsi="微软雅黑" w:eastAsia="方正小标宋_GBK"/>
          <w:sz w:val="32"/>
          <w:szCs w:val="32"/>
        </w:rPr>
      </w:pPr>
      <w:r>
        <w:rPr>
          <w:rFonts w:hint="eastAsia" w:ascii="方正小标宋_GBK" w:hAnsi="微软雅黑" w:eastAsia="方正小标宋_GBK"/>
          <w:sz w:val="32"/>
          <w:szCs w:val="32"/>
        </w:rPr>
        <w:t>钦州市政府采购中心</w:t>
      </w:r>
    </w:p>
    <w:p w14:paraId="105809C5">
      <w:pPr>
        <w:tabs>
          <w:tab w:val="left" w:pos="360"/>
        </w:tabs>
        <w:spacing w:line="440" w:lineRule="exact"/>
        <w:jc w:val="center"/>
        <w:rPr>
          <w:rFonts w:ascii="仿宋_GB2312" w:hAnsi="宋体" w:eastAsia="仿宋_GB2312"/>
          <w:sz w:val="32"/>
          <w:szCs w:val="32"/>
        </w:rPr>
      </w:pPr>
      <w:r>
        <w:rPr>
          <w:rFonts w:hint="eastAsia" w:ascii="方正小标宋_GBK" w:hAnsi="微软雅黑" w:eastAsia="方正小标宋_GBK"/>
          <w:sz w:val="32"/>
          <w:szCs w:val="32"/>
        </w:rPr>
        <w:t>202</w:t>
      </w:r>
      <w:r>
        <w:rPr>
          <w:rFonts w:hint="eastAsia" w:ascii="方正小标宋_GBK" w:hAnsi="微软雅黑" w:eastAsia="方正小标宋_GBK"/>
          <w:sz w:val="32"/>
          <w:szCs w:val="32"/>
          <w:lang w:val="en-US" w:eastAsia="zh-CN"/>
        </w:rPr>
        <w:t>5</w:t>
      </w:r>
      <w:r>
        <w:rPr>
          <w:rFonts w:hint="eastAsia" w:ascii="方正小标宋_GBK" w:hAnsi="微软雅黑" w:eastAsia="方正小标宋_GBK"/>
          <w:sz w:val="32"/>
          <w:szCs w:val="32"/>
        </w:rPr>
        <w:t>年</w:t>
      </w:r>
      <w:r>
        <w:rPr>
          <w:rFonts w:hint="eastAsia" w:ascii="方正小标宋_GBK" w:hAnsi="微软雅黑" w:eastAsia="方正小标宋_GBK"/>
          <w:sz w:val="32"/>
          <w:szCs w:val="32"/>
          <w:lang w:val="en-US" w:eastAsia="zh-CN"/>
        </w:rPr>
        <w:t>8</w:t>
      </w:r>
      <w:r>
        <w:rPr>
          <w:rFonts w:hint="eastAsia" w:ascii="方正小标宋_GBK" w:hAnsi="微软雅黑" w:eastAsia="方正小标宋_GBK"/>
          <w:sz w:val="32"/>
          <w:szCs w:val="32"/>
        </w:rPr>
        <w:t>月</w:t>
      </w:r>
    </w:p>
    <w:p w14:paraId="37C86D68"/>
    <w:p w14:paraId="63F910F3"/>
    <w:p w14:paraId="7AF8AA3B">
      <w:pPr>
        <w:spacing w:line="640" w:lineRule="exact"/>
        <w:jc w:val="center"/>
        <w:rPr>
          <w:rFonts w:ascii="方正小标宋_GBK" w:hAnsi="宋体" w:eastAsia="方正小标宋_GBK"/>
          <w:b/>
          <w:sz w:val="32"/>
          <w:szCs w:val="32"/>
        </w:rPr>
      </w:pPr>
      <w:r>
        <w:rPr>
          <w:rFonts w:hint="eastAsia" w:ascii="方正小标宋_GBK" w:hAnsi="宋体" w:eastAsia="方正小标宋_GBK"/>
          <w:b/>
          <w:sz w:val="44"/>
          <w:szCs w:val="44"/>
        </w:rPr>
        <w:t>目   录</w:t>
      </w:r>
    </w:p>
    <w:p w14:paraId="07A9258B"/>
    <w:p w14:paraId="742C8EC8">
      <w:pPr>
        <w:pStyle w:val="27"/>
        <w:tabs>
          <w:tab w:val="right" w:leader="dot" w:pos="9514"/>
        </w:tabs>
        <w:spacing w:line="1000" w:lineRule="exact"/>
        <w:rPr>
          <w:rFonts w:asciiTheme="minorHAnsi" w:hAnsiTheme="minorHAnsi" w:eastAsiaTheme="minorEastAsia" w:cstheme="minorBidi"/>
          <w:sz w:val="28"/>
          <w:szCs w:val="28"/>
        </w:rPr>
      </w:pPr>
      <w:bookmarkStart w:id="0" w:name="_Toc354479497"/>
      <w:r>
        <w:rPr>
          <w:rFonts w:hint="eastAsia" w:ascii="方正小标宋_GBK" w:hAnsi="仿宋" w:eastAsia="方正小标宋_GBK"/>
          <w:b/>
          <w:sz w:val="28"/>
          <w:szCs w:val="28"/>
        </w:rPr>
        <w:fldChar w:fldCharType="begin"/>
      </w:r>
      <w:r>
        <w:rPr>
          <w:rFonts w:hint="eastAsia" w:ascii="方正小标宋_GBK" w:hAnsi="仿宋" w:eastAsia="方正小标宋_GBK"/>
          <w:b/>
          <w:sz w:val="28"/>
          <w:szCs w:val="28"/>
        </w:rPr>
        <w:instrText xml:space="preserve"> TOC \o "1-1" \h \z \u </w:instrText>
      </w:r>
      <w:r>
        <w:rPr>
          <w:rFonts w:hint="eastAsia" w:ascii="方正小标宋_GBK" w:hAnsi="仿宋" w:eastAsia="方正小标宋_GBK"/>
          <w:b/>
          <w:sz w:val="28"/>
          <w:szCs w:val="28"/>
        </w:rPr>
        <w:fldChar w:fldCharType="separate"/>
      </w:r>
      <w:r>
        <w:fldChar w:fldCharType="begin"/>
      </w:r>
      <w:r>
        <w:instrText xml:space="preserve"> HYPERLINK \l "_Toc92355023" </w:instrText>
      </w:r>
      <w:r>
        <w:fldChar w:fldCharType="separate"/>
      </w:r>
      <w:r>
        <w:rPr>
          <w:rStyle w:val="47"/>
          <w:rFonts w:ascii="方正小标宋_GBK" w:hAnsi="宋体" w:eastAsia="方正小标宋_GBK"/>
          <w:color w:val="auto"/>
          <w:sz w:val="28"/>
          <w:szCs w:val="28"/>
        </w:rPr>
        <w:t>第一章  竞争性谈判公告</w:t>
      </w:r>
      <w:r>
        <w:rPr>
          <w:sz w:val="28"/>
          <w:szCs w:val="28"/>
        </w:rPr>
        <w:tab/>
      </w:r>
      <w:r>
        <w:rPr>
          <w:sz w:val="28"/>
          <w:szCs w:val="28"/>
        </w:rPr>
        <w:fldChar w:fldCharType="begin"/>
      </w:r>
      <w:r>
        <w:rPr>
          <w:sz w:val="28"/>
          <w:szCs w:val="28"/>
        </w:rPr>
        <w:instrText xml:space="preserve"> PAGEREF _Toc92355023 \h </w:instrText>
      </w:r>
      <w:r>
        <w:rPr>
          <w:sz w:val="28"/>
          <w:szCs w:val="28"/>
        </w:rPr>
        <w:fldChar w:fldCharType="separate"/>
      </w:r>
      <w:r>
        <w:rPr>
          <w:sz w:val="28"/>
          <w:szCs w:val="28"/>
        </w:rPr>
        <w:t>3</w:t>
      </w:r>
      <w:r>
        <w:rPr>
          <w:sz w:val="28"/>
          <w:szCs w:val="28"/>
        </w:rPr>
        <w:fldChar w:fldCharType="end"/>
      </w:r>
      <w:r>
        <w:rPr>
          <w:sz w:val="28"/>
          <w:szCs w:val="28"/>
        </w:rPr>
        <w:fldChar w:fldCharType="end"/>
      </w:r>
    </w:p>
    <w:p w14:paraId="04D2266C">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"_Toc92355024" </w:instrText>
      </w:r>
      <w:r>
        <w:fldChar w:fldCharType="separate"/>
      </w:r>
      <w:r>
        <w:rPr>
          <w:rStyle w:val="47"/>
          <w:rFonts w:ascii="方正小标宋_GBK" w:hAnsi="宋体" w:eastAsia="方正小标宋_GBK"/>
          <w:color w:val="auto"/>
          <w:sz w:val="28"/>
          <w:szCs w:val="28"/>
        </w:rPr>
        <w:t>第二章  项目需求</w:t>
      </w:r>
      <w:r>
        <w:rPr>
          <w:sz w:val="28"/>
          <w:szCs w:val="28"/>
        </w:rPr>
        <w:tab/>
      </w:r>
      <w:r>
        <w:rPr>
          <w:sz w:val="28"/>
          <w:szCs w:val="28"/>
        </w:rPr>
        <w:fldChar w:fldCharType="begin"/>
      </w:r>
      <w:r>
        <w:rPr>
          <w:sz w:val="28"/>
          <w:szCs w:val="28"/>
        </w:rPr>
        <w:instrText xml:space="preserve"> PAGEREF _Toc92355024 \h </w:instrText>
      </w:r>
      <w:r>
        <w:rPr>
          <w:sz w:val="28"/>
          <w:szCs w:val="28"/>
        </w:rPr>
        <w:fldChar w:fldCharType="separate"/>
      </w:r>
      <w:r>
        <w:rPr>
          <w:sz w:val="28"/>
          <w:szCs w:val="28"/>
        </w:rPr>
        <w:t xml:space="preserve">7 </w:t>
      </w:r>
      <w:r>
        <w:rPr>
          <w:sz w:val="28"/>
          <w:szCs w:val="28"/>
        </w:rPr>
        <w:fldChar w:fldCharType="end"/>
      </w:r>
      <w:r>
        <w:rPr>
          <w:sz w:val="28"/>
          <w:szCs w:val="28"/>
        </w:rPr>
        <w:fldChar w:fldCharType="end"/>
      </w:r>
    </w:p>
    <w:p w14:paraId="6D09F392">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"_Toc92355025" </w:instrText>
      </w:r>
      <w:r>
        <w:fldChar w:fldCharType="separate"/>
      </w:r>
      <w:r>
        <w:rPr>
          <w:rStyle w:val="47"/>
          <w:rFonts w:ascii="方正小标宋简体" w:eastAsia="方正小标宋简体"/>
          <w:color w:val="auto"/>
          <w:sz w:val="28"/>
          <w:szCs w:val="28"/>
        </w:rPr>
        <w:t>第三章  供应商须知</w:t>
      </w:r>
      <w:r>
        <w:rPr>
          <w:sz w:val="28"/>
          <w:szCs w:val="28"/>
        </w:rPr>
        <w:tab/>
      </w:r>
      <w:r>
        <w:rPr>
          <w:rFonts w:hint="eastAsia"/>
          <w:sz w:val="28"/>
          <w:szCs w:val="28"/>
          <w:lang w:val="en-US" w:eastAsia="zh-CN"/>
        </w:rPr>
        <w:t>3</w:t>
      </w:r>
      <w:r>
        <w:rPr>
          <w:sz w:val="28"/>
          <w:szCs w:val="28"/>
        </w:rPr>
        <w:fldChar w:fldCharType="begin"/>
      </w:r>
      <w:r>
        <w:rPr>
          <w:sz w:val="28"/>
          <w:szCs w:val="28"/>
        </w:rPr>
        <w:instrText xml:space="preserve"> PAGEREF _Toc92355025 \h </w:instrText>
      </w:r>
      <w:r>
        <w:rPr>
          <w:sz w:val="28"/>
          <w:szCs w:val="28"/>
        </w:rPr>
        <w:fldChar w:fldCharType="separate"/>
      </w:r>
      <w:r>
        <w:rPr>
          <w:sz w:val="28"/>
          <w:szCs w:val="28"/>
        </w:rPr>
        <w:t>9</w:t>
      </w:r>
      <w:r>
        <w:rPr>
          <w:sz w:val="28"/>
          <w:szCs w:val="28"/>
        </w:rPr>
        <w:fldChar w:fldCharType="end"/>
      </w:r>
      <w:r>
        <w:rPr>
          <w:sz w:val="28"/>
          <w:szCs w:val="28"/>
        </w:rPr>
        <w:fldChar w:fldCharType="end"/>
      </w:r>
    </w:p>
    <w:p w14:paraId="402D3B0E">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"_Toc92355026" </w:instrText>
      </w:r>
      <w:r>
        <w:fldChar w:fldCharType="separate"/>
      </w:r>
      <w:r>
        <w:rPr>
          <w:rStyle w:val="47"/>
          <w:rFonts w:ascii="方正小标宋_GBK" w:hAnsi="宋体" w:eastAsia="方正小标宋_GBK"/>
          <w:color w:val="auto"/>
          <w:sz w:val="28"/>
          <w:szCs w:val="28"/>
        </w:rPr>
        <w:t>第四章  评定标准及推荐原则</w:t>
      </w:r>
      <w:r>
        <w:rPr>
          <w:sz w:val="28"/>
          <w:szCs w:val="28"/>
        </w:rPr>
        <w:tab/>
      </w:r>
      <w:r>
        <w:rPr>
          <w:sz w:val="28"/>
          <w:szCs w:val="28"/>
        </w:rPr>
        <w:fldChar w:fldCharType="begin"/>
      </w:r>
      <w:r>
        <w:rPr>
          <w:sz w:val="28"/>
          <w:szCs w:val="28"/>
        </w:rPr>
        <w:instrText xml:space="preserve"> PAGEREF _Toc92355026 \h </w:instrText>
      </w:r>
      <w:r>
        <w:rPr>
          <w:sz w:val="28"/>
          <w:szCs w:val="28"/>
        </w:rPr>
        <w:fldChar w:fldCharType="separate"/>
      </w:r>
      <w:r>
        <w:rPr>
          <w:sz w:val="28"/>
          <w:szCs w:val="28"/>
        </w:rPr>
        <w:t>5</w:t>
      </w:r>
      <w:r>
        <w:rPr>
          <w:rFonts w:hint="eastAsia"/>
          <w:sz w:val="28"/>
          <w:szCs w:val="28"/>
          <w:lang w:val="en-US" w:eastAsia="zh-CN"/>
        </w:rPr>
        <w:t>2</w:t>
      </w:r>
      <w:r>
        <w:rPr>
          <w:sz w:val="28"/>
          <w:szCs w:val="28"/>
        </w:rPr>
        <w:fldChar w:fldCharType="end"/>
      </w:r>
      <w:r>
        <w:rPr>
          <w:sz w:val="28"/>
          <w:szCs w:val="28"/>
        </w:rPr>
        <w:fldChar w:fldCharType="end"/>
      </w:r>
    </w:p>
    <w:p w14:paraId="38577435">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"_Toc92355027" </w:instrText>
      </w:r>
      <w:r>
        <w:fldChar w:fldCharType="separate"/>
      </w:r>
      <w:r>
        <w:rPr>
          <w:rStyle w:val="47"/>
          <w:rFonts w:ascii="方正小标宋_GBK" w:eastAsia="方正小标宋_GBK"/>
          <w:color w:val="auto"/>
          <w:sz w:val="28"/>
          <w:szCs w:val="28"/>
        </w:rPr>
        <w:t>第五章  合同文本</w:t>
      </w:r>
      <w:bookmarkStart w:id="133" w:name="_GoBack"/>
      <w:bookmarkEnd w:id="133"/>
      <w:r>
        <w:rPr>
          <w:sz w:val="28"/>
          <w:szCs w:val="28"/>
        </w:rPr>
        <w:tab/>
      </w:r>
      <w:r>
        <w:rPr>
          <w:sz w:val="28"/>
          <w:szCs w:val="28"/>
        </w:rPr>
        <w:fldChar w:fldCharType="begin"/>
      </w:r>
      <w:r>
        <w:rPr>
          <w:sz w:val="28"/>
          <w:szCs w:val="28"/>
        </w:rPr>
        <w:instrText xml:space="preserve"> PAGEREF _Toc92355027 \h </w:instrText>
      </w:r>
      <w:r>
        <w:rPr>
          <w:sz w:val="28"/>
          <w:szCs w:val="28"/>
        </w:rPr>
        <w:fldChar w:fldCharType="separate"/>
      </w:r>
      <w:r>
        <w:rPr>
          <w:sz w:val="28"/>
          <w:szCs w:val="28"/>
        </w:rPr>
        <w:t>5</w:t>
      </w:r>
      <w:r>
        <w:rPr>
          <w:rFonts w:hint="eastAsia"/>
          <w:sz w:val="28"/>
          <w:szCs w:val="28"/>
          <w:lang w:val="en-US" w:eastAsia="zh-CN"/>
        </w:rPr>
        <w:t>4</w:t>
      </w:r>
      <w:r>
        <w:rPr>
          <w:sz w:val="28"/>
          <w:szCs w:val="28"/>
        </w:rPr>
        <w:fldChar w:fldCharType="end"/>
      </w:r>
      <w:r>
        <w:rPr>
          <w:sz w:val="28"/>
          <w:szCs w:val="28"/>
        </w:rPr>
        <w:fldChar w:fldCharType="end"/>
      </w:r>
    </w:p>
    <w:p w14:paraId="0F344E9F">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"_Toc92355028" </w:instrText>
      </w:r>
      <w:r>
        <w:fldChar w:fldCharType="separate"/>
      </w:r>
      <w:r>
        <w:rPr>
          <w:rStyle w:val="47"/>
          <w:rFonts w:ascii="方正小标宋_GBK" w:hAnsi="方正小标宋_GBK" w:eastAsia="方正小标宋_GBK"/>
          <w:color w:val="auto"/>
          <w:sz w:val="28"/>
          <w:szCs w:val="28"/>
        </w:rPr>
        <w:t>第六章  响应文件格式</w:t>
      </w:r>
      <w:r>
        <w:rPr>
          <w:sz w:val="28"/>
          <w:szCs w:val="28"/>
        </w:rPr>
        <w:tab/>
      </w:r>
      <w:r>
        <w:rPr>
          <w:sz w:val="28"/>
          <w:szCs w:val="28"/>
        </w:rPr>
        <w:fldChar w:fldCharType="begin"/>
      </w:r>
      <w:r>
        <w:rPr>
          <w:sz w:val="28"/>
          <w:szCs w:val="28"/>
        </w:rPr>
        <w:instrText xml:space="preserve"> PAGEREF _Toc92355028 \h </w:instrText>
      </w:r>
      <w:r>
        <w:rPr>
          <w:sz w:val="28"/>
          <w:szCs w:val="28"/>
        </w:rPr>
        <w:fldChar w:fldCharType="separate"/>
      </w:r>
      <w:r>
        <w:rPr>
          <w:sz w:val="28"/>
          <w:szCs w:val="28"/>
        </w:rPr>
        <w:t>7</w:t>
      </w:r>
      <w:r>
        <w:rPr>
          <w:rFonts w:hint="eastAsia"/>
          <w:sz w:val="28"/>
          <w:szCs w:val="28"/>
          <w:lang w:val="en-US" w:eastAsia="zh-CN"/>
        </w:rPr>
        <w:t>0</w:t>
      </w:r>
      <w:r>
        <w:rPr>
          <w:sz w:val="28"/>
          <w:szCs w:val="28"/>
        </w:rPr>
        <w:fldChar w:fldCharType="end"/>
      </w:r>
      <w:r>
        <w:rPr>
          <w:sz w:val="28"/>
          <w:szCs w:val="28"/>
        </w:rPr>
        <w:fldChar w:fldCharType="end"/>
      </w:r>
    </w:p>
    <w:p w14:paraId="5415F35A">
      <w:p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r>
        <w:rPr>
          <w:rFonts w:hint="eastAsia"/>
        </w:rPr>
        <w:fldChar w:fldCharType="end"/>
      </w:r>
    </w:p>
    <w:p w14:paraId="41F2BCB0"/>
    <w:p w14:paraId="1D63E206">
      <w:pPr>
        <w:widowControl/>
        <w:jc w:val="left"/>
      </w:pPr>
    </w:p>
    <w:p w14:paraId="5FE867C2"/>
    <w:p w14:paraId="3365B260"/>
    <w:p w14:paraId="1C79E365"/>
    <w:p w14:paraId="782A42E0"/>
    <w:p w14:paraId="57A25DD9"/>
    <w:p w14:paraId="5197E49B"/>
    <w:p w14:paraId="5615E354"/>
    <w:p w14:paraId="0110A383"/>
    <w:p w14:paraId="6C6E09B2"/>
    <w:p w14:paraId="3288F4DA"/>
    <w:p w14:paraId="48DD46B2"/>
    <w:p w14:paraId="3D519091"/>
    <w:p w14:paraId="5BFCBFB3">
      <w:pPr>
        <w:pStyle w:val="2"/>
        <w:spacing w:line="400" w:lineRule="exact"/>
        <w:rPr>
          <w:rFonts w:ascii="方正小标宋_GBK" w:hAnsi="宋体" w:eastAsia="方正小标宋_GBK"/>
        </w:rPr>
      </w:pPr>
      <w:bookmarkStart w:id="1" w:name="_Toc92355023"/>
      <w:r>
        <w:rPr>
          <w:rFonts w:hint="eastAsia" w:ascii="方正小标宋_GBK" w:hAnsi="宋体" w:eastAsia="方正小标宋_GBK"/>
        </w:rPr>
        <w:t>第一章  竞争性谈判公告</w:t>
      </w:r>
      <w:bookmarkEnd w:id="0"/>
      <w:bookmarkEnd w:id="1"/>
    </w:p>
    <w:p w14:paraId="6606FCB0">
      <w:pPr>
        <w:spacing w:line="600" w:lineRule="exact"/>
        <w:jc w:val="center"/>
      </w:pPr>
      <w:r>
        <w:rPr>
          <w:rFonts w:ascii="黑体" w:hAnsi="宋体" w:eastAsia="黑体"/>
          <w:b/>
          <w:sz w:val="32"/>
          <w:szCs w:val="32"/>
        </w:rPr>
        <w:br w:type="page"/>
      </w:r>
    </w:p>
    <w:p w14:paraId="6CA6A863">
      <w:pPr>
        <w:spacing w:line="600" w:lineRule="exact"/>
        <w:jc w:val="center"/>
        <w:rPr>
          <w:rFonts w:ascii="方正小标宋_GBK" w:hAnsi="宋体" w:eastAsia="方正小标宋_GBK"/>
          <w:b/>
          <w:sz w:val="34"/>
          <w:szCs w:val="34"/>
        </w:rPr>
      </w:pPr>
      <w:r>
        <w:rPr>
          <w:rFonts w:hint="eastAsia" w:ascii="方正小标宋_GBK" w:hAnsi="宋体" w:eastAsia="方正小标宋_GBK"/>
          <w:b/>
          <w:sz w:val="34"/>
          <w:szCs w:val="34"/>
        </w:rPr>
        <w:t>钦州市政府采购中心关于</w:t>
      </w:r>
      <w:r>
        <w:rPr>
          <w:rFonts w:hint="eastAsia" w:ascii="方正小标宋_GBK" w:hAnsi="宋体" w:eastAsia="方正小标宋_GBK"/>
          <w:b/>
          <w:sz w:val="34"/>
          <w:szCs w:val="34"/>
          <w:lang w:eastAsia="zh-CN"/>
        </w:rPr>
        <w:t>钦州市外国语学校新校区办公室信创计算机设备采购项目</w:t>
      </w:r>
      <w:r>
        <w:rPr>
          <w:rFonts w:ascii="方正小标宋_GBK" w:hAnsi="宋体" w:eastAsia="方正小标宋_GBK"/>
          <w:b/>
          <w:sz w:val="34"/>
          <w:szCs w:val="34"/>
        </w:rPr>
        <w:t>(</w:t>
      </w:r>
      <w:r>
        <w:rPr>
          <w:rFonts w:hint="eastAsia" w:ascii="方正小标宋_GBK" w:hAnsi="宋体" w:eastAsia="方正小标宋_GBK"/>
          <w:b/>
          <w:sz w:val="34"/>
          <w:szCs w:val="34"/>
          <w:lang w:eastAsia="zh-CN"/>
        </w:rPr>
        <w:t>QZZC2025-J1-990214-QZSZ</w:t>
      </w:r>
      <w:r>
        <w:rPr>
          <w:rFonts w:ascii="方正小标宋_GBK" w:hAnsi="宋体" w:eastAsia="方正小标宋_GBK"/>
          <w:b/>
          <w:sz w:val="34"/>
          <w:szCs w:val="34"/>
        </w:rPr>
        <w:t>)</w:t>
      </w:r>
      <w:r>
        <w:rPr>
          <w:rFonts w:hint="eastAsia" w:ascii="方正小标宋_GBK" w:hAnsi="宋体" w:eastAsia="方正小标宋_GBK"/>
          <w:b/>
          <w:sz w:val="34"/>
          <w:szCs w:val="34"/>
        </w:rPr>
        <w:t>的竞争性谈判公告</w:t>
      </w:r>
    </w:p>
    <w:p w14:paraId="529A166A">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sz w:val="32"/>
          <w:szCs w:val="32"/>
        </w:rPr>
      </w:pPr>
      <w:bookmarkStart w:id="2" w:name="_Toc38370138"/>
      <w:r>
        <w:rPr>
          <w:rFonts w:hint="eastAsia" w:ascii="宋体" w:hAnsi="宋体"/>
          <w:szCs w:val="21"/>
        </w:rPr>
        <w:t>项目概况</w:t>
      </w:r>
    </w:p>
    <w:p w14:paraId="474F1E2E">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lang w:eastAsia="zh-CN"/>
        </w:rPr>
        <w:t>钦州市外国语学校新校区办公室信创计算机设备采购项目</w:t>
      </w:r>
      <w:r>
        <w:rPr>
          <w:rFonts w:hint="eastAsia" w:ascii="宋体" w:hAnsi="宋体"/>
          <w:szCs w:val="21"/>
        </w:rPr>
        <w:t>的潜在供应商应在广西政府采购云平台（https://www.gcy.zfcg.gxzf.gov.cn/）获取采购文件，并于202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8</w:t>
      </w:r>
      <w:r>
        <w:rPr>
          <w:rFonts w:hint="eastAsia" w:ascii="宋体" w:hAnsi="宋体"/>
          <w:bCs/>
          <w:szCs w:val="21"/>
        </w:rPr>
        <w:t>月</w:t>
      </w:r>
      <w:r>
        <w:rPr>
          <w:rFonts w:hint="eastAsia" w:ascii="宋体" w:hAnsi="宋体"/>
          <w:bCs/>
          <w:szCs w:val="21"/>
          <w:lang w:val="en-US" w:eastAsia="zh-CN"/>
        </w:rPr>
        <w:t>22</w:t>
      </w:r>
      <w:r>
        <w:rPr>
          <w:rFonts w:hint="eastAsia" w:ascii="宋体" w:hAnsi="宋体"/>
          <w:bCs/>
          <w:szCs w:val="21"/>
        </w:rPr>
        <w:t>日</w:t>
      </w:r>
      <w:r>
        <w:rPr>
          <w:rFonts w:hint="eastAsia"/>
          <w:lang w:val="en-US" w:eastAsia="zh-CN"/>
        </w:rPr>
        <w:t>10</w:t>
      </w:r>
      <w:r>
        <w:t>:</w:t>
      </w:r>
      <w:r>
        <w:rPr>
          <w:rFonts w:hint="eastAsia"/>
          <w:lang w:val="en-US" w:eastAsia="zh-CN"/>
        </w:rPr>
        <w:t>00</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bookmarkEnd w:id="2"/>
    <w:p w14:paraId="13C58D28">
      <w:pPr>
        <w:spacing w:line="400" w:lineRule="exact"/>
        <w:rPr>
          <w:b/>
        </w:rPr>
      </w:pPr>
      <w:bookmarkStart w:id="3" w:name="_Toc35393790"/>
      <w:bookmarkStart w:id="4" w:name="_Toc28359002"/>
      <w:bookmarkStart w:id="5" w:name="_Toc35393621"/>
      <w:bookmarkStart w:id="6" w:name="_Toc28359079"/>
      <w:bookmarkStart w:id="7" w:name="_Hlk24379207"/>
      <w:bookmarkStart w:id="8" w:name="_Toc38370146"/>
      <w:r>
        <w:rPr>
          <w:rFonts w:hint="eastAsia"/>
          <w:b/>
        </w:rPr>
        <w:t>一、项目基本情况</w:t>
      </w:r>
      <w:bookmarkEnd w:id="3"/>
      <w:bookmarkEnd w:id="4"/>
      <w:bookmarkEnd w:id="5"/>
      <w:bookmarkEnd w:id="6"/>
    </w:p>
    <w:p w14:paraId="0DA3FE2F">
      <w:pPr>
        <w:spacing w:line="400" w:lineRule="exact"/>
        <w:ind w:firstLine="420"/>
        <w:rPr>
          <w:rFonts w:hint="eastAsia" w:eastAsia="宋体"/>
          <w:lang w:eastAsia="zh-CN"/>
        </w:rPr>
      </w:pPr>
      <w:r>
        <w:rPr>
          <w:rFonts w:hint="eastAsia"/>
        </w:rPr>
        <w:t>项目编号：</w:t>
      </w:r>
      <w:r>
        <w:rPr>
          <w:rFonts w:hint="eastAsia"/>
          <w:lang w:eastAsia="zh-CN"/>
        </w:rPr>
        <w:t>QZZC2025-J1-990214-QZSZ</w:t>
      </w:r>
    </w:p>
    <w:p w14:paraId="4FF6C366">
      <w:pPr>
        <w:spacing w:line="400" w:lineRule="exact"/>
        <w:ind w:firstLine="420"/>
        <w:rPr>
          <w:rFonts w:hint="eastAsia" w:eastAsia="宋体"/>
          <w:lang w:eastAsia="zh-CN"/>
        </w:rPr>
      </w:pPr>
      <w:r>
        <w:rPr>
          <w:rFonts w:hint="eastAsia"/>
        </w:rPr>
        <w:t>项目名称：</w:t>
      </w:r>
      <w:r>
        <w:rPr>
          <w:rFonts w:hint="eastAsia"/>
          <w:lang w:eastAsia="zh-CN"/>
        </w:rPr>
        <w:t>钦州市外国语学校新校区办公室信创计算机设备采购项目</w:t>
      </w:r>
    </w:p>
    <w:bookmarkEnd w:id="7"/>
    <w:p w14:paraId="46BACD5C">
      <w:pPr>
        <w:spacing w:line="400" w:lineRule="exact"/>
        <w:ind w:firstLine="420"/>
        <w:rPr>
          <w:rFonts w:hint="eastAsia"/>
        </w:rPr>
      </w:pPr>
      <w:r>
        <w:rPr>
          <w:rFonts w:hint="eastAsia"/>
        </w:rPr>
        <w:t>预算总金额(元)：671640.00</w:t>
      </w:r>
    </w:p>
    <w:p w14:paraId="7851057E">
      <w:pPr>
        <w:spacing w:line="400" w:lineRule="exact"/>
        <w:ind w:firstLine="420"/>
      </w:pPr>
      <w:r>
        <w:rPr>
          <w:rFonts w:hint="eastAsia"/>
        </w:rPr>
        <w:t>采购需求：</w:t>
      </w:r>
    </w:p>
    <w:p w14:paraId="0DE1F96E">
      <w:pPr>
        <w:spacing w:line="400" w:lineRule="exact"/>
      </w:pPr>
    </w:p>
    <w:p w14:paraId="476C0DC9">
      <w:pPr>
        <w:spacing w:line="400" w:lineRule="exact"/>
        <w:ind w:firstLine="420"/>
        <w:rPr>
          <w:rFonts w:hint="eastAsia" w:eastAsia="宋体"/>
          <w:lang w:eastAsia="zh-CN"/>
        </w:rPr>
      </w:pPr>
      <w:r>
        <w:rPr>
          <w:rFonts w:hint="eastAsia"/>
        </w:rPr>
        <w:t>标项名称：</w:t>
      </w:r>
      <w:r>
        <w:rPr>
          <w:rFonts w:hint="eastAsia"/>
          <w:lang w:eastAsia="zh-CN"/>
        </w:rPr>
        <w:t>钦州市外国语学校新校区办公室信创计算机设备采购项目</w:t>
      </w:r>
    </w:p>
    <w:p w14:paraId="6651D734">
      <w:pPr>
        <w:spacing w:line="400" w:lineRule="exact"/>
        <w:ind w:firstLine="420"/>
      </w:pPr>
      <w:r>
        <w:rPr>
          <w:rFonts w:hint="eastAsia"/>
        </w:rPr>
        <w:t>数量：1</w:t>
      </w:r>
    </w:p>
    <w:p w14:paraId="687706D7">
      <w:pPr>
        <w:spacing w:line="400" w:lineRule="exact"/>
        <w:ind w:firstLine="420"/>
      </w:pPr>
      <w:r>
        <w:rPr>
          <w:rFonts w:hint="eastAsia"/>
        </w:rPr>
        <w:t>预算金额(元</w:t>
      </w:r>
      <w:r>
        <w:t>)</w:t>
      </w:r>
      <w:r>
        <w:rPr>
          <w:rFonts w:hint="eastAsia"/>
        </w:rPr>
        <w:t>：671640.00</w:t>
      </w:r>
    </w:p>
    <w:p w14:paraId="09E910E4">
      <w:pPr>
        <w:spacing w:line="400" w:lineRule="exact"/>
        <w:ind w:firstLine="420"/>
        <w:rPr>
          <w:rFonts w:hint="eastAsia"/>
          <w:lang w:val="en-US" w:eastAsia="zh-CN"/>
        </w:rPr>
      </w:pPr>
      <w:r>
        <w:rPr>
          <w:rFonts w:hint="eastAsia"/>
        </w:rPr>
        <w:t>简要规格描述或项目基本概况介绍、用途：</w:t>
      </w:r>
      <w:r>
        <w:rPr>
          <w:rFonts w:hint="eastAsia" w:ascii="宋体" w:hAnsi="宋体" w:eastAsia="宋体" w:cs="宋体"/>
          <w:i w:val="0"/>
          <w:color w:val="000000"/>
          <w:kern w:val="0"/>
          <w:sz w:val="21"/>
          <w:szCs w:val="21"/>
          <w:u w:val="none"/>
          <w:lang w:val="en-US" w:eastAsia="zh-CN" w:bidi="ar"/>
        </w:rPr>
        <w:t>台式计算机</w:t>
      </w:r>
      <w:r>
        <w:rPr>
          <w:rFonts w:hint="eastAsia" w:ascii="宋体" w:hAnsi="宋体" w:cs="宋体"/>
          <w:i w:val="0"/>
          <w:color w:val="000000"/>
          <w:kern w:val="0"/>
          <w:sz w:val="21"/>
          <w:szCs w:val="21"/>
          <w:u w:val="none"/>
          <w:lang w:val="en-US" w:eastAsia="zh-CN" w:bidi="ar"/>
        </w:rPr>
        <w:t>120</w:t>
      </w:r>
      <w:r>
        <w:rPr>
          <w:rFonts w:hint="eastAsia" w:ascii="宋体" w:hAnsi="宋体" w:eastAsia="宋体" w:cs="宋体"/>
          <w:i w:val="0"/>
          <w:color w:val="000000"/>
          <w:kern w:val="0"/>
          <w:sz w:val="21"/>
          <w:szCs w:val="21"/>
          <w:u w:val="none"/>
          <w:lang w:val="en-US" w:eastAsia="zh-CN" w:bidi="ar"/>
        </w:rPr>
        <w:t>台</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操作系统</w:t>
      </w:r>
      <w:r>
        <w:rPr>
          <w:rFonts w:hint="eastAsia" w:ascii="宋体" w:hAnsi="宋体" w:cs="宋体"/>
          <w:i w:val="0"/>
          <w:color w:val="000000"/>
          <w:kern w:val="0"/>
          <w:sz w:val="21"/>
          <w:szCs w:val="21"/>
          <w:u w:val="none"/>
          <w:lang w:val="en-US" w:eastAsia="zh-CN" w:bidi="ar"/>
        </w:rPr>
        <w:t>120</w:t>
      </w:r>
      <w:r>
        <w:rPr>
          <w:rFonts w:hint="eastAsia" w:ascii="宋体" w:hAnsi="宋体" w:eastAsia="宋体" w:cs="宋体"/>
          <w:i w:val="0"/>
          <w:color w:val="000000"/>
          <w:kern w:val="0"/>
          <w:sz w:val="21"/>
          <w:szCs w:val="21"/>
          <w:u w:val="none"/>
          <w:lang w:val="en-US" w:eastAsia="zh-CN" w:bidi="ar"/>
        </w:rPr>
        <w:t>套</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版式办公软件</w:t>
      </w:r>
      <w:r>
        <w:rPr>
          <w:rFonts w:hint="eastAsia" w:ascii="宋体" w:hAnsi="宋体" w:cs="宋体"/>
          <w:i w:val="0"/>
          <w:color w:val="000000"/>
          <w:kern w:val="0"/>
          <w:sz w:val="21"/>
          <w:szCs w:val="21"/>
          <w:u w:val="none"/>
          <w:lang w:val="en-US" w:eastAsia="zh-CN" w:bidi="ar"/>
        </w:rPr>
        <w:t>120</w:t>
      </w:r>
      <w:r>
        <w:rPr>
          <w:rFonts w:hint="eastAsia" w:ascii="宋体" w:hAnsi="宋体" w:eastAsia="宋体" w:cs="宋体"/>
          <w:i w:val="0"/>
          <w:color w:val="000000"/>
          <w:kern w:val="0"/>
          <w:sz w:val="21"/>
          <w:szCs w:val="21"/>
          <w:u w:val="none"/>
          <w:lang w:val="en-US" w:eastAsia="zh-CN" w:bidi="ar"/>
        </w:rPr>
        <w:t>套</w:t>
      </w:r>
      <w:r>
        <w:rPr>
          <w:rFonts w:hint="eastAsia"/>
          <w:lang w:val="en-US" w:eastAsia="zh-CN"/>
        </w:rPr>
        <w:t xml:space="preserve">，具体详见采购需求。 </w:t>
      </w:r>
    </w:p>
    <w:p w14:paraId="5E49804E">
      <w:pPr>
        <w:spacing w:line="400" w:lineRule="exact"/>
        <w:ind w:firstLine="420"/>
      </w:pPr>
      <w:r>
        <w:rPr>
          <w:rFonts w:hint="eastAsia"/>
        </w:rPr>
        <w:t>最高限价(如有</w:t>
      </w:r>
      <w:r>
        <w:t>)</w:t>
      </w:r>
      <w:r>
        <w:rPr>
          <w:rFonts w:hint="eastAsia"/>
        </w:rPr>
        <w:t>：</w:t>
      </w:r>
    </w:p>
    <w:p w14:paraId="1881152D">
      <w:pPr>
        <w:spacing w:line="400" w:lineRule="exact"/>
        <w:ind w:firstLine="420"/>
        <w:rPr>
          <w:rFonts w:hint="eastAsia"/>
          <w:highlight w:val="yellow"/>
        </w:rPr>
      </w:pPr>
      <w:r>
        <w:rPr>
          <w:rFonts w:hint="eastAsia" w:ascii="Times New Roman" w:hAnsi="Times New Roman" w:eastAsia="宋体" w:cs="Times New Roman"/>
        </w:rPr>
        <w:t>合同履行期限：自合同签订之日起</w:t>
      </w:r>
      <w:r>
        <w:rPr>
          <w:rFonts w:hint="eastAsia" w:ascii="Times New Roman" w:hAnsi="Times New Roman" w:eastAsia="宋体" w:cs="Times New Roman"/>
          <w:lang w:val="en-US" w:eastAsia="zh-CN"/>
        </w:rPr>
        <w:t>10</w:t>
      </w:r>
      <w:r>
        <w:rPr>
          <w:rFonts w:hint="eastAsia" w:ascii="Times New Roman" w:hAnsi="Times New Roman" w:eastAsia="宋体" w:cs="Times New Roman"/>
        </w:rPr>
        <w:t>日内必须交货并安装调式完毕，并达到验收条件。</w:t>
      </w:r>
    </w:p>
    <w:p w14:paraId="2C6AF6E1">
      <w:pPr>
        <w:spacing w:line="400" w:lineRule="exact"/>
        <w:ind w:firstLine="420"/>
      </w:pPr>
      <w:r>
        <w:rPr>
          <w:rFonts w:hint="eastAsia"/>
        </w:rPr>
        <w:t>本标项(否</w:t>
      </w:r>
      <w:r>
        <w:t>)</w:t>
      </w:r>
      <w:r>
        <w:rPr>
          <w:rFonts w:hint="eastAsia"/>
        </w:rPr>
        <w:t>接受联合体竞标。</w:t>
      </w:r>
    </w:p>
    <w:p w14:paraId="6E1B5F37">
      <w:pPr>
        <w:spacing w:line="400" w:lineRule="exact"/>
        <w:ind w:firstLine="420"/>
      </w:pPr>
      <w:r>
        <w:rPr>
          <w:rFonts w:hint="eastAsia"/>
        </w:rPr>
        <w:t>备注：</w:t>
      </w:r>
    </w:p>
    <w:p w14:paraId="49867620">
      <w:pPr>
        <w:spacing w:line="400" w:lineRule="exact"/>
        <w:ind w:firstLine="420"/>
      </w:pPr>
    </w:p>
    <w:p w14:paraId="6512E0A4">
      <w:pPr>
        <w:spacing w:line="400" w:lineRule="exact"/>
        <w:rPr>
          <w:b/>
        </w:rPr>
      </w:pPr>
      <w:bookmarkStart w:id="9" w:name="_Toc35393622"/>
      <w:bookmarkStart w:id="10" w:name="_Toc35393791"/>
      <w:bookmarkStart w:id="11" w:name="_Toc28359080"/>
      <w:bookmarkStart w:id="12" w:name="_Toc28359003"/>
      <w:r>
        <w:rPr>
          <w:rFonts w:hint="eastAsia"/>
          <w:b/>
        </w:rPr>
        <w:t>二、申请人的资格要求：</w:t>
      </w:r>
      <w:bookmarkEnd w:id="9"/>
      <w:bookmarkEnd w:id="10"/>
      <w:bookmarkEnd w:id="11"/>
      <w:bookmarkEnd w:id="12"/>
      <w:bookmarkStart w:id="13" w:name="_Toc35393623"/>
      <w:bookmarkStart w:id="14" w:name="_Toc28359081"/>
      <w:bookmarkStart w:id="15" w:name="_Toc35393792"/>
      <w:bookmarkStart w:id="16" w:name="_Toc28359004"/>
    </w:p>
    <w:p w14:paraId="4174ACF4">
      <w:pPr>
        <w:spacing w:line="400" w:lineRule="exact"/>
        <w:ind w:firstLine="420"/>
        <w:rPr>
          <w:b/>
        </w:rPr>
      </w:pPr>
      <w:r>
        <w:rPr>
          <w:rFonts w:hint="eastAsia"/>
        </w:rPr>
        <w:t>1.满足《中华人民共和国政府采购法》第二十二条规定</w:t>
      </w:r>
    </w:p>
    <w:p w14:paraId="628FEBD2">
      <w:pPr>
        <w:spacing w:line="400" w:lineRule="exact"/>
        <w:ind w:firstLine="420"/>
      </w:pPr>
      <w:r>
        <w:rPr>
          <w:rFonts w:hint="eastAsia"/>
        </w:rPr>
        <w:t>2.落实政府采购政策需满足的资格要求：无 </w:t>
      </w:r>
    </w:p>
    <w:p w14:paraId="24F2347F">
      <w:pPr>
        <w:spacing w:line="400" w:lineRule="exact"/>
        <w:ind w:firstLine="435"/>
      </w:pPr>
      <w:r>
        <w:rPr>
          <w:rFonts w:hint="eastAsia"/>
        </w:rPr>
        <w:t>3.本项目的特定资格要求：无</w:t>
      </w:r>
    </w:p>
    <w:p w14:paraId="4CA44B2B">
      <w:pPr>
        <w:spacing w:line="400" w:lineRule="exact"/>
        <w:rPr>
          <w:b/>
        </w:rPr>
      </w:pPr>
      <w:r>
        <w:rPr>
          <w:rFonts w:hint="eastAsia"/>
          <w:b/>
        </w:rPr>
        <w:t>三、获取采购文件</w:t>
      </w:r>
      <w:bookmarkEnd w:id="13"/>
      <w:bookmarkEnd w:id="14"/>
      <w:bookmarkEnd w:id="15"/>
      <w:bookmarkEnd w:id="16"/>
    </w:p>
    <w:p w14:paraId="0C14E755">
      <w:pPr>
        <w:spacing w:line="400" w:lineRule="exact"/>
        <w:ind w:firstLine="420"/>
        <w:jc w:val="left"/>
      </w:pPr>
      <w:bookmarkStart w:id="17" w:name="_Toc38370141"/>
      <w:r>
        <w:rPr>
          <w:rFonts w:hint="eastAsia"/>
        </w:rPr>
        <w:t>时间：</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8</w:t>
      </w:r>
      <w:r>
        <w:rPr>
          <w:rFonts w:hint="eastAsia" w:ascii="宋体" w:hAnsi="宋体"/>
          <w:bCs/>
          <w:szCs w:val="21"/>
        </w:rPr>
        <w:t>月</w:t>
      </w:r>
      <w:r>
        <w:rPr>
          <w:rFonts w:hint="eastAsia" w:ascii="宋体" w:hAnsi="宋体"/>
          <w:bCs/>
          <w:szCs w:val="21"/>
          <w:lang w:val="en-US" w:eastAsia="zh-CN"/>
        </w:rPr>
        <w:t>18</w:t>
      </w:r>
      <w:r>
        <w:rPr>
          <w:rFonts w:hint="eastAsia" w:ascii="宋体" w:hAnsi="宋体"/>
          <w:bCs/>
          <w:szCs w:val="21"/>
        </w:rPr>
        <w:t>日</w:t>
      </w:r>
      <w:r>
        <w:rPr>
          <w:rFonts w:hint="eastAsia"/>
        </w:rPr>
        <w:t>至</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8</w:t>
      </w:r>
      <w:r>
        <w:rPr>
          <w:rFonts w:hint="eastAsia" w:ascii="宋体" w:hAnsi="宋体"/>
          <w:bCs/>
          <w:szCs w:val="21"/>
        </w:rPr>
        <w:t>月</w:t>
      </w:r>
      <w:r>
        <w:rPr>
          <w:rFonts w:hint="eastAsia" w:ascii="宋体" w:hAnsi="宋体"/>
          <w:bCs/>
          <w:szCs w:val="21"/>
          <w:lang w:val="en-US" w:eastAsia="zh-CN"/>
        </w:rPr>
        <w:t>21</w:t>
      </w:r>
      <w:r>
        <w:rPr>
          <w:rFonts w:hint="eastAsia" w:ascii="宋体" w:hAnsi="宋体"/>
          <w:bCs/>
          <w:szCs w:val="21"/>
        </w:rPr>
        <w:t>日</w:t>
      </w:r>
      <w:r>
        <w:rPr>
          <w:rFonts w:hint="eastAsia"/>
        </w:rPr>
        <w:t xml:space="preserve"> ，每天上午00:00至12:00，下午12:00至23:59（北京时间，法定节假日除外）</w:t>
      </w:r>
    </w:p>
    <w:p w14:paraId="519BB92B">
      <w:pPr>
        <w:spacing w:line="400" w:lineRule="exact"/>
        <w:ind w:firstLine="420"/>
      </w:pPr>
      <w:r>
        <w:rPr>
          <w:rFonts w:hint="eastAsia"/>
        </w:rPr>
        <w:t>地点(网址</w:t>
      </w:r>
      <w:r>
        <w:t>)</w:t>
      </w:r>
      <w:r>
        <w:rPr>
          <w:rFonts w:hint="eastAsia"/>
        </w:rPr>
        <w:t>：</w:t>
      </w:r>
      <w:r>
        <w:rPr>
          <w:rFonts w:hint="eastAsia" w:ascii="宋体" w:hAnsi="宋体"/>
          <w:szCs w:val="21"/>
        </w:rPr>
        <w:t>广西政府采购云平台（https://www.gcy.zfcg.gxzf.gov.cn/）</w:t>
      </w:r>
    </w:p>
    <w:p w14:paraId="39B3280E">
      <w:pPr>
        <w:spacing w:line="400" w:lineRule="exact"/>
        <w:ind w:firstLine="420"/>
      </w:pPr>
      <w:r>
        <w:rPr>
          <w:rFonts w:hint="eastAsia"/>
        </w:rPr>
        <w:t>方式：供应商登录广西政府采购云平台在线获取采购文件（进入“项目采购”应用选择项目，获取采购文件）</w:t>
      </w:r>
    </w:p>
    <w:p w14:paraId="068BCA5F">
      <w:pPr>
        <w:spacing w:line="400" w:lineRule="exact"/>
        <w:ind w:firstLine="420"/>
      </w:pPr>
      <w:r>
        <w:rPr>
          <w:rFonts w:hint="eastAsia"/>
        </w:rPr>
        <w:t>售价(元</w:t>
      </w:r>
      <w:r>
        <w:t>)</w:t>
      </w:r>
      <w:r>
        <w:rPr>
          <w:rFonts w:hint="eastAsia"/>
        </w:rPr>
        <w:t>：0</w:t>
      </w:r>
    </w:p>
    <w:p w14:paraId="756A7538">
      <w:pPr>
        <w:spacing w:line="400" w:lineRule="exact"/>
        <w:rPr>
          <w:b/>
        </w:rPr>
      </w:pPr>
      <w:r>
        <w:rPr>
          <w:rFonts w:hint="eastAsia"/>
          <w:b/>
          <w:bCs/>
        </w:rPr>
        <w:t>四、</w:t>
      </w:r>
      <w:bookmarkEnd w:id="17"/>
      <w:bookmarkStart w:id="18" w:name="_Toc28359082"/>
      <w:bookmarkStart w:id="19" w:name="_Toc28359005"/>
      <w:bookmarkStart w:id="20" w:name="_Toc35393624"/>
      <w:bookmarkStart w:id="21" w:name="_Toc35393793"/>
      <w:r>
        <w:rPr>
          <w:rFonts w:hint="eastAsia"/>
          <w:b/>
        </w:rPr>
        <w:t>响应文件</w:t>
      </w:r>
      <w:bookmarkEnd w:id="18"/>
      <w:bookmarkEnd w:id="19"/>
      <w:r>
        <w:rPr>
          <w:rFonts w:hint="eastAsia"/>
          <w:b/>
        </w:rPr>
        <w:t>提交</w:t>
      </w:r>
      <w:bookmarkEnd w:id="20"/>
      <w:bookmarkEnd w:id="21"/>
    </w:p>
    <w:p w14:paraId="388BCA9D">
      <w:pPr>
        <w:spacing w:line="400" w:lineRule="exact"/>
        <w:ind w:firstLine="420"/>
      </w:pPr>
      <w:r>
        <w:rPr>
          <w:rFonts w:hint="eastAsia"/>
        </w:rPr>
        <w:t>截止时间：</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8</w:t>
      </w:r>
      <w:r>
        <w:rPr>
          <w:rFonts w:hint="eastAsia" w:ascii="宋体" w:hAnsi="宋体"/>
          <w:bCs/>
          <w:szCs w:val="21"/>
        </w:rPr>
        <w:t>月</w:t>
      </w:r>
      <w:r>
        <w:rPr>
          <w:rFonts w:hint="eastAsia" w:ascii="宋体" w:hAnsi="宋体"/>
          <w:bCs/>
          <w:szCs w:val="21"/>
          <w:lang w:val="en-US" w:eastAsia="zh-CN"/>
        </w:rPr>
        <w:t>22</w:t>
      </w:r>
      <w:r>
        <w:rPr>
          <w:rFonts w:hint="eastAsia" w:ascii="宋体" w:hAnsi="宋体"/>
          <w:bCs/>
          <w:szCs w:val="21"/>
        </w:rPr>
        <w:t>日</w:t>
      </w:r>
      <w:r>
        <w:rPr>
          <w:rFonts w:hint="eastAsia"/>
          <w:lang w:val="en-US" w:eastAsia="zh-CN"/>
        </w:rPr>
        <w:t>10</w:t>
      </w:r>
      <w:r>
        <w:t>:</w:t>
      </w:r>
      <w:r>
        <w:rPr>
          <w:rFonts w:hint="eastAsia"/>
          <w:lang w:val="en-US" w:eastAsia="zh-CN"/>
        </w:rPr>
        <w:t>00</w:t>
      </w:r>
      <w:r>
        <w:rPr>
          <w:rFonts w:hint="eastAsia"/>
        </w:rPr>
        <w:t>（北京时间）</w:t>
      </w:r>
    </w:p>
    <w:p w14:paraId="5321F951">
      <w:pPr>
        <w:spacing w:line="400" w:lineRule="exact"/>
        <w:ind w:firstLine="420"/>
        <w:rPr>
          <w:rFonts w:ascii="宋体" w:hAnsi="宋体" w:cs="Courier New"/>
          <w:szCs w:val="21"/>
        </w:rPr>
      </w:pPr>
      <w:r>
        <w:rPr>
          <w:rFonts w:hint="eastAsia"/>
        </w:rPr>
        <w:t>地点(网址）：</w:t>
      </w:r>
      <w:r>
        <w:rPr>
          <w:rFonts w:hint="eastAsia" w:ascii="宋体" w:hAnsi="宋体"/>
          <w:szCs w:val="21"/>
        </w:rPr>
        <w:t>广西政府采购云平台（https://www.gcy.zfcg.gxzf.gov.cn/）</w:t>
      </w:r>
    </w:p>
    <w:p w14:paraId="0F6A0C71">
      <w:pPr>
        <w:spacing w:line="400" w:lineRule="exact"/>
        <w:rPr>
          <w:rFonts w:ascii="宋体" w:hAnsi="宋体" w:cs="Courier New"/>
          <w:b/>
          <w:bCs/>
          <w:szCs w:val="21"/>
        </w:rPr>
      </w:pPr>
      <w:r>
        <w:rPr>
          <w:rFonts w:hint="eastAsia" w:ascii="宋体" w:hAnsi="宋体" w:cs="Courier New"/>
          <w:b/>
          <w:bCs/>
          <w:szCs w:val="21"/>
        </w:rPr>
        <w:t>五、响应文件开启</w:t>
      </w:r>
    </w:p>
    <w:p w14:paraId="39E3C80A">
      <w:pPr>
        <w:spacing w:line="400" w:lineRule="exact"/>
        <w:ind w:firstLine="420" w:firstLineChars="200"/>
        <w:rPr>
          <w:rFonts w:ascii="宋体" w:hAnsi="宋体" w:cs="Courier New"/>
          <w:szCs w:val="21"/>
        </w:rPr>
      </w:pPr>
      <w:r>
        <w:rPr>
          <w:rFonts w:hint="eastAsia" w:ascii="宋体" w:hAnsi="宋体" w:cs="Courier New"/>
          <w:szCs w:val="21"/>
        </w:rPr>
        <w:t>开启时间：</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8</w:t>
      </w:r>
      <w:r>
        <w:rPr>
          <w:rFonts w:hint="eastAsia" w:ascii="宋体" w:hAnsi="宋体"/>
          <w:bCs/>
          <w:szCs w:val="21"/>
        </w:rPr>
        <w:t>月</w:t>
      </w:r>
      <w:r>
        <w:rPr>
          <w:rFonts w:hint="eastAsia" w:ascii="宋体" w:hAnsi="宋体"/>
          <w:bCs/>
          <w:szCs w:val="21"/>
          <w:lang w:val="en-US" w:eastAsia="zh-CN"/>
        </w:rPr>
        <w:t>22</w:t>
      </w:r>
      <w:r>
        <w:rPr>
          <w:rFonts w:hint="eastAsia" w:ascii="宋体" w:hAnsi="宋体"/>
          <w:bCs/>
          <w:szCs w:val="21"/>
        </w:rPr>
        <w:t>日</w:t>
      </w:r>
      <w:r>
        <w:rPr>
          <w:rFonts w:hint="eastAsia"/>
          <w:lang w:val="en-US" w:eastAsia="zh-CN"/>
        </w:rPr>
        <w:t>10</w:t>
      </w:r>
      <w:r>
        <w:t>:</w:t>
      </w:r>
      <w:r>
        <w:rPr>
          <w:rFonts w:hint="eastAsia"/>
          <w:lang w:val="en-US" w:eastAsia="zh-CN"/>
        </w:rPr>
        <w:t>00</w:t>
      </w:r>
      <w:r>
        <w:rPr>
          <w:rFonts w:hint="eastAsia"/>
        </w:rPr>
        <w:t>（北京时间）</w:t>
      </w:r>
    </w:p>
    <w:p w14:paraId="6033E5BE">
      <w:pPr>
        <w:spacing w:line="400" w:lineRule="exact"/>
        <w:ind w:firstLine="420"/>
        <w:rPr>
          <w:rFonts w:ascii="宋体" w:hAnsi="宋体" w:cs="Courier New"/>
          <w:szCs w:val="21"/>
        </w:rPr>
      </w:pPr>
      <w:r>
        <w:rPr>
          <w:rFonts w:hint="eastAsia" w:ascii="宋体" w:hAnsi="宋体" w:cs="Courier New"/>
          <w:szCs w:val="21"/>
        </w:rPr>
        <w:t>地点：</w:t>
      </w:r>
      <w:bookmarkStart w:id="22" w:name="_Toc28359084"/>
      <w:bookmarkStart w:id="23" w:name="_Toc28359007"/>
      <w:bookmarkStart w:id="24" w:name="_Toc35393625"/>
      <w:bookmarkStart w:id="25" w:name="_Toc35393794"/>
      <w:r>
        <w:rPr>
          <w:rFonts w:hint="eastAsia"/>
        </w:rPr>
        <w:t>广西钦州市金海湾东大街8号市政务服务中心三楼开标室</w:t>
      </w:r>
    </w:p>
    <w:p w14:paraId="038D121D">
      <w:pPr>
        <w:spacing w:line="400" w:lineRule="exact"/>
        <w:rPr>
          <w:b/>
        </w:rPr>
      </w:pPr>
      <w:r>
        <w:rPr>
          <w:rFonts w:hint="eastAsia"/>
          <w:b/>
        </w:rPr>
        <w:t>六、公告期限</w:t>
      </w:r>
      <w:bookmarkEnd w:id="22"/>
      <w:bookmarkEnd w:id="23"/>
      <w:bookmarkEnd w:id="24"/>
      <w:bookmarkEnd w:id="25"/>
    </w:p>
    <w:p w14:paraId="67BB15FF">
      <w:pPr>
        <w:spacing w:line="400" w:lineRule="exact"/>
        <w:ind w:firstLine="420"/>
      </w:pPr>
      <w:r>
        <w:rPr>
          <w:rFonts w:hint="eastAsia"/>
        </w:rPr>
        <w:t>自本公告发布之日起</w:t>
      </w:r>
      <w:r>
        <w:t>3</w:t>
      </w:r>
      <w:r>
        <w:rPr>
          <w:rFonts w:hint="eastAsia"/>
        </w:rPr>
        <w:t>个工作日。</w:t>
      </w:r>
    </w:p>
    <w:p w14:paraId="099C142C">
      <w:pPr>
        <w:spacing w:line="400" w:lineRule="exact"/>
        <w:rPr>
          <w:b/>
        </w:rPr>
      </w:pPr>
      <w:bookmarkStart w:id="26" w:name="_Toc28359085"/>
      <w:bookmarkStart w:id="27" w:name="_Toc35393627"/>
      <w:bookmarkStart w:id="28" w:name="_Toc28359008"/>
      <w:bookmarkStart w:id="29" w:name="_Toc35393796"/>
      <w:r>
        <w:rPr>
          <w:rFonts w:hint="eastAsia"/>
          <w:b/>
        </w:rPr>
        <w:t>七、其他补充事宜</w:t>
      </w:r>
    </w:p>
    <w:p w14:paraId="2F7D2519">
      <w:pPr>
        <w:spacing w:line="400" w:lineRule="exact"/>
        <w:ind w:firstLine="420"/>
        <w:rPr>
          <w:b/>
        </w:rPr>
      </w:pPr>
      <w:r>
        <w:rPr>
          <w:rFonts w:hint="eastAsia"/>
        </w:rPr>
        <w:t>1</w:t>
      </w:r>
      <w:r>
        <w:t>.</w:t>
      </w:r>
      <w:r>
        <w:rPr>
          <w:rFonts w:hint="eastAsia"/>
          <w:bCs/>
        </w:rPr>
        <w:t>本项目须要落实的政府采购政策</w:t>
      </w:r>
      <w:r>
        <w:rPr>
          <w:rFonts w:hint="eastAsia"/>
          <w:b/>
        </w:rPr>
        <w:t>：</w:t>
      </w:r>
    </w:p>
    <w:p w14:paraId="0638266A">
      <w:pPr>
        <w:spacing w:line="400" w:lineRule="exact"/>
        <w:ind w:left="420" w:leftChars="200"/>
        <w:rPr>
          <w:bCs/>
        </w:rPr>
      </w:pPr>
      <w:r>
        <w:rPr>
          <w:rFonts w:hint="eastAsia"/>
          <w:bCs/>
        </w:rPr>
        <w:t>(1)财政部 工业和信息化部关于印发《政府采购促进中小企业发展管理办法》的通知(财库﹝2020﹞46号)</w:t>
      </w:r>
    </w:p>
    <w:p w14:paraId="4DB58F86">
      <w:pPr>
        <w:spacing w:line="400" w:lineRule="exact"/>
        <w:ind w:left="420" w:leftChars="200"/>
        <w:rPr>
          <w:bCs/>
        </w:rPr>
      </w:pPr>
      <w:r>
        <w:rPr>
          <w:rFonts w:hint="eastAsia"/>
          <w:bCs/>
        </w:rPr>
        <w:t>(2)财政部 司法部关于政府采购支持监狱企业发展有关问题的通知 (财库﹝2014﹞68号)</w:t>
      </w:r>
    </w:p>
    <w:p w14:paraId="236A60FD">
      <w:pPr>
        <w:spacing w:line="400" w:lineRule="exact"/>
        <w:ind w:left="420" w:leftChars="200"/>
        <w:rPr>
          <w:bCs/>
        </w:rPr>
      </w:pPr>
      <w:r>
        <w:rPr>
          <w:rFonts w:hint="eastAsia"/>
          <w:bCs/>
        </w:rPr>
        <w:t>(3)财政部 民政部 中国残疾人联合会关于促进残疾人就业政府采购政策的通知 (财库﹝2017﹞141号)</w:t>
      </w:r>
    </w:p>
    <w:p w14:paraId="166369F5">
      <w:pPr>
        <w:spacing w:line="400" w:lineRule="exact"/>
        <w:ind w:left="420" w:leftChars="200"/>
        <w:rPr>
          <w:bCs/>
        </w:rPr>
      </w:pPr>
      <w:r>
        <w:rPr>
          <w:rFonts w:hint="eastAsia"/>
          <w:bCs/>
        </w:rPr>
        <w:t>(4)财政部 发展改革委 生态环境部 市场监管总局关于调整优化节能产品、环境标志产品政府采购执行机制的通知（财库〔2019〕9号）</w:t>
      </w:r>
    </w:p>
    <w:p w14:paraId="73B2DD2E">
      <w:pPr>
        <w:spacing w:line="400" w:lineRule="exact"/>
        <w:ind w:left="420" w:leftChars="200"/>
        <w:rPr>
          <w:bCs/>
        </w:rPr>
      </w:pPr>
      <w:r>
        <w:rPr>
          <w:rFonts w:hint="eastAsia"/>
          <w:bCs/>
        </w:rPr>
        <w:t>(5)财政部 发展改革委 关于印发节能产品政府采购品目清单的通知（财库〔2019〕19号）</w:t>
      </w:r>
    </w:p>
    <w:p w14:paraId="2629E815">
      <w:pPr>
        <w:spacing w:line="400" w:lineRule="exact"/>
        <w:ind w:firstLine="420"/>
      </w:pPr>
      <w:r>
        <w:rPr>
          <w:rFonts w:hint="eastAsia"/>
        </w:rPr>
        <w:t>2</w:t>
      </w:r>
      <w:r>
        <w:t>.</w:t>
      </w:r>
      <w:bookmarkStart w:id="30" w:name="_Hlk91598380"/>
      <w:r>
        <w:rPr>
          <w:rFonts w:hint="eastAsia"/>
        </w:rPr>
        <w:t>全流程电子化</w:t>
      </w:r>
      <w:bookmarkEnd w:id="30"/>
      <w:r>
        <w:rPr>
          <w:rFonts w:hint="eastAsia"/>
        </w:rPr>
        <w:t>要求：</w:t>
      </w:r>
    </w:p>
    <w:p w14:paraId="4028F02D">
      <w:pPr>
        <w:spacing w:line="400" w:lineRule="exact"/>
        <w:ind w:firstLine="420"/>
      </w:pPr>
      <w:bookmarkStart w:id="31" w:name="_Hlk147760486"/>
      <w:r>
        <w:rPr>
          <w:rFonts w:hint="eastAsia"/>
        </w:rPr>
        <w:t>本项目为全流程电子化项目，供应商应做好参与全流程电子化交易的充分准备，熟悉掌握电子化采购项目操作指南(操作指南：</w:t>
      </w:r>
      <w:r>
        <w:rPr>
          <w:rFonts w:hint="eastAsia"/>
          <w:u w:val="single"/>
        </w:rPr>
        <w:t>广西</w:t>
      </w:r>
      <w:r>
        <w:fldChar w:fldCharType="begin"/>
      </w:r>
      <w:r>
        <w:instrText xml:space="preserve"> HYPERLINK "https://helpcenter.zcygov.cn/document/" \l "/document/dashboard?siteCode=beijing&amp;channel=dt" </w:instrText>
      </w:r>
      <w:r>
        <w:fldChar w:fldCharType="separate"/>
      </w:r>
      <w:r>
        <w:rPr>
          <w:rStyle w:val="47"/>
          <w:rFonts w:hint="eastAsia"/>
          <w:color w:val="auto"/>
        </w:rPr>
        <w:t>政采云电子卖场首页右上角—服务中心—帮助文档—项目采购</w:t>
      </w:r>
      <w:r>
        <w:rPr>
          <w:rStyle w:val="47"/>
          <w:rFonts w:hint="eastAsia"/>
          <w:color w:val="auto"/>
        </w:rPr>
        <w:fldChar w:fldCharType="end"/>
      </w:r>
      <w:r>
        <w:rPr>
          <w:rFonts w:hint="eastAsia"/>
        </w:rPr>
        <w:t>)，及时完成CA申领和绑定(操作指南：</w:t>
      </w:r>
      <w:r>
        <w:rPr>
          <w:rFonts w:hint="eastAsia"/>
          <w:u w:val="single"/>
        </w:rPr>
        <w:t>广西</w:t>
      </w:r>
      <w:r>
        <w:fldChar w:fldCharType="begin"/>
      </w:r>
      <w:r>
        <w:instrText xml:space="preserve"> HYPERLINK "https://helpcenter.zcygov.cn/document/" \l "/document/detail?siteCode=beijing&amp;manualId=795&amp;topicId=4081" </w:instrText>
      </w:r>
      <w:r>
        <w:fldChar w:fldCharType="separate"/>
      </w:r>
      <w:r>
        <w:rPr>
          <w:rStyle w:val="47"/>
          <w:rFonts w:hint="eastAsia"/>
          <w:color w:val="auto"/>
        </w:rPr>
        <w:t>政采云电子卖场首页右上角—帮助文档—入驻与配置—CA管理</w:t>
      </w:r>
      <w:r>
        <w:rPr>
          <w:rStyle w:val="47"/>
          <w:rFonts w:hint="eastAsia"/>
          <w:color w:val="auto"/>
        </w:rPr>
        <w:fldChar w:fldCharType="end"/>
      </w:r>
      <w:r>
        <w:rPr>
          <w:rFonts w:hint="eastAsia"/>
        </w:rPr>
        <w:t>；CA证书申领路径：</w:t>
      </w:r>
      <w:r>
        <w:rPr>
          <w:rFonts w:hint="eastAsia"/>
          <w:u w:val="single"/>
        </w:rPr>
        <w:t>广西</w:t>
      </w:r>
      <w:r>
        <w:fldChar w:fldCharType="begin"/>
      </w:r>
      <w:r>
        <w:instrText xml:space="preserve"> HYPERLINK "https://helpcenter.zcygov.cn/document/" \l "/document/detail?siteCode=beijing&amp;manualId=795&amp;topicId=4083" </w:instrText>
      </w:r>
      <w:r>
        <w:fldChar w:fldCharType="separate"/>
      </w:r>
      <w:r>
        <w:rPr>
          <w:rStyle w:val="47"/>
          <w:rFonts w:hint="eastAsia"/>
          <w:color w:val="auto"/>
        </w:rPr>
        <w:t>政采云平台—我的工作台右上角—CA管理—CA证书申领</w:t>
      </w:r>
      <w:r>
        <w:rPr>
          <w:rStyle w:val="47"/>
          <w:rFonts w:hint="eastAsia"/>
          <w:color w:val="auto"/>
        </w:rPr>
        <w:fldChar w:fldCharType="end"/>
      </w:r>
      <w:r>
        <w:rPr>
          <w:rFonts w:hint="eastAsia"/>
        </w:rPr>
        <w:t>)。因未注册入库、未办理CA数字证书、CA证书故障、操作不当等原因造成谈判失败等后果由供应商承担。</w:t>
      </w:r>
    </w:p>
    <w:bookmarkEnd w:id="31"/>
    <w:p w14:paraId="1EE5C5FF">
      <w:pPr>
        <w:spacing w:line="400" w:lineRule="exact"/>
        <w:ind w:firstLine="420"/>
      </w:pPr>
      <w:r>
        <w:t>(1)</w:t>
      </w:r>
      <w:r>
        <w:rPr>
          <w:rFonts w:hint="eastAsia"/>
        </w:rPr>
        <w:t>依法获取采购文件：供应商须在获取采购文件时间内登录</w:t>
      </w:r>
      <w:r>
        <w:rPr>
          <w:rFonts w:hint="eastAsia"/>
          <w:u w:val="single"/>
        </w:rPr>
        <w:t>广西</w:t>
      </w:r>
      <w:r>
        <w:fldChar w:fldCharType="begin"/>
      </w:r>
      <w:r>
        <w:instrText xml:space="preserve"> HYPERLINK "https://www.zcygov.cn/" </w:instrText>
      </w:r>
      <w:r>
        <w:fldChar w:fldCharType="separate"/>
      </w:r>
      <w:r>
        <w:rPr>
          <w:rStyle w:val="47"/>
          <w:rFonts w:hint="eastAsia"/>
          <w:color w:val="auto"/>
        </w:rPr>
        <w:t>政府采购云平台</w:t>
      </w:r>
      <w:r>
        <w:rPr>
          <w:rStyle w:val="47"/>
          <w:rFonts w:hint="eastAsia"/>
          <w:color w:val="auto"/>
        </w:rPr>
        <w:fldChar w:fldCharType="end"/>
      </w:r>
      <w:r>
        <w:rPr>
          <w:rFonts w:hint="eastAsia"/>
        </w:rPr>
        <w:t>申请下载采购文件才视作依法获取采购文件。</w:t>
      </w:r>
    </w:p>
    <w:p w14:paraId="028E4343">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fldChar w:fldCharType="begin"/>
      </w:r>
      <w:r>
        <w:instrText xml:space="preserve"> HYPERLINK "https://sitecdn.zcycdn.com/zcy-client/bidding-client-new/official/guangxi/GuangXiSetup.exe" </w:instrText>
      </w:r>
      <w:r>
        <w:fldChar w:fldCharType="separate"/>
      </w:r>
      <w:r>
        <w:rPr>
          <w:rFonts w:hint="eastAsia"/>
        </w:rPr>
        <w:t>客户端下载</w:t>
      </w:r>
      <w:r>
        <w:rPr>
          <w:rFonts w:hint="eastAsia"/>
        </w:rPr>
        <w:fldChar w:fldCharType="end"/>
      </w:r>
      <w:r>
        <w:rPr>
          <w:rFonts w:hint="eastAsia"/>
        </w:rPr>
        <w:t>）。</w:t>
      </w:r>
    </w:p>
    <w:p w14:paraId="60B0DB79">
      <w:pPr>
        <w:spacing w:line="400" w:lineRule="exact"/>
        <w:ind w:firstLine="420"/>
      </w:pPr>
      <w:r>
        <w:rPr>
          <w:rFonts w:hint="eastAsia"/>
        </w:rPr>
        <w:t>(</w:t>
      </w:r>
      <w:r>
        <w:t>3)</w:t>
      </w:r>
      <w:r>
        <w:rPr>
          <w:rFonts w:hint="eastAsia"/>
        </w:rPr>
        <w:t>供应商须按照采购文件和广西政府采购云平台的要求进行编制、上传、加密、提交、解密响应文件，响应文件提交截止时间后，广西政府采购云平台自动提取全部响应文件，各供应商须在提交截止时间后30分钟内对已上传广西政府采购云平台的响应文件进行解密，参与本项目的全部供应商在规定的解密时限内解密完成或解密时限结束后，我中心开启响应文件；供应商在解密时限内未完成解密的，广西政府采购云平台默认为供应商放弃参与本项目。</w:t>
      </w:r>
    </w:p>
    <w:p w14:paraId="7A38A56F">
      <w:pPr>
        <w:spacing w:line="400" w:lineRule="exact"/>
        <w:ind w:firstLine="420"/>
        <w:rPr>
          <w:b/>
        </w:rPr>
      </w:pPr>
      <w:r>
        <w:rPr>
          <w:rFonts w:hint="eastAsia"/>
        </w:rPr>
        <w:t>(</w:t>
      </w:r>
      <w:r>
        <w:t>4)</w:t>
      </w:r>
      <w:r>
        <w:rPr>
          <w:rFonts w:hint="eastAsia"/>
        </w:rPr>
        <w:t>供应商法定代表人或委托代理人须按时登录</w:t>
      </w:r>
      <w:bookmarkStart w:id="32" w:name="_Hlk90367388"/>
      <w:r>
        <w:rPr>
          <w:rFonts w:hint="eastAsia"/>
        </w:rPr>
        <w:t>广西</w:t>
      </w:r>
      <w:r>
        <w:rPr>
          <w:rFonts w:hint="eastAsia" w:ascii="宋体" w:hAnsi="宋体" w:cs="Courier New"/>
          <w:szCs w:val="21"/>
        </w:rPr>
        <w:t>政采云远程开标大厅</w:t>
      </w:r>
      <w:bookmarkEnd w:id="32"/>
      <w:r>
        <w:rPr>
          <w:rFonts w:hint="eastAsia"/>
        </w:rPr>
        <w:t>，保持全程在线并关注评审谈判进度，评审期间谈判小组提出澄清等要求时，供应商须在规定时间内进行应答，否则按采购文件或广西政采云平台的相关规定执行。</w:t>
      </w:r>
    </w:p>
    <w:p w14:paraId="793D4F0C">
      <w:pPr>
        <w:spacing w:line="400" w:lineRule="exact"/>
        <w:ind w:firstLine="420"/>
        <w:rPr>
          <w:rFonts w:hAnsi="宋体"/>
        </w:rPr>
      </w:pPr>
      <w:r>
        <w:rPr>
          <w:rFonts w:hint="eastAsia"/>
        </w:rPr>
        <w:t>(</w:t>
      </w:r>
      <w:r>
        <w:t>5)</w:t>
      </w:r>
      <w:r>
        <w:rPr>
          <w:rFonts w:hint="eastAsia"/>
        </w:rPr>
        <w:t>供应商参与谈判过程中涉及广西政府采购云平台的问题，请咨询广西政采云</w:t>
      </w:r>
      <w:r>
        <w:rPr>
          <w:rFonts w:hint="eastAsia" w:hAnsi="宋体"/>
        </w:rPr>
        <w:t>技术支持热线：</w:t>
      </w:r>
      <w:r>
        <w:rPr>
          <w:rFonts w:hAnsi="宋体"/>
        </w:rPr>
        <w:t>95763</w:t>
      </w:r>
      <w:r>
        <w:rPr>
          <w:rFonts w:hint="eastAsia" w:hAnsi="宋体"/>
        </w:rPr>
        <w:t>。</w:t>
      </w:r>
    </w:p>
    <w:p w14:paraId="315A494F">
      <w:pPr>
        <w:spacing w:line="400" w:lineRule="exact"/>
        <w:ind w:firstLine="420"/>
        <w:jc w:val="left"/>
        <w:rPr>
          <w:rFonts w:hAnsi="宋体"/>
        </w:rPr>
      </w:pPr>
      <w:r>
        <w:rPr>
          <w:rFonts w:hint="eastAsia" w:hAnsi="宋体"/>
        </w:rPr>
        <w:t>3</w:t>
      </w:r>
      <w:r>
        <w:rPr>
          <w:rFonts w:hAnsi="宋体"/>
        </w:rPr>
        <w:t>.</w:t>
      </w:r>
      <w:r>
        <w:rPr>
          <w:rFonts w:hint="eastAsia" w:hAnsi="宋体"/>
        </w:rPr>
        <w:t>查询媒体：中国政府采购网、</w:t>
      </w:r>
      <w:r>
        <w:fldChar w:fldCharType="begin"/>
      </w:r>
      <w:r>
        <w:instrText xml:space="preserve"> HYPERLINK "http://zfcg.gxzf.gov.cn/" </w:instrText>
      </w:r>
      <w:r>
        <w:fldChar w:fldCharType="separate"/>
      </w:r>
      <w:r>
        <w:rPr>
          <w:rStyle w:val="47"/>
          <w:rFonts w:hint="eastAsia" w:hAnsi="宋体"/>
          <w:color w:val="auto"/>
          <w:u w:val="none"/>
        </w:rPr>
        <w:t>广西政府采购网</w:t>
      </w:r>
      <w:r>
        <w:rPr>
          <w:rStyle w:val="47"/>
          <w:rFonts w:hint="eastAsia" w:hAnsi="宋体"/>
          <w:color w:val="auto"/>
          <w:u w:val="none"/>
        </w:rPr>
        <w:fldChar w:fldCharType="end"/>
      </w:r>
      <w:r>
        <w:rPr>
          <w:rFonts w:hint="eastAsia" w:hAnsi="宋体"/>
        </w:rPr>
        <w:t>。</w:t>
      </w:r>
    </w:p>
    <w:p w14:paraId="56E22D19">
      <w:pPr>
        <w:spacing w:line="400" w:lineRule="exact"/>
        <w:ind w:firstLine="420"/>
        <w:jc w:val="left"/>
        <w:rPr>
          <w:rFonts w:hAnsi="宋体"/>
        </w:rPr>
      </w:pPr>
      <w:bookmarkStart w:id="33" w:name="_Hlk107409555"/>
      <w:r>
        <w:rPr>
          <w:rFonts w:hint="eastAsia" w:hAnsi="宋体"/>
        </w:rPr>
        <w:t>4</w:t>
      </w:r>
      <w:r>
        <w:rPr>
          <w:rFonts w:hAnsi="宋体"/>
        </w:rPr>
        <w:t>.</w:t>
      </w:r>
      <w:r>
        <w:rPr>
          <w:rFonts w:hint="eastAsia" w:hAnsi="宋体"/>
        </w:rPr>
        <w:t>钦州市政府采购中心联系方式：</w:t>
      </w:r>
    </w:p>
    <w:p w14:paraId="2B9BC7C7">
      <w:pPr>
        <w:spacing w:line="400" w:lineRule="exact"/>
        <w:ind w:firstLine="420"/>
        <w:jc w:val="left"/>
        <w:rPr>
          <w:rFonts w:hAnsi="宋体"/>
        </w:rPr>
      </w:pPr>
      <w:r>
        <w:rPr>
          <w:rFonts w:hAnsi="宋体"/>
        </w:rPr>
        <w:t>(1)</w:t>
      </w:r>
      <w:r>
        <w:rPr>
          <w:rFonts w:hint="eastAsia" w:hAnsi="宋体"/>
        </w:rPr>
        <w:t>采购部(采购文件</w:t>
      </w:r>
      <w:r>
        <w:rPr>
          <w:rFonts w:hAnsi="宋体"/>
        </w:rPr>
        <w:t>)</w:t>
      </w:r>
    </w:p>
    <w:p w14:paraId="21AF62DA">
      <w:pPr>
        <w:spacing w:line="400" w:lineRule="exact"/>
        <w:ind w:firstLine="420"/>
        <w:jc w:val="left"/>
        <w:rPr>
          <w:rFonts w:hAnsi="宋体"/>
        </w:rPr>
      </w:pPr>
      <w:r>
        <w:rPr>
          <w:rFonts w:hint="eastAsia" w:hAnsi="宋体"/>
        </w:rPr>
        <w:t>联系人：苏晓婷</w:t>
      </w:r>
      <w:r>
        <w:rPr>
          <w:rFonts w:hAnsi="宋体"/>
        </w:rPr>
        <w:t xml:space="preserve">  </w:t>
      </w:r>
      <w:r>
        <w:rPr>
          <w:rFonts w:hint="eastAsia" w:hAnsi="宋体"/>
        </w:rPr>
        <w:t xml:space="preserve"> 联系方式：0777-2886022</w:t>
      </w:r>
    </w:p>
    <w:p w14:paraId="4C12A24A">
      <w:pPr>
        <w:spacing w:line="400" w:lineRule="exact"/>
        <w:ind w:firstLine="420"/>
        <w:jc w:val="left"/>
        <w:rPr>
          <w:rFonts w:hAnsi="宋体"/>
        </w:rPr>
      </w:pPr>
      <w:r>
        <w:rPr>
          <w:rFonts w:hint="eastAsia" w:hAnsi="宋体"/>
        </w:rPr>
        <w:t>(</w:t>
      </w:r>
      <w:r>
        <w:rPr>
          <w:rFonts w:hAnsi="宋体"/>
        </w:rPr>
        <w:t>2)</w:t>
      </w:r>
      <w:r>
        <w:rPr>
          <w:rFonts w:hint="eastAsia" w:hAnsi="宋体"/>
        </w:rPr>
        <w:t>综合二部(评审、谈判、成交及合同管理)</w:t>
      </w:r>
    </w:p>
    <w:p w14:paraId="74BE177C">
      <w:pPr>
        <w:spacing w:line="400" w:lineRule="exact"/>
        <w:ind w:firstLine="420"/>
        <w:jc w:val="left"/>
        <w:rPr>
          <w:rFonts w:hAnsi="宋体"/>
        </w:rPr>
      </w:pPr>
      <w:r>
        <w:rPr>
          <w:rFonts w:hint="eastAsia" w:hAnsi="宋体"/>
        </w:rPr>
        <w:t>联系人：陈侃</w:t>
      </w:r>
      <w:r>
        <w:rPr>
          <w:rFonts w:hint="eastAsia" w:hAnsi="宋体"/>
          <w:lang w:eastAsia="zh-CN"/>
        </w:rPr>
        <w:t>、</w:t>
      </w:r>
      <w:r>
        <w:rPr>
          <w:rFonts w:hint="eastAsia" w:hAnsi="宋体"/>
        </w:rPr>
        <w:t xml:space="preserve">陈启梅 </w:t>
      </w:r>
      <w:r>
        <w:rPr>
          <w:rFonts w:hAnsi="宋体"/>
        </w:rPr>
        <w:t xml:space="preserve">  </w:t>
      </w:r>
      <w:r>
        <w:rPr>
          <w:rFonts w:hint="eastAsia" w:hAnsi="宋体"/>
        </w:rPr>
        <w:t>联系方式：0777-2886006</w:t>
      </w:r>
      <w:bookmarkEnd w:id="33"/>
    </w:p>
    <w:p w14:paraId="56ADA8F8">
      <w:pPr>
        <w:spacing w:line="400" w:lineRule="exact"/>
        <w:rPr>
          <w:b/>
        </w:rPr>
      </w:pPr>
      <w:r>
        <w:rPr>
          <w:rFonts w:hint="eastAsia"/>
          <w:b/>
        </w:rPr>
        <w:t>八、对本次采购项目提出询问，请按</w:t>
      </w:r>
      <w:r>
        <w:rPr>
          <w:b/>
        </w:rPr>
        <w:t>以下方式</w:t>
      </w:r>
      <w:r>
        <w:rPr>
          <w:rFonts w:hint="eastAsia"/>
          <w:b/>
        </w:rPr>
        <w:t>联系</w:t>
      </w:r>
      <w:bookmarkEnd w:id="26"/>
      <w:bookmarkEnd w:id="27"/>
      <w:bookmarkEnd w:id="28"/>
      <w:bookmarkEnd w:id="29"/>
    </w:p>
    <w:bookmarkEnd w:id="8"/>
    <w:p w14:paraId="0E29B271">
      <w:pPr>
        <w:spacing w:line="400" w:lineRule="exact"/>
        <w:ind w:firstLine="420" w:firstLineChars="200"/>
      </w:pPr>
      <w:r>
        <w:rPr>
          <w:rFonts w:hint="eastAsia"/>
        </w:rPr>
        <w:t>1.采购人信息</w:t>
      </w:r>
    </w:p>
    <w:p w14:paraId="7BD1A326">
      <w:pPr>
        <w:spacing w:line="400" w:lineRule="exact"/>
        <w:ind w:firstLine="420" w:firstLineChars="200"/>
        <w:rPr>
          <w:rFonts w:hint="eastAsia"/>
          <w:lang w:eastAsia="zh-CN"/>
        </w:rPr>
      </w:pPr>
      <w:bookmarkStart w:id="34" w:name="_Toc38370147"/>
      <w:r>
        <w:rPr>
          <w:rFonts w:hint="eastAsia"/>
        </w:rPr>
        <w:t>名称：钦州市外国语学校</w:t>
      </w:r>
      <w:r>
        <w:rPr>
          <w:rFonts w:hint="eastAsia"/>
          <w:lang w:val="en-US" w:eastAsia="zh-CN"/>
        </w:rPr>
        <w:t xml:space="preserve"> </w:t>
      </w:r>
    </w:p>
    <w:p w14:paraId="7C785CA0">
      <w:pPr>
        <w:spacing w:line="400" w:lineRule="exact"/>
        <w:ind w:firstLine="420" w:firstLineChars="200"/>
        <w:rPr>
          <w:rFonts w:hint="eastAsia"/>
          <w:lang w:eastAsia="zh-CN"/>
        </w:rPr>
      </w:pPr>
      <w:r>
        <w:rPr>
          <w:rFonts w:hint="eastAsia"/>
        </w:rPr>
        <w:t>地</w:t>
      </w:r>
      <w:r>
        <w:rPr>
          <w:rFonts w:hint="eastAsia"/>
          <w:lang w:eastAsia="zh-CN"/>
        </w:rPr>
        <w:t>址：</w:t>
      </w:r>
      <w:r>
        <w:rPr>
          <w:rFonts w:hint="eastAsia"/>
        </w:rPr>
        <w:t>钦州市育才路9号</w:t>
      </w:r>
    </w:p>
    <w:bookmarkEnd w:id="34"/>
    <w:p w14:paraId="00CC87A2">
      <w:pPr>
        <w:spacing w:line="400" w:lineRule="exact"/>
        <w:ind w:firstLine="420" w:firstLineChars="200"/>
        <w:rPr>
          <w:rFonts w:hint="eastAsia"/>
        </w:rPr>
      </w:pPr>
      <w:r>
        <w:rPr>
          <w:rFonts w:hint="eastAsia"/>
        </w:rPr>
        <w:t>项目联系人：归郁林</w:t>
      </w:r>
    </w:p>
    <w:p w14:paraId="12BAA05F">
      <w:pPr>
        <w:spacing w:line="400" w:lineRule="exact"/>
        <w:ind w:firstLine="420" w:firstLineChars="200"/>
        <w:rPr>
          <w:rFonts w:hint="eastAsia"/>
        </w:rPr>
      </w:pPr>
      <w:r>
        <w:rPr>
          <w:rFonts w:hint="eastAsia"/>
        </w:rPr>
        <w:t>项目联系方式：0777-2822382</w:t>
      </w:r>
    </w:p>
    <w:p w14:paraId="2A50FD4F">
      <w:pPr>
        <w:spacing w:line="400" w:lineRule="exact"/>
        <w:ind w:firstLine="420" w:firstLineChars="200"/>
      </w:pPr>
      <w:r>
        <w:rPr>
          <w:rFonts w:hint="eastAsia"/>
        </w:rPr>
        <w:t>2.采购代理机构信息</w:t>
      </w:r>
    </w:p>
    <w:p w14:paraId="455DE109">
      <w:pPr>
        <w:spacing w:line="400" w:lineRule="exact"/>
        <w:ind w:firstLine="420" w:firstLineChars="200"/>
      </w:pPr>
      <w:r>
        <w:rPr>
          <w:rFonts w:hint="eastAsia"/>
        </w:rPr>
        <w:t>名称：钦州市政府采购中心</w:t>
      </w:r>
    </w:p>
    <w:p w14:paraId="5626805A">
      <w:pPr>
        <w:spacing w:line="400" w:lineRule="exact"/>
        <w:ind w:firstLine="420" w:firstLineChars="200"/>
      </w:pPr>
      <w:r>
        <w:rPr>
          <w:rFonts w:hint="eastAsia"/>
        </w:rPr>
        <w:t>地址：钦州市金海湾东大街8号</w:t>
      </w:r>
    </w:p>
    <w:p w14:paraId="0A4FF72A">
      <w:pPr>
        <w:spacing w:line="400" w:lineRule="exact"/>
        <w:ind w:firstLine="420" w:firstLineChars="200"/>
      </w:pPr>
      <w:r>
        <w:rPr>
          <w:rFonts w:hint="eastAsia"/>
        </w:rPr>
        <w:t>项目联系人：</w:t>
      </w:r>
      <w:bookmarkStart w:id="35" w:name="_Toc28359010"/>
      <w:bookmarkStart w:id="36" w:name="_Toc28359087"/>
      <w:r>
        <w:rPr>
          <w:rFonts w:hint="eastAsia"/>
        </w:rPr>
        <w:t>苏晓婷</w:t>
      </w:r>
    </w:p>
    <w:p w14:paraId="415FC43A">
      <w:pPr>
        <w:spacing w:line="400" w:lineRule="exact"/>
        <w:ind w:firstLine="420"/>
        <w:jc w:val="left"/>
        <w:rPr>
          <w:rFonts w:hAnsi="宋体"/>
        </w:rPr>
      </w:pPr>
      <w:r>
        <w:rPr>
          <w:rFonts w:hint="eastAsia"/>
        </w:rPr>
        <w:t>项目联系方式：</w:t>
      </w:r>
      <w:r>
        <w:rPr>
          <w:rFonts w:hint="eastAsia" w:hAnsi="宋体"/>
        </w:rPr>
        <w:t>0777-2886022</w:t>
      </w:r>
    </w:p>
    <w:p w14:paraId="1E75A95C">
      <w:pPr>
        <w:spacing w:line="400" w:lineRule="exact"/>
        <w:ind w:firstLine="420" w:firstLineChars="200"/>
      </w:pPr>
    </w:p>
    <w:p w14:paraId="09B2C9D2">
      <w:pPr>
        <w:widowControl/>
        <w:jc w:val="left"/>
      </w:pPr>
      <w:r>
        <w:br w:type="page"/>
      </w:r>
    </w:p>
    <w:p w14:paraId="42EB35AF">
      <w:pPr>
        <w:spacing w:line="400" w:lineRule="exact"/>
        <w:ind w:firstLine="420" w:firstLineChars="200"/>
      </w:pPr>
    </w:p>
    <w:p w14:paraId="7CE75CDE"/>
    <w:bookmarkEnd w:id="35"/>
    <w:bookmarkEnd w:id="36"/>
    <w:p w14:paraId="3EF6DB03"/>
    <w:p w14:paraId="24034A64"/>
    <w:p w14:paraId="066A074C"/>
    <w:p w14:paraId="28FC8A93"/>
    <w:p w14:paraId="7C691BB0"/>
    <w:p w14:paraId="29E9FF10"/>
    <w:p w14:paraId="50910460"/>
    <w:p w14:paraId="636169AF"/>
    <w:p w14:paraId="529F36B5"/>
    <w:p w14:paraId="5E721909"/>
    <w:p w14:paraId="39C8518D"/>
    <w:p w14:paraId="2DD9BAEB"/>
    <w:p w14:paraId="7A477EFE">
      <w:pPr>
        <w:pStyle w:val="2"/>
        <w:spacing w:line="400" w:lineRule="exact"/>
        <w:rPr>
          <w:rFonts w:ascii="方正小标宋_GBK" w:hAnsi="宋体" w:eastAsia="方正小标宋_GBK"/>
        </w:rPr>
      </w:pPr>
      <w:bookmarkStart w:id="37" w:name="_Toc92355024"/>
      <w:r>
        <w:rPr>
          <w:rFonts w:hint="eastAsia" w:ascii="方正小标宋_GBK" w:hAnsi="宋体" w:eastAsia="方正小标宋_GBK"/>
        </w:rPr>
        <w:t>第二章  项目需求</w:t>
      </w:r>
      <w:bookmarkEnd w:id="37"/>
    </w:p>
    <w:p w14:paraId="4A395BF6">
      <w:pPr>
        <w:spacing w:line="440" w:lineRule="exact"/>
        <w:jc w:val="center"/>
        <w:rPr>
          <w:rFonts w:ascii="宋体" w:hAnsi="宋体"/>
          <w:b/>
          <w:sz w:val="36"/>
          <w:szCs w:val="36"/>
        </w:rPr>
      </w:pPr>
      <w:r>
        <w:rPr>
          <w:rFonts w:ascii="宋体" w:hAnsi="宋体"/>
          <w:b/>
          <w:szCs w:val="21"/>
        </w:rPr>
        <w:br w:type="page"/>
      </w:r>
      <w:bookmarkStart w:id="38" w:name="_Toc358477280"/>
      <w:bookmarkStart w:id="39" w:name="_Toc354479498"/>
      <w:r>
        <w:rPr>
          <w:rFonts w:hint="eastAsia" w:ascii="宋体" w:hAnsi="宋体"/>
          <w:b/>
          <w:sz w:val="36"/>
          <w:szCs w:val="36"/>
        </w:rPr>
        <w:t>项目需求</w:t>
      </w:r>
    </w:p>
    <w:p w14:paraId="37491A91">
      <w:pPr>
        <w:spacing w:line="396" w:lineRule="exact"/>
        <w:rPr>
          <w:rFonts w:ascii="宋体" w:hAnsi="宋体"/>
          <w:b/>
          <w:szCs w:val="21"/>
        </w:rPr>
      </w:pPr>
    </w:p>
    <w:p w14:paraId="6CB9A5C7">
      <w:pPr>
        <w:spacing w:line="430" w:lineRule="exact"/>
        <w:ind w:firstLine="422" w:firstLineChars="200"/>
        <w:rPr>
          <w:rFonts w:ascii="宋体" w:hAnsi="宋体" w:cs="宋体"/>
          <w:kern w:val="0"/>
          <w:szCs w:val="21"/>
        </w:rPr>
      </w:pPr>
      <w:r>
        <w:rPr>
          <w:rFonts w:hint="eastAsia" w:ascii="宋体" w:hAnsi="宋体" w:cs="宋体"/>
          <w:b/>
          <w:bCs/>
          <w:kern w:val="0"/>
          <w:szCs w:val="21"/>
        </w:rPr>
        <w:t>说明：</w:t>
      </w:r>
      <w:r>
        <w:rPr>
          <w:rFonts w:hint="eastAsia" w:ascii="宋体" w:hAnsi="宋体" w:cs="宋体"/>
          <w:kern w:val="0"/>
          <w:szCs w:val="21"/>
        </w:rPr>
        <w:t xml:space="preserve">  </w:t>
      </w:r>
    </w:p>
    <w:p w14:paraId="71CA7883">
      <w:pPr>
        <w:numPr>
          <w:ilvl w:val="0"/>
          <w:numId w:val="0"/>
        </w:numPr>
        <w:spacing w:line="460" w:lineRule="exact"/>
        <w:ind w:firstLine="420" w:firstLineChars="200"/>
        <w:rPr>
          <w:rFonts w:hint="eastAsia" w:ascii="宋体" w:hAnsi="宋体" w:cs="宋体"/>
          <w:b w:val="0"/>
          <w:bCs w:val="0"/>
          <w:color w:val="FF0000"/>
          <w:szCs w:val="21"/>
          <w:lang w:val="en-US" w:eastAsia="zh-CN"/>
        </w:rPr>
      </w:pPr>
      <w:r>
        <w:rPr>
          <w:rFonts w:hint="eastAsia" w:ascii="宋体" w:hAnsi="宋体" w:cs="宋体"/>
          <w:b w:val="0"/>
          <w:bCs w:val="0"/>
          <w:szCs w:val="21"/>
          <w:lang w:val="en-US" w:eastAsia="zh-CN"/>
        </w:rPr>
        <w:t>1.</w:t>
      </w:r>
      <w:r>
        <w:rPr>
          <w:rFonts w:hint="eastAsia" w:ascii="宋体" w:hAnsi="宋体" w:cs="宋体"/>
          <w:b w:val="0"/>
          <w:bCs w:val="0"/>
          <w:szCs w:val="21"/>
        </w:rPr>
        <w:t>根据《财政部 发展改革委 生态环境部 市场监管总局关于调整优化节能产品、环境标志产品政府采购执行机制的通知》（财库〔2019〕9号）和《关于印发节能产品政府采购品目清单的通知》（财库〔2019〕19号）的规定</w:t>
      </w:r>
      <w:r>
        <w:rPr>
          <w:rFonts w:hint="eastAsia" w:ascii="宋体" w:hAnsi="宋体" w:cs="宋体"/>
          <w:b w:val="0"/>
          <w:bCs w:val="0"/>
          <w:color w:val="auto"/>
          <w:szCs w:val="21"/>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宋体" w:hAnsi="宋体" w:cs="宋体"/>
          <w:b w:val="0"/>
          <w:bCs w:val="0"/>
          <w:color w:val="auto"/>
          <w:szCs w:val="21"/>
          <w:lang w:val="en-US" w:eastAsia="zh-CN"/>
        </w:rPr>
        <w:t xml:space="preserve"> </w:t>
      </w:r>
      <w:r>
        <w:rPr>
          <w:rFonts w:hint="eastAsia" w:ascii="宋体" w:hAnsi="宋体" w:cs="宋体"/>
          <w:b w:val="0"/>
          <w:bCs w:val="0"/>
          <w:color w:val="FF0000"/>
          <w:szCs w:val="21"/>
          <w:lang w:val="en-US" w:eastAsia="zh-CN"/>
        </w:rPr>
        <w:t xml:space="preserve"> </w:t>
      </w:r>
    </w:p>
    <w:p w14:paraId="5063A6FC">
      <w:pPr>
        <w:numPr>
          <w:ilvl w:val="0"/>
          <w:numId w:val="0"/>
        </w:numPr>
        <w:spacing w:line="460" w:lineRule="exact"/>
        <w:ind w:firstLine="420" w:firstLineChars="200"/>
        <w:rPr>
          <w:rFonts w:ascii="宋体" w:hAnsi="宋体"/>
          <w:b w:val="0"/>
          <w:bCs w:val="0"/>
          <w:szCs w:val="21"/>
        </w:rPr>
      </w:pPr>
      <w:r>
        <w:rPr>
          <w:rFonts w:hint="eastAsia" w:ascii="宋体" w:hAnsi="宋体" w:cs="宋体"/>
          <w:b w:val="0"/>
          <w:bCs w:val="0"/>
          <w:szCs w:val="21"/>
        </w:rPr>
        <w:t>2.根据《关于调整网络安全专用产品安全管理有关事项的公告》（2023年1号）规定，采购标的中如包含列入《网络关键设备和网络安全专用产品目录》的网络安全专用产品，供应商应当按照《信息安全技术网络安全专用产品安全技术要求》等相关国家标准的强制性要求，提供由具备资格的机构安全认证合格或者安全检测符合要求证明材料（加盖供应商公章），否则竞标无效。</w:t>
      </w:r>
    </w:p>
    <w:p w14:paraId="50F3353E">
      <w:pPr>
        <w:spacing w:line="430" w:lineRule="exact"/>
        <w:ind w:firstLine="420" w:firstLineChars="200"/>
        <w:rPr>
          <w:rFonts w:ascii="宋体" w:hAnsi="宋体"/>
          <w:szCs w:val="21"/>
        </w:rPr>
      </w:pPr>
      <w:r>
        <w:rPr>
          <w:rFonts w:hint="eastAsia" w:ascii="宋体" w:hAnsi="宋体"/>
          <w:szCs w:val="21"/>
        </w:rPr>
        <w:t>3.本表中的品牌型号、技术参数及其性能（规格）仅起参考作用，供应商可选用其他品牌型号替代，</w:t>
      </w:r>
      <w:r>
        <w:rPr>
          <w:rFonts w:hint="eastAsia" w:ascii="宋体" w:hAnsi="宋体"/>
        </w:rPr>
        <w:t>但替代的产品整体上要相当于或优于参考品牌型号或其技术参数性能（规格）要求。</w:t>
      </w:r>
    </w:p>
    <w:p w14:paraId="5B562ECC">
      <w:pPr>
        <w:spacing w:line="43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7D8BEC95">
      <w:pPr>
        <w:spacing w:line="430" w:lineRule="exact"/>
        <w:ind w:firstLine="420" w:firstLineChars="200"/>
        <w:rPr>
          <w:rFonts w:ascii="宋体" w:hAnsi="宋体"/>
          <w:szCs w:val="21"/>
        </w:rPr>
      </w:pPr>
      <w:r>
        <w:rPr>
          <w:rFonts w:hint="eastAsia" w:ascii="宋体" w:hAnsi="宋体"/>
          <w:szCs w:val="21"/>
        </w:rPr>
        <w:t>5.本项目不接受供应商提供通过中国海关报关验放进入中国境内且产自关境外的产品。</w:t>
      </w:r>
    </w:p>
    <w:p w14:paraId="56234E5A">
      <w:pPr>
        <w:spacing w:line="430" w:lineRule="exact"/>
        <w:ind w:firstLine="420" w:firstLineChars="200"/>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谈判文件中可能实质性变动的内容：</w:t>
      </w:r>
      <w:r>
        <w:rPr>
          <w:rFonts w:hint="eastAsia" w:ascii="宋体" w:hAnsi="宋体" w:cs="宋体"/>
          <w:color w:val="auto"/>
          <w:kern w:val="0"/>
          <w:szCs w:val="21"/>
        </w:rPr>
        <w:t>采购需求的技术、服务要求以及合同草案条款</w:t>
      </w:r>
      <w:r>
        <w:rPr>
          <w:rFonts w:hint="eastAsia" w:ascii="宋体" w:hAnsi="宋体" w:cs="宋体"/>
          <w:b/>
          <w:color w:val="auto"/>
          <w:kern w:val="0"/>
          <w:szCs w:val="21"/>
        </w:rPr>
        <w:t>。</w:t>
      </w:r>
    </w:p>
    <w:p w14:paraId="7988D915">
      <w:pPr>
        <w:spacing w:line="430" w:lineRule="exact"/>
        <w:ind w:firstLine="422" w:firstLineChars="200"/>
        <w:rPr>
          <w:rFonts w:ascii="宋体" w:hAnsi="宋体"/>
          <w:b/>
          <w:bCs/>
          <w:color w:val="auto"/>
          <w:szCs w:val="21"/>
        </w:rPr>
      </w:pPr>
      <w:r>
        <w:rPr>
          <w:rFonts w:hint="eastAsia" w:ascii="宋体" w:hAnsi="宋体"/>
          <w:b/>
          <w:bCs/>
          <w:color w:val="auto"/>
          <w:szCs w:val="21"/>
        </w:rPr>
        <w:t>7</w:t>
      </w:r>
      <w:r>
        <w:rPr>
          <w:rFonts w:ascii="宋体" w:hAnsi="宋体"/>
          <w:b/>
          <w:bCs/>
          <w:color w:val="auto"/>
          <w:szCs w:val="21"/>
        </w:rPr>
        <w:t>.</w:t>
      </w:r>
      <w:r>
        <w:rPr>
          <w:rFonts w:hint="eastAsia" w:ascii="宋体" w:hAnsi="宋体"/>
          <w:b/>
          <w:bCs/>
          <w:color w:val="auto"/>
          <w:szCs w:val="21"/>
        </w:rPr>
        <w:t>标注</w:t>
      </w:r>
      <w:r>
        <w:rPr>
          <w:rFonts w:hint="eastAsia" w:ascii="宋体" w:hAnsi="宋体" w:cs="宋体"/>
          <w:b/>
          <w:bCs/>
          <w:i w:val="0"/>
          <w:color w:val="000000"/>
          <w:kern w:val="0"/>
          <w:sz w:val="21"/>
          <w:szCs w:val="21"/>
          <w:u w:val="none"/>
          <w:lang w:val="en-US" w:eastAsia="zh-CN" w:bidi="ar"/>
        </w:rPr>
        <w:t>★</w:t>
      </w:r>
      <w:r>
        <w:rPr>
          <w:rFonts w:hint="eastAsia" w:ascii="宋体" w:hAnsi="宋体"/>
          <w:b/>
          <w:bCs/>
          <w:color w:val="auto"/>
          <w:szCs w:val="21"/>
        </w:rPr>
        <w:t>号的技术参数为实质性响应条款，要求必须满足或优于，否则视为无效响应文件。</w:t>
      </w:r>
    </w:p>
    <w:p w14:paraId="224DBAF1">
      <w:pPr>
        <w:spacing w:line="430" w:lineRule="exact"/>
        <w:ind w:firstLine="420" w:firstLineChars="200"/>
        <w:rPr>
          <w:rFonts w:hint="eastAsia" w:ascii="宋体" w:hAnsi="宋体"/>
          <w:color w:val="auto"/>
          <w:szCs w:val="21"/>
        </w:rPr>
      </w:pPr>
      <w:r>
        <w:rPr>
          <w:rFonts w:hint="eastAsia" w:ascii="宋体" w:hAnsi="宋体" w:cs="宋体"/>
          <w:color w:val="auto"/>
          <w:kern w:val="0"/>
          <w:szCs w:val="21"/>
          <w:lang w:val="en-US" w:eastAsia="zh-CN" w:bidi="ar"/>
        </w:rPr>
        <w:t>8.</w:t>
      </w:r>
      <w:r>
        <w:rPr>
          <w:rFonts w:hint="eastAsia" w:ascii="宋体" w:hAnsi="宋体" w:cs="宋体"/>
          <w:color w:val="auto"/>
          <w:kern w:val="0"/>
          <w:szCs w:val="21"/>
          <w:lang w:bidi="ar"/>
        </w:rPr>
        <w:t>采购需求中出现的产品的固定规格尺寸或重量允许正负偏离百分之五（具体技术参数要求已有允许偏离差异或定制的除外）。</w:t>
      </w:r>
    </w:p>
    <w:p w14:paraId="5BF36AF4">
      <w:pPr>
        <w:pStyle w:val="51"/>
        <w:ind w:firstLine="353"/>
        <w:rPr>
          <w:color w:val="auto"/>
        </w:rPr>
      </w:pPr>
    </w:p>
    <w:p w14:paraId="1741E32E">
      <w:pPr>
        <w:pStyle w:val="51"/>
        <w:ind w:firstLine="353"/>
        <w:rPr>
          <w:color w:val="auto"/>
        </w:rPr>
      </w:pPr>
    </w:p>
    <w:p w14:paraId="70732187">
      <w:pPr>
        <w:pStyle w:val="51"/>
        <w:ind w:firstLine="353"/>
        <w:rPr>
          <w:color w:val="auto"/>
        </w:rPr>
      </w:pPr>
    </w:p>
    <w:p w14:paraId="10EFB544">
      <w:pPr>
        <w:pStyle w:val="51"/>
        <w:ind w:firstLine="353"/>
        <w:rPr>
          <w:color w:val="auto"/>
        </w:rPr>
      </w:pPr>
    </w:p>
    <w:p w14:paraId="71D216AA">
      <w:pPr>
        <w:pStyle w:val="51"/>
        <w:ind w:firstLine="353"/>
        <w:rPr>
          <w:color w:val="auto"/>
        </w:rPr>
      </w:pPr>
    </w:p>
    <w:p w14:paraId="2643797B">
      <w:pPr>
        <w:pStyle w:val="51"/>
        <w:ind w:firstLine="353"/>
        <w:rPr>
          <w:color w:val="auto"/>
        </w:rPr>
      </w:pPr>
    </w:p>
    <w:p w14:paraId="015E3A1C">
      <w:pPr>
        <w:pStyle w:val="51"/>
        <w:ind w:firstLine="353"/>
        <w:rPr>
          <w:color w:val="auto"/>
        </w:rPr>
      </w:pPr>
    </w:p>
    <w:p w14:paraId="5055030D"/>
    <w:p w14:paraId="189AF603"/>
    <w:p w14:paraId="1374FD37">
      <w:pPr>
        <w:pStyle w:val="2"/>
        <w:spacing w:line="400" w:lineRule="exact"/>
        <w:jc w:val="both"/>
        <w:rPr>
          <w:rFonts w:hint="eastAsia" w:ascii="方正小标宋简体" w:eastAsia="方正小标宋简体"/>
        </w:rPr>
      </w:pPr>
      <w:bookmarkStart w:id="40" w:name="_Toc92355025"/>
    </w:p>
    <w:tbl>
      <w:tblPr>
        <w:tblStyle w:val="40"/>
        <w:tblW w:w="97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3"/>
        <w:gridCol w:w="1084"/>
        <w:gridCol w:w="6435"/>
        <w:gridCol w:w="525"/>
        <w:gridCol w:w="555"/>
        <w:gridCol w:w="599"/>
      </w:tblGrid>
      <w:tr w14:paraId="3DEA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78E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54B3B">
            <w:pPr>
              <w:keepNext w:val="0"/>
              <w:keepLines w:val="0"/>
              <w:pageBreakBefore w:val="0"/>
              <w:widowControl/>
              <w:suppressLineNumbers w:val="0"/>
              <w:kinsoku/>
              <w:wordWrap/>
              <w:overflowPunct/>
              <w:topLinePunct w:val="0"/>
              <w:autoSpaceDE/>
              <w:autoSpaceDN/>
              <w:bidi w:val="0"/>
              <w:adjustRightInd/>
              <w:snapToGrid/>
              <w:spacing w:line="440" w:lineRule="exact"/>
              <w:ind w:firstLine="211" w:firstLineChars="10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标的名称</w:t>
            </w:r>
          </w:p>
        </w:tc>
        <w:tc>
          <w:tcPr>
            <w:tcW w:w="6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5D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技术参数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96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7D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BE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i w:val="0"/>
                <w:color w:val="FF0000"/>
                <w:sz w:val="21"/>
                <w:szCs w:val="21"/>
                <w:u w:val="none"/>
                <w:lang w:val="en-US"/>
              </w:rPr>
            </w:pPr>
            <w:r>
              <w:rPr>
                <w:rFonts w:hint="eastAsia" w:ascii="宋体" w:hAnsi="宋体" w:eastAsia="宋体" w:cs="宋体"/>
                <w:b/>
                <w:i w:val="0"/>
                <w:color w:val="000000"/>
                <w:kern w:val="0"/>
                <w:sz w:val="21"/>
                <w:szCs w:val="21"/>
                <w:u w:val="none"/>
                <w:lang w:val="en-US" w:eastAsia="zh-CN" w:bidi="ar"/>
              </w:rPr>
              <w:t>所属行业</w:t>
            </w:r>
          </w:p>
        </w:tc>
      </w:tr>
      <w:tr w14:paraId="0B1C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A8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C1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台式计算机</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288F7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★一、CPU规格</w:t>
            </w:r>
          </w:p>
          <w:p w14:paraId="687C7DA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1.CPU≥8核8线程，主频≥2.7GHz，末级缓存≥8M，内存≥双通道DDR4-2666，设计功耗≥70W，位宽≥64位。</w:t>
            </w:r>
          </w:p>
          <w:p w14:paraId="79E5B74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★二、内存规格</w:t>
            </w:r>
          </w:p>
          <w:p w14:paraId="1A25E1D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1.内存配置容量：≥</w:t>
            </w:r>
            <w:r>
              <w:rPr>
                <w:rFonts w:hint="eastAsia" w:ascii="宋体" w:hAnsi="宋体" w:eastAsia="宋体" w:cs="宋体"/>
                <w:sz w:val="21"/>
                <w:szCs w:val="21"/>
                <w:lang w:val="en-US" w:eastAsia="zh-CN"/>
              </w:rPr>
              <w:t>16</w:t>
            </w:r>
            <w:r>
              <w:rPr>
                <w:rFonts w:hint="eastAsia" w:ascii="宋体" w:hAnsi="宋体" w:eastAsia="宋体" w:cs="宋体"/>
                <w:sz w:val="21"/>
                <w:szCs w:val="21"/>
              </w:rPr>
              <w:t>GB；</w:t>
            </w:r>
          </w:p>
          <w:p w14:paraId="2724C99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2.内存类型：支持 DDR4/LPDDR4/LPDDR4X 及以上内存类型；</w:t>
            </w:r>
          </w:p>
          <w:p w14:paraId="6074F15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3.内存条配置数量（板载内存不涉及）：≥</w:t>
            </w:r>
            <w:r>
              <w:rPr>
                <w:rFonts w:hint="eastAsia" w:ascii="宋体" w:hAnsi="宋体" w:eastAsia="宋体" w:cs="宋体"/>
                <w:sz w:val="21"/>
                <w:szCs w:val="21"/>
                <w:lang w:val="en-US" w:eastAsia="zh-CN"/>
              </w:rPr>
              <w:t>2</w:t>
            </w:r>
            <w:r>
              <w:rPr>
                <w:rFonts w:hint="eastAsia" w:ascii="宋体" w:hAnsi="宋体" w:eastAsia="宋体" w:cs="宋体"/>
                <w:sz w:val="21"/>
                <w:szCs w:val="21"/>
              </w:rPr>
              <w:t>。</w:t>
            </w:r>
          </w:p>
          <w:p w14:paraId="085B86F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★三、主板规格</w:t>
            </w:r>
          </w:p>
          <w:p w14:paraId="56B90EF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1.主板集成模块：集成资源扩展模块、计算处理模块、音频扩展模块等，主板的互联拓扑可通过处理器或交换电路实现；</w:t>
            </w:r>
          </w:p>
          <w:p w14:paraId="0541636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2.主板支持的 CPU 和内存情况：≥8核8线程，主频≥2.7GHz，末级缓存≥8M，内存≥双通道DDR4-2666，设计功耗≥70W，位宽≥64位；内存条数量≥</w:t>
            </w:r>
            <w:r>
              <w:rPr>
                <w:rFonts w:hint="eastAsia" w:ascii="宋体" w:hAnsi="宋体" w:eastAsia="宋体" w:cs="宋体"/>
                <w:sz w:val="21"/>
                <w:szCs w:val="21"/>
                <w:lang w:val="en-US" w:eastAsia="zh-CN"/>
              </w:rPr>
              <w:t>2</w:t>
            </w:r>
            <w:r>
              <w:rPr>
                <w:rFonts w:hint="eastAsia" w:ascii="宋体" w:hAnsi="宋体" w:eastAsia="宋体" w:cs="宋体"/>
                <w:sz w:val="21"/>
                <w:szCs w:val="21"/>
              </w:rPr>
              <w:t>；</w:t>
            </w:r>
          </w:p>
          <w:p w14:paraId="0932D73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3.主板其他内置接口：≥M.2接口</w:t>
            </w:r>
            <w:r>
              <w:rPr>
                <w:rFonts w:ascii="宋体" w:hAnsi="宋体" w:cs="宋体"/>
                <w:szCs w:val="21"/>
              </w:rPr>
              <w:t>*</w:t>
            </w:r>
            <w:r>
              <w:rPr>
                <w:rFonts w:hint="eastAsia" w:ascii="宋体" w:hAnsi="宋体" w:eastAsia="宋体" w:cs="宋体"/>
                <w:sz w:val="21"/>
                <w:szCs w:val="21"/>
              </w:rPr>
              <w:t>2，≥USB接口</w:t>
            </w:r>
            <w:r>
              <w:rPr>
                <w:rFonts w:ascii="宋体" w:hAnsi="宋体" w:cs="宋体"/>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，固态硬盘占用M.2接口</w:t>
            </w:r>
            <w:r>
              <w:rPr>
                <w:rFonts w:ascii="宋体" w:hAnsi="宋体" w:cs="宋体"/>
                <w:szCs w:val="21"/>
              </w:rPr>
              <w:t>*</w:t>
            </w:r>
            <w:r>
              <w:rPr>
                <w:rFonts w:hint="eastAsia" w:ascii="宋体" w:hAnsi="宋体" w:eastAsia="宋体" w:cs="宋体"/>
                <w:sz w:val="21"/>
                <w:szCs w:val="21"/>
              </w:rPr>
              <w:t>1</w:t>
            </w:r>
          </w:p>
          <w:p w14:paraId="20C3163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4.单内存插槽最大可支持容量（板载内存不涉及）：≥16GB；</w:t>
            </w:r>
          </w:p>
          <w:p w14:paraId="1EC481E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5.内存插槽满配时提供的最高内存总容量：≥32GB。</w:t>
            </w:r>
          </w:p>
          <w:p w14:paraId="2EBAB5B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★四、存储设备规格</w:t>
            </w:r>
          </w:p>
          <w:p w14:paraId="564D3BA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 xml:space="preserve">1.固态盘数量：≥1 个； </w:t>
            </w:r>
          </w:p>
          <w:p w14:paraId="0FC2915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2.固态存储容量：≥</w:t>
            </w:r>
            <w:r>
              <w:rPr>
                <w:rFonts w:hint="eastAsia" w:ascii="宋体" w:hAnsi="宋体" w:eastAsia="宋体" w:cs="宋体"/>
                <w:sz w:val="21"/>
                <w:szCs w:val="21"/>
                <w:lang w:val="en-US" w:eastAsia="zh-CN"/>
              </w:rPr>
              <w:t>512</w:t>
            </w:r>
            <w:r>
              <w:rPr>
                <w:rFonts w:hint="eastAsia" w:ascii="宋体" w:hAnsi="宋体" w:eastAsia="宋体" w:cs="宋体"/>
                <w:sz w:val="21"/>
                <w:szCs w:val="21"/>
              </w:rPr>
              <w:t>GB；</w:t>
            </w:r>
          </w:p>
          <w:p w14:paraId="698941B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3.机械硬盘数量：≥</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 个；</w:t>
            </w:r>
          </w:p>
          <w:p w14:paraId="20BB449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4.机械硬盘总容量：≥1000GB；</w:t>
            </w:r>
          </w:p>
          <w:p w14:paraId="57B76A0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5.机械硬盘转速：≥5400rpm；</w:t>
            </w:r>
          </w:p>
          <w:p w14:paraId="4F02250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6.机械硬盘形态：2.5 英寸</w:t>
            </w:r>
          </w:p>
          <w:p w14:paraId="39E0232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7.固态存储形态：采用插卡或板载等形态，可选用符合M.2或2.5寸SATA或mSATA等标准的插卡形态；</w:t>
            </w:r>
          </w:p>
          <w:p w14:paraId="750D492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8.存储设备其他参数要求：a)固态盘应符合SJ/T 11654相关规定；b)机械硬盘准备时间应不大于30s；侧面固定螺丝孔数量可为 4 孔或 6 孔；工作状态环境温度应满足5℃-55℃；其它参数应符合GB/T 12628相关规定。</w:t>
            </w:r>
          </w:p>
          <w:p w14:paraId="24303DC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★五、显卡规格</w:t>
            </w:r>
          </w:p>
          <w:p w14:paraId="09B22E12">
            <w:pPr>
              <w:keepNext w:val="0"/>
              <w:keepLines w:val="0"/>
              <w:pageBreakBefore w:val="0"/>
              <w:numPr>
                <w:ilvl w:val="0"/>
                <w:numId w:val="2"/>
              </w:numPr>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显卡类型：集成显卡；</w:t>
            </w:r>
          </w:p>
          <w:p w14:paraId="4FDD46D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★六、显示设备规格</w:t>
            </w:r>
          </w:p>
          <w:p w14:paraId="2455E06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1.显示屏屏占比：≥</w:t>
            </w:r>
            <w:r>
              <w:rPr>
                <w:rFonts w:hint="eastAsia" w:ascii="宋体" w:hAnsi="宋体" w:eastAsia="宋体" w:cs="宋体"/>
                <w:sz w:val="21"/>
                <w:szCs w:val="21"/>
                <w:lang w:val="en-US" w:eastAsia="zh-CN"/>
              </w:rPr>
              <w:t>90</w:t>
            </w:r>
            <w:r>
              <w:rPr>
                <w:rFonts w:hint="eastAsia" w:ascii="宋体" w:hAnsi="宋体" w:eastAsia="宋体" w:cs="宋体"/>
                <w:sz w:val="21"/>
                <w:szCs w:val="21"/>
              </w:rPr>
              <w:t>%；</w:t>
            </w:r>
          </w:p>
          <w:p w14:paraId="0994B80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2.显示屏分辨率：≥1920</w:t>
            </w:r>
            <w:r>
              <w:rPr>
                <w:rFonts w:ascii="宋体" w:hAnsi="宋体" w:cs="宋体"/>
                <w:szCs w:val="21"/>
              </w:rPr>
              <w:t>*</w:t>
            </w:r>
            <w:r>
              <w:rPr>
                <w:rFonts w:hint="eastAsia" w:ascii="宋体" w:hAnsi="宋体" w:eastAsia="宋体" w:cs="宋体"/>
                <w:sz w:val="21"/>
                <w:szCs w:val="21"/>
              </w:rPr>
              <w:t>1080；</w:t>
            </w:r>
          </w:p>
          <w:p w14:paraId="670EB6F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3.显示屏尺寸：≥23.8英寸；</w:t>
            </w:r>
          </w:p>
          <w:p w14:paraId="6405343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 xml:space="preserve">4.显示屏屏幕比例：16:9； </w:t>
            </w:r>
          </w:p>
          <w:p w14:paraId="4DCF898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5.显示器外观颜色：黑色；</w:t>
            </w:r>
          </w:p>
          <w:p w14:paraId="14D84C5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6.显示屏防蓝光：支持防蓝光模式，蓝光加权辐射亮度比应≤0.0012W/(·cd·sr)（瓦每坎特拉每球面度）；</w:t>
            </w:r>
          </w:p>
          <w:p w14:paraId="4A3D40C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7.显示屏低频闪：显示屏应支持低频闪≤-35dB；</w:t>
            </w:r>
          </w:p>
          <w:p w14:paraId="05734DB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8.显示屏防炫目：显示屏镜面反射率≤10%。</w:t>
            </w:r>
          </w:p>
          <w:p w14:paraId="4286814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★七、外设规格</w:t>
            </w:r>
          </w:p>
          <w:p w14:paraId="4B61D3D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1.鼠标数量：≥1个；</w:t>
            </w:r>
          </w:p>
          <w:p w14:paraId="0E87770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2.键盘数量：≥1个；</w:t>
            </w:r>
          </w:p>
          <w:p w14:paraId="28303FB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3.键盘按键数目：≥104键；</w:t>
            </w:r>
          </w:p>
          <w:p w14:paraId="5970BFD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4.键盘连接方式：有线；</w:t>
            </w:r>
          </w:p>
          <w:p w14:paraId="569D56D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5.键盘键程：2.3mm-4.0mm；</w:t>
            </w:r>
          </w:p>
          <w:p w14:paraId="2D192E0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6.键盘按键压力：按键压力应在0.54N±0.14N；</w:t>
            </w:r>
          </w:p>
          <w:p w14:paraId="4994AAE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7.有线键盘连接线：≥1.</w:t>
            </w:r>
            <w:r>
              <w:rPr>
                <w:rFonts w:hint="eastAsia" w:ascii="宋体" w:hAnsi="宋体" w:cs="宋体"/>
                <w:sz w:val="21"/>
                <w:szCs w:val="21"/>
                <w:lang w:val="en-US" w:eastAsia="zh-CN"/>
              </w:rPr>
              <w:t>5</w:t>
            </w:r>
            <w:r>
              <w:rPr>
                <w:rFonts w:hint="eastAsia" w:ascii="宋体" w:hAnsi="宋体" w:eastAsia="宋体" w:cs="宋体"/>
                <w:sz w:val="21"/>
                <w:szCs w:val="21"/>
              </w:rPr>
              <w:t>米；</w:t>
            </w:r>
          </w:p>
          <w:p w14:paraId="26D17FE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8.键盘颜色：黑色；</w:t>
            </w:r>
          </w:p>
          <w:p w14:paraId="2D603F4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9.鼠标连接方式：有线；</w:t>
            </w:r>
          </w:p>
          <w:p w14:paraId="00C76F7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10.有线鼠标连接线：≥1.</w:t>
            </w:r>
            <w:r>
              <w:rPr>
                <w:rFonts w:hint="eastAsia" w:ascii="宋体" w:hAnsi="宋体" w:cs="宋体"/>
                <w:sz w:val="21"/>
                <w:szCs w:val="21"/>
                <w:lang w:val="en-US" w:eastAsia="zh-CN"/>
              </w:rPr>
              <w:t>5</w:t>
            </w:r>
            <w:r>
              <w:rPr>
                <w:rFonts w:hint="eastAsia" w:ascii="宋体" w:hAnsi="宋体" w:eastAsia="宋体" w:cs="宋体"/>
                <w:sz w:val="21"/>
                <w:szCs w:val="21"/>
              </w:rPr>
              <w:t>米；</w:t>
            </w:r>
          </w:p>
          <w:p w14:paraId="31B92BB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11.鼠标DPI分辨率：800-1600；</w:t>
            </w:r>
          </w:p>
          <w:p w14:paraId="0FA5524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12.鼠标颜色：黑色；</w:t>
            </w:r>
          </w:p>
          <w:p w14:paraId="3FFE17C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13.鼠标其他要求：其它参数应符合GB/T 26245的相关规定。</w:t>
            </w:r>
          </w:p>
          <w:p w14:paraId="4588948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★八、网络设备规格</w:t>
            </w:r>
          </w:p>
          <w:p w14:paraId="110B7F27">
            <w:pPr>
              <w:keepNext w:val="0"/>
              <w:keepLines w:val="0"/>
              <w:pageBreakBefore w:val="0"/>
              <w:numPr>
                <w:ilvl w:val="0"/>
                <w:numId w:val="3"/>
              </w:numPr>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有线网卡数量：≥1</w:t>
            </w:r>
          </w:p>
          <w:p w14:paraId="05E45472">
            <w:pPr>
              <w:keepNext w:val="0"/>
              <w:keepLines w:val="0"/>
              <w:pageBreakBefore w:val="0"/>
              <w:numPr>
                <w:ilvl w:val="0"/>
                <w:numId w:val="3"/>
              </w:numPr>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lang w:val="en-US" w:eastAsia="zh-CN"/>
              </w:rPr>
              <w:t>无线网卡数量：</w:t>
            </w:r>
            <w:r>
              <w:rPr>
                <w:rFonts w:hint="eastAsia" w:ascii="宋体" w:hAnsi="宋体" w:eastAsia="宋体" w:cs="宋体"/>
                <w:sz w:val="21"/>
                <w:szCs w:val="21"/>
              </w:rPr>
              <w:t>≥1</w:t>
            </w:r>
          </w:p>
          <w:p w14:paraId="3A63279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★九、外部接口规格</w:t>
            </w:r>
          </w:p>
          <w:p w14:paraId="18938AC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1.USB 接口数量：</w:t>
            </w:r>
            <w:r>
              <w:rPr>
                <w:rFonts w:hint="eastAsia" w:ascii="宋体" w:hAnsi="宋体" w:eastAsia="宋体" w:cs="宋体"/>
                <w:sz w:val="21"/>
                <w:szCs w:val="21"/>
                <w:lang w:val="en-US" w:eastAsia="zh-CN"/>
              </w:rPr>
              <w:t>整机</w:t>
            </w:r>
            <w:r>
              <w:rPr>
                <w:rFonts w:hint="eastAsia" w:ascii="宋体" w:hAnsi="宋体" w:eastAsia="宋体" w:cs="宋体"/>
                <w:sz w:val="21"/>
                <w:szCs w:val="21"/>
              </w:rPr>
              <w:t>面板应提供不少于4个USB 接口（含</w:t>
            </w:r>
            <w:r>
              <w:rPr>
                <w:rFonts w:hint="eastAsia" w:ascii="宋体" w:hAnsi="宋体" w:eastAsia="宋体" w:cs="宋体"/>
                <w:sz w:val="21"/>
                <w:szCs w:val="21"/>
                <w:lang w:val="en-US" w:eastAsia="zh-CN"/>
              </w:rPr>
              <w:t>2</w:t>
            </w:r>
            <w:r>
              <w:rPr>
                <w:rFonts w:hint="eastAsia" w:ascii="宋体" w:hAnsi="宋体" w:eastAsia="宋体" w:cs="宋体"/>
                <w:sz w:val="21"/>
                <w:szCs w:val="21"/>
              </w:rPr>
              <w:t>个USB3.0及以上接口）；</w:t>
            </w:r>
          </w:p>
          <w:p w14:paraId="0097FDB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2.视频接口数量：≥1；</w:t>
            </w:r>
          </w:p>
          <w:p w14:paraId="520B805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3.音频接口数量：≥1</w:t>
            </w:r>
          </w:p>
          <w:p w14:paraId="15FE046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★十、整机基础规格</w:t>
            </w:r>
          </w:p>
          <w:p w14:paraId="1858B84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1.整机外观：a) 产品表面不应有凹痕、划伤、裂缝、变形和污染等。表面涂层均匀，不应起泡、龟裂、脱落和磨损，金属零部件无锈蚀及其它机械损伤；b) 产品表面说明功能的文字、符号、标志，应清晰、端正、牢固；</w:t>
            </w:r>
          </w:p>
          <w:p w14:paraId="39109AA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2.状态指示灯：在产品显著位置提供状态指示功能；</w:t>
            </w:r>
          </w:p>
          <w:p w14:paraId="7F26D25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3.整机结构：a) 机箱应符合 GB/T 4208、GB/T 26246的相关规定；b) 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 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 9813.1的相关规定；</w:t>
            </w:r>
          </w:p>
          <w:p w14:paraId="7611B53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4.机箱防护要求：机箱应符合GB/T 4208中IP20防护要求；</w:t>
            </w:r>
          </w:p>
          <w:p w14:paraId="39D54A9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5.整机噪音：产品工作在空闲状态下，产品的声功率级应不超过4.5Bel；</w:t>
            </w:r>
          </w:p>
          <w:p w14:paraId="68B7883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6.整机散热：在环境温度25℃及处理器满载情况下，产品表面温度应符合如下要求：a)出风口在机箱后面板情况下，出风口温度不高于55℃；b)可触及面温度不高于45℃；c)显示器表面温度：显示屏不高于38℃，显示屏上下灯带位置温度（如涉及）不高于40℃，出风口温度不高于45℃；</w:t>
            </w:r>
          </w:p>
          <w:p w14:paraId="2C947DB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7.整机能效限定值：产品能效限定值应达到GB 28380-2012标准中能效等级2级及以上；</w:t>
            </w:r>
          </w:p>
          <w:p w14:paraId="6E9A96B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8.机身材质：</w:t>
            </w:r>
            <w:r>
              <w:rPr>
                <w:rFonts w:hint="eastAsia" w:ascii="宋体" w:hAnsi="宋体" w:eastAsia="宋体" w:cs="宋体"/>
                <w:sz w:val="21"/>
                <w:szCs w:val="21"/>
                <w:lang w:val="en-US" w:eastAsia="zh-CN"/>
              </w:rPr>
              <w:t>ABS+</w:t>
            </w:r>
            <w:r>
              <w:rPr>
                <w:rFonts w:hint="eastAsia" w:ascii="宋体" w:hAnsi="宋体" w:eastAsia="宋体" w:cs="宋体"/>
                <w:sz w:val="21"/>
                <w:szCs w:val="21"/>
              </w:rPr>
              <w:t>金属</w:t>
            </w:r>
            <w:r>
              <w:rPr>
                <w:rFonts w:hint="eastAsia" w:ascii="宋体" w:hAnsi="宋体" w:eastAsia="宋体" w:cs="宋体"/>
                <w:sz w:val="21"/>
                <w:szCs w:val="21"/>
                <w:lang w:val="en-US" w:eastAsia="zh-CN"/>
              </w:rPr>
              <w:t>,显示器和主机一体</w:t>
            </w:r>
            <w:r>
              <w:rPr>
                <w:rFonts w:hint="eastAsia" w:ascii="宋体" w:hAnsi="宋体" w:eastAsia="宋体" w:cs="宋体"/>
                <w:sz w:val="21"/>
                <w:szCs w:val="21"/>
              </w:rPr>
              <w:t>；</w:t>
            </w:r>
          </w:p>
          <w:p w14:paraId="3191BD5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9.机身颜色：黑色；</w:t>
            </w:r>
          </w:p>
          <w:p w14:paraId="1C638146">
            <w:pPr>
              <w:pStyle w:val="15"/>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r>
              <w:rPr>
                <w:rFonts w:hint="eastAsia" w:ascii="宋体" w:hAnsi="宋体" w:cs="宋体"/>
                <w:szCs w:val="21"/>
              </w:rPr>
              <w:t>机箱尺寸：</w:t>
            </w:r>
            <w:r>
              <w:rPr>
                <w:rFonts w:hint="eastAsia" w:ascii="宋体" w:hAnsi="宋体" w:eastAsia="宋体" w:cs="宋体"/>
                <w:kern w:val="2"/>
                <w:sz w:val="21"/>
                <w:szCs w:val="21"/>
                <w:lang w:val="en-US" w:eastAsia="zh-CN" w:bidi="ar-SA"/>
              </w:rPr>
              <w:t>机箱体积应不大于30L</w:t>
            </w:r>
            <w:r>
              <w:rPr>
                <w:rFonts w:hint="eastAsia" w:ascii="宋体" w:hAnsi="宋体" w:eastAsia="宋体" w:cs="宋体"/>
                <w:sz w:val="21"/>
                <w:szCs w:val="21"/>
              </w:rPr>
              <w:t>。</w:t>
            </w:r>
          </w:p>
          <w:p w14:paraId="60EB7EB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★十一、CPU性能</w:t>
            </w:r>
          </w:p>
          <w:p w14:paraId="6C87B46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1.CPU 物理核数：≥8；</w:t>
            </w:r>
          </w:p>
          <w:p w14:paraId="0704036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2.CPU 主频：≥2.7GHz；</w:t>
            </w:r>
          </w:p>
          <w:p w14:paraId="1D9C07D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3.CPU 末级缓存容量：≥8MB；</w:t>
            </w:r>
          </w:p>
          <w:p w14:paraId="499DE11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4.CPU 支持的内存最高速率：≥2666MT/s。</w:t>
            </w:r>
          </w:p>
          <w:p w14:paraId="60C4C53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★十二、内存性能</w:t>
            </w:r>
          </w:p>
          <w:p w14:paraId="6ED840C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1.内存读写速率：≥2666MT/s。</w:t>
            </w:r>
          </w:p>
          <w:p w14:paraId="7C14914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★十三、显卡性能</w:t>
            </w:r>
          </w:p>
          <w:p w14:paraId="6390BBB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1.显示分辨率：≥1920</w:t>
            </w:r>
            <w:r>
              <w:rPr>
                <w:rFonts w:ascii="宋体" w:hAnsi="宋体" w:cs="宋体"/>
                <w:szCs w:val="21"/>
              </w:rPr>
              <w:t>*</w:t>
            </w:r>
            <w:r>
              <w:rPr>
                <w:rFonts w:hint="eastAsia" w:ascii="宋体" w:hAnsi="宋体" w:eastAsia="宋体" w:cs="宋体"/>
                <w:sz w:val="21"/>
                <w:szCs w:val="21"/>
              </w:rPr>
              <w:t>1080；</w:t>
            </w:r>
          </w:p>
          <w:p w14:paraId="24BE663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2.显卡显示芯片核心频率：≥300MHz；</w:t>
            </w:r>
          </w:p>
          <w:p w14:paraId="483F31E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3.显存等效频率：≥1000MT/s；</w:t>
            </w:r>
          </w:p>
          <w:p w14:paraId="2AD7B48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4.显卡可支持多屏同时显示数量：显卡应支持2块屏幕同时显示，分辨率应不低于 1920</w:t>
            </w:r>
            <w:r>
              <w:rPr>
                <w:rFonts w:ascii="宋体" w:hAnsi="宋体" w:cs="宋体"/>
                <w:szCs w:val="21"/>
              </w:rPr>
              <w:t>*</w:t>
            </w:r>
            <w:r>
              <w:rPr>
                <w:rFonts w:hint="eastAsia" w:ascii="宋体" w:hAnsi="宋体" w:eastAsia="宋体" w:cs="宋体"/>
                <w:sz w:val="21"/>
                <w:szCs w:val="21"/>
              </w:rPr>
              <w:t>1080。</w:t>
            </w:r>
          </w:p>
          <w:p w14:paraId="6BB5C3B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★十四、显示设备性能</w:t>
            </w:r>
          </w:p>
          <w:p w14:paraId="4E3D1A1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1.显示屏刷新率：≥75Hz；</w:t>
            </w:r>
          </w:p>
          <w:p w14:paraId="4E27C1D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2.显示屏位深：≥8位；</w:t>
            </w:r>
          </w:p>
          <w:p w14:paraId="08FB53D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3.显示屏色域：≥99% sRGB；</w:t>
            </w:r>
          </w:p>
          <w:p w14:paraId="433DA89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4.显示屏色准：△E≤4；</w:t>
            </w:r>
          </w:p>
          <w:p w14:paraId="6A3AB0C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5.显示屏响应时间：≤</w:t>
            </w:r>
            <w:r>
              <w:rPr>
                <w:rFonts w:hint="eastAsia" w:ascii="宋体" w:hAnsi="宋体" w:eastAsia="宋体" w:cs="宋体"/>
                <w:sz w:val="21"/>
                <w:szCs w:val="21"/>
                <w:lang w:val="en-US" w:eastAsia="zh-CN"/>
              </w:rPr>
              <w:t>1</w:t>
            </w:r>
            <w:r>
              <w:rPr>
                <w:rFonts w:hint="eastAsia" w:ascii="宋体" w:hAnsi="宋体" w:eastAsia="宋体" w:cs="宋体"/>
                <w:sz w:val="21"/>
                <w:szCs w:val="21"/>
              </w:rPr>
              <w:t>5ms；</w:t>
            </w:r>
          </w:p>
          <w:p w14:paraId="7C16340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6.显示屏亮度：≥250尼特；</w:t>
            </w:r>
          </w:p>
          <w:p w14:paraId="6451F0F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7.显示屏亮度一致性：≥70%；</w:t>
            </w:r>
          </w:p>
          <w:p w14:paraId="5E01AFD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8.显示屏对比度：≥</w:t>
            </w:r>
            <w:r>
              <w:rPr>
                <w:rFonts w:hint="eastAsia" w:ascii="宋体" w:hAnsi="宋体" w:eastAsia="宋体" w:cs="宋体"/>
                <w:sz w:val="21"/>
                <w:szCs w:val="21"/>
                <w:lang w:val="en-US" w:eastAsia="zh-CN"/>
              </w:rPr>
              <w:t>13</w:t>
            </w:r>
            <w:r>
              <w:rPr>
                <w:rFonts w:hint="eastAsia" w:ascii="宋体" w:hAnsi="宋体" w:eastAsia="宋体" w:cs="宋体"/>
                <w:sz w:val="21"/>
                <w:szCs w:val="21"/>
              </w:rPr>
              <w:t>00：1；</w:t>
            </w:r>
          </w:p>
          <w:p w14:paraId="4E9D9AF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 xml:space="preserve">9.显示屏其他参数：其它参数应符合SJ/T 11292的相关规定。  </w:t>
            </w:r>
          </w:p>
          <w:p w14:paraId="0AD001E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★十五、网络设备性能</w:t>
            </w:r>
          </w:p>
          <w:p w14:paraId="733D492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1.有线网卡速率：最高速率应不低于1000Mbps，应支持10Mbps、100Mbps、1000Mbps 速率自适应。</w:t>
            </w:r>
          </w:p>
          <w:p w14:paraId="2D8CFBE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★十六、主板功能</w:t>
            </w:r>
          </w:p>
          <w:p w14:paraId="071A566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1.内存扩展接口(板载内存不涉及)：≥2个；</w:t>
            </w:r>
          </w:p>
          <w:p w14:paraId="5A27645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2.主板 USB瞬间过流保护：支持有瞬间过流保护功能；</w:t>
            </w:r>
          </w:p>
          <w:p w14:paraId="03151E5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3.主板防静电保护：支持防静电保护功能；</w:t>
            </w:r>
          </w:p>
          <w:p w14:paraId="0EC704C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4.I/O 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14:paraId="7C3E8D8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★十七、显卡功能</w:t>
            </w:r>
          </w:p>
          <w:p w14:paraId="7A9E2C0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1.显卡外接显示接口：显卡至少支持 VGA、HDMI、DVI、DP、Type-C中1种显示接口，并与显示器接口相匹配。</w:t>
            </w:r>
          </w:p>
          <w:p w14:paraId="501E772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★十八、显示设备功能</w:t>
            </w:r>
          </w:p>
          <w:p w14:paraId="4170851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1.显示器接口：显示器应与显卡外接显示接口匹配；</w:t>
            </w:r>
          </w:p>
          <w:p w14:paraId="324EEE9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2.显示器支架：显示器应提供显示器支架，支持屏幕旋转、升降；</w:t>
            </w:r>
          </w:p>
          <w:p w14:paraId="42D364B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3.显示器参数调节：</w:t>
            </w:r>
          </w:p>
          <w:p w14:paraId="54897A0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a)提供 OSD 选单按钮用于调节色彩、模式等；b)支持色温、亮度、对比度调节。</w:t>
            </w:r>
          </w:p>
          <w:p w14:paraId="0FE9013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★十九、存储功能</w:t>
            </w:r>
          </w:p>
          <w:p w14:paraId="6357D9D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1.存储功能：通过SATA固态存储/PCIe固态存储/UFS固态存储等存储部件提供存储功能。</w:t>
            </w:r>
          </w:p>
          <w:p w14:paraId="1533038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★二十、网络设备功能</w:t>
            </w:r>
          </w:p>
          <w:p w14:paraId="6DACE7D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1.网络功能：a)支持网络连接、网络开启/关闭功能；b)支持访问网络和数据交换功能；</w:t>
            </w:r>
          </w:p>
          <w:p w14:paraId="779FD8D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2.数据传输：支持数据传输能力，并提供数据流量和异常日志记录功能；</w:t>
            </w:r>
          </w:p>
          <w:p w14:paraId="61B2C36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3.有线网卡接口类型：支持 RJ45 接口；</w:t>
            </w:r>
          </w:p>
          <w:p w14:paraId="19CAA16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4.网络设备拆装：网络设备支持物理拆装，包括无线网卡和蓝牙模块等。</w:t>
            </w:r>
          </w:p>
          <w:p w14:paraId="1F62A71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★二十一、外部接口功能</w:t>
            </w:r>
          </w:p>
          <w:p w14:paraId="267B02C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1.音频接口类型：支持 3.5mm 孔径 3 段式或 4 段式接口；</w:t>
            </w:r>
          </w:p>
          <w:p w14:paraId="4A24929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2.视频接口类型：至少支持 VGA、HDMI、DVI、DP、Type-C中1 种显示接口；</w:t>
            </w:r>
          </w:p>
          <w:p w14:paraId="3D27DD2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3.HDMI、DP、Type-C 显示接口要求：若提供 HDMI 或DP或 Type-C作为显示接口，应支持音频和视频同步输出。</w:t>
            </w:r>
          </w:p>
          <w:p w14:paraId="2E3A9F1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★二十二、电源功能</w:t>
            </w:r>
          </w:p>
          <w:p w14:paraId="07F0117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1.电源线适配能力：电源适配器电线组件应符合GB/T 15934的要求。</w:t>
            </w:r>
          </w:p>
          <w:p w14:paraId="73608C2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★二十三、操作系统及软件功能</w:t>
            </w:r>
          </w:p>
          <w:p w14:paraId="1FA61AB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操作系统</w:t>
            </w:r>
          </w:p>
          <w:p w14:paraId="393DA8B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1.中文信息处理要求：符合GB 18030的相关规定；</w:t>
            </w:r>
          </w:p>
          <w:p w14:paraId="44656AD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2.操作系统备份及还原功能：支持操作系统备份及还原功能；</w:t>
            </w:r>
          </w:p>
          <w:p w14:paraId="7A3C66D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3.固件备份还原能力：支持备份及还原固件的功能；</w:t>
            </w:r>
          </w:p>
          <w:p w14:paraId="48157BD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4.操作系统及驱动升级：支持通过网络、闪存盘等方式对操作系统、驱动进行升级；</w:t>
            </w:r>
          </w:p>
          <w:p w14:paraId="00210A3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5.固件升级：支持通过网络、闪存盘等方式对固件进行升级；</w:t>
            </w:r>
          </w:p>
          <w:p w14:paraId="00BCCF8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6.BIOS支持关闭通讯接口：支持BIOS关闭以太网及USB接口；</w:t>
            </w:r>
          </w:p>
          <w:p w14:paraId="20EAC4B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7.固件查看信息：支持查看固件版本、内存信息、主板信息、处理器信息和系统时间信息等功能；</w:t>
            </w:r>
          </w:p>
          <w:p w14:paraId="34CD1A7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8.固件设置启动顺序：支持设置启动顺序功能，并按照设置的启动顺序启动；</w:t>
            </w:r>
          </w:p>
          <w:p w14:paraId="0424920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9.固件设置口令：支持设置口令、修改口令、验证口令功能；</w:t>
            </w:r>
          </w:p>
          <w:p w14:paraId="2CF0706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10.固件设置网络引导：支持网络引导启动和关闭功能；</w:t>
            </w:r>
          </w:p>
          <w:p w14:paraId="0282C70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★二十四、存储设备可靠性</w:t>
            </w:r>
          </w:p>
          <w:p w14:paraId="79A9E3C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1.固态存储寿命：TBW ≥ 80TB（条件：</w:t>
            </w:r>
            <w:r>
              <w:rPr>
                <w:rFonts w:hint="eastAsia" w:ascii="宋体" w:hAnsi="宋体" w:eastAsia="宋体" w:cs="宋体"/>
                <w:sz w:val="21"/>
                <w:szCs w:val="21"/>
                <w:lang w:val="en-US" w:eastAsia="zh-CN"/>
              </w:rPr>
              <w:t>512</w:t>
            </w:r>
            <w:r>
              <w:rPr>
                <w:rFonts w:hint="eastAsia" w:ascii="宋体" w:hAnsi="宋体" w:eastAsia="宋体" w:cs="宋体"/>
                <w:sz w:val="21"/>
                <w:szCs w:val="21"/>
              </w:rPr>
              <w:t>GB硬盘容量）；</w:t>
            </w:r>
          </w:p>
          <w:p w14:paraId="6E45B534">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Cs w:val="21"/>
              </w:rPr>
              <w:t>机械硬盘寿命：通电时间≥5万小时。</w:t>
            </w:r>
          </w:p>
          <w:p w14:paraId="06D7AC2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★二十五、显示设备可靠性</w:t>
            </w:r>
          </w:p>
          <w:p w14:paraId="79E50BD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1.显示屏屏幕失效点：符合GB/T 9813.2的要求。</w:t>
            </w:r>
          </w:p>
          <w:p w14:paraId="666B6A5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★二十六、外设可靠性</w:t>
            </w:r>
          </w:p>
          <w:p w14:paraId="72BB177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1.键盘按键寿命：≥1000 万次；</w:t>
            </w:r>
          </w:p>
          <w:p w14:paraId="1939C51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2.鼠标按键寿命：≥500 万次；</w:t>
            </w:r>
          </w:p>
          <w:p w14:paraId="020FA6C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3.键盘鼠标线材寿命：键盘鼠标所用线材经±60°弯折不低于 3000 次，功能、外观完好；</w:t>
            </w:r>
          </w:p>
          <w:p w14:paraId="337E447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4.风扇寿命：≥4 万小时。</w:t>
            </w:r>
          </w:p>
          <w:p w14:paraId="368071A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★二十七、整机可靠性要求</w:t>
            </w:r>
          </w:p>
          <w:p w14:paraId="30E7668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1.电磁兼容性要求的抗扰度：符合GB/T 9254.2的规定；</w:t>
            </w:r>
          </w:p>
          <w:p w14:paraId="026ED59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2.环境条件要求的气候环境适应性：符合GB/T 9813.1中规定；</w:t>
            </w:r>
          </w:p>
          <w:p w14:paraId="742D182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3.环境条件要求的振动适应性：符合GB/T 9813.1中规定；</w:t>
            </w:r>
          </w:p>
          <w:p w14:paraId="56F095C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4.环境条件要求的冲击适应性：符合GB/T 9813.1中规定；</w:t>
            </w:r>
          </w:p>
          <w:p w14:paraId="09CAF71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5.环境条件要求的碰撞适应性：符合GB/T 9813.1中规定；</w:t>
            </w:r>
          </w:p>
          <w:p w14:paraId="07A3180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6.环境条件要求的运输包装件跌落适应性：符合GB/T 9813.1中规定；</w:t>
            </w:r>
          </w:p>
          <w:p w14:paraId="01CC9B6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7.MTBF 测试：MTBF(m1)≥3</w:t>
            </w:r>
            <w:r>
              <w:rPr>
                <w:rFonts w:hint="eastAsia" w:ascii="宋体" w:hAnsi="宋体" w:eastAsia="宋体" w:cs="宋体"/>
                <w:sz w:val="21"/>
                <w:szCs w:val="21"/>
                <w:lang w:val="en-US" w:eastAsia="zh-CN"/>
              </w:rPr>
              <w:t>0</w:t>
            </w:r>
            <w:r>
              <w:rPr>
                <w:rFonts w:hint="eastAsia" w:ascii="宋体" w:hAnsi="宋体" w:eastAsia="宋体" w:cs="宋体"/>
                <w:sz w:val="21"/>
                <w:szCs w:val="21"/>
              </w:rPr>
              <w:t>万小时。</w:t>
            </w:r>
          </w:p>
          <w:p w14:paraId="34EC710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★二十八、兼容要求</w:t>
            </w:r>
          </w:p>
          <w:p w14:paraId="632949F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1.常用软件兼容：支持流式软件、版式软件、浏览器、邮件采购人端、解压软件、多媒体、图形图像处理等常用软件；</w:t>
            </w:r>
          </w:p>
          <w:p w14:paraId="4633ADB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2.数据库兼容：兼容 3 个及以上厂商的数据库产品；</w:t>
            </w:r>
          </w:p>
          <w:p w14:paraId="7A882CB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3.中间件兼容：兼容 3 个及以上厂商中间件产品；</w:t>
            </w:r>
          </w:p>
          <w:p w14:paraId="422D1EE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4.平台软件兼容：兼容 3 个及以上厂商云计算及大数据平台。</w:t>
            </w:r>
          </w:p>
          <w:p w14:paraId="331272D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★二十九、包装及运输要求</w:t>
            </w:r>
          </w:p>
          <w:p w14:paraId="0AF20EB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1.标志、包装、运输和贮存：符合GB/T 9813.1和商品包装政府采购需求标准的相关规定。</w:t>
            </w:r>
          </w:p>
          <w:p w14:paraId="4A22982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★三十、服务要求</w:t>
            </w:r>
          </w:p>
          <w:p w14:paraId="239DDD1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1.配置检查工具：供应商提供自检测试工具；</w:t>
            </w:r>
          </w:p>
          <w:p w14:paraId="6AE8E95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542FF42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3.服务周期：a)设备停产后应继续提供质量保障服务（含备品备件），服务终止时间与最后一批设备交付时间间隔不低于6年；b)产品停止服务时间应提前 1 年告知；c)应明确产品发布日期；</w:t>
            </w:r>
          </w:p>
          <w:p w14:paraId="5895D71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4.预装操作系统（操作系统需正版授权至最终使用客户）：预装符合桌面操作系统政府采购需求标准的正版操作系统；预装的操作系统符合《操作系统政府采购需求标准》中加</w:t>
            </w:r>
            <w:r>
              <w:rPr>
                <w:rFonts w:ascii="宋体" w:hAnsi="宋体" w:cs="宋体"/>
                <w:szCs w:val="21"/>
              </w:rPr>
              <w:t>*</w:t>
            </w:r>
            <w:r>
              <w:rPr>
                <w:rFonts w:hint="eastAsia" w:ascii="宋体" w:hAnsi="宋体" w:eastAsia="宋体" w:cs="宋体"/>
                <w:sz w:val="21"/>
                <w:szCs w:val="21"/>
              </w:rPr>
              <w:t>指标要求（财政部工业和信息化部关于印发《操作系统政府采购需求标准（2023年版）》的通知）；</w:t>
            </w:r>
          </w:p>
          <w:p w14:paraId="2116656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5.培训服务：供应商提供培训材料、产品手册、培训视频等培训相关内容；</w:t>
            </w:r>
          </w:p>
          <w:p w14:paraId="63B2EAD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6.典型问题解决手册：供应商提供典型问题解决说明文档或视频；</w:t>
            </w:r>
          </w:p>
          <w:p w14:paraId="496C97E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7.厂家升级软件与扩容服务：供应商提供上门升级部件/软件与扩容的增值服务；</w:t>
            </w:r>
          </w:p>
          <w:p w14:paraId="50A4786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8.整机质量服务要求：免费服务周期（含换件和维修）应不小于3年；</w:t>
            </w:r>
          </w:p>
          <w:p w14:paraId="13FEF2B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9.合格证书要求：供应商提供产品合格证；</w:t>
            </w:r>
          </w:p>
          <w:p w14:paraId="361A4C8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10.开箱组装/使用指导要求：供应商提供开箱组装/使用指导；</w:t>
            </w:r>
          </w:p>
          <w:p w14:paraId="1F2ACC1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11.驱动下载服务要求：供应商提供驱动光盘或下载方式；</w:t>
            </w:r>
          </w:p>
          <w:p w14:paraId="327BD01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12.兼容适配软件下载服务要求：供应商提供兼容适配软件下载渠道（光盘、网站）。</w:t>
            </w:r>
          </w:p>
          <w:p w14:paraId="5FE35EB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★三十一、供应链合规性</w:t>
            </w:r>
          </w:p>
          <w:p w14:paraId="2B146B7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 产品部件保障：供应商保障产品主要部件，提供</w:t>
            </w:r>
            <w:r>
              <w:rPr>
                <w:rFonts w:hint="eastAsia" w:ascii="宋体" w:hAnsi="宋体" w:eastAsia="宋体" w:cs="宋体"/>
                <w:sz w:val="21"/>
                <w:szCs w:val="21"/>
                <w:lang w:val="en-US" w:eastAsia="zh-CN"/>
              </w:rPr>
              <w:t>3</w:t>
            </w:r>
            <w:r>
              <w:rPr>
                <w:rFonts w:hint="eastAsia" w:ascii="宋体" w:hAnsi="宋体" w:eastAsia="宋体" w:cs="宋体"/>
                <w:sz w:val="21"/>
                <w:szCs w:val="21"/>
              </w:rPr>
              <w:t>年的备件服务能力（自购买之日起），或提供可兼容原设备的升级换代产品；</w:t>
            </w:r>
          </w:p>
          <w:p w14:paraId="1708C5D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★三十二、供应链质量</w:t>
            </w:r>
          </w:p>
          <w:p w14:paraId="66BCF5B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1.抗干扰性：当产品部件出现供应风险时，供应商应通知采购人并提供风险应对方案确保产品的服务保障；</w:t>
            </w:r>
          </w:p>
          <w:p w14:paraId="3E05536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 供应能力证明：确保产品的部件在产品服务周期内稳定供货;</w:t>
            </w:r>
          </w:p>
          <w:p w14:paraId="4B402BF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★三十三、关键部件安全</w:t>
            </w:r>
          </w:p>
          <w:p w14:paraId="11B1C92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1.关键部件安全要求：CPU 和操作系统等关键部件应当符合安全可靠测评要求；（通过政府有关部门指定的中国信息安全测评中心和国家保密科技测评中心网站查看安全可靠测评结果）。</w:t>
            </w:r>
          </w:p>
          <w:p w14:paraId="5D25C07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bCs/>
                <w:sz w:val="21"/>
                <w:szCs w:val="21"/>
              </w:rPr>
            </w:pPr>
            <w:r>
              <w:rPr>
                <w:rFonts w:hint="eastAsia" w:ascii="宋体" w:hAnsi="宋体" w:eastAsia="宋体" w:cs="宋体"/>
                <w:b/>
                <w:bCs/>
                <w:sz w:val="21"/>
                <w:szCs w:val="21"/>
              </w:rPr>
              <w:t>注：投标人在填写《技术响应表》时，在“投标文件响应技术参数”明确给出所投计算机“CPU型号”及“操作系统”名称，否则视为</w:t>
            </w:r>
            <w:r>
              <w:rPr>
                <w:rFonts w:hint="eastAsia" w:ascii="宋体" w:hAnsi="宋体" w:cs="宋体"/>
                <w:b/>
                <w:bCs/>
                <w:sz w:val="21"/>
                <w:szCs w:val="21"/>
                <w:lang w:val="en-US" w:eastAsia="zh-CN"/>
              </w:rPr>
              <w:t>竞</w:t>
            </w:r>
            <w:r>
              <w:rPr>
                <w:rFonts w:hint="eastAsia" w:ascii="宋体" w:hAnsi="宋体" w:eastAsia="宋体" w:cs="宋体"/>
                <w:b/>
                <w:bCs/>
                <w:sz w:val="21"/>
                <w:szCs w:val="21"/>
              </w:rPr>
              <w:t>标无效。</w:t>
            </w:r>
          </w:p>
          <w:p w14:paraId="4917537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★三十四、整机安全性要求</w:t>
            </w:r>
          </w:p>
          <w:p w14:paraId="535D4E9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1.密码算法实现：CPU 芯片应符合 GM/T 0008 的相关规定，或芯片密码模块应符合 GB/T 37092或 GM/T 0028 的相关规定；</w:t>
            </w:r>
          </w:p>
          <w:p w14:paraId="5B92BDE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0FE4BF5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r>
              <w:rPr>
                <w:rFonts w:hint="eastAsia" w:ascii="宋体" w:hAnsi="宋体" w:eastAsia="宋体" w:cs="宋体"/>
                <w:sz w:val="21"/>
                <w:szCs w:val="21"/>
              </w:rPr>
              <w:t>3.固件安全启动：支持固件安全启动功能，固件启动过程中只有通过启动校验才能正常启动；</w:t>
            </w:r>
          </w:p>
          <w:p w14:paraId="01A8B53A">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top"/>
              <w:rPr>
                <w:rFonts w:hint="eastAsia" w:ascii="宋体" w:hAnsi="宋体" w:eastAsia="宋体" w:cs="宋体"/>
                <w:sz w:val="21"/>
                <w:szCs w:val="21"/>
              </w:rPr>
            </w:pPr>
            <w:r>
              <w:rPr>
                <w:rFonts w:hint="eastAsia" w:ascii="宋体" w:hAnsi="宋体" w:eastAsia="宋体" w:cs="宋体"/>
                <w:sz w:val="21"/>
                <w:szCs w:val="21"/>
              </w:rPr>
              <w:t>4.限用物质的限量要求：符合 GB/T 26572 中规定。</w:t>
            </w:r>
          </w:p>
          <w:p w14:paraId="6732E661">
            <w:pPr>
              <w:keepNext w:val="0"/>
              <w:keepLines w:val="0"/>
              <w:pageBreakBefore w:val="0"/>
              <w:kinsoku/>
              <w:wordWrap/>
              <w:overflowPunct/>
              <w:topLinePunct w:val="0"/>
              <w:autoSpaceDE/>
              <w:autoSpaceDN/>
              <w:bidi w:val="0"/>
              <w:adjustRightInd/>
              <w:snapToGrid/>
              <w:spacing w:line="440" w:lineRule="exact"/>
              <w:rPr>
                <w:rFonts w:hint="eastAsia" w:ascii="宋体" w:hAnsi="宋体" w:cs="宋体"/>
                <w:sz w:val="21"/>
                <w:szCs w:val="21"/>
                <w:lang w:val="en-US" w:eastAsia="zh-CN"/>
              </w:rPr>
            </w:pPr>
            <w:r>
              <w:rPr>
                <w:rFonts w:hint="eastAsia" w:ascii="宋体" w:hAnsi="宋体" w:eastAsia="宋体" w:cs="宋体"/>
                <w:sz w:val="21"/>
                <w:szCs w:val="21"/>
              </w:rPr>
              <w:t>★三十</w:t>
            </w:r>
            <w:r>
              <w:rPr>
                <w:rFonts w:hint="eastAsia" w:ascii="宋体" w:hAnsi="宋体" w:cs="宋体"/>
                <w:sz w:val="21"/>
                <w:szCs w:val="21"/>
                <w:lang w:val="en-US" w:eastAsia="zh-CN"/>
              </w:rPr>
              <w:t>五</w:t>
            </w:r>
            <w:r>
              <w:rPr>
                <w:rFonts w:hint="eastAsia" w:ascii="宋体" w:hAnsi="宋体" w:eastAsia="宋体" w:cs="宋体"/>
                <w:sz w:val="21"/>
                <w:szCs w:val="21"/>
              </w:rPr>
              <w:t>、</w:t>
            </w:r>
            <w:r>
              <w:rPr>
                <w:rFonts w:hint="eastAsia" w:ascii="宋体" w:hAnsi="宋体" w:cs="宋体"/>
                <w:sz w:val="21"/>
                <w:szCs w:val="21"/>
                <w:lang w:val="en-US" w:eastAsia="zh-CN"/>
              </w:rPr>
              <w:t>认证证书</w:t>
            </w:r>
          </w:p>
          <w:p w14:paraId="3FFD9A9F">
            <w:pPr>
              <w:keepNext w:val="0"/>
              <w:keepLines w:val="0"/>
              <w:pageBreakBefore w:val="0"/>
              <w:kinsoku/>
              <w:wordWrap/>
              <w:overflowPunct/>
              <w:topLinePunct w:val="0"/>
              <w:autoSpaceDE/>
              <w:autoSpaceDN/>
              <w:bidi w:val="0"/>
              <w:adjustRightInd/>
              <w:snapToGrid/>
              <w:spacing w:line="440" w:lineRule="exact"/>
              <w:rPr>
                <w:rFonts w:hint="default" w:ascii="宋体" w:hAnsi="宋体" w:eastAsia="宋体" w:cs="宋体"/>
                <w:sz w:val="21"/>
                <w:szCs w:val="21"/>
                <w:lang w:val="en-US" w:eastAsia="zh-CN"/>
              </w:rPr>
            </w:pPr>
            <w:r>
              <w:rPr>
                <w:rFonts w:hint="eastAsia" w:ascii="宋体" w:hAnsi="宋体" w:cs="宋体"/>
                <w:b/>
                <w:bCs/>
                <w:sz w:val="21"/>
                <w:szCs w:val="21"/>
                <w:lang w:val="en-US" w:eastAsia="zh-CN"/>
              </w:rPr>
              <w:t>竞标时提供3C认证证书和节能认证证书，否则竞标无效。</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16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120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04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682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工业</w:t>
            </w:r>
          </w:p>
        </w:tc>
      </w:tr>
      <w:tr w14:paraId="514E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DF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6F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操作系统</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6A83F">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操作系统支持多 CPU 架构</w:t>
            </w:r>
          </w:p>
          <w:p w14:paraId="1C0051EC">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同源兼容多CPU 平台架构：</w:t>
            </w:r>
            <w:r>
              <w:rPr>
                <w:rFonts w:hint="eastAsia" w:ascii="宋体" w:hAnsi="宋体" w:eastAsia="宋体" w:cs="宋体"/>
                <w:sz w:val="21"/>
                <w:szCs w:val="21"/>
              </w:rPr>
              <w:t>操作系统同源兼容 ARM、LoongArch、MIPS、SW64、x86 等平台架构的 CPU</w:t>
            </w:r>
          </w:p>
          <w:p w14:paraId="1D56B390">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操作系统支持CPU 内置功能</w:t>
            </w:r>
          </w:p>
          <w:p w14:paraId="6B87F5DB">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多核支持</w:t>
            </w:r>
            <w:r>
              <w:rPr>
                <w:rFonts w:hint="eastAsia" w:ascii="宋体" w:hAnsi="宋体" w:eastAsia="宋体" w:cs="宋体"/>
                <w:sz w:val="21"/>
                <w:szCs w:val="21"/>
              </w:rPr>
              <w:tab/>
            </w:r>
            <w:r>
              <w:rPr>
                <w:rFonts w:hint="eastAsia" w:ascii="宋体" w:hAnsi="宋体" w:eastAsia="宋体" w:cs="宋体"/>
                <w:sz w:val="21"/>
                <w:szCs w:val="21"/>
              </w:rPr>
              <w:t>操作系统支持双核及多核处理器，支持核间负载均衡、线程绑定，并提供系统多核访问及调度接口</w:t>
            </w:r>
          </w:p>
          <w:p w14:paraId="7E0D25DE">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CPU 虚拟化支持</w:t>
            </w:r>
            <w:r>
              <w:rPr>
                <w:rFonts w:hint="eastAsia" w:ascii="宋体" w:hAnsi="宋体" w:eastAsia="宋体" w:cs="宋体"/>
                <w:sz w:val="21"/>
                <w:szCs w:val="21"/>
              </w:rPr>
              <w:tab/>
            </w:r>
            <w:r>
              <w:rPr>
                <w:rFonts w:hint="eastAsia" w:ascii="宋体" w:hAnsi="宋体" w:eastAsia="宋体" w:cs="宋体"/>
                <w:sz w:val="21"/>
                <w:szCs w:val="21"/>
              </w:rPr>
              <w:t>操作系统支持 CPU 虚拟化技术</w:t>
            </w:r>
          </w:p>
          <w:p w14:paraId="642DCCB3">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动态调节 CPU运行频率</w:t>
            </w:r>
            <w:r>
              <w:rPr>
                <w:rFonts w:hint="eastAsia" w:ascii="宋体" w:hAnsi="宋体" w:eastAsia="宋体" w:cs="宋体"/>
                <w:sz w:val="21"/>
                <w:szCs w:val="21"/>
              </w:rPr>
              <w:tab/>
            </w:r>
            <w:r>
              <w:rPr>
                <w:rFonts w:hint="eastAsia" w:ascii="宋体" w:hAnsi="宋体" w:eastAsia="宋体" w:cs="宋体"/>
                <w:sz w:val="21"/>
                <w:szCs w:val="21"/>
              </w:rPr>
              <w:t>操作系统根据负载情况，自动调节 CPU的运行频率</w:t>
            </w:r>
          </w:p>
          <w:p w14:paraId="3D8A44A9">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支持 CPU 运行时低功耗状态切换</w:t>
            </w:r>
            <w:r>
              <w:rPr>
                <w:rFonts w:hint="eastAsia" w:ascii="宋体" w:hAnsi="宋体" w:eastAsia="宋体" w:cs="宋体"/>
                <w:sz w:val="21"/>
                <w:szCs w:val="21"/>
              </w:rPr>
              <w:tab/>
            </w:r>
            <w:r>
              <w:rPr>
                <w:rFonts w:hint="eastAsia" w:ascii="宋体" w:hAnsi="宋体" w:eastAsia="宋体" w:cs="宋体"/>
                <w:sz w:val="21"/>
                <w:szCs w:val="21"/>
              </w:rPr>
              <w:t>操作系统根据负载的情况，自动切换CPU 的低功耗状态</w:t>
            </w:r>
          </w:p>
          <w:p w14:paraId="5A3BAE6A">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支持 CPU 内置安全功能</w:t>
            </w:r>
            <w:r>
              <w:rPr>
                <w:rFonts w:hint="eastAsia" w:ascii="宋体" w:hAnsi="宋体" w:eastAsia="宋体" w:cs="宋体"/>
                <w:sz w:val="21"/>
                <w:szCs w:val="21"/>
              </w:rPr>
              <w:tab/>
            </w:r>
            <w:r>
              <w:rPr>
                <w:rFonts w:hint="eastAsia" w:ascii="宋体" w:hAnsi="宋体" w:eastAsia="宋体" w:cs="宋体"/>
                <w:sz w:val="21"/>
                <w:szCs w:val="21"/>
              </w:rPr>
              <w:t>操作系统支持 CPU 硬件密码运算与随机数生成等功能，并提供标准接口供应用程序调用</w:t>
            </w:r>
          </w:p>
          <w:p w14:paraId="1515FC25">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安装部署</w:t>
            </w:r>
          </w:p>
          <w:p w14:paraId="16363888">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安装方式</w:t>
            </w:r>
            <w:r>
              <w:rPr>
                <w:rFonts w:hint="eastAsia" w:ascii="宋体" w:hAnsi="宋体" w:eastAsia="宋体" w:cs="宋体"/>
                <w:sz w:val="21"/>
                <w:szCs w:val="21"/>
              </w:rPr>
              <w:tab/>
            </w:r>
            <w:r>
              <w:rPr>
                <w:rFonts w:hint="eastAsia" w:ascii="宋体" w:hAnsi="宋体" w:eastAsia="宋体" w:cs="宋体"/>
                <w:sz w:val="21"/>
                <w:szCs w:val="21"/>
              </w:rPr>
              <w:t>操作系统支持光盘、USB 闪存盘和网络等安装方式</w:t>
            </w:r>
          </w:p>
          <w:p w14:paraId="4307A376">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安装过程配置</w:t>
            </w:r>
            <w:r>
              <w:rPr>
                <w:rFonts w:hint="eastAsia" w:ascii="宋体" w:hAnsi="宋体" w:eastAsia="宋体" w:cs="宋体"/>
                <w:sz w:val="21"/>
                <w:szCs w:val="21"/>
              </w:rPr>
              <w:tab/>
            </w:r>
            <w:r>
              <w:rPr>
                <w:rFonts w:hint="eastAsia" w:ascii="宋体" w:hAnsi="宋体" w:eastAsia="宋体" w:cs="宋体"/>
                <w:sz w:val="21"/>
                <w:szCs w:val="21"/>
              </w:rPr>
              <w:t>操作系统支持安装界面文种设置，默认为简化汉字方式显示，提供时区设置、计算机名设置等</w:t>
            </w:r>
          </w:p>
          <w:p w14:paraId="352A8873">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硬盘分区</w:t>
            </w:r>
            <w:r>
              <w:rPr>
                <w:rFonts w:hint="eastAsia" w:ascii="宋体" w:hAnsi="宋体" w:eastAsia="宋体" w:cs="宋体"/>
                <w:sz w:val="21"/>
                <w:szCs w:val="21"/>
              </w:rPr>
              <w:tab/>
            </w:r>
            <w:r>
              <w:rPr>
                <w:rFonts w:hint="eastAsia" w:ascii="宋体" w:hAnsi="宋体" w:eastAsia="宋体" w:cs="宋体"/>
                <w:sz w:val="21"/>
                <w:szCs w:val="21"/>
              </w:rPr>
              <w:t>操作系统支持整个硬盘自动分区、自定义分区，支持逻辑分区配置（如 LVM），支持创建备份分区；自定义分区时能自动检测分区设置的合规性，删除已有分区或格式化硬盘提示告警信息</w:t>
            </w:r>
          </w:p>
          <w:p w14:paraId="5EB85128">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双硬盘安装</w:t>
            </w:r>
            <w:r>
              <w:rPr>
                <w:rFonts w:hint="eastAsia" w:ascii="宋体" w:hAnsi="宋体" w:eastAsia="宋体" w:cs="宋体"/>
                <w:sz w:val="21"/>
                <w:szCs w:val="21"/>
              </w:rPr>
              <w:tab/>
            </w:r>
            <w:r>
              <w:rPr>
                <w:rFonts w:hint="eastAsia" w:ascii="宋体" w:hAnsi="宋体" w:eastAsia="宋体" w:cs="宋体"/>
                <w:sz w:val="21"/>
                <w:szCs w:val="21"/>
              </w:rPr>
              <w:t>当计算机同时存在固态硬盘和机械硬盘时，自动分区优先将系统盘（或分区）设置在固态硬盘，优先将数据盘（或分区）设置在机械硬盘</w:t>
            </w:r>
          </w:p>
          <w:p w14:paraId="0F2FBFCE">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多系统安装</w:t>
            </w:r>
            <w:r>
              <w:rPr>
                <w:rFonts w:hint="eastAsia" w:ascii="宋体" w:hAnsi="宋体" w:eastAsia="宋体" w:cs="宋体"/>
                <w:sz w:val="21"/>
                <w:szCs w:val="21"/>
              </w:rPr>
              <w:tab/>
            </w:r>
            <w:r>
              <w:rPr>
                <w:rFonts w:hint="eastAsia" w:ascii="宋体" w:hAnsi="宋体" w:eastAsia="宋体" w:cs="宋体"/>
                <w:sz w:val="21"/>
                <w:szCs w:val="21"/>
              </w:rPr>
              <w:t>操作系统能够识别已安装的其他系统，可自动复用引导分区等，并实现多系统引导</w:t>
            </w:r>
          </w:p>
          <w:p w14:paraId="037CEB94">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加密</w:t>
            </w:r>
            <w:r>
              <w:rPr>
                <w:rFonts w:hint="eastAsia" w:ascii="宋体" w:hAnsi="宋体" w:eastAsia="宋体" w:cs="宋体"/>
                <w:sz w:val="21"/>
                <w:szCs w:val="21"/>
              </w:rPr>
              <w:tab/>
            </w:r>
            <w:r>
              <w:rPr>
                <w:rFonts w:hint="eastAsia" w:ascii="宋体" w:hAnsi="宋体" w:eastAsia="宋体" w:cs="宋体"/>
                <w:sz w:val="21"/>
                <w:szCs w:val="21"/>
              </w:rPr>
              <w:t>操作系统应提供基于分区的用户数据加密功能，保护用户存储区数据安全</w:t>
            </w:r>
          </w:p>
          <w:p w14:paraId="494B3204">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初始化备份</w:t>
            </w:r>
            <w:r>
              <w:rPr>
                <w:rFonts w:hint="eastAsia" w:ascii="宋体" w:hAnsi="宋体" w:eastAsia="宋体" w:cs="宋体"/>
                <w:sz w:val="21"/>
                <w:szCs w:val="21"/>
              </w:rPr>
              <w:tab/>
            </w:r>
            <w:r>
              <w:rPr>
                <w:rFonts w:hint="eastAsia" w:ascii="宋体" w:hAnsi="宋体" w:eastAsia="宋体" w:cs="宋体"/>
                <w:sz w:val="21"/>
                <w:szCs w:val="21"/>
              </w:rPr>
              <w:t>操作系统应提供用户备份初始系统环境的功能</w:t>
            </w:r>
          </w:p>
          <w:p w14:paraId="1824FE87">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保留用户数据</w:t>
            </w:r>
            <w:r>
              <w:rPr>
                <w:rFonts w:hint="eastAsia" w:ascii="宋体" w:hAnsi="宋体" w:eastAsia="宋体" w:cs="宋体"/>
                <w:sz w:val="21"/>
                <w:szCs w:val="21"/>
              </w:rPr>
              <w:tab/>
            </w:r>
            <w:r>
              <w:rPr>
                <w:rFonts w:hint="eastAsia" w:ascii="宋体" w:hAnsi="宋体" w:eastAsia="宋体" w:cs="宋体"/>
                <w:sz w:val="21"/>
                <w:szCs w:val="21"/>
              </w:rPr>
              <w:t>用户重装操作系统时提供保留用户数据的功能</w:t>
            </w:r>
          </w:p>
          <w:p w14:paraId="6A6CA768">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系统引导</w:t>
            </w:r>
          </w:p>
          <w:p w14:paraId="5E6429F5">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引导模式</w:t>
            </w:r>
            <w:r>
              <w:rPr>
                <w:rFonts w:hint="eastAsia" w:ascii="宋体" w:hAnsi="宋体" w:eastAsia="宋体" w:cs="宋体"/>
                <w:sz w:val="21"/>
                <w:szCs w:val="21"/>
              </w:rPr>
              <w:tab/>
            </w:r>
            <w:r>
              <w:rPr>
                <w:rFonts w:hint="eastAsia" w:ascii="宋体" w:hAnsi="宋体" w:eastAsia="宋体" w:cs="宋体"/>
                <w:sz w:val="21"/>
                <w:szCs w:val="21"/>
              </w:rPr>
              <w:t>"操作系统应支持 UEFI2.0 及以上规范固件引导：</w:t>
            </w:r>
          </w:p>
          <w:p w14:paraId="0A659DDE">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a）当计算机以 UEFI 模式启动安装时，安装程序应分配 ESP，并在 ESP 中放置启动引导文件，使操作系统能以 UEFI模式引导；</w:t>
            </w:r>
          </w:p>
          <w:p w14:paraId="5B96740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）当计算机固件不支持 UEFI 模式时，安装程序根据计算机固件提供的引导方式，安装系统引导代码或配置系统引导选单，使安装完的系统可以正常引导</w:t>
            </w:r>
            <w:r>
              <w:rPr>
                <w:rFonts w:hint="eastAsia" w:ascii="宋体" w:hAnsi="宋体" w:eastAsia="宋体" w:cs="宋体"/>
                <w:sz w:val="21"/>
                <w:szCs w:val="21"/>
                <w:lang w:eastAsia="zh-CN"/>
              </w:rPr>
              <w:t>。</w:t>
            </w:r>
          </w:p>
          <w:p w14:paraId="2273D501">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引导修复</w:t>
            </w:r>
            <w:r>
              <w:rPr>
                <w:rFonts w:hint="eastAsia" w:ascii="宋体" w:hAnsi="宋体" w:eastAsia="宋体" w:cs="宋体"/>
                <w:sz w:val="21"/>
                <w:szCs w:val="21"/>
              </w:rPr>
              <w:tab/>
            </w:r>
            <w:r>
              <w:rPr>
                <w:rFonts w:hint="eastAsia" w:ascii="宋体" w:hAnsi="宋体" w:eastAsia="宋体" w:cs="宋体"/>
                <w:sz w:val="21"/>
                <w:szCs w:val="21"/>
              </w:rPr>
              <w:t>安装程序提供系统引导修复功能，当已安装的操作系统引导被破坏时，可重建系统引导</w:t>
            </w:r>
          </w:p>
          <w:p w14:paraId="73E949CB">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其他安装要求</w:t>
            </w:r>
          </w:p>
          <w:p w14:paraId="29CC2F16">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图形化显示</w:t>
            </w:r>
            <w:r>
              <w:rPr>
                <w:rFonts w:hint="eastAsia" w:ascii="宋体" w:hAnsi="宋体" w:eastAsia="宋体" w:cs="宋体"/>
                <w:sz w:val="21"/>
                <w:szCs w:val="21"/>
              </w:rPr>
              <w:tab/>
            </w:r>
            <w:r>
              <w:rPr>
                <w:rFonts w:hint="eastAsia" w:ascii="宋体" w:hAnsi="宋体" w:eastAsia="宋体" w:cs="宋体"/>
                <w:sz w:val="21"/>
                <w:szCs w:val="21"/>
              </w:rPr>
              <w:t>操作系统应提供安装过程图形化显示</w:t>
            </w:r>
          </w:p>
          <w:p w14:paraId="383212B7">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安装提示</w:t>
            </w:r>
          </w:p>
          <w:p w14:paraId="579D5B5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操作系统在安装执行前明确提示用户可能会删除已有数据，并提供退出或取消功能；</w:t>
            </w:r>
          </w:p>
          <w:p w14:paraId="424D02B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当用户取消安装时，不改变硬盘上已有数据；</w:t>
            </w:r>
          </w:p>
          <w:p w14:paraId="3A378060">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如用户自定义的某些配置可能会影响后续的正常使用，予以明确提示</w:t>
            </w:r>
            <w:r>
              <w:rPr>
                <w:rFonts w:hint="eastAsia" w:ascii="宋体" w:hAnsi="宋体" w:eastAsia="宋体" w:cs="宋体"/>
                <w:sz w:val="21"/>
                <w:szCs w:val="21"/>
                <w:lang w:eastAsia="zh-CN"/>
              </w:rPr>
              <w:t>。</w:t>
            </w:r>
          </w:p>
          <w:p w14:paraId="7CA03025">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分辨率自适应</w:t>
            </w:r>
            <w:r>
              <w:rPr>
                <w:rFonts w:hint="eastAsia" w:ascii="宋体" w:hAnsi="宋体" w:eastAsia="宋体" w:cs="宋体"/>
                <w:sz w:val="21"/>
                <w:szCs w:val="21"/>
              </w:rPr>
              <w:tab/>
            </w:r>
            <w:r>
              <w:rPr>
                <w:rFonts w:hint="eastAsia" w:ascii="宋体" w:hAnsi="宋体" w:eastAsia="宋体" w:cs="宋体"/>
                <w:sz w:val="21"/>
                <w:szCs w:val="21"/>
              </w:rPr>
              <w:t>操作系统安装完成后自动适配显示器最佳分辨率</w:t>
            </w:r>
          </w:p>
          <w:p w14:paraId="46F21E40">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系统内核</w:t>
            </w:r>
          </w:p>
          <w:p w14:paraId="50E5FF02">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内核要求</w:t>
            </w:r>
          </w:p>
          <w:p w14:paraId="55475D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若操作系统是基于 Linux 内核的微型计算机操作系统应兼容 5.4 版内核主要功能，包括进程管理、内存管理、任务调度、中断处理、并发与同步处理等；</w:t>
            </w:r>
          </w:p>
          <w:p w14:paraId="4F59D3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b)若操作系统属于其他类型内核不做要求。</w:t>
            </w:r>
          </w:p>
          <w:p w14:paraId="451DBBFB">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进程管理</w:t>
            </w:r>
          </w:p>
          <w:p w14:paraId="755E9137">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进程调度</w:t>
            </w:r>
            <w:r>
              <w:rPr>
                <w:rFonts w:hint="eastAsia" w:ascii="宋体" w:hAnsi="宋体" w:eastAsia="宋体" w:cs="宋体"/>
                <w:sz w:val="21"/>
                <w:szCs w:val="21"/>
              </w:rPr>
              <w:tab/>
            </w:r>
            <w:r>
              <w:rPr>
                <w:rFonts w:hint="eastAsia" w:ascii="宋体" w:hAnsi="宋体" w:eastAsia="宋体" w:cs="宋体"/>
                <w:sz w:val="21"/>
                <w:szCs w:val="21"/>
              </w:rPr>
              <w:t>操作系统支持进程创建、分组、删除及进程信息获取</w:t>
            </w:r>
          </w:p>
          <w:p w14:paraId="235ED274">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优先级设置</w:t>
            </w:r>
            <w:r>
              <w:rPr>
                <w:rFonts w:hint="eastAsia" w:ascii="宋体" w:hAnsi="宋体" w:eastAsia="宋体" w:cs="宋体"/>
                <w:sz w:val="21"/>
                <w:szCs w:val="21"/>
              </w:rPr>
              <w:tab/>
            </w:r>
            <w:r>
              <w:rPr>
                <w:rFonts w:hint="eastAsia" w:ascii="宋体" w:hAnsi="宋体" w:eastAsia="宋体" w:cs="宋体"/>
                <w:sz w:val="21"/>
                <w:szCs w:val="21"/>
              </w:rPr>
              <w:t>操作系统支持进程优先级设置，包括优先级范围设置、优先级调度策略设置等</w:t>
            </w:r>
          </w:p>
          <w:p w14:paraId="05F742EC">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地址映射</w:t>
            </w:r>
            <w:r>
              <w:rPr>
                <w:rFonts w:hint="eastAsia" w:ascii="宋体" w:hAnsi="宋体" w:eastAsia="宋体" w:cs="宋体"/>
                <w:sz w:val="21"/>
                <w:szCs w:val="21"/>
              </w:rPr>
              <w:tab/>
            </w:r>
            <w:r>
              <w:rPr>
                <w:rFonts w:hint="eastAsia" w:ascii="宋体" w:hAnsi="宋体" w:eastAsia="宋体" w:cs="宋体"/>
                <w:sz w:val="21"/>
                <w:szCs w:val="21"/>
              </w:rPr>
              <w:t>操作系统支持进程内存地址的正向映射和反向映射</w:t>
            </w:r>
          </w:p>
          <w:p w14:paraId="6202675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内存管理</w:t>
            </w:r>
          </w:p>
          <w:p w14:paraId="09D22AB8">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内存地址管理</w:t>
            </w:r>
            <w:r>
              <w:rPr>
                <w:rFonts w:hint="eastAsia" w:ascii="宋体" w:hAnsi="宋体" w:eastAsia="宋体" w:cs="宋体"/>
                <w:sz w:val="21"/>
                <w:szCs w:val="21"/>
              </w:rPr>
              <w:tab/>
            </w:r>
            <w:r>
              <w:rPr>
                <w:rFonts w:hint="eastAsia" w:ascii="宋体" w:hAnsi="宋体" w:eastAsia="宋体" w:cs="宋体"/>
                <w:sz w:val="21"/>
                <w:szCs w:val="21"/>
              </w:rPr>
              <w:t>操作系统支持基础连续虚拟地址、连续物理地址的申请、回收和释放</w:t>
            </w:r>
          </w:p>
          <w:p w14:paraId="64D5788F">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内存管理单元</w:t>
            </w:r>
            <w:r>
              <w:rPr>
                <w:rFonts w:hint="eastAsia" w:ascii="宋体" w:hAnsi="宋体" w:eastAsia="宋体" w:cs="宋体"/>
                <w:sz w:val="21"/>
                <w:szCs w:val="21"/>
              </w:rPr>
              <w:tab/>
            </w:r>
            <w:r>
              <w:rPr>
                <w:rFonts w:hint="eastAsia" w:ascii="宋体" w:hAnsi="宋体" w:eastAsia="宋体" w:cs="宋体"/>
                <w:sz w:val="21"/>
                <w:szCs w:val="21"/>
              </w:rPr>
              <w:t>操作系统支持内存管理单元，通过页表映射实现虚拟地址和物理地址的映射关系</w:t>
            </w:r>
          </w:p>
          <w:p w14:paraId="674B25A8">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buddy 分配器</w:t>
            </w:r>
            <w:r>
              <w:rPr>
                <w:rFonts w:hint="eastAsia" w:ascii="宋体" w:hAnsi="宋体" w:eastAsia="宋体" w:cs="宋体"/>
                <w:sz w:val="21"/>
                <w:szCs w:val="21"/>
              </w:rPr>
              <w:tab/>
            </w:r>
          </w:p>
          <w:p w14:paraId="1D3E02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a)若操作系统基于 Linux 内核，支持buddy 分配器，支持 slob、slub 或 slab</w:t>
            </w:r>
          </w:p>
          <w:p w14:paraId="23DCD7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分配器；</w:t>
            </w:r>
          </w:p>
          <w:p w14:paraId="43FDF4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b)若操作系统属于其他类型内核不做要求"</w:t>
            </w:r>
          </w:p>
          <w:p w14:paraId="501936F0">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DMA 内存</w:t>
            </w:r>
            <w:r>
              <w:rPr>
                <w:rFonts w:hint="eastAsia" w:ascii="宋体" w:hAnsi="宋体" w:eastAsia="宋体" w:cs="宋体"/>
                <w:sz w:val="21"/>
                <w:szCs w:val="21"/>
              </w:rPr>
              <w:tab/>
            </w:r>
            <w:r>
              <w:rPr>
                <w:rFonts w:hint="eastAsia" w:ascii="宋体" w:hAnsi="宋体" w:eastAsia="宋体" w:cs="宋体"/>
                <w:sz w:val="21"/>
                <w:szCs w:val="21"/>
              </w:rPr>
              <w:t>操作系统支持 DMA 内存的申请和释放，包括流式 DMA、一致性 DMA 以及大内存DMA</w:t>
            </w:r>
          </w:p>
          <w:p w14:paraId="17B48D1E">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内存 zone 管理</w:t>
            </w:r>
            <w:r>
              <w:rPr>
                <w:rFonts w:hint="eastAsia" w:ascii="宋体" w:hAnsi="宋体" w:eastAsia="宋体" w:cs="宋体"/>
                <w:sz w:val="21"/>
                <w:szCs w:val="21"/>
              </w:rPr>
              <w:tab/>
            </w:r>
          </w:p>
          <w:p w14:paraId="419F13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a)若操作系统基于 Linux 内核，操作系统支持内存 zone 管理；</w:t>
            </w:r>
          </w:p>
          <w:p w14:paraId="331F82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b)若操作系统属于其他类型内核不做要求"</w:t>
            </w:r>
          </w:p>
          <w:p w14:paraId="74310C7D">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内存分配方式</w:t>
            </w:r>
            <w:r>
              <w:rPr>
                <w:rFonts w:hint="eastAsia" w:ascii="宋体" w:hAnsi="宋体" w:eastAsia="宋体" w:cs="宋体"/>
                <w:sz w:val="21"/>
                <w:szCs w:val="21"/>
              </w:rPr>
              <w:tab/>
            </w:r>
            <w:r>
              <w:rPr>
                <w:rFonts w:hint="eastAsia" w:ascii="宋体" w:hAnsi="宋体" w:eastAsia="宋体" w:cs="宋体"/>
                <w:sz w:val="21"/>
                <w:szCs w:val="21"/>
              </w:rPr>
              <w:t>操作系统支持不交换硬盘的内存分配方式</w:t>
            </w:r>
          </w:p>
          <w:p w14:paraId="5B20EE46">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任务调度</w:t>
            </w:r>
          </w:p>
          <w:p w14:paraId="21D446F5">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上下文切换</w:t>
            </w:r>
            <w:r>
              <w:rPr>
                <w:rFonts w:hint="eastAsia" w:ascii="宋体" w:hAnsi="宋体" w:eastAsia="宋体" w:cs="宋体"/>
                <w:sz w:val="21"/>
                <w:szCs w:val="21"/>
              </w:rPr>
              <w:tab/>
            </w:r>
            <w:r>
              <w:rPr>
                <w:rFonts w:hint="eastAsia" w:ascii="宋体" w:hAnsi="宋体" w:eastAsia="宋体" w:cs="宋体"/>
                <w:sz w:val="21"/>
                <w:szCs w:val="21"/>
              </w:rPr>
              <w:t>操作系统支持进程上下文切换</w:t>
            </w:r>
          </w:p>
          <w:p w14:paraId="796E3817">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进程负载均衡</w:t>
            </w:r>
            <w:r>
              <w:rPr>
                <w:rFonts w:hint="eastAsia" w:ascii="宋体" w:hAnsi="宋体" w:eastAsia="宋体" w:cs="宋体"/>
                <w:sz w:val="21"/>
                <w:szCs w:val="21"/>
              </w:rPr>
              <w:tab/>
            </w:r>
            <w:r>
              <w:rPr>
                <w:rFonts w:hint="eastAsia" w:ascii="宋体" w:hAnsi="宋体" w:eastAsia="宋体" w:cs="宋体"/>
                <w:sz w:val="21"/>
                <w:szCs w:val="21"/>
              </w:rPr>
              <w:t>操作系统支持进程负载均衡调度方式</w:t>
            </w:r>
          </w:p>
          <w:p w14:paraId="57B57D0C">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调度方式</w:t>
            </w:r>
            <w:r>
              <w:rPr>
                <w:rFonts w:hint="eastAsia" w:ascii="宋体" w:hAnsi="宋体" w:eastAsia="宋体" w:cs="宋体"/>
                <w:sz w:val="21"/>
                <w:szCs w:val="21"/>
              </w:rPr>
              <w:tab/>
            </w:r>
            <w:r>
              <w:rPr>
                <w:rFonts w:hint="eastAsia" w:ascii="宋体" w:hAnsi="宋体" w:eastAsia="宋体" w:cs="宋体"/>
                <w:sz w:val="21"/>
                <w:szCs w:val="21"/>
              </w:rPr>
              <w:t>操作系统支持进程基于时间片的调度方式</w:t>
            </w:r>
          </w:p>
          <w:p w14:paraId="5688666B">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抢占调度方式</w:t>
            </w:r>
            <w:r>
              <w:rPr>
                <w:rFonts w:hint="eastAsia" w:ascii="宋体" w:hAnsi="宋体" w:eastAsia="宋体" w:cs="宋体"/>
                <w:sz w:val="21"/>
                <w:szCs w:val="21"/>
              </w:rPr>
              <w:tab/>
            </w:r>
            <w:r>
              <w:rPr>
                <w:rFonts w:hint="eastAsia" w:ascii="宋体" w:hAnsi="宋体" w:eastAsia="宋体" w:cs="宋体"/>
                <w:sz w:val="21"/>
                <w:szCs w:val="21"/>
              </w:rPr>
              <w:t>操作系统支持进程抢占调度方式</w:t>
            </w:r>
          </w:p>
          <w:p w14:paraId="6B0A7E98">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中断处理</w:t>
            </w:r>
          </w:p>
          <w:p w14:paraId="5F0A73B4">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中断处理</w:t>
            </w:r>
            <w:r>
              <w:rPr>
                <w:rFonts w:hint="eastAsia" w:ascii="宋体" w:hAnsi="宋体" w:eastAsia="宋体" w:cs="宋体"/>
                <w:sz w:val="21"/>
                <w:szCs w:val="21"/>
              </w:rPr>
              <w:tab/>
            </w:r>
            <w:r>
              <w:rPr>
                <w:rFonts w:hint="eastAsia" w:ascii="宋体" w:hAnsi="宋体" w:eastAsia="宋体" w:cs="宋体"/>
                <w:sz w:val="21"/>
                <w:szCs w:val="21"/>
              </w:rPr>
              <w:t>操作系统支持硬件中断号和软件中断号的映射、注册和处理；支持高精度时钟中断、类软中断和类 tasklet 下半部中断处理；支持中断使能、屏蔽、亲和力处理以及中断抢占；支持中断工作队列处理，包括工作队列创建、初始化、调度和回收等</w:t>
            </w:r>
          </w:p>
          <w:p w14:paraId="789E47BC">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并发与同步处理</w:t>
            </w:r>
          </w:p>
          <w:p w14:paraId="588DB158">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并发同步处理</w:t>
            </w:r>
            <w:r>
              <w:rPr>
                <w:rFonts w:hint="eastAsia" w:ascii="宋体" w:hAnsi="宋体" w:eastAsia="宋体" w:cs="宋体"/>
                <w:sz w:val="21"/>
                <w:szCs w:val="21"/>
              </w:rPr>
              <w:tab/>
            </w:r>
            <w:r>
              <w:rPr>
                <w:rFonts w:hint="eastAsia" w:ascii="宋体" w:hAnsi="宋体" w:eastAsia="宋体" w:cs="宋体"/>
                <w:sz w:val="21"/>
                <w:szCs w:val="21"/>
              </w:rPr>
              <w:t>操作系统支持自旋锁、信号量、互斥体等原子操作；支持读写锁、类 RCU 原子操作；支持内存屏障操作</w:t>
            </w:r>
            <w:r>
              <w:rPr>
                <w:rFonts w:hint="eastAsia" w:ascii="宋体" w:hAnsi="宋体" w:eastAsia="宋体" w:cs="宋体"/>
                <w:sz w:val="21"/>
                <w:szCs w:val="21"/>
                <w:lang w:eastAsia="zh-CN"/>
              </w:rPr>
              <w:t>。</w:t>
            </w:r>
          </w:p>
          <w:p w14:paraId="7C55DFD9">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中文支持要求</w:t>
            </w:r>
          </w:p>
          <w:p w14:paraId="5B932084">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字符编码</w:t>
            </w:r>
            <w:r>
              <w:rPr>
                <w:rFonts w:hint="eastAsia" w:ascii="宋体" w:hAnsi="宋体" w:eastAsia="宋体" w:cs="宋体"/>
                <w:sz w:val="21"/>
                <w:szCs w:val="21"/>
              </w:rPr>
              <w:tab/>
            </w:r>
            <w:r>
              <w:rPr>
                <w:rFonts w:hint="eastAsia" w:ascii="宋体" w:hAnsi="宋体" w:eastAsia="宋体" w:cs="宋体"/>
                <w:sz w:val="21"/>
                <w:szCs w:val="21"/>
              </w:rPr>
              <w:t>操作系统符合 GB 18030 的要求</w:t>
            </w:r>
          </w:p>
          <w:p w14:paraId="61F11CB6">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字库</w:t>
            </w:r>
            <w:r>
              <w:rPr>
                <w:rFonts w:hint="eastAsia" w:ascii="宋体" w:hAnsi="宋体" w:eastAsia="宋体" w:cs="宋体"/>
                <w:sz w:val="21"/>
                <w:szCs w:val="21"/>
              </w:rPr>
              <w:tab/>
            </w:r>
            <w:r>
              <w:rPr>
                <w:rFonts w:hint="eastAsia" w:ascii="宋体" w:hAnsi="宋体" w:eastAsia="宋体" w:cs="宋体"/>
                <w:sz w:val="21"/>
                <w:szCs w:val="21"/>
              </w:rPr>
              <w:t>操作系统提供符合 GB 18030 标准的字库，至少包括宋体、仿宋体、黑体、楷体及小标宋体在内的 5 种字库；支持曲线字库，可无级放缩字形大小，以适应不同分辨率的输出设备，输出字形应字形正确，字体规范；支持用户扩展安装字库</w:t>
            </w:r>
            <w:r>
              <w:rPr>
                <w:rFonts w:hint="eastAsia" w:ascii="宋体" w:hAnsi="宋体" w:eastAsia="宋体" w:cs="宋体"/>
                <w:sz w:val="21"/>
                <w:szCs w:val="21"/>
                <w:lang w:eastAsia="zh-CN"/>
              </w:rPr>
              <w:t>。</w:t>
            </w:r>
          </w:p>
          <w:p w14:paraId="0012AD5D">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输入法</w:t>
            </w:r>
            <w:r>
              <w:rPr>
                <w:rFonts w:hint="eastAsia" w:ascii="宋体" w:hAnsi="宋体" w:eastAsia="宋体" w:cs="宋体"/>
                <w:sz w:val="21"/>
                <w:szCs w:val="21"/>
              </w:rPr>
              <w:tab/>
            </w:r>
            <w:r>
              <w:rPr>
                <w:rFonts w:hint="eastAsia" w:ascii="宋体" w:hAnsi="宋体" w:eastAsia="宋体" w:cs="宋体"/>
                <w:sz w:val="21"/>
                <w:szCs w:val="21"/>
              </w:rPr>
              <w:t>操作系统应内置输入法框架；至少提供一种音码和一种型码输入法；支持 GB 18030 中已编码的语言文字输入法的安装使用</w:t>
            </w:r>
            <w:r>
              <w:rPr>
                <w:rFonts w:hint="eastAsia" w:ascii="宋体" w:hAnsi="宋体" w:eastAsia="宋体" w:cs="宋体"/>
                <w:sz w:val="21"/>
                <w:szCs w:val="21"/>
                <w:lang w:eastAsia="zh-CN"/>
              </w:rPr>
              <w:t>。</w:t>
            </w:r>
          </w:p>
          <w:p w14:paraId="430431C0">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输入法标准</w:t>
            </w:r>
            <w:r>
              <w:rPr>
                <w:rFonts w:hint="eastAsia" w:ascii="宋体" w:hAnsi="宋体" w:eastAsia="宋体" w:cs="宋体"/>
                <w:sz w:val="21"/>
                <w:szCs w:val="21"/>
              </w:rPr>
              <w:tab/>
            </w:r>
            <w:r>
              <w:rPr>
                <w:rFonts w:hint="eastAsia" w:ascii="宋体" w:hAnsi="宋体" w:eastAsia="宋体" w:cs="宋体"/>
                <w:sz w:val="21"/>
                <w:szCs w:val="21"/>
              </w:rPr>
              <w:t>"操作系统提供的通用键盘输入法应符合 GB/T 19246—2003 要求；如提供手写输入法，应符合 GB/T 18790—2010 要求；如提供语音输入法，应符合 GB/T 21023—2007 要求</w:t>
            </w:r>
            <w:r>
              <w:rPr>
                <w:rFonts w:hint="eastAsia" w:ascii="宋体" w:hAnsi="宋体" w:eastAsia="宋体" w:cs="宋体"/>
                <w:sz w:val="21"/>
                <w:szCs w:val="21"/>
                <w:lang w:eastAsia="zh-CN"/>
              </w:rPr>
              <w:t>。</w:t>
            </w:r>
          </w:p>
          <w:p w14:paraId="2C0AE806">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输出</w:t>
            </w:r>
            <w:r>
              <w:rPr>
                <w:rFonts w:hint="eastAsia" w:ascii="宋体" w:hAnsi="宋体" w:eastAsia="宋体" w:cs="宋体"/>
                <w:sz w:val="21"/>
                <w:szCs w:val="21"/>
              </w:rPr>
              <w:tab/>
            </w:r>
            <w:r>
              <w:rPr>
                <w:rFonts w:hint="eastAsia" w:ascii="宋体" w:hAnsi="宋体" w:eastAsia="宋体" w:cs="宋体"/>
                <w:sz w:val="21"/>
                <w:szCs w:val="21"/>
              </w:rPr>
              <w:t>系统配置的字库能被工具或软件正常调用打印和显示</w:t>
            </w:r>
            <w:r>
              <w:rPr>
                <w:rFonts w:hint="eastAsia" w:ascii="宋体" w:hAnsi="宋体" w:eastAsia="宋体" w:cs="宋体"/>
                <w:sz w:val="21"/>
                <w:szCs w:val="21"/>
                <w:lang w:eastAsia="zh-CN"/>
              </w:rPr>
              <w:t>。</w:t>
            </w:r>
          </w:p>
          <w:p w14:paraId="2B859AEB">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表示</w:t>
            </w:r>
            <w:r>
              <w:rPr>
                <w:rFonts w:hint="eastAsia" w:ascii="宋体" w:hAnsi="宋体" w:eastAsia="宋体" w:cs="宋体"/>
                <w:sz w:val="21"/>
                <w:szCs w:val="21"/>
              </w:rPr>
              <w:tab/>
            </w:r>
            <w:r>
              <w:rPr>
                <w:rFonts w:hint="eastAsia" w:ascii="宋体" w:hAnsi="宋体" w:eastAsia="宋体" w:cs="宋体"/>
                <w:sz w:val="21"/>
                <w:szCs w:val="21"/>
              </w:rPr>
              <w:t>操作系统提供中文界面显示，提供符合要求的日期、星期、上下午、时间、货币、数字等显示及表示方式</w:t>
            </w:r>
            <w:r>
              <w:rPr>
                <w:rFonts w:hint="eastAsia" w:ascii="宋体" w:hAnsi="宋体" w:eastAsia="宋体" w:cs="宋体"/>
                <w:sz w:val="21"/>
                <w:szCs w:val="21"/>
                <w:lang w:eastAsia="zh-CN"/>
              </w:rPr>
              <w:t>。</w:t>
            </w:r>
          </w:p>
          <w:p w14:paraId="6B41D198">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系统管理要求</w:t>
            </w:r>
          </w:p>
          <w:p w14:paraId="306EFAD4">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系统信息</w:t>
            </w:r>
            <w:r>
              <w:rPr>
                <w:rFonts w:hint="eastAsia" w:ascii="宋体" w:hAnsi="宋体" w:eastAsia="宋体" w:cs="宋体"/>
                <w:sz w:val="21"/>
                <w:szCs w:val="21"/>
              </w:rPr>
              <w:tab/>
            </w:r>
            <w:r>
              <w:rPr>
                <w:rFonts w:hint="eastAsia" w:ascii="宋体" w:hAnsi="宋体" w:eastAsia="宋体" w:cs="宋体"/>
                <w:sz w:val="21"/>
                <w:szCs w:val="21"/>
              </w:rPr>
              <w:t>操作系统提供系统信息查看工具，支持用户查看系统版本、内核版本、内存容量、CPU 型号等信息</w:t>
            </w:r>
            <w:r>
              <w:rPr>
                <w:rFonts w:hint="eastAsia" w:ascii="宋体" w:hAnsi="宋体" w:eastAsia="宋体" w:cs="宋体"/>
                <w:sz w:val="21"/>
                <w:szCs w:val="21"/>
                <w:lang w:eastAsia="zh-CN"/>
              </w:rPr>
              <w:t>。</w:t>
            </w:r>
          </w:p>
          <w:p w14:paraId="347DCBF4">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系统资源管理</w:t>
            </w:r>
            <w:r>
              <w:rPr>
                <w:rFonts w:hint="eastAsia" w:ascii="宋体" w:hAnsi="宋体" w:eastAsia="宋体" w:cs="宋体"/>
                <w:sz w:val="21"/>
                <w:szCs w:val="21"/>
              </w:rPr>
              <w:tab/>
            </w:r>
            <w:r>
              <w:rPr>
                <w:rFonts w:hint="eastAsia" w:ascii="宋体" w:hAnsi="宋体" w:eastAsia="宋体" w:cs="宋体"/>
                <w:sz w:val="21"/>
                <w:szCs w:val="21"/>
              </w:rPr>
              <w:t>操作系统提供系统资源管理工具并图形化显示进程信息、资源信息、文件资源信息等</w:t>
            </w:r>
            <w:r>
              <w:rPr>
                <w:rFonts w:hint="eastAsia" w:ascii="宋体" w:hAnsi="宋体" w:eastAsia="宋体" w:cs="宋体"/>
                <w:sz w:val="21"/>
                <w:szCs w:val="21"/>
                <w:lang w:eastAsia="zh-CN"/>
              </w:rPr>
              <w:t>。</w:t>
            </w:r>
          </w:p>
          <w:p w14:paraId="313C9F7D">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硬盘管理</w:t>
            </w:r>
            <w:r>
              <w:rPr>
                <w:rFonts w:hint="eastAsia" w:ascii="宋体" w:hAnsi="宋体" w:eastAsia="宋体" w:cs="宋体"/>
                <w:sz w:val="21"/>
                <w:szCs w:val="21"/>
              </w:rPr>
              <w:tab/>
            </w:r>
            <w:r>
              <w:rPr>
                <w:rFonts w:hint="eastAsia" w:ascii="宋体" w:hAnsi="宋体" w:eastAsia="宋体" w:cs="宋体"/>
                <w:sz w:val="21"/>
                <w:szCs w:val="21"/>
              </w:rPr>
              <w:t>操作系统提供硬盘管理工具，显示硬盘容量及硬盘信息，支持新建和删除硬盘分区，分区支持 EXT3、EXT4、FAT32、NTFS、XFS、exFAT、Btrfs 等文件系统格式</w:t>
            </w:r>
            <w:r>
              <w:rPr>
                <w:rFonts w:hint="eastAsia" w:ascii="宋体" w:hAnsi="宋体" w:eastAsia="宋体" w:cs="宋体"/>
                <w:sz w:val="21"/>
                <w:szCs w:val="21"/>
                <w:lang w:eastAsia="zh-CN"/>
              </w:rPr>
              <w:t>。</w:t>
            </w:r>
          </w:p>
          <w:p w14:paraId="444214A7">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设备信息</w:t>
            </w:r>
            <w:r>
              <w:rPr>
                <w:rFonts w:hint="eastAsia" w:ascii="宋体" w:hAnsi="宋体" w:eastAsia="宋体" w:cs="宋体"/>
                <w:sz w:val="21"/>
                <w:szCs w:val="21"/>
              </w:rPr>
              <w:tab/>
            </w:r>
            <w:r>
              <w:rPr>
                <w:rFonts w:hint="eastAsia" w:ascii="宋体" w:hAnsi="宋体" w:eastAsia="宋体" w:cs="宋体"/>
                <w:sz w:val="21"/>
                <w:szCs w:val="21"/>
              </w:rPr>
              <w:t>操作系统提供设备信息工具，显示 CPU、内存、主板、存储、网卡、声卡、电源、USB、蓝牙等参数信息，显示硬件信息、计算机型号和操作系统信息、设备驱动状态（启用或禁用），并支持设备启用、禁用状态设置</w:t>
            </w:r>
            <w:r>
              <w:rPr>
                <w:rFonts w:hint="eastAsia" w:ascii="宋体" w:hAnsi="宋体" w:eastAsia="宋体" w:cs="宋体"/>
                <w:sz w:val="21"/>
                <w:szCs w:val="21"/>
                <w:lang w:eastAsia="zh-CN"/>
              </w:rPr>
              <w:t>。</w:t>
            </w:r>
          </w:p>
          <w:p w14:paraId="7E96D994">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文件管理器</w:t>
            </w:r>
            <w:r>
              <w:rPr>
                <w:rFonts w:hint="eastAsia" w:ascii="宋体" w:hAnsi="宋体" w:eastAsia="宋体" w:cs="宋体"/>
                <w:sz w:val="21"/>
                <w:szCs w:val="21"/>
              </w:rPr>
              <w:tab/>
            </w:r>
            <w:r>
              <w:rPr>
                <w:rFonts w:hint="eastAsia" w:ascii="宋体" w:hAnsi="宋体" w:eastAsia="宋体" w:cs="宋体"/>
                <w:sz w:val="21"/>
                <w:szCs w:val="21"/>
              </w:rPr>
              <w:t>操作系统支持按文件名、文件类型、文件修改时间、文件大小排序显示文件；</w:t>
            </w:r>
          </w:p>
          <w:p w14:paraId="15DE615A">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支持文本文件、图片文件和视频文件首帧的预览；</w:t>
            </w:r>
          </w:p>
          <w:p w14:paraId="58B792B6">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显示当前用户的主目录、桌面、文档、下载、回收站等文件资源；</w:t>
            </w:r>
          </w:p>
          <w:p w14:paraId="76597AA8">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支持对光驱、闪存盘的访问；</w:t>
            </w:r>
          </w:p>
          <w:p w14:paraId="28059EFD">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支持对网络资源的访问，包括 SMB、FTP、NFS 等协议下的网络资源；</w:t>
            </w:r>
          </w:p>
          <w:p w14:paraId="0D63F6E8">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支持通过地址栏输入绝对路径定位文件夹；</w:t>
            </w:r>
          </w:p>
          <w:p w14:paraId="16A185C4">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支持文件按照列表显示或网格图标显示；</w:t>
            </w:r>
          </w:p>
          <w:p w14:paraId="3CDEE6A0">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支持新建文件、文件夹和快捷方式，并支持扩展新建的文件类型；</w:t>
            </w:r>
          </w:p>
          <w:p w14:paraId="5B95069E">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支持全选当前文件夹所有文件，支持文件多选、反选；</w:t>
            </w:r>
          </w:p>
          <w:p w14:paraId="0A152001">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支持复制、粘贴、删除、剪切、重命名、压缩等文件操作；</w:t>
            </w:r>
          </w:p>
          <w:p w14:paraId="6044129A">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支持选择文件打开方式，可以使用默认用程序打开，并支持修改默认用程序；</w:t>
            </w:r>
          </w:p>
          <w:p w14:paraId="4834BE11">
            <w:pPr>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支持按文件名、修改时间、文件大小等搜索</w:t>
            </w:r>
            <w:r>
              <w:rPr>
                <w:rFonts w:hint="eastAsia" w:ascii="宋体" w:hAnsi="宋体" w:eastAsia="宋体" w:cs="宋体"/>
                <w:sz w:val="21"/>
                <w:szCs w:val="21"/>
                <w:lang w:eastAsia="zh-CN"/>
              </w:rPr>
              <w:t>。</w:t>
            </w:r>
          </w:p>
          <w:p w14:paraId="264D5F8E">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全文搜索</w:t>
            </w:r>
            <w:r>
              <w:rPr>
                <w:rFonts w:hint="eastAsia" w:ascii="宋体" w:hAnsi="宋体" w:eastAsia="宋体" w:cs="宋体"/>
                <w:sz w:val="21"/>
                <w:szCs w:val="21"/>
              </w:rPr>
              <w:tab/>
            </w:r>
            <w:r>
              <w:rPr>
                <w:rFonts w:hint="eastAsia" w:ascii="宋体" w:hAnsi="宋体" w:eastAsia="宋体" w:cs="宋体"/>
                <w:sz w:val="21"/>
                <w:szCs w:val="21"/>
              </w:rPr>
              <w:t>操作系统支持全文搜索，文件类型包括OFD、UOF、PDF、OOXML、纯文本、网页、XML、sh 脚本等</w:t>
            </w:r>
            <w:r>
              <w:rPr>
                <w:rFonts w:hint="eastAsia" w:ascii="宋体" w:hAnsi="宋体" w:eastAsia="宋体" w:cs="宋体"/>
                <w:sz w:val="21"/>
                <w:szCs w:val="21"/>
                <w:lang w:eastAsia="zh-CN"/>
              </w:rPr>
              <w:t>。</w:t>
            </w:r>
          </w:p>
          <w:p w14:paraId="066563BC">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本地帐户管理</w:t>
            </w:r>
            <w:r>
              <w:rPr>
                <w:rFonts w:hint="eastAsia" w:ascii="宋体" w:hAnsi="宋体" w:eastAsia="宋体" w:cs="宋体"/>
                <w:sz w:val="21"/>
                <w:szCs w:val="21"/>
              </w:rPr>
              <w:tab/>
            </w:r>
            <w:r>
              <w:rPr>
                <w:rFonts w:hint="eastAsia" w:ascii="宋体" w:hAnsi="宋体" w:eastAsia="宋体" w:cs="宋体"/>
                <w:sz w:val="21"/>
                <w:szCs w:val="21"/>
              </w:rPr>
              <w:t>操作系统提供图形管理界面，支持帐户和用户组管理，支持口令、头像、权限设置，支持口令修改，支持重设管理帐户口令</w:t>
            </w:r>
            <w:r>
              <w:rPr>
                <w:rFonts w:hint="eastAsia" w:ascii="宋体" w:hAnsi="宋体" w:eastAsia="宋体" w:cs="宋体"/>
                <w:sz w:val="21"/>
                <w:szCs w:val="21"/>
                <w:lang w:eastAsia="zh-CN"/>
              </w:rPr>
              <w:t>。</w:t>
            </w:r>
          </w:p>
          <w:p w14:paraId="7EEA2B2A">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登录管理</w:t>
            </w:r>
            <w:r>
              <w:rPr>
                <w:rFonts w:hint="eastAsia" w:ascii="宋体" w:hAnsi="宋体" w:eastAsia="宋体" w:cs="宋体"/>
                <w:sz w:val="21"/>
                <w:szCs w:val="21"/>
              </w:rPr>
              <w:tab/>
            </w:r>
            <w:r>
              <w:rPr>
                <w:rFonts w:hint="eastAsia" w:ascii="宋体" w:hAnsi="宋体" w:eastAsia="宋体" w:cs="宋体"/>
                <w:sz w:val="21"/>
                <w:szCs w:val="21"/>
              </w:rPr>
              <w:t>操作系统支持本地帐户、LDAP 帐户鉴别登录，提供口令、指纹、人脸、U-Key等多种鉴别方式登录，支持本地帐户免口令登录和自动登录</w:t>
            </w:r>
            <w:r>
              <w:rPr>
                <w:rFonts w:hint="eastAsia" w:ascii="宋体" w:hAnsi="宋体" w:eastAsia="宋体" w:cs="宋体"/>
                <w:sz w:val="21"/>
                <w:szCs w:val="21"/>
                <w:lang w:eastAsia="zh-CN"/>
              </w:rPr>
              <w:t>。</w:t>
            </w:r>
          </w:p>
          <w:p w14:paraId="6BEB9A08">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鼠标管理</w:t>
            </w:r>
            <w:r>
              <w:rPr>
                <w:rFonts w:hint="eastAsia" w:ascii="宋体" w:hAnsi="宋体" w:eastAsia="宋体" w:cs="宋体"/>
                <w:sz w:val="21"/>
                <w:szCs w:val="21"/>
              </w:rPr>
              <w:tab/>
            </w:r>
            <w:r>
              <w:rPr>
                <w:rFonts w:hint="eastAsia" w:ascii="宋体" w:hAnsi="宋体" w:eastAsia="宋体" w:cs="宋体"/>
                <w:sz w:val="21"/>
                <w:szCs w:val="21"/>
              </w:rPr>
              <w:t>操作系统提供图形化鼠标管理工具；支持鼠标灵敏度、滚轮方向的设置与测试；支持左右手习惯设置；对于带触控板的微型计算机，应具有触控板管理功能，包括启动与禁止及相应的防误触等功能</w:t>
            </w:r>
            <w:r>
              <w:rPr>
                <w:rFonts w:hint="eastAsia" w:ascii="宋体" w:hAnsi="宋体" w:eastAsia="宋体" w:cs="宋体"/>
                <w:sz w:val="21"/>
                <w:szCs w:val="21"/>
                <w:lang w:eastAsia="zh-CN"/>
              </w:rPr>
              <w:t>。</w:t>
            </w:r>
          </w:p>
          <w:p w14:paraId="0F8B523E">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键盘管理</w:t>
            </w:r>
            <w:r>
              <w:rPr>
                <w:rFonts w:hint="eastAsia" w:ascii="宋体" w:hAnsi="宋体" w:eastAsia="宋体" w:cs="宋体"/>
                <w:sz w:val="21"/>
                <w:szCs w:val="21"/>
              </w:rPr>
              <w:tab/>
            </w:r>
            <w:r>
              <w:rPr>
                <w:rFonts w:hint="eastAsia" w:ascii="宋体" w:hAnsi="宋体" w:eastAsia="宋体" w:cs="宋体"/>
                <w:sz w:val="21"/>
                <w:szCs w:val="21"/>
              </w:rPr>
              <w:t>"操作系统提供键盘图形化管理工具；支持重复键延时及速度设置；支持数字键盘、大写锁定提示</w:t>
            </w:r>
            <w:r>
              <w:rPr>
                <w:rFonts w:hint="eastAsia" w:ascii="宋体" w:hAnsi="宋体" w:eastAsia="宋体" w:cs="宋体"/>
                <w:sz w:val="21"/>
                <w:szCs w:val="21"/>
                <w:lang w:eastAsia="zh-CN"/>
              </w:rPr>
              <w:t>。</w:t>
            </w:r>
          </w:p>
          <w:p w14:paraId="3A09FF9C">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显示管理</w:t>
            </w:r>
          </w:p>
          <w:p w14:paraId="2001BA46">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操作系统支持屏幕分辨率设置；支持屏幕刷新率设置；</w:t>
            </w:r>
          </w:p>
          <w:p w14:paraId="0858F760">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支持屏幕亮度设置；支持屏幕显示冷暖色温手动、自动调节；</w:t>
            </w:r>
          </w:p>
          <w:p w14:paraId="3347C140">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支持多个屏幕以复制、扩展、单独方式输出显示，支持多个屏幕显示位置设置，支持各屏幕显示方向独立设置；</w:t>
            </w:r>
          </w:p>
          <w:p w14:paraId="3DFADF29">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 4K 高分辨率屏幕显示，支持手动和自适应匹配设置窗口等比缩放显示；</w:t>
            </w:r>
          </w:p>
          <w:p w14:paraId="027E04F3">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支持超宽屏显示，如：21:9、32:9 的显示器；</w:t>
            </w:r>
          </w:p>
          <w:p w14:paraId="00D3E6D0">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支持触屏功能，包括选择、点击、双击、滚动等操作；</w:t>
            </w:r>
          </w:p>
          <w:p w14:paraId="2234785D">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支持登录界面、锁屏界面、系统桌面的背景图片设置；</w:t>
            </w:r>
          </w:p>
          <w:p w14:paraId="6E3C72A1">
            <w:pPr>
              <w:keepNext w:val="0"/>
              <w:keepLines w:val="0"/>
              <w:pageBreakBefore w:val="0"/>
              <w:widowControl w:val="0"/>
              <w:numPr>
                <w:ilvl w:val="0"/>
                <w:numId w:val="19"/>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支持屏幕保护定时设置和帐户口令鉴权恢复</w:t>
            </w:r>
            <w:r>
              <w:rPr>
                <w:rFonts w:hint="eastAsia" w:ascii="宋体" w:hAnsi="宋体" w:eastAsia="宋体" w:cs="宋体"/>
                <w:sz w:val="21"/>
                <w:szCs w:val="21"/>
                <w:lang w:eastAsia="zh-CN"/>
              </w:rPr>
              <w:t>。</w:t>
            </w:r>
          </w:p>
          <w:p w14:paraId="6D2781BF">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声音管理</w:t>
            </w:r>
            <w:r>
              <w:rPr>
                <w:rFonts w:hint="eastAsia" w:ascii="宋体" w:hAnsi="宋体" w:eastAsia="宋体" w:cs="宋体"/>
                <w:sz w:val="21"/>
                <w:szCs w:val="21"/>
              </w:rPr>
              <w:tab/>
            </w:r>
          </w:p>
          <w:p w14:paraId="5C3294FF">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操作系统支持输出音量大小设置、静音设置；</w:t>
            </w:r>
          </w:p>
          <w:p w14:paraId="1C3F2E5E">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支持系统默认音效配置；</w:t>
            </w:r>
          </w:p>
          <w:p w14:paraId="05EBC38E">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支持输入输出设备配置；</w:t>
            </w:r>
          </w:p>
          <w:p w14:paraId="3005E336">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支持输入噪音抑制开关设置；</w:t>
            </w:r>
          </w:p>
          <w:p w14:paraId="1B2B50CA">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支持输出音量增强开关设置；</w:t>
            </w:r>
          </w:p>
          <w:p w14:paraId="1DE285EB">
            <w:pPr>
              <w:keepNext w:val="0"/>
              <w:keepLines w:val="0"/>
              <w:pageBreakBefore w:val="0"/>
              <w:widowControl w:val="0"/>
              <w:numPr>
                <w:ilvl w:val="0"/>
                <w:numId w:val="2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支持输出声道左右平衡设置</w:t>
            </w:r>
            <w:r>
              <w:rPr>
                <w:rFonts w:hint="eastAsia" w:ascii="宋体" w:hAnsi="宋体" w:eastAsia="宋体" w:cs="宋体"/>
                <w:sz w:val="21"/>
                <w:szCs w:val="21"/>
                <w:lang w:eastAsia="zh-CN"/>
              </w:rPr>
              <w:t>。</w:t>
            </w:r>
          </w:p>
          <w:p w14:paraId="420009AC">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快捷键管理</w:t>
            </w:r>
            <w:r>
              <w:rPr>
                <w:rFonts w:hint="eastAsia" w:ascii="宋体" w:hAnsi="宋体" w:eastAsia="宋体" w:cs="宋体"/>
                <w:sz w:val="21"/>
                <w:szCs w:val="21"/>
              </w:rPr>
              <w:tab/>
            </w:r>
            <w:r>
              <w:rPr>
                <w:rFonts w:hint="eastAsia" w:ascii="宋体" w:hAnsi="宋体" w:eastAsia="宋体" w:cs="宋体"/>
                <w:sz w:val="21"/>
                <w:szCs w:val="21"/>
              </w:rPr>
              <w:t>操作系统支持预先定义系统快捷键；支持自定义快捷键</w:t>
            </w:r>
            <w:r>
              <w:rPr>
                <w:rFonts w:hint="eastAsia" w:ascii="宋体" w:hAnsi="宋体" w:eastAsia="宋体" w:cs="宋体"/>
                <w:sz w:val="21"/>
                <w:szCs w:val="21"/>
                <w:lang w:eastAsia="zh-CN"/>
              </w:rPr>
              <w:t>。</w:t>
            </w:r>
          </w:p>
          <w:p w14:paraId="48456093">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时间日期管理</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操作系统支持图形化显示；支持系统日期、时间设置；支持时区设置；</w:t>
            </w:r>
          </w:p>
          <w:p w14:paraId="4DC58CB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支持网络时钟同步设置</w:t>
            </w:r>
            <w:r>
              <w:rPr>
                <w:rFonts w:hint="eastAsia" w:ascii="宋体" w:hAnsi="宋体" w:eastAsia="宋体" w:cs="宋体"/>
                <w:sz w:val="21"/>
                <w:szCs w:val="21"/>
                <w:highlight w:val="none"/>
                <w:lang w:eastAsia="zh-CN"/>
              </w:rPr>
              <w:t>。</w:t>
            </w:r>
          </w:p>
          <w:p w14:paraId="1A9FEB6E">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电源管理</w:t>
            </w:r>
            <w:r>
              <w:rPr>
                <w:rFonts w:hint="eastAsia" w:ascii="宋体" w:hAnsi="宋体" w:eastAsia="宋体" w:cs="宋体"/>
                <w:sz w:val="21"/>
                <w:szCs w:val="21"/>
                <w:highlight w:val="none"/>
              </w:rPr>
              <w:tab/>
            </w:r>
          </w:p>
          <w:p w14:paraId="54EA070F">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操作系统支持空闲时显示器转入待机的时间设置；</w:t>
            </w:r>
          </w:p>
          <w:p w14:paraId="5E17102D">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支持空闲时计算机转入屏幕保护的时间设置；</w:t>
            </w:r>
          </w:p>
          <w:p w14:paraId="7742A84C">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支持屏幕显示亮度设置；</w:t>
            </w:r>
          </w:p>
          <w:p w14:paraId="118E5851">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便携式计算机使用时支持高性能、平衡、节能等模式设置</w:t>
            </w:r>
            <w:r>
              <w:rPr>
                <w:rFonts w:hint="eastAsia" w:ascii="宋体" w:hAnsi="宋体" w:eastAsia="宋体" w:cs="宋体"/>
                <w:sz w:val="21"/>
                <w:szCs w:val="21"/>
                <w:highlight w:val="none"/>
                <w:lang w:eastAsia="zh-CN"/>
              </w:rPr>
              <w:t>。</w:t>
            </w:r>
          </w:p>
          <w:p w14:paraId="5AC7F036">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w:t>
            </w:r>
            <w:r>
              <w:rPr>
                <w:rFonts w:hint="eastAsia" w:ascii="宋体" w:hAnsi="宋体" w:eastAsia="宋体" w:cs="宋体"/>
                <w:sz w:val="21"/>
                <w:szCs w:val="21"/>
                <w:highlight w:val="none"/>
                <w:lang w:eastAsia="zh-CN"/>
              </w:rPr>
              <w:t>资源动态调度</w:t>
            </w:r>
            <w:r>
              <w:rPr>
                <w:rFonts w:hint="eastAsia" w:ascii="宋体" w:hAnsi="宋体" w:eastAsia="宋体" w:cs="宋体"/>
                <w:sz w:val="21"/>
                <w:szCs w:val="21"/>
                <w:highlight w:val="none"/>
              </w:rPr>
              <w:t>管理，支持通过减少后台运行程序资源占用，保障关键应用与焦点应用流畅运行。</w:t>
            </w:r>
          </w:p>
          <w:p w14:paraId="62F53A26">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输入法管理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操作系统支持添加和删除输入法；支持快捷键设置，包括输入法启动、输入法激活/非激活切换、顺序切换等；支持多种输入法共存</w:t>
            </w:r>
            <w:r>
              <w:rPr>
                <w:rFonts w:hint="eastAsia" w:ascii="宋体" w:hAnsi="宋体" w:eastAsia="宋体" w:cs="宋体"/>
                <w:sz w:val="21"/>
                <w:szCs w:val="21"/>
                <w:highlight w:val="none"/>
                <w:lang w:eastAsia="zh-CN"/>
              </w:rPr>
              <w:t>。</w:t>
            </w:r>
          </w:p>
          <w:p w14:paraId="6661635B">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默认登录语言</w:t>
            </w:r>
            <w:r>
              <w:rPr>
                <w:rFonts w:hint="eastAsia" w:ascii="宋体" w:hAnsi="宋体" w:eastAsia="宋体" w:cs="宋体"/>
                <w:sz w:val="21"/>
                <w:szCs w:val="21"/>
                <w:highlight w:val="none"/>
              </w:rPr>
              <w:tab/>
            </w:r>
            <w:r>
              <w:rPr>
                <w:rFonts w:hint="eastAsia" w:ascii="宋体" w:hAnsi="宋体" w:eastAsia="宋体" w:cs="宋体"/>
                <w:sz w:val="21"/>
                <w:szCs w:val="21"/>
                <w:highlight w:val="none"/>
              </w:rPr>
              <w:t>按照安装时选择的文种类型作为初次登录系统文种</w:t>
            </w:r>
          </w:p>
          <w:p w14:paraId="05467FD1">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打印机管理</w:t>
            </w:r>
            <w:r>
              <w:rPr>
                <w:rFonts w:hint="eastAsia" w:ascii="宋体" w:hAnsi="宋体" w:eastAsia="宋体" w:cs="宋体"/>
                <w:sz w:val="21"/>
                <w:szCs w:val="21"/>
                <w:highlight w:val="none"/>
              </w:rPr>
              <w:tab/>
            </w:r>
          </w:p>
          <w:p w14:paraId="1AA5E473">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操作系统支持添加和删除打印机</w:t>
            </w:r>
          </w:p>
          <w:p w14:paraId="14E0D792">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支持添加本地打印机、网络打印机及共享打印机；</w:t>
            </w:r>
          </w:p>
          <w:p w14:paraId="5EDBF9C8">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支持打印机共享；</w:t>
            </w:r>
          </w:p>
          <w:p w14:paraId="5AB66799">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支持查看打印机列表；</w:t>
            </w:r>
          </w:p>
          <w:p w14:paraId="09051C81">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支持任务队列管理，包括取消、暂停、挂起；</w:t>
            </w:r>
          </w:p>
          <w:p w14:paraId="0FAE9065">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支持页面设置；</w:t>
            </w:r>
          </w:p>
          <w:p w14:paraId="46B6685F">
            <w:pPr>
              <w:keepNext w:val="0"/>
              <w:keepLines w:val="0"/>
              <w:pageBreakBefore w:val="0"/>
              <w:widowControl w:val="0"/>
              <w:numPr>
                <w:ilvl w:val="0"/>
                <w:numId w:val="2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提供接口查询打印机打印状态，包括指定文件打印成功的页数、份数、页码及打印失败的文件名和页码等信息</w:t>
            </w:r>
            <w:r>
              <w:rPr>
                <w:rFonts w:hint="eastAsia" w:ascii="宋体" w:hAnsi="宋体" w:eastAsia="宋体" w:cs="宋体"/>
                <w:sz w:val="21"/>
                <w:szCs w:val="21"/>
                <w:highlight w:val="none"/>
                <w:lang w:eastAsia="zh-CN"/>
              </w:rPr>
              <w:t>。</w:t>
            </w:r>
          </w:p>
          <w:p w14:paraId="1EA1B397">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外设管控</w:t>
            </w:r>
            <w:r>
              <w:rPr>
                <w:rFonts w:hint="eastAsia" w:ascii="宋体" w:hAnsi="宋体" w:eastAsia="宋体" w:cs="宋体"/>
                <w:sz w:val="21"/>
                <w:szCs w:val="21"/>
                <w:highlight w:val="none"/>
              </w:rPr>
              <w:tab/>
            </w:r>
          </w:p>
          <w:p w14:paraId="1762BB6F">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操作系统支持动态显示未授权设备信息；</w:t>
            </w:r>
          </w:p>
          <w:p w14:paraId="02D74204">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支持接口控制、设备控制、权限控制等（接口包括 USB、蓝牙、网络接口等；</w:t>
            </w:r>
          </w:p>
          <w:p w14:paraId="193D7AB4">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设备包括打印机、摄录设备、USB 存储设备等；权限包括读、写、执行等）；</w:t>
            </w:r>
          </w:p>
          <w:p w14:paraId="0A06EE5F">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支持按设备类型、设备 ID、接口等配置设备接入黑白名单策略；</w:t>
            </w:r>
          </w:p>
          <w:p w14:paraId="5BD8FE9C">
            <w:pPr>
              <w:keepNext w:val="0"/>
              <w:keepLines w:val="0"/>
              <w:pageBreakBefore w:val="0"/>
              <w:widowControl w:val="0"/>
              <w:numPr>
                <w:ilvl w:val="0"/>
                <w:numId w:val="23"/>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提供完整的连接记录，记录可追溯</w:t>
            </w:r>
            <w:r>
              <w:rPr>
                <w:rFonts w:hint="eastAsia" w:ascii="宋体" w:hAnsi="宋体" w:eastAsia="宋体" w:cs="宋体"/>
                <w:sz w:val="21"/>
                <w:szCs w:val="21"/>
                <w:highlight w:val="none"/>
                <w:lang w:eastAsia="zh-CN"/>
              </w:rPr>
              <w:t>。</w:t>
            </w:r>
          </w:p>
          <w:p w14:paraId="6AF7379A">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隐私文件保护</w:t>
            </w:r>
          </w:p>
          <w:p w14:paraId="399F27CD">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操作系统提供基于独立口令和密钥保护的文件保险箱；</w:t>
            </w:r>
          </w:p>
          <w:p w14:paraId="1EE821A8">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支持口令和透明加解密鉴权访问文件保险箱内的文件和文件夹；</w:t>
            </w:r>
          </w:p>
          <w:p w14:paraId="754E9804">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支持手动上锁文件保险箱；</w:t>
            </w:r>
          </w:p>
          <w:p w14:paraId="2A8D22B7">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支持通过密钥找回口令</w:t>
            </w:r>
            <w:r>
              <w:rPr>
                <w:rFonts w:hint="eastAsia" w:ascii="宋体" w:hAnsi="宋体" w:eastAsia="宋体" w:cs="宋体"/>
                <w:sz w:val="21"/>
                <w:szCs w:val="21"/>
                <w:highlight w:val="none"/>
                <w:lang w:eastAsia="zh-CN"/>
              </w:rPr>
              <w:t>。</w:t>
            </w:r>
          </w:p>
          <w:p w14:paraId="4A888FC8">
            <w:pPr>
              <w:keepNext w:val="0"/>
              <w:keepLines w:val="0"/>
              <w:pageBreakBefore w:val="0"/>
              <w:widowControl w:val="0"/>
              <w:numPr>
                <w:ilvl w:val="0"/>
                <w:numId w:val="24"/>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支持创建多个文件保护箱，每个保护箱可创建单独的保护密码。</w:t>
            </w:r>
          </w:p>
          <w:p w14:paraId="59ED0F9E">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网络管理</w:t>
            </w:r>
            <w:r>
              <w:rPr>
                <w:rFonts w:hint="eastAsia" w:ascii="宋体" w:hAnsi="宋体" w:eastAsia="宋体" w:cs="宋体"/>
                <w:sz w:val="21"/>
                <w:szCs w:val="21"/>
                <w:highlight w:val="none"/>
              </w:rPr>
              <w:tab/>
            </w:r>
          </w:p>
          <w:p w14:paraId="41B301A3">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支持图形化显示；</w:t>
            </w:r>
          </w:p>
          <w:p w14:paraId="2B120031">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 DNS 设置；</w:t>
            </w:r>
          </w:p>
          <w:p w14:paraId="29435A55">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 IPV4/IPV6 地址配置；</w:t>
            </w:r>
          </w:p>
          <w:p w14:paraId="65B4DC58">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支持自动获取网络地址；</w:t>
            </w:r>
          </w:p>
          <w:p w14:paraId="3EE26810">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支持网关设置；</w:t>
            </w:r>
          </w:p>
          <w:p w14:paraId="318B6521">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支持手动/自动设置网络代理服务器，支持 HTTP、HTTPS、FTP、SOCKS 等多种</w:t>
            </w:r>
          </w:p>
          <w:p w14:paraId="31C5FE2B">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协议；</w:t>
            </w:r>
          </w:p>
          <w:p w14:paraId="4E5C7A92">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支持无线网络管理，包括连接或断开网络、配置口令、手动刷新无线热点列表等；</w:t>
            </w:r>
          </w:p>
          <w:p w14:paraId="0AD99D8D">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支持个人热点共享，包括有线、无线网络生成的网络热点；</w:t>
            </w:r>
          </w:p>
          <w:p w14:paraId="77A97B59">
            <w:pPr>
              <w:keepNext w:val="0"/>
              <w:keepLines w:val="0"/>
              <w:pageBreakBefore w:val="0"/>
              <w:widowControl w:val="0"/>
              <w:numPr>
                <w:ilvl w:val="0"/>
                <w:numId w:val="25"/>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 L2TP、PPTP、OpenVPN、StrongSwan类型的 VPN 连接，支持新增、导入、编辑和删除连接配置，支持启用或禁用VPN 自动连接</w:t>
            </w:r>
            <w:r>
              <w:rPr>
                <w:rFonts w:hint="eastAsia" w:ascii="宋体" w:hAnsi="宋体" w:eastAsia="宋体" w:cs="宋体"/>
                <w:sz w:val="21"/>
                <w:szCs w:val="21"/>
                <w:highlight w:val="none"/>
                <w:lang w:eastAsia="zh-CN"/>
              </w:rPr>
              <w:t>。</w:t>
            </w:r>
          </w:p>
          <w:p w14:paraId="2DF8B3EB">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默认应用程序管理</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操作系统提供默认用程序管理工具，支持预先定义和修改指定用类型的默认程序，包括图片、文本、音视频、网页、邮件</w:t>
            </w:r>
            <w:r>
              <w:rPr>
                <w:rFonts w:hint="eastAsia" w:ascii="宋体" w:hAnsi="宋体" w:eastAsia="宋体" w:cs="宋体"/>
                <w:sz w:val="21"/>
                <w:szCs w:val="21"/>
                <w:highlight w:val="none"/>
                <w:lang w:eastAsia="zh-CN"/>
              </w:rPr>
              <w:t>。</w:t>
            </w:r>
          </w:p>
          <w:p w14:paraId="6FBA506D">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应用商店</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支持应用软件可视化管理；</w:t>
            </w:r>
          </w:p>
          <w:p w14:paraId="30411BE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支持按日常办公、网络应用、多媒体、安全软件、应用开发、游戏娱乐等分类显示；</w:t>
            </w:r>
          </w:p>
          <w:p w14:paraId="04E0789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支持应用软件搜索功能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支持应用软件推荐、下载、安装、卸载和升级</w:t>
            </w:r>
          </w:p>
          <w:p w14:paraId="48C9D95F">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通知管理</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操作系统任务栏提供通知中心图标，并显示消息提醒；系统和应用使用通知接口发送通知消息；支持对通知消息的管理，包括显示、删除、清理等</w:t>
            </w:r>
            <w:r>
              <w:rPr>
                <w:rFonts w:hint="eastAsia" w:ascii="宋体" w:hAnsi="宋体" w:eastAsia="宋体" w:cs="宋体"/>
                <w:sz w:val="21"/>
                <w:szCs w:val="21"/>
                <w:highlight w:val="none"/>
                <w:lang w:eastAsia="zh-CN"/>
              </w:rPr>
              <w:t>。</w:t>
            </w:r>
          </w:p>
          <w:p w14:paraId="231C58C9">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主题管理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操作系统提供图形化主题管理工具；</w:t>
            </w:r>
          </w:p>
          <w:p w14:paraId="575D0FA8">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支持以深色、浅色和昼夜切换自动配色方式显示系统图形化界面；</w:t>
            </w:r>
          </w:p>
          <w:p w14:paraId="2A37ABD4">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支持系统主题颜色设置；</w:t>
            </w:r>
          </w:p>
          <w:p w14:paraId="035A5F44">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支持系统图标主题设置；</w:t>
            </w:r>
          </w:p>
          <w:p w14:paraId="6E793356">
            <w:pPr>
              <w:keepNext w:val="0"/>
              <w:keepLines w:val="0"/>
              <w:pageBreakBefore w:val="0"/>
              <w:widowControl w:val="0"/>
              <w:numPr>
                <w:ilvl w:val="0"/>
                <w:numId w:val="26"/>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支持系统光标主题设置</w:t>
            </w:r>
            <w:r>
              <w:rPr>
                <w:rFonts w:hint="eastAsia" w:ascii="宋体" w:hAnsi="宋体" w:eastAsia="宋体" w:cs="宋体"/>
                <w:sz w:val="21"/>
                <w:szCs w:val="21"/>
                <w:highlight w:val="none"/>
                <w:lang w:eastAsia="zh-CN"/>
              </w:rPr>
              <w:t>；</w:t>
            </w:r>
          </w:p>
          <w:p w14:paraId="63AC1D58">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产品许可机制</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操作系统支持序列号授权、批量激活服务、场地授权等未激活期间，系统不得频繁提示干扰用户正常使用；未激活系统不得影响用户数据安全与完整性；</w:t>
            </w:r>
          </w:p>
          <w:p w14:paraId="04831DDB">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图形化要求</w:t>
            </w:r>
          </w:p>
          <w:p w14:paraId="6685FA68">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用户操作界面</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操作系统提供图形化操作界面</w:t>
            </w:r>
          </w:p>
          <w:p w14:paraId="32E82A52">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桌面图标</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操作系统默认提供我的系统、个人文档、回收站等图标</w:t>
            </w:r>
          </w:p>
          <w:p w14:paraId="3A101CB6">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桌面图标管理</w:t>
            </w:r>
          </w:p>
          <w:p w14:paraId="12528670">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操作系统提供回收站工具，可收集要删除的文件和文件夹，并支持右键清空操作；</w:t>
            </w:r>
          </w:p>
          <w:p w14:paraId="4D2B34B7">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支持应用程序快捷方式与文件共存；</w:t>
            </w:r>
          </w:p>
          <w:p w14:paraId="33749B3C">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支持右键选单进行复制、剪切和粘贴文件操作；</w:t>
            </w:r>
          </w:p>
          <w:p w14:paraId="526EA076">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支持文件图标拖拽、摆放；</w:t>
            </w:r>
          </w:p>
          <w:p w14:paraId="250906AA">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支持图标名称修改；</w:t>
            </w:r>
          </w:p>
          <w:p w14:paraId="5F2A383D">
            <w:pPr>
              <w:keepNext w:val="0"/>
              <w:keepLines w:val="0"/>
              <w:pageBreakBefore w:val="0"/>
              <w:widowControl w:val="0"/>
              <w:numPr>
                <w:ilvl w:val="0"/>
                <w:numId w:val="2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支持按照文件类别显示文件图标</w:t>
            </w:r>
            <w:r>
              <w:rPr>
                <w:rFonts w:hint="eastAsia" w:ascii="宋体" w:hAnsi="宋体" w:eastAsia="宋体" w:cs="宋体"/>
                <w:sz w:val="21"/>
                <w:szCs w:val="21"/>
                <w:highlight w:val="none"/>
                <w:lang w:eastAsia="zh-CN"/>
              </w:rPr>
              <w:t>。</w:t>
            </w:r>
          </w:p>
          <w:p w14:paraId="2756B4D0">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桌面快捷选单</w:t>
            </w:r>
          </w:p>
          <w:p w14:paraId="6C53F520">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操作系统支持桌面图标按照网格排列；</w:t>
            </w:r>
          </w:p>
          <w:p w14:paraId="59E26403">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支持右键选单新建纯文本；</w:t>
            </w:r>
          </w:p>
          <w:p w14:paraId="0D3BC55D">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支持右键选单新建文件夹；</w:t>
            </w:r>
          </w:p>
          <w:p w14:paraId="5644B8D7">
            <w:pPr>
              <w:keepNext w:val="0"/>
              <w:keepLines w:val="0"/>
              <w:pageBreakBefore w:val="0"/>
              <w:widowControl w:val="0"/>
              <w:numPr>
                <w:ilvl w:val="0"/>
                <w:numId w:val="29"/>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支持右键选单选择图标排列顺序，排序可按名称、类型、修改时间、文件大小</w:t>
            </w:r>
            <w:r>
              <w:rPr>
                <w:rFonts w:hint="eastAsia" w:ascii="宋体" w:hAnsi="宋体" w:eastAsia="宋体" w:cs="宋体"/>
                <w:sz w:val="21"/>
                <w:szCs w:val="21"/>
                <w:highlight w:val="none"/>
                <w:lang w:eastAsia="zh-CN"/>
              </w:rPr>
              <w:t>。</w:t>
            </w:r>
          </w:p>
          <w:p w14:paraId="74F6A5D9">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起始选单</w:t>
            </w:r>
          </w:p>
          <w:p w14:paraId="1EA029D0">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操作系统支持分类显示系统已安装应用；</w:t>
            </w:r>
          </w:p>
          <w:p w14:paraId="03D544B5">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支持创建应用的快捷方式到桌面；</w:t>
            </w:r>
          </w:p>
          <w:p w14:paraId="55E1FCB5">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支持添加应用访问快捷方式到任务栏；</w:t>
            </w:r>
          </w:p>
          <w:p w14:paraId="6D809D9E">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支持多种方式搜索内容，支持拼音搜索、模糊搜索快捷查找系统应用；</w:t>
            </w:r>
          </w:p>
          <w:p w14:paraId="3BE78611">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支持新安装应用与应用列表中其他应用以明显方式区分，包括突出显示、增加标识或单独分类；</w:t>
            </w:r>
          </w:p>
          <w:p w14:paraId="0B012AB9">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包含电源操作按钮，并可触发系统退出界面；</w:t>
            </w:r>
          </w:p>
          <w:p w14:paraId="0ECE2346">
            <w:pPr>
              <w:keepNext w:val="0"/>
              <w:keepLines w:val="0"/>
              <w:pageBreakBefore w:val="0"/>
              <w:widowControl w:val="0"/>
              <w:numPr>
                <w:ilvl w:val="0"/>
                <w:numId w:val="30"/>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包含直接进入控制系统或配置系统的功能入口或应用图标</w:t>
            </w:r>
            <w:r>
              <w:rPr>
                <w:rFonts w:hint="eastAsia" w:ascii="宋体" w:hAnsi="宋体" w:eastAsia="宋体" w:cs="宋体"/>
                <w:sz w:val="21"/>
                <w:szCs w:val="21"/>
                <w:highlight w:val="none"/>
                <w:lang w:eastAsia="zh-CN"/>
              </w:rPr>
              <w:t>。</w:t>
            </w:r>
          </w:p>
          <w:p w14:paraId="5E20160F">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任务栏</w:t>
            </w:r>
          </w:p>
          <w:p w14:paraId="010636AE">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操作系统应提供图形化任务管理工具栏，任务栏中应该包括快速启动栏、通知栏；</w:t>
            </w:r>
          </w:p>
          <w:p w14:paraId="15C3B38E">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提供快速启动应用程序区，可以添加或删除应用启动快捷方式；</w:t>
            </w:r>
          </w:p>
          <w:p w14:paraId="4D866508">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提供系统通知栏，显示网络、声音、电源、USB 设备等，支持应用程序（如输入法等）的状态信息；</w:t>
            </w:r>
          </w:p>
          <w:p w14:paraId="24A27F79">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提供显示桌面功能，支持最小化当前所有窗口，在有活动窗口的情况下快速切换成只显示用户桌面；对已切换成只显示用户桌面的状态，可以快速切换回活动窗口状态；</w:t>
            </w:r>
          </w:p>
          <w:p w14:paraId="3F77808F">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直观区分任务栏应用运行与未运行的状态；</w:t>
            </w:r>
          </w:p>
          <w:p w14:paraId="3DD3A7DB">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支持任务栏隐藏；</w:t>
            </w:r>
          </w:p>
          <w:p w14:paraId="4FB9354E">
            <w:pPr>
              <w:keepNext w:val="0"/>
              <w:keepLines w:val="0"/>
              <w:pageBreakBefore w:val="0"/>
              <w:widowControl w:val="0"/>
              <w:numPr>
                <w:ilvl w:val="0"/>
                <w:numId w:val="3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支持任务栏位置调整</w:t>
            </w:r>
            <w:r>
              <w:rPr>
                <w:rFonts w:hint="eastAsia" w:ascii="宋体" w:hAnsi="宋体" w:eastAsia="宋体" w:cs="宋体"/>
                <w:sz w:val="21"/>
                <w:szCs w:val="21"/>
                <w:highlight w:val="none"/>
                <w:lang w:eastAsia="zh-CN"/>
              </w:rPr>
              <w:t>。</w:t>
            </w:r>
          </w:p>
          <w:p w14:paraId="6E236DCF">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桌面工作区</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操作系统支持多工作区，支持应用跨工作区移动；可配置工作区数量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可通过快捷键切换工作区</w:t>
            </w:r>
            <w:r>
              <w:rPr>
                <w:rFonts w:hint="eastAsia" w:ascii="宋体" w:hAnsi="宋体" w:eastAsia="宋体" w:cs="宋体"/>
                <w:sz w:val="21"/>
                <w:szCs w:val="21"/>
                <w:highlight w:val="none"/>
                <w:lang w:eastAsia="zh-CN"/>
              </w:rPr>
              <w:t>。</w:t>
            </w:r>
          </w:p>
          <w:p w14:paraId="55B3D07E">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系统退出</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操作系统退出界面应为模态或全屏界面，提供选择关机、重启、锁定、注销、休眠、待机等六种操作</w:t>
            </w:r>
            <w:r>
              <w:rPr>
                <w:rFonts w:hint="eastAsia" w:ascii="宋体" w:hAnsi="宋体" w:eastAsia="宋体" w:cs="宋体"/>
                <w:sz w:val="21"/>
                <w:szCs w:val="21"/>
                <w:highlight w:val="none"/>
                <w:lang w:eastAsia="zh-CN"/>
              </w:rPr>
              <w:t>。</w:t>
            </w:r>
          </w:p>
          <w:p w14:paraId="1711853E">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窗口管理器</w:t>
            </w:r>
          </w:p>
          <w:p w14:paraId="35EE74BA">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操作系统支持对窗口的操作，如最小化、最大化、移动、改变大小、总是置顶或在最前端、关闭；</w:t>
            </w:r>
          </w:p>
          <w:p w14:paraId="7AF8415F">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提供窗口显示最小化、最大化和关闭按钮；</w:t>
            </w:r>
          </w:p>
          <w:p w14:paraId="63B3D6BA">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提供窗口标题，显示窗口名称，并区别显示选中和未选中窗口；</w:t>
            </w:r>
          </w:p>
          <w:p w14:paraId="4E7FD502">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窗口可以在不同工作区中移动；</w:t>
            </w:r>
          </w:p>
          <w:p w14:paraId="64AE8601">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提供窗口防呆功能，防止窗口完全移出桌面范围内；</w:t>
            </w:r>
          </w:p>
          <w:p w14:paraId="6D829A90">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提供窗口切换功能，通过快捷键可在打开的窗口中按一定顺序进行快速切换；</w:t>
            </w:r>
          </w:p>
          <w:p w14:paraId="2C433CFC">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提供多任务视图功能，可以预览当前工作区内已打开的所有窗口；</w:t>
            </w:r>
          </w:p>
          <w:p w14:paraId="1F510057">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支持一键操作移开桌面所有窗口，显示桌面；</w:t>
            </w:r>
          </w:p>
          <w:p w14:paraId="5074BDF8">
            <w:pPr>
              <w:keepNext w:val="0"/>
              <w:keepLines w:val="0"/>
              <w:pageBreakBefore w:val="0"/>
              <w:widowControl w:val="0"/>
              <w:numPr>
                <w:ilvl w:val="0"/>
                <w:numId w:val="3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提供多窗口分屏功能，支持屏幕分割显示各窗口，支持同时调整窗口尺寸</w:t>
            </w:r>
            <w:r>
              <w:rPr>
                <w:rFonts w:hint="eastAsia" w:ascii="宋体" w:hAnsi="宋体" w:eastAsia="宋体" w:cs="宋体"/>
                <w:sz w:val="21"/>
                <w:szCs w:val="21"/>
                <w:highlight w:val="none"/>
                <w:lang w:eastAsia="zh-CN"/>
              </w:rPr>
              <w:t>。</w:t>
            </w:r>
          </w:p>
          <w:p w14:paraId="2FD883B1">
            <w:pPr>
              <w:keepNext w:val="0"/>
              <w:keepLines w:val="0"/>
              <w:pageBreakBefore w:val="0"/>
              <w:widowControl w:val="0"/>
              <w:numPr>
                <w:ilvl w:val="0"/>
                <w:numId w:val="2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图形特效</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窗口显示支持模糊透明特效，当支持透明效果的窗口与其他窗口重叠时，前置窗口颜色能随背景窗口颜色的融合发生变化；提供窗口外观装饰效果设置，如边框、阴影、模糊、透明度、圆角等，且透明度可调节</w:t>
            </w:r>
            <w:r>
              <w:rPr>
                <w:rFonts w:hint="eastAsia" w:ascii="宋体" w:hAnsi="宋体" w:eastAsia="宋体" w:cs="宋体"/>
                <w:sz w:val="21"/>
                <w:szCs w:val="21"/>
                <w:highlight w:val="none"/>
                <w:lang w:eastAsia="zh-CN"/>
              </w:rPr>
              <w:t>。</w:t>
            </w:r>
          </w:p>
          <w:p w14:paraId="6D4E4618">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常用软件支持</w:t>
            </w:r>
          </w:p>
          <w:p w14:paraId="0238EEAE">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应用软件安全要求</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操作系统预装应用软件应进行签名认证，确保应用软件的安全性、稳定性、可靠性</w:t>
            </w:r>
            <w:r>
              <w:rPr>
                <w:rFonts w:hint="eastAsia" w:ascii="宋体" w:hAnsi="宋体" w:eastAsia="宋体" w:cs="宋体"/>
                <w:sz w:val="21"/>
                <w:szCs w:val="21"/>
                <w:highlight w:val="none"/>
                <w:lang w:eastAsia="zh-CN"/>
              </w:rPr>
              <w:t>。</w:t>
            </w:r>
          </w:p>
          <w:p w14:paraId="7C529545">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压缩工具</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操作系统提供压缩解压缩工具，支持zip、7z、tar、tar.7z、tar.bz2、tar.gz等压缩格式新建、打开、解压操作，以及对压缩文件中所含文件进行添加、删除、重命名等操作；支持解压 rar 格式文件；支持对压缩包进行加解密</w:t>
            </w:r>
            <w:r>
              <w:rPr>
                <w:rFonts w:hint="eastAsia" w:ascii="宋体" w:hAnsi="宋体" w:eastAsia="宋体" w:cs="宋体"/>
                <w:sz w:val="21"/>
                <w:szCs w:val="21"/>
                <w:highlight w:val="none"/>
                <w:lang w:eastAsia="zh-CN"/>
              </w:rPr>
              <w:t>。</w:t>
            </w:r>
          </w:p>
          <w:p w14:paraId="6A4E0BD9">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音频播放工具</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操作系统提供音频播放工具，支持 MP3、OGG、WAV 等音频格式文件；支持播放本地音频文件；支持本地音乐文件搜索功能；支持播放控制，可设置播放模式</w:t>
            </w:r>
            <w:r>
              <w:rPr>
                <w:rFonts w:hint="eastAsia" w:ascii="宋体" w:hAnsi="宋体" w:eastAsia="宋体" w:cs="宋体"/>
                <w:sz w:val="21"/>
                <w:szCs w:val="21"/>
                <w:highlight w:val="none"/>
                <w:lang w:eastAsia="zh-CN"/>
              </w:rPr>
              <w:t>。</w:t>
            </w:r>
          </w:p>
          <w:p w14:paraId="15C3CBB3">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音频录制工具</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操作系统提供音频录制工具，支持系统播放和传声器输入的音频录制为文件；支持录制音频过程中的录制、暂停、续录和停止等操作</w:t>
            </w:r>
            <w:r>
              <w:rPr>
                <w:rFonts w:hint="eastAsia" w:ascii="宋体" w:hAnsi="宋体" w:eastAsia="宋体" w:cs="宋体"/>
                <w:sz w:val="21"/>
                <w:szCs w:val="21"/>
                <w:highlight w:val="none"/>
                <w:lang w:eastAsia="zh-CN"/>
              </w:rPr>
              <w:t>。</w:t>
            </w:r>
          </w:p>
          <w:p w14:paraId="068DE4E8">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视频播放工具</w:t>
            </w:r>
          </w:p>
          <w:p w14:paraId="12B9DEDE">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操作系统提供视频播放工具，支持 MKV、OGG 等封装格式的视频文件；</w:t>
            </w:r>
          </w:p>
          <w:p w14:paraId="76009B5B">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支持播放本地视频文件；</w:t>
            </w:r>
          </w:p>
          <w:p w14:paraId="2A09FC13">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支持自动加载本地字幕；</w:t>
            </w:r>
          </w:p>
          <w:p w14:paraId="4D7D9A0A">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支持播放控制功能；</w:t>
            </w:r>
          </w:p>
          <w:p w14:paraId="7FA639D4">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提供软件解码与硬件编解码切换选项，如硬件支持编解码，应优先使用</w:t>
            </w:r>
            <w:r>
              <w:rPr>
                <w:rFonts w:hint="eastAsia" w:ascii="宋体" w:hAnsi="宋体" w:eastAsia="宋体" w:cs="宋体"/>
                <w:sz w:val="21"/>
                <w:szCs w:val="21"/>
                <w:highlight w:val="none"/>
                <w:lang w:eastAsia="zh-CN"/>
              </w:rPr>
              <w:t>。</w:t>
            </w:r>
          </w:p>
          <w:p w14:paraId="1BD5EC78">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视频录制工具</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操作系统提供视频录制工具，支持通过摄像头等设备拍摄图片和录制音视频文件；拍摄照片时，支持设置构图网格、快门音效、多张连拍、延时拍摄、镜像拍摄和图像分辨率；录制音视频时，支持延时录制</w:t>
            </w:r>
            <w:r>
              <w:rPr>
                <w:rFonts w:hint="eastAsia" w:ascii="宋体" w:hAnsi="宋体" w:eastAsia="宋体" w:cs="宋体"/>
                <w:sz w:val="21"/>
                <w:szCs w:val="21"/>
                <w:highlight w:val="none"/>
                <w:lang w:eastAsia="zh-CN"/>
              </w:rPr>
              <w:t>。</w:t>
            </w:r>
          </w:p>
          <w:p w14:paraId="0B8E34CC">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光盘刻录管理工具</w:t>
            </w:r>
            <w:r>
              <w:rPr>
                <w:rFonts w:hint="eastAsia" w:ascii="宋体" w:hAnsi="宋体" w:eastAsia="宋体" w:cs="宋体"/>
                <w:sz w:val="21"/>
                <w:szCs w:val="21"/>
                <w:highlight w:val="none"/>
              </w:rPr>
              <w:tab/>
            </w:r>
          </w:p>
          <w:p w14:paraId="3A85793B">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操作系统提供光盘刻录管理工具，支持CD-R、CD-RW、DVD-R、DVD-RW、DVD+R、DVD+RW 格式的光盘；</w:t>
            </w:r>
          </w:p>
          <w:p w14:paraId="5F17FC66">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支持将光盘复制为镜像文件保存到另一张光盘；</w:t>
            </w:r>
          </w:p>
          <w:p w14:paraId="70158367">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支持将光盘镜像文件刻录到光盘；</w:t>
            </w:r>
          </w:p>
          <w:p w14:paraId="213E811B">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 ISO9660、UDF 格式光盘挂载、读取；</w:t>
            </w:r>
          </w:p>
          <w:p w14:paraId="2CB7E4DF">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 ISO9660 格式光盘追加刻录；</w:t>
            </w:r>
          </w:p>
          <w:p w14:paraId="3FCB4723">
            <w:pPr>
              <w:keepNext w:val="0"/>
              <w:keepLines w:val="0"/>
              <w:pageBreakBefore w:val="0"/>
              <w:widowControl w:val="0"/>
              <w:numPr>
                <w:ilvl w:val="0"/>
                <w:numId w:val="35"/>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支持检查光盘数据完整性</w:t>
            </w:r>
            <w:r>
              <w:rPr>
                <w:rFonts w:hint="eastAsia" w:ascii="宋体" w:hAnsi="宋体" w:eastAsia="宋体" w:cs="宋体"/>
                <w:sz w:val="21"/>
                <w:szCs w:val="21"/>
                <w:highlight w:val="none"/>
                <w:lang w:eastAsia="zh-CN"/>
              </w:rPr>
              <w:t>。</w:t>
            </w:r>
          </w:p>
          <w:p w14:paraId="6694FEFD">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截图录屏</w:t>
            </w:r>
            <w:r>
              <w:rPr>
                <w:rFonts w:hint="eastAsia" w:ascii="宋体" w:hAnsi="宋体" w:eastAsia="宋体" w:cs="宋体"/>
                <w:sz w:val="21"/>
                <w:szCs w:val="21"/>
                <w:highlight w:val="none"/>
              </w:rPr>
              <w:tab/>
            </w:r>
          </w:p>
          <w:p w14:paraId="083AFD23">
            <w:pPr>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操作系统提供截图录屏工具，支持系统截图和录屏；</w:t>
            </w:r>
          </w:p>
          <w:p w14:paraId="709C4A86">
            <w:pPr>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支持延时捕捉屏幕图像设置；</w:t>
            </w:r>
          </w:p>
          <w:p w14:paraId="172CAB63">
            <w:pPr>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支持录制光标移动、鼠标点击、键盘操作痕迹、系统音频、传声器输入、摄像头画中画内容；</w:t>
            </w:r>
          </w:p>
          <w:p w14:paraId="510C6A91">
            <w:pPr>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支持多种截图区域，包括全屏、程序窗口和自选区域；</w:t>
            </w:r>
          </w:p>
          <w:p w14:paraId="2D2B6F6A">
            <w:pPr>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支持多种保存选项，包括保存到系统默认文件夹、桌面、指定存储路径、剪贴板；</w:t>
            </w:r>
          </w:p>
          <w:p w14:paraId="26A0A5FC">
            <w:pPr>
              <w:keepNext w:val="0"/>
              <w:keepLines w:val="0"/>
              <w:pageBreakBefore w:val="0"/>
              <w:widowControl w:val="0"/>
              <w:numPr>
                <w:ilvl w:val="0"/>
                <w:numId w:val="36"/>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系统截图支持保存为 PNG、JPG、BMP 等格式，录屏支持保存为 GIF、MP4、MKV等格式</w:t>
            </w:r>
            <w:r>
              <w:rPr>
                <w:rFonts w:hint="eastAsia" w:ascii="宋体" w:hAnsi="宋体" w:eastAsia="宋体" w:cs="宋体"/>
                <w:sz w:val="21"/>
                <w:szCs w:val="21"/>
                <w:highlight w:val="none"/>
                <w:lang w:eastAsia="zh-CN"/>
              </w:rPr>
              <w:t>。</w:t>
            </w:r>
          </w:p>
          <w:p w14:paraId="1311B873">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图像查看工具</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操作系统提供图像查看工具，支持查看图像文件，支持 PNG、JPEG、TIFF、GIF、BMP 等图像格式；支持显示图像文件的基本信息，包括文件大小、图像格式、宽度和高度等；</w:t>
            </w:r>
            <w:r>
              <w:rPr>
                <w:rFonts w:hint="eastAsia" w:ascii="宋体" w:hAnsi="宋体" w:eastAsia="宋体" w:cs="宋体"/>
                <w:sz w:val="21"/>
                <w:szCs w:val="21"/>
                <w:highlight w:val="none"/>
                <w:lang w:eastAsia="zh-CN"/>
              </w:rPr>
              <w:t>支</w:t>
            </w:r>
            <w:r>
              <w:rPr>
                <w:rFonts w:hint="eastAsia" w:ascii="宋体" w:hAnsi="宋体" w:eastAsia="宋体" w:cs="宋体"/>
                <w:sz w:val="21"/>
                <w:szCs w:val="21"/>
                <w:highlight w:val="none"/>
              </w:rPr>
              <w:t>持对图像文件的操作，包括放大、缩小、旋转、打印等</w:t>
            </w:r>
            <w:r>
              <w:rPr>
                <w:rFonts w:hint="eastAsia" w:ascii="宋体" w:hAnsi="宋体" w:eastAsia="宋体" w:cs="宋体"/>
                <w:sz w:val="21"/>
                <w:szCs w:val="21"/>
                <w:highlight w:val="none"/>
                <w:lang w:eastAsia="zh-CN"/>
              </w:rPr>
              <w:t>。</w:t>
            </w:r>
          </w:p>
          <w:p w14:paraId="0D24A9F8">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文件扫描工具</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操作系统提供文件扫描工具，支持扫描文件类型设置，包括 PNG、JPEG、TIFF、BMP、PDF 等；支持扫描颜色设置，包括彩色、灰度；支持扫描分辨率、幅面设置</w:t>
            </w:r>
            <w:r>
              <w:rPr>
                <w:rFonts w:hint="eastAsia" w:ascii="宋体" w:hAnsi="宋体" w:eastAsia="宋体" w:cs="宋体"/>
                <w:sz w:val="21"/>
                <w:szCs w:val="21"/>
                <w:highlight w:val="none"/>
                <w:lang w:eastAsia="zh-CN"/>
              </w:rPr>
              <w:t>。</w:t>
            </w:r>
          </w:p>
          <w:p w14:paraId="2FA15B8B">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浏览器</w:t>
            </w:r>
            <w:r>
              <w:rPr>
                <w:rFonts w:hint="eastAsia" w:ascii="宋体" w:hAnsi="宋体" w:eastAsia="宋体" w:cs="宋体"/>
                <w:sz w:val="21"/>
                <w:szCs w:val="21"/>
                <w:highlight w:val="none"/>
              </w:rPr>
              <w:tab/>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操作系统提供浏览器，支持 HTML4、HTML5、ECMAScript、CSS 等标准；支持符合国家密码管理要求的商用密码算法；支持国家电子认证根 CA 签发的符合相关要求的 CA 机构证书；支持符合 GB/T 38636—2020 的 TLCP</w:t>
            </w:r>
            <w:r>
              <w:rPr>
                <w:rFonts w:hint="eastAsia" w:ascii="宋体" w:hAnsi="宋体" w:eastAsia="宋体" w:cs="宋体"/>
                <w:sz w:val="21"/>
                <w:szCs w:val="21"/>
                <w:highlight w:val="none"/>
                <w:lang w:eastAsia="zh-CN"/>
              </w:rPr>
              <w:t>。</w:t>
            </w:r>
          </w:p>
          <w:p w14:paraId="1DA9438A">
            <w:pPr>
              <w:keepNext w:val="0"/>
              <w:keepLines w:val="0"/>
              <w:pageBreakBefore w:val="0"/>
              <w:widowControl w:val="0"/>
              <w:numPr>
                <w:ilvl w:val="0"/>
                <w:numId w:val="3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文件共享</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操作系统提供文件共享工具，支持按用户身份进行读写权限设置</w:t>
            </w:r>
          </w:p>
          <w:p w14:paraId="3D46DA0B">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开发环境</w:t>
            </w:r>
          </w:p>
          <w:p w14:paraId="13E209BF">
            <w:pPr>
              <w:keepNext w:val="0"/>
              <w:keepLines w:val="0"/>
              <w:pageBreakBefore w:val="0"/>
              <w:widowControl w:val="0"/>
              <w:numPr>
                <w:ilvl w:val="0"/>
                <w:numId w:val="3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开发环境</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操作系统通过内置、软件仓库或附加光盘等方式提供如 Qt、Eclipse、VSCode等集成开发环境</w:t>
            </w:r>
            <w:r>
              <w:rPr>
                <w:rFonts w:hint="eastAsia" w:ascii="宋体" w:hAnsi="宋体" w:eastAsia="宋体" w:cs="宋体"/>
                <w:sz w:val="21"/>
                <w:szCs w:val="21"/>
                <w:highlight w:val="none"/>
                <w:lang w:eastAsia="zh-CN"/>
              </w:rPr>
              <w:t>。</w:t>
            </w:r>
          </w:p>
          <w:p w14:paraId="712B5520">
            <w:pPr>
              <w:keepNext w:val="0"/>
              <w:keepLines w:val="0"/>
              <w:pageBreakBefore w:val="0"/>
              <w:widowControl w:val="0"/>
              <w:numPr>
                <w:ilvl w:val="0"/>
                <w:numId w:val="3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开发库</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操作系统通过内置、软件仓库或附加光盘等方式提供如 GNU C、GNU C++、Java、Qt 、Gtk+、Cairo、OpenGL、Perl、Python、Ruby、Rust、Golang、JS 等开发库</w:t>
            </w:r>
            <w:r>
              <w:rPr>
                <w:rFonts w:hint="eastAsia" w:ascii="宋体" w:hAnsi="宋体" w:eastAsia="宋体" w:cs="宋体"/>
                <w:sz w:val="21"/>
                <w:szCs w:val="21"/>
                <w:highlight w:val="none"/>
                <w:lang w:eastAsia="zh-CN"/>
              </w:rPr>
              <w:t>。</w:t>
            </w:r>
          </w:p>
          <w:p w14:paraId="120E871C">
            <w:pPr>
              <w:keepNext w:val="0"/>
              <w:keepLines w:val="0"/>
              <w:pageBreakBefore w:val="0"/>
              <w:widowControl w:val="0"/>
              <w:numPr>
                <w:ilvl w:val="0"/>
                <w:numId w:val="3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编译开发工具</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操作系统通过内置、软件仓库或附加光盘等方式提供如 GCC、G++、Binutils、GDB、Make、CMake 等语言编译器</w:t>
            </w:r>
            <w:r>
              <w:rPr>
                <w:rFonts w:hint="eastAsia" w:ascii="宋体" w:hAnsi="宋体" w:eastAsia="宋体" w:cs="宋体"/>
                <w:sz w:val="21"/>
                <w:szCs w:val="21"/>
                <w:highlight w:val="none"/>
                <w:lang w:eastAsia="zh-CN"/>
              </w:rPr>
              <w:t>。</w:t>
            </w:r>
          </w:p>
          <w:p w14:paraId="1C478712">
            <w:pPr>
              <w:keepNext w:val="0"/>
              <w:keepLines w:val="0"/>
              <w:pageBreakBefore w:val="0"/>
              <w:widowControl w:val="0"/>
              <w:numPr>
                <w:ilvl w:val="0"/>
                <w:numId w:val="3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文本编辑工具</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操作系统通过内置、软件仓库或附加光盘等方式提供如 Emacs、Vim 等。</w:t>
            </w:r>
          </w:p>
          <w:p w14:paraId="18908E8D">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开发支持</w:t>
            </w:r>
          </w:p>
          <w:p w14:paraId="1A829A1C">
            <w:pPr>
              <w:keepNext w:val="0"/>
              <w:keepLines w:val="0"/>
              <w:pageBreakBefore w:val="0"/>
              <w:widowControl w:val="0"/>
              <w:numPr>
                <w:ilvl w:val="0"/>
                <w:numId w:val="38"/>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开发文档</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操作系统应内置或通过官方网站、社区等提供中文开发文档，包括：软件开发参考文档</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驱动开发参考文档</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应用移植开发文档</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API 文档</w:t>
            </w:r>
            <w:r>
              <w:rPr>
                <w:rFonts w:hint="eastAsia" w:ascii="宋体" w:hAnsi="宋体" w:eastAsia="宋体" w:cs="宋体"/>
                <w:sz w:val="21"/>
                <w:szCs w:val="21"/>
                <w:highlight w:val="none"/>
                <w:lang w:eastAsia="zh-CN"/>
              </w:rPr>
              <w:t>。</w:t>
            </w:r>
          </w:p>
          <w:p w14:paraId="1CFFAA41">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运行环境兼容</w:t>
            </w:r>
          </w:p>
          <w:p w14:paraId="03A9EADA">
            <w:pPr>
              <w:keepNext w:val="0"/>
              <w:keepLines w:val="0"/>
              <w:pageBreakBefore w:val="0"/>
              <w:widowControl w:val="0"/>
              <w:numPr>
                <w:ilvl w:val="0"/>
                <w:numId w:val="39"/>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版本兼容</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操作系统基础运行库或开发环境向后（向下）兼容，即系统版本升级后，能兼容上一版本所运行的软件与设备；系统主版本兼容维护时间自发布之日起不低于 5 年，包括但不限于安全修复、功能升级、新硬件支持等；支持以增量升级包的方式实现版本更新</w:t>
            </w:r>
            <w:r>
              <w:rPr>
                <w:rFonts w:hint="eastAsia" w:ascii="宋体" w:hAnsi="宋体" w:eastAsia="宋体" w:cs="宋体"/>
                <w:sz w:val="21"/>
                <w:szCs w:val="21"/>
                <w:highlight w:val="none"/>
                <w:lang w:eastAsia="zh-CN"/>
              </w:rPr>
              <w:t>。</w:t>
            </w:r>
          </w:p>
          <w:p w14:paraId="7FCAE86B">
            <w:pPr>
              <w:keepNext w:val="0"/>
              <w:keepLines w:val="0"/>
              <w:pageBreakBefore w:val="0"/>
              <w:widowControl w:val="0"/>
              <w:numPr>
                <w:ilvl w:val="0"/>
                <w:numId w:val="39"/>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文件系统层次结构</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供应商应给出长期兼容支持的文件系统层次结构</w:t>
            </w:r>
          </w:p>
          <w:p w14:paraId="3EEE5254">
            <w:pPr>
              <w:keepNext w:val="0"/>
              <w:keepLines w:val="0"/>
              <w:pageBreakBefore w:val="0"/>
              <w:widowControl w:val="0"/>
              <w:numPr>
                <w:ilvl w:val="0"/>
                <w:numId w:val="39"/>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运行库</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供应商应给出长期兼容支持的运行库</w:t>
            </w:r>
          </w:p>
          <w:p w14:paraId="07E12095">
            <w:pPr>
              <w:keepNext w:val="0"/>
              <w:keepLines w:val="0"/>
              <w:pageBreakBefore w:val="0"/>
              <w:widowControl w:val="0"/>
              <w:numPr>
                <w:ilvl w:val="0"/>
                <w:numId w:val="39"/>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命令</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供应商应给出长期兼容支持的常用命令</w:t>
            </w:r>
          </w:p>
          <w:p w14:paraId="13FA92D9">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软件包</w:t>
            </w:r>
          </w:p>
          <w:p w14:paraId="38441FC6">
            <w:pPr>
              <w:keepNext w:val="0"/>
              <w:keepLines w:val="0"/>
              <w:pageBreakBefore w:val="0"/>
              <w:widowControl w:val="0"/>
              <w:numPr>
                <w:ilvl w:val="0"/>
                <w:numId w:val="4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软件包管理</w:t>
            </w:r>
          </w:p>
          <w:p w14:paraId="0D06EBFC">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操作系统支持图形化方式下载、安装和卸载软件包；</w:t>
            </w:r>
          </w:p>
          <w:p w14:paraId="1537D932">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显示已安装软件包的描述和包含的文件；</w:t>
            </w:r>
          </w:p>
          <w:p w14:paraId="0528F853">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支持安装时优先自动进行缺失依赖软件包的下载和安装；</w:t>
            </w:r>
          </w:p>
          <w:p w14:paraId="008D4E38">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自动检测本地安装包，当发现安装包未经签名认证时自动告警；</w:t>
            </w:r>
          </w:p>
          <w:p w14:paraId="3FD0196B">
            <w:pPr>
              <w:keepNext w:val="0"/>
              <w:keepLines w:val="0"/>
              <w:pageBreakBefore w:val="0"/>
              <w:widowControl w:val="0"/>
              <w:numPr>
                <w:ilvl w:val="0"/>
                <w:numId w:val="41"/>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在连接软件仓库/应用商店时（含局域网、广域网）能自动搜索并下载依赖的软件包</w:t>
            </w:r>
            <w:r>
              <w:rPr>
                <w:rFonts w:hint="eastAsia" w:ascii="宋体" w:hAnsi="宋体" w:eastAsia="宋体" w:cs="宋体"/>
                <w:sz w:val="21"/>
                <w:szCs w:val="21"/>
                <w:highlight w:val="none"/>
                <w:lang w:eastAsia="zh-CN"/>
              </w:rPr>
              <w:t>。</w:t>
            </w:r>
          </w:p>
          <w:p w14:paraId="18C0931B">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硬件兼容（整机）</w:t>
            </w:r>
          </w:p>
          <w:p w14:paraId="3D64EF1C">
            <w:pPr>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微型计算机兼容清单</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供应商提供兼容的台式微型计算机品牌及型号清单，且至少兼容一款产品</w:t>
            </w:r>
          </w:p>
          <w:p w14:paraId="7C2E01F2">
            <w:pPr>
              <w:keepNext w:val="0"/>
              <w:keepLines w:val="0"/>
              <w:pageBreakBefore w:val="0"/>
              <w:widowControl w:val="0"/>
              <w:numPr>
                <w:ilvl w:val="0"/>
                <w:numId w:val="4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便携式微型计算机兼容清单</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供应商提供兼容的便携式微型计算机品牌及型号清单，且至少兼容一款产品</w:t>
            </w:r>
          </w:p>
          <w:p w14:paraId="0405221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硬件兼容（部件）</w:t>
            </w:r>
          </w:p>
          <w:p w14:paraId="797A2448">
            <w:pPr>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固件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供应商提供兼容的固件品牌及型号清单，且至少兼容一款产品</w:t>
            </w:r>
          </w:p>
          <w:p w14:paraId="220CD975">
            <w:pPr>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显卡</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供应商提供兼容的显卡品牌及型号清单，且至少兼容一款产品</w:t>
            </w:r>
          </w:p>
          <w:p w14:paraId="18103DB1">
            <w:pPr>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网卡</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供应商提供兼容的有线、无线网卡品牌及型号清单，且至少兼容一款产品</w:t>
            </w:r>
          </w:p>
          <w:p w14:paraId="0107AAC0">
            <w:pPr>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蓝牙</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供应商提供兼容的蓝牙设备品牌及型号清单，且至少兼容一款产品</w:t>
            </w:r>
          </w:p>
          <w:p w14:paraId="41626915">
            <w:pPr>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显示设备</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供应商提供兼容的显示设备品牌及型号清单，且至少兼容一款产品</w:t>
            </w:r>
          </w:p>
          <w:p w14:paraId="4AE74DD1">
            <w:pPr>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生物特征</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供应商提供兼容的生物识别设备（指纹、人脸）品牌及型号清单，且至少兼容一款产品</w:t>
            </w:r>
          </w:p>
          <w:p w14:paraId="66D80464">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硬件兼容（外设）</w:t>
            </w:r>
          </w:p>
          <w:p w14:paraId="1E853F69">
            <w:pPr>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打印机</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供应商提供兼容的打印机品牌及型号清单，且至少兼容一款产品</w:t>
            </w:r>
          </w:p>
          <w:p w14:paraId="14EEEC35">
            <w:pPr>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扫描仪</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供应商提供兼容的扫描仪品牌及型号清单，且至少兼容一款产品</w:t>
            </w:r>
          </w:p>
          <w:p w14:paraId="47C43876">
            <w:pPr>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摄录设备</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供应商提供兼容的摄录设备品牌及型号清单，且至少兼容一款产品</w:t>
            </w:r>
          </w:p>
          <w:p w14:paraId="04B02E4F">
            <w:pPr>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存储设备</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 USB2.0，3.0，3.1 的 U盘和移动硬盘品牌及型号清单，且至少兼容一款产品</w:t>
            </w:r>
          </w:p>
          <w:p w14:paraId="7B69C8A5">
            <w:pPr>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主流蓝牙设备</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供应商提供兼容的蓝牙鼠标、键盘、音响等品牌及型号清单，且至少兼容一款产品</w:t>
            </w:r>
          </w:p>
          <w:p w14:paraId="04BBB3D9">
            <w:pPr>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主流 USB 外设</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 USB 设备，如 USB 鼠标、键盘、音响、网卡等品牌及型号清单，且至少兼容一款产品</w:t>
            </w:r>
          </w:p>
          <w:p w14:paraId="4C82C5EC">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软件兼容（日常办公）</w:t>
            </w:r>
          </w:p>
          <w:p w14:paraId="23409D7A">
            <w:pPr>
              <w:keepNext w:val="0"/>
              <w:keepLines w:val="0"/>
              <w:pageBreakBefore w:val="0"/>
              <w:widowControl w:val="0"/>
              <w:numPr>
                <w:ilvl w:val="0"/>
                <w:numId w:val="4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办公软件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供应商提供兼容的办公软件品牌及版本清单，且至少兼容一款产品</w:t>
            </w:r>
          </w:p>
          <w:p w14:paraId="6142DE4B">
            <w:pPr>
              <w:keepNext w:val="0"/>
              <w:keepLines w:val="0"/>
              <w:pageBreakBefore w:val="0"/>
              <w:widowControl w:val="0"/>
              <w:numPr>
                <w:ilvl w:val="0"/>
                <w:numId w:val="4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版式软件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供应商提供兼容的版式软件品牌及版本清单，且至少兼容一款产品</w:t>
            </w:r>
          </w:p>
          <w:p w14:paraId="76FAFEC7">
            <w:pPr>
              <w:keepNext w:val="0"/>
              <w:keepLines w:val="0"/>
              <w:pageBreakBefore w:val="0"/>
              <w:widowControl w:val="0"/>
              <w:numPr>
                <w:ilvl w:val="0"/>
                <w:numId w:val="4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签名软件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供应商提供兼容的电子签名、电子签章、云签章、key 签署等签名软件的品牌及版本清单，且至少兼容一款产品</w:t>
            </w:r>
          </w:p>
          <w:p w14:paraId="265AEA90">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软件兼容（安全防护）</w:t>
            </w:r>
          </w:p>
          <w:p w14:paraId="6420F393">
            <w:pPr>
              <w:keepNext w:val="0"/>
              <w:keepLines w:val="0"/>
              <w:pageBreakBefore w:val="0"/>
              <w:widowControl w:val="0"/>
              <w:numPr>
                <w:ilvl w:val="0"/>
                <w:numId w:val="4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杀毒软件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供应商提供兼容的杀毒软件的品牌及版本清单，且至少兼容一款产品</w:t>
            </w:r>
          </w:p>
          <w:p w14:paraId="66279EBA">
            <w:pPr>
              <w:keepNext w:val="0"/>
              <w:keepLines w:val="0"/>
              <w:pageBreakBefore w:val="0"/>
              <w:widowControl w:val="0"/>
              <w:numPr>
                <w:ilvl w:val="0"/>
                <w:numId w:val="4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身份鉴别系统</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供应商提供兼容的通过指纹、人脸识别、Ukey 等方式对使用者身份进行验证的系统品牌及版本清单，且至少兼容一款产品</w:t>
            </w:r>
          </w:p>
          <w:p w14:paraId="12CF12B2">
            <w:pPr>
              <w:keepNext w:val="0"/>
              <w:keepLines w:val="0"/>
              <w:pageBreakBefore w:val="0"/>
              <w:widowControl w:val="0"/>
              <w:numPr>
                <w:ilvl w:val="0"/>
                <w:numId w:val="4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日志管理</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供应商提供兼容的日志管理软件品牌及版本清单，且至少兼容一款产品</w:t>
            </w:r>
          </w:p>
          <w:p w14:paraId="70E66F20">
            <w:pPr>
              <w:keepNext w:val="0"/>
              <w:keepLines w:val="0"/>
              <w:pageBreakBefore w:val="0"/>
              <w:widowControl w:val="0"/>
              <w:numPr>
                <w:ilvl w:val="0"/>
                <w:numId w:val="4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防火墙</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供应商提供兼容的网络防护、安全管理等软件的品牌及版本清单，且至少兼容一款产品</w:t>
            </w:r>
          </w:p>
          <w:p w14:paraId="4FF8EDE6">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软件兼容（网络应用）</w:t>
            </w:r>
          </w:p>
          <w:p w14:paraId="12571F15">
            <w:pPr>
              <w:keepNext w:val="0"/>
              <w:keepLines w:val="0"/>
              <w:pageBreakBefore w:val="0"/>
              <w:widowControl w:val="0"/>
              <w:numPr>
                <w:ilvl w:val="0"/>
                <w:numId w:val="4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网络会议</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供应商提供兼容的网络会议软件的品牌及版本清单，且至少兼容一款产品</w:t>
            </w:r>
          </w:p>
          <w:p w14:paraId="1092D062">
            <w:pPr>
              <w:keepNext w:val="0"/>
              <w:keepLines w:val="0"/>
              <w:pageBreakBefore w:val="0"/>
              <w:widowControl w:val="0"/>
              <w:numPr>
                <w:ilvl w:val="0"/>
                <w:numId w:val="4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浏览器</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供应商提供兼容的浏览器的品牌及版本清单，且至少兼容一款产品</w:t>
            </w:r>
          </w:p>
          <w:p w14:paraId="525A0B64">
            <w:pPr>
              <w:keepNext w:val="0"/>
              <w:keepLines w:val="0"/>
              <w:pageBreakBefore w:val="0"/>
              <w:widowControl w:val="0"/>
              <w:numPr>
                <w:ilvl w:val="0"/>
                <w:numId w:val="4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新闻信息</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供应商提供兼容的新闻信息类软件的品牌及版本清单，且至少兼容一款产品</w:t>
            </w:r>
          </w:p>
          <w:p w14:paraId="4AA5B2B2">
            <w:pPr>
              <w:keepNext w:val="0"/>
              <w:keepLines w:val="0"/>
              <w:pageBreakBefore w:val="0"/>
              <w:widowControl w:val="0"/>
              <w:numPr>
                <w:ilvl w:val="0"/>
                <w:numId w:val="4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社交软件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供应商提供兼容的社交软件的品牌及版本清单，且至少兼容一款产品</w:t>
            </w:r>
          </w:p>
          <w:p w14:paraId="638EE798">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软件兼容（多媒体）</w:t>
            </w:r>
          </w:p>
          <w:p w14:paraId="6669D1D4">
            <w:pPr>
              <w:keepNext w:val="0"/>
              <w:keepLines w:val="0"/>
              <w:pageBreakBefore w:val="0"/>
              <w:widowControl w:val="0"/>
              <w:numPr>
                <w:ilvl w:val="0"/>
                <w:numId w:val="48"/>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图形图像</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供应商提供兼容的图像查看、图像编辑的品牌及版本清单，且至少兼容一款产品</w:t>
            </w:r>
          </w:p>
          <w:p w14:paraId="7ADFA30C">
            <w:pPr>
              <w:keepNext w:val="0"/>
              <w:keepLines w:val="0"/>
              <w:pageBreakBefore w:val="0"/>
              <w:widowControl w:val="0"/>
              <w:numPr>
                <w:ilvl w:val="0"/>
                <w:numId w:val="48"/>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媒体播放</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供应商提供兼容的媒体播放类软件品牌及版本清单，且至少兼容一款产品</w:t>
            </w:r>
          </w:p>
          <w:p w14:paraId="68D79C35">
            <w:pPr>
              <w:keepNext w:val="0"/>
              <w:keepLines w:val="0"/>
              <w:pageBreakBefore w:val="0"/>
              <w:widowControl w:val="0"/>
              <w:numPr>
                <w:ilvl w:val="0"/>
                <w:numId w:val="48"/>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音乐电台</w:t>
            </w:r>
            <w:r>
              <w:rPr>
                <w:rFonts w:hint="eastAsia" w:ascii="宋体" w:hAnsi="宋体" w:eastAsia="宋体" w:cs="宋体"/>
                <w:sz w:val="21"/>
                <w:szCs w:val="21"/>
                <w:highlight w:val="none"/>
              </w:rPr>
              <w:tab/>
            </w:r>
            <w:r>
              <w:rPr>
                <w:rFonts w:hint="eastAsia" w:ascii="宋体" w:hAnsi="宋体" w:eastAsia="宋体" w:cs="宋体"/>
                <w:sz w:val="21"/>
                <w:szCs w:val="21"/>
                <w:highlight w:val="none"/>
              </w:rPr>
              <w:t>供应商提供兼容的多媒体类软件品牌及版本清单，且至少兼容一款产品</w:t>
            </w:r>
          </w:p>
          <w:p w14:paraId="672DDCB1">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便捷使用</w:t>
            </w:r>
          </w:p>
          <w:p w14:paraId="40D48353">
            <w:pPr>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帮助提示</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操作系统提供内置系统和应用中文图文用户手册，包括使用说明、示例、常见故障处理等；对需要补充解释的部分，以合适方式提供中文提示</w:t>
            </w:r>
            <w:r>
              <w:rPr>
                <w:rFonts w:hint="eastAsia" w:ascii="宋体" w:hAnsi="宋体" w:eastAsia="宋体" w:cs="宋体"/>
                <w:sz w:val="21"/>
                <w:szCs w:val="21"/>
                <w:highlight w:val="none"/>
                <w:lang w:eastAsia="zh-CN"/>
              </w:rPr>
              <w:t>。</w:t>
            </w:r>
          </w:p>
          <w:p w14:paraId="5460B7AB">
            <w:pPr>
              <w:keepNext w:val="0"/>
              <w:keepLines w:val="0"/>
              <w:pageBreakBefore w:val="0"/>
              <w:widowControl w:val="0"/>
              <w:numPr>
                <w:ilvl w:val="0"/>
                <w:numId w:val="49"/>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快捷键</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操作系统支持以下快捷键：</w:t>
            </w:r>
          </w:p>
          <w:p w14:paraId="35F0050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&lt;Super&gt; 开始选单</w:t>
            </w:r>
          </w:p>
          <w:p w14:paraId="757D52D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&lt;Alt&gt;+&lt;Tab&gt; 遍历窗口</w:t>
            </w:r>
          </w:p>
          <w:p w14:paraId="6195BF3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&lt;Shift&gt;+&lt;Alt&gt;+&lt;Tab&gt; 反向遍历窗口</w:t>
            </w:r>
          </w:p>
          <w:p w14:paraId="37F0FBF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&lt;Alt&gt;+&lt;F4&gt; 关闭当前窗口</w:t>
            </w:r>
          </w:p>
          <w:p w14:paraId="3A41DFB3">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&lt;Ctrl&gt;+&lt;A&gt; 全选</w:t>
            </w:r>
          </w:p>
          <w:p w14:paraId="6AA1B54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&lt;Ctrl&gt;+&lt;X&gt; 剪切</w:t>
            </w:r>
          </w:p>
          <w:p w14:paraId="4988ABB3">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&lt;Ctrl&gt;+&lt;C&gt; 复制</w:t>
            </w:r>
          </w:p>
          <w:p w14:paraId="6842E1B3">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&lt;Ctrl&gt;+&lt;V&gt; 粘贴</w:t>
            </w:r>
          </w:p>
          <w:p w14:paraId="5B67BB83">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&lt;Ctrl&gt;+&lt;Space&gt; 开启/关闭输入法</w:t>
            </w:r>
          </w:p>
          <w:p w14:paraId="21B8CB3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&lt;Ctrl&gt;+&lt;Shift&gt; 切换输入法</w:t>
            </w:r>
          </w:p>
          <w:p w14:paraId="0BDA7918">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&lt;Super&gt;+&lt;L&gt; 桌面锁定</w:t>
            </w:r>
          </w:p>
          <w:p w14:paraId="0E38168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&lt;Super&gt;+&lt;D&gt; 显示桌面</w:t>
            </w:r>
          </w:p>
          <w:p w14:paraId="478F4AB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&lt;Super&gt;+&lt;E&gt; 打开文件管理器</w:t>
            </w:r>
          </w:p>
          <w:p w14:paraId="2857A92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&lt;Ctrl&gt;+&lt;Alt&gt;+&lt;Delete&gt; 退出界面</w:t>
            </w:r>
          </w:p>
          <w:p w14:paraId="08CBAF3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系统稳定性</w:t>
            </w:r>
          </w:p>
          <w:p w14:paraId="5F3B4659">
            <w:pPr>
              <w:keepNext w:val="0"/>
              <w:keepLines w:val="0"/>
              <w:pageBreakBefore w:val="0"/>
              <w:widowControl w:val="0"/>
              <w:numPr>
                <w:ilvl w:val="0"/>
                <w:numId w:val="5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操作系统连续运行 72 小时</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操作系统在 CPU 占用大于等于 80%，或内存占用大于等于 80%压力情况下，连续运行 72 小时无故障</w:t>
            </w:r>
          </w:p>
          <w:p w14:paraId="00FD89E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检查修复</w:t>
            </w:r>
          </w:p>
          <w:p w14:paraId="21E336EE">
            <w:pPr>
              <w:keepNext w:val="0"/>
              <w:keepLines w:val="0"/>
              <w:pageBreakBefore w:val="0"/>
              <w:widowControl w:val="0"/>
              <w:numPr>
                <w:ilvl w:val="0"/>
                <w:numId w:val="5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系统修复</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操作系统提供文件系统检查与修复功能，能自动修复文件系统错误或以显式方式提示用户进行手动文件系统修复</w:t>
            </w:r>
          </w:p>
          <w:p w14:paraId="4DB4CE09">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备份恢复</w:t>
            </w:r>
          </w:p>
          <w:p w14:paraId="78304652">
            <w:pPr>
              <w:keepNext w:val="0"/>
              <w:keepLines w:val="0"/>
              <w:pageBreakBefore w:val="0"/>
              <w:widowControl w:val="0"/>
              <w:numPr>
                <w:ilvl w:val="0"/>
                <w:numId w:val="5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备份还原</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操作系统提供备份还原功能：支持系统的备份和还原；支持全盘备份到外部存储设备；支持还原到指定备份点；支持保留用户数据的系统还原；持系统无法正常进入状态时，可对系统进行还原</w:t>
            </w:r>
            <w:r>
              <w:rPr>
                <w:rFonts w:hint="eastAsia" w:ascii="宋体" w:hAnsi="宋体" w:eastAsia="宋体" w:cs="宋体"/>
                <w:sz w:val="21"/>
                <w:szCs w:val="21"/>
                <w:highlight w:val="none"/>
                <w:lang w:eastAsia="zh-CN"/>
              </w:rPr>
              <w:t>。</w:t>
            </w:r>
          </w:p>
          <w:p w14:paraId="50307BA0">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系统维护</w:t>
            </w:r>
          </w:p>
          <w:p w14:paraId="52C8AE21">
            <w:pPr>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日志管理</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操作系统提供</w:t>
            </w:r>
            <w:r>
              <w:rPr>
                <w:rFonts w:hint="eastAsia" w:ascii="宋体" w:hAnsi="宋体" w:eastAsia="宋体" w:cs="宋体"/>
                <w:sz w:val="21"/>
                <w:szCs w:val="21"/>
                <w:highlight w:val="none"/>
                <w:lang w:eastAsia="zh-CN"/>
              </w:rPr>
              <w:t>图形化</w:t>
            </w:r>
            <w:r>
              <w:rPr>
                <w:rFonts w:hint="eastAsia" w:ascii="宋体" w:hAnsi="宋体" w:eastAsia="宋体" w:cs="宋体"/>
                <w:sz w:val="21"/>
                <w:szCs w:val="21"/>
                <w:highlight w:val="none"/>
              </w:rPr>
              <w:t>日志管理工具：支持对系统日志信息的显示和刷新；支持对日志文件的查找和导出；支持对特定时间段内的日志进行筛选；支持系统日志定期清除功能</w:t>
            </w:r>
            <w:r>
              <w:rPr>
                <w:rFonts w:hint="eastAsia" w:ascii="宋体" w:hAnsi="宋体" w:eastAsia="宋体" w:cs="宋体"/>
                <w:sz w:val="21"/>
                <w:szCs w:val="21"/>
                <w:highlight w:val="none"/>
                <w:lang w:eastAsia="zh-CN"/>
              </w:rPr>
              <w:t>。</w:t>
            </w:r>
          </w:p>
          <w:p w14:paraId="64BA2E44">
            <w:pPr>
              <w:keepNext w:val="0"/>
              <w:keepLines w:val="0"/>
              <w:pageBreakBefore w:val="0"/>
              <w:widowControl w:val="0"/>
              <w:numPr>
                <w:ilvl w:val="0"/>
                <w:numId w:val="5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系统升级</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操作系统支持系统增量升级功能，对系统部件、安全补丁等升级；支持在线升级和离线升级；升级不得修改破坏用户数据；升级不得影响原有软硬件兼容性；</w:t>
            </w:r>
            <w:r>
              <w:rPr>
                <w:rFonts w:hint="eastAsia" w:ascii="宋体" w:hAnsi="宋体" w:eastAsia="宋体" w:cs="宋体"/>
                <w:sz w:val="21"/>
                <w:szCs w:val="21"/>
                <w:highlight w:val="none"/>
                <w:lang w:eastAsia="zh-CN"/>
              </w:rPr>
              <w:t>提</w:t>
            </w:r>
            <w:r>
              <w:rPr>
                <w:rFonts w:hint="eastAsia" w:ascii="宋体" w:hAnsi="宋体" w:eastAsia="宋体" w:cs="宋体"/>
                <w:sz w:val="21"/>
                <w:szCs w:val="21"/>
                <w:highlight w:val="none"/>
              </w:rPr>
              <w:t>供升级回退机制，能卸载已升级的软件包，恢复系统原有状态；如升级为不可回退，则系统升级前以显式的提示告知用户</w:t>
            </w:r>
            <w:r>
              <w:rPr>
                <w:rFonts w:hint="eastAsia" w:ascii="宋体" w:hAnsi="宋体" w:eastAsia="宋体" w:cs="宋体"/>
                <w:sz w:val="21"/>
                <w:szCs w:val="21"/>
                <w:highlight w:val="none"/>
                <w:lang w:eastAsia="zh-CN"/>
              </w:rPr>
              <w:t>。</w:t>
            </w:r>
          </w:p>
          <w:p w14:paraId="5C6A91F1">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交付方式</w:t>
            </w:r>
          </w:p>
          <w:p w14:paraId="6A4CF73A">
            <w:pPr>
              <w:keepNext w:val="0"/>
              <w:keepLines w:val="0"/>
              <w:pageBreakBefore w:val="0"/>
              <w:widowControl w:val="0"/>
              <w:numPr>
                <w:ilvl w:val="0"/>
                <w:numId w:val="5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交付方式</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操作系统支持光盘、USB 闪存盘、镜像文件（下载）等交付方式</w:t>
            </w:r>
            <w:r>
              <w:rPr>
                <w:rFonts w:hint="eastAsia" w:ascii="宋体" w:hAnsi="宋体" w:eastAsia="宋体" w:cs="宋体"/>
                <w:sz w:val="21"/>
                <w:szCs w:val="21"/>
                <w:highlight w:val="none"/>
                <w:lang w:eastAsia="zh-CN"/>
              </w:rPr>
              <w:t>。</w:t>
            </w:r>
          </w:p>
          <w:p w14:paraId="486524F8">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产品维护服务周期</w:t>
            </w:r>
            <w:r>
              <w:rPr>
                <w:rFonts w:hint="eastAsia" w:ascii="宋体" w:hAnsi="宋体" w:eastAsia="宋体" w:cs="宋体"/>
                <w:sz w:val="21"/>
                <w:szCs w:val="21"/>
                <w:highlight w:val="none"/>
                <w:lang w:eastAsia="zh-CN"/>
              </w:rPr>
              <w:t>。</w:t>
            </w:r>
          </w:p>
          <w:p w14:paraId="24288C5F">
            <w:pPr>
              <w:keepNext w:val="0"/>
              <w:keepLines w:val="0"/>
              <w:pageBreakBefore w:val="0"/>
              <w:widowControl w:val="0"/>
              <w:numPr>
                <w:ilvl w:val="0"/>
                <w:numId w:val="5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产品维护周期</w:t>
            </w:r>
            <w:r>
              <w:rPr>
                <w:rFonts w:hint="eastAsia" w:ascii="宋体" w:hAnsi="宋体" w:eastAsia="宋体" w:cs="宋体"/>
                <w:sz w:val="21"/>
                <w:szCs w:val="21"/>
                <w:highlight w:val="none"/>
              </w:rPr>
              <w:tab/>
            </w:r>
            <w:r>
              <w:rPr>
                <w:rFonts w:hint="eastAsia" w:ascii="宋体" w:hAnsi="宋体" w:eastAsia="宋体" w:cs="宋体"/>
                <w:sz w:val="21"/>
                <w:szCs w:val="21"/>
                <w:highlight w:val="none"/>
              </w:rPr>
              <w:t>产品自发布之日起至产品停止功能升级（包含不限于新特性、新硬件支持、问题修复、安全补丁等）之日止≥5 年</w:t>
            </w:r>
            <w:r>
              <w:rPr>
                <w:rFonts w:hint="eastAsia" w:ascii="宋体" w:hAnsi="宋体" w:eastAsia="宋体" w:cs="宋体"/>
                <w:sz w:val="21"/>
                <w:szCs w:val="21"/>
                <w:highlight w:val="none"/>
                <w:lang w:eastAsia="zh-CN"/>
              </w:rPr>
              <w:t>。</w:t>
            </w:r>
          </w:p>
          <w:p w14:paraId="7653D78F">
            <w:pPr>
              <w:keepNext w:val="0"/>
              <w:keepLines w:val="0"/>
              <w:pageBreakBefore w:val="0"/>
              <w:widowControl w:val="0"/>
              <w:numPr>
                <w:ilvl w:val="0"/>
                <w:numId w:val="5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产品延伸服务周期</w:t>
            </w:r>
            <w:r>
              <w:rPr>
                <w:rFonts w:hint="eastAsia" w:ascii="宋体" w:hAnsi="宋体" w:eastAsia="宋体" w:cs="宋体"/>
                <w:sz w:val="21"/>
                <w:szCs w:val="21"/>
                <w:highlight w:val="none"/>
              </w:rPr>
              <w:tab/>
            </w:r>
            <w:r>
              <w:rPr>
                <w:rFonts w:hint="eastAsia" w:ascii="宋体" w:hAnsi="宋体" w:eastAsia="宋体" w:cs="宋体"/>
                <w:sz w:val="21"/>
                <w:szCs w:val="21"/>
                <w:highlight w:val="none"/>
              </w:rPr>
              <w:t>产品停止功能升级之日起至产品停止功能维护（包括问题修复、安全补丁等）之日止≥4 年</w:t>
            </w:r>
            <w:r>
              <w:rPr>
                <w:rFonts w:hint="eastAsia" w:ascii="宋体" w:hAnsi="宋体" w:eastAsia="宋体" w:cs="宋体"/>
                <w:sz w:val="21"/>
                <w:szCs w:val="21"/>
                <w:highlight w:val="none"/>
                <w:lang w:eastAsia="zh-CN"/>
              </w:rPr>
              <w:t>。</w:t>
            </w:r>
          </w:p>
          <w:p w14:paraId="6093AF5B">
            <w:pPr>
              <w:keepNext w:val="0"/>
              <w:keepLines w:val="0"/>
              <w:pageBreakBefore w:val="0"/>
              <w:widowControl w:val="0"/>
              <w:numPr>
                <w:ilvl w:val="0"/>
                <w:numId w:val="5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产品延伸安全服务周期</w:t>
            </w:r>
            <w:r>
              <w:rPr>
                <w:rFonts w:hint="eastAsia" w:ascii="宋体" w:hAnsi="宋体" w:eastAsia="宋体" w:cs="宋体"/>
                <w:sz w:val="21"/>
                <w:szCs w:val="21"/>
                <w:highlight w:val="none"/>
              </w:rPr>
              <w:tab/>
            </w:r>
            <w:r>
              <w:rPr>
                <w:rFonts w:hint="eastAsia" w:ascii="宋体" w:hAnsi="宋体" w:eastAsia="宋体" w:cs="宋体"/>
                <w:sz w:val="21"/>
                <w:szCs w:val="21"/>
                <w:highlight w:val="none"/>
              </w:rPr>
              <w:t>产品功能维护停止之日起至产品停止安全维护（包括中高风险漏洞修复）之日止≥2 年</w:t>
            </w:r>
            <w:r>
              <w:rPr>
                <w:rFonts w:hint="eastAsia" w:ascii="宋体" w:hAnsi="宋体" w:eastAsia="宋体" w:cs="宋体"/>
                <w:sz w:val="21"/>
                <w:szCs w:val="21"/>
                <w:highlight w:val="none"/>
                <w:lang w:eastAsia="zh-CN"/>
              </w:rPr>
              <w:t>。</w:t>
            </w:r>
          </w:p>
          <w:p w14:paraId="2A145504">
            <w:pPr>
              <w:keepNext w:val="0"/>
              <w:keepLines w:val="0"/>
              <w:pageBreakBefore w:val="0"/>
              <w:widowControl w:val="0"/>
              <w:numPr>
                <w:ilvl w:val="0"/>
                <w:numId w:val="5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产品售后服务周期</w:t>
            </w:r>
            <w:r>
              <w:rPr>
                <w:rFonts w:hint="eastAsia" w:ascii="宋体" w:hAnsi="宋体" w:eastAsia="宋体" w:cs="宋体"/>
                <w:sz w:val="21"/>
                <w:szCs w:val="21"/>
                <w:highlight w:val="none"/>
              </w:rPr>
              <w:tab/>
            </w:r>
            <w:r>
              <w:rPr>
                <w:rFonts w:hint="eastAsia" w:ascii="宋体" w:hAnsi="宋体" w:eastAsia="宋体" w:cs="宋体"/>
                <w:sz w:val="21"/>
                <w:szCs w:val="21"/>
                <w:highlight w:val="none"/>
              </w:rPr>
              <w:t>≥6 年</w:t>
            </w:r>
            <w:r>
              <w:rPr>
                <w:rFonts w:hint="eastAsia" w:ascii="宋体" w:hAnsi="宋体" w:eastAsia="宋体" w:cs="宋体"/>
                <w:sz w:val="21"/>
                <w:szCs w:val="21"/>
                <w:highlight w:val="none"/>
                <w:lang w:eastAsia="zh-CN"/>
              </w:rPr>
              <w:t>。</w:t>
            </w:r>
          </w:p>
          <w:p w14:paraId="248DE769">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售后服务</w:t>
            </w:r>
          </w:p>
          <w:p w14:paraId="2E3F31EC">
            <w:pPr>
              <w:keepNext w:val="0"/>
              <w:keepLines w:val="0"/>
              <w:pageBreakBefore w:val="0"/>
              <w:widowControl w:val="0"/>
              <w:numPr>
                <w:ilvl w:val="0"/>
                <w:numId w:val="5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原厂服务</w:t>
            </w:r>
            <w:r>
              <w:rPr>
                <w:rFonts w:hint="eastAsia" w:ascii="宋体" w:hAnsi="宋体" w:eastAsia="宋体" w:cs="宋体"/>
                <w:sz w:val="21"/>
                <w:szCs w:val="21"/>
                <w:highlight w:val="none"/>
              </w:rPr>
              <w:tab/>
            </w:r>
            <w:r>
              <w:rPr>
                <w:rFonts w:hint="eastAsia" w:ascii="宋体" w:hAnsi="宋体" w:eastAsia="宋体" w:cs="宋体"/>
                <w:sz w:val="21"/>
                <w:szCs w:val="21"/>
                <w:highlight w:val="none"/>
              </w:rPr>
              <w:t>服务由操作系统厂商的正式员工提供，不由代理商提供</w:t>
            </w:r>
            <w:r>
              <w:rPr>
                <w:rFonts w:hint="eastAsia" w:ascii="宋体" w:hAnsi="宋体" w:eastAsia="宋体" w:cs="宋体"/>
                <w:sz w:val="21"/>
                <w:szCs w:val="21"/>
                <w:highlight w:val="none"/>
                <w:lang w:eastAsia="zh-CN"/>
              </w:rPr>
              <w:t>。</w:t>
            </w:r>
          </w:p>
          <w:p w14:paraId="1C07FD93">
            <w:pPr>
              <w:keepNext w:val="0"/>
              <w:keepLines w:val="0"/>
              <w:pageBreakBefore w:val="0"/>
              <w:widowControl w:val="0"/>
              <w:numPr>
                <w:ilvl w:val="0"/>
                <w:numId w:val="5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服务热线电话</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操作系统厂商为最终用户提供工作日每日不少于 8h（应覆盖一般工作时间，具体时间由企业标准给出）中文技术服务热线</w:t>
            </w:r>
            <w:r>
              <w:rPr>
                <w:rFonts w:hint="eastAsia" w:ascii="宋体" w:hAnsi="宋体" w:eastAsia="宋体" w:cs="宋体"/>
                <w:sz w:val="21"/>
                <w:szCs w:val="21"/>
                <w:highlight w:val="none"/>
                <w:lang w:eastAsia="zh-CN"/>
              </w:rPr>
              <w:t>。</w:t>
            </w:r>
          </w:p>
          <w:p w14:paraId="126301F0">
            <w:pPr>
              <w:keepNext w:val="0"/>
              <w:keepLines w:val="0"/>
              <w:pageBreakBefore w:val="0"/>
              <w:widowControl w:val="0"/>
              <w:numPr>
                <w:ilvl w:val="0"/>
                <w:numId w:val="5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技术服务标准</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操作系统厂商提供工作日每日不少于8h 技术支持服务</w:t>
            </w:r>
            <w:r>
              <w:rPr>
                <w:rFonts w:hint="eastAsia" w:ascii="宋体" w:hAnsi="宋体" w:eastAsia="宋体" w:cs="宋体"/>
                <w:sz w:val="21"/>
                <w:szCs w:val="21"/>
                <w:highlight w:val="none"/>
                <w:lang w:eastAsia="zh-CN"/>
              </w:rPr>
              <w:t>。</w:t>
            </w:r>
          </w:p>
          <w:p w14:paraId="2E43E987">
            <w:pPr>
              <w:keepNext w:val="0"/>
              <w:keepLines w:val="0"/>
              <w:pageBreakBefore w:val="0"/>
              <w:widowControl w:val="0"/>
              <w:numPr>
                <w:ilvl w:val="0"/>
                <w:numId w:val="5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技术服务时效</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操作系统厂商满足同城 4h、异地 12h 响应要求，两个工作日解决问题，对于未能解决的问题和故障提供可行的升级方案</w:t>
            </w:r>
            <w:r>
              <w:rPr>
                <w:rFonts w:hint="eastAsia" w:ascii="宋体" w:hAnsi="宋体" w:eastAsia="宋体" w:cs="宋体"/>
                <w:sz w:val="21"/>
                <w:szCs w:val="21"/>
                <w:highlight w:val="none"/>
                <w:lang w:eastAsia="zh-CN"/>
              </w:rPr>
              <w:t>。</w:t>
            </w:r>
          </w:p>
          <w:p w14:paraId="5F6E2818">
            <w:pPr>
              <w:keepNext w:val="0"/>
              <w:keepLines w:val="0"/>
              <w:pageBreakBefore w:val="0"/>
              <w:widowControl w:val="0"/>
              <w:numPr>
                <w:ilvl w:val="0"/>
                <w:numId w:val="5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技术服务保障</w:t>
            </w:r>
            <w:r>
              <w:rPr>
                <w:rFonts w:hint="eastAsia" w:ascii="宋体" w:hAnsi="宋体" w:eastAsia="宋体" w:cs="宋体"/>
                <w:sz w:val="21"/>
                <w:szCs w:val="21"/>
                <w:highlight w:val="none"/>
              </w:rPr>
              <w:tab/>
            </w:r>
            <w:r>
              <w:rPr>
                <w:rFonts w:hint="eastAsia" w:ascii="宋体" w:hAnsi="宋体" w:eastAsia="宋体" w:cs="宋体"/>
                <w:sz w:val="21"/>
                <w:szCs w:val="21"/>
                <w:highlight w:val="none"/>
              </w:rPr>
              <w:t>发生非人为因素故障，在七日内由操作系统厂商原厂人员免费对产品进行补充或更换</w:t>
            </w:r>
            <w:r>
              <w:rPr>
                <w:rFonts w:hint="eastAsia" w:ascii="宋体" w:hAnsi="宋体" w:eastAsia="宋体" w:cs="宋体"/>
                <w:sz w:val="21"/>
                <w:szCs w:val="21"/>
                <w:highlight w:val="none"/>
                <w:lang w:eastAsia="zh-CN"/>
              </w:rPr>
              <w:t>。</w:t>
            </w:r>
          </w:p>
          <w:p w14:paraId="27DFBDB8">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交付与安装调试</w:t>
            </w:r>
          </w:p>
          <w:p w14:paraId="0C2CE856">
            <w:pPr>
              <w:keepNext w:val="0"/>
              <w:keepLines w:val="0"/>
              <w:pageBreakBefore w:val="0"/>
              <w:widowControl w:val="0"/>
              <w:numPr>
                <w:ilvl w:val="0"/>
                <w:numId w:val="57"/>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配套资料</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操作系统厂商交付产品时提供配套的技术资料，包括但不限于系统说明文件、用户手册（用户安装、操作、维护、故障排除）等</w:t>
            </w:r>
            <w:r>
              <w:rPr>
                <w:rFonts w:hint="eastAsia" w:ascii="宋体" w:hAnsi="宋体" w:eastAsia="宋体" w:cs="宋体"/>
                <w:sz w:val="21"/>
                <w:szCs w:val="21"/>
                <w:highlight w:val="none"/>
                <w:lang w:eastAsia="zh-CN"/>
              </w:rPr>
              <w:t>。</w:t>
            </w:r>
          </w:p>
          <w:p w14:paraId="0DD43122">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系统更换</w:t>
            </w:r>
          </w:p>
          <w:p w14:paraId="5F3BF411">
            <w:pPr>
              <w:keepNext w:val="0"/>
              <w:keepLines w:val="0"/>
              <w:pageBreakBefore w:val="0"/>
              <w:widowControl w:val="0"/>
              <w:numPr>
                <w:ilvl w:val="0"/>
                <w:numId w:val="58"/>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系统更换</w:t>
            </w:r>
            <w:r>
              <w:rPr>
                <w:rFonts w:hint="eastAsia" w:ascii="宋体" w:hAnsi="宋体" w:eastAsia="宋体" w:cs="宋体"/>
                <w:sz w:val="21"/>
                <w:szCs w:val="21"/>
                <w:highlight w:val="none"/>
              </w:rPr>
              <w:tab/>
            </w:r>
            <w:r>
              <w:rPr>
                <w:rFonts w:hint="eastAsia" w:ascii="宋体" w:hAnsi="宋体" w:eastAsia="宋体" w:cs="宋体"/>
                <w:sz w:val="21"/>
                <w:szCs w:val="21"/>
                <w:highlight w:val="none"/>
              </w:rPr>
              <w:t>服务期内，操作系统厂商支持版本免费更换（注：更换后不延长服务期）</w:t>
            </w:r>
          </w:p>
          <w:p w14:paraId="0736F600">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厂商能力要求</w:t>
            </w:r>
          </w:p>
          <w:p w14:paraId="12FAD00A">
            <w:pPr>
              <w:keepNext w:val="0"/>
              <w:keepLines w:val="0"/>
              <w:pageBreakBefore w:val="0"/>
              <w:widowControl w:val="0"/>
              <w:numPr>
                <w:ilvl w:val="0"/>
                <w:numId w:val="59"/>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服务团队</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操作系统厂商建立全国技术服务体系和服务团队，为客户提供专业的原厂中文服务</w:t>
            </w:r>
            <w:r>
              <w:rPr>
                <w:rFonts w:hint="eastAsia" w:ascii="宋体" w:hAnsi="宋体" w:eastAsia="宋体" w:cs="宋体"/>
                <w:sz w:val="21"/>
                <w:szCs w:val="21"/>
                <w:highlight w:val="none"/>
                <w:lang w:eastAsia="zh-CN"/>
              </w:rPr>
              <w:t>。</w:t>
            </w:r>
          </w:p>
          <w:p w14:paraId="2757FB7F">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数据上行安全保障</w:t>
            </w:r>
          </w:p>
          <w:p w14:paraId="57D85743">
            <w:pPr>
              <w:keepNext w:val="0"/>
              <w:keepLines w:val="0"/>
              <w:pageBreakBefore w:val="0"/>
              <w:widowControl w:val="0"/>
              <w:numPr>
                <w:ilvl w:val="0"/>
                <w:numId w:val="6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数据收集安全保障</w:t>
            </w:r>
            <w:r>
              <w:rPr>
                <w:rFonts w:hint="eastAsia" w:ascii="宋体" w:hAnsi="宋体" w:eastAsia="宋体" w:cs="宋体"/>
                <w:sz w:val="21"/>
                <w:szCs w:val="21"/>
                <w:highlight w:val="none"/>
              </w:rPr>
              <w:tab/>
            </w:r>
            <w:r>
              <w:rPr>
                <w:rFonts w:hint="eastAsia" w:ascii="宋体" w:hAnsi="宋体" w:eastAsia="宋体" w:cs="宋体"/>
                <w:sz w:val="21"/>
                <w:szCs w:val="21"/>
                <w:highlight w:val="none"/>
              </w:rPr>
              <w:t>除用户授权采集的信息外不采集其他数据，相关信息采集无安全风险，相关数据存储在大陆境内</w:t>
            </w:r>
            <w:r>
              <w:rPr>
                <w:rFonts w:hint="eastAsia" w:ascii="宋体" w:hAnsi="宋体" w:eastAsia="宋体" w:cs="宋体"/>
                <w:sz w:val="21"/>
                <w:szCs w:val="21"/>
                <w:highlight w:val="none"/>
                <w:lang w:eastAsia="zh-CN"/>
              </w:rPr>
              <w:t>。</w:t>
            </w:r>
          </w:p>
          <w:p w14:paraId="219AA11F">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数据下行安全保障</w:t>
            </w:r>
          </w:p>
          <w:p w14:paraId="565C646B">
            <w:pPr>
              <w:keepNext w:val="0"/>
              <w:keepLines w:val="0"/>
              <w:pageBreakBefore w:val="0"/>
              <w:widowControl w:val="0"/>
              <w:numPr>
                <w:ilvl w:val="0"/>
                <w:numId w:val="6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数据供给安全保障</w:t>
            </w:r>
            <w:r>
              <w:rPr>
                <w:rFonts w:hint="eastAsia" w:ascii="宋体" w:hAnsi="宋体" w:eastAsia="宋体" w:cs="宋体"/>
                <w:sz w:val="21"/>
                <w:szCs w:val="21"/>
                <w:highlight w:val="none"/>
              </w:rPr>
              <w:tab/>
            </w:r>
            <w:r>
              <w:rPr>
                <w:rFonts w:hint="eastAsia" w:ascii="宋体" w:hAnsi="宋体" w:eastAsia="宋体" w:cs="宋体"/>
                <w:sz w:val="21"/>
                <w:szCs w:val="21"/>
                <w:highlight w:val="none"/>
              </w:rPr>
              <w:t>数据供给安全保障：涉及数据下载的线上服务物理服务器不出境，包括代码仓库、系统补丁、安全补丁、服务网站等</w:t>
            </w:r>
            <w:r>
              <w:rPr>
                <w:rFonts w:hint="eastAsia" w:ascii="宋体" w:hAnsi="宋体" w:eastAsia="宋体" w:cs="宋体"/>
                <w:sz w:val="21"/>
                <w:szCs w:val="21"/>
                <w:highlight w:val="none"/>
                <w:lang w:eastAsia="zh-CN"/>
              </w:rPr>
              <w:t>。</w:t>
            </w:r>
          </w:p>
          <w:p w14:paraId="49953AEC">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代码无风险</w:t>
            </w:r>
          </w:p>
          <w:p w14:paraId="355D8C8B">
            <w:pPr>
              <w:keepNext w:val="0"/>
              <w:keepLines w:val="0"/>
              <w:pageBreakBefore w:val="0"/>
              <w:widowControl w:val="0"/>
              <w:numPr>
                <w:ilvl w:val="0"/>
                <w:numId w:val="6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代码无风险</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操作系统厂商可提供源代码，源代码可供第三方机构审查，开源许可合规，代码知识产权无风险，无恶意安全漏洞或后门，代码可追溯、可重构</w:t>
            </w:r>
            <w:r>
              <w:rPr>
                <w:rFonts w:hint="eastAsia" w:ascii="宋体" w:hAnsi="宋体" w:eastAsia="宋体" w:cs="宋体"/>
                <w:sz w:val="21"/>
                <w:szCs w:val="21"/>
                <w:highlight w:val="none"/>
                <w:lang w:eastAsia="zh-CN"/>
              </w:rPr>
              <w:t>。</w:t>
            </w:r>
          </w:p>
          <w:p w14:paraId="6F5DFEF3">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基本要求</w:t>
            </w:r>
          </w:p>
          <w:p w14:paraId="4F1A6567">
            <w:pPr>
              <w:keepNext w:val="0"/>
              <w:keepLines w:val="0"/>
              <w:pageBreakBefore w:val="0"/>
              <w:widowControl w:val="0"/>
              <w:numPr>
                <w:ilvl w:val="0"/>
                <w:numId w:val="6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基本要求</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操作系统应当符合安全可靠测评要求</w:t>
            </w:r>
            <w:r>
              <w:rPr>
                <w:rFonts w:hint="eastAsia" w:ascii="宋体" w:hAnsi="宋体" w:eastAsia="宋体" w:cs="宋体"/>
                <w:sz w:val="21"/>
                <w:szCs w:val="21"/>
                <w:highlight w:val="none"/>
                <w:lang w:eastAsia="zh-CN"/>
              </w:rPr>
              <w:t>。</w:t>
            </w:r>
          </w:p>
          <w:p w14:paraId="5C9DEDDD">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密码算法支持</w:t>
            </w:r>
          </w:p>
          <w:p w14:paraId="5F6B76C4">
            <w:pPr>
              <w:keepNext w:val="0"/>
              <w:keepLines w:val="0"/>
              <w:pageBreakBefore w:val="0"/>
              <w:widowControl w:val="0"/>
              <w:numPr>
                <w:ilvl w:val="0"/>
                <w:numId w:val="6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密码算法实现</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操作系统支持 GM/T 0002 、GM/T 0003和 GM/T 0004 规定的密码算法运算</w:t>
            </w:r>
            <w:r>
              <w:rPr>
                <w:rFonts w:hint="eastAsia" w:ascii="宋体" w:hAnsi="宋体" w:eastAsia="宋体" w:cs="宋体"/>
                <w:sz w:val="21"/>
                <w:szCs w:val="21"/>
                <w:highlight w:val="none"/>
                <w:lang w:eastAsia="zh-CN"/>
              </w:rPr>
              <w:t>。</w:t>
            </w:r>
          </w:p>
          <w:p w14:paraId="4B609590">
            <w:pPr>
              <w:keepNext w:val="0"/>
              <w:keepLines w:val="0"/>
              <w:pageBreakBefore w:val="0"/>
              <w:widowControl w:val="0"/>
              <w:numPr>
                <w:ilvl w:val="0"/>
                <w:numId w:val="6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随机数生成</w:t>
            </w:r>
            <w:r>
              <w:rPr>
                <w:rFonts w:hint="eastAsia" w:ascii="宋体" w:hAnsi="宋体" w:eastAsia="宋体" w:cs="宋体"/>
                <w:sz w:val="21"/>
                <w:szCs w:val="21"/>
                <w:highlight w:val="none"/>
              </w:rPr>
              <w:tab/>
            </w:r>
            <w:r>
              <w:rPr>
                <w:rFonts w:hint="eastAsia" w:ascii="宋体" w:hAnsi="宋体" w:eastAsia="宋体" w:cs="宋体"/>
                <w:sz w:val="21"/>
                <w:szCs w:val="21"/>
                <w:highlight w:val="none"/>
              </w:rPr>
              <w:t>随机数质量符合 GM/T 0005《随机性检测规范》或 GB/T32915《信息安全技术二元序列随机性检测方法》</w:t>
            </w:r>
            <w:r>
              <w:rPr>
                <w:rFonts w:hint="eastAsia" w:ascii="宋体" w:hAnsi="宋体" w:eastAsia="宋体" w:cs="宋体"/>
                <w:sz w:val="21"/>
                <w:szCs w:val="21"/>
                <w:highlight w:val="none"/>
                <w:lang w:eastAsia="zh-CN"/>
              </w:rPr>
              <w:t>。</w:t>
            </w:r>
          </w:p>
          <w:p w14:paraId="0DA0CF18">
            <w:pPr>
              <w:keepNext w:val="0"/>
              <w:keepLines w:val="0"/>
              <w:pageBreakBefore w:val="0"/>
              <w:widowControl w:val="0"/>
              <w:numPr>
                <w:ilvl w:val="0"/>
                <w:numId w:val="6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内置数字证书</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操作系统内置国家电子认证根 CA 的根证书</w:t>
            </w:r>
            <w:r>
              <w:rPr>
                <w:rFonts w:hint="eastAsia" w:ascii="宋体" w:hAnsi="宋体" w:eastAsia="宋体" w:cs="宋体"/>
                <w:sz w:val="21"/>
                <w:szCs w:val="21"/>
                <w:highlight w:val="none"/>
                <w:lang w:eastAsia="zh-CN"/>
              </w:rPr>
              <w:t>。</w:t>
            </w:r>
          </w:p>
          <w:p w14:paraId="72B0A4A6">
            <w:pPr>
              <w:keepNext w:val="0"/>
              <w:keepLines w:val="0"/>
              <w:pageBreakBefore w:val="0"/>
              <w:widowControl w:val="0"/>
              <w:numPr>
                <w:ilvl w:val="0"/>
                <w:numId w:val="6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密码协议实现</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操作系统支持符合 GB/T 38636—2020的 TLCP</w:t>
            </w:r>
            <w:r>
              <w:rPr>
                <w:rFonts w:hint="eastAsia" w:ascii="宋体" w:hAnsi="宋体" w:eastAsia="宋体" w:cs="宋体"/>
                <w:sz w:val="21"/>
                <w:szCs w:val="21"/>
                <w:highlight w:val="none"/>
                <w:lang w:eastAsia="zh-CN"/>
              </w:rPr>
              <w:t>。</w:t>
            </w:r>
          </w:p>
          <w:p w14:paraId="4A487E2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安全管理工具</w:t>
            </w:r>
          </w:p>
          <w:p w14:paraId="13B0A5F8">
            <w:pPr>
              <w:keepNext w:val="0"/>
              <w:keepLines w:val="0"/>
              <w:pageBreakBefore w:val="0"/>
              <w:widowControl w:val="0"/>
              <w:numPr>
                <w:ilvl w:val="0"/>
                <w:numId w:val="6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安全管理工具</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操作系统提供安全管理工具，包括帐户安全、网络防护、病毒防护、应用程序执行控制</w:t>
            </w:r>
            <w:r>
              <w:rPr>
                <w:rFonts w:hint="eastAsia" w:ascii="宋体" w:hAnsi="宋体" w:eastAsia="宋体" w:cs="宋体"/>
                <w:sz w:val="21"/>
                <w:szCs w:val="21"/>
                <w:highlight w:val="none"/>
                <w:lang w:eastAsia="zh-CN"/>
              </w:rPr>
              <w:t>。</w:t>
            </w:r>
          </w:p>
          <w:p w14:paraId="219DA448">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身份鉴别</w:t>
            </w:r>
          </w:p>
          <w:p w14:paraId="5FF1ADC8">
            <w:pPr>
              <w:keepNext w:val="0"/>
              <w:keepLines w:val="0"/>
              <w:pageBreakBefore w:val="0"/>
              <w:widowControl w:val="0"/>
              <w:numPr>
                <w:ilvl w:val="0"/>
                <w:numId w:val="6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生物特征识别管理</w:t>
            </w:r>
          </w:p>
          <w:p w14:paraId="20F66B51">
            <w:pPr>
              <w:keepNext w:val="0"/>
              <w:keepLines w:val="0"/>
              <w:pageBreakBefore w:val="0"/>
              <w:widowControl w:val="0"/>
              <w:numPr>
                <w:ilvl w:val="0"/>
                <w:numId w:val="67"/>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操作系统支持两种及以上的生物特征类型鉴别，如指纹、人脸；</w:t>
            </w:r>
          </w:p>
          <w:p w14:paraId="60A6CEEF">
            <w:pPr>
              <w:keepNext w:val="0"/>
              <w:keepLines w:val="0"/>
              <w:pageBreakBefore w:val="0"/>
              <w:widowControl w:val="0"/>
              <w:numPr>
                <w:ilvl w:val="0"/>
                <w:numId w:val="67"/>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支持使用生物特征进行命令行、图形化提权操作的身份鉴别；</w:t>
            </w:r>
          </w:p>
          <w:p w14:paraId="1AF9A13C">
            <w:pPr>
              <w:keepNext w:val="0"/>
              <w:keepLines w:val="0"/>
              <w:pageBreakBefore w:val="0"/>
              <w:widowControl w:val="0"/>
              <w:numPr>
                <w:ilvl w:val="0"/>
                <w:numId w:val="67"/>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支持使用生物特征进行系统登录操作的身份鉴别；</w:t>
            </w:r>
          </w:p>
          <w:p w14:paraId="7429CD7F">
            <w:pPr>
              <w:keepNext w:val="0"/>
              <w:keepLines w:val="0"/>
              <w:pageBreakBefore w:val="0"/>
              <w:widowControl w:val="0"/>
              <w:numPr>
                <w:ilvl w:val="0"/>
                <w:numId w:val="67"/>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支持用户管理自己的生物特征信息</w:t>
            </w:r>
            <w:r>
              <w:rPr>
                <w:rFonts w:hint="eastAsia" w:ascii="宋体" w:hAnsi="宋体" w:eastAsia="宋体" w:cs="宋体"/>
                <w:sz w:val="21"/>
                <w:szCs w:val="21"/>
                <w:highlight w:val="none"/>
                <w:lang w:eastAsia="zh-CN"/>
              </w:rPr>
              <w:t>。</w:t>
            </w:r>
          </w:p>
          <w:p w14:paraId="1943A22A">
            <w:pPr>
              <w:keepNext w:val="0"/>
              <w:keepLines w:val="0"/>
              <w:pageBreakBefore w:val="0"/>
              <w:widowControl w:val="0"/>
              <w:numPr>
                <w:ilvl w:val="0"/>
                <w:numId w:val="66"/>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身份鉴别服务</w:t>
            </w:r>
          </w:p>
          <w:p w14:paraId="2BBC40BC">
            <w:pPr>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操作系统用户标识使用帐户名和帐户ID，在操作系统的整个生存周期内帐户标识具有唯一性；</w:t>
            </w:r>
          </w:p>
          <w:p w14:paraId="17E11570">
            <w:pPr>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支持配置帐户口令复杂度校验及强口令管理；</w:t>
            </w:r>
          </w:p>
          <w:p w14:paraId="61E5CC5B">
            <w:pPr>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支持帐户口令有效期配置；</w:t>
            </w:r>
          </w:p>
          <w:p w14:paraId="6B86F536">
            <w:pPr>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支持口令鉴别失败控制；</w:t>
            </w:r>
          </w:p>
          <w:p w14:paraId="694A82F0">
            <w:pPr>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支持口令加密算法配置，帐户口令进行加密后以不可逆的密文形式保存；</w:t>
            </w:r>
          </w:p>
          <w:p w14:paraId="471B29F4">
            <w:pPr>
              <w:keepNext w:val="0"/>
              <w:keepLines w:val="0"/>
              <w:pageBreakBefore w:val="0"/>
              <w:widowControl w:val="0"/>
              <w:numPr>
                <w:ilvl w:val="0"/>
                <w:numId w:val="68"/>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支持禁止根帐户(root)远程登录设置</w:t>
            </w:r>
            <w:r>
              <w:rPr>
                <w:rFonts w:hint="eastAsia" w:ascii="宋体" w:hAnsi="宋体" w:eastAsia="宋体" w:cs="宋体"/>
                <w:sz w:val="21"/>
                <w:szCs w:val="21"/>
                <w:highlight w:val="none"/>
                <w:lang w:eastAsia="zh-CN"/>
              </w:rPr>
              <w:t>。</w:t>
            </w:r>
          </w:p>
          <w:p w14:paraId="01ECE248">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访问控制</w:t>
            </w:r>
          </w:p>
          <w:p w14:paraId="766FD590">
            <w:pPr>
              <w:keepNext w:val="0"/>
              <w:keepLines w:val="0"/>
              <w:pageBreakBefore w:val="0"/>
              <w:widowControl w:val="0"/>
              <w:numPr>
                <w:ilvl w:val="0"/>
                <w:numId w:val="69"/>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自主访问控制</w:t>
            </w:r>
            <w:r>
              <w:rPr>
                <w:rFonts w:hint="eastAsia" w:ascii="宋体" w:hAnsi="宋体" w:eastAsia="宋体" w:cs="宋体"/>
                <w:sz w:val="21"/>
                <w:szCs w:val="21"/>
                <w:highlight w:val="none"/>
              </w:rPr>
              <w:tab/>
            </w:r>
            <w:r>
              <w:rPr>
                <w:rFonts w:hint="eastAsia" w:ascii="宋体" w:hAnsi="宋体" w:eastAsia="宋体" w:cs="宋体"/>
                <w:sz w:val="21"/>
                <w:szCs w:val="21"/>
                <w:highlight w:val="none"/>
              </w:rPr>
              <w:t>允许客体拥有者以普通帐户决定并控制对客体的访问，并阻止非授权帐户对客体的访问普通用户缺省拥有新建、读写和删除私有目录下文件的权限；支持细粒度的自主访问控制，将访问控制的粒度控制在指定帐户，对系统中的每一个客体，实现由客体拥有者以指定帐户方式确定其对该客体的访问权限，而其他同组帐户或非同组的帐户和用户组对该客体的访问权则由客体拥有者授予</w:t>
            </w:r>
            <w:r>
              <w:rPr>
                <w:rFonts w:hint="eastAsia" w:ascii="宋体" w:hAnsi="宋体" w:eastAsia="宋体" w:cs="宋体"/>
                <w:sz w:val="21"/>
                <w:szCs w:val="21"/>
                <w:highlight w:val="none"/>
                <w:lang w:eastAsia="zh-CN"/>
              </w:rPr>
              <w:t>。</w:t>
            </w:r>
          </w:p>
          <w:p w14:paraId="52B31F78">
            <w:pPr>
              <w:keepNext w:val="0"/>
              <w:keepLines w:val="0"/>
              <w:pageBreakBefore w:val="0"/>
              <w:widowControl w:val="0"/>
              <w:numPr>
                <w:ilvl w:val="0"/>
                <w:numId w:val="69"/>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强制访问控制</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操作系统支持对应用程序的访问控制与资源限制，包括对文件、网络等客体的访问控制；支持应用安装控制、应用执行控制</w:t>
            </w:r>
            <w:r>
              <w:rPr>
                <w:rFonts w:hint="eastAsia" w:ascii="宋体" w:hAnsi="宋体" w:eastAsia="宋体" w:cs="宋体"/>
                <w:sz w:val="21"/>
                <w:szCs w:val="21"/>
                <w:highlight w:val="none"/>
                <w:lang w:eastAsia="zh-CN"/>
              </w:rPr>
              <w:t>。</w:t>
            </w:r>
          </w:p>
          <w:p w14:paraId="5EA8B98D">
            <w:pPr>
              <w:keepNext w:val="0"/>
              <w:keepLines w:val="0"/>
              <w:pageBreakBefore w:val="0"/>
              <w:widowControl w:val="0"/>
              <w:numPr>
                <w:ilvl w:val="0"/>
                <w:numId w:val="69"/>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安全审计</w:t>
            </w:r>
            <w:r>
              <w:rPr>
                <w:rFonts w:hint="eastAsia" w:ascii="宋体" w:hAnsi="宋体" w:eastAsia="宋体" w:cs="宋体"/>
                <w:sz w:val="21"/>
                <w:szCs w:val="21"/>
                <w:highlight w:val="none"/>
              </w:rPr>
              <w:tab/>
            </w:r>
            <w:r>
              <w:rPr>
                <w:rFonts w:hint="eastAsia" w:ascii="宋体" w:hAnsi="宋体" w:eastAsia="宋体" w:cs="宋体"/>
                <w:sz w:val="21"/>
                <w:szCs w:val="21"/>
                <w:highlight w:val="none"/>
              </w:rPr>
              <w:t>操作系统能对身份鉴别的使用、自主访问控制、标记和强制访问控制策略的修改等生成审计日志；</w:t>
            </w:r>
            <w:r>
              <w:rPr>
                <w:rFonts w:hint="eastAsia" w:ascii="宋体" w:hAnsi="宋体" w:eastAsia="宋体" w:cs="宋体"/>
                <w:sz w:val="21"/>
                <w:szCs w:val="21"/>
                <w:highlight w:val="none"/>
                <w:lang w:eastAsia="zh-CN"/>
              </w:rPr>
              <w:t>审</w:t>
            </w:r>
            <w:r>
              <w:rPr>
                <w:rFonts w:hint="eastAsia" w:ascii="宋体" w:hAnsi="宋体" w:eastAsia="宋体" w:cs="宋体"/>
                <w:sz w:val="21"/>
                <w:szCs w:val="21"/>
                <w:highlight w:val="none"/>
              </w:rPr>
              <w:t>计记录包括事件类型、事件发生的日期、触发事件的帐户、事件成功或失败等字段；支持审计日志查询和导出功能设置</w:t>
            </w:r>
            <w:r>
              <w:rPr>
                <w:rFonts w:hint="eastAsia" w:ascii="宋体" w:hAnsi="宋体" w:eastAsia="宋体" w:cs="宋体"/>
                <w:sz w:val="21"/>
                <w:szCs w:val="21"/>
                <w:highlight w:val="none"/>
                <w:lang w:eastAsia="zh-CN"/>
              </w:rPr>
              <w:t>。</w:t>
            </w:r>
          </w:p>
          <w:p w14:paraId="55CCA83B">
            <w:pPr>
              <w:keepNext w:val="0"/>
              <w:keepLines w:val="0"/>
              <w:pageBreakBefore w:val="0"/>
              <w:widowControl w:val="0"/>
              <w:numPr>
                <w:ilvl w:val="0"/>
                <w:numId w:val="69"/>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支持多策略融合访问控制,支持 SELinux/AppArmor 等安全机制同时挂载切换</w:t>
            </w:r>
            <w:r>
              <w:rPr>
                <w:rFonts w:hint="eastAsia" w:ascii="宋体" w:hAnsi="宋体" w:eastAsia="宋体" w:cs="宋体"/>
                <w:sz w:val="21"/>
                <w:szCs w:val="21"/>
                <w:highlight w:val="none"/>
                <w:lang w:eastAsia="zh-CN"/>
              </w:rPr>
              <w:t>。</w:t>
            </w:r>
          </w:p>
          <w:p w14:paraId="45BC88D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防火墙工具</w:t>
            </w:r>
          </w:p>
          <w:p w14:paraId="4C6CEFB3">
            <w:pPr>
              <w:keepNext w:val="0"/>
              <w:keepLines w:val="0"/>
              <w:pageBreakBefore w:val="0"/>
              <w:widowControl w:val="0"/>
              <w:numPr>
                <w:ilvl w:val="0"/>
                <w:numId w:val="7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基本要求</w:t>
            </w:r>
            <w:r>
              <w:rPr>
                <w:rFonts w:hint="eastAsia" w:ascii="宋体" w:hAnsi="宋体" w:eastAsia="宋体" w:cs="宋体"/>
                <w:sz w:val="21"/>
                <w:szCs w:val="21"/>
              </w:rPr>
              <w:tab/>
            </w:r>
            <w:r>
              <w:rPr>
                <w:rFonts w:hint="eastAsia" w:ascii="宋体" w:hAnsi="宋体" w:eastAsia="宋体" w:cs="宋体"/>
                <w:sz w:val="21"/>
                <w:szCs w:val="21"/>
              </w:rPr>
              <w:t>操作系统支持开启或关闭防火墙；支持添加防火墙规则，至少包括名称、协议、地址和端口；提供不同场景下的缺省防火墙配置，如公共、专用和自定义；支持不同的访问策略，包括允许、拒绝</w:t>
            </w:r>
            <w:r>
              <w:rPr>
                <w:rFonts w:hint="eastAsia" w:ascii="宋体" w:hAnsi="宋体" w:eastAsia="宋体" w:cs="宋体"/>
                <w:sz w:val="21"/>
                <w:szCs w:val="21"/>
                <w:lang w:eastAsia="zh-CN"/>
              </w:rPr>
              <w:t>。</w:t>
            </w:r>
          </w:p>
          <w:p w14:paraId="21D249BD">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漏洞管理</w:t>
            </w:r>
          </w:p>
          <w:p w14:paraId="6F899AEE">
            <w:pPr>
              <w:keepNext w:val="0"/>
              <w:keepLines w:val="0"/>
              <w:pageBreakBefore w:val="0"/>
              <w:widowControl w:val="0"/>
              <w:numPr>
                <w:ilvl w:val="0"/>
                <w:numId w:val="7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漏洞编号</w:t>
            </w:r>
            <w:r>
              <w:rPr>
                <w:rFonts w:hint="eastAsia" w:ascii="宋体" w:hAnsi="宋体" w:eastAsia="宋体" w:cs="宋体"/>
                <w:sz w:val="21"/>
                <w:szCs w:val="21"/>
              </w:rPr>
              <w:tab/>
            </w:r>
          </w:p>
          <w:p w14:paraId="1E271890">
            <w:pPr>
              <w:keepNext w:val="0"/>
              <w:keepLines w:val="0"/>
              <w:pageBreakBefore w:val="0"/>
              <w:widowControl w:val="0"/>
              <w:numPr>
                <w:ilvl w:val="0"/>
                <w:numId w:val="7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操作系统支持漏洞编号，每个漏洞独立编号，可直接使用 NVDB、CNVD 或 CVE编号；</w:t>
            </w:r>
          </w:p>
          <w:p w14:paraId="398CFEC6">
            <w:pPr>
              <w:keepNext w:val="0"/>
              <w:keepLines w:val="0"/>
              <w:pageBreakBefore w:val="0"/>
              <w:widowControl w:val="0"/>
              <w:numPr>
                <w:ilvl w:val="0"/>
                <w:numId w:val="7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漏洞提醒，发现或获悉漏洞信息时，通过系统推送、电子邮件或官方网站等方式通知用户；</w:t>
            </w:r>
          </w:p>
          <w:p w14:paraId="64BEFD28">
            <w:pPr>
              <w:keepNext w:val="0"/>
              <w:keepLines w:val="0"/>
              <w:pageBreakBefore w:val="0"/>
              <w:widowControl w:val="0"/>
              <w:numPr>
                <w:ilvl w:val="0"/>
                <w:numId w:val="72"/>
              </w:numPr>
              <w:kinsoku/>
              <w:wordWrap/>
              <w:overflowPunct/>
              <w:topLinePunct w:val="0"/>
              <w:autoSpaceDE/>
              <w:autoSpaceDN/>
              <w:bidi w:val="0"/>
              <w:adjustRightInd/>
              <w:snapToGrid/>
              <w:spacing w:line="440" w:lineRule="exact"/>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漏洞修复，对已发现的安全漏洞通过补丁等方式对系统漏洞进行修复；</w:t>
            </w:r>
          </w:p>
          <w:p w14:paraId="245934F2">
            <w:pPr>
              <w:keepNext w:val="0"/>
              <w:keepLines w:val="0"/>
              <w:pageBreakBefore w:val="0"/>
              <w:widowControl/>
              <w:numPr>
                <w:ilvl w:val="-1"/>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漏洞列表，提供每个版本已修复的漏洞列表，并提供命令或网页等方式方便用户查询漏洞及其修复情况</w:t>
            </w:r>
            <w:r>
              <w:rPr>
                <w:rFonts w:hint="eastAsia" w:ascii="宋体" w:hAnsi="宋体" w:eastAsia="宋体" w:cs="宋体"/>
                <w:sz w:val="21"/>
                <w:szCs w:val="21"/>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9A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120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8C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90F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2"/>
                <w:sz w:val="21"/>
                <w:szCs w:val="21"/>
                <w:u w:val="none"/>
                <w:lang w:val="en-US" w:eastAsia="zh-CN" w:bidi="ar-SA"/>
              </w:rPr>
              <w:t>工业</w:t>
            </w:r>
          </w:p>
        </w:tc>
      </w:tr>
      <w:tr w14:paraId="3F2C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76"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50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F0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版式办公软件</w:t>
            </w:r>
          </w:p>
        </w:tc>
        <w:tc>
          <w:tcPr>
            <w:tcW w:w="6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DE4A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1</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文字+C2:C31、表格、简报均支持经典界面、智能界面无缝切换</w:t>
            </w:r>
          </w:p>
          <w:p w14:paraId="2C4DDCC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color w:val="auto"/>
                <w:sz w:val="21"/>
                <w:szCs w:val="21"/>
                <w:lang w:eastAsia="zh-CN"/>
              </w:rPr>
              <w:t>★</w:t>
            </w:r>
            <w:r>
              <w:rPr>
                <w:rFonts w:hint="eastAsia" w:ascii="宋体" w:hAnsi="宋体" w:eastAsia="宋体" w:cs="宋体"/>
                <w:i w:val="0"/>
                <w:iCs w:val="0"/>
                <w:caps w:val="0"/>
                <w:color w:val="auto"/>
                <w:spacing w:val="0"/>
                <w:sz w:val="21"/>
                <w:szCs w:val="21"/>
                <w:shd w:val="clear" w:fill="FFFFFF"/>
                <w:vertAlign w:val="baseline"/>
              </w:rPr>
              <w:t>2</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文字、表格、简报智能界面均支持鼠标模式、触摸模式（触摸模式下各功能菜单间距增大，方便手指操作）无缝切换（提供功能截图证明）</w:t>
            </w:r>
          </w:p>
          <w:p w14:paraId="755721A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3</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文字、表格、简报均基于所选内容差异动态显示的浮动工具栏及属性操作面板</w:t>
            </w:r>
          </w:p>
          <w:p w14:paraId="2CAE05E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color w:val="auto"/>
                <w:sz w:val="21"/>
                <w:szCs w:val="21"/>
                <w:lang w:eastAsia="zh-CN"/>
              </w:rPr>
              <w:t>★</w:t>
            </w:r>
            <w:r>
              <w:rPr>
                <w:rFonts w:hint="eastAsia" w:ascii="宋体" w:hAnsi="宋体" w:eastAsia="宋体" w:cs="宋体"/>
                <w:i w:val="0"/>
                <w:iCs w:val="0"/>
                <w:caps w:val="0"/>
                <w:color w:val="auto"/>
                <w:spacing w:val="0"/>
                <w:sz w:val="21"/>
                <w:szCs w:val="21"/>
                <w:shd w:val="clear" w:fill="FFFFFF"/>
                <w:vertAlign w:val="baseline"/>
              </w:rPr>
              <w:t>4</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文字、表格、简报均内置数学、化学、物理、地理等科教素材，支持素材导入导出等管理行为（提供功能截图证明）</w:t>
            </w:r>
          </w:p>
          <w:p w14:paraId="3E2CEB8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5</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文字、表格、简报均支持函数图像功能，自动基于函数生成对应图像</w:t>
            </w:r>
          </w:p>
          <w:p w14:paraId="67E1961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6</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文字、表格、简报均支持插入音、视频文件，并支持在本应用内播放，无需调用其他播放软件</w:t>
            </w:r>
          </w:p>
          <w:p w14:paraId="65D2589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7</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文字、表格、简报均内设置图形、图片及文本属性时，支持即时预览</w:t>
            </w:r>
          </w:p>
          <w:p w14:paraId="5F100DE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color w:val="auto"/>
                <w:sz w:val="21"/>
                <w:szCs w:val="21"/>
                <w:lang w:eastAsia="zh-CN"/>
              </w:rPr>
              <w:t>★</w:t>
            </w:r>
            <w:r>
              <w:rPr>
                <w:rFonts w:hint="eastAsia" w:ascii="宋体" w:hAnsi="宋体" w:eastAsia="宋体" w:cs="宋体"/>
                <w:i w:val="0"/>
                <w:iCs w:val="0"/>
                <w:caps w:val="0"/>
                <w:color w:val="auto"/>
                <w:spacing w:val="0"/>
                <w:sz w:val="21"/>
                <w:szCs w:val="21"/>
                <w:shd w:val="clear" w:fill="FFFFFF"/>
                <w:vertAlign w:val="baseline"/>
              </w:rPr>
              <w:t>8</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文字、表格、简报均支持对文档添加数字签名；可验证数字证书的时效性、有效性以及合法性，并提供证书的详细信息，包含证书的版本、序列号、颁发者以及有效起始、结束日期。</w:t>
            </w:r>
          </w:p>
          <w:p w14:paraId="1A71614B">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表格、简报均支持插入来自扫描仪的图片（提供功能截图证明）</w:t>
            </w:r>
          </w:p>
          <w:p w14:paraId="2D1ECA5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color w:val="auto"/>
                <w:sz w:val="21"/>
                <w:szCs w:val="21"/>
                <w:lang w:eastAsia="zh-CN"/>
              </w:rPr>
              <w:t>★</w:t>
            </w:r>
            <w:r>
              <w:rPr>
                <w:rFonts w:hint="eastAsia" w:ascii="宋体" w:hAnsi="宋体" w:eastAsia="宋体" w:cs="宋体"/>
                <w:i w:val="0"/>
                <w:iCs w:val="0"/>
                <w:caps w:val="0"/>
                <w:color w:val="auto"/>
                <w:spacing w:val="0"/>
                <w:sz w:val="21"/>
                <w:szCs w:val="21"/>
                <w:shd w:val="clear" w:fill="FFFFFF"/>
                <w:vertAlign w:val="baseline"/>
              </w:rPr>
              <w:t>9</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文字模块支持设置文本段落属性、对象绕排属性时进行即时预览（鼠标指到对应格式，文档中内容跟随变化）（提供功能截图证明）</w:t>
            </w:r>
          </w:p>
          <w:p w14:paraId="0598E1E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10</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文字模块支持通过“样式管理器”实现跨文档样式复制</w:t>
            </w:r>
          </w:p>
          <w:p w14:paraId="52997C2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11</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文字模块支持以文件合并方式快速汇总不同用户填写、修改的信息</w:t>
            </w:r>
          </w:p>
          <w:p w14:paraId="303333D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12</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文字模块插入空白页时，可以选择在当前光标处、当前页之前及当前页之后插入</w:t>
            </w:r>
          </w:p>
          <w:p w14:paraId="459A435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13</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文字模块打印、打印预览支持设定是否打印批注、修订信息，支持信封设置及信封打印</w:t>
            </w:r>
          </w:p>
          <w:p w14:paraId="4FBAA39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14</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文字模块支持将多条格式相同内容不同的记录一次性显示或打印，支持合并打印到信封功能。</w:t>
            </w:r>
          </w:p>
          <w:p w14:paraId="7FB078C2">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15</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文字模块设置页眉页脚区域时，支持设置显示/隐藏正文区域内容</w:t>
            </w:r>
          </w:p>
          <w:p w14:paraId="607CD02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16</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文字模块查找替换功能支持同时将多个内容替换为多个其他内容或同时将多个内容换为一个其他内容的批量替换功能</w:t>
            </w:r>
          </w:p>
          <w:p w14:paraId="6A21363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17</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文字模块中支持表格导出功能，可将文档内当前或所有表格导出为工作表</w:t>
            </w:r>
          </w:p>
          <w:p w14:paraId="2D68795E">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18</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文字模块中支持超链接定位功能，能以上一条、下一条方式定位文档内超链接</w:t>
            </w:r>
          </w:p>
          <w:p w14:paraId="62236B4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19</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文字、表格模块支持粘贴为超链接功能：直接将文字以及单元格区域粘贴到指定位置，并创建超链接</w:t>
            </w:r>
          </w:p>
          <w:p w14:paraId="7C217C4C">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20</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文字、表格模块支持自定义颜色的护眼模式</w:t>
            </w:r>
          </w:p>
          <w:p w14:paraId="037D85DD">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文字、简报模块插入表格操作时，均支持即时预览（鼠标选择表格时，文档中实时预览插入表格）</w:t>
            </w:r>
          </w:p>
          <w:p w14:paraId="54935B0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21</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表格模块支持对文本框内文本添加项目符号或编号</w:t>
            </w:r>
          </w:p>
          <w:p w14:paraId="11168980">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22</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表格模块支持条件格式的即时预览（鼠标指到条件格式时，文档中实时预览格式变化）</w:t>
            </w:r>
          </w:p>
          <w:p w14:paraId="78BF067A">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23</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表格模块中单元格合并拆分功能支持跨越合并、合并相同单元格、拆分并填充内容方式</w:t>
            </w:r>
          </w:p>
          <w:p w14:paraId="71C0D4C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24</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表格模块支持通过“等距插入行”功能实现隔N行插入X行、支持“分类插入行”功能</w:t>
            </w:r>
          </w:p>
          <w:p w14:paraId="0B93116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25</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表格模块支持通过"监视窗口"监控单元格数值变化（非宏编辑器中的监视窗口）</w:t>
            </w:r>
          </w:p>
          <w:p w14:paraId="435E0FE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26</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表格模块中，在单元格中设置下拉列表时，支持设置选择多个选项，并按照此设置在单元格中实现多项</w:t>
            </w:r>
          </w:p>
          <w:p w14:paraId="00C02987">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27</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表格模块选中数据后，显示“快速分析”选项，可按照选择对应分析项进行所选数据的分析展示</w:t>
            </w:r>
          </w:p>
          <w:p w14:paraId="4DE226D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28</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表格模块提供数据分析、规划求解、方案、查阅向导、条件求和数据分析功能</w:t>
            </w:r>
          </w:p>
          <w:p w14:paraId="4DB29E7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29</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简报模块支持录制音频并插入</w:t>
            </w:r>
          </w:p>
          <w:p w14:paraId="0FEB7CD4">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30</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简报模块支持以颜色、灰度、纯黑白三种方式显示幻灯片</w:t>
            </w:r>
          </w:p>
          <w:p w14:paraId="0CDD4963">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31</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简报模块支持排练计时录制旁白，旁白能在后续播放时使用</w:t>
            </w:r>
          </w:p>
          <w:p w14:paraId="5A1D7D36">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32</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简报模块支持简报文档以彩色、灰度、纯黑白三种方式打印</w:t>
            </w:r>
          </w:p>
          <w:p w14:paraId="33A471B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33</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简报模块支持大纲视图，并支持大纲内容的上移/下移、折叠/展开操作。</w:t>
            </w:r>
          </w:p>
          <w:p w14:paraId="2F468C19">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34</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简报模块支持对表格设置多种样式的斜线表头</w:t>
            </w:r>
          </w:p>
          <w:p w14:paraId="4F57349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35</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简报模块支持批注回复功能</w:t>
            </w:r>
          </w:p>
          <w:p w14:paraId="770F96C8">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36</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简报模块支持水印功能，支持对多张幻灯片批量插入水印</w:t>
            </w:r>
          </w:p>
          <w:p w14:paraId="6DAEEB8F">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37</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简报模块支持对象快速布局功能，可快速生成矩阵或环状方式布局的对象组</w:t>
            </w:r>
          </w:p>
          <w:p w14:paraId="58C57895">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38</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支持将多个文字处理、电子表格、简报制作文档整合为一个集成文件,拥有统一的文件格式。</w:t>
            </w:r>
          </w:p>
          <w:p w14:paraId="18A5F9C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i w:val="0"/>
                <w:iCs w:val="0"/>
                <w:caps w:val="0"/>
                <w:color w:val="auto"/>
                <w:spacing w:val="0"/>
                <w:sz w:val="21"/>
                <w:szCs w:val="21"/>
                <w:shd w:val="clear" w:fill="FFFFFF"/>
                <w:vertAlign w:val="baseline"/>
              </w:rPr>
            </w:pPr>
            <w:r>
              <w:rPr>
                <w:rFonts w:hint="eastAsia" w:ascii="宋体" w:hAnsi="宋体" w:eastAsia="宋体" w:cs="宋体"/>
                <w:i w:val="0"/>
                <w:iCs w:val="0"/>
                <w:caps w:val="0"/>
                <w:color w:val="auto"/>
                <w:spacing w:val="0"/>
                <w:sz w:val="21"/>
                <w:szCs w:val="21"/>
                <w:shd w:val="clear" w:fill="FFFFFF"/>
                <w:vertAlign w:val="baseline"/>
              </w:rPr>
              <w:t>39</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支持集成文件内数据共享，并通过粘贴链接功能完成数据同步更新</w:t>
            </w:r>
          </w:p>
          <w:p w14:paraId="6428D4CB">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aps w:val="0"/>
                <w:color w:val="auto"/>
                <w:spacing w:val="0"/>
                <w:sz w:val="21"/>
                <w:szCs w:val="21"/>
                <w:shd w:val="clear" w:fill="FFFFFF"/>
                <w:vertAlign w:val="baseline"/>
              </w:rPr>
              <w:t>40</w:t>
            </w:r>
            <w:r>
              <w:rPr>
                <w:rFonts w:hint="eastAsia" w:ascii="宋体" w:hAnsi="宋体" w:eastAsia="宋体" w:cs="宋体"/>
                <w:i w:val="0"/>
                <w:iCs w:val="0"/>
                <w:caps w:val="0"/>
                <w:color w:val="auto"/>
                <w:spacing w:val="0"/>
                <w:sz w:val="21"/>
                <w:szCs w:val="21"/>
                <w:shd w:val="clear" w:fill="FFFFFF"/>
                <w:vertAlign w:val="baseline"/>
                <w:lang w:val="en-US" w:eastAsia="zh-CN"/>
              </w:rPr>
              <w:t>.</w:t>
            </w:r>
            <w:r>
              <w:rPr>
                <w:rFonts w:hint="eastAsia" w:ascii="宋体" w:hAnsi="宋体" w:eastAsia="宋体" w:cs="宋体"/>
                <w:i w:val="0"/>
                <w:iCs w:val="0"/>
                <w:caps w:val="0"/>
                <w:color w:val="auto"/>
                <w:spacing w:val="0"/>
                <w:sz w:val="21"/>
                <w:szCs w:val="21"/>
                <w:shd w:val="clear" w:fill="FFFFFF"/>
                <w:vertAlign w:val="baseline"/>
              </w:rPr>
              <w:t>支持包含禁止保存、禁止另存、禁止添加水印和条形码等安全控制功能</w:t>
            </w:r>
            <w:r>
              <w:rPr>
                <w:rFonts w:hint="eastAsia" w:ascii="宋体" w:hAnsi="宋体" w:eastAsia="宋体" w:cs="宋体"/>
                <w:i w:val="0"/>
                <w:iCs w:val="0"/>
                <w:caps w:val="0"/>
                <w:color w:val="auto"/>
                <w:spacing w:val="0"/>
                <w:sz w:val="21"/>
                <w:szCs w:val="21"/>
                <w:shd w:val="clear" w:fill="FFFFFF"/>
                <w:vertAlign w:val="baseline"/>
                <w:lang w:eastAsia="zh-CN"/>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1A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120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80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1E7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2"/>
                <w:sz w:val="21"/>
                <w:szCs w:val="21"/>
                <w:u w:val="none"/>
                <w:lang w:val="en-US" w:eastAsia="zh-CN" w:bidi="ar-SA"/>
              </w:rPr>
              <w:t>工业</w:t>
            </w:r>
          </w:p>
        </w:tc>
      </w:tr>
      <w:tr w14:paraId="56BC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3" w:hRule="atLeast"/>
        </w:trPr>
        <w:tc>
          <w:tcPr>
            <w:tcW w:w="97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242DF">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i w:val="0"/>
                <w:color w:val="000000"/>
                <w:kern w:val="2"/>
                <w:sz w:val="21"/>
                <w:szCs w:val="21"/>
                <w:u w:val="none"/>
                <w:lang w:val="en-US" w:eastAsia="zh-CN" w:bidi="ar-SA"/>
              </w:rPr>
            </w:pPr>
            <w:r>
              <w:rPr>
                <w:rStyle w:val="156"/>
                <w:rFonts w:hint="eastAsia" w:ascii="宋体" w:hAnsi="宋体" w:eastAsia="宋体" w:cs="宋体"/>
                <w:b/>
                <w:bCs/>
                <w:sz w:val="21"/>
                <w:szCs w:val="21"/>
                <w:lang w:val="en-US" w:eastAsia="zh-CN" w:bidi="ar"/>
              </w:rPr>
              <w:t>商务条款：</w:t>
            </w:r>
          </w:p>
        </w:tc>
      </w:tr>
      <w:tr w14:paraId="7BD0C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3" w:hRule="atLeast"/>
        </w:trPr>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66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56"/>
                <w:rFonts w:hint="eastAsia" w:ascii="宋体" w:hAnsi="宋体" w:eastAsia="宋体" w:cs="宋体"/>
                <w:b/>
                <w:bCs/>
                <w:sz w:val="21"/>
                <w:szCs w:val="21"/>
                <w:lang w:val="en-US" w:eastAsia="zh-CN" w:bidi="ar"/>
              </w:rPr>
            </w:pPr>
            <w:r>
              <w:rPr>
                <w:rFonts w:hint="eastAsia" w:ascii="宋体" w:hAnsi="宋体" w:eastAsia="宋体" w:cs="宋体"/>
                <w:sz w:val="21"/>
                <w:szCs w:val="21"/>
                <w:highlight w:val="none"/>
              </w:rPr>
              <w:t>时间及地点要求</w:t>
            </w:r>
          </w:p>
        </w:tc>
        <w:tc>
          <w:tcPr>
            <w:tcW w:w="8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037ED">
            <w:pPr>
              <w:keepNext w:val="0"/>
              <w:keepLines w:val="0"/>
              <w:pageBreakBefore w:val="0"/>
              <w:tabs>
                <w:tab w:val="left" w:pos="180"/>
                <w:tab w:val="left" w:pos="1620"/>
              </w:tabs>
              <w:kinsoku/>
              <w:wordWrap/>
              <w:overflowPunct/>
              <w:topLinePunct w:val="0"/>
              <w:autoSpaceDE/>
              <w:autoSpaceDN/>
              <w:bidi w:val="0"/>
              <w:adjustRightInd/>
              <w:snapToGrid/>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1.合同签订期：自成交通知书发出之日起</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日内签订合同。</w:t>
            </w:r>
          </w:p>
          <w:p w14:paraId="093AE22B">
            <w:pPr>
              <w:keepNext w:val="0"/>
              <w:keepLines w:val="0"/>
              <w:pageBreakBefore w:val="0"/>
              <w:tabs>
                <w:tab w:val="left" w:pos="180"/>
                <w:tab w:val="left" w:pos="1620"/>
              </w:tabs>
              <w:kinsoku/>
              <w:wordWrap/>
              <w:overflowPunct/>
              <w:topLinePunct w:val="0"/>
              <w:autoSpaceDE/>
              <w:autoSpaceDN/>
              <w:bidi w:val="0"/>
              <w:adjustRightInd/>
              <w:snapToGrid/>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2.交货期：自合同签订之日起</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日内必须交货并安装调式完毕，并达到验收条件。</w:t>
            </w:r>
          </w:p>
          <w:p w14:paraId="4AB67326">
            <w:pPr>
              <w:keepNext w:val="0"/>
              <w:keepLines w:val="0"/>
              <w:pageBreakBefore w:val="0"/>
              <w:tabs>
                <w:tab w:val="left" w:pos="180"/>
                <w:tab w:val="left" w:pos="1620"/>
              </w:tabs>
              <w:kinsoku/>
              <w:wordWrap/>
              <w:overflowPunct/>
              <w:topLinePunct w:val="0"/>
              <w:autoSpaceDE/>
              <w:autoSpaceDN/>
              <w:bidi w:val="0"/>
              <w:adjustRightInd/>
              <w:snapToGrid/>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3.交货地点：广西钦州市采购人指定地点。</w:t>
            </w:r>
          </w:p>
          <w:p w14:paraId="07432507">
            <w:pPr>
              <w:keepNext w:val="0"/>
              <w:keepLines w:val="0"/>
              <w:pageBreakBefore w:val="0"/>
              <w:tabs>
                <w:tab w:val="left" w:pos="180"/>
                <w:tab w:val="left" w:pos="1620"/>
              </w:tabs>
              <w:kinsoku/>
              <w:wordWrap/>
              <w:overflowPunct/>
              <w:topLinePunct w:val="0"/>
              <w:autoSpaceDE/>
              <w:autoSpaceDN/>
              <w:bidi w:val="0"/>
              <w:adjustRightInd/>
              <w:snapToGrid/>
              <w:spacing w:line="440" w:lineRule="exact"/>
              <w:rPr>
                <w:rStyle w:val="156"/>
                <w:rFonts w:hint="eastAsia" w:ascii="宋体" w:hAnsi="宋体" w:eastAsia="宋体" w:cs="宋体"/>
                <w:sz w:val="21"/>
                <w:szCs w:val="21"/>
                <w:lang w:val="en-US" w:eastAsia="zh-CN" w:bidi="ar"/>
              </w:rPr>
            </w:pPr>
            <w:r>
              <w:rPr>
                <w:rFonts w:hint="eastAsia" w:ascii="宋体" w:hAnsi="宋体" w:eastAsia="宋体" w:cs="宋体"/>
                <w:sz w:val="21"/>
                <w:szCs w:val="21"/>
                <w:highlight w:val="none"/>
              </w:rPr>
              <w:t>4.付款方式：本项目无预付款，自货物全部验收合格之日起10个工作日内采购人向成交供应商支付合同价款。</w:t>
            </w:r>
          </w:p>
        </w:tc>
      </w:tr>
      <w:tr w14:paraId="0FC0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8" w:hRule="atLeast"/>
        </w:trPr>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6B67">
            <w:pPr>
              <w:keepNext w:val="0"/>
              <w:keepLines w:val="0"/>
              <w:pageBreakBefore w:val="0"/>
              <w:kinsoku/>
              <w:wordWrap/>
              <w:overflowPunct/>
              <w:topLinePunct w:val="0"/>
              <w:autoSpaceDE/>
              <w:autoSpaceDN/>
              <w:bidi w:val="0"/>
              <w:adjustRightInd/>
              <w:snapToGrid/>
              <w:spacing w:line="440" w:lineRule="exact"/>
              <w:jc w:val="left"/>
              <w:rPr>
                <w:rStyle w:val="156"/>
                <w:rFonts w:hint="eastAsia" w:ascii="宋体" w:hAnsi="宋体" w:eastAsia="宋体" w:cs="宋体"/>
                <w:b/>
                <w:bCs/>
                <w:sz w:val="21"/>
                <w:szCs w:val="21"/>
                <w:lang w:val="en-US" w:eastAsia="zh-CN" w:bidi="ar"/>
              </w:rPr>
            </w:pPr>
            <w:r>
              <w:rPr>
                <w:rFonts w:hint="eastAsia" w:ascii="宋体" w:hAnsi="宋体" w:eastAsia="宋体" w:cs="宋体"/>
                <w:sz w:val="21"/>
                <w:szCs w:val="21"/>
                <w:highlight w:val="none"/>
              </w:rPr>
              <w:t>质保期</w:t>
            </w:r>
          </w:p>
        </w:tc>
        <w:tc>
          <w:tcPr>
            <w:tcW w:w="8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782C9">
            <w:pPr>
              <w:keepNext w:val="0"/>
              <w:keepLines w:val="0"/>
              <w:pageBreakBefore w:val="0"/>
              <w:kinsoku/>
              <w:wordWrap/>
              <w:overflowPunct/>
              <w:topLinePunct w:val="0"/>
              <w:autoSpaceDE/>
              <w:autoSpaceDN/>
              <w:bidi w:val="0"/>
              <w:adjustRightInd/>
              <w:snapToGrid/>
              <w:spacing w:line="440" w:lineRule="exact"/>
              <w:jc w:val="left"/>
              <w:rPr>
                <w:rStyle w:val="156"/>
                <w:rFonts w:hint="default" w:ascii="宋体" w:hAnsi="宋体" w:eastAsia="宋体" w:cs="宋体"/>
                <w:sz w:val="21"/>
                <w:szCs w:val="21"/>
                <w:lang w:val="en-US" w:eastAsia="zh-CN" w:bidi="ar"/>
              </w:rPr>
            </w:pPr>
            <w:r>
              <w:rPr>
                <w:rFonts w:hint="eastAsia" w:ascii="宋体" w:hAnsi="宋体" w:eastAsia="宋体" w:cs="宋体"/>
                <w:sz w:val="21"/>
                <w:szCs w:val="21"/>
                <w:highlight w:val="none"/>
              </w:rPr>
              <w:t>按国家有关产品“三包”规定执行“三包”，质保期除特别注明外，最短不得少于</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年。</w:t>
            </w:r>
          </w:p>
        </w:tc>
      </w:tr>
      <w:tr w14:paraId="6605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CB5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156"/>
                <w:rFonts w:hint="eastAsia" w:ascii="宋体" w:hAnsi="宋体" w:eastAsia="宋体" w:cs="宋体"/>
                <w:b/>
                <w:bCs/>
                <w:sz w:val="21"/>
                <w:szCs w:val="21"/>
                <w:lang w:val="en-US" w:eastAsia="zh-CN" w:bidi="ar"/>
              </w:rPr>
            </w:pPr>
            <w:r>
              <w:rPr>
                <w:rFonts w:hint="eastAsia" w:ascii="宋体" w:hAnsi="宋体" w:eastAsia="宋体" w:cs="宋体"/>
                <w:sz w:val="21"/>
                <w:szCs w:val="21"/>
                <w:highlight w:val="none"/>
              </w:rPr>
              <w:t>售后服务要求</w:t>
            </w:r>
          </w:p>
        </w:tc>
        <w:tc>
          <w:tcPr>
            <w:tcW w:w="8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3EDD8">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sz w:val="21"/>
                <w:szCs w:val="21"/>
                <w:highlight w:val="none"/>
              </w:rPr>
              <w:t>1.成交供应商应提供7×24小时咨询服务，对于系统设备在使用过程中出</w:t>
            </w:r>
            <w:r>
              <w:rPr>
                <w:rFonts w:hint="eastAsia" w:ascii="宋体" w:hAnsi="宋体" w:eastAsia="宋体" w:cs="宋体"/>
                <w:b w:val="0"/>
                <w:bCs w:val="0"/>
                <w:color w:val="auto"/>
                <w:sz w:val="21"/>
                <w:szCs w:val="21"/>
                <w:highlight w:val="none"/>
              </w:rPr>
              <w:t>现的问题，</w:t>
            </w:r>
            <w:r>
              <w:rPr>
                <w:rFonts w:hint="eastAsia"/>
                <w:b w:val="0"/>
                <w:bCs w:val="0"/>
                <w:color w:val="auto"/>
                <w:lang w:val="en-US" w:eastAsia="zh-CN"/>
              </w:rPr>
              <w:t>同城4h、异地12h技术响应服务</w:t>
            </w:r>
            <w:r>
              <w:rPr>
                <w:rFonts w:hint="eastAsia" w:ascii="宋体" w:hAnsi="宋体" w:eastAsia="宋体" w:cs="宋体"/>
                <w:b w:val="0"/>
                <w:bCs w:val="0"/>
                <w:color w:val="auto"/>
                <w:sz w:val="21"/>
                <w:szCs w:val="21"/>
                <w:highlight w:val="none"/>
              </w:rPr>
              <w:t>，如遇与所供产品有关的问题无法远程解决的，在接用户通知后,10小时内赶到现场提供免费服务；12小时内未解决的成交供应商应提供详细的应急解决方案，</w:t>
            </w:r>
            <w:r>
              <w:rPr>
                <w:rFonts w:hint="eastAsia" w:ascii="宋体" w:hAnsi="宋体" w:cs="宋体"/>
                <w:b w:val="0"/>
                <w:bCs w:val="0"/>
                <w:color w:val="auto"/>
                <w:sz w:val="21"/>
                <w:szCs w:val="21"/>
                <w:highlight w:val="none"/>
                <w:lang w:val="en-US" w:eastAsia="zh-CN"/>
              </w:rPr>
              <w:t>2个工作日</w:t>
            </w:r>
            <w:r>
              <w:rPr>
                <w:rFonts w:hint="eastAsia" w:ascii="宋体" w:hAnsi="宋体" w:eastAsia="宋体" w:cs="宋体"/>
                <w:b w:val="0"/>
                <w:bCs w:val="0"/>
                <w:color w:val="auto"/>
                <w:sz w:val="21"/>
                <w:szCs w:val="21"/>
                <w:highlight w:val="none"/>
              </w:rPr>
              <w:t>内修复使用，若</w:t>
            </w:r>
            <w:r>
              <w:rPr>
                <w:rFonts w:hint="eastAsia" w:ascii="宋体" w:hAnsi="宋体" w:cs="宋体"/>
                <w:b w:val="0"/>
                <w:bCs w:val="0"/>
                <w:color w:val="auto"/>
                <w:sz w:val="21"/>
                <w:szCs w:val="21"/>
                <w:highlight w:val="none"/>
                <w:lang w:val="en-US" w:eastAsia="zh-CN"/>
              </w:rPr>
              <w:t>2个工作日</w:t>
            </w:r>
            <w:r>
              <w:rPr>
                <w:rFonts w:hint="eastAsia" w:ascii="宋体" w:hAnsi="宋体" w:eastAsia="宋体" w:cs="宋体"/>
                <w:b w:val="0"/>
                <w:bCs w:val="0"/>
                <w:color w:val="auto"/>
                <w:sz w:val="21"/>
                <w:szCs w:val="21"/>
                <w:highlight w:val="none"/>
              </w:rPr>
              <w:t>内无法排除故障的，则应提供相应的备用设备以保证采购方的正常使用，因成交供应商工作延误，造成采购人损失的，成交供应商应负赔偿责任。</w:t>
            </w:r>
          </w:p>
          <w:p w14:paraId="0AC8C5CF">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2.响应文件中应注明维修保养期及维保范围，提供免费保修年限、上门保修服务及货物保养服务说明，超过免费保修期之后，紧急情况下如何处理问题的说明。</w:t>
            </w:r>
          </w:p>
          <w:p w14:paraId="7C1C9E4F">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在质量保证期内货物非因人为及不可抗拒因素的原因而引起损坏或质量问题，成交供应商应免费予以技术服务、维修或货物更换，并承担相应费用和零部件的费用。成交供应商须负责设备的免费安装调试和免费的技术培训，解决货物的使用过程出现的各种问</w:t>
            </w:r>
            <w:r>
              <w:rPr>
                <w:rFonts w:hint="eastAsia" w:ascii="宋体" w:hAnsi="宋体" w:eastAsia="宋体" w:cs="宋体"/>
                <w:color w:val="auto"/>
                <w:sz w:val="21"/>
                <w:szCs w:val="21"/>
                <w:highlight w:val="none"/>
              </w:rPr>
              <w:t>题及提供技术指导。</w:t>
            </w:r>
          </w:p>
          <w:p w14:paraId="1B67DC4A">
            <w:pPr>
              <w:keepNext w:val="0"/>
              <w:keepLines w:val="0"/>
              <w:pageBreakBefore w:val="0"/>
              <w:kinsoku/>
              <w:wordWrap/>
              <w:overflowPunct/>
              <w:topLinePunct w:val="0"/>
              <w:autoSpaceDE/>
              <w:autoSpaceDN/>
              <w:bidi w:val="0"/>
              <w:adjustRightInd/>
              <w:snapToGrid/>
              <w:spacing w:line="440" w:lineRule="exact"/>
              <w:jc w:val="left"/>
              <w:rPr>
                <w:rFonts w:hint="default" w:ascii="宋体" w:hAnsi="宋体" w:eastAsia="宋体" w:cs="宋体"/>
                <w:sz w:val="21"/>
                <w:szCs w:val="21"/>
                <w:highlight w:val="none"/>
                <w:lang w:val="en-US" w:eastAsia="zh-CN"/>
              </w:rPr>
            </w:pPr>
            <w:r>
              <w:rPr>
                <w:rFonts w:hint="eastAsia" w:ascii="宋体" w:hAnsi="宋体" w:cs="宋体"/>
                <w:color w:val="auto"/>
                <w:sz w:val="21"/>
                <w:szCs w:val="21"/>
                <w:highlight w:val="none"/>
                <w:lang w:val="en-US" w:eastAsia="zh-CN"/>
              </w:rPr>
              <w:t>4.其余按技术参数中服务要求执行。</w:t>
            </w:r>
          </w:p>
        </w:tc>
      </w:tr>
      <w:tr w14:paraId="5422A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3" w:hRule="atLeast"/>
        </w:trPr>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78E1">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156"/>
                <w:rFonts w:hint="eastAsia" w:ascii="宋体" w:hAnsi="宋体" w:eastAsia="宋体" w:cs="宋体"/>
                <w:b/>
                <w:bCs/>
                <w:sz w:val="21"/>
                <w:szCs w:val="21"/>
                <w:lang w:val="en-US" w:eastAsia="zh-CN" w:bidi="ar"/>
              </w:rPr>
            </w:pPr>
            <w:r>
              <w:rPr>
                <w:rFonts w:hint="eastAsia" w:ascii="宋体" w:hAnsi="宋体" w:eastAsia="宋体" w:cs="宋体"/>
                <w:sz w:val="21"/>
                <w:szCs w:val="21"/>
                <w:highlight w:val="none"/>
              </w:rPr>
              <w:t>验收标准</w:t>
            </w:r>
          </w:p>
        </w:tc>
        <w:tc>
          <w:tcPr>
            <w:tcW w:w="8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A4834">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验收时，采购人对成交供应商所提供的货物依照成交供应商的响应文件所承诺的技术规格要求和国家有关标准进行现场验收。性能达到技术要求的给予签收，若有一项指标不满足其响应承诺的不予签收，并按照政府采购相关法律法规和合同约定条款进行处罚，由此造成的项目延误等所有责任均由成交供应商承担。</w:t>
            </w:r>
          </w:p>
          <w:p w14:paraId="28C395BE">
            <w:pPr>
              <w:keepNext w:val="0"/>
              <w:keepLines w:val="0"/>
              <w:pageBreakBefore w:val="0"/>
              <w:kinsoku/>
              <w:wordWrap/>
              <w:overflowPunct/>
              <w:topLinePunct w:val="0"/>
              <w:autoSpaceDE/>
              <w:autoSpaceDN/>
              <w:bidi w:val="0"/>
              <w:adjustRightInd/>
              <w:snapToGrid/>
              <w:spacing w:line="440" w:lineRule="exact"/>
              <w:jc w:val="left"/>
              <w:rPr>
                <w:rStyle w:val="156"/>
                <w:rFonts w:hint="eastAsia" w:ascii="宋体" w:hAnsi="宋体" w:eastAsia="宋体" w:cs="宋体"/>
                <w:sz w:val="21"/>
                <w:szCs w:val="21"/>
                <w:lang w:val="en-US" w:eastAsia="zh-CN" w:bidi="ar"/>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为确保采购项目满足《项目需求》的技术指标和性能要求，并与采购文件、合同和响应文件保持一致，采购人享有拒收成交供应商交付的无法满足实质性技术参数要求的产品的权利</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采购人不承担供应商自身造成的损失。如果成交供应商完全未能满足合同、采购文件和响应文件中规定或承诺的技术功能要求，采购人报政府采购监督管理部门</w:t>
            </w:r>
            <w:r>
              <w:rPr>
                <w:rFonts w:hint="eastAsia" w:ascii="宋体" w:hAnsi="宋体" w:eastAsia="宋体" w:cs="宋体"/>
                <w:sz w:val="21"/>
                <w:szCs w:val="21"/>
                <w:highlight w:val="none"/>
                <w:lang w:val="en-US" w:eastAsia="zh-CN"/>
              </w:rPr>
              <w:t>处理</w:t>
            </w:r>
            <w:r>
              <w:rPr>
                <w:rFonts w:hint="eastAsia" w:ascii="宋体" w:hAnsi="宋体" w:eastAsia="宋体" w:cs="宋体"/>
                <w:sz w:val="21"/>
                <w:szCs w:val="21"/>
                <w:highlight w:val="none"/>
              </w:rPr>
              <w:t>，若存在虚假应标的情形，采购人对虚假应标的供应商追究相应的法律责任。</w:t>
            </w:r>
          </w:p>
        </w:tc>
      </w:tr>
      <w:tr w14:paraId="2DCB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45" w:hRule="atLeast"/>
        </w:trPr>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CDF1">
            <w:pPr>
              <w:keepNext w:val="0"/>
              <w:keepLines w:val="0"/>
              <w:pageBreakBefore w:val="0"/>
              <w:numPr>
                <w:ilvl w:val="0"/>
                <w:numId w:val="0"/>
              </w:numPr>
              <w:kinsoku/>
              <w:wordWrap/>
              <w:overflowPunct/>
              <w:topLinePunct w:val="0"/>
              <w:autoSpaceDE/>
              <w:autoSpaceDN/>
              <w:bidi w:val="0"/>
              <w:adjustRightInd/>
              <w:snapToGrid/>
              <w:spacing w:line="440" w:lineRule="exact"/>
              <w:ind w:leftChars="0"/>
              <w:jc w:val="left"/>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项目实施方案</w:t>
            </w:r>
          </w:p>
          <w:p w14:paraId="5EE9A4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56"/>
                <w:rFonts w:hint="eastAsia" w:ascii="宋体" w:hAnsi="宋体" w:eastAsia="宋体" w:cs="宋体"/>
                <w:b/>
                <w:bCs/>
                <w:sz w:val="21"/>
                <w:szCs w:val="21"/>
                <w:lang w:val="en-US" w:eastAsia="zh-CN" w:bidi="ar"/>
              </w:rPr>
            </w:pPr>
          </w:p>
        </w:tc>
        <w:tc>
          <w:tcPr>
            <w:tcW w:w="8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EA8B0">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供应商按照本项目的技术参数要求提供项目实施方案，包含但不限于以下内容：</w:t>
            </w:r>
          </w:p>
          <w:p w14:paraId="669A1163">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1.满足采购需求、</w:t>
            </w:r>
            <w:r>
              <w:rPr>
                <w:rFonts w:hint="eastAsia" w:ascii="宋体" w:hAnsi="宋体" w:eastAsia="宋体" w:cs="宋体"/>
                <w:sz w:val="21"/>
                <w:szCs w:val="21"/>
                <w:highlight w:val="none"/>
              </w:rPr>
              <w:t>符合采购人对采购项目管理的规范要求；</w:t>
            </w:r>
          </w:p>
          <w:p w14:paraId="00D5BAAE">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2.包含有供货方案、安装、调试方案；</w:t>
            </w:r>
          </w:p>
          <w:p w14:paraId="5F9E0E9C">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3.具有进度计划、管理控制手段、人员安排职责分工；</w:t>
            </w:r>
          </w:p>
          <w:p w14:paraId="6EE2F772">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4.项目管理策略与计划；</w:t>
            </w:r>
          </w:p>
          <w:p w14:paraId="52937EF7">
            <w:pPr>
              <w:keepNext w:val="0"/>
              <w:keepLines w:val="0"/>
              <w:pageBreakBefore w:val="0"/>
              <w:kinsoku/>
              <w:wordWrap/>
              <w:overflowPunct/>
              <w:topLinePunct w:val="0"/>
              <w:autoSpaceDE/>
              <w:autoSpaceDN/>
              <w:bidi w:val="0"/>
              <w:adjustRightInd/>
              <w:snapToGrid/>
              <w:spacing w:line="440" w:lineRule="exact"/>
              <w:jc w:val="left"/>
              <w:rPr>
                <w:rStyle w:val="156"/>
                <w:rFonts w:hint="eastAsia" w:ascii="宋体" w:hAnsi="宋体" w:eastAsia="宋体" w:cs="宋体"/>
                <w:sz w:val="21"/>
                <w:szCs w:val="21"/>
                <w:lang w:val="en-US" w:eastAsia="zh-CN" w:bidi="ar"/>
              </w:rPr>
            </w:pPr>
            <w:r>
              <w:rPr>
                <w:rFonts w:hint="eastAsia" w:ascii="宋体" w:hAnsi="宋体" w:eastAsia="宋体" w:cs="宋体"/>
                <w:sz w:val="21"/>
                <w:szCs w:val="21"/>
                <w:highlight w:val="none"/>
              </w:rPr>
              <w:t>5.质量保证措施，完工测试标准，安装调试验收方案等。</w:t>
            </w:r>
          </w:p>
        </w:tc>
      </w:tr>
      <w:tr w14:paraId="60CB4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3" w:hRule="atLeast"/>
        </w:trPr>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768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156"/>
                <w:rFonts w:hint="eastAsia" w:ascii="宋体" w:hAnsi="宋体" w:eastAsia="宋体" w:cs="宋体"/>
                <w:b/>
                <w:bCs/>
                <w:sz w:val="21"/>
                <w:szCs w:val="21"/>
                <w:lang w:val="en-US" w:eastAsia="zh-CN" w:bidi="ar"/>
              </w:rPr>
            </w:pPr>
            <w:r>
              <w:rPr>
                <w:rFonts w:hint="eastAsia" w:ascii="宋体" w:hAnsi="宋体" w:eastAsia="宋体" w:cs="宋体"/>
                <w:sz w:val="21"/>
                <w:szCs w:val="21"/>
                <w:highlight w:val="none"/>
              </w:rPr>
              <w:t>报价要求</w:t>
            </w:r>
          </w:p>
        </w:tc>
        <w:tc>
          <w:tcPr>
            <w:tcW w:w="81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72B60">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报价为采购人指定地点的现场交货价，包括：</w:t>
            </w:r>
          </w:p>
          <w:p w14:paraId="2AA6CB89">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1.货款和安装调试费、服务费、验收费、税费；</w:t>
            </w:r>
          </w:p>
          <w:p w14:paraId="310D3DF3">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2.货物的标准附件、备品备件、专用工具的价格；</w:t>
            </w:r>
          </w:p>
          <w:p w14:paraId="3036A632">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3.运输、装卸、调试、培训、技术支持、售后服务费；</w:t>
            </w:r>
          </w:p>
          <w:p w14:paraId="00700B6D">
            <w:pPr>
              <w:keepNext w:val="0"/>
              <w:keepLines w:val="0"/>
              <w:pageBreakBefore w:val="0"/>
              <w:kinsoku/>
              <w:wordWrap/>
              <w:overflowPunct/>
              <w:topLinePunct w:val="0"/>
              <w:autoSpaceDE/>
              <w:autoSpaceDN/>
              <w:bidi w:val="0"/>
              <w:adjustRightInd/>
              <w:snapToGrid/>
              <w:spacing w:line="440" w:lineRule="exact"/>
              <w:jc w:val="left"/>
              <w:rPr>
                <w:rStyle w:val="156"/>
                <w:rFonts w:hint="eastAsia" w:ascii="宋体" w:hAnsi="宋体" w:eastAsia="宋体" w:cs="宋体"/>
                <w:sz w:val="21"/>
                <w:szCs w:val="21"/>
                <w:lang w:val="en-US" w:eastAsia="zh-CN" w:bidi="ar"/>
              </w:rPr>
            </w:pPr>
            <w:r>
              <w:rPr>
                <w:rFonts w:hint="eastAsia" w:ascii="宋体" w:hAnsi="宋体" w:eastAsia="宋体" w:cs="宋体"/>
                <w:sz w:val="21"/>
                <w:szCs w:val="21"/>
                <w:highlight w:val="none"/>
              </w:rPr>
              <w:t>4.保险费和其他各项成本费用。</w:t>
            </w:r>
          </w:p>
        </w:tc>
      </w:tr>
    </w:tbl>
    <w:p w14:paraId="3B52BA31">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1"/>
          <w:szCs w:val="21"/>
        </w:rPr>
      </w:pPr>
    </w:p>
    <w:p w14:paraId="518170DA">
      <w:pPr>
        <w:keepNext w:val="0"/>
        <w:keepLines w:val="0"/>
        <w:pageBreakBefore w:val="0"/>
        <w:widowControl/>
        <w:kinsoku/>
        <w:wordWrap/>
        <w:overflowPunct/>
        <w:topLinePunct w:val="0"/>
        <w:autoSpaceDE/>
        <w:autoSpaceDN/>
        <w:bidi w:val="0"/>
        <w:adjustRightInd/>
        <w:snapToGrid/>
        <w:spacing w:after="0" w:line="400" w:lineRule="exact"/>
        <w:ind w:right="0"/>
        <w:jc w:val="left"/>
        <w:textAlignment w:val="baseline"/>
        <w:rPr>
          <w:rFonts w:hint="eastAsia" w:ascii="黑体" w:hAnsi="黑体" w:eastAsia="黑体" w:cs="黑体"/>
          <w:color w:val="000000"/>
          <w:spacing w:val="0"/>
          <w:w w:val="100"/>
          <w:sz w:val="30"/>
          <w:szCs w:val="30"/>
          <w:vertAlign w:val="baseline"/>
          <w:lang w:val="en-US" w:eastAsia="zh-CN"/>
        </w:rPr>
      </w:pPr>
    </w:p>
    <w:p w14:paraId="2FA70F6C">
      <w:pPr>
        <w:keepNext w:val="0"/>
        <w:keepLines w:val="0"/>
        <w:pageBreakBefore w:val="0"/>
        <w:widowControl/>
        <w:kinsoku/>
        <w:wordWrap/>
        <w:overflowPunct/>
        <w:topLinePunct w:val="0"/>
        <w:autoSpaceDE/>
        <w:autoSpaceDN/>
        <w:bidi w:val="0"/>
        <w:adjustRightInd/>
        <w:snapToGrid/>
        <w:spacing w:after="0" w:line="400" w:lineRule="exact"/>
        <w:ind w:right="0"/>
        <w:jc w:val="left"/>
        <w:textAlignment w:val="baseline"/>
        <w:rPr>
          <w:rFonts w:hint="eastAsia" w:ascii="黑体" w:hAnsi="黑体" w:eastAsia="黑体" w:cs="黑体"/>
          <w:color w:val="000000"/>
          <w:spacing w:val="0"/>
          <w:w w:val="100"/>
          <w:sz w:val="30"/>
          <w:szCs w:val="30"/>
          <w:vertAlign w:val="baseline"/>
          <w:lang w:val="en-US" w:eastAsia="zh-CN"/>
        </w:rPr>
      </w:pPr>
    </w:p>
    <w:p w14:paraId="22471C0A">
      <w:pPr>
        <w:keepNext w:val="0"/>
        <w:keepLines w:val="0"/>
        <w:pageBreakBefore w:val="0"/>
        <w:widowControl/>
        <w:kinsoku/>
        <w:wordWrap/>
        <w:overflowPunct/>
        <w:topLinePunct w:val="0"/>
        <w:autoSpaceDE/>
        <w:autoSpaceDN/>
        <w:bidi w:val="0"/>
        <w:adjustRightInd/>
        <w:snapToGrid/>
        <w:spacing w:after="0" w:line="400" w:lineRule="exact"/>
        <w:ind w:right="0"/>
        <w:jc w:val="left"/>
        <w:textAlignment w:val="baseline"/>
        <w:rPr>
          <w:rFonts w:hint="eastAsia" w:ascii="黑体" w:hAnsi="黑体" w:eastAsia="黑体" w:cs="黑体"/>
          <w:color w:val="000000"/>
          <w:spacing w:val="0"/>
          <w:w w:val="100"/>
          <w:sz w:val="30"/>
          <w:szCs w:val="30"/>
          <w:vertAlign w:val="baseline"/>
          <w:lang w:val="en-US" w:eastAsia="zh-CN"/>
        </w:rPr>
      </w:pPr>
    </w:p>
    <w:p w14:paraId="2C3B003F">
      <w:pPr>
        <w:keepNext w:val="0"/>
        <w:keepLines w:val="0"/>
        <w:pageBreakBefore w:val="0"/>
        <w:widowControl/>
        <w:kinsoku/>
        <w:wordWrap/>
        <w:overflowPunct/>
        <w:topLinePunct w:val="0"/>
        <w:autoSpaceDE/>
        <w:autoSpaceDN/>
        <w:bidi w:val="0"/>
        <w:adjustRightInd/>
        <w:snapToGrid/>
        <w:spacing w:after="0" w:line="400" w:lineRule="exact"/>
        <w:ind w:right="0"/>
        <w:jc w:val="left"/>
        <w:textAlignment w:val="baseline"/>
        <w:rPr>
          <w:rFonts w:hint="eastAsia" w:ascii="黑体" w:hAnsi="黑体" w:eastAsia="黑体" w:cs="黑体"/>
          <w:color w:val="000000"/>
          <w:spacing w:val="0"/>
          <w:w w:val="100"/>
          <w:sz w:val="30"/>
          <w:szCs w:val="30"/>
          <w:vertAlign w:val="baseline"/>
          <w:lang w:val="en-US" w:eastAsia="zh-CN"/>
        </w:rPr>
      </w:pPr>
    </w:p>
    <w:p w14:paraId="7FAA1B4B">
      <w:pPr>
        <w:keepNext w:val="0"/>
        <w:keepLines w:val="0"/>
        <w:pageBreakBefore w:val="0"/>
        <w:widowControl/>
        <w:kinsoku/>
        <w:wordWrap/>
        <w:overflowPunct/>
        <w:topLinePunct w:val="0"/>
        <w:autoSpaceDE/>
        <w:autoSpaceDN/>
        <w:bidi w:val="0"/>
        <w:adjustRightInd/>
        <w:snapToGrid/>
        <w:spacing w:after="0" w:line="400" w:lineRule="exact"/>
        <w:ind w:right="0"/>
        <w:jc w:val="left"/>
        <w:textAlignment w:val="baseline"/>
        <w:rPr>
          <w:rFonts w:hint="eastAsia" w:ascii="黑体" w:hAnsi="黑体" w:eastAsia="黑体" w:cs="黑体"/>
          <w:color w:val="000000"/>
          <w:spacing w:val="0"/>
          <w:w w:val="100"/>
          <w:sz w:val="30"/>
          <w:szCs w:val="30"/>
          <w:vertAlign w:val="baseline"/>
          <w:lang w:val="en-US" w:eastAsia="zh-CN"/>
        </w:rPr>
      </w:pPr>
    </w:p>
    <w:p w14:paraId="24426A8A">
      <w:pPr>
        <w:tabs>
          <w:tab w:val="left" w:pos="1001"/>
        </w:tabs>
        <w:bidi w:val="0"/>
        <w:jc w:val="left"/>
        <w:sectPr>
          <w:headerReference r:id="rId6" w:type="default"/>
          <w:footerReference r:id="rId7" w:type="default"/>
          <w:pgSz w:w="11909" w:h="16838"/>
          <w:pgMar w:top="1420" w:right="1190" w:bottom="802" w:left="1180" w:header="720" w:footer="720" w:gutter="0"/>
          <w:pgNumType w:fmt="numberInDash"/>
          <w:cols w:space="720" w:num="1"/>
        </w:sectPr>
      </w:pPr>
    </w:p>
    <w:p w14:paraId="71EBBDCC">
      <w:pPr>
        <w:spacing w:before="129" w:after="0" w:line="191" w:lineRule="exact"/>
        <w:ind w:left="0" w:right="0" w:firstLine="0"/>
        <w:jc w:val="left"/>
        <w:textAlignment w:val="baseline"/>
        <w:rPr>
          <w:rFonts w:ascii="宋体" w:hAnsi="宋体" w:eastAsia="宋体"/>
          <w:color w:val="000000"/>
          <w:spacing w:val="-4"/>
          <w:w w:val="100"/>
          <w:sz w:val="15"/>
          <w:vertAlign w:val="baseline"/>
          <w:lang w:val="zh-CN"/>
        </w:rPr>
      </w:pPr>
    </w:p>
    <w:p w14:paraId="5EE2C8BF">
      <w:pPr>
        <w:keepNext w:val="0"/>
        <w:keepLines w:val="0"/>
        <w:pageBreakBefore w:val="0"/>
        <w:widowControl/>
        <w:kinsoku/>
        <w:wordWrap/>
        <w:overflowPunct/>
        <w:topLinePunct w:val="0"/>
        <w:autoSpaceDE/>
        <w:autoSpaceDN/>
        <w:bidi w:val="0"/>
        <w:adjustRightInd/>
        <w:snapToGrid/>
        <w:spacing w:after="0" w:line="400" w:lineRule="exact"/>
        <w:ind w:right="0"/>
        <w:jc w:val="left"/>
        <w:textAlignment w:val="baseline"/>
        <w:rPr>
          <w:rFonts w:hint="default" w:ascii="黑体" w:hAnsi="黑体" w:eastAsia="黑体" w:cs="黑体"/>
          <w:color w:val="000000"/>
          <w:spacing w:val="0"/>
          <w:w w:val="100"/>
          <w:sz w:val="30"/>
          <w:szCs w:val="30"/>
          <w:vertAlign w:val="baseline"/>
          <w:lang w:val="en-US" w:eastAsia="zh-CN"/>
        </w:rPr>
      </w:pPr>
    </w:p>
    <w:p w14:paraId="0D2E9543">
      <w:pPr>
        <w:pStyle w:val="2"/>
        <w:spacing w:line="400" w:lineRule="exact"/>
        <w:jc w:val="both"/>
        <w:rPr>
          <w:rFonts w:hint="eastAsia" w:ascii="方正小标宋简体" w:eastAsia="方正小标宋简体"/>
        </w:rPr>
      </w:pPr>
    </w:p>
    <w:p w14:paraId="71A99CE7">
      <w:pPr>
        <w:rPr>
          <w:rFonts w:hint="eastAsia" w:ascii="方正小标宋简体" w:eastAsia="方正小标宋简体"/>
        </w:rPr>
      </w:pPr>
    </w:p>
    <w:p w14:paraId="5F7DFC10">
      <w:pPr>
        <w:rPr>
          <w:rFonts w:hint="eastAsia" w:ascii="方正小标宋简体" w:eastAsia="方正小标宋简体"/>
        </w:rPr>
      </w:pPr>
    </w:p>
    <w:p w14:paraId="77AACCDA">
      <w:pPr>
        <w:rPr>
          <w:rFonts w:hint="eastAsia" w:ascii="方正小标宋简体" w:eastAsia="方正小标宋简体"/>
        </w:rPr>
      </w:pPr>
    </w:p>
    <w:p w14:paraId="7719E5B1">
      <w:pPr>
        <w:pStyle w:val="2"/>
        <w:spacing w:line="400" w:lineRule="exact"/>
        <w:rPr>
          <w:rFonts w:hint="eastAsia" w:ascii="方正小标宋简体" w:eastAsia="方正小标宋简体"/>
        </w:rPr>
      </w:pPr>
    </w:p>
    <w:p w14:paraId="2DC5B2A5">
      <w:pPr>
        <w:pStyle w:val="2"/>
        <w:spacing w:line="400" w:lineRule="exact"/>
        <w:rPr>
          <w:rFonts w:ascii="方正小标宋简体" w:eastAsia="方正小标宋简体"/>
        </w:rPr>
      </w:pPr>
      <w:r>
        <w:rPr>
          <w:rFonts w:hint="eastAsia" w:ascii="方正小标宋简体" w:eastAsia="方正小标宋简体"/>
        </w:rPr>
        <w:t>第三章  供应商须知</w:t>
      </w:r>
      <w:bookmarkEnd w:id="38"/>
      <w:bookmarkEnd w:id="39"/>
      <w:bookmarkEnd w:id="40"/>
    </w:p>
    <w:p w14:paraId="47D098F9">
      <w:pPr>
        <w:jc w:val="center"/>
      </w:pPr>
      <w:bookmarkStart w:id="41" w:name="_Toc358477281"/>
      <w:bookmarkStart w:id="42" w:name="_Toc357157408"/>
      <w:bookmarkStart w:id="43" w:name="_Toc350325671"/>
      <w:bookmarkStart w:id="44" w:name="_Toc354479499"/>
      <w:r>
        <w:rPr>
          <w:rFonts w:ascii="仿宋_GB2312" w:hAnsi="宋体" w:eastAsia="仿宋_GB2312"/>
          <w:b/>
          <w:sz w:val="32"/>
          <w:szCs w:val="32"/>
        </w:rPr>
        <w:br w:type="page"/>
      </w:r>
    </w:p>
    <w:p w14:paraId="5B63213A">
      <w:pPr>
        <w:jc w:val="center"/>
        <w:rPr>
          <w:rFonts w:ascii="黑体" w:hAnsi="黑体" w:eastAsia="黑体"/>
          <w:b/>
          <w:sz w:val="32"/>
          <w:szCs w:val="32"/>
        </w:rPr>
      </w:pPr>
      <w:r>
        <w:rPr>
          <w:rFonts w:hint="eastAsia" w:ascii="黑体" w:hAnsi="黑体" w:eastAsia="黑体"/>
          <w:b/>
          <w:sz w:val="32"/>
          <w:szCs w:val="32"/>
        </w:rPr>
        <w:t>一、供应商须知前附表</w:t>
      </w:r>
    </w:p>
    <w:tbl>
      <w:tblPr>
        <w:tblStyle w:val="40"/>
        <w:tblW w:w="9351" w:type="dxa"/>
        <w:jc w:val="center"/>
        <w:tblLayout w:type="fixed"/>
        <w:tblCellMar>
          <w:top w:w="0" w:type="dxa"/>
          <w:left w:w="108" w:type="dxa"/>
          <w:bottom w:w="0" w:type="dxa"/>
          <w:right w:w="108" w:type="dxa"/>
        </w:tblCellMar>
      </w:tblPr>
      <w:tblGrid>
        <w:gridCol w:w="704"/>
        <w:gridCol w:w="8647"/>
      </w:tblGrid>
      <w:tr w14:paraId="53271C98">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5B57CFE">
            <w:pPr>
              <w:widowControl/>
              <w:spacing w:line="320" w:lineRule="exact"/>
              <w:jc w:val="center"/>
              <w:rPr>
                <w:rFonts w:ascii="宋体" w:hAnsi="宋体" w:cs="宋体"/>
                <w:kern w:val="0"/>
                <w:szCs w:val="21"/>
              </w:rPr>
            </w:pPr>
            <w:r>
              <w:rPr>
                <w:rFonts w:hint="eastAsia" w:ascii="宋体" w:hAnsi="宋体" w:cs="宋体"/>
                <w:kern w:val="0"/>
                <w:szCs w:val="21"/>
              </w:rPr>
              <w:t>序号</w:t>
            </w:r>
          </w:p>
        </w:tc>
        <w:tc>
          <w:tcPr>
            <w:tcW w:w="8647" w:type="dxa"/>
            <w:tcBorders>
              <w:top w:val="single" w:color="000000" w:sz="4" w:space="0"/>
              <w:left w:val="nil"/>
              <w:bottom w:val="single" w:color="000000" w:sz="4" w:space="0"/>
              <w:right w:val="single" w:color="000000" w:sz="4" w:space="0"/>
            </w:tcBorders>
            <w:vAlign w:val="center"/>
          </w:tcPr>
          <w:p w14:paraId="0108819A">
            <w:pPr>
              <w:widowControl/>
              <w:spacing w:line="320" w:lineRule="exact"/>
              <w:jc w:val="center"/>
              <w:rPr>
                <w:rFonts w:ascii="宋体" w:hAnsi="宋体" w:cs="宋体"/>
                <w:kern w:val="0"/>
                <w:szCs w:val="21"/>
              </w:rPr>
            </w:pPr>
            <w:r>
              <w:rPr>
                <w:rFonts w:hint="eastAsia" w:ascii="宋体" w:hAnsi="宋体" w:cs="宋体"/>
                <w:kern w:val="0"/>
                <w:szCs w:val="21"/>
              </w:rPr>
              <w:t>内    容</w:t>
            </w:r>
          </w:p>
        </w:tc>
      </w:tr>
      <w:tr w14:paraId="3B9F6A56">
        <w:tblPrEx>
          <w:tblCellMar>
            <w:top w:w="0" w:type="dxa"/>
            <w:left w:w="108" w:type="dxa"/>
            <w:bottom w:w="0" w:type="dxa"/>
            <w:right w:w="108" w:type="dxa"/>
          </w:tblCellMar>
        </w:tblPrEx>
        <w:trPr>
          <w:trHeight w:val="9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04D96B4">
            <w:pPr>
              <w:widowControl/>
              <w:spacing w:line="440" w:lineRule="exact"/>
              <w:jc w:val="center"/>
              <w:rPr>
                <w:rFonts w:ascii="宋体" w:hAnsi="宋体" w:cs="宋体"/>
                <w:kern w:val="0"/>
                <w:szCs w:val="21"/>
              </w:rPr>
            </w:pPr>
            <w:r>
              <w:rPr>
                <w:rFonts w:hint="eastAsia" w:ascii="宋体" w:hAnsi="宋体" w:cs="宋体"/>
                <w:kern w:val="0"/>
                <w:szCs w:val="21"/>
              </w:rPr>
              <w:t>1</w:t>
            </w:r>
          </w:p>
        </w:tc>
        <w:tc>
          <w:tcPr>
            <w:tcW w:w="8647" w:type="dxa"/>
            <w:tcBorders>
              <w:top w:val="single" w:color="000000" w:sz="4" w:space="0"/>
              <w:left w:val="nil"/>
              <w:bottom w:val="single" w:color="000000" w:sz="4" w:space="0"/>
              <w:right w:val="single" w:color="000000" w:sz="4" w:space="0"/>
            </w:tcBorders>
            <w:vAlign w:val="center"/>
          </w:tcPr>
          <w:p w14:paraId="757371A2">
            <w:pPr>
              <w:spacing w:line="440" w:lineRule="exact"/>
              <w:ind w:right="-334" w:rightChars="-159"/>
              <w:rPr>
                <w:rStyle w:val="47"/>
                <w:rFonts w:hint="eastAsia" w:eastAsia="宋体"/>
                <w:color w:val="auto"/>
                <w:szCs w:val="21"/>
                <w:u w:val="none"/>
                <w:lang w:eastAsia="zh-CN"/>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fldChar w:fldCharType="separate"/>
            </w:r>
            <w:r>
              <w:rPr>
                <w:rStyle w:val="47"/>
                <w:rFonts w:hint="eastAsia" w:ascii="宋体" w:hAnsi="宋体" w:cs="宋体"/>
                <w:color w:val="auto"/>
                <w:kern w:val="0"/>
                <w:szCs w:val="21"/>
                <w:u w:val="none"/>
              </w:rPr>
              <w:t>项目名称：</w:t>
            </w:r>
            <w:r>
              <w:rPr>
                <w:rFonts w:hint="eastAsia"/>
                <w:lang w:eastAsia="zh-CN"/>
              </w:rPr>
              <w:t>钦州市外国语学校新校区办公室信创计算机设备采购项目</w:t>
            </w:r>
          </w:p>
          <w:p w14:paraId="55854724">
            <w:pPr>
              <w:widowControl/>
              <w:spacing w:line="440" w:lineRule="exact"/>
              <w:rPr>
                <w:rFonts w:hint="eastAsia" w:ascii="宋体" w:hAnsi="宋体" w:eastAsia="宋体"/>
                <w:szCs w:val="21"/>
                <w:lang w:eastAsia="zh-CN"/>
              </w:rPr>
            </w:pPr>
            <w:r>
              <w:rPr>
                <w:rStyle w:val="47"/>
                <w:rFonts w:hint="eastAsia" w:ascii="宋体" w:hAnsi="宋体"/>
                <w:color w:val="auto"/>
                <w:szCs w:val="21"/>
                <w:u w:val="none"/>
              </w:rPr>
              <w:t>项目编号：</w:t>
            </w:r>
            <w:r>
              <w:rPr>
                <w:rFonts w:ascii="宋体" w:hAnsi="宋体" w:cs="宋体"/>
                <w:kern w:val="0"/>
                <w:szCs w:val="21"/>
              </w:rPr>
              <w:fldChar w:fldCharType="end"/>
            </w:r>
            <w:r>
              <w:rPr>
                <w:rFonts w:hint="eastAsia"/>
                <w:lang w:eastAsia="zh-CN"/>
              </w:rPr>
              <w:t>QZZC2025-J1-990214-QZSZ</w:t>
            </w:r>
          </w:p>
        </w:tc>
      </w:tr>
      <w:tr w14:paraId="584C7663">
        <w:tblPrEx>
          <w:tblCellMar>
            <w:top w:w="0" w:type="dxa"/>
            <w:left w:w="108" w:type="dxa"/>
            <w:bottom w:w="0" w:type="dxa"/>
            <w:right w:w="108" w:type="dxa"/>
          </w:tblCellMar>
        </w:tblPrEx>
        <w:trPr>
          <w:trHeight w:val="133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CD8F8A">
            <w:pPr>
              <w:widowControl/>
              <w:spacing w:line="440" w:lineRule="exact"/>
              <w:jc w:val="center"/>
              <w:rPr>
                <w:rFonts w:ascii="宋体" w:hAnsi="宋体" w:cs="宋体"/>
                <w:kern w:val="0"/>
                <w:szCs w:val="21"/>
              </w:rPr>
            </w:pPr>
            <w:r>
              <w:rPr>
                <w:rFonts w:hint="eastAsia" w:ascii="宋体" w:hAnsi="宋体" w:cs="宋体"/>
                <w:kern w:val="0"/>
                <w:szCs w:val="21"/>
              </w:rPr>
              <w:t>2</w:t>
            </w:r>
          </w:p>
        </w:tc>
        <w:tc>
          <w:tcPr>
            <w:tcW w:w="8647" w:type="dxa"/>
            <w:tcBorders>
              <w:top w:val="single" w:color="000000" w:sz="4" w:space="0"/>
              <w:left w:val="nil"/>
              <w:bottom w:val="single" w:color="000000" w:sz="4" w:space="0"/>
              <w:right w:val="single" w:color="000000" w:sz="4" w:space="0"/>
            </w:tcBorders>
            <w:vAlign w:val="center"/>
          </w:tcPr>
          <w:p w14:paraId="6B2DC4E0">
            <w:pPr>
              <w:spacing w:line="440" w:lineRule="exact"/>
              <w:rPr>
                <w:rStyle w:val="47"/>
                <w:rFonts w:ascii="宋体" w:hAnsi="宋体"/>
                <w:color w:val="auto"/>
                <w:u w:val="none"/>
              </w:rPr>
            </w:pPr>
            <w:r>
              <w:rPr>
                <w:rFonts w:ascii="宋体" w:hAnsi="宋体"/>
              </w:rPr>
              <w:fldChar w:fldCharType="begin"/>
            </w:r>
            <w:r>
              <w:rPr>
                <w:rFonts w:ascii="宋体" w:hAnsi="宋体"/>
              </w:rPr>
              <w:instrText xml:space="preserve"> </w:instrText>
            </w:r>
            <w:r>
              <w:rPr>
                <w:rFonts w:hint="eastAsia" w:ascii="宋体" w:hAnsi="宋体"/>
              </w:rPr>
              <w:instrText xml:space="preserve">HYPERLINK </w:instrText>
            </w:r>
            <w:r>
              <w:rPr>
                <w:rFonts w:ascii="宋体" w:hAnsi="宋体"/>
              </w:rPr>
              <w:instrText xml:space="preserve"> \l "_一、总_则" </w:instrText>
            </w:r>
            <w:r>
              <w:rPr>
                <w:rFonts w:ascii="宋体" w:hAnsi="宋体"/>
              </w:rPr>
              <w:fldChar w:fldCharType="separate"/>
            </w:r>
            <w:r>
              <w:rPr>
                <w:rStyle w:val="47"/>
                <w:rFonts w:hint="eastAsia" w:ascii="宋体" w:hAnsi="宋体"/>
                <w:color w:val="auto"/>
                <w:u w:val="none"/>
              </w:rPr>
              <w:t>供应商资格：</w:t>
            </w:r>
          </w:p>
          <w:p w14:paraId="61035A29">
            <w:pPr>
              <w:spacing w:line="400" w:lineRule="exact"/>
              <w:ind w:firstLine="420"/>
              <w:rPr>
                <w:b/>
              </w:rPr>
            </w:pPr>
            <w:r>
              <w:rPr>
                <w:rFonts w:ascii="宋体" w:hAnsi="宋体"/>
              </w:rPr>
              <w:fldChar w:fldCharType="end"/>
            </w:r>
            <w:r>
              <w:rPr>
                <w:rFonts w:hint="eastAsia"/>
              </w:rPr>
              <w:t>1.满足《中华人民共和国政府采购法》第二十二条规定</w:t>
            </w:r>
          </w:p>
          <w:p w14:paraId="11D134DA">
            <w:pPr>
              <w:spacing w:line="400" w:lineRule="exact"/>
              <w:ind w:firstLine="420"/>
            </w:pPr>
            <w:r>
              <w:rPr>
                <w:rFonts w:hint="eastAsia"/>
              </w:rPr>
              <w:t>2.落实政府采购政策需满足的资格要求：无 </w:t>
            </w:r>
          </w:p>
          <w:p w14:paraId="0766FCF3">
            <w:pPr>
              <w:spacing w:line="400" w:lineRule="exact"/>
              <w:ind w:firstLine="435"/>
              <w:rPr>
                <w:rFonts w:ascii="宋体" w:hAnsi="宋体"/>
              </w:rPr>
            </w:pPr>
            <w:r>
              <w:rPr>
                <w:rFonts w:hint="eastAsia"/>
              </w:rPr>
              <w:t>3.本项目的特定资格要求：无</w:t>
            </w:r>
          </w:p>
        </w:tc>
      </w:tr>
      <w:tr w14:paraId="02870C2B">
        <w:tblPrEx>
          <w:tblCellMar>
            <w:top w:w="0" w:type="dxa"/>
            <w:left w:w="108" w:type="dxa"/>
            <w:bottom w:w="0" w:type="dxa"/>
            <w:right w:w="108" w:type="dxa"/>
          </w:tblCellMar>
        </w:tblPrEx>
        <w:trPr>
          <w:trHeight w:val="9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1BF7D04">
            <w:pPr>
              <w:widowControl/>
              <w:spacing w:line="440" w:lineRule="exact"/>
              <w:jc w:val="center"/>
              <w:rPr>
                <w:rFonts w:ascii="宋体" w:hAnsi="宋体" w:cs="宋体"/>
                <w:kern w:val="0"/>
                <w:szCs w:val="21"/>
              </w:rPr>
            </w:pPr>
            <w:r>
              <w:rPr>
                <w:rFonts w:ascii="宋体" w:hAnsi="宋体" w:cs="宋体"/>
                <w:kern w:val="0"/>
                <w:szCs w:val="21"/>
              </w:rPr>
              <w:t>3</w:t>
            </w:r>
          </w:p>
        </w:tc>
        <w:tc>
          <w:tcPr>
            <w:tcW w:w="8647" w:type="dxa"/>
            <w:tcBorders>
              <w:top w:val="single" w:color="000000" w:sz="4" w:space="0"/>
              <w:left w:val="nil"/>
              <w:bottom w:val="single" w:color="000000" w:sz="4" w:space="0"/>
              <w:right w:val="single" w:color="000000" w:sz="4" w:space="0"/>
            </w:tcBorders>
            <w:vAlign w:val="center"/>
          </w:tcPr>
          <w:p w14:paraId="1A3C510C">
            <w:pPr>
              <w:spacing w:line="440" w:lineRule="exact"/>
              <w:rPr>
                <w:rFonts w:ascii="宋体" w:hAnsi="宋体"/>
              </w:rPr>
            </w:pPr>
            <w:r>
              <w:fldChar w:fldCharType="begin"/>
            </w:r>
            <w:r>
              <w:instrText xml:space="preserve"> HYPERLINK \l "_（五）报价" </w:instrText>
            </w:r>
            <w:r>
              <w:fldChar w:fldCharType="separate"/>
            </w:r>
            <w:r>
              <w:rPr>
                <w:rStyle w:val="47"/>
                <w:rFonts w:hint="eastAsia" w:ascii="宋体" w:hAnsi="宋体" w:cs="宋体"/>
                <w:color w:val="auto"/>
                <w:kern w:val="0"/>
                <w:szCs w:val="21"/>
                <w:u w:val="none"/>
              </w:rPr>
              <w:t>报价：供应商的报价必须按采购文件或广西政府采购云平台规定的格式填写，并在规定时间内提交最后报价。</w:t>
            </w:r>
            <w:r>
              <w:rPr>
                <w:rStyle w:val="47"/>
                <w:rFonts w:hint="eastAsia" w:ascii="宋体" w:hAnsi="宋体" w:cs="宋体"/>
                <w:color w:val="auto"/>
                <w:kern w:val="0"/>
                <w:szCs w:val="21"/>
                <w:u w:val="none"/>
              </w:rPr>
              <w:fldChar w:fldCharType="end"/>
            </w:r>
          </w:p>
        </w:tc>
      </w:tr>
      <w:tr w14:paraId="690D5915">
        <w:tblPrEx>
          <w:tblCellMar>
            <w:top w:w="0" w:type="dxa"/>
            <w:left w:w="108" w:type="dxa"/>
            <w:bottom w:w="0" w:type="dxa"/>
            <w:right w:w="108" w:type="dxa"/>
          </w:tblCellMar>
        </w:tblPrEx>
        <w:trPr>
          <w:trHeight w:val="19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46B7635">
            <w:pPr>
              <w:widowControl/>
              <w:spacing w:line="440" w:lineRule="exact"/>
              <w:jc w:val="center"/>
              <w:rPr>
                <w:rFonts w:ascii="宋体" w:hAnsi="宋体" w:cs="宋体"/>
                <w:kern w:val="0"/>
                <w:szCs w:val="21"/>
              </w:rPr>
            </w:pPr>
            <w:r>
              <w:rPr>
                <w:rFonts w:hint="eastAsia" w:ascii="宋体" w:hAnsi="宋体" w:cs="宋体"/>
                <w:kern w:val="0"/>
                <w:szCs w:val="21"/>
              </w:rPr>
              <w:t>4</w:t>
            </w:r>
          </w:p>
        </w:tc>
        <w:tc>
          <w:tcPr>
            <w:tcW w:w="8647" w:type="dxa"/>
            <w:tcBorders>
              <w:top w:val="single" w:color="000000" w:sz="4" w:space="0"/>
              <w:left w:val="nil"/>
              <w:bottom w:val="single" w:color="000000" w:sz="4" w:space="0"/>
              <w:right w:val="single" w:color="000000" w:sz="4" w:space="0"/>
            </w:tcBorders>
            <w:vAlign w:val="center"/>
          </w:tcPr>
          <w:p w14:paraId="04455BAD">
            <w:pPr>
              <w:widowControl/>
              <w:spacing w:line="440" w:lineRule="exact"/>
              <w:rPr>
                <w:rStyle w:val="47"/>
                <w:rFonts w:ascii="宋体" w:hAnsi="宋体"/>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fldChar w:fldCharType="separate"/>
            </w:r>
            <w:r>
              <w:rPr>
                <w:rStyle w:val="47"/>
                <w:rFonts w:hint="eastAsia" w:ascii="宋体" w:hAnsi="宋体" w:cs="宋体"/>
                <w:color w:val="auto"/>
                <w:kern w:val="0"/>
                <w:szCs w:val="21"/>
                <w:u w:val="none"/>
              </w:rPr>
              <w:t>响应文件提交截止时间及开启时间：</w:t>
            </w:r>
            <w:r>
              <w:rPr>
                <w:rFonts w:hint="eastAsia" w:ascii="宋体" w:hAnsi="宋体"/>
                <w:szCs w:val="21"/>
              </w:rPr>
              <w:t>202</w:t>
            </w:r>
            <w:r>
              <w:rPr>
                <w:rFonts w:hint="eastAsia" w:ascii="宋体" w:hAnsi="宋体"/>
                <w:szCs w:val="21"/>
                <w:lang w:val="en-US" w:eastAsia="zh-CN"/>
              </w:rPr>
              <w:t>5</w:t>
            </w:r>
            <w:r>
              <w:rPr>
                <w:rFonts w:hint="eastAsia" w:ascii="宋体" w:hAnsi="宋体"/>
                <w:bCs/>
                <w:szCs w:val="21"/>
              </w:rPr>
              <w:t>年</w:t>
            </w:r>
            <w:r>
              <w:rPr>
                <w:rFonts w:hint="eastAsia" w:ascii="宋体" w:hAnsi="宋体"/>
                <w:bCs/>
                <w:szCs w:val="21"/>
                <w:lang w:val="en-US" w:eastAsia="zh-CN"/>
              </w:rPr>
              <w:t>8</w:t>
            </w:r>
            <w:r>
              <w:rPr>
                <w:rFonts w:hint="eastAsia" w:ascii="宋体" w:hAnsi="宋体"/>
                <w:bCs/>
                <w:szCs w:val="21"/>
              </w:rPr>
              <w:t>月</w:t>
            </w:r>
            <w:r>
              <w:rPr>
                <w:rFonts w:hint="eastAsia" w:ascii="宋体" w:hAnsi="宋体"/>
                <w:bCs/>
                <w:szCs w:val="21"/>
                <w:lang w:val="en-US" w:eastAsia="zh-CN"/>
              </w:rPr>
              <w:t>22</w:t>
            </w:r>
            <w:r>
              <w:rPr>
                <w:rFonts w:hint="eastAsia" w:ascii="宋体" w:hAnsi="宋体"/>
                <w:bCs/>
                <w:szCs w:val="21"/>
              </w:rPr>
              <w:t>日</w:t>
            </w:r>
            <w:r>
              <w:rPr>
                <w:rFonts w:hint="eastAsia"/>
                <w:lang w:val="en-US" w:eastAsia="zh-CN"/>
              </w:rPr>
              <w:t>10</w:t>
            </w:r>
            <w:r>
              <w:t>:</w:t>
            </w:r>
            <w:r>
              <w:rPr>
                <w:rFonts w:hint="eastAsia"/>
                <w:lang w:val="en-US" w:eastAsia="zh-CN"/>
              </w:rPr>
              <w:t>00</w:t>
            </w:r>
            <w:r>
              <w:rPr>
                <w:rFonts w:hint="eastAsia"/>
              </w:rPr>
              <w:t>（北京时间）</w:t>
            </w:r>
          </w:p>
          <w:p w14:paraId="45635BC2">
            <w:pPr>
              <w:widowControl/>
              <w:spacing w:line="440" w:lineRule="exact"/>
            </w:pPr>
            <w:r>
              <w:rPr>
                <w:rStyle w:val="47"/>
                <w:rFonts w:hint="eastAsia"/>
                <w:b/>
                <w:color w:val="auto"/>
                <w:szCs w:val="21"/>
                <w:u w:val="none"/>
              </w:rPr>
              <w:t>注意事项：</w:t>
            </w:r>
            <w:r>
              <w:rPr>
                <w:rStyle w:val="47"/>
                <w:rFonts w:hint="eastAsia"/>
                <w:bCs/>
                <w:color w:val="auto"/>
                <w:u w:val="none"/>
              </w:rPr>
              <w:t>供应商法定代表人或委托代理人须按时登录广西政采云远程开标大厅，保持全程在线并关注评审谈判进度，评审期间谈判小组提出澄清等要求时，供应商须在规定时间内进行在线应答，否则按采购文件或广西政采云平台的相关规定执行。</w:t>
            </w:r>
            <w:r>
              <w:rPr>
                <w:rFonts w:ascii="宋体" w:hAnsi="宋体" w:cs="宋体"/>
                <w:kern w:val="0"/>
                <w:szCs w:val="21"/>
              </w:rPr>
              <w:fldChar w:fldCharType="end"/>
            </w:r>
          </w:p>
        </w:tc>
      </w:tr>
      <w:tr w14:paraId="2B5A7713">
        <w:tblPrEx>
          <w:tblCellMar>
            <w:top w:w="0" w:type="dxa"/>
            <w:left w:w="108" w:type="dxa"/>
            <w:bottom w:w="0" w:type="dxa"/>
            <w:right w:w="108" w:type="dxa"/>
          </w:tblCellMar>
        </w:tblPrEx>
        <w:trPr>
          <w:trHeight w:val="14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AF99592">
            <w:pPr>
              <w:widowControl/>
              <w:spacing w:line="440" w:lineRule="exact"/>
              <w:jc w:val="center"/>
              <w:rPr>
                <w:rFonts w:ascii="宋体" w:hAnsi="宋体" w:cs="宋体"/>
                <w:kern w:val="0"/>
                <w:szCs w:val="21"/>
              </w:rPr>
            </w:pPr>
            <w:r>
              <w:rPr>
                <w:rFonts w:hint="eastAsia" w:ascii="宋体" w:hAnsi="宋体" w:cs="宋体"/>
                <w:kern w:val="0"/>
                <w:szCs w:val="21"/>
              </w:rPr>
              <w:t>5</w:t>
            </w:r>
          </w:p>
        </w:tc>
        <w:tc>
          <w:tcPr>
            <w:tcW w:w="8647" w:type="dxa"/>
            <w:tcBorders>
              <w:top w:val="single" w:color="000000" w:sz="4" w:space="0"/>
              <w:left w:val="nil"/>
              <w:bottom w:val="single" w:color="000000" w:sz="4" w:space="0"/>
              <w:right w:val="single" w:color="000000" w:sz="4" w:space="0"/>
            </w:tcBorders>
            <w:vAlign w:val="center"/>
          </w:tcPr>
          <w:p w14:paraId="3A2C5AC2">
            <w:pPr>
              <w:spacing w:line="440" w:lineRule="exact"/>
              <w:rPr>
                <w:rStyle w:val="47"/>
                <w:color w:val="auto"/>
                <w:u w:val="none"/>
              </w:rPr>
            </w:pPr>
            <w:r>
              <w:fldChar w:fldCharType="begin"/>
            </w:r>
            <w:r>
              <w:instrText xml:space="preserve"> </w:instrText>
            </w:r>
            <w:r>
              <w:rPr>
                <w:rFonts w:hint="eastAsia"/>
              </w:rPr>
              <w:instrText xml:space="preserve">HYPERLINK </w:instrText>
            </w:r>
            <w:r>
              <w:instrText xml:space="preserve"> \l "</w:instrText>
            </w:r>
            <w:r>
              <w:rPr>
                <w:rFonts w:hint="eastAsia"/>
              </w:rPr>
              <w:instrText xml:space="preserve">_五、评审与谈判</w:instrText>
            </w:r>
            <w:r>
              <w:instrText xml:space="preserve">" </w:instrText>
            </w:r>
            <w:r>
              <w:fldChar w:fldCharType="separate"/>
            </w:r>
            <w:r>
              <w:rPr>
                <w:rStyle w:val="47"/>
                <w:color w:val="auto"/>
                <w:u w:val="none"/>
              </w:rPr>
              <w:t>评审及谈判：</w:t>
            </w:r>
          </w:p>
          <w:p w14:paraId="755824EB">
            <w:pPr>
              <w:spacing w:line="440" w:lineRule="exact"/>
            </w:pPr>
            <w:r>
              <w:rPr>
                <w:rStyle w:val="47"/>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fldChar w:fldCharType="end"/>
            </w:r>
          </w:p>
        </w:tc>
      </w:tr>
      <w:tr w14:paraId="25137800">
        <w:tblPrEx>
          <w:tblCellMar>
            <w:top w:w="0" w:type="dxa"/>
            <w:left w:w="108" w:type="dxa"/>
            <w:bottom w:w="0" w:type="dxa"/>
            <w:right w:w="108" w:type="dxa"/>
          </w:tblCellMar>
        </w:tblPrEx>
        <w:trPr>
          <w:trHeight w:val="74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49BC944">
            <w:pPr>
              <w:widowControl/>
              <w:spacing w:line="440" w:lineRule="exact"/>
              <w:jc w:val="center"/>
              <w:rPr>
                <w:rFonts w:ascii="宋体" w:hAnsi="宋体" w:cs="宋体"/>
                <w:kern w:val="0"/>
                <w:szCs w:val="21"/>
              </w:rPr>
            </w:pPr>
            <w:r>
              <w:rPr>
                <w:rFonts w:hint="eastAsia" w:ascii="宋体" w:hAnsi="宋体" w:cs="宋体"/>
                <w:kern w:val="0"/>
                <w:szCs w:val="21"/>
              </w:rPr>
              <w:t>6</w:t>
            </w:r>
          </w:p>
        </w:tc>
        <w:tc>
          <w:tcPr>
            <w:tcW w:w="8647" w:type="dxa"/>
            <w:tcBorders>
              <w:top w:val="single" w:color="000000" w:sz="4" w:space="0"/>
              <w:left w:val="nil"/>
              <w:bottom w:val="single" w:color="000000" w:sz="4" w:space="0"/>
              <w:right w:val="single" w:color="000000" w:sz="4" w:space="0"/>
            </w:tcBorders>
            <w:vAlign w:val="center"/>
          </w:tcPr>
          <w:p w14:paraId="548EC28C">
            <w:pPr>
              <w:widowControl/>
              <w:spacing w:line="440" w:lineRule="exact"/>
              <w:rPr>
                <w:rFonts w:ascii="宋体" w:hAnsi="宋体" w:cs="宋体"/>
                <w:kern w:val="0"/>
                <w:szCs w:val="21"/>
              </w:rPr>
            </w:pPr>
            <w:r>
              <w:fldChar w:fldCharType="begin"/>
            </w:r>
            <w:r>
              <w:instrText xml:space="preserve"> HYPERLINK \l "_第四章__评定标准及推荐原则" </w:instrText>
            </w:r>
            <w:r>
              <w:fldChar w:fldCharType="separate"/>
            </w:r>
            <w:r>
              <w:rPr>
                <w:rStyle w:val="47"/>
                <w:rFonts w:hint="eastAsia" w:ascii="宋体" w:hAnsi="宋体" w:cs="宋体"/>
                <w:color w:val="auto"/>
                <w:kern w:val="0"/>
                <w:szCs w:val="21"/>
                <w:u w:val="none"/>
              </w:rPr>
              <w:t>评定方法：</w:t>
            </w:r>
            <w:r>
              <w:rPr>
                <w:rStyle w:val="47"/>
                <w:rFonts w:hint="eastAsia"/>
                <w:color w:val="auto"/>
                <w:u w:val="none"/>
              </w:rPr>
              <w:t>详见第四章《评定标准及推荐原则》。</w:t>
            </w:r>
            <w:r>
              <w:rPr>
                <w:rStyle w:val="47"/>
                <w:rFonts w:hint="eastAsia"/>
                <w:color w:val="auto"/>
                <w:u w:val="none"/>
              </w:rPr>
              <w:fldChar w:fldCharType="end"/>
            </w:r>
          </w:p>
        </w:tc>
      </w:tr>
      <w:tr w14:paraId="6F8E3C6A">
        <w:tblPrEx>
          <w:tblCellMar>
            <w:top w:w="0" w:type="dxa"/>
            <w:left w:w="108" w:type="dxa"/>
            <w:bottom w:w="0" w:type="dxa"/>
            <w:right w:w="108" w:type="dxa"/>
          </w:tblCellMar>
        </w:tblPrEx>
        <w:trPr>
          <w:trHeight w:val="10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49D0B78">
            <w:pPr>
              <w:widowControl/>
              <w:spacing w:line="440" w:lineRule="exact"/>
              <w:jc w:val="center"/>
              <w:rPr>
                <w:rFonts w:ascii="宋体" w:hAnsi="宋体" w:cs="宋体"/>
                <w:kern w:val="0"/>
                <w:szCs w:val="21"/>
              </w:rPr>
            </w:pPr>
            <w:r>
              <w:rPr>
                <w:rFonts w:hint="eastAsia" w:ascii="宋体" w:hAnsi="宋体" w:cs="宋体"/>
                <w:kern w:val="0"/>
                <w:szCs w:val="21"/>
              </w:rPr>
              <w:t>7</w:t>
            </w:r>
          </w:p>
        </w:tc>
        <w:tc>
          <w:tcPr>
            <w:tcW w:w="8647" w:type="dxa"/>
            <w:tcBorders>
              <w:top w:val="single" w:color="000000" w:sz="4" w:space="0"/>
              <w:left w:val="nil"/>
              <w:bottom w:val="single" w:color="000000" w:sz="4" w:space="0"/>
              <w:right w:val="single" w:color="000000" w:sz="4" w:space="0"/>
            </w:tcBorders>
            <w:vAlign w:val="center"/>
          </w:tcPr>
          <w:p w14:paraId="4CE35229">
            <w:pPr>
              <w:widowControl/>
              <w:spacing w:line="440" w:lineRule="exact"/>
              <w:rPr>
                <w:rFonts w:ascii="宋体" w:hAnsi="宋体" w:cs="宋体"/>
                <w:kern w:val="0"/>
                <w:szCs w:val="21"/>
              </w:rPr>
            </w:pPr>
            <w:r>
              <w:fldChar w:fldCharType="begin"/>
            </w:r>
            <w:r>
              <w:instrText xml:space="preserve"> HYPERLINK \l "_十、其他事项" </w:instrText>
            </w:r>
            <w:r>
              <w:fldChar w:fldCharType="separate"/>
            </w:r>
            <w:r>
              <w:rPr>
                <w:rStyle w:val="47"/>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7"/>
                <w:rFonts w:hint="eastAsia" w:ascii="宋体" w:hAnsi="宋体" w:cs="宋体"/>
                <w:color w:val="auto"/>
                <w:kern w:val="0"/>
                <w:szCs w:val="21"/>
                <w:u w:val="none"/>
              </w:rPr>
              <w:fldChar w:fldCharType="end"/>
            </w:r>
          </w:p>
        </w:tc>
      </w:tr>
    </w:tbl>
    <w:p w14:paraId="3C922447">
      <w:pPr>
        <w:pStyle w:val="3"/>
        <w:jc w:val="center"/>
      </w:pPr>
      <w:bookmarkStart w:id="45" w:name="_Toc420505403"/>
      <w:r>
        <w:br w:type="page"/>
      </w:r>
    </w:p>
    <w:p w14:paraId="6F81BA59">
      <w:pPr>
        <w:jc w:val="center"/>
        <w:rPr>
          <w:rFonts w:ascii="黑体" w:hAnsi="黑体" w:eastAsia="黑体"/>
          <w:b/>
          <w:bCs/>
          <w:sz w:val="32"/>
          <w:szCs w:val="32"/>
        </w:rPr>
      </w:pPr>
      <w:r>
        <w:rPr>
          <w:rFonts w:hint="eastAsia" w:ascii="黑体" w:hAnsi="黑体" w:eastAsia="黑体"/>
          <w:b/>
          <w:bCs/>
          <w:sz w:val="32"/>
          <w:szCs w:val="32"/>
        </w:rPr>
        <w:t>二、供应商须知</w:t>
      </w:r>
      <w:bookmarkEnd w:id="45"/>
    </w:p>
    <w:p w14:paraId="749A0045">
      <w:pPr>
        <w:pStyle w:val="3"/>
        <w:spacing w:line="420" w:lineRule="exact"/>
      </w:pPr>
      <w:bookmarkStart w:id="46" w:name="_一、总_则"/>
      <w:bookmarkEnd w:id="46"/>
      <w:r>
        <w:rPr>
          <w:rFonts w:hint="eastAsia"/>
        </w:rPr>
        <w:t>一、总　则</w:t>
      </w:r>
    </w:p>
    <w:p w14:paraId="5F781F3E">
      <w:pPr>
        <w:spacing w:line="420" w:lineRule="exact"/>
        <w:ind w:firstLine="210" w:firstLineChars="100"/>
        <w:rPr>
          <w:rFonts w:ascii="宋体" w:hAnsi="宋体"/>
          <w:szCs w:val="21"/>
        </w:rPr>
      </w:pPr>
      <w:r>
        <w:rPr>
          <w:rFonts w:hint="eastAsia" w:ascii="宋体" w:hAnsi="宋体"/>
          <w:szCs w:val="21"/>
        </w:rPr>
        <w:t>（一）适用范围</w:t>
      </w:r>
    </w:p>
    <w:p w14:paraId="56C34C48">
      <w:pPr>
        <w:spacing w:line="420" w:lineRule="exact"/>
        <w:ind w:right="-334" w:rightChars="-159" w:firstLine="420"/>
        <w:rPr>
          <w:rFonts w:hint="eastAsia" w:hAnsi="宋体" w:eastAsia="宋体"/>
          <w:lang w:eastAsia="zh-CN"/>
        </w:rPr>
      </w:pPr>
      <w:r>
        <w:rPr>
          <w:rFonts w:hAnsi="宋体"/>
        </w:rPr>
        <w:t>1.</w:t>
      </w:r>
      <w:r>
        <w:rPr>
          <w:rFonts w:hint="eastAsia" w:hAnsi="宋体"/>
        </w:rPr>
        <w:t>项目名称：</w:t>
      </w:r>
      <w:r>
        <w:rPr>
          <w:rFonts w:hint="eastAsia"/>
          <w:lang w:eastAsia="zh-CN"/>
        </w:rPr>
        <w:t>钦州市外国语学校新校区办公室信创计算机设备采购项目</w:t>
      </w:r>
    </w:p>
    <w:p w14:paraId="63AA64EB">
      <w:pPr>
        <w:spacing w:line="420" w:lineRule="exact"/>
        <w:ind w:right="-334" w:rightChars="-159" w:firstLine="420"/>
        <w:rPr>
          <w:rFonts w:hint="eastAsia" w:hAnsi="宋体" w:eastAsia="宋体"/>
          <w:lang w:eastAsia="zh-CN"/>
        </w:rPr>
      </w:pPr>
      <w:r>
        <w:rPr>
          <w:rFonts w:hAnsi="宋体"/>
        </w:rPr>
        <w:t>2</w:t>
      </w:r>
      <w:r>
        <w:rPr>
          <w:rFonts w:hint="eastAsia" w:hAnsi="宋体"/>
        </w:rPr>
        <w:t>.项目编号：</w:t>
      </w:r>
      <w:r>
        <w:rPr>
          <w:rFonts w:hint="eastAsia" w:hAnsi="宋体"/>
          <w:lang w:eastAsia="zh-CN"/>
        </w:rPr>
        <w:t>QZZC2025-J1-990214-QZSZ</w:t>
      </w:r>
    </w:p>
    <w:p w14:paraId="52689B05">
      <w:pPr>
        <w:spacing w:line="420" w:lineRule="exact"/>
        <w:ind w:right="-334" w:rightChars="-159" w:firstLine="420"/>
        <w:rPr>
          <w:szCs w:val="21"/>
        </w:rPr>
      </w:pPr>
      <w:r>
        <w:rPr>
          <w:rFonts w:hint="eastAsia" w:hAnsi="宋体"/>
        </w:rPr>
        <w:t>本文件仅适用于本文件中所叙述的货物、服务类政府采购项目。</w:t>
      </w:r>
    </w:p>
    <w:p w14:paraId="27E1B388">
      <w:pPr>
        <w:spacing w:line="420" w:lineRule="exact"/>
        <w:ind w:firstLine="210" w:firstLineChars="100"/>
        <w:rPr>
          <w:rFonts w:ascii="宋体" w:hAnsi="宋体"/>
          <w:szCs w:val="21"/>
        </w:rPr>
      </w:pPr>
      <w:r>
        <w:rPr>
          <w:rFonts w:hint="eastAsia" w:ascii="宋体" w:hAnsi="宋体"/>
          <w:szCs w:val="21"/>
        </w:rPr>
        <w:t>（二）定义</w:t>
      </w:r>
    </w:p>
    <w:p w14:paraId="6E7DC0A0">
      <w:pPr>
        <w:spacing w:line="42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采购人</w:t>
      </w:r>
      <w:r>
        <w:rPr>
          <w:rFonts w:hint="eastAsia" w:ascii="宋体" w:hAnsi="宋体"/>
          <w:szCs w:val="21"/>
        </w:rPr>
        <w:t>”</w:t>
      </w:r>
      <w:r>
        <w:rPr>
          <w:rFonts w:ascii="宋体" w:hAnsi="宋体"/>
          <w:szCs w:val="21"/>
        </w:rPr>
        <w:t>是指依法进行政府采购的国家机关、事业单位、团体组织。</w:t>
      </w:r>
    </w:p>
    <w:p w14:paraId="2A9D04A9">
      <w:pPr>
        <w:spacing w:line="420" w:lineRule="exact"/>
        <w:ind w:firstLine="420" w:firstLineChars="200"/>
        <w:rPr>
          <w:rFonts w:ascii="宋体" w:hAnsi="宋体"/>
          <w:szCs w:val="21"/>
        </w:rPr>
      </w:pPr>
      <w:r>
        <w:rPr>
          <w:rFonts w:hint="eastAsia" w:ascii="宋体" w:hAnsi="宋体"/>
          <w:szCs w:val="21"/>
        </w:rPr>
        <w:t>2.“供应商”是指响应本文件要求，参加谈判的法人或其他组织。如果该供应商在本次采购项目中成交,即成为“成交供应商”。</w:t>
      </w:r>
    </w:p>
    <w:p w14:paraId="48230891">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“采购代理机构”是指</w:t>
      </w:r>
      <w:r>
        <w:rPr>
          <w:rFonts w:hint="eastAsia" w:ascii="宋体" w:hAnsi="宋体"/>
        </w:rPr>
        <w:t>钦州市政府采购中心。</w:t>
      </w:r>
    </w:p>
    <w:p w14:paraId="13CB85FF">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“货物和服务”是指本次采购文件中所采购的各种形态和种类的产品以及其提供的服务。</w:t>
      </w:r>
    </w:p>
    <w:p w14:paraId="6B5D88F6">
      <w:pPr>
        <w:spacing w:line="42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“竞争性谈判采购文件”是指采用竞争性谈判方式进行政府采购的指导文件，简称“谈判文件”或“采购文件”。</w:t>
      </w:r>
    </w:p>
    <w:p w14:paraId="067F08A2">
      <w:pPr>
        <w:spacing w:line="420" w:lineRule="exact"/>
        <w:ind w:firstLine="420" w:firstLineChars="200"/>
        <w:rPr>
          <w:rFonts w:ascii="宋体" w:hAnsi="宋体"/>
          <w:szCs w:val="21"/>
        </w:rPr>
      </w:pPr>
      <w:r>
        <w:rPr>
          <w:rFonts w:ascii="宋体" w:hAnsi="宋体"/>
          <w:szCs w:val="21"/>
        </w:rPr>
        <w:t>6.</w:t>
      </w:r>
      <w:r>
        <w:rPr>
          <w:rFonts w:hint="eastAsia" w:ascii="宋体" w:hAnsi="宋体"/>
          <w:szCs w:val="21"/>
        </w:rPr>
        <w:t>“响应文件”是指供应商根据采购文件要求，编制包含技术、服务和报价等所有内容的响应文件。</w:t>
      </w:r>
    </w:p>
    <w:p w14:paraId="09776E5C">
      <w:pPr>
        <w:spacing w:line="420" w:lineRule="exact"/>
        <w:ind w:firstLine="420" w:firstLineChars="200"/>
        <w:rPr>
          <w:rFonts w:ascii="宋体" w:hAnsi="宋体"/>
          <w:szCs w:val="21"/>
        </w:rPr>
      </w:pPr>
      <w:r>
        <w:rPr>
          <w:rFonts w:ascii="宋体" w:hAnsi="宋体"/>
          <w:szCs w:val="21"/>
        </w:rPr>
        <w:t>7.</w:t>
      </w:r>
      <w:r>
        <w:rPr>
          <w:rFonts w:hint="eastAsia" w:ascii="宋体" w:hAnsi="宋体"/>
          <w:szCs w:val="21"/>
        </w:rPr>
        <w:t>“书面形式”</w:t>
      </w:r>
      <w:r>
        <w:rPr>
          <w:rFonts w:ascii="Helvetica" w:hAnsi="Helvetica"/>
          <w:szCs w:val="21"/>
          <w:shd w:val="clear" w:color="auto" w:fill="FFFFFF"/>
        </w:rPr>
        <w:t>是</w:t>
      </w:r>
      <w:r>
        <w:rPr>
          <w:rFonts w:hint="eastAsia" w:ascii="Helvetica" w:hAnsi="Helvetica"/>
          <w:szCs w:val="21"/>
          <w:shd w:val="clear" w:color="auto" w:fill="FFFFFF"/>
        </w:rPr>
        <w:t>指</w:t>
      </w:r>
      <w:r>
        <w:rPr>
          <w:rFonts w:ascii="Helvetica" w:hAnsi="Helvetica"/>
          <w:szCs w:val="21"/>
          <w:shd w:val="clear" w:color="auto" w:fill="FFFFFF"/>
        </w:rPr>
        <w:t>合同书、信件、电报、电传、传真等可以有形地表现所载内容的形式。</w:t>
      </w:r>
    </w:p>
    <w:p w14:paraId="61193521">
      <w:pPr>
        <w:spacing w:line="420" w:lineRule="exact"/>
        <w:ind w:firstLine="211" w:firstLineChars="100"/>
        <w:rPr>
          <w:rFonts w:ascii="宋体" w:hAnsi="宋体"/>
          <w:b/>
          <w:szCs w:val="21"/>
        </w:rPr>
      </w:pPr>
      <w:r>
        <w:rPr>
          <w:rFonts w:hint="eastAsia" w:ascii="宋体" w:hAnsi="宋体"/>
          <w:b/>
          <w:szCs w:val="21"/>
        </w:rPr>
        <w:t>（三）供应商资格</w:t>
      </w:r>
    </w:p>
    <w:p w14:paraId="55C1AC97">
      <w:pPr>
        <w:spacing w:line="420" w:lineRule="exact"/>
        <w:ind w:firstLine="420" w:firstLineChars="200"/>
      </w:pPr>
      <w:r>
        <w:rPr>
          <w:rFonts w:hint="eastAsia"/>
        </w:rPr>
        <w:t>供应商的资格要求详见“供应商须知前附表”。</w:t>
      </w:r>
    </w:p>
    <w:p w14:paraId="3DE79127">
      <w:pPr>
        <w:spacing w:line="420" w:lineRule="exact"/>
        <w:ind w:firstLine="211" w:firstLineChars="100"/>
        <w:rPr>
          <w:b/>
          <w:bCs/>
        </w:rPr>
      </w:pPr>
      <w:r>
        <w:rPr>
          <w:rFonts w:hint="eastAsia"/>
          <w:b/>
          <w:bCs/>
        </w:rPr>
        <w:t>（四）采购方式</w:t>
      </w:r>
    </w:p>
    <w:p w14:paraId="6C606374">
      <w:pPr>
        <w:snapToGrid w:val="0"/>
        <w:spacing w:line="420" w:lineRule="exact"/>
        <w:ind w:firstLine="420" w:firstLineChars="200"/>
        <w:rPr>
          <w:rFonts w:ascii="宋体" w:hAnsi="宋体"/>
          <w:szCs w:val="21"/>
        </w:rPr>
      </w:pPr>
      <w:r>
        <w:rPr>
          <w:rFonts w:hint="eastAsia" w:ascii="宋体" w:hAnsi="宋体"/>
          <w:szCs w:val="21"/>
        </w:rPr>
        <w:t>竞争性谈判</w:t>
      </w:r>
    </w:p>
    <w:p w14:paraId="61773ECC">
      <w:pPr>
        <w:spacing w:line="420" w:lineRule="exact"/>
        <w:ind w:firstLine="211" w:firstLineChars="100"/>
        <w:rPr>
          <w:b/>
          <w:bCs/>
        </w:rPr>
      </w:pPr>
      <w:bookmarkStart w:id="47" w:name="_Toc352700410"/>
      <w:bookmarkStart w:id="48" w:name="_Toc254970530"/>
      <w:bookmarkStart w:id="49" w:name="_Toc353785281"/>
      <w:bookmarkStart w:id="50" w:name="_Toc254970671"/>
      <w:r>
        <w:rPr>
          <w:rFonts w:hint="eastAsia"/>
          <w:b/>
          <w:bCs/>
        </w:rPr>
        <w:t>（五）代理委托</w:t>
      </w:r>
      <w:bookmarkEnd w:id="47"/>
      <w:bookmarkEnd w:id="48"/>
      <w:bookmarkEnd w:id="49"/>
      <w:bookmarkEnd w:id="50"/>
    </w:p>
    <w:p w14:paraId="1EC1D23F">
      <w:pPr>
        <w:snapToGrid w:val="0"/>
        <w:spacing w:line="420" w:lineRule="exact"/>
        <w:ind w:firstLine="420" w:firstLineChars="200"/>
        <w:rPr>
          <w:rFonts w:ascii="宋体" w:hAnsi="宋体" w:cs="Courier New"/>
          <w:bCs/>
          <w:szCs w:val="21"/>
        </w:rPr>
      </w:pPr>
      <w:r>
        <w:rPr>
          <w:rFonts w:hint="eastAsia" w:ascii="宋体" w:hAnsi="宋体" w:cs="Courier New"/>
          <w:bCs/>
          <w:szCs w:val="21"/>
        </w:rPr>
        <w:t>委托谈判的供应商须提供授权委托书（格式见第六章）。</w:t>
      </w:r>
    </w:p>
    <w:p w14:paraId="6D4477EB">
      <w:pPr>
        <w:spacing w:line="420" w:lineRule="exact"/>
        <w:ind w:firstLine="211" w:firstLineChars="100"/>
        <w:rPr>
          <w:b/>
          <w:bCs/>
        </w:rPr>
      </w:pPr>
      <w:bookmarkStart w:id="51" w:name="_Toc254970672"/>
      <w:bookmarkStart w:id="52" w:name="_Toc353785282"/>
      <w:bookmarkStart w:id="53" w:name="_Toc254970531"/>
      <w:bookmarkStart w:id="54" w:name="_Toc352700411"/>
      <w:r>
        <w:rPr>
          <w:rFonts w:hint="eastAsia"/>
          <w:b/>
          <w:bCs/>
        </w:rPr>
        <w:t>（</w:t>
      </w:r>
      <w:r>
        <w:rPr>
          <w:rFonts w:hint="eastAsia"/>
          <w:b/>
          <w:bCs/>
          <w:lang w:val="en-US" w:eastAsia="zh-CN"/>
        </w:rPr>
        <w:t>六</w:t>
      </w:r>
      <w:r>
        <w:rPr>
          <w:rFonts w:hint="eastAsia"/>
          <w:b/>
          <w:bCs/>
        </w:rPr>
        <w:t>）谈判费用</w:t>
      </w:r>
      <w:bookmarkEnd w:id="51"/>
      <w:bookmarkEnd w:id="52"/>
      <w:bookmarkEnd w:id="53"/>
      <w:bookmarkEnd w:id="54"/>
    </w:p>
    <w:p w14:paraId="6187C6E6">
      <w:pPr>
        <w:snapToGrid w:val="0"/>
        <w:spacing w:line="420" w:lineRule="exact"/>
        <w:ind w:firstLine="420" w:firstLineChars="200"/>
        <w:rPr>
          <w:rFonts w:ascii="宋体" w:hAnsi="宋体"/>
          <w:szCs w:val="21"/>
        </w:rPr>
      </w:pPr>
      <w:r>
        <w:rPr>
          <w:rFonts w:hint="eastAsia" w:ascii="宋体" w:hAnsi="宋体"/>
          <w:szCs w:val="21"/>
        </w:rPr>
        <w:t>供应商自行承担所有与谈判有关的全部费用。</w:t>
      </w:r>
    </w:p>
    <w:p w14:paraId="5CFAC2C5">
      <w:pPr>
        <w:spacing w:line="420" w:lineRule="exact"/>
        <w:ind w:firstLine="211" w:firstLineChars="100"/>
        <w:rPr>
          <w:b/>
          <w:bCs/>
        </w:rPr>
      </w:pPr>
      <w:bookmarkStart w:id="55" w:name="_Toc352700413"/>
      <w:bookmarkStart w:id="56" w:name="_Toc353785283"/>
      <w:r>
        <w:rPr>
          <w:rFonts w:hint="eastAsia"/>
          <w:b/>
          <w:bCs/>
        </w:rPr>
        <w:t>（</w:t>
      </w:r>
      <w:r>
        <w:rPr>
          <w:rFonts w:hint="eastAsia"/>
          <w:b/>
          <w:bCs/>
          <w:lang w:val="en-US" w:eastAsia="zh-CN"/>
        </w:rPr>
        <w:t>七</w:t>
      </w:r>
      <w:r>
        <w:rPr>
          <w:rFonts w:hint="eastAsia"/>
          <w:b/>
          <w:bCs/>
        </w:rPr>
        <w:t>）转包与分包</w:t>
      </w:r>
      <w:bookmarkEnd w:id="55"/>
      <w:bookmarkEnd w:id="56"/>
    </w:p>
    <w:p w14:paraId="4AC4211F">
      <w:pPr>
        <w:snapToGrid w:val="0"/>
        <w:spacing w:line="42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14:paraId="72E005D6">
      <w:pPr>
        <w:snapToGrid w:val="0"/>
        <w:spacing w:line="42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采购人允许采用分包方式履行合同的，应当在采购文件中明确可以分包履行的具体内容、金额或者比例。</w:t>
      </w:r>
    </w:p>
    <w:p w14:paraId="22EE6345">
      <w:pPr>
        <w:snapToGrid w:val="0"/>
        <w:spacing w:line="420" w:lineRule="exact"/>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依据《政府采购促进中小企业发展管理办法》规定享受扶持政策获得政府采购合同的，小微企业不得将合同分包给大中型企业，中型企业不得将合同分包给大型企业。</w:t>
      </w:r>
    </w:p>
    <w:p w14:paraId="3D946FF0">
      <w:pPr>
        <w:spacing w:line="420" w:lineRule="exact"/>
        <w:ind w:firstLine="211" w:firstLineChars="100"/>
        <w:rPr>
          <w:b/>
          <w:bCs/>
        </w:rPr>
      </w:pPr>
      <w:bookmarkStart w:id="57" w:name="_Toc254970673"/>
      <w:bookmarkStart w:id="58" w:name="_Toc353785284"/>
      <w:bookmarkStart w:id="59" w:name="_Toc352700414"/>
      <w:bookmarkStart w:id="60" w:name="_Toc254970532"/>
      <w:r>
        <w:rPr>
          <w:rFonts w:hint="eastAsia"/>
          <w:b/>
          <w:bCs/>
        </w:rPr>
        <w:t>（</w:t>
      </w:r>
      <w:r>
        <w:rPr>
          <w:rFonts w:hint="eastAsia"/>
          <w:b/>
          <w:bCs/>
          <w:lang w:val="en-US" w:eastAsia="zh-CN"/>
        </w:rPr>
        <w:t>八</w:t>
      </w:r>
      <w:r>
        <w:rPr>
          <w:rFonts w:hint="eastAsia"/>
          <w:b/>
          <w:bCs/>
        </w:rPr>
        <w:t>）特别说明</w:t>
      </w:r>
      <w:bookmarkEnd w:id="57"/>
      <w:bookmarkEnd w:id="58"/>
      <w:bookmarkEnd w:id="59"/>
      <w:bookmarkEnd w:id="60"/>
    </w:p>
    <w:p w14:paraId="766218C7">
      <w:pPr>
        <w:pStyle w:val="21"/>
        <w:snapToGrid w:val="0"/>
        <w:spacing w:line="420" w:lineRule="exact"/>
        <w:ind w:firstLine="420"/>
        <w:rPr>
          <w:rFonts w:hAnsi="宋体"/>
        </w:rPr>
      </w:pPr>
      <w:r>
        <w:rPr>
          <w:rFonts w:hAnsi="宋体"/>
        </w:rPr>
        <w:t>1.</w:t>
      </w:r>
      <w:r>
        <w:rPr>
          <w:rFonts w:hint="eastAsia" w:hAnsi="宋体"/>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265149AE">
      <w:pPr>
        <w:pStyle w:val="21"/>
        <w:snapToGrid w:val="0"/>
        <w:spacing w:line="420" w:lineRule="exact"/>
        <w:ind w:firstLine="420"/>
        <w:rPr>
          <w:rFonts w:hAnsi="宋体"/>
        </w:rPr>
      </w:pPr>
      <w:r>
        <w:rPr>
          <w:rFonts w:hAnsi="宋体"/>
        </w:rPr>
        <w:t>2.</w:t>
      </w:r>
      <w:r>
        <w:rPr>
          <w:rFonts w:hint="eastAsia" w:hAnsi="宋体"/>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7C71FAED">
      <w:pPr>
        <w:spacing w:line="420" w:lineRule="exact"/>
        <w:ind w:firstLine="211" w:firstLineChars="100"/>
        <w:rPr>
          <w:b/>
          <w:bCs/>
        </w:rPr>
      </w:pPr>
      <w:bookmarkStart w:id="61" w:name="_Toc254970674"/>
      <w:bookmarkStart w:id="62" w:name="_Toc254970533"/>
      <w:bookmarkStart w:id="63" w:name="_Toc352700415"/>
      <w:bookmarkStart w:id="64" w:name="_Toc353785285"/>
      <w:r>
        <w:rPr>
          <w:rFonts w:hint="eastAsia"/>
          <w:b/>
          <w:bCs/>
        </w:rPr>
        <w:t>（</w:t>
      </w:r>
      <w:r>
        <w:rPr>
          <w:rFonts w:hint="eastAsia"/>
          <w:b/>
          <w:bCs/>
          <w:lang w:val="en-US" w:eastAsia="zh-CN"/>
        </w:rPr>
        <w:t>九</w:t>
      </w:r>
      <w:r>
        <w:rPr>
          <w:rFonts w:hint="eastAsia"/>
          <w:b/>
          <w:bCs/>
        </w:rPr>
        <w:t>）询问、质疑和投诉</w:t>
      </w:r>
      <w:bookmarkEnd w:id="61"/>
      <w:bookmarkEnd w:id="62"/>
      <w:bookmarkEnd w:id="63"/>
      <w:bookmarkEnd w:id="64"/>
    </w:p>
    <w:p w14:paraId="15064BE4">
      <w:pPr>
        <w:pStyle w:val="21"/>
        <w:snapToGrid w:val="0"/>
        <w:spacing w:line="420" w:lineRule="exact"/>
        <w:ind w:firstLine="420"/>
        <w:rPr>
          <w:rFonts w:hAnsi="宋体"/>
          <w:bCs/>
        </w:rPr>
      </w:pPr>
      <w:r>
        <w:rPr>
          <w:rFonts w:hAnsi="宋体"/>
          <w:bCs/>
        </w:rPr>
        <w:t>1.</w:t>
      </w:r>
      <w:r>
        <w:rPr>
          <w:rFonts w:hint="eastAsia" w:ascii="Arial" w:hAnsi="Arial" w:cs="Arial"/>
          <w:kern w:val="0"/>
        </w:rPr>
        <w:t>供应商</w:t>
      </w:r>
      <w:r>
        <w:rPr>
          <w:rFonts w:ascii="Arial" w:hAnsi="Arial" w:cs="Arial"/>
          <w:kern w:val="0"/>
        </w:rPr>
        <w:t>对政府采购活动事项有疑问的，可以向采购人</w:t>
      </w:r>
      <w:r>
        <w:rPr>
          <w:rFonts w:hint="eastAsia" w:ascii="Arial" w:hAnsi="Arial" w:cs="Arial"/>
          <w:kern w:val="0"/>
        </w:rPr>
        <w:t>或本中心</w:t>
      </w:r>
      <w:r>
        <w:rPr>
          <w:rFonts w:ascii="Arial" w:hAnsi="Arial" w:cs="Arial"/>
          <w:kern w:val="0"/>
        </w:rPr>
        <w:t>提出询问，采购人</w:t>
      </w:r>
      <w:r>
        <w:rPr>
          <w:rFonts w:hint="eastAsia" w:ascii="Arial" w:hAnsi="Arial" w:cs="Arial"/>
          <w:kern w:val="0"/>
        </w:rPr>
        <w:t>或本中心当在3个工作日内对供应商依法提出的询问作出答复</w:t>
      </w:r>
      <w:r>
        <w:rPr>
          <w:rFonts w:ascii="Arial" w:hAnsi="Arial" w:cs="Arial"/>
          <w:kern w:val="0"/>
        </w:rPr>
        <w:t>，但答复的内容不得涉及商业秘密。</w:t>
      </w:r>
    </w:p>
    <w:p w14:paraId="475D6BCB">
      <w:pPr>
        <w:pStyle w:val="21"/>
        <w:snapToGrid w:val="0"/>
        <w:spacing w:line="420" w:lineRule="exact"/>
        <w:ind w:firstLine="420"/>
        <w:rPr>
          <w:rFonts w:hAnsi="宋体"/>
          <w:bCs/>
        </w:rPr>
      </w:pPr>
      <w:r>
        <w:rPr>
          <w:rFonts w:hAnsi="宋体"/>
          <w:bCs/>
        </w:rPr>
        <w:t>2.</w:t>
      </w:r>
      <w:r>
        <w:rPr>
          <w:rFonts w:hint="eastAsia" w:hAnsi="宋体"/>
          <w:bCs/>
        </w:rPr>
        <w:t>供应商认为采购文件、采购过程或成交结果使自己的合法权益受到损害的，</w:t>
      </w:r>
      <w:r>
        <w:rPr>
          <w:rFonts w:hAnsi="宋体"/>
          <w:bCs/>
        </w:rPr>
        <w:t>可以在知道或者应知其权益受到损害之日起7个工作日内</w:t>
      </w:r>
      <w:r>
        <w:rPr>
          <w:rFonts w:hint="eastAsia" w:hAnsi="宋体"/>
          <w:bCs/>
        </w:rPr>
        <w:t>，</w:t>
      </w:r>
      <w:r>
        <w:rPr>
          <w:rFonts w:cs="Arial"/>
        </w:rPr>
        <w:t>以书面形式</w:t>
      </w:r>
      <w:r>
        <w:rPr>
          <w:rFonts w:hint="eastAsia" w:cs="Arial"/>
        </w:rPr>
        <w:t>（广西政采云平台）</w:t>
      </w:r>
      <w:r>
        <w:rPr>
          <w:rFonts w:cs="Arial"/>
        </w:rPr>
        <w:t>向采购人、</w:t>
      </w:r>
      <w:r>
        <w:rPr>
          <w:rFonts w:hint="eastAsia" w:cs="Arial"/>
        </w:rPr>
        <w:t>本中心</w:t>
      </w:r>
      <w:r>
        <w:rPr>
          <w:rFonts w:cs="Arial"/>
        </w:rPr>
        <w:t>提出质疑。</w:t>
      </w:r>
      <w:r>
        <w:rPr>
          <w:rFonts w:hint="eastAsia" w:hAnsi="宋体"/>
          <w:bCs/>
        </w:rPr>
        <w:t>供应商必须在法定质疑期内一次性提出针对同一采购程序环节的质疑。</w:t>
      </w:r>
      <w:r>
        <w:rPr>
          <w:rFonts w:hint="eastAsia" w:hAnsi="宋体" w:cs="宋体"/>
        </w:rPr>
        <w:t>供应商应知其权益受到损害之日，是指：</w:t>
      </w:r>
    </w:p>
    <w:p w14:paraId="7F56F831">
      <w:pPr>
        <w:pStyle w:val="21"/>
        <w:adjustRightInd w:val="0"/>
        <w:snapToGrid w:val="0"/>
        <w:spacing w:line="420" w:lineRule="exact"/>
        <w:ind w:firstLine="308" w:firstLineChars="147"/>
        <w:rPr>
          <w:rFonts w:hAnsi="宋体"/>
          <w:bCs/>
        </w:rPr>
      </w:pPr>
      <w:r>
        <w:rPr>
          <w:rFonts w:hint="eastAsia" w:hAnsi="宋体"/>
          <w:bCs/>
        </w:rPr>
        <w:t>(</w:t>
      </w:r>
      <w:r>
        <w:rPr>
          <w:rFonts w:hAnsi="宋体"/>
          <w:bCs/>
        </w:rPr>
        <w:t>1)</w:t>
      </w:r>
      <w:r>
        <w:rPr>
          <w:rFonts w:hint="eastAsia" w:hAnsi="宋体"/>
          <w:bCs/>
        </w:rPr>
        <w:t>对采购文件提出质疑的，为获取采购文件之日；</w:t>
      </w:r>
    </w:p>
    <w:p w14:paraId="718D8477">
      <w:pPr>
        <w:pStyle w:val="21"/>
        <w:adjustRightInd w:val="0"/>
        <w:snapToGrid w:val="0"/>
        <w:spacing w:line="420" w:lineRule="exact"/>
        <w:ind w:firstLine="308" w:firstLineChars="147"/>
        <w:rPr>
          <w:rFonts w:hAnsi="宋体"/>
          <w:bCs/>
        </w:rPr>
      </w:pPr>
      <w:r>
        <w:rPr>
          <w:rFonts w:hint="eastAsia" w:hAnsi="宋体"/>
          <w:bCs/>
        </w:rPr>
        <w:t>(</w:t>
      </w:r>
      <w:r>
        <w:rPr>
          <w:rFonts w:hAnsi="宋体"/>
          <w:bCs/>
        </w:rPr>
        <w:t>2)</w:t>
      </w:r>
      <w:r>
        <w:rPr>
          <w:rFonts w:hint="eastAsia" w:hAnsi="宋体"/>
          <w:bCs/>
        </w:rPr>
        <w:t>对采购过程提出质疑的，为各采购程序环节结束之日；</w:t>
      </w:r>
    </w:p>
    <w:p w14:paraId="5E1107EF">
      <w:pPr>
        <w:widowControl/>
        <w:adjustRightInd w:val="0"/>
        <w:snapToGrid w:val="0"/>
        <w:spacing w:line="420" w:lineRule="exact"/>
        <w:ind w:firstLine="102" w:firstLineChars="49"/>
        <w:jc w:val="left"/>
        <w:rPr>
          <w:rFonts w:ascii="宋体" w:hAnsi="宋体" w:cs="Courier New"/>
          <w:bCs/>
          <w:szCs w:val="21"/>
        </w:rPr>
      </w:pPr>
      <w:r>
        <w:rPr>
          <w:rFonts w:hint="eastAsia" w:ascii="宋体" w:hAnsi="宋体" w:cs="Courier New"/>
          <w:bCs/>
          <w:szCs w:val="21"/>
        </w:rPr>
        <w:t xml:space="preserve">  (</w:t>
      </w:r>
      <w:r>
        <w:rPr>
          <w:rFonts w:ascii="宋体" w:hAnsi="宋体" w:cs="Courier New"/>
          <w:bCs/>
          <w:szCs w:val="21"/>
        </w:rPr>
        <w:t>3)</w:t>
      </w:r>
      <w:r>
        <w:rPr>
          <w:rFonts w:hint="eastAsia" w:ascii="宋体" w:hAnsi="宋体" w:cs="Courier New"/>
          <w:bCs/>
          <w:szCs w:val="21"/>
        </w:rPr>
        <w:t>对成交结果提出质疑的，为成交结果公告期限届满之日。</w:t>
      </w:r>
    </w:p>
    <w:p w14:paraId="602E373C">
      <w:pPr>
        <w:widowControl/>
        <w:adjustRightInd w:val="0"/>
        <w:snapToGrid w:val="0"/>
        <w:spacing w:line="420" w:lineRule="exact"/>
        <w:ind w:firstLine="420"/>
        <w:jc w:val="left"/>
        <w:rPr>
          <w:rFonts w:ascii="宋体" w:hAnsi="宋体" w:cs="Courier New"/>
          <w:bCs/>
          <w:szCs w:val="21"/>
        </w:rPr>
      </w:pPr>
      <w:r>
        <w:rPr>
          <w:rFonts w:ascii="宋体" w:hAnsi="宋体" w:cs="Courier New"/>
          <w:bCs/>
          <w:szCs w:val="21"/>
        </w:rPr>
        <w:t>3.</w:t>
      </w:r>
      <w:r>
        <w:rPr>
          <w:rFonts w:hint="eastAsia" w:hAnsi="宋体"/>
        </w:rPr>
        <w:t>供应商对采购人、本中心质疑答复不满意或者采购人、本中心未在规定时间内作出答复的，可以在答复期满后十五个工作日内向同级采购监管部门投诉。</w:t>
      </w:r>
    </w:p>
    <w:p w14:paraId="5D6CBC9D">
      <w:pPr>
        <w:pStyle w:val="21"/>
        <w:snapToGrid w:val="0"/>
        <w:spacing w:line="420" w:lineRule="exact"/>
        <w:ind w:firstLine="420"/>
        <w:rPr>
          <w:rFonts w:hAnsi="宋体"/>
          <w:bCs/>
        </w:rPr>
      </w:pPr>
      <w:r>
        <w:rPr>
          <w:rFonts w:hAnsi="宋体"/>
          <w:bCs/>
        </w:rPr>
        <w:t>4.</w:t>
      </w:r>
      <w:r>
        <w:rPr>
          <w:rFonts w:hint="eastAsia" w:hAnsi="宋体"/>
          <w:bCs/>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474C5ABE">
      <w:pPr>
        <w:pStyle w:val="21"/>
        <w:snapToGrid w:val="0"/>
        <w:spacing w:line="420" w:lineRule="exact"/>
        <w:ind w:firstLine="420"/>
        <w:rPr>
          <w:rFonts w:hAnsi="宋体"/>
          <w:bCs/>
        </w:rPr>
      </w:pPr>
      <w:r>
        <w:rPr>
          <w:rFonts w:hint="eastAsia" w:hAnsi="宋体"/>
          <w:bCs/>
        </w:rPr>
        <w:t>质疑部门联系方式：钦州市政府采购中心    0777-2886002</w:t>
      </w:r>
    </w:p>
    <w:p w14:paraId="2A634AF8">
      <w:pPr>
        <w:pStyle w:val="21"/>
        <w:snapToGrid w:val="0"/>
        <w:spacing w:line="420" w:lineRule="exact"/>
        <w:ind w:firstLine="420"/>
        <w:rPr>
          <w:rFonts w:hint="default" w:hAnsi="宋体" w:eastAsia="宋体"/>
          <w:bCs/>
          <w:color w:val="auto"/>
          <w:lang w:val="en-US" w:eastAsia="zh-CN"/>
        </w:rPr>
      </w:pPr>
      <w:r>
        <w:rPr>
          <w:rFonts w:hint="eastAsia" w:hAnsi="宋体"/>
          <w:bCs/>
        </w:rPr>
        <w:t>采购监管部门联系</w:t>
      </w:r>
      <w:r>
        <w:rPr>
          <w:rFonts w:hint="eastAsia" w:hAnsi="宋体"/>
          <w:bCs/>
          <w:color w:val="auto"/>
        </w:rPr>
        <w:t>方式：</w:t>
      </w:r>
      <w:r>
        <w:rPr>
          <w:rFonts w:hint="eastAsia" w:hAnsi="宋体"/>
          <w:bCs/>
          <w:color w:val="auto"/>
          <w:lang w:val="en-US" w:eastAsia="zh-CN"/>
        </w:rPr>
        <w:t>钦州市</w:t>
      </w:r>
      <w:r>
        <w:rPr>
          <w:rFonts w:hint="eastAsia" w:hAnsi="宋体"/>
          <w:bCs/>
          <w:color w:val="auto"/>
        </w:rPr>
        <w:t>财政局   0777-</w:t>
      </w:r>
      <w:r>
        <w:rPr>
          <w:rFonts w:hint="eastAsia" w:hAnsi="宋体" w:cs="Courier New"/>
          <w:bCs/>
          <w:color w:val="auto"/>
          <w:lang w:val="en-US" w:eastAsia="zh-CN"/>
        </w:rPr>
        <w:t>2895258</w:t>
      </w:r>
    </w:p>
    <w:p w14:paraId="61A2D7DC">
      <w:pPr>
        <w:spacing w:line="400" w:lineRule="exact"/>
        <w:ind w:firstLine="211" w:firstLineChars="100"/>
        <w:rPr>
          <w:b/>
          <w:bCs/>
        </w:rPr>
      </w:pPr>
      <w:r>
        <w:rPr>
          <w:rFonts w:hint="eastAsia"/>
          <w:b/>
          <w:bCs/>
        </w:rPr>
        <w:t xml:space="preserve">（十）查询媒体 </w:t>
      </w:r>
      <w:r>
        <w:rPr>
          <w:rFonts w:hint="eastAsia" w:hAnsi="宋体"/>
        </w:rPr>
        <w:t>中国政府采购网、</w:t>
      </w:r>
      <w:r>
        <w:fldChar w:fldCharType="begin"/>
      </w:r>
      <w:r>
        <w:instrText xml:space="preserve"> HYPERLINK "http://zfcg.gxzf.gov.cn/" </w:instrText>
      </w:r>
      <w:r>
        <w:fldChar w:fldCharType="separate"/>
      </w:r>
      <w:r>
        <w:rPr>
          <w:rStyle w:val="47"/>
          <w:rFonts w:hint="eastAsia" w:hAnsi="宋体"/>
          <w:color w:val="auto"/>
          <w:u w:val="none"/>
        </w:rPr>
        <w:t>广西政府采购网</w:t>
      </w:r>
      <w:r>
        <w:rPr>
          <w:rStyle w:val="47"/>
          <w:rFonts w:hint="eastAsia" w:hAnsi="宋体"/>
          <w:color w:val="auto"/>
          <w:u w:val="none"/>
        </w:rPr>
        <w:fldChar w:fldCharType="end"/>
      </w:r>
      <w:r>
        <w:rPr>
          <w:rFonts w:hint="eastAsia" w:hAnsi="宋体"/>
        </w:rPr>
        <w:t>。</w:t>
      </w:r>
    </w:p>
    <w:p w14:paraId="577A7B91">
      <w:pPr>
        <w:pStyle w:val="3"/>
        <w:spacing w:line="420" w:lineRule="exact"/>
      </w:pPr>
      <w:bookmarkStart w:id="65" w:name="_Toc352700416"/>
      <w:bookmarkStart w:id="66" w:name="_Toc353785286"/>
      <w:r>
        <w:rPr>
          <w:rFonts w:hint="eastAsia"/>
        </w:rPr>
        <w:t>二、竞争性谈判采购文件</w:t>
      </w:r>
      <w:bookmarkEnd w:id="65"/>
      <w:bookmarkEnd w:id="66"/>
    </w:p>
    <w:p w14:paraId="0C71AD09">
      <w:pPr>
        <w:spacing w:line="420" w:lineRule="exact"/>
        <w:ind w:firstLine="211" w:firstLineChars="100"/>
        <w:rPr>
          <w:b/>
          <w:bCs/>
        </w:rPr>
      </w:pPr>
      <w:bookmarkStart w:id="67" w:name="_Toc352700417"/>
      <w:bookmarkStart w:id="68" w:name="_Toc353785287"/>
      <w:r>
        <w:rPr>
          <w:rFonts w:hint="eastAsia"/>
          <w:b/>
          <w:bCs/>
        </w:rPr>
        <w:t>（一）竞争性谈判采购文件的组成</w:t>
      </w:r>
      <w:bookmarkEnd w:id="67"/>
      <w:bookmarkEnd w:id="68"/>
    </w:p>
    <w:p w14:paraId="7ED9BB82">
      <w:pPr>
        <w:pStyle w:val="21"/>
        <w:snapToGrid w:val="0"/>
        <w:spacing w:line="420" w:lineRule="exact"/>
        <w:ind w:firstLine="420" w:firstLineChars="200"/>
        <w:rPr>
          <w:rFonts w:hAnsi="宋体"/>
        </w:rPr>
      </w:pPr>
      <w:r>
        <w:rPr>
          <w:rFonts w:hint="eastAsia" w:hAnsi="宋体"/>
        </w:rPr>
        <w:t>第一章 竞争性谈判公告</w:t>
      </w:r>
    </w:p>
    <w:p w14:paraId="4AD9A265">
      <w:pPr>
        <w:pStyle w:val="21"/>
        <w:snapToGrid w:val="0"/>
        <w:spacing w:line="420" w:lineRule="exact"/>
        <w:ind w:firstLine="420" w:firstLineChars="200"/>
        <w:rPr>
          <w:rFonts w:hAnsi="宋体"/>
        </w:rPr>
      </w:pPr>
      <w:r>
        <w:rPr>
          <w:rFonts w:hint="eastAsia" w:hAnsi="宋体"/>
        </w:rPr>
        <w:t>第二章 项目需求</w:t>
      </w:r>
    </w:p>
    <w:p w14:paraId="13B44B80">
      <w:pPr>
        <w:pStyle w:val="21"/>
        <w:snapToGrid w:val="0"/>
        <w:spacing w:line="420" w:lineRule="exact"/>
        <w:ind w:firstLine="420" w:firstLineChars="200"/>
        <w:rPr>
          <w:rFonts w:hAnsi="宋体"/>
        </w:rPr>
      </w:pPr>
      <w:r>
        <w:rPr>
          <w:rFonts w:hint="eastAsia" w:hAnsi="宋体"/>
        </w:rPr>
        <w:t>第三章 供应商须知</w:t>
      </w:r>
    </w:p>
    <w:p w14:paraId="6FA939EF">
      <w:pPr>
        <w:pStyle w:val="21"/>
        <w:snapToGrid w:val="0"/>
        <w:spacing w:line="420" w:lineRule="exact"/>
        <w:ind w:firstLine="420" w:firstLineChars="200"/>
        <w:rPr>
          <w:rFonts w:hAnsi="宋体"/>
        </w:rPr>
      </w:pPr>
      <w:r>
        <w:rPr>
          <w:rFonts w:hint="eastAsia" w:hAnsi="宋体"/>
        </w:rPr>
        <w:t>第四章 评定标准及推荐原则</w:t>
      </w:r>
    </w:p>
    <w:p w14:paraId="5B238D52">
      <w:pPr>
        <w:pStyle w:val="21"/>
        <w:snapToGrid w:val="0"/>
        <w:spacing w:line="420" w:lineRule="exact"/>
        <w:ind w:firstLine="420" w:firstLineChars="200"/>
        <w:rPr>
          <w:rFonts w:hAnsi="宋体"/>
        </w:rPr>
      </w:pPr>
      <w:r>
        <w:rPr>
          <w:rFonts w:hint="eastAsia" w:hAnsi="宋体"/>
        </w:rPr>
        <w:t>第五章 合同文本</w:t>
      </w:r>
    </w:p>
    <w:p w14:paraId="53981F7C">
      <w:pPr>
        <w:pStyle w:val="21"/>
        <w:snapToGrid w:val="0"/>
        <w:spacing w:line="420" w:lineRule="exact"/>
        <w:ind w:firstLine="420" w:firstLineChars="200"/>
        <w:rPr>
          <w:rFonts w:hAnsi="宋体"/>
        </w:rPr>
      </w:pPr>
      <w:r>
        <w:rPr>
          <w:rFonts w:hint="eastAsia" w:hAnsi="宋体"/>
        </w:rPr>
        <w:t>第六章 响应文件格式</w:t>
      </w:r>
    </w:p>
    <w:p w14:paraId="3CA44BCD">
      <w:pPr>
        <w:spacing w:line="420" w:lineRule="exact"/>
        <w:ind w:firstLine="211" w:firstLineChars="100"/>
        <w:rPr>
          <w:b/>
          <w:bCs/>
        </w:rPr>
      </w:pPr>
      <w:bookmarkStart w:id="69" w:name="_Toc352700419"/>
      <w:bookmarkStart w:id="70" w:name="_Toc353785289"/>
      <w:r>
        <w:rPr>
          <w:rFonts w:hint="eastAsia"/>
          <w:b/>
          <w:bCs/>
        </w:rPr>
        <w:t>（二）竞争性谈判采购文件的澄清与修改</w:t>
      </w:r>
      <w:bookmarkEnd w:id="69"/>
      <w:bookmarkEnd w:id="70"/>
    </w:p>
    <w:p w14:paraId="44AB90FB">
      <w:pPr>
        <w:pStyle w:val="21"/>
        <w:snapToGrid w:val="0"/>
        <w:spacing w:line="420" w:lineRule="exact"/>
        <w:ind w:firstLine="420"/>
        <w:jc w:val="left"/>
        <w:rPr>
          <w:rFonts w:hAnsi="宋体"/>
        </w:rPr>
      </w:pPr>
      <w:r>
        <w:rPr>
          <w:rFonts w:hint="eastAsia" w:hAnsi="宋体"/>
        </w:rPr>
        <w:t>1</w:t>
      </w:r>
      <w:r>
        <w:rPr>
          <w:rFonts w:hAnsi="宋体"/>
        </w:rPr>
        <w:t>.</w:t>
      </w:r>
      <w:r>
        <w:rPr>
          <w:rFonts w:hint="eastAsia" w:hAnsi="宋体"/>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14:paraId="3A41D6B7">
      <w:pPr>
        <w:pStyle w:val="21"/>
        <w:snapToGrid w:val="0"/>
        <w:spacing w:line="420" w:lineRule="exact"/>
        <w:ind w:firstLine="420"/>
        <w:jc w:val="left"/>
        <w:rPr>
          <w:rFonts w:hAnsi="宋体"/>
        </w:rPr>
      </w:pPr>
      <w:r>
        <w:rPr>
          <w:rFonts w:hint="eastAsia" w:hAnsi="宋体"/>
        </w:rPr>
        <w:t>2</w:t>
      </w:r>
      <w:r>
        <w:rPr>
          <w:rFonts w:hAnsi="宋体"/>
        </w:rPr>
        <w:t>.</w:t>
      </w:r>
      <w:r>
        <w:rPr>
          <w:rFonts w:hint="eastAsia" w:hAnsi="宋体"/>
        </w:rPr>
        <w:t>提供期限届满后，获取谈判文件的供应商不足3家的，本中心可以顺延提供期限，并予公告。</w:t>
      </w:r>
    </w:p>
    <w:p w14:paraId="67B749D8">
      <w:pPr>
        <w:pStyle w:val="3"/>
        <w:spacing w:line="420" w:lineRule="exact"/>
      </w:pPr>
      <w:r>
        <w:rPr>
          <w:rFonts w:hint="eastAsia"/>
        </w:rPr>
        <w:t>三、响应文件</w:t>
      </w:r>
    </w:p>
    <w:p w14:paraId="69D6720B">
      <w:pPr>
        <w:spacing w:line="420" w:lineRule="exact"/>
        <w:ind w:firstLine="211" w:firstLineChars="100"/>
        <w:rPr>
          <w:rFonts w:hAnsi="宋体"/>
          <w:b/>
          <w:bCs/>
        </w:rPr>
      </w:pPr>
      <w:r>
        <w:rPr>
          <w:rFonts w:hint="eastAsia" w:hAnsi="宋体"/>
          <w:b/>
          <w:bCs/>
        </w:rPr>
        <w:t>（一）供应商的风险</w:t>
      </w:r>
    </w:p>
    <w:p w14:paraId="55488BF8">
      <w:pPr>
        <w:spacing w:line="420" w:lineRule="exact"/>
        <w:ind w:firstLine="420"/>
        <w:rPr>
          <w:rFonts w:hAnsi="宋体"/>
        </w:rPr>
      </w:pPr>
      <w:r>
        <w:rPr>
          <w:rFonts w:hAnsi="宋体"/>
        </w:rPr>
        <w:t>1.</w:t>
      </w:r>
      <w:r>
        <w:rPr>
          <w:rFonts w:hint="eastAsia" w:hAnsi="宋体"/>
        </w:rPr>
        <w:t>供应商应当按照谈判文件的要求编制响应文件，并对其提交的响应文件的真实性、合法性承担法律责任。</w:t>
      </w:r>
    </w:p>
    <w:p w14:paraId="57FAE25F">
      <w:pPr>
        <w:spacing w:line="420" w:lineRule="exact"/>
        <w:ind w:firstLine="420"/>
        <w:rPr>
          <w:rFonts w:hAnsi="宋体"/>
        </w:rPr>
      </w:pPr>
      <w:r>
        <w:rPr>
          <w:rFonts w:hAnsi="宋体"/>
        </w:rPr>
        <w:t>2.</w:t>
      </w:r>
      <w:r>
        <w:rPr>
          <w:rFonts w:hint="eastAsia" w:hAnsi="宋体"/>
        </w:rPr>
        <w:t>供应商在采购活动中提供任何虚假材料的，谈判小组将报财政部门查处。</w:t>
      </w:r>
    </w:p>
    <w:p w14:paraId="731F4C40">
      <w:pPr>
        <w:snapToGrid w:val="0"/>
        <w:spacing w:line="420" w:lineRule="exact"/>
        <w:ind w:firstLine="211" w:firstLineChars="100"/>
        <w:rPr>
          <w:rFonts w:ascii="宋体" w:hAnsi="宋体"/>
          <w:b/>
          <w:szCs w:val="21"/>
        </w:rPr>
      </w:pPr>
      <w:r>
        <w:rPr>
          <w:rFonts w:hint="eastAsia" w:hAnsi="宋体"/>
          <w:b/>
          <w:bCs/>
        </w:rPr>
        <w:t>（二）</w:t>
      </w:r>
      <w:r>
        <w:rPr>
          <w:rFonts w:hint="eastAsia" w:ascii="宋体" w:hAnsi="宋体"/>
          <w:b/>
          <w:szCs w:val="21"/>
        </w:rPr>
        <w:t>响应文件的组成</w:t>
      </w:r>
    </w:p>
    <w:p w14:paraId="5D2ABBFF">
      <w:pPr>
        <w:snapToGrid w:val="0"/>
        <w:spacing w:line="420" w:lineRule="exact"/>
        <w:ind w:firstLine="422"/>
        <w:rPr>
          <w:rFonts w:ascii="宋体" w:hAnsi="宋体"/>
          <w:b/>
          <w:szCs w:val="21"/>
        </w:rPr>
      </w:pPr>
      <w:bookmarkStart w:id="71" w:name="_Hlk92285760"/>
      <w:r>
        <w:rPr>
          <w:rFonts w:ascii="宋体" w:hAnsi="宋体"/>
          <w:b/>
          <w:szCs w:val="21"/>
        </w:rPr>
        <w:t>1.</w:t>
      </w:r>
      <w:r>
        <w:rPr>
          <w:rFonts w:hint="eastAsia" w:ascii="宋体" w:hAnsi="宋体"/>
          <w:b/>
          <w:szCs w:val="21"/>
        </w:rPr>
        <w:t>资格文件：</w:t>
      </w:r>
    </w:p>
    <w:p w14:paraId="48C53E52">
      <w:pPr>
        <w:tabs>
          <w:tab w:val="left" w:pos="3870"/>
          <w:tab w:val="left" w:pos="4085"/>
        </w:tabs>
        <w:snapToGrid w:val="0"/>
        <w:spacing w:line="420" w:lineRule="exact"/>
        <w:ind w:firstLine="420"/>
        <w:rPr>
          <w:rFonts w:ascii="宋体" w:hAnsi="宋体"/>
          <w:szCs w:val="21"/>
        </w:rPr>
      </w:pPr>
      <w:r>
        <w:rPr>
          <w:rFonts w:hint="eastAsia" w:ascii="宋体" w:hAnsi="宋体" w:cs="宋体"/>
          <w:bCs/>
          <w:kern w:val="0"/>
          <w:szCs w:val="21"/>
        </w:rPr>
        <w:t>★</w:t>
      </w:r>
      <w:bookmarkStart w:id="72" w:name="_Hlk90369149"/>
      <w:r>
        <w:rPr>
          <w:rFonts w:hint="eastAsia" w:ascii="宋体" w:hAnsi="宋体"/>
          <w:szCs w:val="21"/>
        </w:rPr>
        <w:t>(</w:t>
      </w:r>
      <w:r>
        <w:rPr>
          <w:rFonts w:ascii="宋体" w:hAnsi="宋体"/>
          <w:szCs w:val="21"/>
        </w:rPr>
        <w:t>1)</w:t>
      </w:r>
      <w:r>
        <w:rPr>
          <w:rFonts w:hint="eastAsia" w:ascii="宋体" w:hAnsi="宋体"/>
          <w:szCs w:val="21"/>
        </w:rPr>
        <w:t>法人或者其他组织的营业执照等证明文件</w:t>
      </w:r>
    </w:p>
    <w:bookmarkEnd w:id="72"/>
    <w:p w14:paraId="213DD0A1">
      <w:pPr>
        <w:tabs>
          <w:tab w:val="left" w:pos="3870"/>
          <w:tab w:val="left" w:pos="4085"/>
        </w:tabs>
        <w:snapToGrid w:val="0"/>
        <w:spacing w:line="420" w:lineRule="exact"/>
        <w:ind w:firstLine="420"/>
        <w:rPr>
          <w:rFonts w:ascii="宋体" w:hAnsi="宋体" w:cs="宋体"/>
          <w:szCs w:val="21"/>
        </w:rPr>
      </w:pPr>
      <w:r>
        <w:rPr>
          <w:rFonts w:hint="eastAsia" w:ascii="宋体" w:hAnsi="宋体" w:cs="宋体"/>
          <w:bCs/>
          <w:kern w:val="0"/>
          <w:szCs w:val="21"/>
        </w:rPr>
        <w:t>★(</w:t>
      </w:r>
      <w:r>
        <w:rPr>
          <w:rFonts w:ascii="宋体" w:hAnsi="宋体" w:cs="宋体"/>
          <w:bCs/>
          <w:kern w:val="0"/>
          <w:szCs w:val="21"/>
        </w:rPr>
        <w:t>2)</w:t>
      </w:r>
      <w:bookmarkStart w:id="73" w:name="_Hlk147761368"/>
      <w:r>
        <w:rPr>
          <w:rFonts w:hint="eastAsia" w:ascii="宋体" w:hAnsi="宋体"/>
          <w:szCs w:val="21"/>
        </w:rPr>
        <w:t>供应商具备参加政府采购活动条件的承诺书</w:t>
      </w:r>
      <w:r>
        <w:rPr>
          <w:rFonts w:hint="eastAsia" w:ascii="宋体" w:hAnsi="宋体" w:cs="宋体"/>
          <w:szCs w:val="21"/>
        </w:rPr>
        <w:t>(格式见第六章</w:t>
      </w:r>
      <w:r>
        <w:rPr>
          <w:rFonts w:ascii="宋体" w:hAnsi="宋体" w:cs="宋体"/>
          <w:szCs w:val="21"/>
        </w:rPr>
        <w:t>）</w:t>
      </w:r>
      <w:bookmarkEnd w:id="73"/>
    </w:p>
    <w:p w14:paraId="75EE81ED">
      <w:pPr>
        <w:tabs>
          <w:tab w:val="left" w:pos="3870"/>
          <w:tab w:val="left" w:pos="4085"/>
        </w:tabs>
        <w:snapToGrid w:val="0"/>
        <w:spacing w:line="420" w:lineRule="exact"/>
        <w:ind w:firstLine="420"/>
        <w:rPr>
          <w:rFonts w:hAnsi="宋体"/>
          <w:spacing w:val="-4"/>
        </w:rPr>
      </w:pPr>
      <w:r>
        <w:rPr>
          <w:rFonts w:hint="eastAsia" w:ascii="宋体" w:hAnsi="宋体" w:cs="宋体"/>
          <w:bCs/>
          <w:kern w:val="0"/>
          <w:szCs w:val="21"/>
        </w:rPr>
        <w:t>★(</w:t>
      </w:r>
      <w:r>
        <w:rPr>
          <w:rFonts w:ascii="宋体" w:hAnsi="宋体" w:cs="宋体"/>
          <w:bCs/>
          <w:kern w:val="0"/>
          <w:szCs w:val="21"/>
        </w:rPr>
        <w:t>3)</w:t>
      </w:r>
      <w:r>
        <w:rPr>
          <w:rFonts w:hint="eastAsia" w:hAnsi="宋体"/>
          <w:spacing w:val="-4"/>
        </w:rPr>
        <w:t>参加政府采购活动前3年内在经营活动中没有重大违法记录的书面声明(格式见第六章)</w:t>
      </w:r>
    </w:p>
    <w:p w14:paraId="245A982C">
      <w:pPr>
        <w:snapToGrid w:val="0"/>
        <w:spacing w:line="420" w:lineRule="exact"/>
        <w:ind w:firstLine="422"/>
        <w:rPr>
          <w:rFonts w:ascii="宋体" w:hAnsi="宋体"/>
          <w:szCs w:val="21"/>
        </w:rPr>
      </w:pPr>
      <w:r>
        <w:rPr>
          <w:rFonts w:ascii="宋体" w:hAnsi="宋体"/>
          <w:b/>
          <w:szCs w:val="21"/>
        </w:rPr>
        <w:t>2.</w:t>
      </w:r>
      <w:r>
        <w:rPr>
          <w:rFonts w:hint="eastAsia" w:ascii="宋体" w:hAnsi="宋体"/>
          <w:b/>
          <w:szCs w:val="21"/>
        </w:rPr>
        <w:t>商务技术文件：</w:t>
      </w:r>
    </w:p>
    <w:p w14:paraId="2A2AC9BC">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(1</w:t>
      </w:r>
      <w:r>
        <w:rPr>
          <w:rFonts w:ascii="宋体" w:hAnsi="宋体"/>
          <w:szCs w:val="21"/>
        </w:rPr>
        <w:t>)</w:t>
      </w:r>
      <w:r>
        <w:rPr>
          <w:rFonts w:hint="eastAsia" w:ascii="宋体" w:hAnsi="宋体"/>
          <w:szCs w:val="21"/>
        </w:rPr>
        <w:t>谈判函（格式见第六章）</w:t>
      </w:r>
    </w:p>
    <w:p w14:paraId="48CC38C1">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(2</w:t>
      </w:r>
      <w:r>
        <w:rPr>
          <w:rFonts w:ascii="宋体" w:hAnsi="宋体"/>
          <w:szCs w:val="21"/>
        </w:rPr>
        <w:t>)</w:t>
      </w:r>
      <w:r>
        <w:rPr>
          <w:rFonts w:hint="eastAsia" w:ascii="宋体" w:hAnsi="宋体"/>
          <w:szCs w:val="21"/>
        </w:rPr>
        <w:t>法定代表人身份证</w:t>
      </w:r>
    </w:p>
    <w:p w14:paraId="0A4730B3">
      <w:pPr>
        <w:snapToGrid w:val="0"/>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法定代表人授权委托书和代理人身份证（委托代理时必须提供，格式见第六章）</w:t>
      </w:r>
    </w:p>
    <w:p w14:paraId="33E6BC27">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(4</w:t>
      </w:r>
      <w:r>
        <w:rPr>
          <w:rFonts w:ascii="宋体" w:hAnsi="宋体"/>
          <w:szCs w:val="21"/>
        </w:rPr>
        <w:t>)</w:t>
      </w:r>
      <w:r>
        <w:rPr>
          <w:rFonts w:ascii="宋体" w:hAnsi="宋体"/>
        </w:rPr>
        <w:t>商务响应表(格式见第六章)</w:t>
      </w:r>
    </w:p>
    <w:p w14:paraId="3933D3D4">
      <w:pPr>
        <w:snapToGrid w:val="0"/>
        <w:spacing w:line="420" w:lineRule="exact"/>
        <w:ind w:firstLine="422" w:firstLineChars="200"/>
        <w:rPr>
          <w:rFonts w:ascii="宋体" w:hAnsi="宋体"/>
        </w:rPr>
      </w:pPr>
      <w:bookmarkStart w:id="74" w:name="_Hlk111707698"/>
      <w:r>
        <w:rPr>
          <w:rFonts w:hint="eastAsia" w:ascii="宋体" w:hAnsi="宋体"/>
          <w:b/>
          <w:szCs w:val="21"/>
        </w:rPr>
        <w:t>★</w:t>
      </w:r>
      <w:r>
        <w:rPr>
          <w:rFonts w:hint="eastAsia" w:ascii="宋体" w:hAnsi="宋体"/>
        </w:rPr>
        <w:t>(5</w:t>
      </w:r>
      <w:r>
        <w:rPr>
          <w:rFonts w:ascii="宋体" w:hAnsi="宋体"/>
        </w:rPr>
        <w:t>)</w:t>
      </w:r>
      <w:r>
        <w:rPr>
          <w:rFonts w:hint="eastAsia" w:ascii="宋体" w:hAnsi="宋体"/>
          <w:szCs w:val="21"/>
        </w:rPr>
        <w:t>技术响应表</w:t>
      </w:r>
      <w:bookmarkStart w:id="75" w:name="_Hlk92285954"/>
      <w:r>
        <w:rPr>
          <w:rFonts w:ascii="宋体" w:hAnsi="宋体"/>
        </w:rPr>
        <w:t>(格式见第六章)</w:t>
      </w:r>
      <w:bookmarkEnd w:id="75"/>
    </w:p>
    <w:p w14:paraId="0F6E92C4">
      <w:pPr>
        <w:snapToGrid w:val="0"/>
        <w:spacing w:line="420" w:lineRule="exact"/>
        <w:ind w:firstLine="422" w:firstLineChars="200"/>
        <w:rPr>
          <w:rFonts w:ascii="宋体" w:cs="宋体"/>
          <w:bCs/>
          <w:kern w:val="0"/>
          <w:szCs w:val="21"/>
        </w:rPr>
      </w:pPr>
      <w:r>
        <w:rPr>
          <w:rFonts w:hint="eastAsia" w:ascii="宋体" w:hAnsi="宋体"/>
          <w:b/>
          <w:szCs w:val="21"/>
        </w:rPr>
        <w:t>★</w:t>
      </w:r>
      <w:r>
        <w:rPr>
          <w:rFonts w:hint="eastAsia" w:ascii="宋体" w:cs="宋体"/>
          <w:bCs/>
          <w:kern w:val="0"/>
          <w:szCs w:val="21"/>
        </w:rPr>
        <w:t>(6</w:t>
      </w:r>
      <w:r>
        <w:rPr>
          <w:rFonts w:ascii="宋体" w:cs="宋体"/>
          <w:bCs/>
          <w:kern w:val="0"/>
          <w:szCs w:val="21"/>
        </w:rPr>
        <w:t>)</w:t>
      </w:r>
      <w:r>
        <w:rPr>
          <w:rFonts w:hint="eastAsia" w:ascii="宋体" w:cs="宋体"/>
          <w:kern w:val="0"/>
          <w:szCs w:val="21"/>
        </w:rPr>
        <w:t>售后服务承诺书</w:t>
      </w:r>
      <w:r>
        <w:rPr>
          <w:rFonts w:hint="eastAsia" w:ascii="宋体" w:cs="宋体"/>
          <w:bCs/>
          <w:kern w:val="0"/>
          <w:szCs w:val="21"/>
        </w:rPr>
        <w:t>（根据项目需求要求提供，格式自拟）</w:t>
      </w:r>
    </w:p>
    <w:p w14:paraId="7C252B9F">
      <w:pPr>
        <w:snapToGrid w:val="0"/>
        <w:spacing w:line="420" w:lineRule="exact"/>
        <w:ind w:firstLine="422" w:firstLineChars="200"/>
      </w:pPr>
      <w:r>
        <w:rPr>
          <w:rFonts w:hint="eastAsia" w:ascii="宋体" w:hAnsi="宋体"/>
          <w:b/>
          <w:szCs w:val="21"/>
        </w:rPr>
        <w:t>★</w:t>
      </w:r>
      <w:r>
        <w:rPr>
          <w:rFonts w:hint="eastAsia" w:ascii="宋体" w:cs="宋体"/>
          <w:bCs/>
          <w:kern w:val="0"/>
          <w:szCs w:val="21"/>
        </w:rPr>
        <w:t>(7</w:t>
      </w:r>
      <w:r>
        <w:rPr>
          <w:rFonts w:ascii="宋体" w:cs="宋体"/>
          <w:bCs/>
          <w:kern w:val="0"/>
          <w:szCs w:val="21"/>
        </w:rPr>
        <w:t>)</w:t>
      </w:r>
      <w:r>
        <w:rPr>
          <w:rFonts w:hint="eastAsia" w:ascii="宋体" w:hAnsi="宋体"/>
          <w:color w:val="000000"/>
          <w:szCs w:val="21"/>
        </w:rPr>
        <w:t>《项目需求》中要求必须提供的材料（如有，必须提供）</w:t>
      </w:r>
    </w:p>
    <w:bookmarkEnd w:id="74"/>
    <w:p w14:paraId="70E253CD">
      <w:pPr>
        <w:snapToGrid w:val="0"/>
        <w:spacing w:line="420" w:lineRule="exact"/>
        <w:ind w:firstLine="422"/>
        <w:rPr>
          <w:rFonts w:ascii="宋体" w:hAnsi="宋体"/>
          <w:b/>
          <w:szCs w:val="21"/>
        </w:rPr>
      </w:pPr>
      <w:r>
        <w:rPr>
          <w:rFonts w:ascii="宋体" w:hAnsi="宋体"/>
          <w:b/>
          <w:szCs w:val="21"/>
        </w:rPr>
        <w:t>3.</w:t>
      </w:r>
      <w:r>
        <w:rPr>
          <w:rFonts w:hint="eastAsia" w:ascii="宋体" w:hAnsi="宋体"/>
          <w:b/>
          <w:szCs w:val="21"/>
        </w:rPr>
        <w:t>报价文件</w:t>
      </w:r>
    </w:p>
    <w:p w14:paraId="0778CC69">
      <w:pPr>
        <w:snapToGrid w:val="0"/>
        <w:spacing w:line="420" w:lineRule="exact"/>
        <w:rPr>
          <w:rFonts w:ascii="宋体" w:hAnsi="宋体"/>
          <w:bCs/>
          <w:szCs w:val="21"/>
        </w:rPr>
      </w:pPr>
      <w:bookmarkStart w:id="76" w:name="_Hlk92265738"/>
      <w:r>
        <w:rPr>
          <w:rFonts w:hint="eastAsia" w:ascii="宋体" w:hAnsi="宋体"/>
          <w:b/>
          <w:szCs w:val="21"/>
        </w:rPr>
        <w:t xml:space="preserve"> </w:t>
      </w:r>
      <w:r>
        <w:rPr>
          <w:rFonts w:ascii="宋体" w:hAnsi="宋体"/>
          <w:b/>
          <w:szCs w:val="21"/>
        </w:rPr>
        <w:t xml:space="preserve">   </w:t>
      </w:r>
      <w:r>
        <w:rPr>
          <w:rFonts w:hint="eastAsia" w:ascii="宋体" w:hAnsi="宋体"/>
          <w:b/>
          <w:szCs w:val="21"/>
        </w:rPr>
        <w:t>★</w:t>
      </w:r>
      <w:r>
        <w:rPr>
          <w:rFonts w:hint="eastAsia" w:ascii="宋体" w:hAnsi="宋体"/>
          <w:bCs/>
          <w:szCs w:val="21"/>
        </w:rPr>
        <w:t>报价明细表</w:t>
      </w:r>
      <w:bookmarkEnd w:id="76"/>
      <w:r>
        <w:rPr>
          <w:rFonts w:hint="eastAsia" w:ascii="宋体" w:hAnsi="宋体"/>
          <w:bCs/>
          <w:szCs w:val="21"/>
        </w:rPr>
        <w:t>(格式见第六章)。</w:t>
      </w:r>
    </w:p>
    <w:bookmarkEnd w:id="71"/>
    <w:p w14:paraId="1FA8D62A">
      <w:pPr>
        <w:snapToGrid w:val="0"/>
        <w:spacing w:line="420" w:lineRule="exact"/>
        <w:ind w:firstLine="422"/>
        <w:rPr>
          <w:rFonts w:ascii="宋体" w:hAnsi="宋体"/>
          <w:szCs w:val="21"/>
        </w:rPr>
      </w:pPr>
      <w:r>
        <w:rPr>
          <w:rFonts w:hint="eastAsia" w:ascii="宋体" w:hAnsi="宋体"/>
          <w:szCs w:val="21"/>
        </w:rPr>
        <w:t>注：标注★号的材料均为必须提供的材料须由供应商加盖公章，授权委托书必须由法定代表人签名，否则视为无效响应文件。</w:t>
      </w:r>
    </w:p>
    <w:p w14:paraId="6CB812C9">
      <w:pPr>
        <w:spacing w:line="420" w:lineRule="exact"/>
        <w:ind w:firstLine="211" w:firstLineChars="100"/>
        <w:rPr>
          <w:rFonts w:ascii="宋体" w:hAnsi="宋体"/>
          <w:b/>
          <w:bCs/>
          <w:szCs w:val="21"/>
        </w:rPr>
      </w:pPr>
      <w:bookmarkStart w:id="77" w:name="_Hlk90906323"/>
      <w:r>
        <w:rPr>
          <w:rFonts w:hint="eastAsia" w:ascii="宋体" w:hAnsi="宋体"/>
          <w:b/>
          <w:szCs w:val="21"/>
        </w:rPr>
        <w:t>（三）</w:t>
      </w:r>
      <w:bookmarkStart w:id="78" w:name="_Toc254970537"/>
      <w:bookmarkStart w:id="79" w:name="_Toc353785292"/>
      <w:bookmarkStart w:id="80" w:name="_Toc254970678"/>
      <w:bookmarkStart w:id="81" w:name="_Toc352700422"/>
      <w:r>
        <w:rPr>
          <w:rFonts w:hint="eastAsia" w:ascii="宋体" w:hAnsi="宋体"/>
          <w:b/>
          <w:bCs/>
          <w:szCs w:val="21"/>
        </w:rPr>
        <w:t>响应文件的编制、签署及加密</w:t>
      </w:r>
    </w:p>
    <w:p w14:paraId="12409F48">
      <w:pPr>
        <w:spacing w:line="420" w:lineRule="exact"/>
        <w:ind w:firstLine="420"/>
        <w:rPr>
          <w:rFonts w:ascii="宋体" w:hAnsi="宋体"/>
          <w:szCs w:val="21"/>
        </w:rPr>
      </w:pPr>
      <w:r>
        <w:rPr>
          <w:rFonts w:ascii="宋体" w:hAnsi="宋体"/>
          <w:szCs w:val="21"/>
        </w:rPr>
        <w:t>1.</w:t>
      </w:r>
      <w:r>
        <w:rPr>
          <w:rFonts w:hint="eastAsia" w:ascii="宋体" w:hAnsi="宋体"/>
          <w:szCs w:val="21"/>
        </w:rPr>
        <w:t>供应商应认真阅读、并充分理解招标文件的全部内容(包括所有的补充、修改内容)，承诺履行其各项条款的规定并按要求编制，响应文件应为电子文件或扫描件(样品除外)。</w:t>
      </w:r>
    </w:p>
    <w:p w14:paraId="67596818">
      <w:pPr>
        <w:spacing w:line="420" w:lineRule="exact"/>
        <w:ind w:firstLine="420"/>
        <w:rPr>
          <w:rFonts w:ascii="宋体" w:hAnsi="宋体"/>
          <w:szCs w:val="21"/>
        </w:rPr>
      </w:pPr>
      <w:r>
        <w:rPr>
          <w:rFonts w:ascii="宋体" w:hAnsi="宋体"/>
          <w:szCs w:val="21"/>
        </w:rPr>
        <w:t>2.</w:t>
      </w:r>
      <w:r>
        <w:rPr>
          <w:rFonts w:hint="eastAsia" w:ascii="宋体" w:hAnsi="宋体"/>
          <w:szCs w:val="21"/>
        </w:rPr>
        <w:t>供应商应通过广西政采云投标客户端编制加密响应文件。</w:t>
      </w:r>
    </w:p>
    <w:p w14:paraId="3DECFD3A">
      <w:pPr>
        <w:spacing w:line="420" w:lineRule="exact"/>
        <w:ind w:firstLine="420"/>
        <w:rPr>
          <w:rFonts w:ascii="宋体" w:hAnsi="宋体"/>
          <w:szCs w:val="21"/>
        </w:rPr>
      </w:pPr>
      <w:r>
        <w:rPr>
          <w:rFonts w:ascii="宋体" w:hAnsi="宋体"/>
          <w:szCs w:val="21"/>
        </w:rPr>
        <w:t>3.</w:t>
      </w:r>
      <w:r>
        <w:rPr>
          <w:rFonts w:hint="eastAsia" w:ascii="宋体" w:hAnsi="宋体"/>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18E02B54">
      <w:pPr>
        <w:spacing w:line="420" w:lineRule="exact"/>
        <w:rPr>
          <w:rFonts w:ascii="宋体" w:hAnsi="宋体"/>
          <w:b/>
          <w:bCs/>
          <w:szCs w:val="21"/>
        </w:rPr>
      </w:pPr>
      <w:r>
        <w:rPr>
          <w:rFonts w:ascii="宋体" w:hAnsi="宋体"/>
          <w:szCs w:val="21"/>
        </w:rPr>
        <w:tab/>
      </w:r>
      <w:r>
        <w:rPr>
          <w:rFonts w:ascii="宋体" w:hAnsi="宋体"/>
          <w:b/>
          <w:bCs/>
          <w:szCs w:val="21"/>
        </w:rPr>
        <w:t>4.</w:t>
      </w:r>
      <w:bookmarkStart w:id="82" w:name="_Hlk112311085"/>
      <w:r>
        <w:rPr>
          <w:rFonts w:hint="eastAsia" w:ascii="宋体" w:hAnsi="宋体"/>
          <w:b/>
          <w:bCs/>
          <w:szCs w:val="21"/>
        </w:rPr>
        <w:t>响应文件由供应商在规定位置由法定代表人或授权委托人签名（可为电子签名）、填写供应商名称并加盖公章(简称“盖章”，可为电子公章)，供应商名称应写全称。</w:t>
      </w:r>
      <w:bookmarkEnd w:id="82"/>
    </w:p>
    <w:p w14:paraId="7A003199">
      <w:pPr>
        <w:snapToGrid w:val="0"/>
        <w:spacing w:line="420" w:lineRule="exact"/>
        <w:ind w:firstLine="210" w:firstLineChars="100"/>
        <w:rPr>
          <w:rFonts w:ascii="宋体" w:hAnsi="宋体"/>
          <w:b/>
          <w:bCs/>
          <w:szCs w:val="21"/>
        </w:rPr>
      </w:pPr>
      <w:r>
        <w:rPr>
          <w:rFonts w:ascii="宋体" w:hAnsi="宋体"/>
          <w:szCs w:val="21"/>
        </w:rPr>
        <w:tab/>
      </w:r>
      <w:r>
        <w:rPr>
          <w:rFonts w:ascii="宋体" w:hAnsi="宋体"/>
          <w:szCs w:val="21"/>
        </w:rPr>
        <w:t>5.</w:t>
      </w:r>
      <w:r>
        <w:rPr>
          <w:rFonts w:hint="eastAsia" w:ascii="宋体" w:hAnsi="宋体"/>
          <w:szCs w:val="21"/>
        </w:rPr>
        <w:t>响应文件内容不完整、编排混乱、不清晰等原因导致被误读或漏读的责任和后果由供应商承担。</w:t>
      </w:r>
    </w:p>
    <w:bookmarkEnd w:id="77"/>
    <w:p w14:paraId="37DAADD7">
      <w:pPr>
        <w:spacing w:line="420" w:lineRule="exact"/>
        <w:ind w:firstLine="211" w:firstLineChars="100"/>
      </w:pPr>
      <w:r>
        <w:rPr>
          <w:rFonts w:hint="eastAsia"/>
          <w:b/>
          <w:bCs/>
        </w:rPr>
        <w:t>（四）响应文件的语言及计量</w:t>
      </w:r>
      <w:bookmarkEnd w:id="78"/>
      <w:bookmarkEnd w:id="79"/>
      <w:bookmarkEnd w:id="80"/>
      <w:bookmarkEnd w:id="81"/>
    </w:p>
    <w:p w14:paraId="29A1FE43">
      <w:pPr>
        <w:snapToGrid w:val="0"/>
        <w:spacing w:line="420" w:lineRule="exact"/>
        <w:ind w:firstLine="420"/>
        <w:rPr>
          <w:rFonts w:ascii="宋体" w:hAnsi="宋体"/>
          <w:szCs w:val="21"/>
        </w:rPr>
      </w:pPr>
      <w:r>
        <w:rPr>
          <w:rFonts w:ascii="宋体" w:hAnsi="宋体"/>
          <w:szCs w:val="21"/>
        </w:rPr>
        <w:t>1.</w:t>
      </w:r>
      <w:r>
        <w:rPr>
          <w:rFonts w:hint="eastAsia" w:ascii="宋体" w:hAnsi="宋体"/>
          <w:szCs w:val="21"/>
        </w:rPr>
        <w:t>响应文件以及供应商与采购人、本中心就有关事宜的所有来往函电，均应以中文汉语书写。除签名、盖章、专用名称等特殊情形外，以中文汉语以外的文字表述的视为无效文件。</w:t>
      </w:r>
    </w:p>
    <w:p w14:paraId="023C5070">
      <w:pPr>
        <w:snapToGrid w:val="0"/>
        <w:spacing w:line="420" w:lineRule="exact"/>
        <w:ind w:firstLine="420"/>
        <w:rPr>
          <w:rFonts w:ascii="宋体" w:hAnsi="宋体"/>
          <w:szCs w:val="21"/>
        </w:rPr>
      </w:pPr>
      <w:r>
        <w:rPr>
          <w:rFonts w:ascii="宋体" w:hAnsi="宋体"/>
          <w:szCs w:val="21"/>
        </w:rPr>
        <w:t>2.响应</w:t>
      </w:r>
      <w:r>
        <w:rPr>
          <w:rFonts w:hint="eastAsia" w:ascii="宋体" w:hAnsi="宋体"/>
          <w:szCs w:val="21"/>
        </w:rPr>
        <w:t>文件的计量单位，采购文件已有明确规定的，使用采购文件规定的计量单位；采购文件没有规定的，应采用中华人民共和国法定计量单位（货币单位：人民币元），否则视为无效响应文件。</w:t>
      </w:r>
    </w:p>
    <w:p w14:paraId="29B3CD62">
      <w:pPr>
        <w:pStyle w:val="3"/>
        <w:spacing w:before="0" w:after="0" w:line="440" w:lineRule="exact"/>
        <w:ind w:firstLine="211" w:firstLineChars="100"/>
        <w:rPr>
          <w:rFonts w:ascii="宋体" w:hAnsi="宋体" w:eastAsia="宋体"/>
          <w:sz w:val="21"/>
          <w:szCs w:val="21"/>
        </w:rPr>
      </w:pPr>
      <w:bookmarkStart w:id="83" w:name="_（五）报价"/>
      <w:bookmarkEnd w:id="83"/>
      <w:bookmarkStart w:id="84" w:name="_Toc254970679"/>
      <w:bookmarkStart w:id="85" w:name="_Toc352700423"/>
      <w:bookmarkStart w:id="86" w:name="_Toc254970538"/>
      <w:bookmarkStart w:id="87" w:name="_Toc353785293"/>
      <w:r>
        <w:rPr>
          <w:rFonts w:hint="eastAsia" w:ascii="宋体" w:hAnsi="宋体" w:eastAsia="宋体"/>
          <w:sz w:val="21"/>
          <w:szCs w:val="21"/>
        </w:rPr>
        <w:t>（五）报价</w:t>
      </w:r>
      <w:bookmarkEnd w:id="84"/>
      <w:bookmarkEnd w:id="85"/>
      <w:bookmarkEnd w:id="86"/>
      <w:bookmarkEnd w:id="87"/>
    </w:p>
    <w:p w14:paraId="082AF7B5">
      <w:pPr>
        <w:pStyle w:val="21"/>
        <w:snapToGrid w:val="0"/>
        <w:spacing w:line="420" w:lineRule="exact"/>
        <w:ind w:firstLine="420"/>
        <w:rPr>
          <w:rFonts w:hAnsi="宋体"/>
        </w:rPr>
      </w:pPr>
      <w:r>
        <w:rPr>
          <w:rFonts w:hAnsi="宋体"/>
        </w:rPr>
        <w:t>1.</w:t>
      </w:r>
      <w:r>
        <w:rPr>
          <w:rFonts w:hint="eastAsia" w:hAnsi="宋体"/>
        </w:rPr>
        <w:t>采购文件中未列明，而供应商认为必需的费用也须列入总报价。在合同实施时，采购人将不予支付成交供应商没有列入总报价的项目费用，并认为此项费用已包含在总报价中。</w:t>
      </w:r>
    </w:p>
    <w:p w14:paraId="6D438CEF">
      <w:pPr>
        <w:pStyle w:val="21"/>
        <w:snapToGrid w:val="0"/>
        <w:spacing w:line="420" w:lineRule="exact"/>
        <w:ind w:firstLine="420"/>
      </w:pPr>
      <w:r>
        <w:rPr>
          <w:rFonts w:hAnsi="宋体"/>
        </w:rPr>
        <w:t>2</w:t>
      </w:r>
      <w:r>
        <w:rPr>
          <w:rFonts w:hint="eastAsia" w:hAnsi="宋体"/>
        </w:rPr>
        <w:t>供应商</w:t>
      </w:r>
      <w:r>
        <w:rPr>
          <w:rFonts w:hint="eastAsia"/>
        </w:rPr>
        <w:t>必须就《项目需求》货物和服务的内容作完整唯一报价</w:t>
      </w:r>
      <w:r>
        <w:rPr>
          <w:rFonts w:hint="eastAsia" w:hAnsi="宋体"/>
        </w:rPr>
        <w:t>，有选择的或有条件的报价视为无效响应文件。</w:t>
      </w:r>
    </w:p>
    <w:p w14:paraId="5FBA7150">
      <w:pPr>
        <w:tabs>
          <w:tab w:val="left" w:pos="525"/>
        </w:tabs>
        <w:snapToGrid w:val="0"/>
        <w:spacing w:line="420" w:lineRule="exact"/>
        <w:ind w:firstLine="420"/>
        <w:rPr>
          <w:rFonts w:ascii="宋体" w:hAnsi="宋体"/>
          <w:szCs w:val="21"/>
        </w:rPr>
      </w:pPr>
      <w:r>
        <w:rPr>
          <w:rFonts w:ascii="宋体" w:hAnsi="宋体"/>
          <w:szCs w:val="21"/>
        </w:rPr>
        <w:t>3.</w:t>
      </w:r>
      <w:r>
        <w:rPr>
          <w:rFonts w:hint="eastAsia" w:ascii="宋体" w:hAnsi="宋体"/>
          <w:szCs w:val="21"/>
        </w:rPr>
        <w:t>供应商的报价必须按采购文件或广西政府采购云平台规定的格式填写，并在规定时间内提交最后报价。</w:t>
      </w:r>
    </w:p>
    <w:p w14:paraId="0EF3726C">
      <w:pPr>
        <w:tabs>
          <w:tab w:val="left" w:pos="525"/>
        </w:tabs>
        <w:snapToGrid w:val="0"/>
        <w:spacing w:line="420" w:lineRule="exact"/>
        <w:ind w:firstLine="420"/>
        <w:rPr>
          <w:rFonts w:ascii="宋体" w:hAnsi="宋体"/>
          <w:szCs w:val="21"/>
        </w:rPr>
      </w:pPr>
      <w:r>
        <w:rPr>
          <w:rFonts w:ascii="宋体" w:hAnsi="宋体"/>
          <w:szCs w:val="21"/>
        </w:rPr>
        <w:t>4.</w:t>
      </w:r>
      <w:r>
        <w:rPr>
          <w:rFonts w:hint="eastAsia" w:ascii="宋体" w:hAnsi="宋体"/>
          <w:szCs w:val="21"/>
        </w:rPr>
        <w:t>最后报价是供应商响应文件的有效组成部分。</w:t>
      </w:r>
    </w:p>
    <w:p w14:paraId="6694B717">
      <w:pPr>
        <w:spacing w:line="420" w:lineRule="exact"/>
        <w:ind w:firstLine="211" w:firstLineChars="100"/>
        <w:rPr>
          <w:b/>
          <w:bCs/>
        </w:rPr>
      </w:pPr>
      <w:bookmarkStart w:id="88" w:name="_（六）谈判保证金"/>
      <w:bookmarkEnd w:id="88"/>
      <w:r>
        <w:rPr>
          <w:rFonts w:hint="eastAsia"/>
          <w:b/>
          <w:bCs/>
        </w:rPr>
        <w:t>（六）响应文件的上传、提交、修改、撤回</w:t>
      </w:r>
    </w:p>
    <w:p w14:paraId="07F8E948">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响应文件的上传和提交:供应商须将编制好的加密响应文件上传至广西政府采购云平台，并在响应文件提交截止时间前提交，否则广西政府采购云平台将予以拒收。</w:t>
      </w:r>
    </w:p>
    <w:p w14:paraId="74CB834A">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响应文件的修改和撤回：</w:t>
      </w:r>
      <w:r>
        <w:rPr>
          <w:rFonts w:hint="eastAsia"/>
          <w:szCs w:val="21"/>
        </w:rPr>
        <w:t>供应商在提交响应文件截止时间前，可以对所提交的响应文件进行补充、修改或者撤回</w:t>
      </w:r>
      <w:r>
        <w:rPr>
          <w:rFonts w:hint="eastAsia" w:ascii="宋体" w:hAnsi="宋体"/>
          <w:szCs w:val="21"/>
        </w:rPr>
        <w:t>。补充或者修改响应文件的，应当先行撤回原响应文件，补充、修改后重新上传、提交。响应文件提交截止时间前未完成重新提交的，视为撤回响应文件，响应文件提交截止时间后提交响应文件的，广西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49577E48">
      <w:pPr>
        <w:pStyle w:val="3"/>
        <w:spacing w:line="420" w:lineRule="exact"/>
      </w:pPr>
      <w:bookmarkStart w:id="89" w:name="_四、响应文件开启"/>
      <w:bookmarkEnd w:id="89"/>
      <w:r>
        <w:rPr>
          <w:rFonts w:hint="eastAsia"/>
        </w:rPr>
        <w:t>四、</w:t>
      </w:r>
      <w:bookmarkStart w:id="90" w:name="_Toc353785300"/>
      <w:bookmarkStart w:id="91" w:name="_Toc352700430"/>
      <w:r>
        <w:rPr>
          <w:rFonts w:hint="eastAsia"/>
        </w:rPr>
        <w:t>响应文件开启</w:t>
      </w:r>
    </w:p>
    <w:bookmarkEnd w:id="90"/>
    <w:bookmarkEnd w:id="91"/>
    <w:p w14:paraId="7B4E3CA2">
      <w:pPr>
        <w:spacing w:line="420" w:lineRule="exact"/>
        <w:ind w:firstLine="210" w:firstLineChars="100"/>
        <w:rPr>
          <w:rFonts w:ascii="方正小标宋_GBK" w:hAnsi="Arial" w:eastAsia="方正小标宋_GBK"/>
          <w:bCs/>
          <w:sz w:val="24"/>
        </w:rPr>
      </w:pPr>
      <w:r>
        <w:rPr>
          <w:rFonts w:hint="eastAsia"/>
        </w:rPr>
        <w:t>（一）本中心将在响应文件提交截止时间后在</w:t>
      </w:r>
      <w:bookmarkStart w:id="92" w:name="_Hlk90300735"/>
      <w:r>
        <w:rPr>
          <w:rFonts w:hint="eastAsia"/>
        </w:rPr>
        <w:t>广西政采云远程开标大厅</w:t>
      </w:r>
      <w:bookmarkEnd w:id="92"/>
      <w:r>
        <w:rPr>
          <w:rFonts w:hint="eastAsia"/>
        </w:rPr>
        <w:t>进行响应文件开启，供应商法定代表人或委托代理人须按时登录</w:t>
      </w:r>
      <w:bookmarkStart w:id="93" w:name="_Hlk90300780"/>
      <w:r>
        <w:rPr>
          <w:rFonts w:hint="eastAsia"/>
        </w:rPr>
        <w:t>广西政采云远程开标大厅</w:t>
      </w:r>
      <w:bookmarkEnd w:id="93"/>
      <w:r>
        <w:rPr>
          <w:rFonts w:hint="eastAsia"/>
        </w:rPr>
        <w:t>（广西政府采购云平台-应用中心-项目采购-开标评标），保持全程在线并关注评审、谈判进度，评审期间谈判小组提出澄清等要求时，供应商须在规定时间内进行应答，否则按采购文件或广西政采云平台的相关规定执行。</w:t>
      </w:r>
      <w:bookmarkStart w:id="94" w:name="_Toc353785301"/>
      <w:bookmarkStart w:id="95" w:name="_Toc352700431"/>
    </w:p>
    <w:p w14:paraId="51EA8D39">
      <w:pPr>
        <w:spacing w:line="420" w:lineRule="exact"/>
        <w:ind w:firstLine="210" w:firstLineChars="100"/>
        <w:rPr>
          <w:rFonts w:ascii="方正小标宋_GBK" w:hAnsi="Arial" w:eastAsia="方正小标宋_GBK"/>
          <w:bCs/>
          <w:sz w:val="24"/>
        </w:rPr>
      </w:pPr>
      <w:r>
        <w:rPr>
          <w:rFonts w:hint="eastAsia"/>
        </w:rPr>
        <w:t>（二）</w:t>
      </w:r>
      <w:bookmarkEnd w:id="94"/>
      <w:bookmarkEnd w:id="95"/>
      <w:r>
        <w:rPr>
          <w:rFonts w:hint="eastAsia"/>
        </w:rPr>
        <w:t>解密</w:t>
      </w:r>
    </w:p>
    <w:p w14:paraId="7ABB053D">
      <w:pPr>
        <w:spacing w:line="420" w:lineRule="exact"/>
        <w:ind w:firstLine="420" w:firstLineChars="200"/>
      </w:pPr>
      <w:r>
        <w:rPr>
          <w:rFonts w:hint="eastAsia"/>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广西政府采购云平台视为供应商自主放弃谈判。</w:t>
      </w:r>
    </w:p>
    <w:p w14:paraId="7D93B1AD">
      <w:pPr>
        <w:spacing w:line="420" w:lineRule="exact"/>
        <w:ind w:firstLine="211" w:firstLineChars="100"/>
        <w:rPr>
          <w:b/>
          <w:bCs/>
        </w:rPr>
      </w:pPr>
      <w:r>
        <w:rPr>
          <w:rFonts w:hint="eastAsia"/>
          <w:b/>
          <w:bCs/>
        </w:rPr>
        <w:t>（三）资格审查</w:t>
      </w:r>
    </w:p>
    <w:p w14:paraId="054A0A41">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采购人依法对供应商的资格进行审查，资格性审查时，如发现下列情形之一的，响应文件将被视为无效：</w:t>
      </w:r>
    </w:p>
    <w:p w14:paraId="693AB3CC">
      <w:pPr>
        <w:spacing w:line="420" w:lineRule="exact"/>
        <w:ind w:firstLine="420" w:firstLineChars="200"/>
        <w:rPr>
          <w:rFonts w:ascii="宋体" w:hAnsi="宋体"/>
          <w:szCs w:val="21"/>
        </w:rPr>
      </w:pPr>
      <w:r>
        <w:rPr>
          <w:rFonts w:hint="eastAsia" w:ascii="宋体" w:hAnsi="宋体"/>
          <w:szCs w:val="21"/>
        </w:rPr>
        <w:t>(1)超越了按照法律法规规定必须获得行政许可或者行政审批的经营范围的；</w:t>
      </w:r>
    </w:p>
    <w:p w14:paraId="38AFB62D">
      <w:pPr>
        <w:spacing w:line="420" w:lineRule="exact"/>
        <w:ind w:firstLine="420" w:firstLineChars="200"/>
        <w:rPr>
          <w:rFonts w:ascii="宋体" w:hAnsi="宋体"/>
          <w:szCs w:val="21"/>
        </w:rPr>
      </w:pPr>
      <w:r>
        <w:rPr>
          <w:rFonts w:hint="eastAsia" w:ascii="宋体" w:hAnsi="宋体"/>
          <w:szCs w:val="21"/>
        </w:rPr>
        <w:t>(2)资格证明文件不全的，或者不符合采购文件标明的资格要求的；</w:t>
      </w:r>
    </w:p>
    <w:p w14:paraId="14C3D8A4">
      <w:pPr>
        <w:snapToGrid w:val="0"/>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5CEDAAF6">
      <w:pPr>
        <w:pStyle w:val="3"/>
        <w:spacing w:line="420" w:lineRule="exact"/>
        <w:rPr>
          <w:rFonts w:ascii="宋体" w:hAnsi="宋体"/>
          <w:szCs w:val="21"/>
        </w:rPr>
      </w:pPr>
      <w:bookmarkStart w:id="96" w:name="_五、评审与谈判"/>
      <w:bookmarkEnd w:id="96"/>
      <w:bookmarkStart w:id="97" w:name="_Toc353785302"/>
      <w:bookmarkStart w:id="98" w:name="_Toc254970545"/>
      <w:bookmarkStart w:id="99" w:name="_Toc352700432"/>
      <w:bookmarkStart w:id="100" w:name="_Toc254970686"/>
      <w:r>
        <w:rPr>
          <w:rFonts w:hint="eastAsia"/>
        </w:rPr>
        <w:t>五、</w:t>
      </w:r>
      <w:bookmarkEnd w:id="97"/>
      <w:bookmarkEnd w:id="98"/>
      <w:bookmarkEnd w:id="99"/>
      <w:bookmarkEnd w:id="100"/>
      <w:r>
        <w:rPr>
          <w:rFonts w:hint="eastAsia" w:ascii="宋体" w:hAnsi="宋体"/>
          <w:szCs w:val="21"/>
        </w:rPr>
        <w:t>评审与谈判</w:t>
      </w:r>
    </w:p>
    <w:p w14:paraId="22189D2B">
      <w:pPr>
        <w:snapToGrid w:val="0"/>
        <w:spacing w:line="420" w:lineRule="exact"/>
        <w:ind w:firstLine="211" w:firstLineChars="100"/>
        <w:rPr>
          <w:rFonts w:ascii="宋体" w:hAnsi="宋体"/>
          <w:b/>
          <w:bCs/>
          <w:szCs w:val="21"/>
        </w:rPr>
      </w:pPr>
      <w:bookmarkStart w:id="101" w:name="_Toc353785303"/>
      <w:bookmarkStart w:id="102" w:name="_Toc352700433"/>
      <w:r>
        <w:rPr>
          <w:rFonts w:hint="eastAsia" w:ascii="宋体" w:hAnsi="宋体"/>
          <w:b/>
          <w:bCs/>
          <w:szCs w:val="21"/>
        </w:rPr>
        <w:t>（一）评审原则：</w:t>
      </w:r>
    </w:p>
    <w:p w14:paraId="48795C0B">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4C376AE9">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cs="Courier New"/>
          <w:szCs w:val="21"/>
        </w:rPr>
        <w:t>本项目采用不公开方式评审，评审的依据为采购文件和响应文件。</w:t>
      </w:r>
    </w:p>
    <w:p w14:paraId="6CC267B3">
      <w:pPr>
        <w:snapToGrid w:val="0"/>
        <w:spacing w:line="420" w:lineRule="exact"/>
        <w:ind w:firstLine="211" w:firstLineChars="100"/>
        <w:rPr>
          <w:rFonts w:ascii="宋体" w:hAnsi="宋体"/>
          <w:b/>
          <w:bCs/>
          <w:szCs w:val="21"/>
        </w:rPr>
      </w:pPr>
      <w:r>
        <w:rPr>
          <w:rFonts w:hint="eastAsia"/>
          <w:b/>
          <w:bCs/>
        </w:rPr>
        <w:t>（二）成立谈判小组</w:t>
      </w:r>
    </w:p>
    <w:p w14:paraId="299CEA26">
      <w:pPr>
        <w:snapToGrid w:val="0"/>
        <w:spacing w:line="420" w:lineRule="exact"/>
        <w:ind w:firstLine="420" w:firstLineChars="200"/>
        <w:rPr>
          <w:rFonts w:ascii="宋体" w:hAnsi="宋体"/>
          <w:szCs w:val="21"/>
        </w:rPr>
      </w:pPr>
      <w:r>
        <w:rPr>
          <w:rFonts w:hint="eastAsia" w:ascii="宋体" w:hAnsi="宋体" w:cs="Courier New"/>
          <w:bCs/>
          <w:szCs w:val="21"/>
        </w:rPr>
        <w:t>谈判小组</w:t>
      </w:r>
      <w:bookmarkEnd w:id="101"/>
      <w:bookmarkEnd w:id="102"/>
      <w:r>
        <w:rPr>
          <w:rFonts w:hint="eastAsia" w:ascii="宋体" w:hAnsi="宋体" w:cs="Courier New"/>
          <w:bCs/>
          <w:szCs w:val="21"/>
        </w:rPr>
        <w:t>由采购人代表和评审专家共3人以上单数组成，其中评审专家人数不得少于谈判小组成员总数的2/3。</w:t>
      </w:r>
    </w:p>
    <w:p w14:paraId="2C4D827B">
      <w:pPr>
        <w:spacing w:line="420" w:lineRule="exact"/>
        <w:ind w:firstLine="211" w:firstLineChars="100"/>
        <w:rPr>
          <w:rFonts w:ascii="宋体" w:hAnsi="宋体"/>
          <w:b/>
          <w:bCs/>
          <w:szCs w:val="21"/>
        </w:rPr>
      </w:pPr>
      <w:r>
        <w:rPr>
          <w:rFonts w:hint="eastAsia" w:ascii="宋体" w:hAnsi="宋体"/>
          <w:b/>
          <w:bCs/>
          <w:szCs w:val="21"/>
        </w:rPr>
        <w:t>（三）确认谈判文件</w:t>
      </w:r>
    </w:p>
    <w:p w14:paraId="076C774B">
      <w:pPr>
        <w:spacing w:line="420" w:lineRule="exact"/>
        <w:ind w:firstLine="420" w:firstLineChars="200"/>
        <w:rPr>
          <w:rFonts w:ascii="宋体" w:hAnsi="宋体"/>
          <w:b/>
          <w:bCs/>
          <w:szCs w:val="21"/>
        </w:rPr>
      </w:pPr>
      <w:r>
        <w:rPr>
          <w:rFonts w:hint="eastAsia" w:hAnsi="宋体"/>
        </w:rPr>
        <w:t>谈判小组对谈判文件进行确认，认可谈判文件的内容，符合法律法规的规定、不存在歧视性或排他性内容。</w:t>
      </w:r>
    </w:p>
    <w:p w14:paraId="5D26D6DD">
      <w:pPr>
        <w:spacing w:line="420" w:lineRule="exact"/>
        <w:ind w:firstLine="211" w:firstLineChars="100"/>
        <w:rPr>
          <w:rFonts w:ascii="宋体" w:hAnsi="宋体" w:cs="Courier New"/>
          <w:szCs w:val="21"/>
        </w:rPr>
      </w:pPr>
      <w:r>
        <w:rPr>
          <w:rFonts w:hint="eastAsia" w:ascii="宋体" w:hAnsi="宋体"/>
          <w:b/>
          <w:bCs/>
          <w:szCs w:val="21"/>
        </w:rPr>
        <w:t>（四）实质性审查</w:t>
      </w:r>
    </w:p>
    <w:p w14:paraId="40D6DBE5">
      <w:pPr>
        <w:snapToGrid w:val="0"/>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44809B23">
      <w:pPr>
        <w:snapToGrid w:val="0"/>
        <w:spacing w:line="42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实质性审查时，如发现下列情形之一的，响应文件将被视为无效：</w:t>
      </w:r>
    </w:p>
    <w:p w14:paraId="234CB6F4">
      <w:pPr>
        <w:snapToGrid w:val="0"/>
        <w:spacing w:line="420" w:lineRule="exact"/>
        <w:ind w:firstLine="525" w:firstLineChars="250"/>
        <w:rPr>
          <w:rFonts w:ascii="宋体" w:hAnsi="宋体"/>
          <w:szCs w:val="21"/>
        </w:rPr>
      </w:pPr>
      <w:bookmarkStart w:id="103" w:name="_Hlk112311783"/>
      <w:r>
        <w:rPr>
          <w:rFonts w:hint="eastAsia" w:ascii="宋体" w:hAnsi="宋体"/>
          <w:szCs w:val="21"/>
        </w:rPr>
        <w:t>①应交未交谈判保证金的；</w:t>
      </w:r>
    </w:p>
    <w:p w14:paraId="2968DBBC">
      <w:pPr>
        <w:snapToGrid w:val="0"/>
        <w:spacing w:line="420" w:lineRule="exact"/>
        <w:ind w:firstLine="525" w:firstLineChars="250"/>
        <w:rPr>
          <w:rFonts w:ascii="宋体" w:hAnsi="宋体"/>
          <w:szCs w:val="21"/>
        </w:rPr>
      </w:pPr>
      <w:r>
        <w:rPr>
          <w:rFonts w:hint="eastAsia" w:ascii="宋体" w:hAnsi="宋体"/>
          <w:szCs w:val="21"/>
        </w:rPr>
        <w:t>②响应文件未按响应文件编制要求提供或内容虚假的；</w:t>
      </w:r>
    </w:p>
    <w:p w14:paraId="3A259F13">
      <w:pPr>
        <w:snapToGrid w:val="0"/>
        <w:spacing w:line="420" w:lineRule="exact"/>
        <w:ind w:firstLine="525" w:firstLineChars="250"/>
        <w:rPr>
          <w:rFonts w:ascii="宋体" w:hAnsi="宋体"/>
          <w:szCs w:val="21"/>
        </w:rPr>
      </w:pPr>
      <w:r>
        <w:rPr>
          <w:rFonts w:hint="eastAsia" w:ascii="宋体" w:hAnsi="宋体"/>
          <w:szCs w:val="21"/>
        </w:rPr>
        <w:t>③响应文件无法定代表人或其委托代理人签署、未提供授权委托书，或未按规定盖章的；</w:t>
      </w:r>
    </w:p>
    <w:p w14:paraId="0B6CE904">
      <w:pPr>
        <w:snapToGrid w:val="0"/>
        <w:spacing w:line="420" w:lineRule="exact"/>
        <w:ind w:firstLine="525" w:firstLineChars="250"/>
        <w:rPr>
          <w:rFonts w:ascii="宋体" w:hAnsi="宋体"/>
          <w:szCs w:val="21"/>
        </w:rPr>
      </w:pPr>
      <w:r>
        <w:rPr>
          <w:rFonts w:hint="eastAsia" w:ascii="宋体" w:hAnsi="宋体"/>
          <w:szCs w:val="21"/>
        </w:rPr>
        <w:t>④供应商代表未能出具身份证明或与法定代表人委托代理人身份不符的；</w:t>
      </w:r>
    </w:p>
    <w:p w14:paraId="44622A03">
      <w:pPr>
        <w:snapToGrid w:val="0"/>
        <w:spacing w:line="420" w:lineRule="exact"/>
        <w:ind w:firstLine="525" w:firstLineChars="250"/>
        <w:rPr>
          <w:rFonts w:ascii="宋体" w:hAnsi="宋体"/>
          <w:szCs w:val="21"/>
        </w:rPr>
      </w:pPr>
      <w:r>
        <w:rPr>
          <w:rFonts w:hint="eastAsia" w:ascii="宋体" w:hAnsi="宋体"/>
          <w:szCs w:val="21"/>
        </w:rPr>
        <w:t>⑤未实质性响应采购文件采购需求的技术、服务要求的；</w:t>
      </w:r>
    </w:p>
    <w:p w14:paraId="21B002CB">
      <w:pPr>
        <w:snapToGrid w:val="0"/>
        <w:spacing w:line="420" w:lineRule="exact"/>
        <w:ind w:firstLine="525" w:firstLineChars="250"/>
        <w:rPr>
          <w:rFonts w:ascii="宋体" w:hAnsi="宋体"/>
          <w:szCs w:val="21"/>
        </w:rPr>
      </w:pPr>
      <w:r>
        <w:rPr>
          <w:rFonts w:hint="eastAsia" w:ascii="宋体" w:hAnsi="宋体"/>
          <w:szCs w:val="21"/>
        </w:rPr>
        <w:t>⑥</w:t>
      </w:r>
      <w:r>
        <w:rPr>
          <w:rFonts w:hint="eastAsia" w:ascii="宋体" w:hAnsi="宋体"/>
          <w:spacing w:val="-4"/>
          <w:szCs w:val="21"/>
        </w:rPr>
        <w:t>不符合采购文件要求的质量标准，或者与采购文件中的技术指标、功能、服务事项发生较大偏离，已不符合采购人需求的；</w:t>
      </w:r>
    </w:p>
    <w:p w14:paraId="21DC4FBE">
      <w:pPr>
        <w:snapToGrid w:val="0"/>
        <w:spacing w:line="420" w:lineRule="exact"/>
        <w:ind w:firstLine="505" w:firstLineChars="250"/>
        <w:rPr>
          <w:rFonts w:ascii="宋体" w:hAnsi="宋体"/>
          <w:szCs w:val="21"/>
        </w:rPr>
      </w:pPr>
      <w:r>
        <w:rPr>
          <w:rFonts w:hint="eastAsia" w:ascii="宋体" w:hAnsi="宋体"/>
          <w:spacing w:val="-4"/>
          <w:szCs w:val="21"/>
        </w:rPr>
        <w:t>⑦</w:t>
      </w:r>
      <w:r>
        <w:rPr>
          <w:rFonts w:hint="eastAsia" w:ascii="宋体" w:hAnsi="宋体"/>
          <w:szCs w:val="21"/>
        </w:rPr>
        <w:t>响应文件有采购人不能接受的附加条件的。</w:t>
      </w:r>
    </w:p>
    <w:p w14:paraId="117DB38F">
      <w:pPr>
        <w:snapToGrid w:val="0"/>
        <w:spacing w:line="420" w:lineRule="exact"/>
        <w:ind w:firstLine="525" w:firstLineChars="250"/>
        <w:rPr>
          <w:rFonts w:ascii="宋体" w:hAnsi="宋体"/>
          <w:spacing w:val="-4"/>
          <w:szCs w:val="21"/>
        </w:rPr>
      </w:pPr>
      <w:r>
        <w:rPr>
          <w:rFonts w:hint="eastAsia" w:ascii="宋体" w:hAnsi="宋体"/>
          <w:szCs w:val="21"/>
        </w:rPr>
        <w:t>⑧</w:t>
      </w:r>
      <w:r>
        <w:rPr>
          <w:rFonts w:hint="eastAsia" w:ascii="宋体" w:hAnsi="宋体"/>
          <w:spacing w:val="-4"/>
          <w:szCs w:val="21"/>
        </w:rPr>
        <w:t>响应文件技术方案不明确，存在一个或一个以上备选(替代)响应方案的；</w:t>
      </w:r>
    </w:p>
    <w:p w14:paraId="663BD021">
      <w:pPr>
        <w:snapToGrid w:val="0"/>
        <w:spacing w:line="420" w:lineRule="exact"/>
        <w:ind w:firstLine="505" w:firstLineChars="250"/>
        <w:rPr>
          <w:rFonts w:ascii="宋体" w:hAnsi="宋体"/>
          <w:szCs w:val="21"/>
        </w:rPr>
      </w:pPr>
      <w:r>
        <w:rPr>
          <w:rFonts w:hint="eastAsia" w:ascii="宋体" w:hAnsi="宋体"/>
          <w:spacing w:val="-4"/>
          <w:szCs w:val="21"/>
        </w:rPr>
        <w:t>⑨</w:t>
      </w:r>
      <w:r>
        <w:rPr>
          <w:rFonts w:hint="eastAsia" w:ascii="宋体" w:hAnsi="宋体"/>
          <w:szCs w:val="21"/>
        </w:rPr>
        <w:t>响应文件的实质性内容未使用中文表述、意思表述不明确、前后矛盾或者使用计量单位不符合采购文件要求的。</w:t>
      </w:r>
    </w:p>
    <w:bookmarkEnd w:id="103"/>
    <w:p w14:paraId="12363A44">
      <w:pPr>
        <w:spacing w:line="420" w:lineRule="exact"/>
        <w:ind w:firstLine="211" w:firstLineChars="100"/>
        <w:rPr>
          <w:b/>
          <w:bCs/>
        </w:rPr>
      </w:pPr>
      <w:r>
        <w:rPr>
          <w:rFonts w:hint="eastAsia"/>
          <w:b/>
          <w:bCs/>
        </w:rPr>
        <w:t>（五）谈判</w:t>
      </w:r>
    </w:p>
    <w:p w14:paraId="3906C6BF">
      <w:pPr>
        <w:pStyle w:val="21"/>
        <w:spacing w:line="420" w:lineRule="exact"/>
        <w:ind w:firstLine="420" w:firstLineChars="200"/>
      </w:pPr>
      <w:r>
        <w:rPr>
          <w:rFonts w:hint="eastAsia" w:hAnsi="宋体"/>
          <w:bCs/>
        </w:rPr>
        <w:t>1</w:t>
      </w:r>
      <w:r>
        <w:rPr>
          <w:rFonts w:hAnsi="宋体"/>
          <w:bCs/>
        </w:rPr>
        <w:t>.</w:t>
      </w:r>
      <w:r>
        <w:rPr>
          <w:rFonts w:hint="eastAsia"/>
        </w:rPr>
        <w:t>谈判小组所有成员应当集中与单一供应商分别进行谈判，并给予所有参加谈判的供应商平等的谈判机会。</w:t>
      </w:r>
    </w:p>
    <w:p w14:paraId="04F819D3">
      <w:pPr>
        <w:pStyle w:val="21"/>
        <w:spacing w:line="420" w:lineRule="exact"/>
        <w:ind w:firstLine="420" w:firstLineChars="200"/>
        <w:rPr>
          <w:rFonts w:hAnsi="宋体"/>
          <w:bCs/>
        </w:rPr>
      </w:pPr>
      <w:r>
        <w:rPr>
          <w:rFonts w:hint="eastAsia" w:hAnsi="宋体"/>
          <w:bCs/>
        </w:rPr>
        <w:t>2</w:t>
      </w:r>
      <w:r>
        <w:rPr>
          <w:rFonts w:hAnsi="宋体"/>
          <w:bCs/>
        </w:rPr>
        <w:t>.</w:t>
      </w:r>
      <w:r>
        <w:rPr>
          <w:rFonts w:hint="eastAsia" w:hAnsi="宋体"/>
          <w:bCs/>
        </w:rPr>
        <w:t>谈判小组可以根据谈判文件和谈判情况实质性变动采购需求中的技术、服务要求以及合同草案条款，但不得变动谈判文件中的其他内容。实质性变动的内容，须经采购人代表确认。</w:t>
      </w:r>
    </w:p>
    <w:p w14:paraId="06230DFD">
      <w:pPr>
        <w:pStyle w:val="21"/>
        <w:spacing w:line="420" w:lineRule="exact"/>
        <w:ind w:firstLine="420" w:firstLineChars="200"/>
        <w:rPr>
          <w:rFonts w:hAnsi="宋体"/>
          <w:bCs/>
        </w:rPr>
      </w:pPr>
      <w:r>
        <w:rPr>
          <w:rFonts w:hAnsi="宋体"/>
          <w:bCs/>
        </w:rPr>
        <w:t>3.</w:t>
      </w:r>
      <w:r>
        <w:rPr>
          <w:rFonts w:hint="eastAsia" w:hAnsi="宋体"/>
          <w:bCs/>
        </w:rPr>
        <w:t>对谈判文件作出的实质性变动是谈判文件的有效组成部分，谈判小组应当及时以书面形式同时通知所有参加谈判的供应商。</w:t>
      </w:r>
    </w:p>
    <w:p w14:paraId="70C192DB">
      <w:pPr>
        <w:pStyle w:val="21"/>
        <w:spacing w:line="420" w:lineRule="exact"/>
        <w:ind w:firstLine="420" w:firstLineChars="200"/>
        <w:rPr>
          <w:rFonts w:hAnsi="宋体"/>
          <w:bCs/>
        </w:rPr>
      </w:pPr>
      <w:r>
        <w:rPr>
          <w:rFonts w:hint="eastAsia" w:hAnsi="宋体"/>
          <w:bCs/>
        </w:rPr>
        <w:t>4</w:t>
      </w:r>
      <w:r>
        <w:rPr>
          <w:rFonts w:hAnsi="宋体"/>
          <w:bCs/>
        </w:rPr>
        <w:t>.</w:t>
      </w:r>
      <w:r>
        <w:rPr>
          <w:rFonts w:hint="eastAsia" w:hAnsi="宋体"/>
          <w:bCs/>
        </w:rPr>
        <w:t>供应商应当按照谈判文件的变动情况和谈判小组的要求重新提交响应文件，并由其法定代表人或授权代表签名或者加盖公章。由授权代表签名的，应当附法定代表人授权书。</w:t>
      </w:r>
      <w:bookmarkStart w:id="104" w:name="_Hlk92985140"/>
      <w:r>
        <w:rPr>
          <w:rFonts w:hint="eastAsia" w:hAnsi="宋体"/>
          <w:bCs/>
        </w:rPr>
        <w:t>供应商为自然人的，应当由本人签名并附身份证明。</w:t>
      </w:r>
      <w:bookmarkEnd w:id="104"/>
      <w:r>
        <w:rPr>
          <w:rFonts w:hint="eastAsia" w:hAnsi="宋体"/>
          <w:bCs/>
        </w:rPr>
        <w:t>逾时不提交的，视同放弃谈判。</w:t>
      </w:r>
    </w:p>
    <w:p w14:paraId="0BB452BD">
      <w:pPr>
        <w:pStyle w:val="21"/>
        <w:spacing w:line="420" w:lineRule="exact"/>
        <w:ind w:firstLine="420" w:firstLineChars="200"/>
        <w:rPr>
          <w:rFonts w:hAnsi="宋体"/>
          <w:bCs/>
        </w:rPr>
      </w:pPr>
      <w:r>
        <w:rPr>
          <w:rFonts w:hint="eastAsia" w:hAnsi="宋体"/>
          <w:bCs/>
        </w:rPr>
        <w:t>5</w:t>
      </w:r>
      <w:r>
        <w:rPr>
          <w:rFonts w:hAnsi="宋体"/>
          <w:bCs/>
        </w:rPr>
        <w:t>.</w:t>
      </w:r>
      <w:r>
        <w:rPr>
          <w:rFonts w:hint="eastAsia"/>
        </w:rPr>
        <w:t>已提交响应文件的供应商，在提交最后报价之前，可以根据谈判情况退出谈判。</w:t>
      </w:r>
    </w:p>
    <w:p w14:paraId="5A09CE30">
      <w:pPr>
        <w:spacing w:line="420" w:lineRule="exact"/>
        <w:ind w:firstLine="211" w:firstLineChars="100"/>
        <w:rPr>
          <w:b/>
          <w:bCs/>
        </w:rPr>
      </w:pPr>
      <w:r>
        <w:rPr>
          <w:rFonts w:hint="eastAsia"/>
          <w:b/>
          <w:bCs/>
        </w:rPr>
        <w:t>（六）最后报价</w:t>
      </w:r>
    </w:p>
    <w:p w14:paraId="4E3E2C1B">
      <w:pPr>
        <w:spacing w:line="420" w:lineRule="exact"/>
        <w:ind w:firstLine="420" w:firstLineChars="200"/>
      </w:pPr>
      <w:r>
        <w:t>1.</w:t>
      </w:r>
      <w:r>
        <w:rPr>
          <w:rFonts w:hint="eastAsia"/>
        </w:rPr>
        <w:t>谈判文件能够详细列明采购标的的技术、服务要求的，谈判结束后，谈判小组应当要求所有继续参加谈判的供应商在规定时间内提交最后报价，提交最后报价的供应商不得少于3家。</w:t>
      </w:r>
    </w:p>
    <w:p w14:paraId="624C09CA">
      <w:pPr>
        <w:spacing w:line="420" w:lineRule="exact"/>
        <w:ind w:firstLine="420" w:firstLineChars="200"/>
      </w:pPr>
      <w:r>
        <w:rPr>
          <w:rFonts w:hint="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58EA47F">
      <w:pPr>
        <w:spacing w:line="420" w:lineRule="exact"/>
        <w:ind w:firstLine="420" w:firstLineChars="200"/>
      </w:pPr>
      <w:r>
        <w:t>2.</w:t>
      </w:r>
      <w:r>
        <w:rPr>
          <w:rFonts w:hint="eastAsia"/>
        </w:rPr>
        <w:t>最后报价应由其法定代表人或授权代表签名或者加盖公章，最后报价即系供应商响应报价。</w:t>
      </w:r>
    </w:p>
    <w:p w14:paraId="3413A128">
      <w:pPr>
        <w:spacing w:line="420" w:lineRule="exact"/>
        <w:ind w:firstLine="422" w:firstLineChars="200"/>
      </w:pPr>
      <w:r>
        <w:rPr>
          <w:rFonts w:hint="eastAsia"/>
          <w:b/>
          <w:bCs/>
        </w:rPr>
        <w:t>3</w:t>
      </w:r>
      <w:r>
        <w:rPr>
          <w:rFonts w:hint="eastAsia" w:ascii="宋体" w:hAnsi="宋体" w:cs="Courier New"/>
          <w:b/>
          <w:szCs w:val="21"/>
        </w:rPr>
        <w:t>.在报价评审时，如发现下列情形之一的，响应文件将被视为无效：</w:t>
      </w:r>
    </w:p>
    <w:p w14:paraId="0CC3CADD">
      <w:pPr>
        <w:snapToGrid w:val="0"/>
        <w:spacing w:line="420" w:lineRule="exact"/>
        <w:ind w:firstLine="420" w:firstLineChars="200"/>
        <w:rPr>
          <w:rFonts w:ascii="宋体" w:hAnsi="宋体"/>
          <w:szCs w:val="21"/>
        </w:rPr>
      </w:pPr>
      <w:bookmarkStart w:id="105" w:name="_Hlk112312387"/>
      <w:r>
        <w:rPr>
          <w:rFonts w:hint="eastAsia" w:ascii="宋体" w:hAnsi="宋体"/>
          <w:szCs w:val="21"/>
        </w:rPr>
        <w:t>(</w:t>
      </w:r>
      <w:r>
        <w:rPr>
          <w:rFonts w:ascii="宋体" w:hAnsi="宋体"/>
          <w:szCs w:val="21"/>
        </w:rPr>
        <w:t>1)</w:t>
      </w:r>
      <w:r>
        <w:rPr>
          <w:rFonts w:hint="eastAsia" w:ascii="宋体" w:hAnsi="宋体"/>
          <w:szCs w:val="21"/>
        </w:rPr>
        <w:t>报价未采用人民币或者未按照采购文件标明的币种报价的；</w:t>
      </w:r>
    </w:p>
    <w:p w14:paraId="34A4EDC6">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报价明细表中货物品牌、规格、型号、服务事项未明确或与响应文件中相应内容不一致的；</w:t>
      </w:r>
    </w:p>
    <w:p w14:paraId="45539CB4">
      <w:pPr>
        <w:snapToGrid w:val="0"/>
        <w:spacing w:line="420" w:lineRule="exact"/>
        <w:ind w:firstLine="420" w:firstLineChars="200"/>
        <w:rPr>
          <w:rFonts w:ascii="宋体" w:hAnsi="宋体"/>
          <w:szCs w:val="21"/>
        </w:rPr>
      </w:pPr>
      <w:r>
        <w:rPr>
          <w:rFonts w:ascii="宋体" w:hAnsi="宋体"/>
          <w:szCs w:val="21"/>
        </w:rPr>
        <w:t>(3)</w:t>
      </w:r>
      <w:r>
        <w:rPr>
          <w:rFonts w:hint="eastAsia" w:ascii="宋体" w:hAnsi="宋体"/>
          <w:szCs w:val="21"/>
        </w:rPr>
        <w:t>报价具有选择性的；</w:t>
      </w:r>
    </w:p>
    <w:p w14:paraId="20131599">
      <w:pPr>
        <w:snapToGrid w:val="0"/>
        <w:spacing w:line="420" w:lineRule="exact"/>
        <w:ind w:firstLine="420" w:firstLineChars="200"/>
        <w:rPr>
          <w:rFonts w:ascii="宋体" w:hAnsi="宋体"/>
          <w:szCs w:val="21"/>
        </w:rPr>
      </w:pPr>
      <w:r>
        <w:rPr>
          <w:rFonts w:ascii="宋体" w:hAnsi="宋体"/>
          <w:szCs w:val="21"/>
        </w:rPr>
        <w:t>(4)</w:t>
      </w:r>
      <w:r>
        <w:rPr>
          <w:rFonts w:hint="eastAsia" w:ascii="宋体" w:hAnsi="宋体"/>
          <w:szCs w:val="21"/>
        </w:rPr>
        <w:t>报价未按采购文件或广西政府采购云平台规定的格式填写，或未在规定时间内提交最后报价的。</w:t>
      </w:r>
    </w:p>
    <w:bookmarkEnd w:id="105"/>
    <w:p w14:paraId="6168DBF4">
      <w:pPr>
        <w:spacing w:line="420" w:lineRule="exact"/>
        <w:ind w:firstLine="211" w:firstLineChars="100"/>
        <w:rPr>
          <w:b/>
          <w:bCs/>
        </w:rPr>
      </w:pPr>
      <w:r>
        <w:rPr>
          <w:rFonts w:hint="eastAsia"/>
          <w:b/>
          <w:bCs/>
        </w:rPr>
        <w:t>（八）澄清、说明或者更正的形式</w:t>
      </w:r>
    </w:p>
    <w:p w14:paraId="75BFE3D2">
      <w:pPr>
        <w:pStyle w:val="21"/>
        <w:spacing w:line="420" w:lineRule="exact"/>
        <w:ind w:firstLine="420"/>
        <w:rPr>
          <w:rFonts w:hAnsi="宋体"/>
          <w:bCs/>
        </w:rPr>
      </w:pPr>
      <w:r>
        <w:rPr>
          <w:rFonts w:hint="eastAsia" w:hAnsi="宋体"/>
          <w:bCs/>
        </w:rPr>
        <w:t>1</w:t>
      </w:r>
      <w:r>
        <w:rPr>
          <w:rFonts w:hAnsi="宋体"/>
          <w:bCs/>
        </w:rPr>
        <w:t>.</w:t>
      </w:r>
      <w:r>
        <w:rPr>
          <w:rFonts w:hint="eastAsia" w:hAnsi="宋体"/>
          <w:bCs/>
        </w:rPr>
        <w:t>谈判小组在对响应文件的有效性、完整性和响应程度进行审查时，可以要求供应商对响应文件中含义不明确、同类问题表述不一致或者有明显文字和计算错误的内容等作出必要的</w:t>
      </w:r>
      <w:bookmarkStart w:id="106" w:name="_Hlk92462362"/>
      <w:r>
        <w:rPr>
          <w:rFonts w:hint="eastAsia" w:hAnsi="宋体"/>
          <w:bCs/>
        </w:rPr>
        <w:t>澄清、说明或者更正</w:t>
      </w:r>
      <w:bookmarkEnd w:id="106"/>
      <w:r>
        <w:rPr>
          <w:rFonts w:hint="eastAsia" w:hAnsi="宋体"/>
          <w:bCs/>
        </w:rPr>
        <w:t>。供应商的澄清、说明或者更正不得超出响应文件的范围或者改变响应文件的实质性内容。</w:t>
      </w:r>
    </w:p>
    <w:p w14:paraId="599834F4">
      <w:pPr>
        <w:pStyle w:val="21"/>
        <w:spacing w:line="420" w:lineRule="exact"/>
        <w:ind w:firstLine="420"/>
        <w:rPr>
          <w:rFonts w:hAnsi="宋体"/>
          <w:bCs/>
        </w:rPr>
      </w:pPr>
      <w:r>
        <w:rPr>
          <w:rFonts w:hint="eastAsia" w:hAnsi="宋体"/>
          <w:bCs/>
        </w:rPr>
        <w:t>2</w:t>
      </w:r>
      <w:r>
        <w:rPr>
          <w:rFonts w:hAnsi="宋体"/>
          <w:bCs/>
        </w:rPr>
        <w:t>.</w:t>
      </w:r>
      <w:r>
        <w:rPr>
          <w:rFonts w:hint="eastAsia" w:hAnsi="宋体"/>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5344C328">
      <w:pPr>
        <w:spacing w:line="420" w:lineRule="exact"/>
        <w:ind w:firstLine="211" w:firstLineChars="100"/>
        <w:rPr>
          <w:b/>
          <w:bCs/>
        </w:rPr>
      </w:pPr>
      <w:r>
        <w:rPr>
          <w:rFonts w:hint="eastAsia"/>
          <w:b/>
          <w:bCs/>
        </w:rPr>
        <w:t>（九）评定标准及推荐原则</w:t>
      </w:r>
    </w:p>
    <w:p w14:paraId="3A30A0CA">
      <w:pPr>
        <w:spacing w:line="420" w:lineRule="exact"/>
        <w:ind w:firstLine="420" w:firstLineChars="200"/>
      </w:pPr>
      <w:r>
        <w:rPr>
          <w:rFonts w:hint="eastAsia" w:ascii="宋体" w:hAnsi="Courier New" w:cs="Courier New"/>
          <w:szCs w:val="21"/>
        </w:rPr>
        <w:t>详见第四章《评定标准及推荐原则》。</w:t>
      </w:r>
    </w:p>
    <w:p w14:paraId="42AA5BE7">
      <w:pPr>
        <w:pStyle w:val="21"/>
        <w:spacing w:line="420" w:lineRule="exact"/>
        <w:ind w:firstLine="211" w:firstLineChars="100"/>
        <w:rPr>
          <w:rFonts w:hAnsi="宋体"/>
          <w:b/>
        </w:rPr>
      </w:pPr>
      <w:r>
        <w:rPr>
          <w:rFonts w:hint="eastAsia" w:hAnsi="宋体"/>
          <w:b/>
        </w:rPr>
        <w:t>（十）供应商有下列情形之一的，属于恶意串通：</w:t>
      </w:r>
    </w:p>
    <w:p w14:paraId="464795C3">
      <w:pPr>
        <w:pStyle w:val="21"/>
        <w:spacing w:line="420" w:lineRule="exact"/>
        <w:ind w:firstLine="420" w:firstLineChars="200"/>
        <w:rPr>
          <w:rFonts w:hAnsi="宋体" w:cs="Times New Roman"/>
        </w:rPr>
      </w:pPr>
      <w:r>
        <w:rPr>
          <w:rFonts w:hint="eastAsia" w:hAnsi="宋体" w:cs="Times New Roman"/>
        </w:rPr>
        <w:t>1</w:t>
      </w:r>
      <w:r>
        <w:rPr>
          <w:rFonts w:hAnsi="宋体" w:cs="Times New Roman"/>
        </w:rPr>
        <w:t>.</w:t>
      </w:r>
      <w:r>
        <w:rPr>
          <w:rFonts w:hint="eastAsia" w:hAnsi="宋体" w:cs="Times New Roman"/>
        </w:rPr>
        <w:t>供应商直接或者间接从采购人或者采购代理机构处获得其他供应商的相关情况并修改其响应文件；</w:t>
      </w:r>
    </w:p>
    <w:p w14:paraId="0DAFACC9">
      <w:pPr>
        <w:pStyle w:val="21"/>
        <w:spacing w:line="420" w:lineRule="exact"/>
        <w:ind w:firstLine="420" w:firstLineChars="200"/>
        <w:rPr>
          <w:rFonts w:hAnsi="宋体" w:cs="Times New Roman"/>
        </w:rPr>
      </w:pPr>
      <w:r>
        <w:rPr>
          <w:rFonts w:hint="eastAsia" w:hAnsi="宋体" w:cs="Times New Roman"/>
        </w:rPr>
        <w:t>2</w:t>
      </w:r>
      <w:r>
        <w:rPr>
          <w:rFonts w:hAnsi="宋体" w:cs="Times New Roman"/>
        </w:rPr>
        <w:t>.</w:t>
      </w:r>
      <w:r>
        <w:rPr>
          <w:rFonts w:hint="eastAsia" w:hAnsi="宋体" w:cs="Times New Roman"/>
        </w:rPr>
        <w:t>供应商按照采购人或者采购代理机构的授意撤换、修改响应文件；</w:t>
      </w:r>
    </w:p>
    <w:p w14:paraId="1855E85E">
      <w:pPr>
        <w:pStyle w:val="21"/>
        <w:spacing w:line="420" w:lineRule="exact"/>
        <w:ind w:firstLine="420" w:firstLineChars="200"/>
        <w:rPr>
          <w:rFonts w:hAnsi="宋体" w:cs="Times New Roman"/>
        </w:rPr>
      </w:pPr>
      <w:r>
        <w:rPr>
          <w:rFonts w:hint="eastAsia" w:hAnsi="宋体" w:cs="Times New Roman"/>
        </w:rPr>
        <w:t>3</w:t>
      </w:r>
      <w:r>
        <w:rPr>
          <w:rFonts w:hAnsi="宋体" w:cs="Times New Roman"/>
        </w:rPr>
        <w:t>.</w:t>
      </w:r>
      <w:r>
        <w:rPr>
          <w:rFonts w:hint="eastAsia" w:hAnsi="宋体" w:cs="Times New Roman"/>
        </w:rPr>
        <w:t>供应商之间协商报价、技术方案等响应文件的实质性内容；</w:t>
      </w:r>
    </w:p>
    <w:p w14:paraId="7F9F16CE">
      <w:pPr>
        <w:pStyle w:val="21"/>
        <w:spacing w:line="420" w:lineRule="exact"/>
        <w:ind w:firstLine="420" w:firstLineChars="200"/>
        <w:rPr>
          <w:rFonts w:hAnsi="宋体" w:cs="Times New Roman"/>
        </w:rPr>
      </w:pPr>
      <w:r>
        <w:rPr>
          <w:rFonts w:hint="eastAsia" w:hAnsi="宋体" w:cs="Times New Roman"/>
        </w:rPr>
        <w:t>4</w:t>
      </w:r>
      <w:r>
        <w:rPr>
          <w:rFonts w:hAnsi="宋体" w:cs="Times New Roman"/>
        </w:rPr>
        <w:t>.</w:t>
      </w:r>
      <w:r>
        <w:rPr>
          <w:rFonts w:hint="eastAsia" w:hAnsi="宋体" w:cs="Times New Roman"/>
        </w:rPr>
        <w:t>属于同一集团、协会、商会等组织成员的供应商按照该组织要求协同参加政府采购活动；</w:t>
      </w:r>
    </w:p>
    <w:p w14:paraId="10F07387">
      <w:pPr>
        <w:pStyle w:val="21"/>
        <w:spacing w:line="420" w:lineRule="exact"/>
        <w:ind w:firstLine="420" w:firstLineChars="200"/>
        <w:rPr>
          <w:rFonts w:hAnsi="宋体" w:cs="Times New Roman"/>
        </w:rPr>
      </w:pPr>
      <w:r>
        <w:rPr>
          <w:rFonts w:hint="eastAsia" w:hAnsi="宋体" w:cs="Times New Roman"/>
        </w:rPr>
        <w:t>5</w:t>
      </w:r>
      <w:r>
        <w:rPr>
          <w:rFonts w:hAnsi="宋体" w:cs="Times New Roman"/>
        </w:rPr>
        <w:t>.</w:t>
      </w:r>
      <w:r>
        <w:rPr>
          <w:rFonts w:hint="eastAsia" w:hAnsi="宋体" w:cs="Times New Roman"/>
        </w:rPr>
        <w:t>供应商之间事先约定由某一特定供应商成交；</w:t>
      </w:r>
    </w:p>
    <w:p w14:paraId="355865EA">
      <w:pPr>
        <w:pStyle w:val="21"/>
        <w:spacing w:line="420" w:lineRule="exact"/>
        <w:ind w:firstLine="420" w:firstLineChars="200"/>
        <w:rPr>
          <w:rFonts w:hAnsi="宋体" w:cs="Times New Roman"/>
        </w:rPr>
      </w:pPr>
      <w:r>
        <w:rPr>
          <w:rFonts w:hint="eastAsia" w:hAnsi="宋体" w:cs="Times New Roman"/>
        </w:rPr>
        <w:t>6</w:t>
      </w:r>
      <w:r>
        <w:rPr>
          <w:rFonts w:hAnsi="宋体" w:cs="Times New Roman"/>
        </w:rPr>
        <w:t>.</w:t>
      </w:r>
      <w:r>
        <w:rPr>
          <w:rFonts w:hint="eastAsia" w:hAnsi="宋体" w:cs="Times New Roman"/>
        </w:rPr>
        <w:t>供应商之间商定部分供应商放弃参加政府采购活动或者放弃成交；</w:t>
      </w:r>
    </w:p>
    <w:p w14:paraId="66E76B1F">
      <w:pPr>
        <w:pStyle w:val="21"/>
        <w:spacing w:line="420" w:lineRule="exact"/>
        <w:ind w:firstLine="420" w:firstLineChars="200"/>
        <w:rPr>
          <w:rFonts w:hAnsi="宋体" w:cs="Times New Roman"/>
        </w:rPr>
      </w:pPr>
      <w:r>
        <w:rPr>
          <w:rFonts w:hint="eastAsia" w:hAnsi="宋体" w:cs="Times New Roman"/>
        </w:rPr>
        <w:t>7</w:t>
      </w:r>
      <w:r>
        <w:rPr>
          <w:rFonts w:hAnsi="宋体" w:cs="Times New Roman"/>
        </w:rPr>
        <w:t>.</w:t>
      </w:r>
      <w:r>
        <w:rPr>
          <w:rFonts w:hint="eastAsia" w:hAnsi="宋体" w:cs="Times New Roman"/>
        </w:rPr>
        <w:t>供应商与采购人或者采购代理机构之间、供应商相互之间，为谋求特定供应商成交或者排斥其他供应商的其他串通行为。</w:t>
      </w:r>
    </w:p>
    <w:p w14:paraId="6D0526CE">
      <w:pPr>
        <w:pStyle w:val="21"/>
        <w:spacing w:line="420" w:lineRule="exact"/>
        <w:ind w:firstLine="211" w:firstLineChars="100"/>
        <w:rPr>
          <w:rFonts w:hAnsi="宋体"/>
          <w:b/>
        </w:rPr>
      </w:pPr>
      <w:r>
        <w:rPr>
          <w:rFonts w:hint="eastAsia" w:hAnsi="宋体"/>
          <w:b/>
        </w:rPr>
        <w:t>（十一）评审报告</w:t>
      </w:r>
    </w:p>
    <w:p w14:paraId="0FB2A430">
      <w:pPr>
        <w:widowControl/>
        <w:tabs>
          <w:tab w:val="left" w:pos="540"/>
        </w:tabs>
        <w:spacing w:line="420" w:lineRule="exact"/>
        <w:ind w:firstLine="420" w:firstLineChars="20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54E071AF">
      <w:pPr>
        <w:widowControl/>
        <w:tabs>
          <w:tab w:val="left" w:pos="540"/>
        </w:tabs>
        <w:spacing w:line="420" w:lineRule="exact"/>
        <w:ind w:firstLine="420" w:firstLineChars="20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7EF3760C">
      <w:pPr>
        <w:widowControl/>
        <w:tabs>
          <w:tab w:val="left" w:pos="540"/>
        </w:tabs>
        <w:spacing w:line="420" w:lineRule="exact"/>
        <w:ind w:firstLine="420" w:firstLineChars="200"/>
        <w:jc w:val="left"/>
        <w:rPr>
          <w:szCs w:val="21"/>
        </w:rPr>
      </w:pPr>
      <w:r>
        <w:rPr>
          <w:rFonts w:hint="eastAsia"/>
          <w:szCs w:val="21"/>
        </w:rPr>
        <w:t>(</w:t>
      </w:r>
      <w:r>
        <w:rPr>
          <w:szCs w:val="21"/>
        </w:rPr>
        <w:t>2)</w:t>
      </w:r>
      <w:r>
        <w:rPr>
          <w:rFonts w:hint="eastAsia"/>
          <w:szCs w:val="21"/>
        </w:rPr>
        <w:t>评审日期和地点，谈判小组成员名单；</w:t>
      </w:r>
    </w:p>
    <w:p w14:paraId="7738CEBC">
      <w:pPr>
        <w:widowControl/>
        <w:tabs>
          <w:tab w:val="left" w:pos="540"/>
        </w:tabs>
        <w:spacing w:line="420" w:lineRule="exact"/>
        <w:ind w:firstLine="420" w:firstLineChars="20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007A93BB">
      <w:pPr>
        <w:widowControl/>
        <w:tabs>
          <w:tab w:val="left" w:pos="540"/>
        </w:tabs>
        <w:spacing w:line="420" w:lineRule="exact"/>
        <w:ind w:firstLine="420" w:firstLineChars="200"/>
        <w:jc w:val="left"/>
      </w:pPr>
      <w:r>
        <w:rPr>
          <w:rFonts w:hint="eastAsia"/>
        </w:rPr>
        <w:t>(</w:t>
      </w:r>
      <w:r>
        <w:t>4)</w:t>
      </w:r>
      <w:r>
        <w:rPr>
          <w:rFonts w:hint="eastAsia"/>
        </w:rPr>
        <w:t>提出的成交候选人的名单及理由。</w:t>
      </w:r>
    </w:p>
    <w:p w14:paraId="6E587569">
      <w:pPr>
        <w:widowControl/>
        <w:tabs>
          <w:tab w:val="left" w:pos="540"/>
        </w:tabs>
        <w:spacing w:line="420" w:lineRule="exact"/>
        <w:ind w:firstLine="420" w:firstLineChars="200"/>
        <w:jc w:val="left"/>
        <w:rPr>
          <w:szCs w:val="21"/>
        </w:rPr>
      </w:pPr>
      <w:r>
        <w:rPr>
          <w:rFonts w:hint="eastAsia"/>
        </w:rPr>
        <w:t>　　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516CAE03">
      <w:pPr>
        <w:pStyle w:val="21"/>
        <w:spacing w:line="420" w:lineRule="exact"/>
        <w:ind w:firstLine="211" w:firstLineChars="100"/>
        <w:rPr>
          <w:rFonts w:hAnsi="宋体"/>
        </w:rPr>
      </w:pPr>
      <w:r>
        <w:rPr>
          <w:rFonts w:hint="eastAsia" w:hAnsi="宋体"/>
          <w:b/>
          <w:bCs/>
        </w:rPr>
        <w:t>（十二）</w:t>
      </w:r>
      <w:r>
        <w:rPr>
          <w:rFonts w:hint="eastAsia" w:hAnsi="宋体"/>
          <w:b/>
        </w:rPr>
        <w:t>出现下列情形之一的，本中心将终止竞争性谈判采购活动：</w:t>
      </w:r>
    </w:p>
    <w:p w14:paraId="129DA70B">
      <w:pPr>
        <w:pStyle w:val="21"/>
        <w:spacing w:line="420" w:lineRule="exact"/>
        <w:ind w:firstLine="420" w:firstLineChars="200"/>
        <w:rPr>
          <w:rFonts w:hAnsi="宋体"/>
        </w:rPr>
      </w:pPr>
      <w:r>
        <w:rPr>
          <w:rFonts w:hint="eastAsia" w:hAnsi="宋体"/>
        </w:rPr>
        <w:t>1</w:t>
      </w:r>
      <w:r>
        <w:rPr>
          <w:rFonts w:hAnsi="宋体"/>
        </w:rPr>
        <w:t>.</w:t>
      </w:r>
      <w:r>
        <w:rPr>
          <w:rFonts w:hint="eastAsia" w:hAnsi="宋体"/>
        </w:rPr>
        <w:t>因情况变化，不再符合规定的竞争性谈判采购方式适用情形的；</w:t>
      </w:r>
    </w:p>
    <w:p w14:paraId="2DCA5F3A">
      <w:pPr>
        <w:pStyle w:val="21"/>
        <w:spacing w:line="420" w:lineRule="exact"/>
        <w:ind w:firstLine="420" w:firstLineChars="200"/>
        <w:rPr>
          <w:rFonts w:hAnsi="宋体"/>
        </w:rPr>
      </w:pPr>
      <w:r>
        <w:rPr>
          <w:rFonts w:hint="eastAsia" w:hAnsi="宋体"/>
        </w:rPr>
        <w:t>2</w:t>
      </w:r>
      <w:r>
        <w:rPr>
          <w:rFonts w:hAnsi="宋体"/>
        </w:rPr>
        <w:t>.</w:t>
      </w:r>
      <w:r>
        <w:rPr>
          <w:rFonts w:hint="eastAsia" w:hAnsi="宋体"/>
        </w:rPr>
        <w:t>出现影响采购公正的违法、违规行为的；</w:t>
      </w:r>
    </w:p>
    <w:p w14:paraId="1DF39AFE">
      <w:pPr>
        <w:pStyle w:val="21"/>
        <w:spacing w:line="420" w:lineRule="exact"/>
        <w:ind w:firstLine="420" w:firstLineChars="200"/>
        <w:rPr>
          <w:rFonts w:hAnsi="宋体"/>
        </w:rPr>
      </w:pPr>
      <w:r>
        <w:rPr>
          <w:rFonts w:hint="eastAsia" w:hAnsi="宋体"/>
        </w:rPr>
        <w:t>3</w:t>
      </w:r>
      <w:r>
        <w:rPr>
          <w:rFonts w:hAnsi="宋体"/>
        </w:rPr>
        <w:t>.</w:t>
      </w:r>
      <w:r>
        <w:rPr>
          <w:rFonts w:hint="eastAsia" w:hAnsi="宋体"/>
        </w:rPr>
        <w:t>在采购过程中符合竞争要求的供应商或者报价未超过采购预算的供应商不足3家的。</w:t>
      </w:r>
    </w:p>
    <w:p w14:paraId="1AF605CD">
      <w:pPr>
        <w:pStyle w:val="3"/>
        <w:spacing w:line="420" w:lineRule="exact"/>
      </w:pPr>
      <w:r>
        <w:rPr>
          <w:rFonts w:hint="eastAsia"/>
        </w:rPr>
        <w:t>六、确定成交供应商</w:t>
      </w:r>
    </w:p>
    <w:p w14:paraId="04CDEF34">
      <w:pPr>
        <w:pStyle w:val="21"/>
        <w:spacing w:line="420" w:lineRule="exact"/>
        <w:ind w:firstLine="420"/>
        <w:rPr>
          <w:rFonts w:hAnsi="宋体"/>
        </w:rPr>
      </w:pPr>
      <w:r>
        <w:rPr>
          <w:rFonts w:hint="eastAsia" w:hAnsi="宋体"/>
        </w:rPr>
        <w:t>1</w:t>
      </w:r>
      <w:r>
        <w:rPr>
          <w:rFonts w:hAnsi="宋体"/>
        </w:rPr>
        <w:t>.</w:t>
      </w:r>
      <w:r>
        <w:rPr>
          <w:rFonts w:hint="eastAsia" w:hAnsi="宋体"/>
        </w:rPr>
        <w:t>本中心应当在评审结束后2个工作日内将评审报告送采购人确认。</w:t>
      </w:r>
    </w:p>
    <w:p w14:paraId="55B66F47">
      <w:pPr>
        <w:pStyle w:val="21"/>
        <w:spacing w:line="420" w:lineRule="exact"/>
        <w:ind w:firstLine="420"/>
        <w:rPr>
          <w:rFonts w:hAnsi="宋体"/>
        </w:rPr>
      </w:pPr>
      <w:r>
        <w:rPr>
          <w:rFonts w:hAnsi="宋体"/>
        </w:rPr>
        <w:t>2.</w:t>
      </w:r>
      <w:r>
        <w:rPr>
          <w:rFonts w:hint="eastAsia" w:hAnsi="宋体"/>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4A489D11">
      <w:pPr>
        <w:pStyle w:val="3"/>
        <w:spacing w:line="420" w:lineRule="exact"/>
      </w:pPr>
      <w:r>
        <w:rPr>
          <w:rFonts w:hint="eastAsia"/>
        </w:rPr>
        <w:t>七、结果公告</w:t>
      </w:r>
    </w:p>
    <w:p w14:paraId="7FC79CE6">
      <w:pPr>
        <w:pStyle w:val="21"/>
        <w:spacing w:line="420" w:lineRule="exact"/>
        <w:ind w:firstLine="420" w:firstLineChars="200"/>
        <w:rPr>
          <w:rFonts w:hAnsi="宋体"/>
        </w:rPr>
      </w:pPr>
      <w:r>
        <w:rPr>
          <w:rFonts w:hint="eastAsia" w:hAnsi="宋体"/>
        </w:rPr>
        <w:t>本中心在成交供应商确定后2个工作日内，</w:t>
      </w:r>
      <w:r>
        <w:rPr>
          <w:rFonts w:hint="eastAsia"/>
        </w:rPr>
        <w:t>在省级以上财政部门指定的媒体上公告</w:t>
      </w:r>
      <w:r>
        <w:rPr>
          <w:rFonts w:hint="eastAsia" w:hAnsi="宋体"/>
        </w:rPr>
        <w:t>成交结果，同时向成交供应商发出成交通知书。</w:t>
      </w:r>
    </w:p>
    <w:p w14:paraId="0EBA448D">
      <w:pPr>
        <w:pStyle w:val="3"/>
        <w:spacing w:line="420" w:lineRule="exact"/>
      </w:pPr>
      <w:r>
        <w:rPr>
          <w:rFonts w:hint="eastAsia"/>
        </w:rPr>
        <w:t>八、签订合同</w:t>
      </w:r>
    </w:p>
    <w:p w14:paraId="6F0BDAAD">
      <w:pPr>
        <w:spacing w:line="420" w:lineRule="exact"/>
        <w:ind w:firstLine="210" w:firstLineChars="100"/>
        <w:rPr>
          <w:rFonts w:ascii="宋体" w:hAnsi="宋体" w:cs="Courier New"/>
          <w:szCs w:val="21"/>
        </w:rPr>
      </w:pPr>
      <w:r>
        <w:rPr>
          <w:rFonts w:hint="eastAsia" w:ascii="宋体" w:hAnsi="宋体"/>
          <w:szCs w:val="21"/>
        </w:rPr>
        <w:t>（一）</w:t>
      </w:r>
      <w:r>
        <w:rPr>
          <w:rFonts w:hint="eastAsia" w:ascii="宋体" w:hAnsi="宋体" w:cs="Courier New"/>
          <w:szCs w:val="21"/>
        </w:rPr>
        <w:t>采购人与成交供应商应当在成交通知书发出之日起</w:t>
      </w:r>
      <w:r>
        <w:rPr>
          <w:rFonts w:ascii="宋体" w:hAnsi="宋体" w:cs="Courier New"/>
          <w:szCs w:val="21"/>
        </w:rPr>
        <w:t>15</w:t>
      </w:r>
      <w:r>
        <w:rPr>
          <w:rFonts w:hint="eastAsia" w:ascii="宋体" w:hAnsi="宋体" w:cs="Courier New"/>
          <w:szCs w:val="21"/>
        </w:rPr>
        <w:t>日内，按照谈判文件确定的合同文本以及采购标的、规格型号、采购金额、采购数量、技术和服务要求等确定的事项签订政府采购合同。</w:t>
      </w:r>
    </w:p>
    <w:p w14:paraId="6513739F">
      <w:pPr>
        <w:widowControl/>
        <w:spacing w:line="420" w:lineRule="exact"/>
        <w:ind w:firstLine="210" w:firstLineChars="100"/>
        <w:jc w:val="left"/>
        <w:rPr>
          <w:rFonts w:ascii="宋体" w:hAnsi="宋体" w:cs="宋体"/>
          <w:kern w:val="0"/>
          <w:szCs w:val="21"/>
        </w:rPr>
      </w:pPr>
      <w:r>
        <w:rPr>
          <w:rFonts w:hint="eastAsia" w:ascii="宋体" w:hAnsi="宋体" w:cs="Courier New"/>
          <w:szCs w:val="21"/>
        </w:rPr>
        <w:t>（二）</w:t>
      </w:r>
      <w:r>
        <w:rPr>
          <w:rFonts w:hint="eastAsia" w:ascii="宋体" w:hAnsi="宋体" w:cs="宋体"/>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3AD5B04">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（三）供应商可凭成交通知书或政府采购合同等在内的相关材料、信息，通过中征应收账款融资服务平台向银行业金融机构在线申请“政采贷”融资。</w:t>
      </w:r>
    </w:p>
    <w:p w14:paraId="039544D1">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（四）除不可抗力等因素外，成交通知书发出后，采购人改变成交结果，或者成交供应商拒绝签订政府采购合同的，应当承担相应的法律责任。</w:t>
      </w:r>
    </w:p>
    <w:p w14:paraId="5CA7378B">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（五）</w:t>
      </w:r>
      <w:r>
        <w:rPr>
          <w:rFonts w:ascii="Arial" w:hAnsi="Arial" w:cs="Arial"/>
          <w:kern w:val="0"/>
          <w:szCs w:val="21"/>
        </w:rPr>
        <w:t>政府采购合同</w:t>
      </w:r>
      <w:r>
        <w:rPr>
          <w:rFonts w:hint="eastAsia" w:ascii="Arial" w:hAnsi="Arial" w:cs="Arial"/>
          <w:kern w:val="0"/>
          <w:szCs w:val="21"/>
        </w:rPr>
        <w:t>适用《中华人民共和国民法典》</w:t>
      </w:r>
      <w:r>
        <w:rPr>
          <w:rFonts w:ascii="Arial" w:hAnsi="Arial" w:cs="Arial"/>
          <w:kern w:val="0"/>
          <w:szCs w:val="21"/>
        </w:rPr>
        <w:t>。</w:t>
      </w:r>
    </w:p>
    <w:p w14:paraId="757719A9">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04D93C62">
      <w:pPr>
        <w:pStyle w:val="3"/>
        <w:spacing w:line="420" w:lineRule="exact"/>
      </w:pPr>
      <w:r>
        <w:rPr>
          <w:rFonts w:hint="eastAsia"/>
        </w:rPr>
        <w:t>九、适用法律</w:t>
      </w:r>
    </w:p>
    <w:p w14:paraId="6576456A">
      <w:pPr>
        <w:spacing w:line="420" w:lineRule="exact"/>
        <w:ind w:firstLine="420" w:firstLineChars="200"/>
        <w:rPr>
          <w:rFonts w:ascii="宋体" w:hAnsi="宋体"/>
          <w:szCs w:val="21"/>
        </w:rPr>
      </w:pPr>
      <w:bookmarkStart w:id="107" w:name="_Hlk92794186"/>
      <w:r>
        <w:rPr>
          <w:rFonts w:hint="eastAsia" w:ascii="宋体" w:hAnsi="宋体"/>
          <w:szCs w:val="21"/>
        </w:rPr>
        <w:t>本项目采购活动适用于《中华人民共和国政府采购法》及其实施条例、《政府采购非招标采购方式管理办法》等规定。</w:t>
      </w:r>
    </w:p>
    <w:bookmarkEnd w:id="107"/>
    <w:p w14:paraId="01AAFDF3">
      <w:pPr>
        <w:pStyle w:val="3"/>
        <w:spacing w:line="420" w:lineRule="exact"/>
      </w:pPr>
      <w:bookmarkStart w:id="108" w:name="_十、其他事项"/>
      <w:bookmarkEnd w:id="108"/>
      <w:r>
        <w:rPr>
          <w:rFonts w:hint="eastAsia"/>
        </w:rPr>
        <w:t>十、其他事项</w:t>
      </w:r>
    </w:p>
    <w:p w14:paraId="6912D001">
      <w:pPr>
        <w:spacing w:line="420" w:lineRule="exact"/>
        <w:ind w:firstLine="210" w:firstLineChars="100"/>
        <w:rPr>
          <w:rFonts w:hAnsi="宋体"/>
        </w:rPr>
      </w:pPr>
      <w:r>
        <w:rPr>
          <w:rFonts w:hint="eastAsia" w:hAnsi="宋体"/>
        </w:rPr>
        <w:t>（一）代理服务费</w:t>
      </w:r>
    </w:p>
    <w:p w14:paraId="5C74BE8D">
      <w:pPr>
        <w:spacing w:line="420" w:lineRule="exact"/>
        <w:ind w:firstLine="420" w:firstLineChars="200"/>
        <w:rPr>
          <w:rFonts w:hAnsi="宋体"/>
        </w:rPr>
      </w:pPr>
      <w:r>
        <w:rPr>
          <w:rFonts w:hint="eastAsia" w:hAnsi="宋体"/>
        </w:rPr>
        <w:t>1</w:t>
      </w:r>
      <w:r>
        <w:rPr>
          <w:rFonts w:hAnsi="宋体"/>
        </w:rPr>
        <w:t>.</w:t>
      </w:r>
      <w:r>
        <w:rPr>
          <w:rFonts w:hint="eastAsia" w:hAnsi="宋体"/>
        </w:rPr>
        <w:t>本中心按钦州市物价局“钦市价费﹝2013﹞4号”文件规定向成交供应商收取代理服务费，成交供应商须向本中心一次付清代理服务费。</w:t>
      </w:r>
    </w:p>
    <w:p w14:paraId="0DB8ADD1">
      <w:pPr>
        <w:spacing w:line="420" w:lineRule="exact"/>
        <w:ind w:firstLine="420" w:firstLineChars="200"/>
      </w:pPr>
      <w:r>
        <w:rPr>
          <w:rFonts w:hint="eastAsia" w:hAnsi="宋体"/>
        </w:rPr>
        <w:t>2</w:t>
      </w:r>
      <w:r>
        <w:rPr>
          <w:rFonts w:hAnsi="宋体"/>
        </w:rPr>
        <w:t>.</w:t>
      </w:r>
      <w:r>
        <w:rPr>
          <w:rFonts w:hint="eastAsia" w:hAnsi="宋体"/>
          <w:bCs/>
        </w:rPr>
        <w:t>代理服务收费标准：</w:t>
      </w:r>
    </w:p>
    <w:tbl>
      <w:tblPr>
        <w:tblStyle w:val="40"/>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30E0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083BB84B">
            <w:pPr>
              <w:spacing w:line="330" w:lineRule="exact"/>
              <w:ind w:firstLine="2310" w:firstLineChars="1100"/>
              <w:rPr>
                <w:rFonts w:hAnsi="宋体"/>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2540" t="3810" r="15875" b="18415"/>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QfjYDe0BAADJAwAADgAAAGRycy9lMm9Eb2MueG1srVO9btsw&#10;EN4L9B0I7rVs2U5bwXIGG2mHtDWQNDtNURJRkkeQtCU/S1+jU5c+Tl6jR0pxfrpkqAbijnf3fXcf&#10;T6vLXityFM5LMCWdTaaUCMOhkqYp6ffbq3cfKPGBmYopMKKkJ+Hp5frtm1VnC5FDC6oSjiCI8UVn&#10;S9qGYIss87wVmvkJWGEwWIPTLKDrmqxyrEN0rbJ8Or3IOnCVdcCF93i7HYJ0RHSvAYS6llxsgR+0&#10;MGFAdUKxgCP5VlpP16nbuhY8fKtrLwJRJcVJQzqRBO19PLP1ihWNY7aVfGyBvaaFFzNpJg2SnqG2&#10;LDBycPIfKC25Aw91mHDQ2TBIUgSnmE1faHPTMivSLCi1t2fR/f+D5V+PO0dkVdIFJYZpfPD7n7/u&#10;f/8h86hNZ32BKRuzc3E63psbew38hycGNi0zjUg93p4sFs5iRfasJDreIsO++wIV5rBDgCRUXztN&#10;aiXt51iYrLtoRRqUhfTpjU7nNxJ9IBwv89n7fD5fUsIxNlssFhf5MvGyIkLGcut8+CRAk2iUVEkT&#10;RWQFO177EFt8TInXBq6kUmkRlCFdST8uETJGPChZxWByXLPfKEeOLK5S+kbeZ2kODqYaSJSJdSJt&#10;4cj8oMeg7B6q0849iIYvnHobtzGu0FM/Sfv4B6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W8&#10;NPnVAAAACQEAAA8AAAAAAAAAAQAgAAAAIgAAAGRycy9kb3ducmV2LnhtbFBLAQIUABQAAAAIAIdO&#10;4kBB+NgN7QEAAMkDAAAOAAAAAAAAAAEAIAAAACQBAABkcnMvZTJvRG9jLnhtbFBLBQYAAAAABgAG&#10;AFkBAACDBQAAAAA=&#10;">
                      <v:fill on="f" focussize="0,0"/>
                      <v:stroke color="#000000" joinstyle="round"/>
                      <v:imagedata o:title=""/>
                      <o:lock v:ext="edit" aspectratio="f"/>
                    </v:line>
                  </w:pict>
                </mc:Fallback>
              </mc:AlternateContent>
            </w:r>
            <w:r>
              <w:rPr>
                <w:rFonts w:hAnsi="宋体"/>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3810" t="3175" r="14605" b="19050"/>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8VCOl7AEAAMkDAAAOAAAAZHJzL2Uyb0RvYy54bWytU7Fu2zAQ&#10;3Qv0HwjutSxbNlrBcgYbaYe0NZC0O01RElGSR5C0ZX9Lf6NTl35OfiNHSnGadMlQDcQd7+69u8fT&#10;6uqkFTkK5yWYiuaTKSXCcKilaSv67e763XtKfGCmZgqMqOhZeHq1fvtm1dtSzKADVQtHEMT4srcV&#10;7UKwZZZ53gnN/ASsMBhswGkW0HVtVjvWI7pW2Ww6XWY9uNo64MJ7vN0OQToiutcAQtNILrbAD1qY&#10;MKA6oVjAkXwnrafr1G3TCB6+No0XgaiK4qQhnUiC9j6e2XrFytYx20k+tsBe08KLmTSTBkkvUFsW&#10;GDk4+Q+UltyBhyZMOOhsGCQpglPk0xfa3HbMijQLSu3tRXT//2D5l+POEVlXdE6JYRof/P7nr/vf&#10;f0gRtemtLzFlY3YuTsdP5tbeAP/hiYFNx0wrUo93Z4uFeazInpVEx1tk2PefocYcdgiQhDo1TpNG&#10;SfspFibre7QiDcpCTumNzpc3EqdAOF7meTFfzheUcIzlRVEsZ4vEy8oIGcut8+GjAE2iUVElTRSR&#10;lex440Ns8SklXhu4lkqlRVCG9BX9sEDIGPGgZB2DyXHtfqMcObK4SukbeZ+lOTiYeiBRJtaJtIUj&#10;86Meg7J7qM879ygavnDqbdzGuEJ/+0napz9w/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sssL&#10;1AAAAAkBAAAPAAAAAAAAAAEAIAAAACIAAABkcnMvZG93bnJldi54bWxQSwECFAAUAAAACACHTuJA&#10;/FQjpewBAADJAwAADgAAAAAAAAABACAAAAAjAQAAZHJzL2Uyb0RvYy54bWxQSwUGAAAAAAYABgBZ&#10;AQAAgQUAAAAA&#10;">
                      <v:fill on="f" focussize="0,0"/>
                      <v:stroke color="#000000" joinstyle="round"/>
                      <v:imagedata o:title=""/>
                      <o:lock v:ext="edit" aspectratio="f"/>
                    </v:line>
                  </w:pict>
                </mc:Fallback>
              </mc:AlternateContent>
            </w:r>
            <w:r>
              <w:rPr>
                <w:rFonts w:hint="eastAsia" w:hAnsi="宋体"/>
              </w:rPr>
              <w:t>采购类型</w:t>
            </w:r>
          </w:p>
          <w:p w14:paraId="742FCC39">
            <w:pPr>
              <w:spacing w:line="330" w:lineRule="exact"/>
              <w:rPr>
                <w:rFonts w:hAnsi="宋体"/>
              </w:rPr>
            </w:pPr>
          </w:p>
          <w:p w14:paraId="798FCF3B">
            <w:pPr>
              <w:spacing w:line="330" w:lineRule="exact"/>
              <w:ind w:firstLine="1575" w:firstLineChars="750"/>
              <w:jc w:val="left"/>
              <w:rPr>
                <w:rFonts w:hAnsi="宋体"/>
              </w:rPr>
            </w:pPr>
            <w:r>
              <w:rPr>
                <w:rFonts w:hint="eastAsia" w:hAnsi="宋体"/>
              </w:rPr>
              <w:t>费率</w:t>
            </w:r>
          </w:p>
          <w:p w14:paraId="55158BC9">
            <w:pPr>
              <w:spacing w:line="330" w:lineRule="exact"/>
              <w:ind w:leftChars="-1" w:hanging="2" w:hangingChars="1"/>
              <w:jc w:val="left"/>
              <w:rPr>
                <w:rFonts w:hAnsi="宋体"/>
              </w:rPr>
            </w:pPr>
          </w:p>
          <w:p w14:paraId="28CBC051">
            <w:pPr>
              <w:spacing w:line="330" w:lineRule="exact"/>
              <w:ind w:leftChars="-1" w:hanging="2" w:hangingChars="1"/>
              <w:jc w:val="left"/>
              <w:rPr>
                <w:rFonts w:hAnsi="宋体"/>
              </w:rPr>
            </w:pPr>
          </w:p>
          <w:p w14:paraId="660C6EB5">
            <w:pPr>
              <w:spacing w:line="330" w:lineRule="exact"/>
              <w:jc w:val="left"/>
              <w:rPr>
                <w:rFonts w:hAnsi="宋体"/>
              </w:rPr>
            </w:pPr>
            <w:r>
              <w:rPr>
                <w:rFonts w:hint="eastAsia" w:hAnsi="宋体"/>
              </w:rPr>
              <w:t>成交金额（万元）</w:t>
            </w:r>
          </w:p>
        </w:tc>
        <w:tc>
          <w:tcPr>
            <w:tcW w:w="5708" w:type="dxa"/>
            <w:gridSpan w:val="3"/>
            <w:vAlign w:val="center"/>
          </w:tcPr>
          <w:p w14:paraId="03A5F306">
            <w:pPr>
              <w:spacing w:line="330" w:lineRule="exact"/>
              <w:rPr>
                <w:rFonts w:hAnsi="宋体"/>
              </w:rPr>
            </w:pPr>
            <w:r>
              <w:rPr>
                <w:rFonts w:hint="eastAsia" w:hAnsi="宋体"/>
              </w:rPr>
              <w:t>公开招标、邀请招标、竞争性谈判方式采购代理</w:t>
            </w:r>
          </w:p>
        </w:tc>
      </w:tr>
      <w:tr w14:paraId="05F8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69727218">
            <w:pPr>
              <w:spacing w:line="330" w:lineRule="exact"/>
              <w:ind w:firstLine="2620" w:firstLineChars="1248"/>
              <w:rPr>
                <w:rFonts w:hAnsi="宋体"/>
              </w:rPr>
            </w:pPr>
          </w:p>
        </w:tc>
        <w:tc>
          <w:tcPr>
            <w:tcW w:w="1932" w:type="dxa"/>
            <w:vAlign w:val="center"/>
          </w:tcPr>
          <w:p w14:paraId="58CF60D7">
            <w:pPr>
              <w:spacing w:line="330" w:lineRule="exact"/>
              <w:jc w:val="center"/>
              <w:rPr>
                <w:rFonts w:hAnsi="宋体"/>
              </w:rPr>
            </w:pPr>
            <w:r>
              <w:rPr>
                <w:rFonts w:hint="eastAsia" w:hAnsi="宋体"/>
              </w:rPr>
              <w:t>货物类</w:t>
            </w:r>
          </w:p>
        </w:tc>
        <w:tc>
          <w:tcPr>
            <w:tcW w:w="1800" w:type="dxa"/>
            <w:vAlign w:val="center"/>
          </w:tcPr>
          <w:p w14:paraId="7D29219D">
            <w:pPr>
              <w:spacing w:line="330" w:lineRule="exact"/>
              <w:jc w:val="center"/>
              <w:rPr>
                <w:rFonts w:hAnsi="宋体"/>
              </w:rPr>
            </w:pPr>
            <w:r>
              <w:rPr>
                <w:rFonts w:hint="eastAsia" w:hAnsi="宋体"/>
              </w:rPr>
              <w:t>服务类</w:t>
            </w:r>
          </w:p>
        </w:tc>
        <w:tc>
          <w:tcPr>
            <w:tcW w:w="1976" w:type="dxa"/>
            <w:vAlign w:val="center"/>
          </w:tcPr>
          <w:p w14:paraId="39F48B00">
            <w:pPr>
              <w:widowControl/>
              <w:spacing w:line="330" w:lineRule="exact"/>
              <w:jc w:val="center"/>
              <w:rPr>
                <w:rFonts w:hAnsi="宋体"/>
              </w:rPr>
            </w:pPr>
            <w:r>
              <w:rPr>
                <w:rFonts w:hint="eastAsia" w:hAnsi="宋体"/>
              </w:rPr>
              <w:t>工程类</w:t>
            </w:r>
          </w:p>
        </w:tc>
      </w:tr>
      <w:tr w14:paraId="5DC4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64B0F046">
            <w:pPr>
              <w:spacing w:line="330" w:lineRule="exact"/>
              <w:jc w:val="center"/>
              <w:rPr>
                <w:rFonts w:hAnsi="宋体"/>
              </w:rPr>
            </w:pPr>
            <w:r>
              <w:rPr>
                <w:rFonts w:hint="eastAsia" w:hAnsi="宋体"/>
              </w:rPr>
              <w:t>100以下</w:t>
            </w:r>
          </w:p>
        </w:tc>
        <w:tc>
          <w:tcPr>
            <w:tcW w:w="1932" w:type="dxa"/>
            <w:vAlign w:val="center"/>
          </w:tcPr>
          <w:p w14:paraId="23B55E22">
            <w:pPr>
              <w:spacing w:line="330" w:lineRule="exact"/>
              <w:jc w:val="center"/>
              <w:rPr>
                <w:rFonts w:hAnsi="宋体"/>
              </w:rPr>
            </w:pPr>
            <w:r>
              <w:rPr>
                <w:rFonts w:hint="eastAsia" w:hAnsi="宋体"/>
              </w:rPr>
              <w:t>1.2%</w:t>
            </w:r>
          </w:p>
        </w:tc>
        <w:tc>
          <w:tcPr>
            <w:tcW w:w="1800" w:type="dxa"/>
            <w:vAlign w:val="center"/>
          </w:tcPr>
          <w:p w14:paraId="42030573">
            <w:pPr>
              <w:spacing w:line="330" w:lineRule="exact"/>
              <w:jc w:val="center"/>
              <w:rPr>
                <w:rFonts w:hAnsi="宋体"/>
              </w:rPr>
            </w:pPr>
            <w:r>
              <w:rPr>
                <w:rFonts w:hint="eastAsia" w:hAnsi="宋体"/>
              </w:rPr>
              <w:t>1.2%</w:t>
            </w:r>
          </w:p>
        </w:tc>
        <w:tc>
          <w:tcPr>
            <w:tcW w:w="1976" w:type="dxa"/>
            <w:vAlign w:val="center"/>
          </w:tcPr>
          <w:p w14:paraId="08EC7F4A">
            <w:pPr>
              <w:spacing w:line="330" w:lineRule="exact"/>
              <w:jc w:val="center"/>
              <w:rPr>
                <w:rFonts w:hAnsi="宋体"/>
              </w:rPr>
            </w:pPr>
            <w:r>
              <w:rPr>
                <w:rFonts w:hint="eastAsia" w:hAnsi="宋体"/>
              </w:rPr>
              <w:t>0.8%</w:t>
            </w:r>
          </w:p>
        </w:tc>
      </w:tr>
      <w:tr w14:paraId="5A21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7633B4A7">
            <w:pPr>
              <w:spacing w:line="330" w:lineRule="exact"/>
              <w:jc w:val="center"/>
              <w:rPr>
                <w:rFonts w:hAnsi="宋体"/>
              </w:rPr>
            </w:pPr>
            <w:r>
              <w:rPr>
                <w:rFonts w:hint="eastAsia" w:hAnsi="宋体"/>
              </w:rPr>
              <w:t>100-500</w:t>
            </w:r>
          </w:p>
        </w:tc>
        <w:tc>
          <w:tcPr>
            <w:tcW w:w="1932" w:type="dxa"/>
            <w:vAlign w:val="center"/>
          </w:tcPr>
          <w:p w14:paraId="2CA2F1C9">
            <w:pPr>
              <w:spacing w:line="330" w:lineRule="exact"/>
              <w:jc w:val="center"/>
              <w:rPr>
                <w:rFonts w:hAnsi="宋体"/>
              </w:rPr>
            </w:pPr>
            <w:r>
              <w:rPr>
                <w:rFonts w:hint="eastAsia" w:hAnsi="宋体"/>
              </w:rPr>
              <w:t>0.88%</w:t>
            </w:r>
          </w:p>
        </w:tc>
        <w:tc>
          <w:tcPr>
            <w:tcW w:w="1800" w:type="dxa"/>
            <w:vAlign w:val="center"/>
          </w:tcPr>
          <w:p w14:paraId="24F1243D">
            <w:pPr>
              <w:spacing w:line="330" w:lineRule="exact"/>
              <w:jc w:val="center"/>
              <w:rPr>
                <w:rFonts w:hAnsi="宋体"/>
              </w:rPr>
            </w:pPr>
            <w:r>
              <w:rPr>
                <w:rFonts w:hint="eastAsia" w:hAnsi="宋体"/>
              </w:rPr>
              <w:t>0.64%</w:t>
            </w:r>
          </w:p>
        </w:tc>
        <w:tc>
          <w:tcPr>
            <w:tcW w:w="1976" w:type="dxa"/>
            <w:vAlign w:val="center"/>
          </w:tcPr>
          <w:p w14:paraId="222D5268">
            <w:pPr>
              <w:spacing w:line="330" w:lineRule="exact"/>
              <w:jc w:val="center"/>
              <w:rPr>
                <w:rFonts w:hAnsi="宋体"/>
              </w:rPr>
            </w:pPr>
            <w:r>
              <w:rPr>
                <w:rFonts w:hint="eastAsia" w:hAnsi="宋体"/>
              </w:rPr>
              <w:t>0.56%</w:t>
            </w:r>
          </w:p>
        </w:tc>
      </w:tr>
      <w:tr w14:paraId="5CC0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14D4CAC0">
            <w:pPr>
              <w:spacing w:line="330" w:lineRule="exact"/>
              <w:jc w:val="center"/>
              <w:rPr>
                <w:rFonts w:hAnsi="宋体"/>
              </w:rPr>
            </w:pPr>
            <w:r>
              <w:rPr>
                <w:rFonts w:hint="eastAsia" w:hAnsi="宋体"/>
              </w:rPr>
              <w:t>500-1000</w:t>
            </w:r>
          </w:p>
        </w:tc>
        <w:tc>
          <w:tcPr>
            <w:tcW w:w="1932" w:type="dxa"/>
            <w:vAlign w:val="center"/>
          </w:tcPr>
          <w:p w14:paraId="2318FBB7">
            <w:pPr>
              <w:spacing w:line="330" w:lineRule="exact"/>
              <w:jc w:val="center"/>
              <w:rPr>
                <w:rFonts w:hAnsi="宋体"/>
              </w:rPr>
            </w:pPr>
            <w:r>
              <w:rPr>
                <w:rFonts w:hint="eastAsia" w:hAnsi="宋体"/>
              </w:rPr>
              <w:t>0.64%</w:t>
            </w:r>
          </w:p>
        </w:tc>
        <w:tc>
          <w:tcPr>
            <w:tcW w:w="1800" w:type="dxa"/>
            <w:vAlign w:val="center"/>
          </w:tcPr>
          <w:p w14:paraId="1E38ED2B">
            <w:pPr>
              <w:spacing w:line="330" w:lineRule="exact"/>
              <w:jc w:val="center"/>
              <w:rPr>
                <w:rFonts w:hAnsi="宋体"/>
              </w:rPr>
            </w:pPr>
            <w:r>
              <w:rPr>
                <w:rFonts w:hint="eastAsia" w:hAnsi="宋体"/>
              </w:rPr>
              <w:t>0.36%</w:t>
            </w:r>
          </w:p>
        </w:tc>
        <w:tc>
          <w:tcPr>
            <w:tcW w:w="1976" w:type="dxa"/>
            <w:vAlign w:val="center"/>
          </w:tcPr>
          <w:p w14:paraId="2B28BDB3">
            <w:pPr>
              <w:spacing w:line="330" w:lineRule="exact"/>
              <w:jc w:val="center"/>
              <w:rPr>
                <w:rFonts w:hAnsi="宋体"/>
              </w:rPr>
            </w:pPr>
            <w:r>
              <w:rPr>
                <w:rFonts w:hint="eastAsia" w:hAnsi="宋体"/>
              </w:rPr>
              <w:t>0.44%</w:t>
            </w:r>
          </w:p>
        </w:tc>
      </w:tr>
      <w:tr w14:paraId="55BC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4858621F">
            <w:pPr>
              <w:spacing w:line="330" w:lineRule="exact"/>
              <w:jc w:val="center"/>
              <w:rPr>
                <w:rFonts w:hAnsi="宋体"/>
              </w:rPr>
            </w:pPr>
            <w:r>
              <w:rPr>
                <w:rFonts w:hint="eastAsia" w:hAnsi="宋体"/>
              </w:rPr>
              <w:t>1000-5000</w:t>
            </w:r>
          </w:p>
        </w:tc>
        <w:tc>
          <w:tcPr>
            <w:tcW w:w="1932" w:type="dxa"/>
            <w:vAlign w:val="center"/>
          </w:tcPr>
          <w:p w14:paraId="23848AEF">
            <w:pPr>
              <w:spacing w:line="330" w:lineRule="exact"/>
              <w:jc w:val="center"/>
              <w:rPr>
                <w:rFonts w:hAnsi="宋体"/>
              </w:rPr>
            </w:pPr>
            <w:r>
              <w:rPr>
                <w:rFonts w:hint="eastAsia" w:hAnsi="宋体"/>
              </w:rPr>
              <w:t>0.4%</w:t>
            </w:r>
          </w:p>
        </w:tc>
        <w:tc>
          <w:tcPr>
            <w:tcW w:w="1800" w:type="dxa"/>
            <w:vAlign w:val="center"/>
          </w:tcPr>
          <w:p w14:paraId="3EE2F0D6">
            <w:pPr>
              <w:spacing w:line="330" w:lineRule="exact"/>
              <w:jc w:val="center"/>
              <w:rPr>
                <w:rFonts w:hAnsi="宋体"/>
              </w:rPr>
            </w:pPr>
            <w:r>
              <w:rPr>
                <w:rFonts w:hint="eastAsia" w:hAnsi="宋体"/>
              </w:rPr>
              <w:t>0.2%</w:t>
            </w:r>
          </w:p>
        </w:tc>
        <w:tc>
          <w:tcPr>
            <w:tcW w:w="1976" w:type="dxa"/>
            <w:vAlign w:val="center"/>
          </w:tcPr>
          <w:p w14:paraId="4B411935">
            <w:pPr>
              <w:spacing w:line="330" w:lineRule="exact"/>
              <w:jc w:val="center"/>
              <w:rPr>
                <w:rFonts w:hAnsi="宋体"/>
              </w:rPr>
            </w:pPr>
            <w:r>
              <w:rPr>
                <w:rFonts w:hint="eastAsia" w:hAnsi="宋体"/>
              </w:rPr>
              <w:t>0.28%</w:t>
            </w:r>
          </w:p>
        </w:tc>
      </w:tr>
      <w:tr w14:paraId="4652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5B61CC70">
            <w:pPr>
              <w:spacing w:line="330" w:lineRule="exact"/>
              <w:jc w:val="center"/>
              <w:rPr>
                <w:rFonts w:hAnsi="宋体"/>
              </w:rPr>
            </w:pPr>
            <w:r>
              <w:rPr>
                <w:rFonts w:hint="eastAsia" w:hAnsi="宋体"/>
              </w:rPr>
              <w:t>5000-10000</w:t>
            </w:r>
          </w:p>
        </w:tc>
        <w:tc>
          <w:tcPr>
            <w:tcW w:w="1932" w:type="dxa"/>
            <w:vAlign w:val="center"/>
          </w:tcPr>
          <w:p w14:paraId="54FF0859">
            <w:pPr>
              <w:spacing w:line="330" w:lineRule="exact"/>
              <w:jc w:val="center"/>
              <w:rPr>
                <w:rFonts w:hAnsi="宋体"/>
              </w:rPr>
            </w:pPr>
            <w:r>
              <w:rPr>
                <w:rFonts w:hint="eastAsia" w:hAnsi="宋体"/>
              </w:rPr>
              <w:t>0.2%</w:t>
            </w:r>
          </w:p>
        </w:tc>
        <w:tc>
          <w:tcPr>
            <w:tcW w:w="1800" w:type="dxa"/>
            <w:vAlign w:val="center"/>
          </w:tcPr>
          <w:p w14:paraId="7203AD04">
            <w:pPr>
              <w:spacing w:line="330" w:lineRule="exact"/>
              <w:jc w:val="center"/>
              <w:rPr>
                <w:rFonts w:hAnsi="宋体"/>
              </w:rPr>
            </w:pPr>
            <w:r>
              <w:rPr>
                <w:rFonts w:hint="eastAsia" w:hAnsi="宋体"/>
              </w:rPr>
              <w:t>0.08%</w:t>
            </w:r>
          </w:p>
        </w:tc>
        <w:tc>
          <w:tcPr>
            <w:tcW w:w="1976" w:type="dxa"/>
            <w:vAlign w:val="center"/>
          </w:tcPr>
          <w:p w14:paraId="460F24DF">
            <w:pPr>
              <w:spacing w:line="330" w:lineRule="exact"/>
              <w:jc w:val="center"/>
              <w:rPr>
                <w:rFonts w:hAnsi="宋体"/>
              </w:rPr>
            </w:pPr>
            <w:r>
              <w:rPr>
                <w:rFonts w:hint="eastAsia" w:hAnsi="宋体"/>
              </w:rPr>
              <w:t>0.16%</w:t>
            </w:r>
          </w:p>
        </w:tc>
      </w:tr>
      <w:tr w14:paraId="0F8D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3B87008A">
            <w:pPr>
              <w:spacing w:line="330" w:lineRule="exact"/>
              <w:jc w:val="center"/>
              <w:rPr>
                <w:rFonts w:hAnsi="宋体"/>
              </w:rPr>
            </w:pPr>
            <w:r>
              <w:rPr>
                <w:rFonts w:hint="eastAsia" w:hAnsi="宋体"/>
              </w:rPr>
              <w:t>10000-100000</w:t>
            </w:r>
          </w:p>
        </w:tc>
        <w:tc>
          <w:tcPr>
            <w:tcW w:w="1932" w:type="dxa"/>
            <w:vAlign w:val="center"/>
          </w:tcPr>
          <w:p w14:paraId="735B8F1D">
            <w:pPr>
              <w:spacing w:line="330" w:lineRule="exact"/>
              <w:jc w:val="center"/>
              <w:rPr>
                <w:rFonts w:hAnsi="宋体"/>
              </w:rPr>
            </w:pPr>
            <w:r>
              <w:rPr>
                <w:rFonts w:hint="eastAsia" w:hAnsi="宋体"/>
              </w:rPr>
              <w:t>0.04%</w:t>
            </w:r>
          </w:p>
        </w:tc>
        <w:tc>
          <w:tcPr>
            <w:tcW w:w="1800" w:type="dxa"/>
            <w:vAlign w:val="center"/>
          </w:tcPr>
          <w:p w14:paraId="0DE806FE">
            <w:pPr>
              <w:spacing w:line="330" w:lineRule="exact"/>
              <w:jc w:val="center"/>
              <w:rPr>
                <w:rFonts w:hAnsi="宋体"/>
              </w:rPr>
            </w:pPr>
            <w:r>
              <w:rPr>
                <w:rFonts w:hint="eastAsia" w:hAnsi="宋体"/>
              </w:rPr>
              <w:t>0.04%</w:t>
            </w:r>
          </w:p>
        </w:tc>
        <w:tc>
          <w:tcPr>
            <w:tcW w:w="1976" w:type="dxa"/>
            <w:vAlign w:val="center"/>
          </w:tcPr>
          <w:p w14:paraId="62E95C05">
            <w:pPr>
              <w:spacing w:line="330" w:lineRule="exact"/>
              <w:jc w:val="center"/>
              <w:rPr>
                <w:rFonts w:hAnsi="宋体"/>
              </w:rPr>
            </w:pPr>
            <w:r>
              <w:rPr>
                <w:rFonts w:hint="eastAsia" w:hAnsi="宋体"/>
              </w:rPr>
              <w:t>0.04%</w:t>
            </w:r>
          </w:p>
        </w:tc>
      </w:tr>
      <w:tr w14:paraId="62B8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6CFAF67A">
            <w:pPr>
              <w:spacing w:line="330" w:lineRule="exact"/>
              <w:jc w:val="center"/>
              <w:rPr>
                <w:rFonts w:hAnsi="宋体"/>
              </w:rPr>
            </w:pPr>
            <w:r>
              <w:rPr>
                <w:rFonts w:hint="eastAsia" w:hAnsi="宋体"/>
              </w:rPr>
              <w:t>100000以上</w:t>
            </w:r>
          </w:p>
        </w:tc>
        <w:tc>
          <w:tcPr>
            <w:tcW w:w="1932" w:type="dxa"/>
            <w:vAlign w:val="center"/>
          </w:tcPr>
          <w:p w14:paraId="487E4F31">
            <w:pPr>
              <w:spacing w:line="330" w:lineRule="exact"/>
              <w:jc w:val="center"/>
              <w:rPr>
                <w:rFonts w:hAnsi="宋体"/>
              </w:rPr>
            </w:pPr>
            <w:r>
              <w:rPr>
                <w:rFonts w:hint="eastAsia" w:hAnsi="宋体"/>
              </w:rPr>
              <w:t>0.008%</w:t>
            </w:r>
          </w:p>
        </w:tc>
        <w:tc>
          <w:tcPr>
            <w:tcW w:w="1800" w:type="dxa"/>
            <w:vAlign w:val="center"/>
          </w:tcPr>
          <w:p w14:paraId="66D3C916">
            <w:pPr>
              <w:spacing w:line="330" w:lineRule="exact"/>
              <w:jc w:val="center"/>
              <w:rPr>
                <w:rFonts w:hAnsi="宋体"/>
              </w:rPr>
            </w:pPr>
            <w:r>
              <w:rPr>
                <w:rFonts w:hint="eastAsia" w:hAnsi="宋体"/>
              </w:rPr>
              <w:t>0.008%</w:t>
            </w:r>
          </w:p>
        </w:tc>
        <w:tc>
          <w:tcPr>
            <w:tcW w:w="1976" w:type="dxa"/>
            <w:vAlign w:val="center"/>
          </w:tcPr>
          <w:p w14:paraId="57474103">
            <w:pPr>
              <w:spacing w:line="330" w:lineRule="exact"/>
              <w:jc w:val="center"/>
              <w:rPr>
                <w:rFonts w:hAnsi="宋体"/>
              </w:rPr>
            </w:pPr>
            <w:r>
              <w:rPr>
                <w:rFonts w:hint="eastAsia" w:hAnsi="宋体"/>
              </w:rPr>
              <w:t>0.008%</w:t>
            </w:r>
          </w:p>
        </w:tc>
      </w:tr>
    </w:tbl>
    <w:p w14:paraId="2C4D2093">
      <w:pPr>
        <w:pStyle w:val="21"/>
        <w:spacing w:line="400" w:lineRule="exact"/>
        <w:ind w:firstLine="420" w:firstLineChars="200"/>
        <w:rPr>
          <w:rFonts w:hAnsi="宋体"/>
        </w:rPr>
      </w:pPr>
      <w:r>
        <w:rPr>
          <w:rFonts w:hint="eastAsia" w:hAnsi="宋体"/>
        </w:rPr>
        <w:t>注：代理服务收费按差额定率累进法计算</w:t>
      </w:r>
    </w:p>
    <w:p w14:paraId="275F003B">
      <w:pPr>
        <w:pStyle w:val="21"/>
        <w:spacing w:line="400" w:lineRule="exact"/>
        <w:ind w:firstLine="420" w:firstLineChars="200"/>
        <w:rPr>
          <w:rFonts w:hAnsi="宋体"/>
          <w:bCs/>
        </w:rPr>
      </w:pPr>
      <w:r>
        <w:rPr>
          <w:rFonts w:hint="eastAsia" w:hAnsi="宋体"/>
          <w:bCs/>
        </w:rPr>
        <w:t>3.缴纳代理服务费银行账户信息：</w:t>
      </w:r>
    </w:p>
    <w:p w14:paraId="60FE6537">
      <w:pPr>
        <w:pStyle w:val="21"/>
        <w:spacing w:line="400" w:lineRule="exact"/>
        <w:ind w:firstLine="420" w:firstLineChars="200"/>
        <w:rPr>
          <w:rFonts w:hAnsi="宋体"/>
          <w:bCs/>
        </w:rPr>
      </w:pPr>
      <w:r>
        <w:rPr>
          <w:rFonts w:hint="eastAsia" w:hAnsi="宋体"/>
          <w:bCs/>
        </w:rPr>
        <w:t>开户名称:钦州市政府采购中心</w:t>
      </w:r>
    </w:p>
    <w:p w14:paraId="03116F7D">
      <w:pPr>
        <w:pStyle w:val="21"/>
        <w:spacing w:line="400" w:lineRule="exact"/>
        <w:ind w:firstLine="420" w:firstLineChars="200"/>
        <w:rPr>
          <w:rFonts w:hAnsi="宋体"/>
          <w:bCs/>
        </w:rPr>
      </w:pPr>
      <w:r>
        <w:rPr>
          <w:rFonts w:hint="eastAsia" w:hAnsi="宋体"/>
          <w:bCs/>
        </w:rPr>
        <w:t>开户银行:兴业银行钦州支行</w:t>
      </w:r>
    </w:p>
    <w:p w14:paraId="584E5806">
      <w:pPr>
        <w:pStyle w:val="21"/>
        <w:spacing w:line="400" w:lineRule="exact"/>
        <w:ind w:firstLine="420" w:firstLineChars="200"/>
        <w:rPr>
          <w:rFonts w:hAnsi="宋体"/>
        </w:rPr>
      </w:pPr>
      <w:r>
        <w:rPr>
          <w:rFonts w:hint="eastAsia" w:hAnsi="宋体"/>
          <w:bCs/>
        </w:rPr>
        <w:t>银行账号:554010100100129709</w:t>
      </w:r>
    </w:p>
    <w:p w14:paraId="24BE9134">
      <w:pPr>
        <w:pStyle w:val="21"/>
        <w:spacing w:line="400" w:lineRule="exact"/>
        <w:ind w:firstLine="210" w:firstLineChars="100"/>
        <w:rPr>
          <w:rFonts w:hAnsi="宋体"/>
          <w:spacing w:val="-4"/>
        </w:rPr>
      </w:pPr>
      <w:r>
        <w:rPr>
          <w:rFonts w:hint="eastAsia" w:hAnsi="宋体"/>
          <w:bCs/>
        </w:rPr>
        <w:t>（二）解释权：</w:t>
      </w:r>
      <w:r>
        <w:rPr>
          <w:rFonts w:hint="eastAsia" w:hAnsi="宋体"/>
          <w:spacing w:val="-4"/>
        </w:rPr>
        <w:t>本采购文件解释权属本中心。</w:t>
      </w:r>
    </w:p>
    <w:p w14:paraId="64032F40">
      <w:pPr>
        <w:pStyle w:val="21"/>
        <w:spacing w:line="400" w:lineRule="exact"/>
        <w:ind w:firstLine="210" w:firstLineChars="100"/>
        <w:rPr>
          <w:rFonts w:hAnsi="宋体"/>
          <w:spacing w:val="-4"/>
        </w:rPr>
      </w:pPr>
      <w:r>
        <w:rPr>
          <w:rFonts w:hint="eastAsia" w:hAnsi="宋体"/>
          <w:bCs/>
        </w:rPr>
        <w:t>（三）有关事宜</w:t>
      </w:r>
    </w:p>
    <w:p w14:paraId="5C8FDCC9">
      <w:pPr>
        <w:spacing w:line="400" w:lineRule="exact"/>
        <w:ind w:firstLine="420" w:firstLineChars="200"/>
      </w:pPr>
      <w:r>
        <w:rPr>
          <w:rFonts w:hint="eastAsia"/>
        </w:rPr>
        <w:t>所有与采购文件有关的函件请按下列通讯地址联系：</w:t>
      </w:r>
    </w:p>
    <w:p w14:paraId="7C83AA89">
      <w:pPr>
        <w:widowControl/>
        <w:spacing w:line="400" w:lineRule="exact"/>
        <w:ind w:firstLine="420" w:firstLineChars="200"/>
        <w:jc w:val="left"/>
      </w:pPr>
      <w:r>
        <w:rPr>
          <w:rFonts w:hint="eastAsia"/>
        </w:rPr>
        <w:t>钦州市政府采购中心</w:t>
      </w:r>
    </w:p>
    <w:p w14:paraId="5F48821A">
      <w:pPr>
        <w:widowControl/>
        <w:spacing w:line="400" w:lineRule="exact"/>
        <w:ind w:firstLine="420" w:firstLineChars="200"/>
        <w:jc w:val="left"/>
      </w:pPr>
      <w:r>
        <w:rPr>
          <w:rFonts w:hint="eastAsia"/>
        </w:rPr>
        <w:t>通讯地址：钦州市金海湾东大街8号</w:t>
      </w:r>
    </w:p>
    <w:p w14:paraId="72EF931D">
      <w:pPr>
        <w:widowControl/>
        <w:spacing w:line="400" w:lineRule="exact"/>
        <w:ind w:firstLine="420" w:firstLineChars="200"/>
        <w:jc w:val="left"/>
      </w:pPr>
      <w:r>
        <w:rPr>
          <w:rFonts w:hint="eastAsia"/>
        </w:rPr>
        <w:t>邮政编码：535000</w:t>
      </w:r>
    </w:p>
    <w:p w14:paraId="0BC83145">
      <w:pPr>
        <w:widowControl/>
        <w:spacing w:line="400" w:lineRule="exact"/>
        <w:ind w:firstLine="420" w:firstLineChars="200"/>
        <w:jc w:val="left"/>
      </w:pPr>
      <w:r>
        <w:rPr>
          <w:rFonts w:hint="eastAsia"/>
        </w:rPr>
        <w:t>钦州市政府采购中心联系方式：</w:t>
      </w:r>
    </w:p>
    <w:p w14:paraId="1357D7A1">
      <w:pPr>
        <w:widowControl/>
        <w:spacing w:line="400" w:lineRule="exact"/>
        <w:ind w:firstLine="420" w:firstLineChars="200"/>
        <w:jc w:val="left"/>
      </w:pPr>
      <w:r>
        <w:rPr>
          <w:rFonts w:hint="eastAsia"/>
        </w:rPr>
        <w:t>(1)采购部(采购文件)</w:t>
      </w:r>
    </w:p>
    <w:p w14:paraId="4BF4C6EB">
      <w:pPr>
        <w:widowControl/>
        <w:spacing w:line="400" w:lineRule="exact"/>
        <w:ind w:firstLine="420" w:firstLineChars="200"/>
        <w:jc w:val="left"/>
      </w:pPr>
      <w:r>
        <w:rPr>
          <w:rFonts w:hint="eastAsia"/>
        </w:rPr>
        <w:t xml:space="preserve">联系人：苏晓婷 </w:t>
      </w:r>
      <w:r>
        <w:t xml:space="preserve"> </w:t>
      </w:r>
      <w:r>
        <w:rPr>
          <w:rFonts w:hint="eastAsia"/>
        </w:rPr>
        <w:t xml:space="preserve"> 联系方式：0777-2886022</w:t>
      </w:r>
    </w:p>
    <w:p w14:paraId="0139A9F2">
      <w:pPr>
        <w:widowControl/>
        <w:spacing w:line="400" w:lineRule="exact"/>
        <w:ind w:firstLine="420" w:firstLineChars="200"/>
        <w:jc w:val="left"/>
      </w:pPr>
      <w:r>
        <w:rPr>
          <w:rFonts w:hint="eastAsia"/>
        </w:rPr>
        <w:t>(2)综合二部(评审、谈判、成交及合同管理)</w:t>
      </w:r>
    </w:p>
    <w:p w14:paraId="7DADCC63">
      <w:pPr>
        <w:widowControl/>
        <w:spacing w:line="400" w:lineRule="exact"/>
        <w:ind w:firstLine="420" w:firstLineChars="200"/>
        <w:jc w:val="left"/>
      </w:pPr>
      <w:r>
        <w:rPr>
          <w:rFonts w:hint="eastAsia"/>
        </w:rPr>
        <w:t>联系人：陈侃</w:t>
      </w:r>
      <w:r>
        <w:rPr>
          <w:rFonts w:hint="eastAsia"/>
          <w:lang w:eastAsia="zh-CN"/>
        </w:rPr>
        <w:t>、</w:t>
      </w:r>
      <w:r>
        <w:rPr>
          <w:rFonts w:hint="eastAsia"/>
        </w:rPr>
        <w:t xml:space="preserve">陈启梅 </w:t>
      </w:r>
      <w:r>
        <w:t xml:space="preserve">  </w:t>
      </w:r>
      <w:r>
        <w:rPr>
          <w:rFonts w:hint="eastAsia"/>
        </w:rPr>
        <w:t>联系方式：0777-2886006</w:t>
      </w:r>
    </w:p>
    <w:p w14:paraId="5739CAF0">
      <w:pPr>
        <w:widowControl/>
        <w:spacing w:line="400" w:lineRule="exact"/>
        <w:ind w:firstLine="420" w:firstLineChars="200"/>
        <w:jc w:val="left"/>
      </w:pPr>
      <w:r>
        <w:t>(</w:t>
      </w:r>
      <w:r>
        <w:rPr>
          <w:rFonts w:hint="eastAsia"/>
          <w:lang w:val="en-US" w:eastAsia="zh-CN"/>
        </w:rPr>
        <w:t>3</w:t>
      </w:r>
      <w:r>
        <w:t>)</w:t>
      </w:r>
      <w:r>
        <w:rPr>
          <w:rFonts w:hint="eastAsia"/>
        </w:rPr>
        <w:t>广西政采云技术支持热线：</w:t>
      </w:r>
      <w:r>
        <w:rPr>
          <w:rFonts w:hAnsi="宋体"/>
        </w:rPr>
        <w:t>95763</w:t>
      </w:r>
    </w:p>
    <w:p w14:paraId="36870723">
      <w:pPr>
        <w:widowControl/>
        <w:spacing w:line="400" w:lineRule="exact"/>
        <w:jc w:val="left"/>
      </w:pPr>
    </w:p>
    <w:p w14:paraId="10385F7C"/>
    <w:p w14:paraId="0F4F6D75"/>
    <w:p w14:paraId="7773E48A"/>
    <w:p w14:paraId="1D87E994"/>
    <w:p w14:paraId="2E538CFB"/>
    <w:p w14:paraId="6AF50C02"/>
    <w:p w14:paraId="7435773D"/>
    <w:p w14:paraId="2DBED3FE"/>
    <w:p w14:paraId="751F7C84"/>
    <w:p w14:paraId="52AD662D"/>
    <w:p w14:paraId="71C13F2D"/>
    <w:p w14:paraId="67944687"/>
    <w:p w14:paraId="1782CFFA">
      <w:pPr>
        <w:pStyle w:val="5"/>
      </w:pPr>
    </w:p>
    <w:p w14:paraId="079C76BA"/>
    <w:p w14:paraId="7EA6B396">
      <w:pPr>
        <w:pStyle w:val="17"/>
      </w:pPr>
    </w:p>
    <w:p w14:paraId="0CAE9F4A">
      <w:pPr>
        <w:pStyle w:val="17"/>
      </w:pPr>
    </w:p>
    <w:p w14:paraId="7EAAC254">
      <w:pPr>
        <w:pStyle w:val="17"/>
      </w:pPr>
    </w:p>
    <w:p w14:paraId="4B3D5EAE">
      <w:pPr>
        <w:pStyle w:val="17"/>
      </w:pPr>
    </w:p>
    <w:p w14:paraId="62206D5E">
      <w:pPr>
        <w:pStyle w:val="17"/>
      </w:pPr>
    </w:p>
    <w:p w14:paraId="129DA424">
      <w:pPr>
        <w:pStyle w:val="17"/>
      </w:pPr>
    </w:p>
    <w:p w14:paraId="22E15189">
      <w:pPr>
        <w:pStyle w:val="17"/>
      </w:pPr>
    </w:p>
    <w:p w14:paraId="250AA40D">
      <w:pPr>
        <w:pStyle w:val="17"/>
      </w:pPr>
    </w:p>
    <w:p w14:paraId="1EE33BA1">
      <w:pPr>
        <w:pStyle w:val="17"/>
      </w:pPr>
    </w:p>
    <w:p w14:paraId="3C7C3C32">
      <w:pPr>
        <w:pStyle w:val="17"/>
      </w:pPr>
    </w:p>
    <w:p w14:paraId="308873D7">
      <w:pPr>
        <w:pStyle w:val="17"/>
      </w:pPr>
    </w:p>
    <w:p w14:paraId="02178BDB">
      <w:pPr>
        <w:pStyle w:val="17"/>
      </w:pPr>
    </w:p>
    <w:p w14:paraId="49DCC338">
      <w:pPr>
        <w:pStyle w:val="17"/>
      </w:pPr>
    </w:p>
    <w:p w14:paraId="5C1EFD14"/>
    <w:p w14:paraId="5873ED28">
      <w:pPr>
        <w:pStyle w:val="5"/>
      </w:pPr>
    </w:p>
    <w:p w14:paraId="303A154B"/>
    <w:p w14:paraId="7558B751"/>
    <w:p w14:paraId="342F6B6D">
      <w:pPr>
        <w:pStyle w:val="2"/>
        <w:spacing w:line="400" w:lineRule="exact"/>
        <w:rPr>
          <w:rFonts w:ascii="方正小标宋_GBK" w:hAnsi="宋体" w:eastAsia="方正小标宋_GBK"/>
        </w:rPr>
      </w:pPr>
      <w:bookmarkStart w:id="109" w:name="_第四章__评定标准及推荐原则"/>
      <w:bookmarkEnd w:id="109"/>
      <w:bookmarkStart w:id="110" w:name="_Toc92355026"/>
      <w:r>
        <w:rPr>
          <w:rFonts w:hint="eastAsia" w:ascii="方正小标宋_GBK" w:hAnsi="宋体" w:eastAsia="方正小标宋_GBK"/>
        </w:rPr>
        <w:t>第四章  评定标准及推荐原则</w:t>
      </w:r>
      <w:bookmarkEnd w:id="110"/>
    </w:p>
    <w:p w14:paraId="2B1D5227">
      <w:pPr>
        <w:pStyle w:val="21"/>
        <w:spacing w:line="280" w:lineRule="exact"/>
        <w:jc w:val="center"/>
      </w:pPr>
      <w:r>
        <w:rPr>
          <w:rFonts w:hAnsi="宋体"/>
          <w:b/>
          <w:bCs/>
        </w:rPr>
        <w:br w:type="page"/>
      </w:r>
    </w:p>
    <w:p w14:paraId="06D1486B">
      <w:pPr>
        <w:pStyle w:val="21"/>
        <w:spacing w:line="500" w:lineRule="exact"/>
        <w:jc w:val="center"/>
        <w:rPr>
          <w:rFonts w:hAnsi="宋体"/>
          <w:b/>
          <w:bCs/>
          <w:sz w:val="44"/>
          <w:szCs w:val="44"/>
        </w:rPr>
      </w:pPr>
      <w:bookmarkStart w:id="111" w:name="_Hlk92463826"/>
      <w:r>
        <w:rPr>
          <w:rFonts w:hint="eastAsia" w:hAnsi="宋体"/>
          <w:b/>
          <w:bCs/>
          <w:sz w:val="44"/>
          <w:szCs w:val="44"/>
        </w:rPr>
        <w:t>评定标准及推荐原则</w:t>
      </w:r>
    </w:p>
    <w:bookmarkEnd w:id="111"/>
    <w:p w14:paraId="5D37F9FD"/>
    <w:p w14:paraId="7CAF4084">
      <w:pPr>
        <w:pStyle w:val="21"/>
        <w:keepNext w:val="0"/>
        <w:keepLines w:val="0"/>
        <w:pageBreakBefore w:val="0"/>
        <w:widowControl w:val="0"/>
        <w:kinsoku/>
        <w:wordWrap/>
        <w:overflowPunct/>
        <w:topLinePunct w:val="0"/>
        <w:autoSpaceDE/>
        <w:autoSpaceDN/>
        <w:bidi w:val="0"/>
        <w:adjustRightInd/>
        <w:snapToGrid/>
        <w:spacing w:line="520" w:lineRule="exact"/>
        <w:textAlignment w:val="auto"/>
        <w:rPr>
          <w:rFonts w:hAnsi="宋体"/>
          <w:b/>
          <w:bCs/>
        </w:rPr>
      </w:pPr>
      <w:r>
        <w:rPr>
          <w:rFonts w:hint="eastAsia" w:hAnsi="宋体"/>
          <w:b/>
          <w:bCs/>
        </w:rPr>
        <w:t>一、评审原则</w:t>
      </w:r>
    </w:p>
    <w:p w14:paraId="243B993F">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Ansi="宋体"/>
          <w:bCs/>
        </w:rPr>
      </w:pPr>
      <w:r>
        <w:rPr>
          <w:rFonts w:hint="eastAsia" w:hAnsi="宋体"/>
          <w:bCs/>
        </w:rPr>
        <w:t>(一)谈判小组组成：</w:t>
      </w:r>
      <w:bookmarkStart w:id="112" w:name="_Hlk89353643"/>
      <w:r>
        <w:rPr>
          <w:rFonts w:hint="eastAsia" w:hAnsi="宋体"/>
          <w:bCs/>
        </w:rPr>
        <w:t>谈判小组由采购人代表和评审专家共3人以上单数组成，其中评审专家人数不得少于谈判小组成员总数的2/3。</w:t>
      </w:r>
      <w:bookmarkEnd w:id="112"/>
    </w:p>
    <w:p w14:paraId="67873E22">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Ansi="宋体"/>
          <w:b/>
          <w:bCs/>
        </w:rPr>
      </w:pPr>
      <w:r>
        <w:rPr>
          <w:rFonts w:hint="eastAsia" w:hAnsi="宋体"/>
          <w:bCs/>
        </w:rPr>
        <w:t>(二)评审依据：以竞争性谈判采购文件和响应文件为评定依据。</w:t>
      </w:r>
    </w:p>
    <w:p w14:paraId="77FAE3D3">
      <w:pPr>
        <w:pStyle w:val="21"/>
        <w:keepNext w:val="0"/>
        <w:keepLines w:val="0"/>
        <w:pageBreakBefore w:val="0"/>
        <w:widowControl w:val="0"/>
        <w:kinsoku/>
        <w:wordWrap/>
        <w:overflowPunct/>
        <w:topLinePunct w:val="0"/>
        <w:autoSpaceDE/>
        <w:autoSpaceDN/>
        <w:bidi w:val="0"/>
        <w:adjustRightInd/>
        <w:snapToGrid/>
        <w:spacing w:line="520" w:lineRule="exact"/>
        <w:textAlignment w:val="auto"/>
        <w:rPr>
          <w:rFonts w:hAnsi="宋体"/>
          <w:b/>
          <w:bCs/>
        </w:rPr>
      </w:pPr>
      <w:r>
        <w:rPr>
          <w:rFonts w:hint="eastAsia" w:hAnsi="宋体"/>
          <w:b/>
          <w:bCs/>
        </w:rPr>
        <w:t>二、评定标准</w:t>
      </w:r>
    </w:p>
    <w:p w14:paraId="36EAE40F">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（一）成交候选人的推荐原则：</w:t>
      </w:r>
    </w:p>
    <w:p w14:paraId="6BA29C51">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谈判小组从质量和服务均能满足采购文件实质性响应要求的供应商中，按照最后报价由低到高的顺序提出3名以上成交候选人（最后报价相同的，由谈判小组集体讨论确定排序）。</w:t>
      </w:r>
    </w:p>
    <w:p w14:paraId="7B9E2D7A">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（二）落实政府采购政策：</w:t>
      </w:r>
    </w:p>
    <w:p w14:paraId="6C89DB2F">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1.供应商提供的全部货物或服务符合《政府采购促进中小企业发展管理办法》（财库﹝2020﹞46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14:paraId="70FC33DD">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t>2.</w:t>
      </w:r>
      <w:r>
        <w:rPr>
          <w:rFonts w:hint="eastAsia"/>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78F69E1C">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t>3</w:t>
      </w:r>
      <w:r>
        <w:rPr>
          <w:rFonts w:hint="eastAsia"/>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14:paraId="5445AB83">
      <w:pPr>
        <w:pStyle w:val="21"/>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pPr>
      <w:r>
        <w:t>4</w:t>
      </w:r>
      <w:r>
        <w:rPr>
          <w:rFonts w:hint="eastAsia"/>
        </w:rPr>
        <w:t>.采购人采购的产品属于节能产品政府采购品目清单内非标注“</w:t>
      </w:r>
      <w:r>
        <w:rPr>
          <w:rFonts w:hint="eastAsia" w:hAnsi="宋体" w:cs="宋体"/>
          <w:bCs/>
        </w:rPr>
        <w:t>★</w:t>
      </w:r>
      <w:r>
        <w:rPr>
          <w:rFonts w:hint="eastAsia"/>
        </w:rPr>
        <w:t>”的产品时，在性能、技术、服务等指标同等条件下，应当依据国家确定的认证机构出具的、处于有效期之内的节能产品、环境标志产品认证证书，对获得证书的产品实施政府优先采购。</w:t>
      </w:r>
    </w:p>
    <w:p w14:paraId="7E76086E">
      <w:pPr>
        <w:widowControl/>
        <w:spacing w:line="540" w:lineRule="exact"/>
        <w:ind w:firstLine="420" w:firstLineChars="200"/>
        <w:jc w:val="left"/>
      </w:pPr>
      <w:r>
        <w:br w:type="page"/>
      </w:r>
    </w:p>
    <w:p w14:paraId="78D93A56"/>
    <w:p w14:paraId="630B81A4"/>
    <w:p w14:paraId="490BF0B6"/>
    <w:p w14:paraId="41C112C5"/>
    <w:p w14:paraId="03B35562"/>
    <w:p w14:paraId="3D2DAAAD"/>
    <w:p w14:paraId="522C5581"/>
    <w:p w14:paraId="178DB745"/>
    <w:p w14:paraId="2893E678"/>
    <w:p w14:paraId="3A9A1869"/>
    <w:p w14:paraId="5456FBEC"/>
    <w:p w14:paraId="7FD5F17C"/>
    <w:p w14:paraId="6ACE6639">
      <w:pPr>
        <w:pStyle w:val="2"/>
        <w:spacing w:line="400" w:lineRule="exact"/>
        <w:rPr>
          <w:rFonts w:ascii="方正小标宋_GBK" w:eastAsia="方正小标宋_GBK"/>
        </w:rPr>
      </w:pPr>
      <w:bookmarkStart w:id="113" w:name="_Toc92355027"/>
      <w:r>
        <w:rPr>
          <w:rFonts w:hint="eastAsia" w:ascii="方正小标宋_GBK" w:eastAsia="方正小标宋_GBK"/>
        </w:rPr>
        <w:t>第五章  合同文本</w:t>
      </w:r>
      <w:bookmarkEnd w:id="113"/>
    </w:p>
    <w:p w14:paraId="2F36A50A">
      <w:pPr>
        <w:pStyle w:val="21"/>
        <w:jc w:val="center"/>
        <w:rPr>
          <w:rFonts w:ascii="Times New Roman" w:hAnsi="宋体"/>
          <w:b/>
          <w:bCs/>
          <w:sz w:val="28"/>
          <w:szCs w:val="28"/>
        </w:rPr>
      </w:pPr>
      <w:r>
        <w:rPr>
          <w:rFonts w:hint="eastAsia" w:ascii="Times New Roman" w:hAnsi="宋体"/>
          <w:b/>
          <w:bCs/>
          <w:sz w:val="28"/>
          <w:szCs w:val="28"/>
        </w:rPr>
        <w:t>（参考格式）</w:t>
      </w:r>
    </w:p>
    <w:p w14:paraId="756F8520">
      <w:pPr>
        <w:pStyle w:val="21"/>
        <w:spacing w:line="500" w:lineRule="exact"/>
        <w:rPr>
          <w:rFonts w:hAnsi="宋体" w:cs="宋体"/>
          <w:b/>
          <w:bCs/>
          <w:spacing w:val="-20"/>
          <w:kern w:val="44"/>
          <w:sz w:val="48"/>
          <w:szCs w:val="48"/>
        </w:rPr>
      </w:pPr>
      <w:r>
        <w:br w:type="page"/>
      </w:r>
      <w:bookmarkStart w:id="114" w:name="_Toc3995"/>
    </w:p>
    <w:p w14:paraId="538D2F9A">
      <w:pPr>
        <w:pStyle w:val="17"/>
        <w:jc w:val="center"/>
        <w:rPr>
          <w:rFonts w:ascii="宋体" w:hAnsi="宋体" w:cs="宋体"/>
          <w:b/>
          <w:bCs/>
          <w:spacing w:val="-20"/>
          <w:kern w:val="44"/>
          <w:sz w:val="48"/>
          <w:szCs w:val="48"/>
        </w:rPr>
      </w:pPr>
    </w:p>
    <w:p w14:paraId="54AEB73C">
      <w:pPr>
        <w:pStyle w:val="17"/>
        <w:jc w:val="center"/>
        <w:rPr>
          <w:rFonts w:ascii="宋体" w:hAnsi="宋体" w:cs="宋体"/>
          <w:b/>
          <w:bCs/>
          <w:spacing w:val="-20"/>
          <w:kern w:val="44"/>
          <w:sz w:val="48"/>
          <w:szCs w:val="48"/>
        </w:rPr>
      </w:pPr>
    </w:p>
    <w:p w14:paraId="4EC7B36C">
      <w:pPr>
        <w:pStyle w:val="17"/>
        <w:jc w:val="center"/>
        <w:rPr>
          <w:rFonts w:ascii="宋体" w:hAnsi="宋体" w:cs="宋体"/>
          <w:b/>
          <w:bCs/>
          <w:spacing w:val="-20"/>
          <w:kern w:val="44"/>
          <w:sz w:val="48"/>
          <w:szCs w:val="48"/>
        </w:rPr>
      </w:pPr>
    </w:p>
    <w:p w14:paraId="19B7541E">
      <w:pPr>
        <w:pStyle w:val="17"/>
        <w:spacing w:line="500" w:lineRule="exact"/>
        <w:jc w:val="center"/>
        <w:rPr>
          <w:rFonts w:ascii="宋体" w:hAnsi="宋体" w:cs="宋体"/>
          <w:b/>
          <w:bCs/>
          <w:spacing w:val="-20"/>
          <w:kern w:val="44"/>
          <w:sz w:val="48"/>
          <w:szCs w:val="48"/>
        </w:rPr>
      </w:pPr>
    </w:p>
    <w:p w14:paraId="2B170F0F">
      <w:pPr>
        <w:pStyle w:val="17"/>
        <w:spacing w:line="500" w:lineRule="exact"/>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1275D013">
      <w:pPr>
        <w:pStyle w:val="17"/>
        <w:spacing w:line="500" w:lineRule="exact"/>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490F24FE">
      <w:pPr>
        <w:rPr>
          <w:rFonts w:ascii="宋体" w:hAnsi="宋体" w:cs="宋体"/>
          <w:b/>
          <w:bCs/>
          <w:spacing w:val="-20"/>
          <w:kern w:val="44"/>
          <w:sz w:val="40"/>
          <w:szCs w:val="40"/>
        </w:rPr>
      </w:pPr>
    </w:p>
    <w:p w14:paraId="63D7B699">
      <w:pPr>
        <w:rPr>
          <w:rFonts w:ascii="宋体" w:hAnsi="宋体" w:cs="宋体"/>
          <w:b/>
          <w:bCs/>
          <w:spacing w:val="-20"/>
          <w:kern w:val="44"/>
          <w:sz w:val="40"/>
          <w:szCs w:val="40"/>
        </w:rPr>
      </w:pPr>
    </w:p>
    <w:p w14:paraId="63507B58">
      <w:pPr>
        <w:rPr>
          <w:rFonts w:ascii="宋体" w:hAnsi="宋体" w:cs="宋体"/>
          <w:b/>
          <w:bCs/>
          <w:spacing w:val="-20"/>
          <w:kern w:val="44"/>
          <w:sz w:val="40"/>
          <w:szCs w:val="40"/>
        </w:rPr>
      </w:pPr>
    </w:p>
    <w:p w14:paraId="5E87862D">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04E3A40">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C6B0D86">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606BD842">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2BF54E8">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3EAB42D"/>
    <w:p w14:paraId="41218F31">
      <w:pPr>
        <w:rPr>
          <w:rFonts w:eastAsia="黑体"/>
          <w:sz w:val="44"/>
          <w:szCs w:val="44"/>
        </w:rPr>
      </w:pPr>
      <w:r>
        <w:rPr>
          <w:rFonts w:eastAsia="黑体"/>
          <w:sz w:val="44"/>
          <w:szCs w:val="44"/>
        </w:rPr>
        <w:br w:type="page"/>
      </w:r>
    </w:p>
    <w:p w14:paraId="12070638">
      <w:pPr>
        <w:rPr>
          <w:rFonts w:eastAsia="黑体"/>
          <w:sz w:val="44"/>
          <w:szCs w:val="44"/>
        </w:rPr>
      </w:pPr>
    </w:p>
    <w:p w14:paraId="7C62E564">
      <w:pPr>
        <w:rPr>
          <w:rFonts w:eastAsia="黑体"/>
          <w:sz w:val="44"/>
          <w:szCs w:val="44"/>
        </w:rPr>
      </w:pPr>
    </w:p>
    <w:p w14:paraId="55AA549E">
      <w:pPr>
        <w:jc w:val="center"/>
        <w:rPr>
          <w:rFonts w:eastAsia="黑体"/>
          <w:sz w:val="44"/>
          <w:szCs w:val="44"/>
        </w:rPr>
      </w:pPr>
      <w:r>
        <w:rPr>
          <w:rFonts w:hint="eastAsia" w:eastAsia="黑体"/>
          <w:sz w:val="44"/>
          <w:szCs w:val="44"/>
        </w:rPr>
        <w:t>使 用 说 明</w:t>
      </w:r>
    </w:p>
    <w:p w14:paraId="1BBB59FA">
      <w:pPr>
        <w:ind w:firstLine="640" w:firstLineChars="200"/>
        <w:rPr>
          <w:rFonts w:ascii="仿宋_GB2312" w:hAnsi="仿宋_GB2312" w:eastAsia="仿宋_GB2312" w:cs="仿宋_GB2312"/>
          <w:sz w:val="32"/>
          <w:szCs w:val="32"/>
        </w:rPr>
      </w:pPr>
    </w:p>
    <w:p w14:paraId="02A6900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09CCAF5B">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3B00B28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270A25AE">
      <w:pPr>
        <w:ind w:firstLine="880" w:firstLineChars="200"/>
        <w:rPr>
          <w:rFonts w:eastAsia="黑体"/>
          <w:sz w:val="44"/>
          <w:szCs w:val="44"/>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114"/>
    <w:p w14:paraId="32501A5C">
      <w:pPr>
        <w:pStyle w:val="3"/>
        <w:adjustRightInd w:val="0"/>
        <w:snapToGrid w:val="0"/>
        <w:jc w:val="center"/>
        <w:rPr>
          <w:rFonts w:ascii="黑体" w:hAnsi="黑体"/>
          <w:sz w:val="28"/>
          <w:szCs w:val="28"/>
        </w:rPr>
      </w:pPr>
      <w:bookmarkStart w:id="115" w:name="_Toc22209"/>
    </w:p>
    <w:p w14:paraId="6C80202B">
      <w:pPr>
        <w:pStyle w:val="3"/>
        <w:adjustRightInd w:val="0"/>
        <w:snapToGrid w:val="0"/>
        <w:jc w:val="center"/>
        <w:rPr>
          <w:rFonts w:ascii="黑体" w:hAnsi="华文中宋"/>
          <w:b w:val="0"/>
          <w:bCs w:val="0"/>
          <w:sz w:val="28"/>
          <w:szCs w:val="28"/>
        </w:rPr>
      </w:pPr>
      <w:r>
        <w:rPr>
          <w:rFonts w:hint="eastAsia" w:ascii="黑体" w:hAnsi="黑体"/>
          <w:b w:val="0"/>
          <w:bCs w:val="0"/>
          <w:sz w:val="28"/>
          <w:szCs w:val="28"/>
        </w:rPr>
        <w:t xml:space="preserve">第一节 </w:t>
      </w:r>
      <w:r>
        <w:rPr>
          <w:rFonts w:hint="eastAsia" w:ascii="黑体" w:hAnsi="华文中宋"/>
          <w:b w:val="0"/>
          <w:bCs w:val="0"/>
          <w:sz w:val="28"/>
          <w:szCs w:val="28"/>
        </w:rPr>
        <w:t>政府采购合同协议书</w:t>
      </w:r>
      <w:bookmarkEnd w:id="115"/>
    </w:p>
    <w:p w14:paraId="552216F3">
      <w:pPr>
        <w:pStyle w:val="3"/>
        <w:adjustRightInd w:val="0"/>
        <w:snapToGrid w:val="0"/>
        <w:jc w:val="center"/>
        <w:rPr>
          <w:rFonts w:ascii="黑体" w:hAnsi="华文中宋"/>
          <w:b w:val="0"/>
          <w:bCs w:val="0"/>
          <w:sz w:val="28"/>
          <w:szCs w:val="28"/>
        </w:rPr>
      </w:pPr>
    </w:p>
    <w:p w14:paraId="563D22E4">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40D56CCD">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3902587F">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06158FD7">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736AEDC">
      <w:pPr>
        <w:spacing w:line="400" w:lineRule="exact"/>
        <w:rPr>
          <w:rFonts w:ascii="宋体" w:hAnsi="宋体" w:cs="宋体"/>
          <w:szCs w:val="21"/>
        </w:rPr>
      </w:pPr>
    </w:p>
    <w:p w14:paraId="0923FE1F">
      <w:pPr>
        <w:pStyle w:val="18"/>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E8E3B81">
      <w:pPr>
        <w:numPr>
          <w:ilvl w:val="0"/>
          <w:numId w:val="73"/>
        </w:numPr>
        <w:adjustRightInd w:val="0"/>
        <w:snapToGrid w:val="0"/>
        <w:spacing w:line="400" w:lineRule="exact"/>
        <w:ind w:firstLine="422" w:firstLineChars="200"/>
        <w:rPr>
          <w:rFonts w:ascii="宋体" w:hAnsi="宋体" w:cs="宋体"/>
          <w:b/>
          <w:szCs w:val="21"/>
        </w:rPr>
      </w:pPr>
      <w:r>
        <w:rPr>
          <w:rFonts w:hint="eastAsia" w:ascii="宋体" w:hAnsi="宋体" w:cs="宋体"/>
          <w:b/>
          <w:szCs w:val="21"/>
        </w:rPr>
        <w:t>项目信息</w:t>
      </w:r>
    </w:p>
    <w:p w14:paraId="39EA27EF">
      <w:pPr>
        <w:pStyle w:val="18"/>
        <w:numPr>
          <w:ilvl w:val="0"/>
          <w:numId w:val="74"/>
        </w:numPr>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14:paraId="14C0E656">
      <w:pPr>
        <w:pStyle w:val="18"/>
        <w:numPr>
          <w:ilvl w:val="255"/>
          <w:numId w:val="0"/>
        </w:numPr>
        <w:tabs>
          <w:tab w:val="left" w:pos="999"/>
        </w:tabs>
        <w:adjustRightInd w:val="0"/>
        <w:snapToGrid w:val="0"/>
        <w:spacing w:line="400" w:lineRule="exact"/>
        <w:rPr>
          <w:rFonts w:ascii="宋体" w:hAnsi="宋体" w:eastAsia="宋体" w:cs="宋体"/>
          <w:sz w:val="21"/>
          <w:szCs w:val="21"/>
        </w:rPr>
      </w:pPr>
      <w:r>
        <w:rPr>
          <w:rFonts w:hint="eastAsia" w:ascii="宋体" w:hAnsi="宋体" w:eastAsia="宋体" w:cs="宋体"/>
          <w:sz w:val="21"/>
          <w:szCs w:val="21"/>
        </w:rPr>
        <w:t xml:space="preserve">         采购项目编号：</w:t>
      </w:r>
      <w:r>
        <w:rPr>
          <w:rFonts w:hint="eastAsia" w:ascii="宋体" w:hAnsi="宋体" w:eastAsia="宋体" w:cs="宋体"/>
          <w:sz w:val="21"/>
          <w:szCs w:val="21"/>
          <w:u w:val="single"/>
        </w:rPr>
        <w:t xml:space="preserve">                                          </w:t>
      </w:r>
    </w:p>
    <w:p w14:paraId="6FB0D0C1">
      <w:pPr>
        <w:pStyle w:val="18"/>
        <w:adjustRightInd w:val="0"/>
        <w:snapToGrid w:val="0"/>
        <w:spacing w:line="400" w:lineRule="exact"/>
        <w:ind w:firstLine="420" w:firstLineChars="200"/>
        <w:rPr>
          <w:rFonts w:ascii="宋体" w:hAnsi="宋体"/>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p>
    <w:p w14:paraId="30BB8FEE">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1433C888">
      <w:pPr>
        <w:adjustRightInd w:val="0"/>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56883A44">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7D67A6A5">
      <w:pPr>
        <w:adjustRightInd w:val="0"/>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39092CEB">
      <w:pPr>
        <w:numPr>
          <w:ilvl w:val="255"/>
          <w:numId w:val="0"/>
        </w:numPr>
        <w:adjustRightInd w:val="0"/>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1B6C0370">
      <w:pPr>
        <w:numPr>
          <w:ilvl w:val="255"/>
          <w:numId w:val="0"/>
        </w:numPr>
        <w:adjustRightInd w:val="0"/>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0C358C38">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34B44DA4">
      <w:pPr>
        <w:pStyle w:val="144"/>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3EDAD8EF">
      <w:pPr>
        <w:pStyle w:val="144"/>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0578C5E7">
      <w:pPr>
        <w:pStyle w:val="144"/>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4257AABA">
      <w:pPr>
        <w:pStyle w:val="144"/>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7A925C8F">
      <w:pPr>
        <w:pStyle w:val="1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6B2A9263">
      <w:pPr>
        <w:pStyle w:val="1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1255350A">
      <w:pPr>
        <w:pStyle w:val="144"/>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4C8AE935">
      <w:pPr>
        <w:pStyle w:val="144"/>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0457EEF6">
      <w:pPr>
        <w:pStyle w:val="144"/>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6889F643">
      <w:pPr>
        <w:pStyle w:val="144"/>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77190105">
      <w:pPr>
        <w:pStyle w:val="144"/>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54BEBABE">
      <w:pPr>
        <w:numPr>
          <w:ilvl w:val="255"/>
          <w:numId w:val="0"/>
        </w:num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F7E2A17">
      <w:pPr>
        <w:numPr>
          <w:ilvl w:val="255"/>
          <w:numId w:val="0"/>
        </w:num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7EB295D">
      <w:pPr>
        <w:numPr>
          <w:ilvl w:val="255"/>
          <w:numId w:val="0"/>
        </w:num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C1B8D1F">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42886AE">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B3BF0E8">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45E6EE03">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3597EBE5">
      <w:pPr>
        <w:adjustRightInd w:val="0"/>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366172FE">
      <w:pPr>
        <w:adjustRightInd w:val="0"/>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0D7F3743">
      <w:pPr>
        <w:adjustRightInd w:val="0"/>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6F1CBCB9">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3B2C5192">
      <w:pPr>
        <w:numPr>
          <w:ilvl w:val="255"/>
          <w:numId w:val="0"/>
        </w:num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CB16377">
      <w:pPr>
        <w:pStyle w:val="144"/>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7D0FACE3">
      <w:pPr>
        <w:numPr>
          <w:ilvl w:val="255"/>
          <w:numId w:val="0"/>
        </w:numPr>
        <w:adjustRightInd w:val="0"/>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5E676EA3">
      <w:pPr>
        <w:numPr>
          <w:ilvl w:val="255"/>
          <w:numId w:val="0"/>
        </w:numPr>
        <w:adjustRightInd w:val="0"/>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073EB225">
      <w:pPr>
        <w:numPr>
          <w:ilvl w:val="255"/>
          <w:numId w:val="0"/>
        </w:numPr>
        <w:adjustRightInd w:val="0"/>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3BCFD754">
      <w:pPr>
        <w:adjustRightInd w:val="0"/>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34CB63F2">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0049D74F">
      <w:pPr>
        <w:numPr>
          <w:ilvl w:val="255"/>
          <w:numId w:val="0"/>
        </w:num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181F17F2">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5ADC6DB0">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3375514B">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77526D12">
      <w:pPr>
        <w:numPr>
          <w:ilvl w:val="255"/>
          <w:numId w:val="0"/>
        </w:num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5465507C">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57875B9A">
      <w:pPr>
        <w:numPr>
          <w:ilvl w:val="255"/>
          <w:numId w:val="0"/>
        </w:num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1FBD31D1">
      <w:pPr>
        <w:pStyle w:val="144"/>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4F8ED027">
      <w:pPr>
        <w:pStyle w:val="144"/>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3957190A">
      <w:pPr>
        <w:numPr>
          <w:ilvl w:val="255"/>
          <w:numId w:val="0"/>
        </w:num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0FF17389">
      <w:pPr>
        <w:pStyle w:val="144"/>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663625F9">
      <w:pPr>
        <w:numPr>
          <w:ilvl w:val="255"/>
          <w:numId w:val="0"/>
        </w:num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3A050E41">
      <w:pPr>
        <w:numPr>
          <w:ilvl w:val="255"/>
          <w:numId w:val="0"/>
        </w:numPr>
        <w:adjustRightInd w:val="0"/>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7D30ABC6">
      <w:pPr>
        <w:numPr>
          <w:ilvl w:val="0"/>
          <w:numId w:val="73"/>
        </w:numPr>
        <w:adjustRightInd w:val="0"/>
        <w:snapToGrid w:val="0"/>
        <w:spacing w:line="400" w:lineRule="exact"/>
        <w:ind w:firstLine="422" w:firstLineChars="200"/>
        <w:rPr>
          <w:rFonts w:ascii="宋体" w:hAnsi="宋体"/>
          <w:b/>
          <w:szCs w:val="21"/>
        </w:rPr>
      </w:pPr>
      <w:r>
        <w:rPr>
          <w:rFonts w:hint="eastAsia" w:ascii="宋体" w:hAnsi="宋体"/>
          <w:b/>
          <w:szCs w:val="21"/>
        </w:rPr>
        <w:t>合同金额</w:t>
      </w:r>
    </w:p>
    <w:p w14:paraId="0E91B5BD">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7423AC5B">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5715F0D5">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7A605E7E">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1A26F359">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332693B9">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1CAAD30D">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6EF38913">
      <w:pPr>
        <w:pStyle w:val="94"/>
        <w:spacing w:line="400" w:lineRule="exact"/>
      </w:pPr>
      <w:r>
        <w:rPr>
          <w:rFonts w:hint="eastAsia" w:ascii="宋体" w:hAnsi="宋体"/>
        </w:rPr>
        <w:t>（3）付款方式（按项目实际勾选填写）：</w:t>
      </w:r>
    </w:p>
    <w:p w14:paraId="37BDBB43">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36C76357">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1CE3D8AD">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1F712629">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EE6F0D6">
      <w:pPr>
        <w:numPr>
          <w:ilvl w:val="0"/>
          <w:numId w:val="73"/>
        </w:numPr>
        <w:adjustRightInd w:val="0"/>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58DA7D1F">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4B714D3">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55BC8557">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5B544434">
      <w:pPr>
        <w:pStyle w:val="144"/>
        <w:ind w:firstLine="462"/>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351F1858">
      <w:pPr>
        <w:pStyle w:val="144"/>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7F1647FF">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00690A30">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38B20700">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6E5ED52D">
      <w:pPr>
        <w:numPr>
          <w:ilvl w:val="0"/>
          <w:numId w:val="73"/>
        </w:numPr>
        <w:adjustRightInd w:val="0"/>
        <w:snapToGrid w:val="0"/>
        <w:spacing w:line="400" w:lineRule="exact"/>
        <w:ind w:firstLine="422" w:firstLineChars="200"/>
        <w:rPr>
          <w:rFonts w:ascii="宋体" w:hAnsi="宋体"/>
          <w:b/>
          <w:szCs w:val="21"/>
        </w:rPr>
      </w:pPr>
      <w:r>
        <w:rPr>
          <w:rFonts w:hint="eastAsia" w:ascii="宋体" w:hAnsi="宋体"/>
          <w:b/>
          <w:szCs w:val="21"/>
        </w:rPr>
        <w:t>合同验收</w:t>
      </w:r>
    </w:p>
    <w:p w14:paraId="0C992D92">
      <w:pPr>
        <w:numPr>
          <w:ilvl w:val="0"/>
          <w:numId w:val="75"/>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36252AC8">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1412F3AE">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46DF5AA">
      <w:pPr>
        <w:adjustRightInd w:val="0"/>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1B55976">
      <w:pPr>
        <w:adjustRightInd w:val="0"/>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F14F2D2">
      <w:pPr>
        <w:adjustRightInd w:val="0"/>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910DEC2">
      <w:pPr>
        <w:adjustRightInd w:val="0"/>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21CDED79">
      <w:pPr>
        <w:adjustRightInd w:val="0"/>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01E07F2B">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1BC83201">
      <w:pPr>
        <w:adjustRightInd w:val="0"/>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77A08FA">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2E6CD516">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0EA41CB0">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4BE58356">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4282A298">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2BC818D0">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24A13F4">
      <w:pPr>
        <w:pStyle w:val="144"/>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2CB55D5A">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73F4ACDC">
      <w:pPr>
        <w:numPr>
          <w:ilvl w:val="0"/>
          <w:numId w:val="73"/>
        </w:numPr>
        <w:adjustRightInd w:val="0"/>
        <w:snapToGrid w:val="0"/>
        <w:spacing w:line="400" w:lineRule="exact"/>
        <w:ind w:firstLine="422" w:firstLineChars="200"/>
        <w:rPr>
          <w:rFonts w:ascii="宋体" w:hAnsi="宋体"/>
          <w:b/>
          <w:szCs w:val="21"/>
        </w:rPr>
      </w:pPr>
      <w:r>
        <w:rPr>
          <w:rFonts w:hint="eastAsia" w:ascii="宋体" w:hAnsi="宋体"/>
          <w:b/>
          <w:szCs w:val="21"/>
        </w:rPr>
        <w:t>组成合同的文件</w:t>
      </w:r>
    </w:p>
    <w:p w14:paraId="58DCBA21">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A5EA65D">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2E38035D">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2F2B8D66">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0D1FBD0B">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14:paraId="0EA8BA60">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14:paraId="2774EDD8">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14:paraId="761B98CA">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14:paraId="4E888B78">
      <w:pPr>
        <w:pStyle w:val="144"/>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3F732602">
      <w:pPr>
        <w:numPr>
          <w:ilvl w:val="0"/>
          <w:numId w:val="73"/>
        </w:numPr>
        <w:adjustRightInd w:val="0"/>
        <w:snapToGrid w:val="0"/>
        <w:spacing w:line="400" w:lineRule="exact"/>
        <w:ind w:firstLine="422" w:firstLineChars="200"/>
        <w:rPr>
          <w:rFonts w:ascii="宋体" w:hAnsi="宋体"/>
          <w:b/>
          <w:szCs w:val="21"/>
        </w:rPr>
      </w:pPr>
      <w:r>
        <w:rPr>
          <w:rFonts w:hint="eastAsia" w:ascii="宋体" w:hAnsi="宋体"/>
          <w:b/>
          <w:szCs w:val="21"/>
        </w:rPr>
        <w:t>合同生效</w:t>
      </w:r>
    </w:p>
    <w:p w14:paraId="14DB0F24">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60AB496">
      <w:pPr>
        <w:numPr>
          <w:ilvl w:val="0"/>
          <w:numId w:val="73"/>
        </w:numPr>
        <w:adjustRightInd w:val="0"/>
        <w:snapToGrid w:val="0"/>
        <w:spacing w:line="400" w:lineRule="exact"/>
        <w:ind w:firstLine="422" w:firstLineChars="200"/>
        <w:rPr>
          <w:rFonts w:ascii="宋体" w:hAnsi="宋体"/>
          <w:b/>
          <w:szCs w:val="21"/>
        </w:rPr>
      </w:pPr>
      <w:r>
        <w:rPr>
          <w:rFonts w:hint="eastAsia" w:ascii="宋体" w:hAnsi="宋体"/>
          <w:b/>
          <w:szCs w:val="21"/>
        </w:rPr>
        <w:t>合同份数</w:t>
      </w:r>
    </w:p>
    <w:p w14:paraId="310C75A5">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197F611F">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1866336">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81E9A4C">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5BF3D5D7">
      <w:pPr>
        <w:pStyle w:val="94"/>
        <w:spacing w:line="400" w:lineRule="exact"/>
      </w:pPr>
    </w:p>
    <w:p w14:paraId="0A33F5C9">
      <w:pPr>
        <w:pStyle w:val="3"/>
        <w:rPr>
          <w:rFonts w:ascii="宋体" w:hAnsi="宋体"/>
          <w:b w:val="0"/>
          <w:bCs w:val="0"/>
          <w:sz w:val="21"/>
          <w:szCs w:val="21"/>
        </w:rPr>
      </w:pPr>
      <w:r>
        <w:t xml:space="preserve">   </w:t>
      </w:r>
    </w:p>
    <w:p w14:paraId="06B02AA7">
      <w:r>
        <w:rPr>
          <w:rFonts w:hint="eastAsia"/>
        </w:rPr>
        <w:br w:type="page"/>
      </w:r>
    </w:p>
    <w:p w14:paraId="4BE8E8C0">
      <w:pPr>
        <w:pStyle w:val="94"/>
      </w:pPr>
    </w:p>
    <w:tbl>
      <w:tblPr>
        <w:tblStyle w:val="40"/>
        <w:tblW w:w="999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14:paraId="33DEA1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5119" w:type="dxa"/>
            <w:gridSpan w:val="2"/>
            <w:tcBorders>
              <w:bottom w:val="single" w:color="auto" w:sz="2" w:space="0"/>
              <w:right w:val="single" w:color="auto" w:sz="2" w:space="0"/>
            </w:tcBorders>
            <w:vAlign w:val="center"/>
          </w:tcPr>
          <w:p w14:paraId="436F4211">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871" w:type="dxa"/>
            <w:gridSpan w:val="2"/>
            <w:tcBorders>
              <w:left w:val="single" w:color="auto" w:sz="2" w:space="0"/>
              <w:bottom w:val="single" w:color="auto" w:sz="2" w:space="0"/>
            </w:tcBorders>
            <w:vAlign w:val="center"/>
          </w:tcPr>
          <w:p w14:paraId="62830D53">
            <w:pPr>
              <w:adjustRightInd w:val="0"/>
              <w:snapToGrid w:val="0"/>
              <w:spacing w:line="300" w:lineRule="exact"/>
              <w:jc w:val="center"/>
            </w:pPr>
            <w:r>
              <w:rPr>
                <w:szCs w:val="21"/>
              </w:rPr>
              <w:t>乙方</w:t>
            </w:r>
            <w:r>
              <w:rPr>
                <w:rFonts w:hint="eastAsia"/>
                <w:szCs w:val="21"/>
              </w:rPr>
              <w:t>（供应商）</w:t>
            </w:r>
          </w:p>
        </w:tc>
      </w:tr>
      <w:tr w14:paraId="0DE7CD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250" w:type="dxa"/>
            <w:tcBorders>
              <w:top w:val="single" w:color="auto" w:sz="2" w:space="0"/>
              <w:bottom w:val="single" w:color="auto" w:sz="2" w:space="0"/>
              <w:right w:val="single" w:color="auto" w:sz="2" w:space="0"/>
            </w:tcBorders>
            <w:vAlign w:val="center"/>
          </w:tcPr>
          <w:p w14:paraId="5422E122">
            <w:pPr>
              <w:adjustRightInd w:val="0"/>
              <w:snapToGrid w:val="0"/>
              <w:spacing w:line="300" w:lineRule="exact"/>
              <w:jc w:val="center"/>
              <w:rPr>
                <w:szCs w:val="21"/>
              </w:rPr>
            </w:pPr>
            <w:r>
              <w:rPr>
                <w:szCs w:val="21"/>
              </w:rPr>
              <w:t>单位名称</w:t>
            </w:r>
            <w:r>
              <w:rPr>
                <w:rFonts w:hint="eastAsia"/>
                <w:szCs w:val="21"/>
              </w:rPr>
              <w:t>（公章或合同章）</w:t>
            </w:r>
          </w:p>
        </w:tc>
        <w:tc>
          <w:tcPr>
            <w:tcW w:w="2869" w:type="dxa"/>
            <w:tcBorders>
              <w:top w:val="single" w:color="auto" w:sz="2" w:space="0"/>
              <w:left w:val="single" w:color="auto" w:sz="2" w:space="0"/>
              <w:bottom w:val="single" w:color="auto" w:sz="2" w:space="0"/>
              <w:right w:val="single" w:color="auto" w:sz="2" w:space="0"/>
            </w:tcBorders>
            <w:vAlign w:val="center"/>
          </w:tcPr>
          <w:p w14:paraId="18777C75">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5973A1E5">
            <w:pPr>
              <w:adjustRightInd w:val="0"/>
              <w:snapToGrid w:val="0"/>
              <w:spacing w:line="300" w:lineRule="exact"/>
              <w:jc w:val="center"/>
              <w:rPr>
                <w:szCs w:val="21"/>
              </w:rPr>
            </w:pPr>
            <w:r>
              <w:rPr>
                <w:szCs w:val="21"/>
              </w:rPr>
              <w:t>单位名称</w:t>
            </w:r>
            <w:r>
              <w:rPr>
                <w:rFonts w:hint="eastAsia"/>
                <w:szCs w:val="21"/>
              </w:rPr>
              <w:t>（公章或合同章）</w:t>
            </w:r>
          </w:p>
        </w:tc>
        <w:tc>
          <w:tcPr>
            <w:tcW w:w="2517" w:type="dxa"/>
            <w:tcBorders>
              <w:top w:val="single" w:color="auto" w:sz="2" w:space="0"/>
              <w:left w:val="single" w:color="auto" w:sz="2" w:space="0"/>
              <w:bottom w:val="single" w:color="auto" w:sz="2" w:space="0"/>
            </w:tcBorders>
            <w:vAlign w:val="center"/>
          </w:tcPr>
          <w:p w14:paraId="3EA4001B">
            <w:pPr>
              <w:adjustRightInd w:val="0"/>
              <w:snapToGrid w:val="0"/>
              <w:spacing w:line="300" w:lineRule="exact"/>
              <w:jc w:val="center"/>
              <w:rPr>
                <w:spacing w:val="20"/>
                <w:szCs w:val="21"/>
              </w:rPr>
            </w:pPr>
          </w:p>
        </w:tc>
      </w:tr>
      <w:tr w14:paraId="06C338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vAlign w:val="center"/>
          </w:tcPr>
          <w:p w14:paraId="1BE6F930">
            <w:pPr>
              <w:adjustRightInd w:val="0"/>
              <w:snapToGrid w:val="0"/>
              <w:spacing w:line="300" w:lineRule="exact"/>
              <w:jc w:val="center"/>
              <w:rPr>
                <w:szCs w:val="21"/>
              </w:rPr>
            </w:pPr>
            <w:r>
              <w:rPr>
                <w:szCs w:val="21"/>
              </w:rPr>
              <w:t>法定代表人</w:t>
            </w:r>
          </w:p>
          <w:p w14:paraId="3D92555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869" w:type="dxa"/>
            <w:vMerge w:val="restart"/>
            <w:tcBorders>
              <w:top w:val="single" w:color="auto" w:sz="2" w:space="0"/>
              <w:left w:val="single" w:color="auto" w:sz="2" w:space="0"/>
              <w:right w:val="single" w:color="auto" w:sz="2" w:space="0"/>
            </w:tcBorders>
            <w:vAlign w:val="center"/>
          </w:tcPr>
          <w:p w14:paraId="3B08316B">
            <w:pPr>
              <w:adjustRightInd w:val="0"/>
              <w:snapToGrid w:val="0"/>
              <w:spacing w:line="300" w:lineRule="exact"/>
              <w:jc w:val="center"/>
              <w:rPr>
                <w:szCs w:val="21"/>
              </w:rPr>
            </w:pPr>
          </w:p>
        </w:tc>
        <w:tc>
          <w:tcPr>
            <w:tcW w:w="2354" w:type="dxa"/>
            <w:tcBorders>
              <w:top w:val="single" w:color="auto" w:sz="2" w:space="0"/>
              <w:left w:val="single" w:color="auto" w:sz="2" w:space="0"/>
              <w:right w:val="single" w:color="auto" w:sz="2" w:space="0"/>
            </w:tcBorders>
            <w:vAlign w:val="center"/>
          </w:tcPr>
          <w:p w14:paraId="16B3CADC">
            <w:pPr>
              <w:adjustRightInd w:val="0"/>
              <w:snapToGrid w:val="0"/>
              <w:spacing w:line="300" w:lineRule="exact"/>
              <w:jc w:val="center"/>
              <w:rPr>
                <w:szCs w:val="21"/>
              </w:rPr>
            </w:pPr>
            <w:r>
              <w:rPr>
                <w:szCs w:val="21"/>
              </w:rPr>
              <w:t>法定代表人</w:t>
            </w:r>
          </w:p>
          <w:p w14:paraId="1DDA747D">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517" w:type="dxa"/>
            <w:tcBorders>
              <w:top w:val="single" w:color="auto" w:sz="2" w:space="0"/>
              <w:left w:val="single" w:color="auto" w:sz="2" w:space="0"/>
              <w:bottom w:val="single" w:color="auto" w:sz="2" w:space="0"/>
            </w:tcBorders>
            <w:vAlign w:val="center"/>
          </w:tcPr>
          <w:p w14:paraId="1B375082">
            <w:pPr>
              <w:adjustRightInd w:val="0"/>
              <w:snapToGrid w:val="0"/>
              <w:spacing w:line="300" w:lineRule="exact"/>
              <w:jc w:val="center"/>
              <w:rPr>
                <w:szCs w:val="21"/>
              </w:rPr>
            </w:pPr>
          </w:p>
        </w:tc>
      </w:tr>
      <w:tr w14:paraId="5F44FC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vAlign w:val="center"/>
          </w:tcPr>
          <w:p w14:paraId="1B91D4D5">
            <w:pPr>
              <w:adjustRightInd w:val="0"/>
              <w:snapToGrid w:val="0"/>
              <w:spacing w:line="300" w:lineRule="exact"/>
              <w:jc w:val="center"/>
              <w:rPr>
                <w:szCs w:val="21"/>
              </w:rPr>
            </w:pPr>
          </w:p>
        </w:tc>
        <w:tc>
          <w:tcPr>
            <w:tcW w:w="2869" w:type="dxa"/>
            <w:vMerge w:val="continue"/>
            <w:tcBorders>
              <w:left w:val="single" w:color="auto" w:sz="2" w:space="0"/>
              <w:bottom w:val="single" w:color="auto" w:sz="2" w:space="0"/>
              <w:right w:val="single" w:color="auto" w:sz="2" w:space="0"/>
            </w:tcBorders>
            <w:vAlign w:val="center"/>
          </w:tcPr>
          <w:p w14:paraId="0EB05F8F">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59DF5B6F">
            <w:pPr>
              <w:adjustRightInd w:val="0"/>
              <w:snapToGrid w:val="0"/>
              <w:spacing w:line="300" w:lineRule="exact"/>
              <w:jc w:val="center"/>
              <w:rPr>
                <w:szCs w:val="21"/>
              </w:rPr>
            </w:pPr>
            <w:r>
              <w:rPr>
                <w:rFonts w:hint="eastAsia"/>
                <w:szCs w:val="21"/>
              </w:rPr>
              <w:t>拥有者性别</w:t>
            </w:r>
          </w:p>
        </w:tc>
        <w:tc>
          <w:tcPr>
            <w:tcW w:w="2517" w:type="dxa"/>
            <w:tcBorders>
              <w:top w:val="single" w:color="auto" w:sz="2" w:space="0"/>
              <w:left w:val="single" w:color="auto" w:sz="2" w:space="0"/>
              <w:bottom w:val="single" w:color="auto" w:sz="2" w:space="0"/>
            </w:tcBorders>
            <w:vAlign w:val="center"/>
          </w:tcPr>
          <w:p w14:paraId="126073FE">
            <w:pPr>
              <w:adjustRightInd w:val="0"/>
              <w:snapToGrid w:val="0"/>
              <w:spacing w:line="300" w:lineRule="exact"/>
              <w:jc w:val="center"/>
              <w:rPr>
                <w:spacing w:val="20"/>
                <w:szCs w:val="21"/>
              </w:rPr>
            </w:pPr>
          </w:p>
        </w:tc>
      </w:tr>
      <w:tr w14:paraId="34B189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33760AC9">
            <w:pPr>
              <w:adjustRightInd w:val="0"/>
              <w:snapToGrid w:val="0"/>
              <w:spacing w:line="300" w:lineRule="exact"/>
              <w:jc w:val="center"/>
              <w:rPr>
                <w:szCs w:val="21"/>
              </w:rPr>
            </w:pPr>
            <w:r>
              <w:rPr>
                <w:rFonts w:hint="eastAsia"/>
                <w:szCs w:val="21"/>
              </w:rPr>
              <w:t>住  所</w:t>
            </w:r>
          </w:p>
        </w:tc>
        <w:tc>
          <w:tcPr>
            <w:tcW w:w="2869" w:type="dxa"/>
            <w:tcBorders>
              <w:top w:val="single" w:color="auto" w:sz="2" w:space="0"/>
              <w:left w:val="single" w:color="auto" w:sz="2" w:space="0"/>
              <w:bottom w:val="single" w:color="auto" w:sz="2" w:space="0"/>
              <w:right w:val="single" w:color="auto" w:sz="2" w:space="0"/>
            </w:tcBorders>
            <w:vAlign w:val="center"/>
          </w:tcPr>
          <w:p w14:paraId="1F2D561A">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6BB95437">
            <w:pPr>
              <w:adjustRightInd w:val="0"/>
              <w:snapToGrid w:val="0"/>
              <w:spacing w:line="300" w:lineRule="exact"/>
              <w:jc w:val="center"/>
              <w:rPr>
                <w:szCs w:val="21"/>
              </w:rPr>
            </w:pPr>
            <w:r>
              <w:rPr>
                <w:rFonts w:hint="eastAsia"/>
                <w:szCs w:val="21"/>
              </w:rPr>
              <w:t>住  所</w:t>
            </w:r>
          </w:p>
        </w:tc>
        <w:tc>
          <w:tcPr>
            <w:tcW w:w="2517" w:type="dxa"/>
            <w:tcBorders>
              <w:top w:val="single" w:color="auto" w:sz="2" w:space="0"/>
              <w:left w:val="single" w:color="auto" w:sz="2" w:space="0"/>
              <w:bottom w:val="single" w:color="auto" w:sz="2" w:space="0"/>
            </w:tcBorders>
            <w:vAlign w:val="center"/>
          </w:tcPr>
          <w:p w14:paraId="23AD3C5C">
            <w:pPr>
              <w:adjustRightInd w:val="0"/>
              <w:snapToGrid w:val="0"/>
              <w:spacing w:line="300" w:lineRule="exact"/>
              <w:jc w:val="center"/>
              <w:rPr>
                <w:spacing w:val="20"/>
                <w:szCs w:val="21"/>
              </w:rPr>
            </w:pPr>
          </w:p>
        </w:tc>
      </w:tr>
      <w:tr w14:paraId="54FB30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2FEFA3DD">
            <w:pPr>
              <w:adjustRightInd w:val="0"/>
              <w:snapToGrid w:val="0"/>
              <w:spacing w:line="300" w:lineRule="exact"/>
              <w:jc w:val="center"/>
              <w:rPr>
                <w:szCs w:val="21"/>
              </w:rPr>
            </w:pPr>
            <w:r>
              <w:rPr>
                <w:szCs w:val="21"/>
              </w:rPr>
              <w:t>联 系 人</w:t>
            </w:r>
          </w:p>
        </w:tc>
        <w:tc>
          <w:tcPr>
            <w:tcW w:w="2869" w:type="dxa"/>
            <w:tcBorders>
              <w:top w:val="single" w:color="auto" w:sz="2" w:space="0"/>
              <w:left w:val="single" w:color="auto" w:sz="2" w:space="0"/>
              <w:bottom w:val="single" w:color="auto" w:sz="2" w:space="0"/>
              <w:right w:val="single" w:color="auto" w:sz="2" w:space="0"/>
            </w:tcBorders>
            <w:vAlign w:val="center"/>
          </w:tcPr>
          <w:p w14:paraId="611E6EB4">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0A825B04">
            <w:pPr>
              <w:adjustRightInd w:val="0"/>
              <w:snapToGrid w:val="0"/>
              <w:spacing w:line="300" w:lineRule="exact"/>
              <w:jc w:val="center"/>
              <w:rPr>
                <w:szCs w:val="21"/>
              </w:rPr>
            </w:pPr>
            <w:r>
              <w:rPr>
                <w:szCs w:val="21"/>
              </w:rPr>
              <w:t>联 系 人</w:t>
            </w:r>
          </w:p>
        </w:tc>
        <w:tc>
          <w:tcPr>
            <w:tcW w:w="2517" w:type="dxa"/>
            <w:tcBorders>
              <w:top w:val="single" w:color="auto" w:sz="2" w:space="0"/>
              <w:left w:val="single" w:color="auto" w:sz="2" w:space="0"/>
              <w:bottom w:val="single" w:color="auto" w:sz="2" w:space="0"/>
            </w:tcBorders>
            <w:vAlign w:val="center"/>
          </w:tcPr>
          <w:p w14:paraId="0DA3B3E2">
            <w:pPr>
              <w:adjustRightInd w:val="0"/>
              <w:snapToGrid w:val="0"/>
              <w:spacing w:line="300" w:lineRule="exact"/>
              <w:jc w:val="center"/>
              <w:rPr>
                <w:spacing w:val="20"/>
                <w:szCs w:val="21"/>
              </w:rPr>
            </w:pPr>
          </w:p>
        </w:tc>
      </w:tr>
      <w:tr w14:paraId="5790A0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1464DA06">
            <w:pPr>
              <w:adjustRightInd w:val="0"/>
              <w:snapToGrid w:val="0"/>
              <w:spacing w:line="300" w:lineRule="exact"/>
              <w:jc w:val="center"/>
              <w:rPr>
                <w:szCs w:val="21"/>
              </w:rPr>
            </w:pPr>
            <w:r>
              <w:rPr>
                <w:szCs w:val="21"/>
              </w:rPr>
              <w:t>联系电话</w:t>
            </w:r>
          </w:p>
        </w:tc>
        <w:tc>
          <w:tcPr>
            <w:tcW w:w="2869" w:type="dxa"/>
            <w:tcBorders>
              <w:top w:val="single" w:color="auto" w:sz="2" w:space="0"/>
              <w:left w:val="single" w:color="auto" w:sz="2" w:space="0"/>
              <w:bottom w:val="single" w:color="auto" w:sz="2" w:space="0"/>
              <w:right w:val="single" w:color="auto" w:sz="2" w:space="0"/>
            </w:tcBorders>
            <w:vAlign w:val="center"/>
          </w:tcPr>
          <w:p w14:paraId="06976358">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7D49B177">
            <w:pPr>
              <w:adjustRightInd w:val="0"/>
              <w:snapToGrid w:val="0"/>
              <w:spacing w:line="300" w:lineRule="exact"/>
              <w:jc w:val="center"/>
              <w:rPr>
                <w:szCs w:val="21"/>
              </w:rPr>
            </w:pPr>
            <w:r>
              <w:rPr>
                <w:szCs w:val="21"/>
              </w:rPr>
              <w:t>联系电话</w:t>
            </w:r>
          </w:p>
        </w:tc>
        <w:tc>
          <w:tcPr>
            <w:tcW w:w="2517" w:type="dxa"/>
            <w:tcBorders>
              <w:top w:val="single" w:color="auto" w:sz="2" w:space="0"/>
              <w:left w:val="single" w:color="auto" w:sz="2" w:space="0"/>
              <w:bottom w:val="single" w:color="auto" w:sz="2" w:space="0"/>
            </w:tcBorders>
            <w:vAlign w:val="center"/>
          </w:tcPr>
          <w:p w14:paraId="316D60FF">
            <w:pPr>
              <w:adjustRightInd w:val="0"/>
              <w:snapToGrid w:val="0"/>
              <w:spacing w:line="300" w:lineRule="exact"/>
              <w:jc w:val="center"/>
              <w:rPr>
                <w:spacing w:val="20"/>
                <w:szCs w:val="21"/>
              </w:rPr>
            </w:pPr>
          </w:p>
        </w:tc>
      </w:tr>
      <w:tr w14:paraId="4A5484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2C89698B">
            <w:pPr>
              <w:adjustRightInd w:val="0"/>
              <w:snapToGrid w:val="0"/>
              <w:spacing w:line="300" w:lineRule="exact"/>
              <w:jc w:val="center"/>
              <w:rPr>
                <w:szCs w:val="21"/>
              </w:rPr>
            </w:pPr>
            <w:r>
              <w:rPr>
                <w:rFonts w:hint="eastAsia"/>
                <w:szCs w:val="21"/>
              </w:rPr>
              <w:t>通信地址</w:t>
            </w:r>
          </w:p>
        </w:tc>
        <w:tc>
          <w:tcPr>
            <w:tcW w:w="2869" w:type="dxa"/>
            <w:tcBorders>
              <w:top w:val="single" w:color="auto" w:sz="2" w:space="0"/>
              <w:left w:val="single" w:color="auto" w:sz="2" w:space="0"/>
              <w:bottom w:val="single" w:color="auto" w:sz="2" w:space="0"/>
              <w:right w:val="single" w:color="auto" w:sz="2" w:space="0"/>
            </w:tcBorders>
            <w:vAlign w:val="center"/>
          </w:tcPr>
          <w:p w14:paraId="31D1E8D8">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55550BD0">
            <w:pPr>
              <w:adjustRightInd w:val="0"/>
              <w:snapToGrid w:val="0"/>
              <w:spacing w:line="300" w:lineRule="exact"/>
              <w:jc w:val="center"/>
              <w:rPr>
                <w:szCs w:val="21"/>
              </w:rPr>
            </w:pPr>
            <w:r>
              <w:rPr>
                <w:rFonts w:hint="eastAsia"/>
                <w:szCs w:val="21"/>
              </w:rPr>
              <w:t>通信地址</w:t>
            </w:r>
          </w:p>
        </w:tc>
        <w:tc>
          <w:tcPr>
            <w:tcW w:w="2517" w:type="dxa"/>
            <w:tcBorders>
              <w:top w:val="single" w:color="auto" w:sz="2" w:space="0"/>
              <w:left w:val="single" w:color="auto" w:sz="2" w:space="0"/>
              <w:bottom w:val="single" w:color="auto" w:sz="2" w:space="0"/>
            </w:tcBorders>
            <w:vAlign w:val="center"/>
          </w:tcPr>
          <w:p w14:paraId="7AFC93E1">
            <w:pPr>
              <w:adjustRightInd w:val="0"/>
              <w:snapToGrid w:val="0"/>
              <w:spacing w:line="300" w:lineRule="exact"/>
              <w:jc w:val="center"/>
              <w:rPr>
                <w:spacing w:val="20"/>
                <w:szCs w:val="21"/>
              </w:rPr>
            </w:pPr>
          </w:p>
        </w:tc>
      </w:tr>
      <w:tr w14:paraId="54A13A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4DA594E6">
            <w:pPr>
              <w:adjustRightInd w:val="0"/>
              <w:snapToGrid w:val="0"/>
              <w:spacing w:line="300" w:lineRule="exact"/>
              <w:jc w:val="center"/>
              <w:rPr>
                <w:szCs w:val="21"/>
              </w:rPr>
            </w:pPr>
            <w:r>
              <w:rPr>
                <w:szCs w:val="21"/>
              </w:rPr>
              <w:t>邮政编码</w:t>
            </w:r>
          </w:p>
        </w:tc>
        <w:tc>
          <w:tcPr>
            <w:tcW w:w="2869" w:type="dxa"/>
            <w:tcBorders>
              <w:top w:val="single" w:color="auto" w:sz="2" w:space="0"/>
              <w:left w:val="single" w:color="auto" w:sz="2" w:space="0"/>
              <w:bottom w:val="single" w:color="auto" w:sz="2" w:space="0"/>
              <w:right w:val="single" w:color="auto" w:sz="2" w:space="0"/>
            </w:tcBorders>
            <w:vAlign w:val="center"/>
          </w:tcPr>
          <w:p w14:paraId="514573CD">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3B939F98">
            <w:pPr>
              <w:adjustRightInd w:val="0"/>
              <w:snapToGrid w:val="0"/>
              <w:spacing w:line="300" w:lineRule="exact"/>
              <w:jc w:val="center"/>
              <w:rPr>
                <w:szCs w:val="21"/>
              </w:rPr>
            </w:pPr>
            <w:r>
              <w:rPr>
                <w:szCs w:val="21"/>
              </w:rPr>
              <w:t>邮政编码</w:t>
            </w:r>
          </w:p>
        </w:tc>
        <w:tc>
          <w:tcPr>
            <w:tcW w:w="2517" w:type="dxa"/>
            <w:tcBorders>
              <w:top w:val="single" w:color="auto" w:sz="2" w:space="0"/>
              <w:left w:val="single" w:color="auto" w:sz="2" w:space="0"/>
              <w:bottom w:val="single" w:color="auto" w:sz="2" w:space="0"/>
            </w:tcBorders>
            <w:vAlign w:val="center"/>
          </w:tcPr>
          <w:p w14:paraId="21516A7D">
            <w:pPr>
              <w:adjustRightInd w:val="0"/>
              <w:snapToGrid w:val="0"/>
              <w:spacing w:line="300" w:lineRule="exact"/>
              <w:jc w:val="center"/>
              <w:rPr>
                <w:spacing w:val="20"/>
                <w:szCs w:val="21"/>
              </w:rPr>
            </w:pPr>
          </w:p>
        </w:tc>
      </w:tr>
      <w:tr w14:paraId="729183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361124C3">
            <w:pPr>
              <w:adjustRightInd w:val="0"/>
              <w:snapToGrid w:val="0"/>
              <w:spacing w:line="300" w:lineRule="exact"/>
              <w:jc w:val="center"/>
              <w:rPr>
                <w:szCs w:val="21"/>
              </w:rPr>
            </w:pPr>
            <w:r>
              <w:rPr>
                <w:rFonts w:hint="eastAsia"/>
                <w:szCs w:val="21"/>
              </w:rPr>
              <w:t>电子邮箱</w:t>
            </w:r>
          </w:p>
        </w:tc>
        <w:tc>
          <w:tcPr>
            <w:tcW w:w="2869" w:type="dxa"/>
            <w:tcBorders>
              <w:top w:val="single" w:color="auto" w:sz="2" w:space="0"/>
              <w:left w:val="single" w:color="auto" w:sz="2" w:space="0"/>
              <w:bottom w:val="single" w:color="auto" w:sz="2" w:space="0"/>
              <w:right w:val="single" w:color="auto" w:sz="2" w:space="0"/>
            </w:tcBorders>
            <w:vAlign w:val="center"/>
          </w:tcPr>
          <w:p w14:paraId="5DAE0AC5">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C3965C2">
            <w:pPr>
              <w:adjustRightInd w:val="0"/>
              <w:snapToGrid w:val="0"/>
              <w:spacing w:line="300" w:lineRule="exact"/>
              <w:jc w:val="center"/>
              <w:rPr>
                <w:szCs w:val="21"/>
              </w:rPr>
            </w:pPr>
            <w:r>
              <w:rPr>
                <w:rFonts w:hint="eastAsia"/>
                <w:szCs w:val="21"/>
              </w:rPr>
              <w:t>电子邮箱</w:t>
            </w:r>
          </w:p>
        </w:tc>
        <w:tc>
          <w:tcPr>
            <w:tcW w:w="2517" w:type="dxa"/>
            <w:tcBorders>
              <w:top w:val="single" w:color="auto" w:sz="2" w:space="0"/>
              <w:left w:val="single" w:color="auto" w:sz="2" w:space="0"/>
              <w:bottom w:val="single" w:color="auto" w:sz="2" w:space="0"/>
            </w:tcBorders>
            <w:vAlign w:val="center"/>
          </w:tcPr>
          <w:p w14:paraId="340A53C0">
            <w:pPr>
              <w:adjustRightInd w:val="0"/>
              <w:snapToGrid w:val="0"/>
              <w:spacing w:line="300" w:lineRule="exact"/>
              <w:jc w:val="center"/>
              <w:rPr>
                <w:spacing w:val="20"/>
                <w:szCs w:val="21"/>
              </w:rPr>
            </w:pPr>
          </w:p>
        </w:tc>
      </w:tr>
      <w:tr w14:paraId="11E6B6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5CC942EE">
            <w:pPr>
              <w:adjustRightInd w:val="0"/>
              <w:snapToGrid w:val="0"/>
              <w:spacing w:line="300" w:lineRule="exact"/>
              <w:jc w:val="center"/>
              <w:rPr>
                <w:szCs w:val="21"/>
              </w:rPr>
            </w:pPr>
            <w:r>
              <w:rPr>
                <w:rFonts w:hint="eastAsia"/>
                <w:szCs w:val="21"/>
              </w:rPr>
              <w:t>统一社会信用代码</w:t>
            </w:r>
          </w:p>
        </w:tc>
        <w:tc>
          <w:tcPr>
            <w:tcW w:w="2869" w:type="dxa"/>
            <w:tcBorders>
              <w:top w:val="single" w:color="auto" w:sz="2" w:space="0"/>
              <w:left w:val="single" w:color="auto" w:sz="2" w:space="0"/>
              <w:bottom w:val="single" w:color="auto" w:sz="2" w:space="0"/>
              <w:right w:val="single" w:color="auto" w:sz="2" w:space="0"/>
            </w:tcBorders>
            <w:vAlign w:val="center"/>
          </w:tcPr>
          <w:p w14:paraId="47487B87">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6BD5558E">
            <w:pPr>
              <w:adjustRightInd w:val="0"/>
              <w:snapToGrid w:val="0"/>
              <w:spacing w:line="300" w:lineRule="exact"/>
              <w:jc w:val="center"/>
              <w:rPr>
                <w:szCs w:val="21"/>
              </w:rPr>
            </w:pPr>
            <w:r>
              <w:rPr>
                <w:rFonts w:hint="eastAsia"/>
                <w:szCs w:val="21"/>
              </w:rPr>
              <w:t>统一社会信用代码</w:t>
            </w:r>
          </w:p>
        </w:tc>
        <w:tc>
          <w:tcPr>
            <w:tcW w:w="2517" w:type="dxa"/>
            <w:tcBorders>
              <w:top w:val="single" w:color="auto" w:sz="2" w:space="0"/>
              <w:left w:val="single" w:color="auto" w:sz="2" w:space="0"/>
              <w:bottom w:val="single" w:color="auto" w:sz="2" w:space="0"/>
            </w:tcBorders>
            <w:vAlign w:val="center"/>
          </w:tcPr>
          <w:p w14:paraId="6AD0F3B7">
            <w:pPr>
              <w:adjustRightInd w:val="0"/>
              <w:snapToGrid w:val="0"/>
              <w:spacing w:line="300" w:lineRule="exact"/>
              <w:jc w:val="center"/>
              <w:rPr>
                <w:spacing w:val="20"/>
                <w:szCs w:val="21"/>
              </w:rPr>
            </w:pPr>
          </w:p>
        </w:tc>
      </w:tr>
      <w:tr w14:paraId="0EEA52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790DE222">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42E0B22B">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5D486A9">
            <w:pPr>
              <w:adjustRightInd w:val="0"/>
              <w:snapToGrid w:val="0"/>
              <w:spacing w:line="300" w:lineRule="exact"/>
              <w:jc w:val="center"/>
              <w:rPr>
                <w:szCs w:val="21"/>
              </w:rPr>
            </w:pPr>
            <w:r>
              <w:rPr>
                <w:szCs w:val="21"/>
              </w:rPr>
              <w:t>开户名称</w:t>
            </w:r>
          </w:p>
        </w:tc>
        <w:tc>
          <w:tcPr>
            <w:tcW w:w="2517" w:type="dxa"/>
            <w:tcBorders>
              <w:top w:val="single" w:color="auto" w:sz="2" w:space="0"/>
              <w:left w:val="single" w:color="auto" w:sz="2" w:space="0"/>
              <w:bottom w:val="single" w:color="auto" w:sz="2" w:space="0"/>
            </w:tcBorders>
            <w:vAlign w:val="center"/>
          </w:tcPr>
          <w:p w14:paraId="79CEEB57">
            <w:pPr>
              <w:adjustRightInd w:val="0"/>
              <w:snapToGrid w:val="0"/>
              <w:spacing w:line="300" w:lineRule="exact"/>
              <w:jc w:val="center"/>
              <w:rPr>
                <w:spacing w:val="20"/>
                <w:szCs w:val="21"/>
              </w:rPr>
            </w:pPr>
          </w:p>
        </w:tc>
      </w:tr>
      <w:tr w14:paraId="0FFFF5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45B3E0F9">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7634EC8E">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34C541C3">
            <w:pPr>
              <w:adjustRightInd w:val="0"/>
              <w:snapToGrid w:val="0"/>
              <w:spacing w:line="300" w:lineRule="exact"/>
              <w:jc w:val="center"/>
              <w:rPr>
                <w:szCs w:val="21"/>
              </w:rPr>
            </w:pPr>
            <w:r>
              <w:rPr>
                <w:szCs w:val="21"/>
              </w:rPr>
              <w:t>开户银行</w:t>
            </w:r>
          </w:p>
        </w:tc>
        <w:tc>
          <w:tcPr>
            <w:tcW w:w="2517" w:type="dxa"/>
            <w:tcBorders>
              <w:top w:val="single" w:color="auto" w:sz="2" w:space="0"/>
              <w:left w:val="single" w:color="auto" w:sz="2" w:space="0"/>
              <w:bottom w:val="single" w:color="auto" w:sz="2" w:space="0"/>
            </w:tcBorders>
            <w:vAlign w:val="center"/>
          </w:tcPr>
          <w:p w14:paraId="0BE84038">
            <w:pPr>
              <w:adjustRightInd w:val="0"/>
              <w:snapToGrid w:val="0"/>
              <w:spacing w:line="300" w:lineRule="exact"/>
              <w:jc w:val="center"/>
              <w:rPr>
                <w:spacing w:val="20"/>
                <w:szCs w:val="21"/>
              </w:rPr>
            </w:pPr>
          </w:p>
        </w:tc>
      </w:tr>
      <w:tr w14:paraId="52B81D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0D1DC439">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29E62409">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1F10F31">
            <w:pPr>
              <w:adjustRightInd w:val="0"/>
              <w:snapToGrid w:val="0"/>
              <w:spacing w:line="300" w:lineRule="exact"/>
              <w:jc w:val="center"/>
              <w:rPr>
                <w:szCs w:val="21"/>
              </w:rPr>
            </w:pPr>
            <w:r>
              <w:rPr>
                <w:szCs w:val="21"/>
              </w:rPr>
              <w:t>银行账号</w:t>
            </w:r>
          </w:p>
        </w:tc>
        <w:tc>
          <w:tcPr>
            <w:tcW w:w="2517" w:type="dxa"/>
            <w:tcBorders>
              <w:top w:val="single" w:color="auto" w:sz="2" w:space="0"/>
              <w:left w:val="single" w:color="auto" w:sz="2" w:space="0"/>
              <w:bottom w:val="single" w:color="auto" w:sz="2" w:space="0"/>
            </w:tcBorders>
            <w:vAlign w:val="center"/>
          </w:tcPr>
          <w:p w14:paraId="42674656">
            <w:pPr>
              <w:adjustRightInd w:val="0"/>
              <w:snapToGrid w:val="0"/>
              <w:spacing w:line="300" w:lineRule="exact"/>
              <w:jc w:val="center"/>
              <w:rPr>
                <w:spacing w:val="20"/>
                <w:szCs w:val="21"/>
              </w:rPr>
            </w:pPr>
          </w:p>
        </w:tc>
      </w:tr>
      <w:tr w14:paraId="04A075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990" w:type="dxa"/>
            <w:gridSpan w:val="4"/>
            <w:tcBorders>
              <w:top w:val="single" w:color="auto" w:sz="2" w:space="0"/>
            </w:tcBorders>
            <w:vAlign w:val="center"/>
          </w:tcPr>
          <w:p w14:paraId="220AB5F9">
            <w:pPr>
              <w:pStyle w:val="18"/>
              <w:adjustRightInd w:val="0"/>
              <w:snapToGrid w:val="0"/>
              <w:spacing w:beforeLines="50" w:line="360" w:lineRule="auto"/>
              <w:ind w:firstLine="1126"/>
              <w:jc w:val="left"/>
              <w:rPr>
                <w:spacing w:val="20"/>
                <w:szCs w:val="21"/>
              </w:rPr>
            </w:pPr>
            <w:r>
              <w:rPr>
                <w:rFonts w:hint="eastAsia" w:ascii="宋体" w:hAnsi="宋体"/>
                <w:szCs w:val="21"/>
              </w:rPr>
              <w:t>注：涉及联合体或其他合同主体的信息应按上表格式加列。</w:t>
            </w:r>
          </w:p>
        </w:tc>
      </w:tr>
    </w:tbl>
    <w:p w14:paraId="43FE711F">
      <w:pPr>
        <w:pStyle w:val="3"/>
        <w:adjustRightInd w:val="0"/>
        <w:snapToGrid w:val="0"/>
        <w:spacing w:beforeLines="50"/>
        <w:jc w:val="center"/>
        <w:rPr>
          <w:rFonts w:ascii="黑体" w:hAnsi="黑体"/>
          <w:sz w:val="28"/>
          <w:szCs w:val="28"/>
        </w:rPr>
      </w:pPr>
      <w:r>
        <w:rPr>
          <w:rFonts w:ascii="宋体" w:hAnsi="宋体"/>
          <w:sz w:val="21"/>
          <w:szCs w:val="21"/>
          <w:u w:val="single"/>
        </w:rPr>
        <w:br w:type="page"/>
      </w:r>
      <w:bookmarkStart w:id="116" w:name="_Toc27624"/>
      <w:r>
        <w:rPr>
          <w:rFonts w:hint="eastAsia" w:ascii="黑体" w:hAnsi="黑体"/>
          <w:b w:val="0"/>
          <w:bCs w:val="0"/>
          <w:sz w:val="28"/>
          <w:szCs w:val="28"/>
        </w:rPr>
        <w:t>第二节 政府采购合同通用条款</w:t>
      </w:r>
      <w:bookmarkEnd w:id="116"/>
    </w:p>
    <w:p w14:paraId="676CC89C">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1371017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1.1合同当事人</w:t>
      </w:r>
    </w:p>
    <w:p w14:paraId="7E32B9D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5F2EBB9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339BBAC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5B349696">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1E3307D3">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694AD4C3">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70ACD624">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14:paraId="2EA5ED5B">
      <w:pPr>
        <w:adjustRightInd w:val="0"/>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14:paraId="773D4B3F">
      <w:pPr>
        <w:adjustRightInd w:val="0"/>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242E474A">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124D0173">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0B0AF339">
      <w:pPr>
        <w:numPr>
          <w:ilvl w:val="0"/>
          <w:numId w:val="76"/>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44B59481">
      <w:pPr>
        <w:autoSpaceDE w:val="0"/>
        <w:autoSpaceDN w:val="0"/>
        <w:adjustRightInd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14:paraId="12C7FA99">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2FDF729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714172DB">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3E636BB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33282AB5">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759C808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0146A6D2">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0B2B942D">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5655316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6EF6CAF7">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7E98666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657A94B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79453BEA">
      <w:pPr>
        <w:pStyle w:val="17"/>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14:paraId="471DEFE8">
      <w:pPr>
        <w:pStyle w:val="17"/>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14:paraId="47D3BB39">
      <w:pPr>
        <w:numPr>
          <w:ilvl w:val="0"/>
          <w:numId w:val="77"/>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6CF447D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52963276">
      <w:pPr>
        <w:autoSpaceDE w:val="0"/>
        <w:autoSpaceDN w:val="0"/>
        <w:adjustRightInd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219E0E98">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542511E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7D808891">
      <w:pPr>
        <w:adjustRightInd w:val="0"/>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5E1A9DBB">
      <w:pPr>
        <w:adjustRightInd w:val="0"/>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0F233A5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EF8F4F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6B2BA3C3">
      <w:pPr>
        <w:pStyle w:val="144"/>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4A8273A5">
      <w:pPr>
        <w:adjustRightInd w:val="0"/>
        <w:snapToGrid w:val="0"/>
        <w:spacing w:line="400" w:lineRule="exact"/>
        <w:jc w:val="left"/>
        <w:rPr>
          <w:rFonts w:ascii="宋体" w:hAnsi="宋体"/>
          <w:b/>
          <w:sz w:val="24"/>
        </w:rPr>
      </w:pPr>
      <w:r>
        <w:rPr>
          <w:rFonts w:hint="eastAsia" w:ascii="宋体" w:hAnsi="宋体"/>
          <w:b/>
          <w:sz w:val="24"/>
        </w:rPr>
        <w:t>8. 质量标准和保证</w:t>
      </w:r>
    </w:p>
    <w:p w14:paraId="3D7ECD53">
      <w:pPr>
        <w:pStyle w:val="21"/>
        <w:adjustRightInd w:val="0"/>
        <w:snapToGrid w:val="0"/>
        <w:spacing w:line="400" w:lineRule="exact"/>
        <w:ind w:firstLine="420" w:firstLineChars="200"/>
        <w:jc w:val="left"/>
        <w:rPr>
          <w:rFonts w:hAnsi="宋体"/>
          <w:b/>
        </w:rPr>
      </w:pPr>
      <w:r>
        <w:rPr>
          <w:rFonts w:hint="eastAsia" w:hAnsi="宋体"/>
        </w:rPr>
        <w:t>8.1 质量标准</w:t>
      </w:r>
    </w:p>
    <w:p w14:paraId="34EBB48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B6577D0">
      <w:pPr>
        <w:pStyle w:val="21"/>
        <w:adjustRightInd w:val="0"/>
        <w:snapToGrid w:val="0"/>
        <w:spacing w:line="400" w:lineRule="exact"/>
        <w:ind w:firstLine="420" w:firstLineChars="200"/>
        <w:jc w:val="left"/>
        <w:rPr>
          <w:rFonts w:hAnsi="宋体"/>
        </w:rPr>
      </w:pPr>
      <w:r>
        <w:rPr>
          <w:rFonts w:hint="eastAsia" w:hAnsi="宋体"/>
        </w:rPr>
        <w:t>（2）采用中华人民共和国法定计量单位。</w:t>
      </w:r>
    </w:p>
    <w:p w14:paraId="34F3C14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652C057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280776C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14:paraId="6A71A2D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37711DE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6908055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29128B4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22AE2813">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344E008F">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399F037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14:paraId="512B0CF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78C1BA7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14:paraId="5507321E">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47139B3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117"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17"/>
      <w:r>
        <w:rPr>
          <w:rFonts w:hint="eastAsia" w:ascii="宋体" w:hAnsi="宋体"/>
          <w:szCs w:val="21"/>
        </w:rPr>
        <w:t>。</w:t>
      </w:r>
    </w:p>
    <w:p w14:paraId="58CFBBB0">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59376962">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3FDE32E7">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26DAC67B">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21107F83">
      <w:pPr>
        <w:pStyle w:val="3"/>
        <w:ind w:firstLine="420"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sz w:val="21"/>
          <w:szCs w:val="21"/>
        </w:rPr>
        <w:t>对于满足合同约定支付条件的，甲方原则上应当自收到发票后10个工作日内将资金支付到合同约定的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12B7CF2C">
      <w:pPr>
        <w:pStyle w:val="17"/>
        <w:spacing w:line="400" w:lineRule="exact"/>
        <w:rPr>
          <w:rFonts w:ascii="宋体" w:hAnsi="宋体"/>
          <w:b/>
          <w:bCs/>
        </w:rPr>
      </w:pPr>
      <w:r>
        <w:rPr>
          <w:rFonts w:hint="eastAsia" w:ascii="宋体" w:hAnsi="宋体"/>
          <w:b/>
          <w:bCs/>
        </w:rPr>
        <w:t>13. 履约保证金</w:t>
      </w:r>
    </w:p>
    <w:p w14:paraId="0C8A2F67">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5C4B5167">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3DB9C38C">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65124C73">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579CB2C9">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7727D76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346E001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476F7F0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399AC0F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132FA4AD">
      <w:pPr>
        <w:pStyle w:val="144"/>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3BCEE6B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29D3CE1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6F6B5015">
      <w:pPr>
        <w:adjustRightInd w:val="0"/>
        <w:snapToGrid w:val="0"/>
        <w:spacing w:line="400" w:lineRule="exact"/>
        <w:jc w:val="left"/>
        <w:rPr>
          <w:rFonts w:ascii="宋体" w:hAnsi="宋体"/>
          <w:b/>
          <w:bCs/>
          <w:sz w:val="24"/>
        </w:rPr>
      </w:pPr>
      <w:r>
        <w:rPr>
          <w:rFonts w:hint="eastAsia" w:ascii="宋体" w:hAnsi="宋体"/>
          <w:b/>
          <w:bCs/>
          <w:sz w:val="24"/>
        </w:rPr>
        <w:t>15. 违约责任</w:t>
      </w:r>
    </w:p>
    <w:p w14:paraId="59DD7BF7">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17AF504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52C006DB">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59DF353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A1D83B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02EB610C">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6C23CC7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523C2A39">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5634C402">
      <w:pPr>
        <w:numPr>
          <w:ilvl w:val="0"/>
          <w:numId w:val="78"/>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545EFCF5">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2B5CE8F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15814925">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22C2B60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13F0892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816CE27">
      <w:pPr>
        <w:pStyle w:val="144"/>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3DA49CD8">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3ECC0A8C">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7C6C7A2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20AC5546">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56AEDB98">
      <w:pPr>
        <w:pStyle w:val="144"/>
        <w:ind w:firstLine="462"/>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18EB1E2D">
      <w:pPr>
        <w:pStyle w:val="144"/>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435D9B58">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69BD117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7BB1174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0E6D257F">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4C0809E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5E88CDC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4765BD0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B32A909">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4059CBE9">
      <w:pPr>
        <w:pStyle w:val="144"/>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4C69D14A">
      <w:pPr>
        <w:pStyle w:val="144"/>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393B33D">
      <w:pPr>
        <w:pStyle w:val="144"/>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2DA37023">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1C148CE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207DF83E">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57FC2F79">
      <w:pPr>
        <w:pStyle w:val="17"/>
        <w:spacing w:line="400" w:lineRule="exact"/>
        <w:ind w:firstLine="480"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3DA565A">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3D4FFE60">
      <w:pPr>
        <w:pStyle w:val="144"/>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620E863B">
      <w:pPr>
        <w:pStyle w:val="144"/>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6744F58E">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508BB783">
      <w:pPr>
        <w:pStyle w:val="144"/>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1B86765C">
      <w:pPr>
        <w:pStyle w:val="144"/>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43126DC1">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6B452917">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2B20743E">
      <w:pPr>
        <w:numPr>
          <w:ilvl w:val="0"/>
          <w:numId w:val="79"/>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6C9B55B6">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641DE1B4">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118" w:name="_Toc20313"/>
    </w:p>
    <w:p w14:paraId="0FDE3779">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47887CA3">
      <w:pPr>
        <w:pStyle w:val="3"/>
        <w:adjustRightInd w:val="0"/>
        <w:snapToGrid w:val="0"/>
        <w:jc w:val="center"/>
        <w:rPr>
          <w:rFonts w:ascii="黑体" w:hAnsi="华文中宋"/>
          <w:b w:val="0"/>
          <w:bCs w:val="0"/>
          <w:sz w:val="28"/>
          <w:szCs w:val="28"/>
        </w:rPr>
      </w:pPr>
      <w:r>
        <w:rPr>
          <w:rFonts w:hint="eastAsia" w:ascii="黑体" w:hAnsi="华文中宋"/>
          <w:b w:val="0"/>
          <w:bCs w:val="0"/>
          <w:sz w:val="28"/>
          <w:szCs w:val="28"/>
        </w:rPr>
        <w:t>第三节 政府采购合同专用条款</w:t>
      </w:r>
      <w:bookmarkEnd w:id="118"/>
    </w:p>
    <w:tbl>
      <w:tblPr>
        <w:tblStyle w:val="4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D6099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4C2D7C">
            <w:pPr>
              <w:adjustRightInd w:val="0"/>
              <w:snapToGrid w:val="0"/>
              <w:jc w:val="center"/>
              <w:rPr>
                <w:rFonts w:ascii="宋体" w:hAnsi="宋体"/>
                <w:szCs w:val="21"/>
              </w:rPr>
            </w:pPr>
            <w:r>
              <w:rPr>
                <w:rFonts w:hint="eastAsia" w:ascii="宋体" w:hAnsi="宋体"/>
                <w:szCs w:val="21"/>
              </w:rPr>
              <w:t>第二节</w:t>
            </w:r>
          </w:p>
          <w:p w14:paraId="1A62838E">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46387AEB">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58921783">
            <w:pPr>
              <w:adjustRightInd w:val="0"/>
              <w:snapToGrid w:val="0"/>
              <w:jc w:val="left"/>
              <w:rPr>
                <w:rFonts w:ascii="宋体" w:hAnsi="宋体"/>
                <w:szCs w:val="21"/>
              </w:rPr>
            </w:pPr>
          </w:p>
        </w:tc>
      </w:tr>
      <w:tr w14:paraId="02F72B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B2A9447">
            <w:pPr>
              <w:adjustRightInd w:val="0"/>
              <w:snapToGrid w:val="0"/>
              <w:jc w:val="center"/>
              <w:rPr>
                <w:rFonts w:ascii="宋体" w:hAnsi="宋体"/>
                <w:szCs w:val="21"/>
              </w:rPr>
            </w:pPr>
            <w:r>
              <w:rPr>
                <w:rFonts w:hint="eastAsia" w:ascii="宋体" w:hAnsi="宋体"/>
                <w:szCs w:val="21"/>
              </w:rPr>
              <w:t>第二节</w:t>
            </w:r>
          </w:p>
          <w:p w14:paraId="04676B20">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14:paraId="3054E055">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14:paraId="7D132FBE">
            <w:pPr>
              <w:adjustRightInd w:val="0"/>
              <w:snapToGrid w:val="0"/>
              <w:jc w:val="left"/>
              <w:rPr>
                <w:rFonts w:ascii="宋体" w:hAnsi="宋体"/>
                <w:szCs w:val="21"/>
              </w:rPr>
            </w:pPr>
          </w:p>
        </w:tc>
      </w:tr>
      <w:tr w14:paraId="7ED0C1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2CA854">
            <w:pPr>
              <w:adjustRightInd w:val="0"/>
              <w:snapToGrid w:val="0"/>
              <w:jc w:val="center"/>
              <w:rPr>
                <w:rFonts w:ascii="宋体" w:hAnsi="宋体"/>
                <w:szCs w:val="21"/>
              </w:rPr>
            </w:pPr>
            <w:r>
              <w:rPr>
                <w:rFonts w:hint="eastAsia" w:ascii="宋体" w:hAnsi="宋体"/>
                <w:szCs w:val="21"/>
              </w:rPr>
              <w:t>第二节</w:t>
            </w:r>
          </w:p>
          <w:p w14:paraId="5D2CF6DE">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14:paraId="305DE79B">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5D547C8D">
            <w:pPr>
              <w:adjustRightInd w:val="0"/>
              <w:snapToGrid w:val="0"/>
              <w:jc w:val="left"/>
              <w:rPr>
                <w:rFonts w:ascii="宋体" w:hAnsi="宋体"/>
                <w:szCs w:val="21"/>
              </w:rPr>
            </w:pPr>
          </w:p>
        </w:tc>
      </w:tr>
      <w:tr w14:paraId="1C9630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10DB74">
            <w:pPr>
              <w:adjustRightInd w:val="0"/>
              <w:snapToGrid w:val="0"/>
              <w:jc w:val="center"/>
              <w:rPr>
                <w:rFonts w:ascii="宋体" w:hAnsi="宋体"/>
                <w:szCs w:val="21"/>
              </w:rPr>
            </w:pPr>
            <w:r>
              <w:rPr>
                <w:rFonts w:hint="eastAsia" w:ascii="宋体" w:hAnsi="宋体"/>
                <w:szCs w:val="21"/>
              </w:rPr>
              <w:t>第二节</w:t>
            </w:r>
          </w:p>
          <w:p w14:paraId="0FB0DE77">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77F87326">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176E8FB9">
            <w:pPr>
              <w:adjustRightInd w:val="0"/>
              <w:snapToGrid w:val="0"/>
              <w:jc w:val="left"/>
              <w:rPr>
                <w:rFonts w:ascii="宋体" w:hAnsi="宋体"/>
                <w:szCs w:val="21"/>
              </w:rPr>
            </w:pPr>
          </w:p>
        </w:tc>
      </w:tr>
      <w:tr w14:paraId="14D198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97A532">
            <w:pPr>
              <w:adjustRightInd w:val="0"/>
              <w:snapToGrid w:val="0"/>
              <w:jc w:val="center"/>
              <w:rPr>
                <w:rFonts w:ascii="宋体" w:hAnsi="宋体"/>
                <w:szCs w:val="21"/>
              </w:rPr>
            </w:pPr>
            <w:r>
              <w:rPr>
                <w:rFonts w:hint="eastAsia" w:ascii="宋体" w:hAnsi="宋体"/>
                <w:szCs w:val="21"/>
              </w:rPr>
              <w:t>第二节</w:t>
            </w:r>
          </w:p>
          <w:p w14:paraId="1DCC2B6F">
            <w:pPr>
              <w:snapToGrid w:val="0"/>
              <w:jc w:val="center"/>
            </w:pPr>
            <w:r>
              <w:rPr>
                <w:rFonts w:hint="eastAsia" w:ascii="宋体" w:hAnsi="宋体"/>
                <w:szCs w:val="21"/>
              </w:rPr>
              <w:t>第5.4款</w:t>
            </w:r>
          </w:p>
        </w:tc>
        <w:tc>
          <w:tcPr>
            <w:tcW w:w="1742" w:type="dxa"/>
            <w:vAlign w:val="center"/>
          </w:tcPr>
          <w:p w14:paraId="2F1C4C93">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754CAE8D">
            <w:pPr>
              <w:adjustRightInd w:val="0"/>
              <w:snapToGrid w:val="0"/>
              <w:jc w:val="left"/>
              <w:rPr>
                <w:rFonts w:ascii="宋体" w:hAnsi="宋体"/>
                <w:szCs w:val="21"/>
              </w:rPr>
            </w:pPr>
          </w:p>
        </w:tc>
      </w:tr>
      <w:tr w14:paraId="67A08A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556EF3">
            <w:pPr>
              <w:adjustRightInd w:val="0"/>
              <w:snapToGrid w:val="0"/>
              <w:jc w:val="center"/>
              <w:rPr>
                <w:rFonts w:ascii="宋体" w:hAnsi="宋体"/>
                <w:szCs w:val="21"/>
              </w:rPr>
            </w:pPr>
            <w:r>
              <w:rPr>
                <w:rFonts w:hint="eastAsia" w:ascii="宋体" w:hAnsi="宋体"/>
                <w:szCs w:val="21"/>
              </w:rPr>
              <w:t>第二节</w:t>
            </w:r>
          </w:p>
          <w:p w14:paraId="1AE37B59">
            <w:pPr>
              <w:snapToGrid w:val="0"/>
              <w:jc w:val="center"/>
              <w:rPr>
                <w:rFonts w:ascii="宋体" w:hAnsi="宋体"/>
                <w:szCs w:val="21"/>
              </w:rPr>
            </w:pPr>
            <w:r>
              <w:rPr>
                <w:rFonts w:hint="eastAsia" w:ascii="宋体" w:hAnsi="宋体"/>
                <w:szCs w:val="21"/>
              </w:rPr>
              <w:t>第6.1款</w:t>
            </w:r>
          </w:p>
        </w:tc>
        <w:tc>
          <w:tcPr>
            <w:tcW w:w="1742" w:type="dxa"/>
            <w:vAlign w:val="center"/>
          </w:tcPr>
          <w:p w14:paraId="3E2BBB8B">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14:paraId="54C02B01">
            <w:pPr>
              <w:adjustRightInd w:val="0"/>
              <w:snapToGrid w:val="0"/>
              <w:jc w:val="left"/>
              <w:rPr>
                <w:rFonts w:ascii="宋体" w:hAnsi="宋体"/>
                <w:szCs w:val="21"/>
              </w:rPr>
            </w:pPr>
          </w:p>
        </w:tc>
      </w:tr>
      <w:tr w14:paraId="228A00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ACEC23D">
            <w:pPr>
              <w:adjustRightInd w:val="0"/>
              <w:snapToGrid w:val="0"/>
              <w:jc w:val="center"/>
              <w:rPr>
                <w:rFonts w:ascii="宋体" w:hAnsi="宋体"/>
                <w:szCs w:val="21"/>
              </w:rPr>
            </w:pPr>
            <w:r>
              <w:rPr>
                <w:rFonts w:hint="eastAsia" w:ascii="宋体" w:hAnsi="宋体"/>
                <w:szCs w:val="21"/>
              </w:rPr>
              <w:t>第二节</w:t>
            </w:r>
          </w:p>
          <w:p w14:paraId="2A2DEF4D">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14:paraId="6A1081B8">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14:paraId="6D52407F"/>
        </w:tc>
      </w:tr>
      <w:tr w14:paraId="149BC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AF6B7C1">
            <w:pPr>
              <w:adjustRightInd w:val="0"/>
              <w:snapToGrid w:val="0"/>
              <w:jc w:val="center"/>
              <w:rPr>
                <w:rFonts w:ascii="宋体" w:hAnsi="宋体"/>
                <w:szCs w:val="21"/>
              </w:rPr>
            </w:pPr>
          </w:p>
        </w:tc>
        <w:tc>
          <w:tcPr>
            <w:tcW w:w="1742" w:type="dxa"/>
            <w:vAlign w:val="center"/>
          </w:tcPr>
          <w:p w14:paraId="3C9B4147">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14:paraId="49BE7E58"/>
        </w:tc>
      </w:tr>
      <w:tr w14:paraId="3AD971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1591852">
            <w:pPr>
              <w:adjustRightInd w:val="0"/>
              <w:snapToGrid w:val="0"/>
              <w:jc w:val="center"/>
              <w:rPr>
                <w:rFonts w:ascii="宋体" w:hAnsi="宋体"/>
                <w:szCs w:val="21"/>
              </w:rPr>
            </w:pPr>
            <w:r>
              <w:rPr>
                <w:rFonts w:hint="eastAsia" w:ascii="宋体" w:hAnsi="宋体"/>
                <w:szCs w:val="21"/>
              </w:rPr>
              <w:t>第二节</w:t>
            </w:r>
          </w:p>
          <w:p w14:paraId="402AE3E0">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14:paraId="4ED12A66">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14:paraId="55AB5EDA"/>
        </w:tc>
      </w:tr>
      <w:tr w14:paraId="7ED637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55B8304">
            <w:pPr>
              <w:adjustRightInd w:val="0"/>
              <w:snapToGrid w:val="0"/>
              <w:jc w:val="center"/>
              <w:rPr>
                <w:rFonts w:ascii="宋体" w:hAnsi="宋体"/>
                <w:szCs w:val="21"/>
              </w:rPr>
            </w:pPr>
            <w:r>
              <w:rPr>
                <w:rFonts w:hint="eastAsia" w:ascii="宋体" w:hAnsi="宋体"/>
                <w:szCs w:val="21"/>
              </w:rPr>
              <w:t>第二节</w:t>
            </w:r>
          </w:p>
          <w:p w14:paraId="62D240DC">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14:paraId="2E01C897">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14:paraId="0F1B9BA1"/>
        </w:tc>
      </w:tr>
      <w:tr w14:paraId="125F29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716D61">
            <w:pPr>
              <w:adjustRightInd w:val="0"/>
              <w:snapToGrid w:val="0"/>
              <w:jc w:val="center"/>
              <w:rPr>
                <w:rFonts w:ascii="宋体" w:hAnsi="宋体"/>
                <w:szCs w:val="21"/>
              </w:rPr>
            </w:pPr>
            <w:r>
              <w:rPr>
                <w:rFonts w:hint="eastAsia" w:ascii="宋体" w:hAnsi="宋体"/>
                <w:szCs w:val="21"/>
              </w:rPr>
              <w:t>第二节</w:t>
            </w:r>
          </w:p>
          <w:p w14:paraId="6561E3CC">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14:paraId="5E845769">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4D50905">
            <w:pPr>
              <w:autoSpaceDE w:val="0"/>
              <w:autoSpaceDN w:val="0"/>
              <w:adjustRightInd w:val="0"/>
              <w:snapToGrid w:val="0"/>
              <w:ind w:firstLine="420" w:firstLineChars="200"/>
              <w:jc w:val="left"/>
              <w:rPr>
                <w:rFonts w:ascii="宋体" w:hAnsi="宋体"/>
                <w:szCs w:val="21"/>
              </w:rPr>
            </w:pPr>
          </w:p>
        </w:tc>
      </w:tr>
      <w:tr w14:paraId="26E405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B9174B">
            <w:pPr>
              <w:adjustRightInd w:val="0"/>
              <w:snapToGrid w:val="0"/>
              <w:jc w:val="center"/>
              <w:rPr>
                <w:rFonts w:ascii="宋体" w:hAnsi="宋体"/>
                <w:szCs w:val="21"/>
              </w:rPr>
            </w:pPr>
            <w:r>
              <w:rPr>
                <w:rFonts w:hint="eastAsia" w:ascii="宋体" w:hAnsi="宋体"/>
                <w:szCs w:val="21"/>
              </w:rPr>
              <w:t>第二节</w:t>
            </w:r>
          </w:p>
          <w:p w14:paraId="0E614236">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14:paraId="1471D0C2">
            <w:pPr>
              <w:adjustRightInd w:val="0"/>
              <w:snapToGrid w:val="0"/>
              <w:jc w:val="left"/>
              <w:rPr>
                <w:rFonts w:ascii="宋体" w:hAnsi="宋体"/>
                <w:szCs w:val="21"/>
              </w:rPr>
            </w:pPr>
            <w:r>
              <w:rPr>
                <w:rFonts w:hint="eastAsia" w:ascii="宋体" w:hAnsi="宋体"/>
                <w:szCs w:val="21"/>
              </w:rPr>
              <w:t>货物质量缺陷</w:t>
            </w:r>
          </w:p>
          <w:p w14:paraId="4D1AD81F">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589A91B6">
            <w:pPr>
              <w:adjustRightInd w:val="0"/>
              <w:snapToGrid w:val="0"/>
              <w:jc w:val="left"/>
              <w:rPr>
                <w:rFonts w:ascii="宋体" w:hAnsi="宋体"/>
                <w:szCs w:val="21"/>
              </w:rPr>
            </w:pPr>
          </w:p>
        </w:tc>
      </w:tr>
      <w:tr w14:paraId="6AB9DB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523D19">
            <w:pPr>
              <w:snapToGrid w:val="0"/>
              <w:jc w:val="center"/>
              <w:rPr>
                <w:rFonts w:ascii="宋体" w:hAnsi="宋体" w:cs="宋体"/>
                <w:szCs w:val="21"/>
              </w:rPr>
            </w:pPr>
            <w:r>
              <w:rPr>
                <w:rFonts w:hint="eastAsia" w:ascii="宋体" w:hAnsi="宋体" w:cs="宋体"/>
                <w:szCs w:val="21"/>
              </w:rPr>
              <w:t>第二节</w:t>
            </w:r>
          </w:p>
          <w:p w14:paraId="291AE7AB">
            <w:pPr>
              <w:pStyle w:val="144"/>
              <w:ind w:firstLine="0" w:firstLineChars="0"/>
              <w:jc w:val="center"/>
            </w:pPr>
            <w:r>
              <w:rPr>
                <w:rFonts w:hint="eastAsia" w:ascii="宋体" w:hAnsi="宋体" w:eastAsia="宋体" w:cs="宋体"/>
              </w:rPr>
              <w:t>第11.1款</w:t>
            </w:r>
          </w:p>
        </w:tc>
        <w:tc>
          <w:tcPr>
            <w:tcW w:w="1742" w:type="dxa"/>
            <w:vAlign w:val="center"/>
          </w:tcPr>
          <w:p w14:paraId="378EADC3">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14:paraId="2D20AA37">
            <w:pPr>
              <w:adjustRightInd w:val="0"/>
              <w:snapToGrid w:val="0"/>
              <w:jc w:val="left"/>
              <w:rPr>
                <w:rFonts w:ascii="宋体" w:hAnsi="宋体"/>
                <w:szCs w:val="21"/>
              </w:rPr>
            </w:pPr>
          </w:p>
        </w:tc>
      </w:tr>
      <w:tr w14:paraId="25912C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AE97235">
            <w:pPr>
              <w:adjustRightInd w:val="0"/>
              <w:snapToGrid w:val="0"/>
              <w:jc w:val="center"/>
              <w:rPr>
                <w:rFonts w:ascii="宋体" w:hAnsi="宋体"/>
                <w:szCs w:val="21"/>
              </w:rPr>
            </w:pPr>
            <w:r>
              <w:rPr>
                <w:rFonts w:hint="eastAsia" w:ascii="宋体" w:hAnsi="宋体"/>
                <w:szCs w:val="21"/>
              </w:rPr>
              <w:t>第二节</w:t>
            </w:r>
          </w:p>
          <w:p w14:paraId="0C5141D6">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14:paraId="10F0AB81">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14:paraId="129B27D2">
            <w:pPr>
              <w:adjustRightInd w:val="0"/>
              <w:snapToGrid w:val="0"/>
              <w:jc w:val="left"/>
              <w:rPr>
                <w:rFonts w:ascii="宋体" w:hAnsi="宋体"/>
                <w:szCs w:val="21"/>
              </w:rPr>
            </w:pPr>
          </w:p>
        </w:tc>
      </w:tr>
      <w:tr w14:paraId="1B5F64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F28A3B0">
            <w:pPr>
              <w:adjustRightInd w:val="0"/>
              <w:snapToGrid w:val="0"/>
              <w:jc w:val="center"/>
              <w:rPr>
                <w:rFonts w:ascii="宋体" w:hAnsi="宋体"/>
                <w:szCs w:val="21"/>
              </w:rPr>
            </w:pPr>
            <w:r>
              <w:rPr>
                <w:rFonts w:hint="eastAsia" w:ascii="宋体" w:hAnsi="宋体"/>
                <w:szCs w:val="21"/>
              </w:rPr>
              <w:t>第二节</w:t>
            </w:r>
          </w:p>
          <w:p w14:paraId="6069293E">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14:paraId="648BDD2C">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57FCFE1F">
            <w:pPr>
              <w:adjustRightInd w:val="0"/>
              <w:snapToGrid w:val="0"/>
              <w:jc w:val="left"/>
              <w:rPr>
                <w:rFonts w:ascii="宋体" w:hAnsi="宋体"/>
                <w:szCs w:val="21"/>
              </w:rPr>
            </w:pPr>
          </w:p>
        </w:tc>
      </w:tr>
      <w:tr w14:paraId="1D88B4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EB429F">
            <w:pPr>
              <w:adjustRightInd w:val="0"/>
              <w:snapToGrid w:val="0"/>
              <w:jc w:val="center"/>
              <w:rPr>
                <w:rFonts w:ascii="宋体" w:hAnsi="宋体"/>
                <w:szCs w:val="21"/>
              </w:rPr>
            </w:pPr>
            <w:r>
              <w:rPr>
                <w:rFonts w:hint="eastAsia" w:ascii="宋体" w:hAnsi="宋体"/>
                <w:szCs w:val="21"/>
              </w:rPr>
              <w:t>第二节</w:t>
            </w:r>
          </w:p>
          <w:p w14:paraId="2A6922B9">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14:paraId="4165B115">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66805943">
            <w:pPr>
              <w:adjustRightInd w:val="0"/>
              <w:snapToGrid w:val="0"/>
              <w:jc w:val="left"/>
              <w:rPr>
                <w:rFonts w:ascii="宋体" w:hAnsi="宋体"/>
                <w:szCs w:val="21"/>
              </w:rPr>
            </w:pPr>
          </w:p>
        </w:tc>
      </w:tr>
      <w:tr w14:paraId="4CBAD7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1D9C86E">
            <w:pPr>
              <w:adjustRightInd w:val="0"/>
              <w:snapToGrid w:val="0"/>
              <w:jc w:val="center"/>
              <w:rPr>
                <w:rFonts w:ascii="宋体" w:hAnsi="宋体"/>
                <w:szCs w:val="21"/>
              </w:rPr>
            </w:pPr>
            <w:r>
              <w:rPr>
                <w:rFonts w:hint="eastAsia" w:ascii="宋体" w:hAnsi="宋体"/>
                <w:szCs w:val="21"/>
              </w:rPr>
              <w:t>第二节</w:t>
            </w:r>
          </w:p>
          <w:p w14:paraId="04E666A8">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14:paraId="71A7CD4D">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14:paraId="37A18AC9">
            <w:pPr>
              <w:adjustRightInd w:val="0"/>
              <w:snapToGrid w:val="0"/>
              <w:jc w:val="left"/>
              <w:rPr>
                <w:rFonts w:ascii="宋体" w:hAnsi="宋体"/>
                <w:szCs w:val="21"/>
              </w:rPr>
            </w:pPr>
          </w:p>
        </w:tc>
      </w:tr>
      <w:tr w14:paraId="0C08A3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DB34EFD">
            <w:pPr>
              <w:adjustRightInd w:val="0"/>
              <w:snapToGrid w:val="0"/>
              <w:jc w:val="center"/>
              <w:rPr>
                <w:rFonts w:ascii="宋体" w:hAnsi="宋体"/>
                <w:szCs w:val="21"/>
              </w:rPr>
            </w:pPr>
            <w:r>
              <w:rPr>
                <w:rFonts w:hint="eastAsia" w:ascii="宋体" w:hAnsi="宋体"/>
                <w:szCs w:val="21"/>
              </w:rPr>
              <w:t>第二节</w:t>
            </w:r>
          </w:p>
          <w:p w14:paraId="62CF21E1">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14:paraId="6E716BCF">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14:paraId="10352073">
            <w:pPr>
              <w:adjustRightInd w:val="0"/>
              <w:snapToGrid w:val="0"/>
              <w:jc w:val="left"/>
              <w:rPr>
                <w:rFonts w:ascii="宋体" w:hAnsi="宋体"/>
                <w:szCs w:val="21"/>
              </w:rPr>
            </w:pPr>
          </w:p>
        </w:tc>
      </w:tr>
      <w:tr w14:paraId="1CC7FB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28A478">
            <w:pPr>
              <w:adjustRightInd w:val="0"/>
              <w:snapToGrid w:val="0"/>
              <w:jc w:val="center"/>
              <w:rPr>
                <w:rFonts w:ascii="宋体" w:hAnsi="宋体"/>
                <w:szCs w:val="21"/>
              </w:rPr>
            </w:pPr>
            <w:r>
              <w:rPr>
                <w:rFonts w:hint="eastAsia" w:ascii="宋体" w:hAnsi="宋体"/>
                <w:szCs w:val="21"/>
              </w:rPr>
              <w:t>第二节</w:t>
            </w:r>
          </w:p>
          <w:p w14:paraId="15E5FBD5">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14:paraId="5B33C38F">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7C3AF6F8">
            <w:pPr>
              <w:adjustRightInd w:val="0"/>
              <w:snapToGrid w:val="0"/>
              <w:jc w:val="left"/>
              <w:rPr>
                <w:rFonts w:ascii="宋体" w:hAnsi="宋体"/>
                <w:szCs w:val="21"/>
              </w:rPr>
            </w:pPr>
          </w:p>
        </w:tc>
      </w:tr>
      <w:tr w14:paraId="2D3330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BF0AAB">
            <w:pPr>
              <w:adjustRightInd w:val="0"/>
              <w:snapToGrid w:val="0"/>
              <w:jc w:val="center"/>
              <w:rPr>
                <w:rFonts w:ascii="宋体" w:hAnsi="宋体"/>
                <w:szCs w:val="21"/>
              </w:rPr>
            </w:pPr>
            <w:r>
              <w:rPr>
                <w:rFonts w:hint="eastAsia" w:ascii="宋体" w:hAnsi="宋体"/>
                <w:szCs w:val="21"/>
              </w:rPr>
              <w:t>第二节</w:t>
            </w:r>
          </w:p>
          <w:p w14:paraId="1FF75868">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14:paraId="5B04C282">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42005717">
            <w:pPr>
              <w:adjustRightInd w:val="0"/>
              <w:snapToGrid w:val="0"/>
              <w:jc w:val="left"/>
              <w:rPr>
                <w:rFonts w:ascii="宋体" w:hAnsi="宋体"/>
                <w:szCs w:val="21"/>
              </w:rPr>
            </w:pPr>
          </w:p>
        </w:tc>
      </w:tr>
      <w:tr w14:paraId="3B9480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847B30">
            <w:pPr>
              <w:adjustRightInd w:val="0"/>
              <w:snapToGrid w:val="0"/>
              <w:jc w:val="center"/>
              <w:rPr>
                <w:rFonts w:ascii="宋体" w:hAnsi="宋体"/>
                <w:szCs w:val="21"/>
              </w:rPr>
            </w:pPr>
            <w:r>
              <w:rPr>
                <w:rFonts w:hint="eastAsia" w:ascii="宋体" w:hAnsi="宋体"/>
                <w:szCs w:val="21"/>
              </w:rPr>
              <w:t>第二节</w:t>
            </w:r>
          </w:p>
          <w:p w14:paraId="29A96B28">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14:paraId="3C1971D4">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60061BC1">
            <w:pPr>
              <w:adjustRightInd w:val="0"/>
              <w:snapToGrid w:val="0"/>
              <w:jc w:val="left"/>
              <w:rPr>
                <w:rFonts w:ascii="宋体" w:hAnsi="宋体"/>
                <w:szCs w:val="21"/>
                <w:u w:val="single"/>
              </w:rPr>
            </w:pPr>
          </w:p>
        </w:tc>
      </w:tr>
      <w:tr w14:paraId="4E0AC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94E8B6">
            <w:pPr>
              <w:adjustRightInd w:val="0"/>
              <w:snapToGrid w:val="0"/>
              <w:jc w:val="center"/>
              <w:rPr>
                <w:rFonts w:ascii="宋体" w:hAnsi="宋体"/>
                <w:szCs w:val="21"/>
              </w:rPr>
            </w:pPr>
            <w:r>
              <w:rPr>
                <w:rFonts w:hint="eastAsia" w:ascii="宋体" w:hAnsi="宋体"/>
                <w:szCs w:val="21"/>
              </w:rPr>
              <w:t>第二节</w:t>
            </w:r>
          </w:p>
          <w:p w14:paraId="3A79AC75">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14:paraId="5BF0DDD5">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14:paraId="4A55DD02">
            <w:pPr>
              <w:adjustRightInd w:val="0"/>
              <w:snapToGrid w:val="0"/>
              <w:jc w:val="left"/>
              <w:rPr>
                <w:rFonts w:ascii="宋体" w:hAnsi="宋体"/>
                <w:szCs w:val="21"/>
                <w:u w:val="single"/>
              </w:rPr>
            </w:pPr>
          </w:p>
        </w:tc>
      </w:tr>
      <w:tr w14:paraId="412EC6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EEC2062">
            <w:pPr>
              <w:adjustRightInd w:val="0"/>
              <w:snapToGrid w:val="0"/>
              <w:jc w:val="center"/>
              <w:rPr>
                <w:rFonts w:ascii="宋体" w:hAnsi="宋体"/>
                <w:szCs w:val="21"/>
              </w:rPr>
            </w:pPr>
            <w:r>
              <w:rPr>
                <w:rFonts w:hint="eastAsia" w:ascii="宋体" w:hAnsi="宋体"/>
                <w:szCs w:val="21"/>
              </w:rPr>
              <w:t>第二节</w:t>
            </w:r>
          </w:p>
          <w:p w14:paraId="0741E1F6">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5137A27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8966191">
            <w:pPr>
              <w:adjustRightInd w:val="0"/>
              <w:snapToGrid w:val="0"/>
              <w:jc w:val="left"/>
              <w:rPr>
                <w:rFonts w:ascii="宋体" w:hAnsi="宋体"/>
                <w:szCs w:val="21"/>
                <w:u w:val="single"/>
              </w:rPr>
            </w:pPr>
          </w:p>
        </w:tc>
      </w:tr>
      <w:tr w14:paraId="2CF01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80927A9">
            <w:pPr>
              <w:adjustRightInd w:val="0"/>
              <w:snapToGrid w:val="0"/>
              <w:jc w:val="center"/>
              <w:rPr>
                <w:rFonts w:ascii="宋体" w:hAnsi="宋体"/>
                <w:szCs w:val="21"/>
              </w:rPr>
            </w:pPr>
            <w:r>
              <w:rPr>
                <w:rFonts w:hint="eastAsia" w:ascii="宋体" w:hAnsi="宋体"/>
                <w:szCs w:val="21"/>
              </w:rPr>
              <w:t>第二节</w:t>
            </w:r>
          </w:p>
          <w:p w14:paraId="27563CE5">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2F646FC7">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71B8AB9D">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5915E16C">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196D2DD8">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5723D6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E7AB1A6">
            <w:pPr>
              <w:adjustRightInd w:val="0"/>
              <w:snapToGrid w:val="0"/>
              <w:jc w:val="center"/>
              <w:rPr>
                <w:rFonts w:ascii="宋体" w:hAnsi="宋体"/>
                <w:szCs w:val="21"/>
              </w:rPr>
            </w:pPr>
            <w:r>
              <w:rPr>
                <w:rFonts w:hint="eastAsia" w:ascii="宋体" w:hAnsi="宋体"/>
                <w:szCs w:val="21"/>
              </w:rPr>
              <w:t>第二节</w:t>
            </w:r>
          </w:p>
          <w:p w14:paraId="388F7F32">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14:paraId="2586BC00">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14:paraId="6F8CB868">
            <w:pPr>
              <w:adjustRightInd w:val="0"/>
              <w:snapToGrid w:val="0"/>
              <w:jc w:val="left"/>
              <w:rPr>
                <w:rFonts w:ascii="宋体" w:hAnsi="宋体"/>
                <w:szCs w:val="21"/>
              </w:rPr>
            </w:pPr>
          </w:p>
        </w:tc>
      </w:tr>
    </w:tbl>
    <w:p w14:paraId="263F89F3"/>
    <w:p w14:paraId="4D74F279"/>
    <w:p w14:paraId="58FFB64B"/>
    <w:p w14:paraId="4568E356">
      <w:pPr>
        <w:pStyle w:val="21"/>
        <w:jc w:val="left"/>
      </w:pPr>
    </w:p>
    <w:p w14:paraId="0C744A39"/>
    <w:p w14:paraId="37BF26DF"/>
    <w:p w14:paraId="5D168A4C"/>
    <w:p w14:paraId="17250981"/>
    <w:p w14:paraId="3874FC0A"/>
    <w:p w14:paraId="280D264C"/>
    <w:p w14:paraId="4A9F4084"/>
    <w:p w14:paraId="6481C443"/>
    <w:p w14:paraId="10362406"/>
    <w:p w14:paraId="37BC730C">
      <w:pPr>
        <w:pStyle w:val="144"/>
        <w:ind w:firstLine="462"/>
      </w:pPr>
    </w:p>
    <w:p w14:paraId="0CAF9E50">
      <w:pPr>
        <w:pStyle w:val="144"/>
        <w:ind w:firstLine="462"/>
      </w:pPr>
    </w:p>
    <w:p w14:paraId="4CF4FF2D">
      <w:pPr>
        <w:pStyle w:val="144"/>
        <w:ind w:firstLine="462"/>
      </w:pPr>
    </w:p>
    <w:p w14:paraId="2D75365C">
      <w:pPr>
        <w:pStyle w:val="144"/>
        <w:ind w:firstLine="462"/>
      </w:pPr>
    </w:p>
    <w:p w14:paraId="3477EAEA">
      <w:pPr>
        <w:pStyle w:val="144"/>
        <w:ind w:firstLine="462"/>
      </w:pPr>
    </w:p>
    <w:p w14:paraId="2FC355BD">
      <w:pPr>
        <w:pStyle w:val="144"/>
        <w:ind w:firstLine="462"/>
      </w:pPr>
    </w:p>
    <w:p w14:paraId="7A976066">
      <w:pPr>
        <w:pStyle w:val="144"/>
        <w:ind w:firstLine="462"/>
      </w:pPr>
    </w:p>
    <w:p w14:paraId="5689DD41">
      <w:pPr>
        <w:pStyle w:val="144"/>
        <w:ind w:firstLine="462"/>
      </w:pPr>
    </w:p>
    <w:p w14:paraId="3E833A07">
      <w:pPr>
        <w:pStyle w:val="144"/>
        <w:ind w:firstLine="462"/>
      </w:pPr>
    </w:p>
    <w:p w14:paraId="00DDFB64">
      <w:pPr>
        <w:pStyle w:val="144"/>
        <w:ind w:firstLine="462"/>
      </w:pPr>
    </w:p>
    <w:p w14:paraId="11C5DE3F">
      <w:pPr>
        <w:pStyle w:val="144"/>
        <w:ind w:firstLine="462"/>
      </w:pPr>
    </w:p>
    <w:p w14:paraId="2EA82A7B">
      <w:pPr>
        <w:pStyle w:val="144"/>
        <w:ind w:firstLine="462"/>
      </w:pPr>
    </w:p>
    <w:p w14:paraId="7C8736A4">
      <w:pPr>
        <w:pStyle w:val="144"/>
        <w:ind w:firstLine="462"/>
      </w:pPr>
    </w:p>
    <w:p w14:paraId="315DA3DC">
      <w:pPr>
        <w:pStyle w:val="144"/>
        <w:ind w:firstLine="462"/>
      </w:pPr>
    </w:p>
    <w:p w14:paraId="2075B409">
      <w:pPr>
        <w:pStyle w:val="144"/>
        <w:ind w:firstLine="462"/>
      </w:pPr>
    </w:p>
    <w:p w14:paraId="3A266BAB">
      <w:pPr>
        <w:pStyle w:val="144"/>
        <w:ind w:firstLine="462"/>
      </w:pPr>
    </w:p>
    <w:p w14:paraId="67B96946">
      <w:pPr>
        <w:pStyle w:val="144"/>
        <w:ind w:firstLine="462"/>
      </w:pPr>
    </w:p>
    <w:p w14:paraId="5D783A28">
      <w:pPr>
        <w:pStyle w:val="144"/>
        <w:ind w:firstLine="462"/>
      </w:pPr>
    </w:p>
    <w:p w14:paraId="2B511035">
      <w:pPr>
        <w:pStyle w:val="144"/>
        <w:ind w:firstLine="462"/>
      </w:pPr>
    </w:p>
    <w:p w14:paraId="4837A79D"/>
    <w:p w14:paraId="32CB9106"/>
    <w:p w14:paraId="49BB9F55"/>
    <w:p w14:paraId="03A01F6C"/>
    <w:p w14:paraId="4B4C9664">
      <w:pPr>
        <w:pStyle w:val="2"/>
        <w:spacing w:line="400" w:lineRule="exact"/>
        <w:rPr>
          <w:rFonts w:ascii="方正小标宋_GBK" w:hAnsi="方正小标宋_GBK" w:eastAsia="方正小标宋_GBK"/>
        </w:rPr>
      </w:pPr>
      <w:bookmarkStart w:id="119" w:name="_Toc92355028"/>
      <w:bookmarkStart w:id="120" w:name="_Toc397585460"/>
      <w:r>
        <w:rPr>
          <w:rFonts w:hint="eastAsia" w:ascii="方正小标宋_GBK" w:hAnsi="方正小标宋_GBK" w:eastAsia="方正小标宋_GBK"/>
        </w:rPr>
        <w:t>第六章  响应文件格式</w:t>
      </w:r>
      <w:bookmarkEnd w:id="119"/>
      <w:bookmarkEnd w:id="120"/>
    </w:p>
    <w:p w14:paraId="6C6DD19F">
      <w:pPr>
        <w:jc w:val="left"/>
        <w:rPr>
          <w:rFonts w:hAnsi="宋体"/>
          <w:sz w:val="36"/>
          <w:szCs w:val="36"/>
        </w:rPr>
      </w:pPr>
      <w:r>
        <w:rPr>
          <w:b/>
          <w:sz w:val="30"/>
          <w:szCs w:val="30"/>
        </w:rPr>
        <w:br w:type="page"/>
      </w:r>
      <w:r>
        <w:rPr>
          <w:rFonts w:hint="eastAsia" w:ascii="仿宋_GB2312"/>
          <w:b/>
          <w:bCs/>
          <w:sz w:val="36"/>
          <w:szCs w:val="36"/>
        </w:rPr>
        <w:t>一、供应商资格文件</w:t>
      </w:r>
    </w:p>
    <w:p w14:paraId="33C01A9B">
      <w:pPr>
        <w:tabs>
          <w:tab w:val="left" w:pos="3402"/>
        </w:tabs>
        <w:ind w:firstLine="602"/>
        <w:jc w:val="center"/>
        <w:rPr>
          <w:rFonts w:ascii="仿宋_GB2312" w:hAnsi="Adobe 仿宋 Std R" w:eastAsia="仿宋_GB2312"/>
          <w:b/>
          <w:spacing w:val="10"/>
          <w:sz w:val="32"/>
          <w:szCs w:val="32"/>
        </w:rPr>
      </w:pPr>
      <w:bookmarkStart w:id="121" w:name="_Hlk111728366"/>
      <w:r>
        <w:rPr>
          <w:rFonts w:hint="eastAsia" w:ascii="仿宋_GB2312" w:hAnsi="Adobe 仿宋 Std R" w:eastAsia="仿宋_GB2312"/>
          <w:b/>
          <w:spacing w:val="10"/>
          <w:sz w:val="32"/>
          <w:szCs w:val="32"/>
        </w:rPr>
        <w:t>供应商具备参加政府采购活动条件的承诺书</w:t>
      </w:r>
      <w:r>
        <w:rPr>
          <w:rFonts w:hint="eastAsia" w:ascii="仿宋_GB2312" w:hAnsi="Adobe 仿宋 Std R" w:eastAsia="仿宋_GB2312" w:cs="黑体"/>
          <w:bCs/>
          <w:sz w:val="24"/>
        </w:rPr>
        <w:t>(格式)</w:t>
      </w:r>
    </w:p>
    <w:p w14:paraId="75AC3CD5">
      <w:pPr>
        <w:tabs>
          <w:tab w:val="left" w:pos="3402"/>
        </w:tabs>
        <w:jc w:val="left"/>
        <w:rPr>
          <w:rFonts w:ascii="仿宋_GB2312" w:hAnsi="仿宋" w:eastAsia="仿宋_GB2312"/>
          <w:b/>
          <w:spacing w:val="10"/>
          <w:szCs w:val="21"/>
        </w:rPr>
      </w:pPr>
    </w:p>
    <w:p w14:paraId="018E7B66">
      <w:pPr>
        <w:spacing w:line="520" w:lineRule="exact"/>
        <w:rPr>
          <w:rFonts w:ascii="宋体" w:hAnsi="宋体"/>
          <w:bCs/>
          <w:szCs w:val="22"/>
        </w:rPr>
      </w:pPr>
      <w:r>
        <w:rPr>
          <w:rFonts w:hint="eastAsia" w:ascii="宋体" w:hAnsi="宋体"/>
          <w:bCs/>
          <w:szCs w:val="22"/>
        </w:rPr>
        <w:t>钦州市政府采购中心：</w:t>
      </w:r>
    </w:p>
    <w:p w14:paraId="3FA07FD4">
      <w:pPr>
        <w:spacing w:line="520" w:lineRule="exact"/>
        <w:ind w:firstLine="420"/>
        <w:rPr>
          <w:rFonts w:ascii="宋体" w:hAnsi="宋体"/>
          <w:bCs/>
          <w:szCs w:val="22"/>
        </w:rPr>
      </w:pPr>
      <w:r>
        <w:rPr>
          <w:rFonts w:hint="eastAsia" w:ascii="宋体" w:hAnsi="宋体"/>
          <w:bCs/>
          <w:szCs w:val="22"/>
        </w:rPr>
        <w:t>根据《中华人民共和国政府采购法》实施条例第十七条的规定，现郑重承诺：</w:t>
      </w:r>
    </w:p>
    <w:p w14:paraId="302E85B1">
      <w:pPr>
        <w:spacing w:line="520" w:lineRule="exact"/>
        <w:ind w:firstLine="420"/>
        <w:rPr>
          <w:rFonts w:ascii="宋体" w:hAnsi="宋体"/>
          <w:bCs/>
          <w:szCs w:val="22"/>
        </w:rPr>
      </w:pPr>
      <w:r>
        <w:rPr>
          <w:rFonts w:ascii="宋体" w:hAnsi="宋体"/>
          <w:bCs/>
          <w:szCs w:val="22"/>
          <w:u w:val="single"/>
        </w:rPr>
        <w:t>(</w:t>
      </w:r>
      <w:r>
        <w:rPr>
          <w:rFonts w:hint="eastAsia" w:ascii="宋体" w:hAnsi="宋体"/>
          <w:bCs/>
          <w:szCs w:val="22"/>
          <w:u w:val="single"/>
        </w:rPr>
        <w:t>供应商名称)</w:t>
      </w:r>
      <w:r>
        <w:rPr>
          <w:rFonts w:hint="eastAsia" w:ascii="宋体" w:hAnsi="宋体"/>
          <w:bCs/>
          <w:szCs w:val="22"/>
        </w:rPr>
        <w:t>具有良好的商业信誉和健全的财务会计制度，具有履行合同所必需的设备和专业技术能力，有依法缴纳税收和社会保障资金的良好记录。</w:t>
      </w:r>
    </w:p>
    <w:p w14:paraId="6B5EB879">
      <w:pPr>
        <w:spacing w:line="520" w:lineRule="exact"/>
        <w:ind w:firstLine="420"/>
        <w:rPr>
          <w:rFonts w:ascii="宋体" w:hAnsi="宋体"/>
          <w:bCs/>
          <w:szCs w:val="22"/>
        </w:rPr>
      </w:pPr>
      <w:r>
        <w:rPr>
          <w:rFonts w:hint="eastAsia" w:ascii="宋体" w:hAnsi="宋体"/>
          <w:bCs/>
          <w:szCs w:val="22"/>
        </w:rPr>
        <w:t>本单位对上述承诺内容事项真实性负责，如有虚假，由我单位承担相关法律责任。</w:t>
      </w:r>
    </w:p>
    <w:p w14:paraId="23312570">
      <w:pPr>
        <w:spacing w:line="520" w:lineRule="exact"/>
        <w:ind w:firstLine="420"/>
        <w:rPr>
          <w:rFonts w:ascii="宋体" w:hAnsi="宋体"/>
          <w:bCs/>
          <w:szCs w:val="22"/>
        </w:rPr>
      </w:pPr>
      <w:r>
        <w:rPr>
          <w:rFonts w:hint="eastAsia" w:ascii="宋体" w:hAnsi="宋体"/>
          <w:bCs/>
          <w:szCs w:val="22"/>
        </w:rPr>
        <w:t>特此承诺。</w:t>
      </w:r>
    </w:p>
    <w:p w14:paraId="70E339D7">
      <w:pPr>
        <w:ind w:firstLine="420"/>
        <w:rPr>
          <w:rFonts w:ascii="宋体" w:hAnsi="宋体"/>
          <w:bCs/>
          <w:szCs w:val="22"/>
        </w:rPr>
      </w:pPr>
    </w:p>
    <w:p w14:paraId="0FE18DDE">
      <w:pPr>
        <w:ind w:firstLine="420"/>
        <w:rPr>
          <w:rFonts w:ascii="宋体" w:hAnsi="宋体"/>
          <w:bCs/>
          <w:szCs w:val="22"/>
        </w:rPr>
      </w:pPr>
    </w:p>
    <w:p w14:paraId="15BAE4BD">
      <w:pPr>
        <w:spacing w:line="440" w:lineRule="exact"/>
        <w:ind w:right="1050" w:rightChars="500" w:firstLine="5250" w:firstLineChars="2500"/>
        <w:jc w:val="left"/>
        <w:rPr>
          <w:rFonts w:ascii="宋体" w:hAnsi="宋体"/>
          <w:bCs/>
        </w:rPr>
      </w:pPr>
      <w:r>
        <w:rPr>
          <w:rFonts w:hint="eastAsia" w:ascii="宋体" w:hAnsi="宋体"/>
          <w:bCs/>
          <w:szCs w:val="22"/>
        </w:rPr>
        <w:t xml:space="preserve"> </w:t>
      </w:r>
      <w:r>
        <w:rPr>
          <w:rFonts w:ascii="宋体" w:hAnsi="宋体"/>
          <w:bCs/>
          <w:szCs w:val="22"/>
        </w:rPr>
        <w:t xml:space="preserve">   </w:t>
      </w: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00452012">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bookmarkEnd w:id="121"/>
    <w:p w14:paraId="529B9104"/>
    <w:p w14:paraId="06D2DA68"/>
    <w:p w14:paraId="11D14356"/>
    <w:p w14:paraId="1E68CDB5"/>
    <w:p w14:paraId="4ECEDA45"/>
    <w:p w14:paraId="0D645C85">
      <w:pPr>
        <w:tabs>
          <w:tab w:val="left" w:pos="3402"/>
        </w:tabs>
        <w:spacing w:line="460" w:lineRule="exact"/>
        <w:jc w:val="center"/>
        <w:rPr>
          <w:rFonts w:ascii="仿宋_GB2312" w:hAnsi="仿宋" w:eastAsia="仿宋_GB2312"/>
          <w:b/>
          <w:spacing w:val="10"/>
          <w:sz w:val="32"/>
          <w:szCs w:val="32"/>
        </w:rPr>
      </w:pPr>
      <w:r>
        <w:rPr>
          <w:rFonts w:hint="eastAsia" w:ascii="仿宋_GB2312" w:hAnsi="仿宋" w:eastAsia="仿宋_GB2312"/>
          <w:b/>
          <w:spacing w:val="10"/>
          <w:sz w:val="32"/>
          <w:szCs w:val="32"/>
        </w:rPr>
        <w:t>无重大违法记录的书面声明</w:t>
      </w:r>
      <w:r>
        <w:rPr>
          <w:rFonts w:hint="eastAsia" w:ascii="仿宋" w:hAnsi="仿宋" w:eastAsia="仿宋" w:cs="黑体"/>
          <w:bCs/>
          <w:sz w:val="24"/>
        </w:rPr>
        <w:t>(格式</w:t>
      </w:r>
      <w:r>
        <w:rPr>
          <w:rFonts w:ascii="仿宋" w:hAnsi="仿宋" w:eastAsia="仿宋" w:cs="黑体"/>
          <w:bCs/>
          <w:sz w:val="24"/>
        </w:rPr>
        <w:t>)</w:t>
      </w:r>
    </w:p>
    <w:p w14:paraId="61E63E68">
      <w:pPr>
        <w:spacing w:line="400" w:lineRule="exact"/>
        <w:rPr>
          <w:rFonts w:ascii="宋体" w:hAnsi="宋体"/>
          <w:b/>
        </w:rPr>
      </w:pPr>
    </w:p>
    <w:p w14:paraId="2238EE45">
      <w:pPr>
        <w:spacing w:line="520" w:lineRule="exact"/>
        <w:rPr>
          <w:rFonts w:ascii="宋体" w:hAnsi="宋体"/>
          <w:bCs/>
        </w:rPr>
      </w:pPr>
      <w:r>
        <w:rPr>
          <w:rFonts w:hint="eastAsia" w:ascii="宋体" w:hAnsi="宋体"/>
          <w:bCs/>
        </w:rPr>
        <w:t>钦州市政府采购中心：</w:t>
      </w:r>
    </w:p>
    <w:p w14:paraId="1719050B">
      <w:pPr>
        <w:spacing w:line="520" w:lineRule="exact"/>
        <w:ind w:firstLine="420"/>
        <w:rPr>
          <w:rFonts w:ascii="宋体" w:hAnsi="宋体"/>
          <w:bCs/>
        </w:rPr>
      </w:pPr>
      <w:r>
        <w:rPr>
          <w:rFonts w:hint="eastAsia" w:ascii="宋体" w:hAnsi="宋体"/>
          <w:bCs/>
        </w:rPr>
        <w:t>根据《中华人民共和国政府采购法实施条例》第十七条第一款第(四</w:t>
      </w:r>
      <w:r>
        <w:rPr>
          <w:rFonts w:ascii="宋体" w:hAnsi="宋体"/>
          <w:bCs/>
        </w:rPr>
        <w:t>）</w:t>
      </w:r>
      <w:r>
        <w:rPr>
          <w:rFonts w:hint="eastAsia" w:ascii="宋体" w:hAnsi="宋体"/>
          <w:bCs/>
        </w:rPr>
        <w:t>项的规定，现郑重声明：</w:t>
      </w:r>
    </w:p>
    <w:p w14:paraId="70924549">
      <w:pPr>
        <w:spacing w:line="520" w:lineRule="exact"/>
        <w:ind w:firstLine="420"/>
        <w:rPr>
          <w:rFonts w:ascii="宋体" w:hAnsi="宋体"/>
          <w:bCs/>
        </w:rPr>
      </w:pPr>
      <w:r>
        <w:rPr>
          <w:rFonts w:ascii="宋体" w:hAnsi="宋体"/>
          <w:bCs/>
          <w:u w:val="single"/>
        </w:rPr>
        <w:t>(</w:t>
      </w:r>
      <w:r>
        <w:rPr>
          <w:rFonts w:hint="eastAsia" w:ascii="宋体" w:hAnsi="宋体"/>
          <w:bCs/>
          <w:u w:val="single"/>
        </w:rPr>
        <w:t>供应商名称)</w:t>
      </w:r>
      <w:r>
        <w:rPr>
          <w:rFonts w:hint="eastAsia" w:ascii="宋体" w:hAnsi="宋体"/>
          <w:bCs/>
        </w:rPr>
        <w:t>在参加本次政府采购活动前3年内在经营活动中没有重大违法记录（</w:t>
      </w:r>
      <w:r>
        <w:rPr>
          <w:rFonts w:hint="eastAsia" w:ascii="宋体" w:hAnsi="宋体"/>
          <w:bCs/>
          <w:u w:val="single"/>
        </w:rPr>
        <w:t>即因违法经营受到刑事处罚或者责令停产停业、吊销许可证或者执照、较大数额罚款等行政处罚的行为</w:t>
      </w:r>
      <w:r>
        <w:rPr>
          <w:rFonts w:hint="eastAsia" w:ascii="宋体" w:hAnsi="宋体"/>
          <w:bCs/>
        </w:rPr>
        <w:t>）。</w:t>
      </w:r>
    </w:p>
    <w:p w14:paraId="6922C474">
      <w:pPr>
        <w:spacing w:line="520" w:lineRule="exact"/>
        <w:ind w:firstLine="420"/>
        <w:rPr>
          <w:rFonts w:ascii="宋体" w:hAnsi="宋体"/>
          <w:bCs/>
        </w:rPr>
      </w:pPr>
      <w:r>
        <w:rPr>
          <w:rFonts w:hint="eastAsia" w:ascii="宋体" w:hAnsi="宋体"/>
          <w:bCs/>
        </w:rPr>
        <w:t>本单位对上述声明内容事项真实性负责，如有虚假，由我单位承担相关法律责任。</w:t>
      </w:r>
    </w:p>
    <w:p w14:paraId="47A0A231">
      <w:pPr>
        <w:spacing w:line="520" w:lineRule="exact"/>
        <w:ind w:firstLine="420"/>
        <w:rPr>
          <w:rFonts w:ascii="宋体" w:hAnsi="宋体"/>
          <w:bCs/>
        </w:rPr>
      </w:pPr>
      <w:r>
        <w:rPr>
          <w:rFonts w:hint="eastAsia" w:ascii="宋体" w:hAnsi="宋体"/>
          <w:bCs/>
        </w:rPr>
        <w:t>特此声明。</w:t>
      </w:r>
    </w:p>
    <w:p w14:paraId="61FEC195">
      <w:pPr>
        <w:rPr>
          <w:rFonts w:ascii="宋体" w:hAnsi="宋体"/>
          <w:bCs/>
          <w:szCs w:val="22"/>
        </w:rPr>
      </w:pPr>
    </w:p>
    <w:p w14:paraId="72F537A8">
      <w:pPr>
        <w:rPr>
          <w:rFonts w:ascii="宋体" w:hAnsi="宋体"/>
          <w:bCs/>
          <w:szCs w:val="22"/>
        </w:rPr>
      </w:pPr>
    </w:p>
    <w:p w14:paraId="4FBECF51">
      <w:pPr>
        <w:spacing w:line="440" w:lineRule="exact"/>
        <w:ind w:right="1050" w:rightChars="500" w:firstLine="5670" w:firstLineChars="2700"/>
        <w:jc w:val="left"/>
        <w:rPr>
          <w:rFonts w:ascii="宋体" w:hAnsi="宋体"/>
          <w:bCs/>
        </w:rPr>
      </w:pP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6C455E9F">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14:paraId="19EA254D">
      <w:pPr>
        <w:spacing w:line="400" w:lineRule="exact"/>
        <w:ind w:right="1050" w:rightChars="500"/>
        <w:jc w:val="right"/>
        <w:rPr>
          <w:rFonts w:ascii="黑体" w:hAnsi="黑体" w:eastAsia="黑体" w:cs="黑体"/>
          <w:b/>
          <w:sz w:val="32"/>
          <w:szCs w:val="32"/>
        </w:rPr>
      </w:pPr>
    </w:p>
    <w:p w14:paraId="28CEE74A">
      <w:pPr>
        <w:widowControl/>
        <w:jc w:val="left"/>
        <w:rPr>
          <w:rFonts w:ascii="黑体" w:hAnsi="黑体" w:eastAsia="黑体" w:cs="黑体"/>
          <w:b/>
          <w:sz w:val="32"/>
          <w:szCs w:val="32"/>
        </w:rPr>
      </w:pPr>
      <w:r>
        <w:rPr>
          <w:rFonts w:ascii="黑体" w:hAnsi="黑体" w:eastAsia="黑体" w:cs="黑体"/>
          <w:b/>
          <w:sz w:val="32"/>
          <w:szCs w:val="32"/>
        </w:rPr>
        <w:br w:type="page"/>
      </w:r>
      <w:r>
        <w:rPr>
          <w:rFonts w:hint="eastAsia" w:ascii="仿宋" w:hAnsi="仿宋" w:eastAsia="仿宋"/>
          <w:b/>
          <w:sz w:val="36"/>
          <w:szCs w:val="36"/>
        </w:rPr>
        <w:t>二、商务技术文件</w:t>
      </w:r>
    </w:p>
    <w:p w14:paraId="062AD984">
      <w:pPr>
        <w:widowControl/>
        <w:jc w:val="center"/>
        <w:rPr>
          <w:rFonts w:ascii="仿宋" w:hAnsi="仿宋" w:eastAsia="仿宋" w:cs="黑体"/>
          <w:b/>
          <w:sz w:val="32"/>
          <w:szCs w:val="32"/>
        </w:rPr>
      </w:pPr>
      <w:bookmarkStart w:id="122" w:name="_Hlk92702324"/>
      <w:r>
        <w:rPr>
          <w:rFonts w:hint="eastAsia" w:ascii="仿宋" w:hAnsi="仿宋" w:eastAsia="仿宋" w:cs="黑体"/>
          <w:b/>
          <w:sz w:val="32"/>
          <w:szCs w:val="32"/>
        </w:rPr>
        <w:t>谈 判 函</w:t>
      </w:r>
      <w:bookmarkEnd w:id="122"/>
      <w:r>
        <w:rPr>
          <w:rFonts w:hint="eastAsia" w:ascii="仿宋" w:hAnsi="仿宋" w:eastAsia="仿宋" w:cs="黑体"/>
          <w:bCs/>
          <w:sz w:val="24"/>
        </w:rPr>
        <w:t>(格式</w:t>
      </w:r>
      <w:r>
        <w:rPr>
          <w:rFonts w:ascii="仿宋" w:hAnsi="仿宋" w:eastAsia="仿宋" w:cs="黑体"/>
          <w:bCs/>
          <w:sz w:val="24"/>
        </w:rPr>
        <w:t>)</w:t>
      </w:r>
    </w:p>
    <w:p w14:paraId="2D97D3C5">
      <w:pPr>
        <w:spacing w:line="360" w:lineRule="exact"/>
        <w:jc w:val="center"/>
        <w:rPr>
          <w:rFonts w:ascii="宋体" w:hAnsi="宋体"/>
          <w:b/>
          <w:szCs w:val="21"/>
        </w:rPr>
      </w:pPr>
    </w:p>
    <w:p w14:paraId="6F6F1535">
      <w:pPr>
        <w:spacing w:line="400" w:lineRule="exact"/>
        <w:rPr>
          <w:rFonts w:ascii="宋体" w:hAnsi="宋体"/>
          <w:szCs w:val="21"/>
        </w:rPr>
      </w:pPr>
      <w:r>
        <w:rPr>
          <w:rFonts w:hint="eastAsia" w:ascii="宋体" w:hAnsi="宋体"/>
          <w:szCs w:val="21"/>
        </w:rPr>
        <w:t>致：钦州市政府采购中心：</w:t>
      </w:r>
    </w:p>
    <w:p w14:paraId="276D9CA8">
      <w:pPr>
        <w:pStyle w:val="21"/>
        <w:spacing w:line="480" w:lineRule="exact"/>
        <w:ind w:firstLine="420"/>
        <w:rPr>
          <w:rFonts w:hAnsi="宋体"/>
        </w:rPr>
      </w:pPr>
      <w:r>
        <w:rPr>
          <w:rFonts w:hint="eastAsia" w:hAnsi="宋体"/>
        </w:rPr>
        <w:t>依据贵方</w:t>
      </w:r>
      <w:r>
        <w:rPr>
          <w:rFonts w:hint="eastAsia" w:hAnsi="宋体"/>
          <w:u w:val="single"/>
        </w:rPr>
        <w:t>（项目名称/文件编号）</w:t>
      </w:r>
      <w:r>
        <w:rPr>
          <w:rFonts w:hint="eastAsia" w:hAnsi="宋体"/>
        </w:rPr>
        <w:t>项目竞争性谈判采购文件，我方</w:t>
      </w:r>
      <w:r>
        <w:rPr>
          <w:rFonts w:hint="eastAsia" w:hAnsi="宋体"/>
          <w:u w:val="single"/>
        </w:rPr>
        <w:t xml:space="preserve"> （供应商名称） </w:t>
      </w:r>
      <w:r>
        <w:rPr>
          <w:rFonts w:hint="eastAsia" w:hAnsi="宋体"/>
        </w:rPr>
        <w:t>经正式授权代表</w:t>
      </w:r>
      <w:r>
        <w:rPr>
          <w:rFonts w:hint="eastAsia" w:hAnsi="宋体"/>
          <w:u w:val="single"/>
        </w:rPr>
        <w:t xml:space="preserve">   （被授权人）</w:t>
      </w:r>
      <w:r>
        <w:rPr>
          <w:rFonts w:hint="eastAsia" w:hAnsi="宋体"/>
        </w:rPr>
        <w:t>提交响应文件。</w:t>
      </w:r>
    </w:p>
    <w:p w14:paraId="37C7013D">
      <w:pPr>
        <w:spacing w:line="400" w:lineRule="exact"/>
        <w:rPr>
          <w:rFonts w:ascii="宋体" w:hAnsi="宋体"/>
          <w:szCs w:val="21"/>
        </w:rPr>
      </w:pPr>
      <w:r>
        <w:rPr>
          <w:rFonts w:ascii="宋体" w:hAnsi="宋体"/>
          <w:szCs w:val="21"/>
        </w:rPr>
        <w:tab/>
      </w:r>
      <w:r>
        <w:rPr>
          <w:rFonts w:hint="eastAsia" w:ascii="宋体" w:hAnsi="宋体"/>
          <w:szCs w:val="21"/>
        </w:rPr>
        <w:t>据此函，我公司承诺：</w:t>
      </w:r>
    </w:p>
    <w:p w14:paraId="53F47D72">
      <w:pPr>
        <w:snapToGrid w:val="0"/>
        <w:spacing w:line="360" w:lineRule="exact"/>
        <w:ind w:firstLine="420" w:firstLineChars="200"/>
        <w:rPr>
          <w:rFonts w:ascii="宋体" w:hAnsi="宋体"/>
          <w:szCs w:val="21"/>
        </w:rPr>
      </w:pPr>
      <w:r>
        <w:rPr>
          <w:rFonts w:ascii="宋体" w:hAnsi="宋体"/>
          <w:szCs w:val="21"/>
        </w:rPr>
        <w:t>1.</w:t>
      </w:r>
      <w:r>
        <w:rPr>
          <w:rFonts w:hint="eastAsia" w:ascii="宋体" w:hAnsi="宋体"/>
          <w:szCs w:val="21"/>
        </w:rPr>
        <w:t>我方已详细审阅采购文件（包括澄清或者修改文件），已经了解我方对于采购文件、采购过程、采购结果有依法进行询问、质疑、投诉的权利及相关渠道和要求。</w:t>
      </w:r>
    </w:p>
    <w:p w14:paraId="37155A23">
      <w:pPr>
        <w:snapToGrid w:val="0"/>
        <w:spacing w:line="3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12F9DB8A">
      <w:pPr>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我方在谈判之前已经与贵方进行了充分的沟通，完全理解并接受采购文件的各项规定和要求，对采购文件的合理性、合法性不再有异议。</w:t>
      </w:r>
    </w:p>
    <w:p w14:paraId="4324EE20">
      <w:pPr>
        <w:spacing w:line="400" w:lineRule="exact"/>
        <w:rPr>
          <w:rFonts w:ascii="宋体" w:hAnsi="宋体"/>
          <w:szCs w:val="21"/>
        </w:rPr>
      </w:pPr>
      <w:r>
        <w:rPr>
          <w:rFonts w:ascii="宋体" w:hAnsi="宋体"/>
          <w:szCs w:val="21"/>
        </w:rPr>
        <w:tab/>
      </w:r>
      <w:r>
        <w:rPr>
          <w:rFonts w:ascii="宋体" w:hAnsi="宋体"/>
          <w:szCs w:val="21"/>
        </w:rPr>
        <w:t>4</w:t>
      </w:r>
      <w:r>
        <w:rPr>
          <w:rFonts w:hint="eastAsia" w:ascii="宋体" w:hAnsi="宋体"/>
          <w:szCs w:val="21"/>
        </w:rPr>
        <w:t>.我方根据采购文件的规定，承担完成合同的责任和义务。</w:t>
      </w:r>
    </w:p>
    <w:p w14:paraId="24752795">
      <w:pPr>
        <w:spacing w:line="400" w:lineRule="exact"/>
        <w:rPr>
          <w:rFonts w:ascii="宋体" w:hAnsi="宋体"/>
          <w:szCs w:val="21"/>
        </w:rPr>
      </w:pPr>
      <w:r>
        <w:rPr>
          <w:rFonts w:ascii="宋体" w:hAnsi="宋体"/>
          <w:szCs w:val="21"/>
        </w:rPr>
        <w:tab/>
      </w:r>
      <w:r>
        <w:rPr>
          <w:rFonts w:ascii="宋体" w:hAnsi="宋体"/>
          <w:szCs w:val="21"/>
        </w:rPr>
        <w:t>5</w:t>
      </w:r>
      <w:r>
        <w:rPr>
          <w:rFonts w:hint="eastAsia" w:ascii="宋体" w:hAnsi="宋体"/>
          <w:szCs w:val="21"/>
        </w:rPr>
        <w:t>.同意向贵方提供贵方可能要求的与本项目采购有关的人员、数据和资料。</w:t>
      </w:r>
    </w:p>
    <w:p w14:paraId="7AAC2EF3">
      <w:pPr>
        <w:spacing w:line="400" w:lineRule="exact"/>
        <w:ind w:firstLine="424" w:firstLineChars="202"/>
        <w:rPr>
          <w:rFonts w:ascii="宋体" w:hAnsi="宋体"/>
          <w:szCs w:val="21"/>
        </w:rPr>
      </w:pPr>
      <w:r>
        <w:rPr>
          <w:rFonts w:ascii="宋体" w:hAnsi="宋体"/>
          <w:szCs w:val="21"/>
        </w:rPr>
        <w:t>6.</w:t>
      </w:r>
      <w:r>
        <w:rPr>
          <w:rFonts w:hint="eastAsia" w:ascii="宋体" w:hAnsi="宋体"/>
          <w:szCs w:val="21"/>
        </w:rPr>
        <w:t>我方向贵方提交的所有响应文件、资料都是准确的和真实的。</w:t>
      </w:r>
    </w:p>
    <w:p w14:paraId="51FD4B2F">
      <w:pPr>
        <w:spacing w:line="400" w:lineRule="exact"/>
        <w:rPr>
          <w:rFonts w:ascii="宋体" w:hAnsi="宋体"/>
          <w:szCs w:val="21"/>
        </w:rPr>
      </w:pPr>
    </w:p>
    <w:p w14:paraId="187A8907">
      <w:pPr>
        <w:spacing w:line="400" w:lineRule="exact"/>
        <w:ind w:firstLine="426"/>
        <w:rPr>
          <w:rFonts w:ascii="宋体" w:hAnsi="宋体"/>
          <w:szCs w:val="21"/>
        </w:rPr>
      </w:pPr>
      <w:r>
        <w:rPr>
          <w:rFonts w:hint="eastAsia" w:ascii="宋体" w:hAnsi="宋体"/>
          <w:szCs w:val="21"/>
        </w:rPr>
        <w:t>与我公司有关的正式通讯方式：</w:t>
      </w:r>
    </w:p>
    <w:p w14:paraId="10E71FB4">
      <w:pPr>
        <w:spacing w:line="400" w:lineRule="exact"/>
        <w:rPr>
          <w:rFonts w:ascii="宋体" w:hAnsi="宋体"/>
          <w:szCs w:val="21"/>
        </w:rPr>
      </w:pPr>
      <w:r>
        <w:rPr>
          <w:rFonts w:ascii="宋体" w:hAnsi="宋体"/>
          <w:szCs w:val="21"/>
        </w:rPr>
        <w:tab/>
      </w:r>
      <w:r>
        <w:rPr>
          <w:rFonts w:hint="eastAsia" w:ascii="宋体" w:hAnsi="宋体"/>
          <w:szCs w:val="21"/>
        </w:rPr>
        <w:t>地址：</w:t>
      </w:r>
      <w:r>
        <w:rPr>
          <w:rFonts w:hint="eastAsia" w:ascii="宋体" w:hAnsi="宋体"/>
          <w:szCs w:val="21"/>
          <w:u w:val="single"/>
        </w:rPr>
        <w:t xml:space="preserve">                                   </w:t>
      </w:r>
    </w:p>
    <w:p w14:paraId="3CA0D942">
      <w:pPr>
        <w:spacing w:line="400" w:lineRule="exact"/>
        <w:rPr>
          <w:rFonts w:ascii="宋体" w:hAnsi="宋体"/>
          <w:szCs w:val="21"/>
        </w:rPr>
      </w:pPr>
      <w:r>
        <w:rPr>
          <w:rFonts w:ascii="宋体" w:hAnsi="宋体"/>
          <w:szCs w:val="21"/>
        </w:rPr>
        <w:tab/>
      </w:r>
      <w:r>
        <w:rPr>
          <w:rFonts w:hint="eastAsia"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4A969B76">
      <w:pPr>
        <w:spacing w:line="400" w:lineRule="exact"/>
        <w:rPr>
          <w:rFonts w:ascii="宋体" w:hAnsi="宋体"/>
          <w:szCs w:val="21"/>
        </w:rPr>
      </w:pPr>
      <w:r>
        <w:rPr>
          <w:rFonts w:ascii="宋体" w:hAnsi="宋体"/>
          <w:szCs w:val="21"/>
        </w:rPr>
        <w:tab/>
      </w:r>
      <w:r>
        <w:rPr>
          <w:rFonts w:hint="eastAsia" w:ascii="宋体" w:hAnsi="宋体"/>
          <w:szCs w:val="21"/>
        </w:rPr>
        <w:t>电话、电报、传真或电传：</w:t>
      </w:r>
      <w:r>
        <w:rPr>
          <w:rFonts w:hint="eastAsia" w:ascii="宋体" w:hAnsi="宋体"/>
          <w:szCs w:val="21"/>
          <w:u w:val="single"/>
        </w:rPr>
        <w:t xml:space="preserve">                 </w:t>
      </w:r>
    </w:p>
    <w:p w14:paraId="54E7FD8A">
      <w:pPr>
        <w:spacing w:line="400" w:lineRule="exact"/>
        <w:rPr>
          <w:rFonts w:ascii="宋体" w:hAnsi="宋体"/>
          <w:szCs w:val="21"/>
        </w:rPr>
      </w:pPr>
      <w:r>
        <w:rPr>
          <w:rFonts w:ascii="宋体" w:hAnsi="宋体"/>
          <w:szCs w:val="21"/>
        </w:rPr>
        <w:tab/>
      </w:r>
      <w:r>
        <w:rPr>
          <w:rFonts w:hint="eastAsia" w:ascii="宋体" w:hAnsi="宋体"/>
          <w:szCs w:val="21"/>
        </w:rPr>
        <w:t>开户名称：</w:t>
      </w:r>
      <w:r>
        <w:rPr>
          <w:rFonts w:hint="eastAsia" w:ascii="宋体" w:hAnsi="宋体"/>
          <w:szCs w:val="21"/>
          <w:u w:val="single"/>
        </w:rPr>
        <w:t xml:space="preserve">                               </w:t>
      </w:r>
    </w:p>
    <w:p w14:paraId="3E9AE7A3">
      <w:pPr>
        <w:spacing w:line="400" w:lineRule="exact"/>
        <w:rPr>
          <w:rFonts w:ascii="宋体" w:hAnsi="宋体"/>
          <w:szCs w:val="21"/>
        </w:rPr>
      </w:pPr>
      <w:r>
        <w:rPr>
          <w:rFonts w:ascii="宋体" w:hAnsi="宋体"/>
          <w:szCs w:val="21"/>
        </w:rPr>
        <w:tab/>
      </w:r>
      <w:r>
        <w:rPr>
          <w:rFonts w:hint="eastAsia" w:ascii="宋体" w:hAnsi="宋体"/>
          <w:szCs w:val="21"/>
        </w:rPr>
        <w:t>开户银行：</w:t>
      </w:r>
      <w:r>
        <w:rPr>
          <w:rFonts w:hint="eastAsia" w:ascii="宋体" w:hAnsi="宋体"/>
          <w:szCs w:val="21"/>
          <w:u w:val="single"/>
        </w:rPr>
        <w:t xml:space="preserve">                               </w:t>
      </w:r>
    </w:p>
    <w:p w14:paraId="461B5626">
      <w:pPr>
        <w:spacing w:line="400" w:lineRule="exact"/>
        <w:rPr>
          <w:rFonts w:ascii="宋体" w:hAnsi="宋体"/>
          <w:szCs w:val="21"/>
          <w:u w:val="single"/>
        </w:rPr>
      </w:pPr>
      <w:r>
        <w:rPr>
          <w:rFonts w:ascii="宋体" w:hAnsi="宋体"/>
          <w:szCs w:val="21"/>
        </w:rPr>
        <w:tab/>
      </w:r>
      <w:r>
        <w:rPr>
          <w:rFonts w:hint="eastAsia" w:ascii="宋体" w:hAnsi="宋体"/>
          <w:szCs w:val="21"/>
        </w:rPr>
        <w:t>账    号：</w:t>
      </w:r>
      <w:r>
        <w:rPr>
          <w:rFonts w:hint="eastAsia" w:ascii="宋体" w:hAnsi="宋体"/>
          <w:szCs w:val="21"/>
          <w:u w:val="single"/>
        </w:rPr>
        <w:t xml:space="preserve">                               </w:t>
      </w:r>
    </w:p>
    <w:p w14:paraId="331EF2A3"/>
    <w:p w14:paraId="3209C160"/>
    <w:p w14:paraId="271AA63E"/>
    <w:p w14:paraId="2AB9CEE5"/>
    <w:p w14:paraId="67C1BE71"/>
    <w:p w14:paraId="1367FDB3">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14D7B8D3">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14:paraId="4A4E799C">
      <w:pPr>
        <w:widowControl/>
        <w:jc w:val="left"/>
      </w:pPr>
      <w:r>
        <w:br w:type="page"/>
      </w:r>
    </w:p>
    <w:p w14:paraId="11169294"/>
    <w:p w14:paraId="5D7DE0E0">
      <w:pPr>
        <w:jc w:val="center"/>
        <w:rPr>
          <w:rFonts w:ascii="仿宋" w:hAnsi="仿宋" w:eastAsia="仿宋"/>
          <w:sz w:val="32"/>
          <w:szCs w:val="32"/>
        </w:rPr>
      </w:pPr>
      <w:r>
        <w:rPr>
          <w:rFonts w:hint="eastAsia" w:ascii="仿宋" w:hAnsi="仿宋" w:eastAsia="仿宋"/>
          <w:b/>
          <w:sz w:val="32"/>
          <w:szCs w:val="32"/>
        </w:rPr>
        <w:t>授权委托书</w:t>
      </w:r>
      <w:bookmarkStart w:id="123" w:name="_Hlk92703623"/>
      <w:r>
        <w:rPr>
          <w:rFonts w:hint="eastAsia" w:ascii="仿宋" w:hAnsi="仿宋" w:eastAsia="仿宋"/>
          <w:sz w:val="24"/>
        </w:rPr>
        <w:t>(格式</w:t>
      </w:r>
      <w:r>
        <w:rPr>
          <w:rFonts w:ascii="仿宋" w:hAnsi="仿宋" w:eastAsia="仿宋"/>
          <w:sz w:val="24"/>
        </w:rPr>
        <w:t>)</w:t>
      </w:r>
      <w:bookmarkEnd w:id="123"/>
    </w:p>
    <w:p w14:paraId="3A2EFFF9">
      <w:pPr>
        <w:snapToGrid w:val="0"/>
        <w:spacing w:beforeLines="50" w:after="50" w:line="500" w:lineRule="exact"/>
        <w:rPr>
          <w:rFonts w:ascii="宋体" w:hAnsi="宋体"/>
          <w:b/>
          <w:bCs/>
          <w:szCs w:val="21"/>
        </w:rPr>
      </w:pPr>
      <w:r>
        <w:rPr>
          <w:rFonts w:hint="eastAsia" w:ascii="宋体" w:hAnsi="宋体"/>
          <w:bCs/>
          <w:szCs w:val="21"/>
        </w:rPr>
        <w:t>致：</w:t>
      </w:r>
      <w:r>
        <w:rPr>
          <w:rFonts w:hint="eastAsia"/>
        </w:rPr>
        <w:t>钦州市政府采购中心</w:t>
      </w:r>
    </w:p>
    <w:p w14:paraId="2346E4A2">
      <w:pPr>
        <w:snapToGrid w:val="0"/>
        <w:spacing w:beforeLines="50" w:after="50" w:line="50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的法定代表人，现授权委托本单位在职职工</w:t>
      </w:r>
      <w:r>
        <w:rPr>
          <w:rFonts w:hint="eastAsia" w:ascii="宋体" w:hAnsi="宋体"/>
          <w:szCs w:val="21"/>
          <w:u w:val="single"/>
        </w:rPr>
        <w:t>（姓名）</w:t>
      </w:r>
      <w:r>
        <w:rPr>
          <w:rFonts w:hint="eastAsia" w:ascii="宋体" w:hAnsi="宋体"/>
          <w:szCs w:val="21"/>
        </w:rPr>
        <w:t>以我方的名义参加</w:t>
      </w:r>
      <w:r>
        <w:rPr>
          <w:rFonts w:hint="eastAsia" w:ascii="宋体" w:hAnsi="宋体"/>
          <w:szCs w:val="21"/>
          <w:u w:val="single"/>
        </w:rPr>
        <w:t>（项目名称/项目编号）</w:t>
      </w:r>
      <w:r>
        <w:rPr>
          <w:rFonts w:hint="eastAsia" w:ascii="宋体" w:hAnsi="宋体"/>
          <w:szCs w:val="21"/>
        </w:rPr>
        <w:t>的谈判活动，并代表我方全权办理针对上述项目的谈判、签约等具体事务和签署相关文件。</w:t>
      </w:r>
    </w:p>
    <w:p w14:paraId="1B1BAABA">
      <w:pPr>
        <w:snapToGrid w:val="0"/>
        <w:spacing w:beforeLines="50" w:after="50" w:line="500" w:lineRule="exact"/>
        <w:ind w:firstLine="420" w:firstLineChars="200"/>
        <w:rPr>
          <w:rFonts w:ascii="宋体" w:hAnsi="宋体"/>
          <w:szCs w:val="21"/>
        </w:rPr>
      </w:pPr>
      <w:r>
        <w:rPr>
          <w:rFonts w:hint="eastAsia" w:ascii="宋体" w:hAnsi="宋体"/>
          <w:szCs w:val="21"/>
        </w:rPr>
        <w:t>我方对被授权人的签名事项负全部责任。</w:t>
      </w:r>
    </w:p>
    <w:p w14:paraId="269DFA3F">
      <w:pPr>
        <w:snapToGrid w:val="0"/>
        <w:spacing w:beforeLines="50" w:after="50" w:line="500" w:lineRule="exact"/>
        <w:ind w:firstLine="420" w:firstLineChars="20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14:paraId="2DFBD492">
      <w:pPr>
        <w:snapToGrid w:val="0"/>
        <w:spacing w:beforeLines="50" w:after="50" w:line="500" w:lineRule="exact"/>
        <w:ind w:firstLine="420" w:firstLineChars="200"/>
        <w:rPr>
          <w:rFonts w:ascii="宋体" w:hAnsi="宋体"/>
          <w:szCs w:val="21"/>
        </w:rPr>
      </w:pPr>
      <w:r>
        <w:rPr>
          <w:rFonts w:hint="eastAsia" w:ascii="宋体" w:hAnsi="宋体"/>
          <w:szCs w:val="21"/>
        </w:rPr>
        <w:t>被授权人无转委托权，特此委托。</w:t>
      </w:r>
    </w:p>
    <w:p w14:paraId="1AA9690F">
      <w:pPr>
        <w:snapToGrid w:val="0"/>
        <w:spacing w:beforeLines="50" w:after="50" w:line="300" w:lineRule="exact"/>
        <w:ind w:firstLine="525" w:firstLineChars="250"/>
        <w:rPr>
          <w:rFonts w:ascii="宋体" w:hAnsi="宋体"/>
          <w:szCs w:val="21"/>
        </w:rPr>
      </w:pPr>
    </w:p>
    <w:p w14:paraId="6875554A">
      <w:pPr>
        <w:snapToGrid w:val="0"/>
        <w:spacing w:beforeLines="50" w:after="50" w:line="300" w:lineRule="exact"/>
        <w:ind w:firstLine="420" w:firstLineChars="200"/>
        <w:rPr>
          <w:rFonts w:ascii="宋体" w:hAnsi="宋体"/>
          <w:szCs w:val="21"/>
        </w:rPr>
      </w:pPr>
      <w:r>
        <w:rPr>
          <w:rFonts w:hint="eastAsia" w:ascii="宋体" w:hAnsi="宋体"/>
          <w:szCs w:val="21"/>
        </w:rPr>
        <w:t>所在部门职务：</w:t>
      </w:r>
      <w:r>
        <w:rPr>
          <w:rFonts w:hint="eastAsia" w:ascii="宋体" w:hAnsi="宋体"/>
          <w:szCs w:val="21"/>
          <w:u w:val="single"/>
        </w:rPr>
        <w:t xml:space="preserve">                        </w:t>
      </w:r>
    </w:p>
    <w:p w14:paraId="4F08C218">
      <w:pPr>
        <w:snapToGrid w:val="0"/>
        <w:spacing w:beforeLines="50" w:after="50" w:line="300" w:lineRule="exact"/>
        <w:ind w:firstLine="420" w:firstLineChars="200"/>
        <w:rPr>
          <w:rFonts w:ascii="宋体" w:hAnsi="宋体"/>
          <w:szCs w:val="21"/>
          <w:u w:val="single"/>
        </w:rPr>
      </w:pPr>
      <w:r>
        <w:rPr>
          <w:rFonts w:hint="eastAsia" w:ascii="宋体" w:hAnsi="宋体"/>
          <w:szCs w:val="21"/>
        </w:rPr>
        <w:t>职务：</w:t>
      </w:r>
      <w:r>
        <w:rPr>
          <w:rFonts w:hint="eastAsia" w:ascii="宋体" w:hAnsi="宋体"/>
          <w:szCs w:val="21"/>
          <w:u w:val="single"/>
        </w:rPr>
        <w:t xml:space="preserve">                                </w:t>
      </w:r>
    </w:p>
    <w:p w14:paraId="796E8C42">
      <w:pPr>
        <w:snapToGrid w:val="0"/>
        <w:spacing w:beforeLines="50" w:after="50" w:line="300" w:lineRule="exact"/>
        <w:ind w:firstLine="420" w:firstLineChars="200"/>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14:paraId="3AC61A29">
      <w:pPr>
        <w:snapToGrid w:val="0"/>
        <w:spacing w:beforeLines="50" w:after="50" w:line="300" w:lineRule="exact"/>
        <w:ind w:firstLine="420" w:firstLineChars="200"/>
        <w:rPr>
          <w:rFonts w:hAnsi="宋体"/>
        </w:rPr>
      </w:pPr>
      <w:r>
        <w:rPr>
          <w:rFonts w:hint="eastAsia" w:hAnsi="宋体"/>
        </w:rPr>
        <w:t>附：委托代理人身份证(正反面</w:t>
      </w:r>
      <w:r>
        <w:rPr>
          <w:rFonts w:hAnsi="宋体"/>
        </w:rPr>
        <w:t>)</w:t>
      </w:r>
    </w:p>
    <w:p w14:paraId="5BA4CBC5"/>
    <w:p w14:paraId="3DA66E09"/>
    <w:p w14:paraId="68AA3267">
      <w:pPr>
        <w:snapToGrid w:val="0"/>
        <w:spacing w:beforeLines="50" w:after="50" w:line="200" w:lineRule="exact"/>
        <w:ind w:firstLine="4620" w:firstLineChars="2200"/>
        <w:rPr>
          <w:rFonts w:ascii="宋体" w:hAnsi="宋体"/>
          <w:szCs w:val="21"/>
          <w:u w:val="single"/>
        </w:rPr>
      </w:pPr>
      <w:r>
        <w:rPr>
          <w:rFonts w:hint="eastAsia" w:ascii="宋体" w:hAnsi="宋体"/>
          <w:szCs w:val="21"/>
        </w:rPr>
        <w:t xml:space="preserve">       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520EBB21">
      <w:pPr>
        <w:snapToGrid w:val="0"/>
        <w:spacing w:beforeLines="50" w:after="50" w:line="200" w:lineRule="exact"/>
        <w:ind w:firstLine="5355" w:firstLineChars="25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54AB5905">
      <w:pPr>
        <w:snapToGrid w:val="0"/>
        <w:spacing w:beforeLines="50" w:after="50" w:line="200" w:lineRule="exact"/>
        <w:ind w:firstLine="5355" w:firstLineChars="25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590E678">
      <w:pPr>
        <w:widowControl/>
        <w:jc w:val="left"/>
        <w:rPr>
          <w:rFonts w:ascii="宋体" w:hAnsi="Courier New" w:cs="Courier New"/>
          <w:b/>
          <w:bCs/>
          <w:szCs w:val="21"/>
        </w:rPr>
      </w:pPr>
      <w:r>
        <w:rPr>
          <w:b/>
          <w:bCs/>
        </w:rPr>
        <w:br w:type="page"/>
      </w:r>
    </w:p>
    <w:p w14:paraId="0080E134"/>
    <w:p w14:paraId="2A1656A6">
      <w:pPr>
        <w:snapToGrid w:val="0"/>
        <w:spacing w:beforeLines="50" w:after="50" w:line="360" w:lineRule="exact"/>
        <w:jc w:val="center"/>
        <w:rPr>
          <w:rFonts w:ascii="仿宋" w:hAnsi="仿宋" w:eastAsia="仿宋"/>
          <w:b/>
          <w:sz w:val="32"/>
          <w:szCs w:val="32"/>
        </w:rPr>
      </w:pPr>
      <w:r>
        <w:rPr>
          <w:rFonts w:hint="eastAsia" w:ascii="仿宋" w:hAnsi="仿宋" w:eastAsia="仿宋"/>
          <w:b/>
          <w:sz w:val="32"/>
          <w:szCs w:val="32"/>
        </w:rPr>
        <w:t>商务响应表</w:t>
      </w:r>
      <w:r>
        <w:rPr>
          <w:rFonts w:hint="eastAsia" w:ascii="仿宋" w:hAnsi="仿宋" w:eastAsia="仿宋"/>
          <w:sz w:val="24"/>
        </w:rPr>
        <w:t>(格式</w:t>
      </w:r>
      <w:r>
        <w:rPr>
          <w:rFonts w:ascii="仿宋" w:hAnsi="仿宋" w:eastAsia="仿宋"/>
          <w:sz w:val="24"/>
        </w:rPr>
        <w:t>)</w:t>
      </w:r>
    </w:p>
    <w:tbl>
      <w:tblPr>
        <w:tblStyle w:val="40"/>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14:paraId="4B6AC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866C6D7">
            <w:pPr>
              <w:snapToGrid w:val="0"/>
              <w:spacing w:beforeLines="50" w:line="360" w:lineRule="exact"/>
              <w:jc w:val="center"/>
              <w:rPr>
                <w:rFonts w:ascii="宋体" w:hAnsi="宋体"/>
                <w:b/>
                <w:szCs w:val="21"/>
              </w:rPr>
            </w:pPr>
            <w:r>
              <w:rPr>
                <w:rFonts w:hint="eastAsia" w:ascii="宋体" w:hAnsi="宋体"/>
                <w:b/>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14:paraId="080C817D">
            <w:pPr>
              <w:snapToGrid w:val="0"/>
              <w:spacing w:beforeLines="50" w:line="360" w:lineRule="exact"/>
              <w:jc w:val="center"/>
              <w:rPr>
                <w:rFonts w:ascii="宋体" w:hAnsi="宋体"/>
                <w:b/>
                <w:szCs w:val="21"/>
              </w:rPr>
            </w:pPr>
            <w:r>
              <w:rPr>
                <w:rFonts w:hint="eastAsia" w:ascii="宋体" w:hAnsi="宋体"/>
                <w:b/>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14:paraId="523F0B51">
            <w:pPr>
              <w:snapToGrid w:val="0"/>
              <w:spacing w:beforeLines="50" w:line="360" w:lineRule="exact"/>
              <w:jc w:val="center"/>
              <w:rPr>
                <w:rFonts w:ascii="宋体" w:hAnsi="宋体"/>
                <w:b/>
                <w:szCs w:val="21"/>
              </w:rPr>
            </w:pPr>
            <w:r>
              <w:rPr>
                <w:rFonts w:hint="eastAsia" w:ascii="宋体" w:hAnsi="宋体"/>
                <w:b/>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14:paraId="1D87E407">
            <w:pPr>
              <w:snapToGrid w:val="0"/>
              <w:spacing w:beforeLines="50" w:line="360" w:lineRule="exact"/>
              <w:jc w:val="center"/>
              <w:rPr>
                <w:rFonts w:ascii="宋体" w:hAnsi="宋体"/>
                <w:b/>
                <w:szCs w:val="21"/>
              </w:rPr>
            </w:pPr>
            <w:r>
              <w:rPr>
                <w:rFonts w:hint="eastAsia" w:ascii="宋体" w:hAnsi="宋体"/>
                <w:b/>
                <w:szCs w:val="21"/>
              </w:rPr>
              <w:t>是否响应</w:t>
            </w:r>
          </w:p>
        </w:tc>
      </w:tr>
      <w:tr w14:paraId="42641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2C61BC7">
            <w:pPr>
              <w:snapToGrid w:val="0"/>
              <w:spacing w:beforeLines="50" w:line="360" w:lineRule="exact"/>
              <w:jc w:val="center"/>
              <w:rPr>
                <w:rFonts w:ascii="宋体" w:hAnsi="宋体"/>
                <w:szCs w:val="21"/>
              </w:rPr>
            </w:pPr>
            <w:r>
              <w:rPr>
                <w:rFonts w:hint="eastAsia" w:ascii="宋体" w:hAnsi="宋体"/>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14:paraId="7547D12E">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26F9396D">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0268646D">
            <w:pPr>
              <w:snapToGrid w:val="0"/>
              <w:spacing w:beforeLines="50" w:line="360" w:lineRule="exact"/>
              <w:jc w:val="center"/>
              <w:rPr>
                <w:rFonts w:ascii="宋体" w:hAnsi="宋体"/>
                <w:szCs w:val="21"/>
              </w:rPr>
            </w:pPr>
          </w:p>
        </w:tc>
      </w:tr>
      <w:tr w14:paraId="58D93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EF82724">
            <w:pPr>
              <w:snapToGrid w:val="0"/>
              <w:spacing w:beforeLines="50" w:line="360" w:lineRule="exact"/>
              <w:jc w:val="center"/>
              <w:rPr>
                <w:rFonts w:ascii="宋体" w:hAnsi="宋体"/>
                <w:szCs w:val="21"/>
              </w:rPr>
            </w:pPr>
            <w:r>
              <w:rPr>
                <w:rFonts w:hint="eastAsia" w:ascii="宋体" w:hAnsi="宋体"/>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14:paraId="1B2DDBAA">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6B2E07E0">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61CD2BDF">
            <w:pPr>
              <w:snapToGrid w:val="0"/>
              <w:spacing w:beforeLines="50" w:line="360" w:lineRule="exact"/>
              <w:jc w:val="center"/>
              <w:rPr>
                <w:rFonts w:ascii="宋体" w:hAnsi="宋体"/>
                <w:szCs w:val="21"/>
              </w:rPr>
            </w:pPr>
          </w:p>
        </w:tc>
      </w:tr>
      <w:tr w14:paraId="50F1C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A63F016">
            <w:pPr>
              <w:snapToGrid w:val="0"/>
              <w:spacing w:beforeLines="50" w:line="360" w:lineRule="exact"/>
              <w:jc w:val="center"/>
              <w:rPr>
                <w:rFonts w:ascii="宋体" w:hAnsi="宋体"/>
                <w:szCs w:val="21"/>
              </w:rPr>
            </w:pPr>
            <w:r>
              <w:rPr>
                <w:rFonts w:hint="eastAsia" w:ascii="宋体" w:hAnsi="宋体"/>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14:paraId="65FF6F49">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1008C9C9">
            <w:pPr>
              <w:snapToGrid w:val="0"/>
              <w:spacing w:beforeLines="50" w:line="360" w:lineRule="exact"/>
              <w:ind w:left="43"/>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4ED5545B">
            <w:pPr>
              <w:snapToGrid w:val="0"/>
              <w:spacing w:beforeLines="50" w:line="360" w:lineRule="exact"/>
              <w:ind w:left="43"/>
              <w:jc w:val="center"/>
              <w:rPr>
                <w:rFonts w:ascii="宋体" w:hAnsi="宋体"/>
                <w:szCs w:val="21"/>
              </w:rPr>
            </w:pPr>
          </w:p>
        </w:tc>
      </w:tr>
      <w:tr w14:paraId="4F4DD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5008494C">
            <w:pPr>
              <w:snapToGrid w:val="0"/>
              <w:spacing w:beforeLines="50" w:line="360" w:lineRule="exact"/>
              <w:jc w:val="center"/>
              <w:rPr>
                <w:rFonts w:ascii="宋体" w:hAnsi="宋体"/>
                <w:szCs w:val="21"/>
              </w:rPr>
            </w:pPr>
            <w:r>
              <w:rPr>
                <w:rFonts w:hint="eastAsia" w:ascii="宋体" w:hAnsi="宋体"/>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14:paraId="368645C3">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43A0AA0B">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1E120B90">
            <w:pPr>
              <w:snapToGrid w:val="0"/>
              <w:spacing w:beforeLines="50" w:line="360" w:lineRule="exact"/>
              <w:jc w:val="center"/>
              <w:rPr>
                <w:rFonts w:ascii="宋体" w:hAnsi="宋体"/>
                <w:szCs w:val="21"/>
              </w:rPr>
            </w:pPr>
          </w:p>
        </w:tc>
      </w:tr>
      <w:tr w14:paraId="7FF15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19764030">
            <w:pPr>
              <w:snapToGrid w:val="0"/>
              <w:spacing w:beforeLines="50" w:line="360" w:lineRule="exact"/>
              <w:jc w:val="center"/>
              <w:rPr>
                <w:rFonts w:ascii="宋体" w:hAnsi="宋体"/>
                <w:szCs w:val="21"/>
              </w:rPr>
            </w:pPr>
            <w:r>
              <w:rPr>
                <w:rFonts w:hint="eastAsia" w:ascii="宋体" w:hAnsi="宋体"/>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14:paraId="5A164DF2">
            <w:pPr>
              <w:snapToGrid w:val="0"/>
              <w:spacing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6A07FE8F">
            <w:pPr>
              <w:snapToGrid w:val="0"/>
              <w:spacing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6ED69450">
            <w:pPr>
              <w:snapToGrid w:val="0"/>
              <w:spacing w:beforeLines="50" w:line="360" w:lineRule="exact"/>
              <w:jc w:val="center"/>
              <w:rPr>
                <w:rFonts w:ascii="宋体" w:hAnsi="宋体"/>
                <w:szCs w:val="21"/>
              </w:rPr>
            </w:pPr>
          </w:p>
        </w:tc>
      </w:tr>
    </w:tbl>
    <w:p w14:paraId="648F49A0">
      <w:pPr>
        <w:tabs>
          <w:tab w:val="left" w:pos="3870"/>
          <w:tab w:val="left" w:pos="4085"/>
        </w:tabs>
        <w:snapToGrid w:val="0"/>
        <w:spacing w:line="400" w:lineRule="exact"/>
        <w:rPr>
          <w:rFonts w:ascii="宋体" w:hAnsi="宋体"/>
          <w:b/>
          <w:szCs w:val="21"/>
        </w:rPr>
      </w:pPr>
    </w:p>
    <w:p w14:paraId="19BAAFD5">
      <w:pPr>
        <w:pStyle w:val="16"/>
        <w:spacing w:line="380" w:lineRule="exact"/>
        <w:rPr>
          <w:b w:val="0"/>
          <w:bCs w:val="0"/>
          <w:sz w:val="21"/>
          <w:szCs w:val="21"/>
        </w:rPr>
      </w:pPr>
      <w:r>
        <w:rPr>
          <w:rFonts w:hint="eastAsia"/>
          <w:b w:val="0"/>
          <w:bCs w:val="0"/>
          <w:sz w:val="21"/>
          <w:szCs w:val="21"/>
        </w:rPr>
        <w:t>注：应对照采购文件“第二章 项目需求”中的商务要求逐条作明确的竞标响应。</w:t>
      </w:r>
    </w:p>
    <w:p w14:paraId="66C7BCB6">
      <w:pPr>
        <w:tabs>
          <w:tab w:val="left" w:pos="3870"/>
          <w:tab w:val="left" w:pos="4085"/>
        </w:tabs>
        <w:snapToGrid w:val="0"/>
        <w:spacing w:line="400" w:lineRule="exact"/>
        <w:rPr>
          <w:rFonts w:ascii="宋体" w:hAnsi="宋体"/>
          <w:b/>
          <w:szCs w:val="21"/>
        </w:rPr>
      </w:pPr>
    </w:p>
    <w:p w14:paraId="46DA63F4">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p>
    <w:p w14:paraId="346CABD9">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14:paraId="0C7E8A52">
      <w:pPr>
        <w:snapToGrid w:val="0"/>
        <w:spacing w:before="50" w:after="50" w:line="350" w:lineRule="exact"/>
        <w:ind w:right="-817" w:rightChars="-389"/>
        <w:rPr>
          <w:rFonts w:ascii="宋体" w:hAnsi="宋体"/>
          <w:szCs w:val="21"/>
        </w:rPr>
      </w:pPr>
    </w:p>
    <w:p w14:paraId="6BEC83B5">
      <w:pPr>
        <w:snapToGrid w:val="0"/>
        <w:spacing w:before="50" w:after="50" w:line="350" w:lineRule="exact"/>
        <w:ind w:right="-817" w:rightChars="-389"/>
        <w:rPr>
          <w:rFonts w:ascii="宋体" w:hAnsi="宋体"/>
          <w:szCs w:val="21"/>
        </w:rPr>
      </w:pPr>
    </w:p>
    <w:p w14:paraId="36A1F2D0">
      <w:pPr>
        <w:pStyle w:val="21"/>
        <w:spacing w:line="440" w:lineRule="exact"/>
        <w:ind w:firstLine="840"/>
        <w:jc w:val="center"/>
        <w:rPr>
          <w:rFonts w:ascii="仿宋" w:hAnsi="仿宋" w:eastAsia="仿宋"/>
        </w:rPr>
      </w:pPr>
      <w:r>
        <w:rPr>
          <w:rFonts w:hint="eastAsia" w:ascii="仿宋" w:hAnsi="仿宋" w:eastAsia="仿宋" w:cs="黑体"/>
          <w:b/>
          <w:sz w:val="32"/>
          <w:szCs w:val="32"/>
        </w:rPr>
        <w:t>技术响应表</w:t>
      </w:r>
      <w:r>
        <w:rPr>
          <w:rFonts w:hint="eastAsia" w:ascii="仿宋" w:hAnsi="仿宋" w:eastAsia="仿宋"/>
          <w:sz w:val="24"/>
          <w:szCs w:val="24"/>
        </w:rPr>
        <w:t>(格式</w:t>
      </w:r>
      <w:r>
        <w:rPr>
          <w:rFonts w:ascii="仿宋" w:hAnsi="仿宋" w:eastAsia="仿宋"/>
          <w:sz w:val="24"/>
          <w:szCs w:val="24"/>
        </w:rPr>
        <w:t>)</w:t>
      </w:r>
    </w:p>
    <w:p w14:paraId="1D7EF0AA"/>
    <w:p w14:paraId="41C891CE">
      <w:r>
        <w:rPr>
          <w:rFonts w:hint="eastAsia"/>
        </w:rPr>
        <w:t>采购项目编号：</w:t>
      </w:r>
      <w:r>
        <w:rPr>
          <w:rFonts w:hint="eastAsia"/>
          <w:u w:val="single"/>
        </w:rPr>
        <w:t xml:space="preserve">                 </w:t>
      </w:r>
    </w:p>
    <w:p w14:paraId="00A1ADC6">
      <w:r>
        <w:rPr>
          <w:rFonts w:hint="eastAsia"/>
        </w:rPr>
        <w:t>采购项目名称：</w:t>
      </w:r>
      <w:r>
        <w:rPr>
          <w:rFonts w:hint="eastAsia"/>
          <w:u w:val="single"/>
        </w:rPr>
        <w:t xml:space="preserve">                 </w:t>
      </w:r>
    </w:p>
    <w:tbl>
      <w:tblPr>
        <w:tblStyle w:val="40"/>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14:paraId="088697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14:paraId="3C25B349">
            <w:pPr>
              <w:jc w:val="center"/>
            </w:pPr>
            <w:r>
              <w:rPr>
                <w:rFonts w:hint="eastAsia"/>
              </w:rPr>
              <w:t>序号</w:t>
            </w:r>
          </w:p>
        </w:tc>
        <w:tc>
          <w:tcPr>
            <w:tcW w:w="1480" w:type="dxa"/>
            <w:vAlign w:val="center"/>
          </w:tcPr>
          <w:p w14:paraId="5C0E4158">
            <w:pPr>
              <w:jc w:val="center"/>
            </w:pPr>
            <w:r>
              <w:rPr>
                <w:rFonts w:hint="eastAsia"/>
              </w:rPr>
              <w:t>标的名称</w:t>
            </w:r>
          </w:p>
        </w:tc>
        <w:tc>
          <w:tcPr>
            <w:tcW w:w="2835" w:type="dxa"/>
            <w:vAlign w:val="center"/>
          </w:tcPr>
          <w:p w14:paraId="13B2E5C2">
            <w:pPr>
              <w:jc w:val="center"/>
            </w:pPr>
            <w:r>
              <w:rPr>
                <w:rFonts w:hint="eastAsia"/>
              </w:rPr>
              <w:t>竞争性谈判采购文件要求</w:t>
            </w:r>
          </w:p>
        </w:tc>
        <w:tc>
          <w:tcPr>
            <w:tcW w:w="2268" w:type="dxa"/>
            <w:vAlign w:val="center"/>
          </w:tcPr>
          <w:p w14:paraId="06029EC7">
            <w:pPr>
              <w:jc w:val="center"/>
            </w:pPr>
            <w:r>
              <w:rPr>
                <w:rFonts w:hint="eastAsia"/>
              </w:rPr>
              <w:t>响应文件具体响应</w:t>
            </w:r>
          </w:p>
        </w:tc>
        <w:tc>
          <w:tcPr>
            <w:tcW w:w="1418" w:type="dxa"/>
            <w:vAlign w:val="center"/>
          </w:tcPr>
          <w:p w14:paraId="59F02673">
            <w:pPr>
              <w:jc w:val="center"/>
            </w:pPr>
            <w:r>
              <w:rPr>
                <w:rFonts w:hint="eastAsia"/>
              </w:rPr>
              <w:t>响应/偏离</w:t>
            </w:r>
          </w:p>
        </w:tc>
        <w:tc>
          <w:tcPr>
            <w:tcW w:w="709" w:type="dxa"/>
            <w:vAlign w:val="center"/>
          </w:tcPr>
          <w:p w14:paraId="4968C5DC">
            <w:pPr>
              <w:jc w:val="center"/>
            </w:pPr>
            <w:r>
              <w:rPr>
                <w:rFonts w:hint="eastAsia"/>
              </w:rPr>
              <w:t>说明</w:t>
            </w:r>
          </w:p>
        </w:tc>
      </w:tr>
      <w:tr w14:paraId="326798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4BD3CF5D">
            <w:pPr>
              <w:jc w:val="center"/>
            </w:pPr>
            <w:r>
              <w:rPr>
                <w:rFonts w:hint="eastAsia"/>
              </w:rPr>
              <w:t>1</w:t>
            </w:r>
          </w:p>
        </w:tc>
        <w:tc>
          <w:tcPr>
            <w:tcW w:w="1480" w:type="dxa"/>
            <w:vAlign w:val="center"/>
          </w:tcPr>
          <w:p w14:paraId="10061ED0"/>
        </w:tc>
        <w:tc>
          <w:tcPr>
            <w:tcW w:w="2835" w:type="dxa"/>
            <w:vAlign w:val="center"/>
          </w:tcPr>
          <w:p w14:paraId="0FAC7175"/>
        </w:tc>
        <w:tc>
          <w:tcPr>
            <w:tcW w:w="2268" w:type="dxa"/>
            <w:vAlign w:val="center"/>
          </w:tcPr>
          <w:p w14:paraId="5888D692"/>
        </w:tc>
        <w:tc>
          <w:tcPr>
            <w:tcW w:w="1418" w:type="dxa"/>
            <w:vAlign w:val="center"/>
          </w:tcPr>
          <w:p w14:paraId="2DCF069B"/>
        </w:tc>
        <w:tc>
          <w:tcPr>
            <w:tcW w:w="709" w:type="dxa"/>
            <w:vAlign w:val="center"/>
          </w:tcPr>
          <w:p w14:paraId="7C499DBD"/>
        </w:tc>
      </w:tr>
      <w:tr w14:paraId="32FABE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7B2C0872">
            <w:pPr>
              <w:jc w:val="center"/>
            </w:pPr>
            <w:r>
              <w:rPr>
                <w:rFonts w:hint="eastAsia"/>
              </w:rPr>
              <w:t>2</w:t>
            </w:r>
          </w:p>
        </w:tc>
        <w:tc>
          <w:tcPr>
            <w:tcW w:w="1480" w:type="dxa"/>
            <w:vAlign w:val="center"/>
          </w:tcPr>
          <w:p w14:paraId="75AC41B8"/>
        </w:tc>
        <w:tc>
          <w:tcPr>
            <w:tcW w:w="2835" w:type="dxa"/>
            <w:vAlign w:val="center"/>
          </w:tcPr>
          <w:p w14:paraId="784F1704"/>
        </w:tc>
        <w:tc>
          <w:tcPr>
            <w:tcW w:w="2268" w:type="dxa"/>
            <w:vAlign w:val="center"/>
          </w:tcPr>
          <w:p w14:paraId="307BE230"/>
        </w:tc>
        <w:tc>
          <w:tcPr>
            <w:tcW w:w="1418" w:type="dxa"/>
            <w:vAlign w:val="center"/>
          </w:tcPr>
          <w:p w14:paraId="72B0C3B5"/>
        </w:tc>
        <w:tc>
          <w:tcPr>
            <w:tcW w:w="709" w:type="dxa"/>
            <w:vAlign w:val="center"/>
          </w:tcPr>
          <w:p w14:paraId="027F965F"/>
        </w:tc>
      </w:tr>
      <w:tr w14:paraId="27A36A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19C1E6AE">
            <w:pPr>
              <w:jc w:val="center"/>
            </w:pPr>
            <w:r>
              <w:rPr>
                <w:rFonts w:hint="eastAsia"/>
              </w:rPr>
              <w:t>3</w:t>
            </w:r>
          </w:p>
        </w:tc>
        <w:tc>
          <w:tcPr>
            <w:tcW w:w="1480" w:type="dxa"/>
            <w:vAlign w:val="center"/>
          </w:tcPr>
          <w:p w14:paraId="43908377"/>
        </w:tc>
        <w:tc>
          <w:tcPr>
            <w:tcW w:w="2835" w:type="dxa"/>
            <w:vAlign w:val="center"/>
          </w:tcPr>
          <w:p w14:paraId="23AAFAAC"/>
        </w:tc>
        <w:tc>
          <w:tcPr>
            <w:tcW w:w="2268" w:type="dxa"/>
            <w:vAlign w:val="center"/>
          </w:tcPr>
          <w:p w14:paraId="4706927E"/>
        </w:tc>
        <w:tc>
          <w:tcPr>
            <w:tcW w:w="1418" w:type="dxa"/>
            <w:vAlign w:val="center"/>
          </w:tcPr>
          <w:p w14:paraId="2663642E"/>
        </w:tc>
        <w:tc>
          <w:tcPr>
            <w:tcW w:w="709" w:type="dxa"/>
            <w:vAlign w:val="center"/>
          </w:tcPr>
          <w:p w14:paraId="750E8880"/>
        </w:tc>
      </w:tr>
      <w:tr w14:paraId="5683EB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6DCB85C8">
            <w:pPr>
              <w:jc w:val="center"/>
            </w:pPr>
            <w:r>
              <w:rPr>
                <w:rFonts w:hint="eastAsia"/>
              </w:rPr>
              <w:t>4</w:t>
            </w:r>
          </w:p>
        </w:tc>
        <w:tc>
          <w:tcPr>
            <w:tcW w:w="1480" w:type="dxa"/>
            <w:vAlign w:val="center"/>
          </w:tcPr>
          <w:p w14:paraId="366E8B05"/>
        </w:tc>
        <w:tc>
          <w:tcPr>
            <w:tcW w:w="2835" w:type="dxa"/>
            <w:vAlign w:val="center"/>
          </w:tcPr>
          <w:p w14:paraId="2D21F67B"/>
        </w:tc>
        <w:tc>
          <w:tcPr>
            <w:tcW w:w="2268" w:type="dxa"/>
            <w:vAlign w:val="center"/>
          </w:tcPr>
          <w:p w14:paraId="332418F9"/>
        </w:tc>
        <w:tc>
          <w:tcPr>
            <w:tcW w:w="1418" w:type="dxa"/>
            <w:vAlign w:val="center"/>
          </w:tcPr>
          <w:p w14:paraId="64C7F1F7"/>
        </w:tc>
        <w:tc>
          <w:tcPr>
            <w:tcW w:w="709" w:type="dxa"/>
            <w:vAlign w:val="center"/>
          </w:tcPr>
          <w:p w14:paraId="552F494A"/>
        </w:tc>
      </w:tr>
      <w:tr w14:paraId="32B0C3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2B42AE98">
            <w:pPr>
              <w:jc w:val="center"/>
            </w:pPr>
            <w:r>
              <w:rPr>
                <w:rFonts w:hint="eastAsia"/>
              </w:rPr>
              <w:t>5</w:t>
            </w:r>
          </w:p>
        </w:tc>
        <w:tc>
          <w:tcPr>
            <w:tcW w:w="1480" w:type="dxa"/>
            <w:vAlign w:val="center"/>
          </w:tcPr>
          <w:p w14:paraId="3BF457F1"/>
        </w:tc>
        <w:tc>
          <w:tcPr>
            <w:tcW w:w="2835" w:type="dxa"/>
            <w:vAlign w:val="center"/>
          </w:tcPr>
          <w:p w14:paraId="4ED99EC2"/>
        </w:tc>
        <w:tc>
          <w:tcPr>
            <w:tcW w:w="2268" w:type="dxa"/>
            <w:vAlign w:val="center"/>
          </w:tcPr>
          <w:p w14:paraId="7AC85645"/>
        </w:tc>
        <w:tc>
          <w:tcPr>
            <w:tcW w:w="1418" w:type="dxa"/>
            <w:vAlign w:val="center"/>
          </w:tcPr>
          <w:p w14:paraId="39FA8B82"/>
        </w:tc>
        <w:tc>
          <w:tcPr>
            <w:tcW w:w="709" w:type="dxa"/>
            <w:vAlign w:val="center"/>
          </w:tcPr>
          <w:p w14:paraId="6867E4F1"/>
        </w:tc>
      </w:tr>
      <w:tr w14:paraId="41EA39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0328D965">
            <w:pPr>
              <w:jc w:val="center"/>
            </w:pPr>
            <w:r>
              <w:rPr>
                <w:rFonts w:hint="eastAsia"/>
              </w:rPr>
              <w:t>…</w:t>
            </w:r>
          </w:p>
        </w:tc>
        <w:tc>
          <w:tcPr>
            <w:tcW w:w="1480" w:type="dxa"/>
            <w:vAlign w:val="center"/>
          </w:tcPr>
          <w:p w14:paraId="1D6CA44F"/>
        </w:tc>
        <w:tc>
          <w:tcPr>
            <w:tcW w:w="2835" w:type="dxa"/>
            <w:vAlign w:val="center"/>
          </w:tcPr>
          <w:p w14:paraId="5E051850"/>
        </w:tc>
        <w:tc>
          <w:tcPr>
            <w:tcW w:w="2268" w:type="dxa"/>
            <w:vAlign w:val="center"/>
          </w:tcPr>
          <w:p w14:paraId="57AE7A67"/>
        </w:tc>
        <w:tc>
          <w:tcPr>
            <w:tcW w:w="1418" w:type="dxa"/>
            <w:tcBorders>
              <w:right w:val="single" w:color="auto" w:sz="4" w:space="0"/>
            </w:tcBorders>
            <w:vAlign w:val="center"/>
          </w:tcPr>
          <w:p w14:paraId="547889B2"/>
        </w:tc>
        <w:tc>
          <w:tcPr>
            <w:tcW w:w="709" w:type="dxa"/>
            <w:tcBorders>
              <w:left w:val="single" w:color="auto" w:sz="4" w:space="0"/>
            </w:tcBorders>
            <w:vAlign w:val="center"/>
          </w:tcPr>
          <w:p w14:paraId="2250577D"/>
        </w:tc>
      </w:tr>
    </w:tbl>
    <w:p w14:paraId="2C79B032">
      <w:pPr>
        <w:pStyle w:val="18"/>
        <w:spacing w:line="300" w:lineRule="auto"/>
        <w:ind w:firstLine="105" w:firstLineChars="50"/>
        <w:rPr>
          <w:rFonts w:ascii="宋体" w:hAnsi="宋体" w:eastAsia="宋体"/>
          <w:sz w:val="21"/>
          <w:szCs w:val="21"/>
        </w:rPr>
      </w:pPr>
      <w:r>
        <w:rPr>
          <w:rFonts w:hint="eastAsia" w:ascii="宋体" w:hAnsi="宋体" w:eastAsia="宋体"/>
          <w:sz w:val="21"/>
          <w:szCs w:val="21"/>
        </w:rPr>
        <w:t>注：供应商须对照竞争性谈判采购文件第二章《项目需求》，逐条说明所提供货物和服务对项目需求中货物的</w:t>
      </w:r>
      <w:bookmarkStart w:id="124" w:name="_Hlk92703260"/>
      <w:r>
        <w:rPr>
          <w:rFonts w:hint="eastAsia" w:ascii="宋体" w:hAnsi="宋体" w:eastAsia="宋体"/>
          <w:sz w:val="21"/>
          <w:szCs w:val="21"/>
        </w:rPr>
        <w:t>技术参数及其性能（规格）</w:t>
      </w:r>
      <w:bookmarkEnd w:id="124"/>
      <w:r>
        <w:rPr>
          <w:rFonts w:hint="eastAsia" w:ascii="宋体" w:hAnsi="宋体" w:eastAsia="宋体"/>
          <w:sz w:val="21"/>
          <w:szCs w:val="21"/>
        </w:rPr>
        <w:t>及服务要求作出的响应，并申明偏离情况。对有具体参数要求的指标，供应商须提供所供设备的具体技术参数及其性能（规格）。</w:t>
      </w:r>
    </w:p>
    <w:p w14:paraId="6A127614">
      <w:pPr>
        <w:pStyle w:val="21"/>
        <w:spacing w:line="300" w:lineRule="auto"/>
        <w:rPr>
          <w:rFonts w:hAnsi="宋体"/>
        </w:rPr>
      </w:pPr>
    </w:p>
    <w:p w14:paraId="45856A44">
      <w:pPr>
        <w:pStyle w:val="21"/>
        <w:spacing w:line="300" w:lineRule="auto"/>
        <w:ind w:firstLine="5880" w:firstLineChars="2800"/>
        <w:rPr>
          <w:rFonts w:hAnsi="宋体"/>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p>
    <w:p w14:paraId="71B7098E">
      <w:pPr>
        <w:pStyle w:val="21"/>
        <w:spacing w:line="300" w:lineRule="auto"/>
        <w:ind w:firstLine="5880" w:firstLineChars="280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bookmarkEnd w:id="41"/>
    <w:bookmarkEnd w:id="42"/>
    <w:bookmarkEnd w:id="43"/>
    <w:bookmarkEnd w:id="44"/>
    <w:p w14:paraId="5B414FC4"/>
    <w:p w14:paraId="463E5C26">
      <w:pPr>
        <w:spacing w:line="440" w:lineRule="exact"/>
        <w:ind w:left="420" w:hanging="420"/>
        <w:jc w:val="center"/>
        <w:rPr>
          <w:rFonts w:ascii="仿宋" w:hAnsi="仿宋" w:eastAsia="仿宋"/>
          <w:b/>
          <w:sz w:val="32"/>
          <w:szCs w:val="32"/>
        </w:rPr>
      </w:pPr>
      <w:bookmarkStart w:id="125" w:name="_Hlk94194102"/>
      <w:r>
        <w:rPr>
          <w:rFonts w:hint="eastAsia" w:ascii="仿宋" w:hAnsi="仿宋" w:eastAsia="仿宋"/>
          <w:b/>
          <w:sz w:val="32"/>
          <w:szCs w:val="32"/>
        </w:rPr>
        <w:t>中小企业声明函</w:t>
      </w:r>
      <w:r>
        <w:rPr>
          <w:rFonts w:hint="eastAsia" w:ascii="仿宋" w:hAnsi="仿宋" w:eastAsia="仿宋"/>
          <w:sz w:val="24"/>
        </w:rPr>
        <w:t>(格式</w:t>
      </w:r>
      <w:r>
        <w:rPr>
          <w:rFonts w:ascii="仿宋" w:hAnsi="仿宋" w:eastAsia="仿宋"/>
          <w:sz w:val="24"/>
        </w:rPr>
        <w:t>)</w:t>
      </w:r>
    </w:p>
    <w:p w14:paraId="4002B409"/>
    <w:p w14:paraId="0EFA2AE9">
      <w:pPr>
        <w:spacing w:line="600" w:lineRule="exact"/>
        <w:ind w:firstLine="294" w:firstLineChars="140"/>
        <w:jc w:val="left"/>
        <w:rPr>
          <w:rFonts w:ascii="宋体" w:hAnsi="宋体"/>
          <w:bCs/>
          <w:szCs w:val="21"/>
        </w:rPr>
      </w:pPr>
      <w:r>
        <w:rPr>
          <w:rFonts w:hint="eastAsia" w:ascii="宋体" w:hAnsi="宋体"/>
          <w:bCs/>
          <w:szCs w:val="21"/>
        </w:rPr>
        <w:t>本公司郑重声明，根据</w:t>
      </w:r>
      <w:bookmarkStart w:id="126" w:name="_Hlk82091685"/>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HYPERLINK "http://www.gov.cn/zhengce/zhengceku/2020-12/29/content_5574611.htm"</w:instrText>
      </w:r>
      <w:r>
        <w:rPr>
          <w:rFonts w:ascii="宋体" w:hAnsi="宋体"/>
          <w:bCs/>
          <w:szCs w:val="21"/>
        </w:rPr>
        <w:instrText xml:space="preserve"> </w:instrText>
      </w:r>
      <w:r>
        <w:rPr>
          <w:rFonts w:ascii="宋体" w:hAnsi="宋体"/>
          <w:bCs/>
          <w:szCs w:val="21"/>
        </w:rPr>
        <w:fldChar w:fldCharType="separate"/>
      </w:r>
      <w:r>
        <w:rPr>
          <w:rStyle w:val="47"/>
          <w:rFonts w:hint="eastAsia" w:ascii="宋体" w:hAnsi="宋体"/>
          <w:bCs/>
          <w:color w:val="auto"/>
          <w:szCs w:val="21"/>
          <w:u w:val="none"/>
        </w:rPr>
        <w:t>《政府采购促进中小企业发展管理办法》</w:t>
      </w:r>
      <w:bookmarkStart w:id="127" w:name="_Hlk60836554"/>
      <w:r>
        <w:rPr>
          <w:rStyle w:val="47"/>
          <w:rFonts w:hint="eastAsia" w:ascii="宋体" w:hAnsi="宋体"/>
          <w:bCs/>
          <w:color w:val="auto"/>
          <w:szCs w:val="21"/>
          <w:u w:val="none"/>
        </w:rPr>
        <w:t>（财库﹝2020﹞46号）</w:t>
      </w:r>
      <w:bookmarkEnd w:id="126"/>
      <w:bookmarkEnd w:id="127"/>
      <w:r>
        <w:rPr>
          <w:rFonts w:ascii="宋体" w:hAnsi="宋体"/>
          <w:bCs/>
          <w:szCs w:val="21"/>
        </w:rPr>
        <w:fldChar w:fldCharType="end"/>
      </w:r>
      <w:r>
        <w:rPr>
          <w:rFonts w:hint="eastAsia" w:ascii="宋体" w:hAnsi="宋体"/>
          <w:bCs/>
          <w:szCs w:val="21"/>
        </w:rPr>
        <w:t>的规定，本公司参加</w:t>
      </w:r>
      <w:bookmarkStart w:id="128" w:name="_Hlk82091228"/>
      <w:r>
        <w:rPr>
          <w:rFonts w:hint="eastAsia" w:ascii="宋体" w:hAnsi="宋体"/>
          <w:bCs/>
          <w:szCs w:val="21"/>
        </w:rPr>
        <w:t>（</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w:t>
      </w:r>
      <w:bookmarkEnd w:id="128"/>
      <w:r>
        <w:rPr>
          <w:rFonts w:hint="eastAsia" w:ascii="宋体" w:hAnsi="宋体"/>
          <w:bCs/>
          <w:szCs w:val="21"/>
        </w:rPr>
        <w:t>采购活动，提供的货物全部由符合政策要求的中小企业制造。相关企业的具体情况如下：</w:t>
      </w:r>
    </w:p>
    <w:p w14:paraId="6A8262E9">
      <w:pPr>
        <w:spacing w:line="600" w:lineRule="exact"/>
        <w:ind w:firstLine="294" w:firstLineChars="140"/>
        <w:jc w:val="left"/>
        <w:rPr>
          <w:rFonts w:ascii="宋体" w:hAnsi="宋体"/>
          <w:bCs/>
          <w:szCs w:val="21"/>
        </w:rPr>
      </w:pPr>
      <w:r>
        <w:rPr>
          <w:rFonts w:hint="eastAsia" w:ascii="宋体" w:hAnsi="宋体"/>
          <w:bCs/>
          <w:szCs w:val="21"/>
        </w:rPr>
        <w:t>1.</w:t>
      </w:r>
      <w:bookmarkStart w:id="129" w:name="_Hlk60836996"/>
      <w:r>
        <w:rPr>
          <w:rFonts w:hint="eastAsia" w:ascii="宋体" w:hAnsi="宋体"/>
          <w:bCs/>
          <w:szCs w:val="21"/>
        </w:rPr>
        <w:t>（</w:t>
      </w:r>
      <w:r>
        <w:rPr>
          <w:rFonts w:hint="eastAsia" w:ascii="宋体" w:hAnsi="宋体"/>
          <w:bCs/>
          <w:szCs w:val="21"/>
          <w:u w:val="single"/>
        </w:rPr>
        <w:t>标的名称</w:t>
      </w:r>
      <w:r>
        <w:rPr>
          <w:rFonts w:ascii="宋体" w:hAnsi="宋体"/>
          <w:bCs/>
          <w:szCs w:val="21"/>
        </w:rPr>
        <w:t>）</w:t>
      </w:r>
      <w:r>
        <w:rPr>
          <w:rFonts w:hint="eastAsia" w:ascii="宋体" w:hAnsi="宋体"/>
          <w:bCs/>
          <w:szCs w:val="21"/>
        </w:rPr>
        <w:t>，属于(</w:t>
      </w:r>
      <w:r>
        <w:rPr>
          <w:rFonts w:hint="eastAsia" w:ascii="宋体" w:hAnsi="宋体"/>
          <w:bCs/>
          <w:szCs w:val="21"/>
          <w:u w:val="single"/>
        </w:rPr>
        <w:t>采购文件中明确的所属行业</w:t>
      </w:r>
      <w:r>
        <w:rPr>
          <w:rFonts w:ascii="宋体" w:hAnsi="宋体"/>
          <w:bCs/>
          <w:szCs w:val="21"/>
        </w:rPr>
        <w:t>）</w:t>
      </w:r>
      <w:r>
        <w:rPr>
          <w:rFonts w:hint="eastAsia" w:ascii="宋体" w:hAnsi="宋体"/>
          <w:bCs/>
          <w:szCs w:val="21"/>
        </w:rPr>
        <w:t>行业；制造商为(</w:t>
      </w:r>
      <w:r>
        <w:rPr>
          <w:rFonts w:hint="eastAsia" w:ascii="宋体" w:hAnsi="宋体"/>
          <w:bCs/>
          <w:szCs w:val="21"/>
          <w:u w:val="single"/>
        </w:rPr>
        <w:t>企业名称</w:t>
      </w:r>
      <w:r>
        <w:rPr>
          <w:rFonts w:ascii="宋体" w:hAnsi="宋体"/>
          <w:bCs/>
          <w:szCs w:val="21"/>
        </w:rPr>
        <w:t>）</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bookmarkEnd w:id="129"/>
    </w:p>
    <w:p w14:paraId="01612A9C">
      <w:pPr>
        <w:spacing w:line="600" w:lineRule="exact"/>
        <w:ind w:firstLine="294" w:firstLineChars="14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p>
    <w:p w14:paraId="377EC592">
      <w:pPr>
        <w:spacing w:line="600" w:lineRule="exact"/>
        <w:ind w:firstLine="294" w:firstLineChars="140"/>
        <w:jc w:val="left"/>
        <w:rPr>
          <w:rFonts w:ascii="宋体" w:hAnsi="宋体"/>
          <w:bCs/>
          <w:szCs w:val="21"/>
        </w:rPr>
      </w:pPr>
      <w:r>
        <w:rPr>
          <w:rFonts w:hint="eastAsia" w:ascii="宋体" w:hAnsi="宋体"/>
          <w:bCs/>
          <w:szCs w:val="21"/>
        </w:rPr>
        <w:t>……</w:t>
      </w:r>
    </w:p>
    <w:p w14:paraId="5D249546">
      <w:pPr>
        <w:spacing w:line="600" w:lineRule="exact"/>
        <w:ind w:firstLine="294" w:firstLineChars="14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14:paraId="25DFDA79">
      <w:pPr>
        <w:spacing w:line="600" w:lineRule="exact"/>
        <w:ind w:firstLine="294" w:firstLineChars="140"/>
        <w:jc w:val="left"/>
        <w:rPr>
          <w:rFonts w:ascii="宋体" w:hAnsi="宋体"/>
          <w:bCs/>
          <w:szCs w:val="21"/>
        </w:rPr>
      </w:pPr>
      <w:r>
        <w:rPr>
          <w:rFonts w:hint="eastAsia" w:ascii="宋体" w:hAnsi="宋体"/>
          <w:bCs/>
          <w:szCs w:val="21"/>
        </w:rPr>
        <w:t>本企业对上述声明内容的真实性负责。如有虚假，将依法承担相应责任。</w:t>
      </w:r>
    </w:p>
    <w:p w14:paraId="3332933F">
      <w:pPr>
        <w:spacing w:line="400" w:lineRule="exact"/>
        <w:rPr>
          <w:szCs w:val="21"/>
        </w:rPr>
      </w:pPr>
    </w:p>
    <w:p w14:paraId="7A899EA0">
      <w:pPr>
        <w:spacing w:line="400" w:lineRule="exact"/>
        <w:rPr>
          <w:szCs w:val="21"/>
        </w:rPr>
      </w:pPr>
    </w:p>
    <w:p w14:paraId="7659F00A">
      <w:pPr>
        <w:spacing w:line="400" w:lineRule="exact"/>
        <w:rPr>
          <w:szCs w:val="21"/>
        </w:rPr>
      </w:pPr>
    </w:p>
    <w:p w14:paraId="3959B0A3">
      <w:pPr>
        <w:spacing w:line="440" w:lineRule="exact"/>
        <w:ind w:firstLine="5250" w:firstLineChars="2500"/>
        <w:jc w:val="left"/>
        <w:rPr>
          <w:rFonts w:ascii="宋体" w:hAnsi="宋体"/>
          <w:bCs/>
          <w:szCs w:val="21"/>
        </w:rPr>
      </w:pPr>
      <w:r>
        <w:rPr>
          <w:rFonts w:hint="eastAsia" w:ascii="宋体" w:hAnsi="宋体"/>
          <w:bCs/>
          <w:szCs w:val="21"/>
        </w:rPr>
        <w:t>企业名称（盖章）：</w:t>
      </w:r>
      <w:r>
        <w:rPr>
          <w:rFonts w:hint="eastAsia" w:hAnsi="宋体"/>
          <w:szCs w:val="21"/>
          <w:u w:val="single"/>
        </w:rPr>
        <w:t xml:space="preserve"> </w:t>
      </w:r>
      <w:r>
        <w:rPr>
          <w:rFonts w:hAnsi="宋体"/>
          <w:szCs w:val="21"/>
          <w:u w:val="single"/>
        </w:rPr>
        <w:t xml:space="preserve">              </w:t>
      </w:r>
    </w:p>
    <w:p w14:paraId="491BB7E0">
      <w:pPr>
        <w:spacing w:line="440" w:lineRule="exact"/>
        <w:ind w:firstLine="5250" w:firstLineChars="2500"/>
        <w:jc w:val="left"/>
        <w:rPr>
          <w:rFonts w:ascii="宋体" w:hAnsi="宋体"/>
          <w:bCs/>
          <w:szCs w:val="21"/>
        </w:rPr>
      </w:pPr>
      <w:r>
        <w:rPr>
          <w:rFonts w:hint="eastAsia" w:ascii="宋体" w:hAnsi="宋体"/>
          <w:bCs/>
          <w:szCs w:val="21"/>
        </w:rPr>
        <w:t>日 期：</w:t>
      </w:r>
      <w:r>
        <w:rPr>
          <w:rFonts w:hint="eastAsia" w:hAnsi="宋体"/>
          <w:szCs w:val="21"/>
          <w:u w:val="single"/>
        </w:rPr>
        <w:t xml:space="preserve"> </w:t>
      </w:r>
      <w:r>
        <w:rPr>
          <w:rFonts w:hAnsi="宋体"/>
          <w:szCs w:val="21"/>
          <w:u w:val="single"/>
        </w:rPr>
        <w:t xml:space="preserve">                        </w:t>
      </w:r>
    </w:p>
    <w:p w14:paraId="25445139"/>
    <w:p w14:paraId="78C0D2F7"/>
    <w:p w14:paraId="4A7F590C"/>
    <w:p w14:paraId="2D953AAE"/>
    <w:p w14:paraId="41B2CE10"/>
    <w:p w14:paraId="0FCEB7DB"/>
    <w:p w14:paraId="6F942A6C"/>
    <w:p w14:paraId="4CE3CE6D"/>
    <w:p w14:paraId="35C8EDE5"/>
    <w:p w14:paraId="7A413D62"/>
    <w:p w14:paraId="5F7BEECF">
      <w:pPr>
        <w:spacing w:line="320" w:lineRule="exact"/>
        <w:jc w:val="left"/>
        <w:rPr>
          <w:rFonts w:hAnsi="宋体"/>
          <w:bCs/>
          <w:sz w:val="18"/>
          <w:szCs w:val="18"/>
        </w:rPr>
      </w:pPr>
      <w:bookmarkStart w:id="130" w:name="_Hlk82091879"/>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),从)</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),人)</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),员)</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),收)</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),资)</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),产)</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),总)</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),额)</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),填)</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),报)</w:instrText>
      </w:r>
      <w:r>
        <w:rPr>
          <w:rFonts w:hAnsi="宋体"/>
          <w:bCs/>
          <w:sz w:val="18"/>
          <w:szCs w:val="18"/>
        </w:rPr>
        <w:fldChar w:fldCharType="end"/>
      </w:r>
      <w:bookmarkEnd w:id="130"/>
      <w:r>
        <w:rPr>
          <w:rFonts w:hint="eastAsia" w:hAnsi="宋体"/>
          <w:bCs/>
          <w:sz w:val="18"/>
          <w:szCs w:val="18"/>
        </w:rPr>
        <w:t>上一年度数据，无上一年度数据的新成立企业可不填报。</w:t>
      </w:r>
    </w:p>
    <w:p w14:paraId="3A6D115D">
      <w:pPr>
        <w:spacing w:line="320" w:lineRule="exact"/>
        <w:jc w:val="left"/>
        <w:rPr>
          <w:rFonts w:hAnsi="宋体"/>
          <w:bCs/>
          <w:sz w:val="18"/>
          <w:szCs w:val="18"/>
        </w:rPr>
      </w:pPr>
    </w:p>
    <w:p w14:paraId="1D583F0D">
      <w:pPr>
        <w:spacing w:line="320" w:lineRule="exact"/>
        <w:jc w:val="left"/>
        <w:rPr>
          <w:rFonts w:hAnsi="宋体"/>
          <w:bCs/>
          <w:sz w:val="18"/>
          <w:szCs w:val="18"/>
        </w:rPr>
      </w:pPr>
    </w:p>
    <w:p w14:paraId="18E31C4F">
      <w:pPr>
        <w:spacing w:line="320" w:lineRule="exact"/>
        <w:jc w:val="left"/>
        <w:rPr>
          <w:rFonts w:hAnsi="宋体"/>
          <w:bCs/>
          <w:sz w:val="18"/>
          <w:szCs w:val="18"/>
        </w:rPr>
      </w:pPr>
    </w:p>
    <w:tbl>
      <w:tblPr>
        <w:tblStyle w:val="40"/>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14:paraId="592C5B3D">
        <w:tblPrEx>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5C899878">
            <w:pPr>
              <w:widowControl/>
              <w:jc w:val="center"/>
              <w:rPr>
                <w:rFonts w:ascii="Helvetica" w:hAnsi="Helvetica" w:cs="Helvetica"/>
                <w:b/>
                <w:bCs/>
                <w:kern w:val="0"/>
                <w:szCs w:val="21"/>
              </w:rPr>
            </w:pPr>
            <w:r>
              <w:rPr>
                <w:rFonts w:ascii="Helvetica" w:hAnsi="Helvetica" w:cs="Helvetica"/>
                <w:b/>
                <w:bCs/>
                <w:kern w:val="0"/>
                <w:szCs w:val="21"/>
              </w:rPr>
              <w:t>大中小微型企业划分标准</w:t>
            </w:r>
          </w:p>
        </w:tc>
      </w:tr>
      <w:tr w14:paraId="727F553D">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13D66A">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2C4A6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B633D8">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654E649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B8DA64">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E833FE">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4D3BCE">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50CCC9">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14:paraId="0529F53A">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E31203">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04A1E6">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75279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83DEA7">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223391">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AE3322">
            <w:pPr>
              <w:widowControl/>
              <w:spacing w:line="340" w:lineRule="exact"/>
              <w:jc w:val="center"/>
              <w:rPr>
                <w:rFonts w:ascii="Helvetica" w:hAnsi="Helvetica" w:cs="Helvetica"/>
                <w:kern w:val="0"/>
                <w:sz w:val="18"/>
                <w:szCs w:val="18"/>
              </w:rPr>
            </w:pPr>
            <w:r>
              <w:rPr>
                <w:rFonts w:ascii="Helvetica" w:hAnsi="Helvetica" w:cs="Helvetica"/>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C22498">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14:paraId="206ADF15">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21F821B">
            <w:pPr>
              <w:widowControl/>
              <w:spacing w:line="340" w:lineRule="exact"/>
              <w:jc w:val="center"/>
              <w:rPr>
                <w:rFonts w:hint="eastAsia" w:ascii="Helvetica" w:hAnsi="Helvetica" w:eastAsia="宋体" w:cs="Helvetica"/>
                <w:kern w:val="0"/>
                <w:sz w:val="18"/>
                <w:szCs w:val="18"/>
                <w:lang w:eastAsia="zh-CN"/>
              </w:rPr>
            </w:pPr>
            <w:r>
              <w:rPr>
                <w:rFonts w:ascii="Helvetica" w:hAnsi="Helvetica" w:cs="Helvetica"/>
                <w:kern w:val="0"/>
                <w:sz w:val="18"/>
                <w:szCs w:val="18"/>
              </w:rPr>
              <w:t xml:space="preserve">工业 </w:t>
            </w:r>
            <w:r>
              <w:rPr>
                <w:rFonts w:hint="eastAsia" w:ascii="Helvetica" w:hAnsi="Helvetica" w:cs="Helvetica"/>
                <w:kern w:val="0"/>
                <w:sz w:val="18"/>
                <w:szCs w:val="18"/>
                <w:lang w:eastAsia="zh-CN"/>
              </w:rPr>
              <w:t>★</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7269D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BF6D7F">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C362FC">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7D003C">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D51856">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20395E">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2C70428B">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DF7048">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F42ED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48F4AC">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9910DB">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E0915E">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BC0C3F">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7C3494">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14:paraId="382A1D3A">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49A0B20">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768A89">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8A1F9F">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156659">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713D31">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BD3FF4">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5FD475">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14:paraId="20D2C897">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25C869">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613AFE">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F995A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0F52AE">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2B63D7">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0D6BB7">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296ECB">
            <w:pPr>
              <w:widowControl/>
              <w:spacing w:line="340" w:lineRule="exact"/>
              <w:jc w:val="center"/>
              <w:rPr>
                <w:rFonts w:ascii="Helvetica" w:hAnsi="Helvetica" w:cs="Helvetica"/>
                <w:kern w:val="0"/>
                <w:sz w:val="18"/>
                <w:szCs w:val="18"/>
              </w:rPr>
            </w:pPr>
            <w:r>
              <w:rPr>
                <w:rFonts w:ascii="Helvetica" w:hAnsi="Helvetica" w:cs="Helvetica"/>
                <w:kern w:val="0"/>
                <w:sz w:val="18"/>
                <w:szCs w:val="18"/>
              </w:rPr>
              <w:t>Z＜300</w:t>
            </w:r>
          </w:p>
        </w:tc>
      </w:tr>
      <w:tr w14:paraId="354EF566">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687BCFA">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18FC4E">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C30A65">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5B31AA">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62C078">
            <w:pPr>
              <w:widowControl/>
              <w:spacing w:line="340" w:lineRule="exact"/>
              <w:jc w:val="center"/>
              <w:rPr>
                <w:rFonts w:ascii="Helvetica" w:hAnsi="Helvetica" w:cs="Helvetica"/>
                <w:kern w:val="0"/>
                <w:sz w:val="18"/>
                <w:szCs w:val="18"/>
              </w:rPr>
            </w:pPr>
            <w:r>
              <w:rPr>
                <w:rFonts w:ascii="Helvetica" w:hAnsi="Helvetica" w:cs="Helvetica"/>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26F244">
            <w:pPr>
              <w:widowControl/>
              <w:spacing w:line="340" w:lineRule="exact"/>
              <w:jc w:val="center"/>
              <w:rPr>
                <w:rFonts w:ascii="Helvetica" w:hAnsi="Helvetica" w:cs="Helvetica"/>
                <w:kern w:val="0"/>
                <w:sz w:val="18"/>
                <w:szCs w:val="18"/>
              </w:rPr>
            </w:pPr>
            <w:r>
              <w:rPr>
                <w:rFonts w:ascii="Helvetica" w:hAnsi="Helvetica" w:cs="Helvetica"/>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4519E3">
            <w:pPr>
              <w:widowControl/>
              <w:spacing w:line="340" w:lineRule="exact"/>
              <w:jc w:val="center"/>
              <w:rPr>
                <w:rFonts w:ascii="Helvetica" w:hAnsi="Helvetica" w:cs="Helvetica"/>
                <w:kern w:val="0"/>
                <w:sz w:val="18"/>
                <w:szCs w:val="18"/>
              </w:rPr>
            </w:pPr>
            <w:r>
              <w:rPr>
                <w:rFonts w:ascii="Helvetica" w:hAnsi="Helvetica" w:cs="Helvetica"/>
                <w:kern w:val="0"/>
                <w:sz w:val="18"/>
                <w:szCs w:val="18"/>
              </w:rPr>
              <w:t>X＜5</w:t>
            </w:r>
          </w:p>
        </w:tc>
      </w:tr>
      <w:tr w14:paraId="115D689E">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1719CF">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76508E">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A3FD83">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5D7AD0">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1AC548">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277E2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8E29CC">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w:t>
            </w:r>
          </w:p>
        </w:tc>
      </w:tr>
      <w:tr w14:paraId="1E5D59DC">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CF01F5C">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6DF35F">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F0AFDC">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8B9671">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005D86">
            <w:pPr>
              <w:widowControl/>
              <w:spacing w:line="340" w:lineRule="exact"/>
              <w:jc w:val="center"/>
              <w:rPr>
                <w:rFonts w:ascii="Helvetica" w:hAnsi="Helvetica" w:cs="Helvetica"/>
                <w:kern w:val="0"/>
                <w:sz w:val="18"/>
                <w:szCs w:val="18"/>
              </w:rPr>
            </w:pPr>
            <w:r>
              <w:rPr>
                <w:rFonts w:ascii="Helvetica" w:hAnsi="Helvetica" w:cs="Helvetica"/>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41856F">
            <w:pPr>
              <w:widowControl/>
              <w:spacing w:line="340" w:lineRule="exact"/>
              <w:jc w:val="center"/>
              <w:rPr>
                <w:rFonts w:ascii="Helvetica" w:hAnsi="Helvetica" w:cs="Helvetica"/>
                <w:kern w:val="0"/>
                <w:sz w:val="18"/>
                <w:szCs w:val="18"/>
              </w:rPr>
            </w:pPr>
            <w:r>
              <w:rPr>
                <w:rFonts w:ascii="Helvetica" w:hAnsi="Helvetica" w:cs="Helvetica"/>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3EF6D7">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5EA38154">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390194">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743E05">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94804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B56387">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464A8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C5A657">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0642C8">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66766543">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0AF1685">
            <w:pPr>
              <w:widowControl/>
              <w:spacing w:line="340" w:lineRule="exact"/>
              <w:jc w:val="center"/>
              <w:rPr>
                <w:rFonts w:hint="eastAsia" w:ascii="Helvetica" w:hAnsi="Helvetica" w:eastAsia="宋体" w:cs="Helvetica"/>
                <w:kern w:val="0"/>
                <w:sz w:val="18"/>
                <w:szCs w:val="18"/>
                <w:lang w:eastAsia="zh-CN"/>
              </w:rPr>
            </w:pPr>
            <w:r>
              <w:rPr>
                <w:rFonts w:ascii="Helvetica" w:hAnsi="Helvetica" w:cs="Helvetica"/>
                <w:kern w:val="0"/>
                <w:sz w:val="18"/>
                <w:szCs w:val="18"/>
              </w:rPr>
              <w:t xml:space="preserve">交通运输业 </w:t>
            </w:r>
            <w:r>
              <w:rPr>
                <w:rFonts w:hint="eastAsia" w:ascii="Helvetica" w:hAnsi="Helvetica" w:cs="Helvetica"/>
                <w:kern w:val="0"/>
                <w:sz w:val="18"/>
                <w:szCs w:val="18"/>
                <w:lang w:eastAsia="zh-CN"/>
              </w:rPr>
              <w:t>★</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007FD8">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5E2CC8">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1C5A95">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5616DB">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44A0CF">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6D06AF">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0F022F28">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5CA869">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CC68BC">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024C8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BBBF17">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48539E">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6A229E">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098A0B">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w:t>
            </w:r>
          </w:p>
        </w:tc>
      </w:tr>
      <w:tr w14:paraId="10168CAC">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FCD3C71">
            <w:pPr>
              <w:widowControl/>
              <w:spacing w:line="340" w:lineRule="exact"/>
              <w:jc w:val="center"/>
              <w:rPr>
                <w:rFonts w:hint="eastAsia" w:ascii="Helvetica" w:hAnsi="Helvetica" w:eastAsia="宋体" w:cs="Helvetica"/>
                <w:kern w:val="0"/>
                <w:sz w:val="18"/>
                <w:szCs w:val="18"/>
                <w:lang w:eastAsia="zh-CN"/>
              </w:rPr>
            </w:pPr>
            <w:r>
              <w:rPr>
                <w:rFonts w:ascii="Helvetica" w:hAnsi="Helvetica" w:cs="Helvetica"/>
                <w:kern w:val="0"/>
                <w:sz w:val="18"/>
                <w:szCs w:val="18"/>
              </w:rPr>
              <w:t>仓储业</w:t>
            </w:r>
            <w:r>
              <w:rPr>
                <w:rFonts w:hint="eastAsia" w:ascii="Helvetica" w:hAnsi="Helvetica" w:cs="Helvetica"/>
                <w:kern w:val="0"/>
                <w:sz w:val="18"/>
                <w:szCs w:val="18"/>
                <w:lang w:eastAsia="zh-CN"/>
              </w:rPr>
              <w:t>★</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BDD3A8">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E6BA57">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792A8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EA28D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4CBD6C">
            <w:pPr>
              <w:widowControl/>
              <w:spacing w:line="340" w:lineRule="exact"/>
              <w:jc w:val="center"/>
              <w:rPr>
                <w:rFonts w:ascii="Helvetica" w:hAnsi="Helvetica" w:cs="Helvetica"/>
                <w:kern w:val="0"/>
                <w:sz w:val="18"/>
                <w:szCs w:val="18"/>
              </w:rPr>
            </w:pPr>
            <w:r>
              <w:rPr>
                <w:rFonts w:ascii="Helvetica" w:hAnsi="Helvetica" w:cs="Helvetica"/>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7F6FD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5E83B5D7">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EDB42E">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F22B2D">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4849E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D0D18E">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41D93F">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759AA3">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08A412">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268D55B1">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483C097">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3342C4C">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6BF8FD">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1F1FA7">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5F05D5">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754791">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BA54C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6A2ACE0B">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7FDE28">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0F644C">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9B5E67">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19F450">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57B997">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1D0ED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228700">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366BB97C">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9AC2115">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BA0471">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5ACFBF2">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7AD19E">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49928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06E965">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EC8751">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3996AC66">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CABD3A">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690858">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3B20C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E3F7E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7AE60B">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D11E3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CC192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25E0F63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5F344A1">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D0ADF0">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46BB0A">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290E05">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5AFC9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4C6CE5">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E1F980">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7A88064D">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847A1B">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7B521C">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AE8E9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0F5F8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03EB94">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AB0481">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47EEFE">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4B5F9270">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C0934E5">
            <w:pPr>
              <w:widowControl/>
              <w:spacing w:line="340" w:lineRule="exact"/>
              <w:jc w:val="center"/>
              <w:rPr>
                <w:rFonts w:hint="eastAsia" w:ascii="Helvetica" w:hAnsi="Helvetica" w:eastAsia="宋体" w:cs="Helvetica"/>
                <w:kern w:val="0"/>
                <w:sz w:val="18"/>
                <w:szCs w:val="18"/>
                <w:lang w:eastAsia="zh-CN"/>
              </w:rPr>
            </w:pPr>
            <w:r>
              <w:rPr>
                <w:rFonts w:ascii="Helvetica" w:hAnsi="Helvetica" w:cs="Helvetica"/>
                <w:kern w:val="0"/>
                <w:sz w:val="18"/>
                <w:szCs w:val="18"/>
              </w:rPr>
              <w:t xml:space="preserve">信息传输业 </w:t>
            </w:r>
            <w:r>
              <w:rPr>
                <w:rFonts w:hint="eastAsia" w:ascii="Helvetica" w:hAnsi="Helvetica" w:cs="Helvetica"/>
                <w:kern w:val="0"/>
                <w:sz w:val="18"/>
                <w:szCs w:val="18"/>
                <w:lang w:eastAsia="zh-CN"/>
              </w:rPr>
              <w:t>★</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442657">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95B85F">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20545F">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397138">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3B65BB">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8A7C6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393A0B36">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07A142">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75EC2B">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7F258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DD3E30">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68FFC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382612">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541053">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371FD085">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3F073E4">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6FAD2D">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7A171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1BB2C1">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F39AAD">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01546B">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935F5C">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512A062D">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72D34B">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C2D2D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552A6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F07A1A">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0BB2A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9EE8E4">
            <w:pPr>
              <w:widowControl/>
              <w:spacing w:line="340" w:lineRule="exact"/>
              <w:jc w:val="center"/>
              <w:rPr>
                <w:rFonts w:ascii="Helvetica" w:hAnsi="Helvetica" w:cs="Helvetica"/>
                <w:kern w:val="0"/>
                <w:sz w:val="18"/>
                <w:szCs w:val="18"/>
              </w:rPr>
            </w:pPr>
            <w:r>
              <w:rPr>
                <w:rFonts w:ascii="Helvetica" w:hAnsi="Helvetica" w:cs="Helvetica"/>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11CAE2">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14:paraId="48231A18">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A6B8DA2">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2E8985">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BF068A">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E2E6A3">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74C5F9">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E1EB2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0D215A">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3CFB862D">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5C5315A">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A7574D">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A7BB1E">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9AEAFF">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7DD516">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1168E3">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DB5249">
            <w:pPr>
              <w:widowControl/>
              <w:spacing w:line="340" w:lineRule="exact"/>
              <w:jc w:val="center"/>
              <w:rPr>
                <w:rFonts w:ascii="Helvetica" w:hAnsi="Helvetica" w:cs="Helvetica"/>
                <w:kern w:val="0"/>
                <w:sz w:val="18"/>
                <w:szCs w:val="18"/>
              </w:rPr>
            </w:pPr>
            <w:r>
              <w:rPr>
                <w:rFonts w:ascii="Helvetica" w:hAnsi="Helvetica" w:cs="Helvetica"/>
                <w:kern w:val="0"/>
                <w:sz w:val="18"/>
                <w:szCs w:val="18"/>
              </w:rPr>
              <w:t>Z＜2000</w:t>
            </w:r>
          </w:p>
        </w:tc>
      </w:tr>
      <w:tr w14:paraId="13F8E6DE">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3DE5A23">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12D41D">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56A579">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F08702">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93E6F1">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3C8D0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3F99CC">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w:t>
            </w:r>
          </w:p>
        </w:tc>
      </w:tr>
      <w:tr w14:paraId="13AF61D1">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1FE28D">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835F11">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2FBF8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C8D87C">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70C5FA">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7EE030">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36FF8E">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w:t>
            </w:r>
          </w:p>
        </w:tc>
      </w:tr>
      <w:tr w14:paraId="0B5F9CAB">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051B8B3">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D7F2C8">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4AF38C">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FE0A1F">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015A0F">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5CF61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445B9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34C9F0A3">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DB7BC2">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CDDFA8">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EE262C">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777BDD">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A24A26">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54C417">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91ED11">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w:t>
            </w:r>
          </w:p>
        </w:tc>
      </w:tr>
      <w:tr w14:paraId="4CE40632">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3F3E13">
            <w:pPr>
              <w:widowControl/>
              <w:spacing w:line="340" w:lineRule="exact"/>
              <w:jc w:val="center"/>
              <w:rPr>
                <w:rFonts w:hint="eastAsia" w:ascii="Helvetica" w:hAnsi="Helvetica" w:eastAsia="宋体" w:cs="Helvetica"/>
                <w:kern w:val="0"/>
                <w:sz w:val="18"/>
                <w:szCs w:val="18"/>
                <w:lang w:eastAsia="zh-CN"/>
              </w:rPr>
            </w:pPr>
            <w:r>
              <w:rPr>
                <w:rFonts w:ascii="Helvetica" w:hAnsi="Helvetica" w:cs="Helvetica"/>
                <w:kern w:val="0"/>
                <w:sz w:val="18"/>
                <w:szCs w:val="18"/>
              </w:rPr>
              <w:t xml:space="preserve">其他未列明行业 </w:t>
            </w:r>
            <w:r>
              <w:rPr>
                <w:rFonts w:hint="eastAsia" w:ascii="Helvetica" w:hAnsi="Helvetica" w:cs="Helvetica"/>
                <w:kern w:val="0"/>
                <w:sz w:val="18"/>
                <w:szCs w:val="18"/>
                <w:lang w:eastAsia="zh-CN"/>
              </w:rPr>
              <w:t>★</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EA2D0B">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23385D">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6FD59F">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3006D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6C8011">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1F96A8">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bl>
    <w:p w14:paraId="29F8931A">
      <w:pPr>
        <w:widowControl/>
        <w:jc w:val="left"/>
      </w:pPr>
    </w:p>
    <w:p w14:paraId="3F4D5199">
      <w:pPr>
        <w:widowControl/>
        <w:shd w:val="clear" w:color="auto" w:fill="FFFFFF"/>
        <w:spacing w:line="360" w:lineRule="atLeast"/>
        <w:jc w:val="left"/>
        <w:rPr>
          <w:rFonts w:ascii="Helvetica" w:hAnsi="Helvetica" w:cs="Helvetica"/>
          <w:kern w:val="0"/>
          <w:sz w:val="18"/>
          <w:szCs w:val="18"/>
        </w:rPr>
      </w:pPr>
    </w:p>
    <w:p w14:paraId="17A9B828">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t>说明：</w:t>
      </w:r>
    </w:p>
    <w:p w14:paraId="7BDCB847">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1.大型、中型和小型企业须同时满足所列指标的下限，否则下划一档；微型企业只须满足所列指标中的一项即可。</w:t>
      </w:r>
    </w:p>
    <w:p w14:paraId="103BEFF2">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2.附表中各行业的范围以《国民经济行业分类》（GB/T4754-2017）为准。带</w:t>
      </w:r>
      <w:r>
        <w:rPr>
          <w:rFonts w:hint="eastAsia" w:ascii="Helvetica" w:hAnsi="Helvetica" w:cs="Helvetica"/>
          <w:kern w:val="0"/>
          <w:sz w:val="18"/>
          <w:szCs w:val="18"/>
          <w:lang w:eastAsia="zh-CN"/>
        </w:rPr>
        <w:t>★</w:t>
      </w:r>
      <w:r>
        <w:rPr>
          <w:rFonts w:ascii="Helvetica" w:hAnsi="Helvetica" w:cs="Helvetica"/>
          <w:kern w:val="0"/>
          <w:sz w:val="18"/>
          <w:szCs w:val="18"/>
        </w:rPr>
        <w:t>的项为行业组合类别，其中，工业包括采矿业，制造业，电力、热力、燃气及水生产和供应业；交通运输业包括道路运输业，水上运输业，航空运输业，管道运输业，</w:t>
      </w:r>
      <w:r>
        <w:fldChar w:fldCharType="begin"/>
      </w:r>
      <w:r>
        <w:instrText xml:space="preserve"> HYPERLINK "https://baike.baidu.com/item/%E5%A4%9A%E5%BC%8F%E8%81%94%E8%BF%90/3342240?fromModule=lemma_inlink" \t "_blank" </w:instrText>
      </w:r>
      <w:r>
        <w:fldChar w:fldCharType="separate"/>
      </w:r>
      <w:r>
        <w:rPr>
          <w:rFonts w:ascii="Helvetica" w:hAnsi="Helvetica" w:cs="Helvetica"/>
          <w:kern w:val="0"/>
          <w:sz w:val="18"/>
          <w:szCs w:val="18"/>
          <w:u w:val="single"/>
        </w:rPr>
        <w:t>多式联运</w:t>
      </w:r>
      <w:r>
        <w:rPr>
          <w:rFonts w:ascii="Helvetica" w:hAnsi="Helvetica" w:cs="Helvetica"/>
          <w:kern w:val="0"/>
          <w:sz w:val="18"/>
          <w:szCs w:val="18"/>
          <w:u w:val="single"/>
        </w:rPr>
        <w:fldChar w:fldCharType="end"/>
      </w:r>
      <w:r>
        <w:rPr>
          <w:rFonts w:ascii="Helvetica" w:hAnsi="Helvetica" w:cs="Helvetica"/>
          <w:kern w:val="0"/>
          <w:sz w:val="18"/>
          <w:szCs w:val="18"/>
        </w:rPr>
        <w:t>和运输代理业、</w:t>
      </w:r>
      <w:r>
        <w:fldChar w:fldCharType="begin"/>
      </w:r>
      <w:r>
        <w:instrText xml:space="preserve"> HYPERLINK "https://baike.baidu.com/item/%E8%A3%85%E5%8D%B8%E6%90%AC%E8%BF%90/6511400?fromModule=lemma_inlink" \t "_blank" </w:instrText>
      </w:r>
      <w:r>
        <w:fldChar w:fldCharType="separate"/>
      </w:r>
      <w:r>
        <w:rPr>
          <w:rFonts w:ascii="Helvetica" w:hAnsi="Helvetica" w:cs="Helvetica"/>
          <w:kern w:val="0"/>
          <w:sz w:val="18"/>
          <w:szCs w:val="18"/>
          <w:u w:val="single"/>
        </w:rPr>
        <w:t>装卸搬运</w:t>
      </w:r>
      <w:r>
        <w:rPr>
          <w:rFonts w:ascii="Helvetica" w:hAnsi="Helvetica" w:cs="Helvetica"/>
          <w:kern w:val="0"/>
          <w:sz w:val="18"/>
          <w:szCs w:val="18"/>
          <w:u w:val="single"/>
        </w:rPr>
        <w:fldChar w:fldCharType="end"/>
      </w:r>
      <w:r>
        <w:rPr>
          <w:rFonts w:ascii="Helvetica" w:hAnsi="Helvetica" w:cs="Helvetica"/>
          <w:kern w:val="0"/>
          <w:sz w:val="18"/>
          <w:szCs w:val="18"/>
        </w:rPr>
        <w:t>，不包括铁路运输业；</w:t>
      </w:r>
      <w:r>
        <w:fldChar w:fldCharType="begin"/>
      </w:r>
      <w:r>
        <w:instrText xml:space="preserve"> HYPERLINK "https://baike.baidu.com/item/%E4%BB%93%E5%82%A8%E4%B8%9A/3487863?fromModule=lemma_inlink" \t "_blank" </w:instrText>
      </w:r>
      <w:r>
        <w:fldChar w:fldCharType="separate"/>
      </w:r>
      <w:r>
        <w:rPr>
          <w:rFonts w:ascii="Helvetica" w:hAnsi="Helvetica" w:cs="Helvetica"/>
          <w:kern w:val="0"/>
          <w:sz w:val="18"/>
          <w:szCs w:val="18"/>
          <w:u w:val="single"/>
        </w:rPr>
        <w:t>仓储业</w:t>
      </w:r>
      <w:r>
        <w:rPr>
          <w:rFonts w:ascii="Helvetica" w:hAnsi="Helvetica" w:cs="Helvetica"/>
          <w:kern w:val="0"/>
          <w:sz w:val="18"/>
          <w:szCs w:val="18"/>
          <w:u w:val="single"/>
        </w:rPr>
        <w:fldChar w:fldCharType="end"/>
      </w:r>
      <w:r>
        <w:rPr>
          <w:rFonts w:ascii="Helvetica" w:hAnsi="Helvetica" w:cs="Helvetica"/>
          <w:kern w:val="0"/>
          <w:sz w:val="18"/>
          <w:szCs w:val="18"/>
        </w:rPr>
        <w:t>包括通用仓储，低温仓储，危险品仓储，谷物、棉花等农产品仓储，中药材仓储和其他仓储业;</w:t>
      </w:r>
      <w:r>
        <w:fldChar w:fldCharType="begin"/>
      </w:r>
      <w:r>
        <w:instrText xml:space="preserve"> HYPERLINK "https://baike.baidu.com/item/%E4%BF%A1%E6%81%AF%E4%BC%A0%E8%BE%93%E4%B8%9A/61331990?fromModule=lemma_inlink" \t "_blank" </w:instrText>
      </w:r>
      <w:r>
        <w:fldChar w:fldCharType="separate"/>
      </w:r>
      <w:r>
        <w:rPr>
          <w:rFonts w:ascii="Helvetica" w:hAnsi="Helvetica" w:cs="Helvetica"/>
          <w:kern w:val="0"/>
          <w:sz w:val="18"/>
          <w:szCs w:val="18"/>
          <w:u w:val="single"/>
        </w:rPr>
        <w:t>信息传输业</w:t>
      </w:r>
      <w:r>
        <w:rPr>
          <w:rFonts w:ascii="Helvetica" w:hAnsi="Helvetica" w:cs="Helvetica"/>
          <w:kern w:val="0"/>
          <w:sz w:val="18"/>
          <w:szCs w:val="18"/>
          <w:u w:val="single"/>
        </w:rPr>
        <w:fldChar w:fldCharType="end"/>
      </w:r>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3116432">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3.企业划分指标以现行</w:t>
      </w:r>
      <w:r>
        <w:fldChar w:fldCharType="begin"/>
      </w:r>
      <w:r>
        <w:instrText xml:space="preserve"> HYPERLINK "https://baike.baidu.com/item/%E7%BB%9F%E8%AE%A1%E5%88%B6%E5%BA%A6/917165?fromModule=lemma_inlink" \t "_blank" </w:instrText>
      </w:r>
      <w:r>
        <w:fldChar w:fldCharType="separate"/>
      </w:r>
      <w:r>
        <w:rPr>
          <w:rFonts w:ascii="Helvetica" w:hAnsi="Helvetica" w:cs="Helvetica"/>
          <w:kern w:val="0"/>
          <w:sz w:val="18"/>
          <w:szCs w:val="18"/>
          <w:u w:val="single"/>
        </w:rPr>
        <w:t>统计制度</w:t>
      </w:r>
      <w:r>
        <w:rPr>
          <w:rFonts w:ascii="Helvetica" w:hAnsi="Helvetica" w:cs="Helvetica"/>
          <w:kern w:val="0"/>
          <w:sz w:val="18"/>
          <w:szCs w:val="18"/>
          <w:u w:val="single"/>
        </w:rPr>
        <w:fldChar w:fldCharType="end"/>
      </w:r>
      <w:r>
        <w:rPr>
          <w:rFonts w:ascii="Helvetica" w:hAnsi="Helvetica" w:cs="Helvetica"/>
          <w:kern w:val="0"/>
          <w:sz w:val="18"/>
          <w:szCs w:val="18"/>
        </w:rPr>
        <w:t>为准。（1）从业人员，是指期末从业人员数，没有期末从业人员数的，采用全年平均人员数代替。（2）</w:t>
      </w:r>
      <w:r>
        <w:fldChar w:fldCharType="begin"/>
      </w:r>
      <w:r>
        <w:instrText xml:space="preserve"> HYPERLINK "https://baike.baidu.com/item/%E8%90%A5%E4%B8%9A%E6%94%B6%E5%85%A5/5099832?fromModule=lemma_inlink" \t "_blank" </w:instrText>
      </w:r>
      <w:r>
        <w:fldChar w:fldCharType="separate"/>
      </w:r>
      <w:r>
        <w:rPr>
          <w:rFonts w:ascii="Helvetica" w:hAnsi="Helvetica" w:cs="Helvetica"/>
          <w:kern w:val="0"/>
          <w:sz w:val="18"/>
          <w:szCs w:val="18"/>
          <w:u w:val="single"/>
        </w:rPr>
        <w:t>营业收入</w:t>
      </w:r>
      <w:r>
        <w:rPr>
          <w:rFonts w:ascii="Helvetica" w:hAnsi="Helvetica" w:cs="Helvetica"/>
          <w:kern w:val="0"/>
          <w:sz w:val="18"/>
          <w:szCs w:val="18"/>
          <w:u w:val="single"/>
        </w:rPr>
        <w:fldChar w:fldCharType="end"/>
      </w:r>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fldChar w:fldCharType="begin"/>
      </w:r>
      <w:r>
        <w:instrText xml:space="preserve"> HYPERLINK "https://baike.baidu.com/item/%E8%B5%84%E4%BA%A7%E6%80%BB%E9%A2%9D/716517?fromModule=lemma_inlink" \t "_blank" </w:instrText>
      </w:r>
      <w:r>
        <w:fldChar w:fldCharType="separate"/>
      </w:r>
      <w:r>
        <w:rPr>
          <w:rFonts w:ascii="Helvetica" w:hAnsi="Helvetica" w:cs="Helvetica"/>
          <w:kern w:val="0"/>
          <w:sz w:val="18"/>
          <w:szCs w:val="18"/>
          <w:u w:val="single"/>
        </w:rPr>
        <w:t>资产总额</w:t>
      </w:r>
      <w:r>
        <w:rPr>
          <w:rFonts w:ascii="Helvetica" w:hAnsi="Helvetica" w:cs="Helvetica"/>
          <w:kern w:val="0"/>
          <w:sz w:val="18"/>
          <w:szCs w:val="18"/>
          <w:u w:val="single"/>
        </w:rPr>
        <w:fldChar w:fldCharType="end"/>
      </w:r>
      <w:r>
        <w:rPr>
          <w:rFonts w:ascii="Helvetica" w:hAnsi="Helvetica" w:cs="Helvetica"/>
          <w:kern w:val="0"/>
          <w:sz w:val="18"/>
          <w:szCs w:val="18"/>
        </w:rPr>
        <w:t>，采用资产总计代替。</w:t>
      </w:r>
    </w:p>
    <w:p w14:paraId="1DCB5B90">
      <w:pPr>
        <w:widowControl/>
        <w:jc w:val="left"/>
        <w:rPr>
          <w:rFonts w:hAnsi="宋体"/>
          <w:bCs/>
          <w:sz w:val="18"/>
          <w:szCs w:val="18"/>
        </w:rPr>
      </w:pPr>
      <w:r>
        <w:rPr>
          <w:rFonts w:hAnsi="宋体"/>
          <w:bCs/>
          <w:sz w:val="18"/>
          <w:szCs w:val="18"/>
        </w:rPr>
        <w:br w:type="page"/>
      </w:r>
    </w:p>
    <w:p w14:paraId="335708F7">
      <w:pPr>
        <w:spacing w:line="320" w:lineRule="exact"/>
        <w:jc w:val="left"/>
        <w:rPr>
          <w:rFonts w:hAnsi="宋体"/>
          <w:bCs/>
          <w:sz w:val="18"/>
          <w:szCs w:val="18"/>
        </w:rPr>
      </w:pPr>
    </w:p>
    <w:p w14:paraId="7C58EA3A">
      <w:pPr>
        <w:pStyle w:val="21"/>
        <w:spacing w:line="440" w:lineRule="exact"/>
        <w:jc w:val="center"/>
        <w:rPr>
          <w:rFonts w:ascii="仿宋" w:hAnsi="仿宋" w:eastAsia="仿宋"/>
          <w:b/>
          <w:kern w:val="0"/>
          <w:sz w:val="32"/>
          <w:szCs w:val="32"/>
        </w:rPr>
      </w:pPr>
      <w:r>
        <w:rPr>
          <w:rFonts w:hint="eastAsia" w:ascii="仿宋" w:hAnsi="仿宋" w:eastAsia="仿宋"/>
          <w:b/>
          <w:kern w:val="0"/>
          <w:sz w:val="32"/>
          <w:szCs w:val="32"/>
        </w:rPr>
        <w:t>残疾人福利性单位声明函</w:t>
      </w:r>
      <w:r>
        <w:rPr>
          <w:rFonts w:hint="eastAsia" w:ascii="仿宋" w:hAnsi="仿宋" w:eastAsia="仿宋"/>
          <w:sz w:val="24"/>
        </w:rPr>
        <w:t>(格式</w:t>
      </w:r>
      <w:r>
        <w:rPr>
          <w:rFonts w:ascii="仿宋" w:hAnsi="仿宋" w:eastAsia="仿宋"/>
          <w:sz w:val="24"/>
        </w:rPr>
        <w:t>)</w:t>
      </w:r>
    </w:p>
    <w:p w14:paraId="3A46403A"/>
    <w:p w14:paraId="1B585E07">
      <w:pPr>
        <w:spacing w:line="660" w:lineRule="exact"/>
        <w:ind w:firstLine="420" w:firstLineChars="200"/>
        <w:rPr>
          <w:rFonts w:ascii="宋体" w:hAnsi="宋体" w:cs="Courier New"/>
          <w:kern w:val="0"/>
          <w:szCs w:val="21"/>
        </w:rPr>
      </w:pPr>
      <w:r>
        <w:rPr>
          <w:rFonts w:hint="eastAsia" w:ascii="宋体" w:hAnsi="宋体" w:cs="Courier New"/>
          <w:kern w:val="0"/>
          <w:szCs w:val="21"/>
        </w:rPr>
        <w:t>本单位郑重声明，根据</w:t>
      </w:r>
      <w:bookmarkStart w:id="131" w:name="_Hlk82091361"/>
      <w:r>
        <w:rPr>
          <w:rFonts w:hint="eastAsia" w:ascii="宋体" w:hAnsi="宋体" w:cs="Courier New"/>
          <w:kern w:val="0"/>
          <w:szCs w:val="21"/>
        </w:rPr>
        <w:t>《</w:t>
      </w:r>
      <w:r>
        <w:fldChar w:fldCharType="begin"/>
      </w:r>
      <w:r>
        <w:instrText xml:space="preserve"> HYPERLINK "http://www.mof.gov.cn/gp/xxgkml/gks/201709/t20170901_2689542.htm" </w:instrText>
      </w:r>
      <w:r>
        <w:fldChar w:fldCharType="separate"/>
      </w:r>
      <w:r>
        <w:rPr>
          <w:rFonts w:hint="eastAsia" w:ascii="宋体" w:hAnsi="Courier New" w:cs="Courier New"/>
          <w:kern w:val="0"/>
          <w:szCs w:val="21"/>
        </w:rPr>
        <w:t>财政部 民政部 中国残疾人联合会关于促进残疾人就业政府采购政策的通知》（财库〔2017〕141号）</w:t>
      </w:r>
      <w:r>
        <w:rPr>
          <w:rFonts w:hint="eastAsia" w:ascii="宋体" w:hAnsi="Courier New" w:cs="Courier New"/>
          <w:kern w:val="0"/>
          <w:szCs w:val="21"/>
        </w:rPr>
        <w:fldChar w:fldCharType="end"/>
      </w:r>
      <w:bookmarkEnd w:id="131"/>
      <w:r>
        <w:rPr>
          <w:rFonts w:hint="eastAsia" w:ascii="宋体" w:hAnsi="宋体" w:cs="Courier New"/>
          <w:kern w:val="0"/>
          <w:szCs w:val="21"/>
        </w:rPr>
        <w:t>的规定，本单位为符合条件的残疾人福利性单位，且本单位参加（</w:t>
      </w:r>
      <w:r>
        <w:rPr>
          <w:rFonts w:hint="eastAsia" w:ascii="宋体" w:hAnsi="宋体" w:cs="Courier New"/>
          <w:kern w:val="0"/>
          <w:szCs w:val="21"/>
          <w:u w:val="single"/>
        </w:rPr>
        <w:t>单位名称</w:t>
      </w:r>
      <w:r>
        <w:rPr>
          <w:rFonts w:hint="eastAsia" w:ascii="宋体" w:hAnsi="宋体" w:cs="Courier New"/>
          <w:kern w:val="0"/>
          <w:szCs w:val="21"/>
        </w:rPr>
        <w:t>）的（</w:t>
      </w:r>
      <w:r>
        <w:rPr>
          <w:rFonts w:hint="eastAsia" w:ascii="宋体" w:hAnsi="宋体" w:cs="Courier New"/>
          <w:kern w:val="0"/>
          <w:szCs w:val="21"/>
          <w:u w:val="single"/>
        </w:rPr>
        <w:t>项目名称</w:t>
      </w:r>
      <w:r>
        <w:rPr>
          <w:rFonts w:hint="eastAsia" w:ascii="宋体" w:hAnsi="宋体" w:cs="Courier New"/>
          <w:kern w:val="0"/>
          <w:szCs w:val="21"/>
        </w:rPr>
        <w:t>）采购活动提供本单位制造的货物，或者提供其他残疾人福利性单位（</w:t>
      </w:r>
      <w:r>
        <w:rPr>
          <w:rFonts w:hint="eastAsia" w:ascii="宋体" w:hAnsi="宋体" w:cs="Courier New"/>
          <w:kern w:val="0"/>
          <w:szCs w:val="21"/>
          <w:u w:val="single"/>
        </w:rPr>
        <w:t>请填写具体单位名称</w:t>
      </w:r>
      <w:r>
        <w:rPr>
          <w:rFonts w:hint="eastAsia" w:ascii="宋体" w:hAnsi="宋体" w:cs="Courier New"/>
          <w:kern w:val="0"/>
          <w:szCs w:val="21"/>
        </w:rPr>
        <w:t>）制造的货物（不包括使用非残疾人福利性单位注册商标的货物）。</w:t>
      </w:r>
    </w:p>
    <w:p w14:paraId="604767B3">
      <w:pPr>
        <w:spacing w:line="660" w:lineRule="exact"/>
        <w:ind w:firstLine="420" w:firstLineChars="200"/>
        <w:rPr>
          <w:rFonts w:ascii="宋体" w:hAnsi="宋体" w:cs="Courier New"/>
          <w:kern w:val="0"/>
          <w:szCs w:val="21"/>
        </w:rPr>
      </w:pPr>
      <w:r>
        <w:rPr>
          <w:rFonts w:hint="eastAsia" w:ascii="宋体" w:hAnsi="宋体" w:cs="Courier New"/>
          <w:kern w:val="0"/>
          <w:szCs w:val="21"/>
        </w:rPr>
        <w:t>本单位对上述声明的真实性负责。如有虚假，将依法承担相应责任。</w:t>
      </w:r>
    </w:p>
    <w:p w14:paraId="5974D472">
      <w:pPr>
        <w:spacing w:line="400" w:lineRule="exact"/>
        <w:rPr>
          <w:szCs w:val="21"/>
        </w:rPr>
      </w:pPr>
    </w:p>
    <w:p w14:paraId="574D6980">
      <w:pPr>
        <w:spacing w:line="400" w:lineRule="exact"/>
        <w:rPr>
          <w:szCs w:val="21"/>
        </w:rPr>
      </w:pPr>
    </w:p>
    <w:p w14:paraId="750CCBB4">
      <w:pPr>
        <w:spacing w:line="400" w:lineRule="exact"/>
        <w:rPr>
          <w:szCs w:val="21"/>
        </w:rPr>
      </w:pPr>
    </w:p>
    <w:p w14:paraId="56E70403">
      <w:pPr>
        <w:spacing w:line="440" w:lineRule="exact"/>
        <w:ind w:firstLine="5250" w:firstLineChars="2500"/>
        <w:rPr>
          <w:rFonts w:ascii="宋体" w:hAnsi="宋体" w:cs="Courier New"/>
          <w:kern w:val="0"/>
          <w:szCs w:val="21"/>
        </w:rPr>
      </w:pPr>
      <w:r>
        <w:rPr>
          <w:rFonts w:hint="eastAsia" w:ascii="宋体" w:hAnsi="宋体" w:cs="Courier New"/>
          <w:kern w:val="0"/>
          <w:szCs w:val="21"/>
        </w:rPr>
        <w:t>单位名称（盖章）：</w:t>
      </w:r>
      <w:r>
        <w:rPr>
          <w:rFonts w:hint="eastAsia" w:ascii="宋体" w:hAnsi="宋体" w:cs="Courier New"/>
          <w:szCs w:val="21"/>
          <w:u w:val="single"/>
        </w:rPr>
        <w:t xml:space="preserve"> </w:t>
      </w:r>
      <w:r>
        <w:rPr>
          <w:rFonts w:ascii="宋体" w:hAnsi="宋体" w:cs="Courier New"/>
          <w:szCs w:val="21"/>
          <w:u w:val="single"/>
        </w:rPr>
        <w:t xml:space="preserve">             </w:t>
      </w:r>
    </w:p>
    <w:p w14:paraId="2EEB49CD">
      <w:pPr>
        <w:spacing w:line="440" w:lineRule="exact"/>
        <w:ind w:firstLine="5250" w:firstLineChars="2500"/>
        <w:rPr>
          <w:rFonts w:ascii="宋体" w:hAnsi="宋体" w:cs="Courier New"/>
          <w:szCs w:val="21"/>
          <w:u w:val="single"/>
        </w:rPr>
      </w:pPr>
      <w:r>
        <w:rPr>
          <w:rFonts w:hint="eastAsia" w:ascii="宋体" w:hAnsi="宋体" w:cs="Courier New"/>
          <w:kern w:val="0"/>
          <w:szCs w:val="21"/>
        </w:rPr>
        <w:t>日  期：</w:t>
      </w:r>
      <w:r>
        <w:rPr>
          <w:rFonts w:hint="eastAsia" w:ascii="宋体" w:hAnsi="宋体" w:cs="Courier New"/>
          <w:szCs w:val="21"/>
          <w:u w:val="single"/>
        </w:rPr>
        <w:t xml:space="preserve"> </w:t>
      </w:r>
      <w:r>
        <w:rPr>
          <w:rFonts w:ascii="宋体" w:hAnsi="宋体" w:cs="Courier New"/>
          <w:szCs w:val="21"/>
          <w:u w:val="single"/>
        </w:rPr>
        <w:t xml:space="preserve">                       </w:t>
      </w:r>
    </w:p>
    <w:bookmarkEnd w:id="125"/>
    <w:p w14:paraId="05900F2C">
      <w:pPr>
        <w:widowControl/>
        <w:jc w:val="left"/>
        <w:rPr>
          <w:rFonts w:ascii="宋体" w:hAnsi="Courier New" w:cs="Courier New"/>
          <w:sz w:val="18"/>
          <w:szCs w:val="18"/>
        </w:rPr>
      </w:pPr>
      <w:r>
        <w:rPr>
          <w:rFonts w:ascii="宋体" w:hAnsi="Courier New" w:cs="Courier New"/>
          <w:sz w:val="18"/>
          <w:szCs w:val="18"/>
        </w:rPr>
        <w:br w:type="page"/>
      </w:r>
    </w:p>
    <w:p w14:paraId="5273F306">
      <w:pPr>
        <w:jc w:val="left"/>
        <w:rPr>
          <w:rFonts w:ascii="宋体" w:hAnsi="宋体"/>
          <w:b/>
          <w:bCs/>
          <w:sz w:val="36"/>
          <w:szCs w:val="36"/>
        </w:rPr>
      </w:pPr>
      <w:r>
        <w:rPr>
          <w:rFonts w:hint="eastAsia" w:ascii="宋体" w:hAnsi="宋体"/>
          <w:b/>
          <w:bCs/>
          <w:sz w:val="36"/>
          <w:szCs w:val="36"/>
        </w:rPr>
        <w:t>三、报价文件</w:t>
      </w:r>
    </w:p>
    <w:p w14:paraId="7024E718">
      <w:pPr>
        <w:jc w:val="center"/>
        <w:rPr>
          <w:rFonts w:ascii="仿宋" w:hAnsi="仿宋" w:eastAsia="仿宋"/>
          <w:b/>
          <w:bCs/>
          <w:sz w:val="30"/>
          <w:szCs w:val="30"/>
        </w:rPr>
      </w:pPr>
      <w:r>
        <w:rPr>
          <w:rFonts w:hint="eastAsia" w:ascii="仿宋" w:hAnsi="仿宋" w:eastAsia="仿宋"/>
          <w:b/>
          <w:bCs/>
          <w:sz w:val="32"/>
          <w:szCs w:val="32"/>
        </w:rPr>
        <w:t>报价明细表</w:t>
      </w:r>
      <w:r>
        <w:rPr>
          <w:rFonts w:hint="eastAsia" w:ascii="仿宋" w:hAnsi="仿宋" w:eastAsia="仿宋"/>
          <w:sz w:val="24"/>
        </w:rPr>
        <w:t>(格式</w:t>
      </w:r>
      <w:r>
        <w:rPr>
          <w:rFonts w:ascii="仿宋" w:hAnsi="仿宋" w:eastAsia="仿宋"/>
          <w:sz w:val="24"/>
        </w:rPr>
        <w:t>)</w:t>
      </w:r>
    </w:p>
    <w:p w14:paraId="27A6E261"/>
    <w:p w14:paraId="6966D678">
      <w:pPr>
        <w:spacing w:line="400" w:lineRule="exact"/>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64FCBBAC">
      <w:pPr>
        <w:spacing w:line="400" w:lineRule="exac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单位：元</w:t>
      </w:r>
    </w:p>
    <w:tbl>
      <w:tblPr>
        <w:tblStyle w:val="40"/>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14:paraId="566F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14:paraId="5DD8376D">
            <w:pPr>
              <w:spacing w:line="300" w:lineRule="exact"/>
              <w:jc w:val="center"/>
              <w:rPr>
                <w:rFonts w:ascii="宋体" w:hAnsi="宋体" w:cs="Courier New"/>
                <w:szCs w:val="21"/>
              </w:rPr>
            </w:pPr>
            <w:bookmarkStart w:id="132" w:name="_Hlk97823529"/>
            <w:r>
              <w:rPr>
                <w:rFonts w:hint="eastAsia" w:ascii="宋体" w:hAnsi="宋体" w:cs="Courier New"/>
                <w:szCs w:val="21"/>
              </w:rPr>
              <w:t>序号</w:t>
            </w:r>
          </w:p>
        </w:tc>
        <w:tc>
          <w:tcPr>
            <w:tcW w:w="1145" w:type="dxa"/>
            <w:tcBorders>
              <w:bottom w:val="single" w:color="auto" w:sz="4" w:space="0"/>
            </w:tcBorders>
            <w:vAlign w:val="center"/>
          </w:tcPr>
          <w:p w14:paraId="2DC48808">
            <w:pPr>
              <w:tabs>
                <w:tab w:val="left" w:pos="180"/>
                <w:tab w:val="left" w:pos="1620"/>
              </w:tabs>
              <w:spacing w:line="300" w:lineRule="exact"/>
              <w:jc w:val="center"/>
              <w:rPr>
                <w:rFonts w:ascii="宋体" w:hAnsi="宋体"/>
                <w:szCs w:val="21"/>
              </w:rPr>
            </w:pPr>
            <w:r>
              <w:rPr>
                <w:rFonts w:hint="eastAsia" w:ascii="宋体" w:hAnsi="宋体"/>
                <w:szCs w:val="21"/>
              </w:rPr>
              <w:t>货物名称</w:t>
            </w:r>
          </w:p>
        </w:tc>
        <w:tc>
          <w:tcPr>
            <w:tcW w:w="699" w:type="dxa"/>
            <w:tcBorders>
              <w:bottom w:val="single" w:color="auto" w:sz="4" w:space="0"/>
            </w:tcBorders>
            <w:vAlign w:val="center"/>
          </w:tcPr>
          <w:p w14:paraId="5F8C4E81">
            <w:pPr>
              <w:tabs>
                <w:tab w:val="left" w:pos="180"/>
                <w:tab w:val="left" w:pos="1620"/>
              </w:tabs>
              <w:spacing w:line="300" w:lineRule="exact"/>
              <w:jc w:val="center"/>
              <w:rPr>
                <w:rFonts w:ascii="宋体" w:hAnsi="宋体"/>
                <w:szCs w:val="21"/>
              </w:rPr>
            </w:pPr>
            <w:r>
              <w:rPr>
                <w:rFonts w:hint="eastAsia" w:ascii="宋体" w:hAnsi="宋体"/>
                <w:szCs w:val="21"/>
              </w:rPr>
              <w:t>品牌</w:t>
            </w:r>
          </w:p>
        </w:tc>
        <w:tc>
          <w:tcPr>
            <w:tcW w:w="710" w:type="dxa"/>
            <w:tcBorders>
              <w:bottom w:val="single" w:color="auto" w:sz="4" w:space="0"/>
            </w:tcBorders>
            <w:vAlign w:val="center"/>
          </w:tcPr>
          <w:p w14:paraId="7FF603D5">
            <w:pPr>
              <w:tabs>
                <w:tab w:val="left" w:pos="180"/>
                <w:tab w:val="left" w:pos="1620"/>
              </w:tabs>
              <w:spacing w:line="300" w:lineRule="exact"/>
              <w:jc w:val="center"/>
              <w:rPr>
                <w:rFonts w:ascii="宋体" w:hAnsi="宋体"/>
                <w:szCs w:val="21"/>
              </w:rPr>
            </w:pPr>
            <w:r>
              <w:rPr>
                <w:rFonts w:hint="eastAsia" w:ascii="宋体" w:hAnsi="宋体"/>
                <w:szCs w:val="21"/>
              </w:rPr>
              <w:t>型号</w:t>
            </w:r>
          </w:p>
        </w:tc>
        <w:tc>
          <w:tcPr>
            <w:tcW w:w="709" w:type="dxa"/>
            <w:tcBorders>
              <w:bottom w:val="single" w:color="auto" w:sz="4" w:space="0"/>
            </w:tcBorders>
            <w:vAlign w:val="center"/>
          </w:tcPr>
          <w:p w14:paraId="737355AC">
            <w:pPr>
              <w:tabs>
                <w:tab w:val="left" w:pos="180"/>
                <w:tab w:val="left" w:pos="1620"/>
              </w:tabs>
              <w:spacing w:line="300" w:lineRule="exact"/>
              <w:jc w:val="center"/>
              <w:rPr>
                <w:rFonts w:ascii="宋体" w:hAnsi="宋体"/>
                <w:szCs w:val="21"/>
              </w:rPr>
            </w:pPr>
            <w:r>
              <w:rPr>
                <w:rFonts w:hint="eastAsia" w:ascii="宋体" w:hAnsi="宋体"/>
                <w:szCs w:val="21"/>
              </w:rPr>
              <w:t>产地</w:t>
            </w:r>
          </w:p>
        </w:tc>
        <w:tc>
          <w:tcPr>
            <w:tcW w:w="1702" w:type="dxa"/>
            <w:tcBorders>
              <w:bottom w:val="single" w:color="auto" w:sz="4" w:space="0"/>
            </w:tcBorders>
            <w:vAlign w:val="center"/>
          </w:tcPr>
          <w:p w14:paraId="2973FEAB">
            <w:pPr>
              <w:tabs>
                <w:tab w:val="left" w:pos="180"/>
                <w:tab w:val="left" w:pos="1620"/>
              </w:tabs>
              <w:spacing w:line="300" w:lineRule="exact"/>
              <w:jc w:val="center"/>
              <w:rPr>
                <w:rFonts w:ascii="宋体" w:hAnsi="宋体"/>
                <w:szCs w:val="21"/>
              </w:rPr>
            </w:pPr>
            <w:r>
              <w:rPr>
                <w:rFonts w:hint="eastAsia" w:ascii="宋体" w:hAnsi="宋体"/>
                <w:szCs w:val="21"/>
              </w:rPr>
              <w:t>技术参数及性能（规格）</w:t>
            </w:r>
          </w:p>
        </w:tc>
        <w:tc>
          <w:tcPr>
            <w:tcW w:w="1702" w:type="dxa"/>
            <w:tcBorders>
              <w:bottom w:val="single" w:color="auto" w:sz="4" w:space="0"/>
            </w:tcBorders>
            <w:vAlign w:val="center"/>
          </w:tcPr>
          <w:p w14:paraId="76DCF7E1">
            <w:pPr>
              <w:tabs>
                <w:tab w:val="left" w:pos="180"/>
                <w:tab w:val="left" w:pos="1620"/>
              </w:tabs>
              <w:spacing w:line="300" w:lineRule="exact"/>
              <w:jc w:val="center"/>
              <w:rPr>
                <w:rFonts w:ascii="宋体" w:hAnsi="宋体"/>
                <w:szCs w:val="21"/>
              </w:rPr>
            </w:pPr>
            <w:r>
              <w:rPr>
                <w:rFonts w:hint="eastAsia" w:ascii="宋体" w:hAnsi="宋体"/>
                <w:szCs w:val="21"/>
              </w:rPr>
              <w:t>数量、单位</w:t>
            </w:r>
            <w:r>
              <w:rPr>
                <w:rFonts w:hint="eastAsia" w:hAnsi="宋体"/>
              </w:rPr>
              <w:t>①</w:t>
            </w:r>
          </w:p>
        </w:tc>
        <w:tc>
          <w:tcPr>
            <w:tcW w:w="852" w:type="dxa"/>
            <w:tcBorders>
              <w:bottom w:val="single" w:color="auto" w:sz="4" w:space="0"/>
            </w:tcBorders>
            <w:vAlign w:val="center"/>
          </w:tcPr>
          <w:p w14:paraId="5DDC211C">
            <w:pPr>
              <w:tabs>
                <w:tab w:val="left" w:pos="180"/>
                <w:tab w:val="left" w:pos="1620"/>
              </w:tabs>
              <w:spacing w:line="300" w:lineRule="exact"/>
              <w:jc w:val="center"/>
              <w:rPr>
                <w:rFonts w:ascii="宋体" w:hAnsi="宋体"/>
                <w:szCs w:val="21"/>
              </w:rPr>
            </w:pPr>
            <w:r>
              <w:rPr>
                <w:rFonts w:hint="eastAsia" w:ascii="宋体" w:hAnsi="宋体"/>
                <w:szCs w:val="21"/>
              </w:rPr>
              <w:t>单价</w:t>
            </w:r>
            <w:r>
              <w:rPr>
                <w:rFonts w:hint="eastAsia" w:hAnsi="宋体"/>
              </w:rPr>
              <w:t>②</w:t>
            </w:r>
          </w:p>
        </w:tc>
        <w:tc>
          <w:tcPr>
            <w:tcW w:w="1348" w:type="dxa"/>
            <w:tcBorders>
              <w:bottom w:val="single" w:color="auto" w:sz="4" w:space="0"/>
            </w:tcBorders>
            <w:vAlign w:val="center"/>
          </w:tcPr>
          <w:p w14:paraId="40A2C14F">
            <w:pPr>
              <w:spacing w:line="300" w:lineRule="exact"/>
              <w:jc w:val="center"/>
              <w:rPr>
                <w:rFonts w:ascii="宋体" w:hAnsi="宋体" w:cs="Courier New"/>
                <w:szCs w:val="21"/>
              </w:rPr>
            </w:pPr>
            <w:r>
              <w:rPr>
                <w:rFonts w:hint="eastAsia" w:ascii="宋体" w:hAnsi="宋体" w:cs="Courier New"/>
                <w:szCs w:val="21"/>
              </w:rPr>
              <w:t>单项合价</w:t>
            </w:r>
          </w:p>
          <w:p w14:paraId="357C60A0">
            <w:pPr>
              <w:spacing w:line="300" w:lineRule="exact"/>
              <w:jc w:val="center"/>
              <w:rPr>
                <w:rFonts w:ascii="宋体" w:hAnsi="宋体" w:cs="Courier New"/>
                <w:szCs w:val="21"/>
              </w:rPr>
            </w:pPr>
            <w:r>
              <w:rPr>
                <w:rFonts w:hint="eastAsia" w:ascii="宋体" w:hAnsi="宋体" w:cs="Courier New"/>
                <w:szCs w:val="21"/>
              </w:rPr>
              <w:t>③</w:t>
            </w:r>
            <w:r>
              <w:rPr>
                <w:rFonts w:ascii="宋体" w:hAnsi="宋体" w:cs="Courier New"/>
                <w:szCs w:val="21"/>
              </w:rPr>
              <w:t>=</w:t>
            </w:r>
            <w:r>
              <w:rPr>
                <w:rFonts w:hint="eastAsia" w:ascii="宋体" w:hAnsi="宋体" w:cs="Courier New"/>
                <w:szCs w:val="21"/>
              </w:rPr>
              <w:t>①×②</w:t>
            </w:r>
          </w:p>
        </w:tc>
      </w:tr>
      <w:tr w14:paraId="620E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12C2260B">
            <w:pPr>
              <w:spacing w:line="440" w:lineRule="exact"/>
              <w:ind w:right="-34" w:rightChars="-16"/>
              <w:jc w:val="center"/>
              <w:rPr>
                <w:rFonts w:ascii="宋体" w:hAnsi="宋体"/>
                <w:sz w:val="24"/>
              </w:rPr>
            </w:pPr>
            <w:r>
              <w:rPr>
                <w:rFonts w:hint="eastAsia" w:ascii="宋体" w:hAnsi="宋体"/>
                <w:sz w:val="24"/>
              </w:rPr>
              <w:t>1</w:t>
            </w:r>
          </w:p>
        </w:tc>
        <w:tc>
          <w:tcPr>
            <w:tcW w:w="1145" w:type="dxa"/>
            <w:vAlign w:val="center"/>
          </w:tcPr>
          <w:p w14:paraId="24B9C3CB">
            <w:pPr>
              <w:spacing w:line="440" w:lineRule="exact"/>
              <w:ind w:firstLine="33" w:firstLineChars="16"/>
              <w:jc w:val="center"/>
              <w:rPr>
                <w:rFonts w:ascii="宋体" w:hAnsi="宋体"/>
              </w:rPr>
            </w:pPr>
          </w:p>
        </w:tc>
        <w:tc>
          <w:tcPr>
            <w:tcW w:w="699" w:type="dxa"/>
            <w:vAlign w:val="center"/>
          </w:tcPr>
          <w:p w14:paraId="76C5AA02">
            <w:pPr>
              <w:spacing w:line="440" w:lineRule="exact"/>
              <w:ind w:firstLine="35" w:firstLineChars="17"/>
              <w:jc w:val="center"/>
              <w:rPr>
                <w:rFonts w:ascii="宋体" w:hAnsi="宋体"/>
              </w:rPr>
            </w:pPr>
          </w:p>
        </w:tc>
        <w:tc>
          <w:tcPr>
            <w:tcW w:w="710" w:type="dxa"/>
            <w:vAlign w:val="center"/>
          </w:tcPr>
          <w:p w14:paraId="5BF9639D">
            <w:pPr>
              <w:spacing w:line="440" w:lineRule="exact"/>
              <w:jc w:val="center"/>
              <w:rPr>
                <w:rFonts w:ascii="宋体" w:hAnsi="宋体"/>
              </w:rPr>
            </w:pPr>
          </w:p>
        </w:tc>
        <w:tc>
          <w:tcPr>
            <w:tcW w:w="709" w:type="dxa"/>
            <w:vAlign w:val="center"/>
          </w:tcPr>
          <w:p w14:paraId="5CC3AB8D">
            <w:pPr>
              <w:spacing w:line="440" w:lineRule="exact"/>
              <w:ind w:firstLine="23" w:firstLineChars="11"/>
              <w:jc w:val="center"/>
              <w:rPr>
                <w:rFonts w:ascii="宋体" w:hAnsi="宋体"/>
              </w:rPr>
            </w:pPr>
          </w:p>
        </w:tc>
        <w:tc>
          <w:tcPr>
            <w:tcW w:w="1702" w:type="dxa"/>
            <w:vAlign w:val="center"/>
          </w:tcPr>
          <w:p w14:paraId="0CDA7FEF">
            <w:pPr>
              <w:spacing w:line="440" w:lineRule="exact"/>
              <w:ind w:firstLine="23" w:firstLineChars="11"/>
              <w:jc w:val="center"/>
              <w:rPr>
                <w:rFonts w:ascii="宋体" w:hAnsi="宋体"/>
              </w:rPr>
            </w:pPr>
          </w:p>
        </w:tc>
        <w:tc>
          <w:tcPr>
            <w:tcW w:w="1702" w:type="dxa"/>
            <w:vAlign w:val="center"/>
          </w:tcPr>
          <w:p w14:paraId="5111F49D">
            <w:pPr>
              <w:spacing w:line="440" w:lineRule="exact"/>
              <w:jc w:val="center"/>
              <w:rPr>
                <w:rFonts w:ascii="宋体" w:hAnsi="宋体"/>
              </w:rPr>
            </w:pPr>
          </w:p>
        </w:tc>
        <w:tc>
          <w:tcPr>
            <w:tcW w:w="852" w:type="dxa"/>
            <w:vAlign w:val="center"/>
          </w:tcPr>
          <w:p w14:paraId="65A67EFB">
            <w:pPr>
              <w:spacing w:line="440" w:lineRule="exact"/>
              <w:jc w:val="center"/>
              <w:rPr>
                <w:rFonts w:ascii="宋体" w:hAnsi="宋体"/>
              </w:rPr>
            </w:pPr>
          </w:p>
        </w:tc>
        <w:tc>
          <w:tcPr>
            <w:tcW w:w="1348" w:type="dxa"/>
            <w:vAlign w:val="center"/>
          </w:tcPr>
          <w:p w14:paraId="33544405">
            <w:pPr>
              <w:spacing w:line="440" w:lineRule="exact"/>
              <w:jc w:val="center"/>
              <w:rPr>
                <w:rFonts w:ascii="宋体" w:hAnsi="宋体"/>
              </w:rPr>
            </w:pPr>
          </w:p>
        </w:tc>
      </w:tr>
      <w:tr w14:paraId="1503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059B9BDE">
            <w:pPr>
              <w:spacing w:line="440" w:lineRule="exact"/>
              <w:jc w:val="center"/>
              <w:rPr>
                <w:rFonts w:ascii="宋体" w:hAnsi="宋体"/>
                <w:sz w:val="24"/>
              </w:rPr>
            </w:pPr>
            <w:r>
              <w:rPr>
                <w:rFonts w:hint="eastAsia" w:ascii="宋体" w:hAnsi="宋体"/>
                <w:sz w:val="24"/>
              </w:rPr>
              <w:t>2</w:t>
            </w:r>
          </w:p>
        </w:tc>
        <w:tc>
          <w:tcPr>
            <w:tcW w:w="1145" w:type="dxa"/>
            <w:vAlign w:val="center"/>
          </w:tcPr>
          <w:p w14:paraId="6F4AEB07">
            <w:pPr>
              <w:spacing w:line="440" w:lineRule="exact"/>
              <w:ind w:firstLine="33" w:firstLineChars="16"/>
              <w:jc w:val="center"/>
              <w:rPr>
                <w:rFonts w:ascii="宋体" w:hAnsi="宋体"/>
              </w:rPr>
            </w:pPr>
          </w:p>
        </w:tc>
        <w:tc>
          <w:tcPr>
            <w:tcW w:w="699" w:type="dxa"/>
            <w:vAlign w:val="center"/>
          </w:tcPr>
          <w:p w14:paraId="73C17F86">
            <w:pPr>
              <w:spacing w:line="440" w:lineRule="exact"/>
              <w:ind w:firstLine="35" w:firstLineChars="17"/>
              <w:jc w:val="center"/>
              <w:rPr>
                <w:rFonts w:ascii="宋体" w:hAnsi="宋体"/>
              </w:rPr>
            </w:pPr>
          </w:p>
        </w:tc>
        <w:tc>
          <w:tcPr>
            <w:tcW w:w="710" w:type="dxa"/>
            <w:vAlign w:val="center"/>
          </w:tcPr>
          <w:p w14:paraId="40A06E8F">
            <w:pPr>
              <w:spacing w:line="440" w:lineRule="exact"/>
              <w:jc w:val="center"/>
              <w:rPr>
                <w:rFonts w:ascii="宋体" w:hAnsi="宋体"/>
              </w:rPr>
            </w:pPr>
          </w:p>
        </w:tc>
        <w:tc>
          <w:tcPr>
            <w:tcW w:w="709" w:type="dxa"/>
            <w:vAlign w:val="center"/>
          </w:tcPr>
          <w:p w14:paraId="61C2EE28">
            <w:pPr>
              <w:spacing w:line="440" w:lineRule="exact"/>
              <w:ind w:firstLine="23" w:firstLineChars="11"/>
              <w:jc w:val="center"/>
              <w:rPr>
                <w:rFonts w:ascii="宋体" w:hAnsi="宋体"/>
              </w:rPr>
            </w:pPr>
          </w:p>
        </w:tc>
        <w:tc>
          <w:tcPr>
            <w:tcW w:w="1702" w:type="dxa"/>
            <w:vAlign w:val="center"/>
          </w:tcPr>
          <w:p w14:paraId="4D22415A">
            <w:pPr>
              <w:spacing w:line="440" w:lineRule="exact"/>
              <w:ind w:firstLine="23" w:firstLineChars="11"/>
              <w:jc w:val="center"/>
              <w:rPr>
                <w:rFonts w:ascii="宋体" w:hAnsi="宋体"/>
              </w:rPr>
            </w:pPr>
          </w:p>
        </w:tc>
        <w:tc>
          <w:tcPr>
            <w:tcW w:w="1702" w:type="dxa"/>
            <w:vAlign w:val="center"/>
          </w:tcPr>
          <w:p w14:paraId="7DC42617">
            <w:pPr>
              <w:spacing w:line="440" w:lineRule="exact"/>
              <w:jc w:val="center"/>
              <w:rPr>
                <w:rFonts w:ascii="宋体" w:hAnsi="宋体"/>
              </w:rPr>
            </w:pPr>
          </w:p>
        </w:tc>
        <w:tc>
          <w:tcPr>
            <w:tcW w:w="852" w:type="dxa"/>
            <w:vAlign w:val="center"/>
          </w:tcPr>
          <w:p w14:paraId="54A6E8CC">
            <w:pPr>
              <w:spacing w:line="440" w:lineRule="exact"/>
              <w:jc w:val="center"/>
              <w:rPr>
                <w:rFonts w:ascii="宋体" w:hAnsi="宋体"/>
              </w:rPr>
            </w:pPr>
          </w:p>
        </w:tc>
        <w:tc>
          <w:tcPr>
            <w:tcW w:w="1348" w:type="dxa"/>
            <w:vAlign w:val="center"/>
          </w:tcPr>
          <w:p w14:paraId="222B40AA">
            <w:pPr>
              <w:spacing w:line="440" w:lineRule="exact"/>
              <w:jc w:val="center"/>
              <w:rPr>
                <w:rFonts w:ascii="宋体" w:hAnsi="宋体"/>
              </w:rPr>
            </w:pPr>
          </w:p>
        </w:tc>
      </w:tr>
      <w:tr w14:paraId="0D94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0E7777BC">
            <w:pPr>
              <w:spacing w:line="440" w:lineRule="exact"/>
              <w:jc w:val="center"/>
              <w:rPr>
                <w:rFonts w:ascii="宋体" w:hAnsi="宋体"/>
                <w:sz w:val="24"/>
              </w:rPr>
            </w:pPr>
            <w:r>
              <w:rPr>
                <w:rFonts w:hint="eastAsia" w:ascii="宋体" w:hAnsi="宋体"/>
                <w:sz w:val="24"/>
              </w:rPr>
              <w:t>3</w:t>
            </w:r>
          </w:p>
        </w:tc>
        <w:tc>
          <w:tcPr>
            <w:tcW w:w="1145" w:type="dxa"/>
            <w:vAlign w:val="center"/>
          </w:tcPr>
          <w:p w14:paraId="2D383E51">
            <w:pPr>
              <w:spacing w:line="440" w:lineRule="exact"/>
              <w:ind w:firstLine="33" w:firstLineChars="16"/>
              <w:jc w:val="center"/>
              <w:rPr>
                <w:rFonts w:ascii="宋体" w:hAnsi="宋体"/>
              </w:rPr>
            </w:pPr>
          </w:p>
        </w:tc>
        <w:tc>
          <w:tcPr>
            <w:tcW w:w="699" w:type="dxa"/>
            <w:vAlign w:val="center"/>
          </w:tcPr>
          <w:p w14:paraId="087B5399">
            <w:pPr>
              <w:spacing w:line="440" w:lineRule="exact"/>
              <w:ind w:firstLine="35" w:firstLineChars="17"/>
              <w:jc w:val="center"/>
              <w:rPr>
                <w:rFonts w:ascii="宋体" w:hAnsi="宋体"/>
              </w:rPr>
            </w:pPr>
          </w:p>
        </w:tc>
        <w:tc>
          <w:tcPr>
            <w:tcW w:w="710" w:type="dxa"/>
            <w:vAlign w:val="center"/>
          </w:tcPr>
          <w:p w14:paraId="50FACBAB">
            <w:pPr>
              <w:spacing w:line="440" w:lineRule="exact"/>
              <w:jc w:val="center"/>
              <w:rPr>
                <w:rFonts w:ascii="宋体" w:hAnsi="宋体"/>
              </w:rPr>
            </w:pPr>
          </w:p>
        </w:tc>
        <w:tc>
          <w:tcPr>
            <w:tcW w:w="709" w:type="dxa"/>
            <w:vAlign w:val="center"/>
          </w:tcPr>
          <w:p w14:paraId="364DFF21">
            <w:pPr>
              <w:spacing w:line="440" w:lineRule="exact"/>
              <w:ind w:firstLine="23" w:firstLineChars="11"/>
              <w:jc w:val="center"/>
              <w:rPr>
                <w:rFonts w:ascii="宋体" w:hAnsi="宋体"/>
              </w:rPr>
            </w:pPr>
          </w:p>
        </w:tc>
        <w:tc>
          <w:tcPr>
            <w:tcW w:w="1702" w:type="dxa"/>
            <w:vAlign w:val="center"/>
          </w:tcPr>
          <w:p w14:paraId="062E126B">
            <w:pPr>
              <w:spacing w:line="440" w:lineRule="exact"/>
              <w:ind w:firstLine="23" w:firstLineChars="11"/>
              <w:jc w:val="center"/>
              <w:rPr>
                <w:rFonts w:ascii="宋体" w:hAnsi="宋体"/>
              </w:rPr>
            </w:pPr>
          </w:p>
        </w:tc>
        <w:tc>
          <w:tcPr>
            <w:tcW w:w="1702" w:type="dxa"/>
            <w:vAlign w:val="center"/>
          </w:tcPr>
          <w:p w14:paraId="60C088D4">
            <w:pPr>
              <w:spacing w:line="440" w:lineRule="exact"/>
              <w:jc w:val="center"/>
              <w:rPr>
                <w:rFonts w:ascii="宋体" w:hAnsi="宋体"/>
              </w:rPr>
            </w:pPr>
          </w:p>
        </w:tc>
        <w:tc>
          <w:tcPr>
            <w:tcW w:w="852" w:type="dxa"/>
            <w:vAlign w:val="center"/>
          </w:tcPr>
          <w:p w14:paraId="3F401246">
            <w:pPr>
              <w:spacing w:line="440" w:lineRule="exact"/>
              <w:jc w:val="center"/>
              <w:rPr>
                <w:rFonts w:ascii="宋体" w:hAnsi="宋体"/>
              </w:rPr>
            </w:pPr>
          </w:p>
        </w:tc>
        <w:tc>
          <w:tcPr>
            <w:tcW w:w="1348" w:type="dxa"/>
            <w:vAlign w:val="center"/>
          </w:tcPr>
          <w:p w14:paraId="5A6BE9B5">
            <w:pPr>
              <w:spacing w:line="440" w:lineRule="exact"/>
              <w:jc w:val="center"/>
              <w:rPr>
                <w:rFonts w:ascii="宋体" w:hAnsi="宋体"/>
              </w:rPr>
            </w:pPr>
          </w:p>
        </w:tc>
      </w:tr>
      <w:tr w14:paraId="3084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31A86A5B">
            <w:pPr>
              <w:spacing w:line="440" w:lineRule="exact"/>
              <w:jc w:val="center"/>
              <w:rPr>
                <w:rFonts w:ascii="宋体" w:hAnsi="宋体"/>
                <w:sz w:val="24"/>
              </w:rPr>
            </w:pPr>
            <w:r>
              <w:rPr>
                <w:rFonts w:ascii="宋体" w:hAnsi="宋体"/>
                <w:sz w:val="24"/>
              </w:rPr>
              <w:t>…</w:t>
            </w:r>
          </w:p>
        </w:tc>
        <w:tc>
          <w:tcPr>
            <w:tcW w:w="1145" w:type="dxa"/>
            <w:vAlign w:val="center"/>
          </w:tcPr>
          <w:p w14:paraId="60B0EF86">
            <w:pPr>
              <w:spacing w:line="440" w:lineRule="exact"/>
              <w:ind w:firstLine="33" w:firstLineChars="16"/>
              <w:jc w:val="center"/>
              <w:rPr>
                <w:rFonts w:ascii="宋体" w:hAnsi="宋体"/>
              </w:rPr>
            </w:pPr>
          </w:p>
        </w:tc>
        <w:tc>
          <w:tcPr>
            <w:tcW w:w="699" w:type="dxa"/>
            <w:vAlign w:val="center"/>
          </w:tcPr>
          <w:p w14:paraId="2B6A37C3">
            <w:pPr>
              <w:spacing w:line="440" w:lineRule="exact"/>
              <w:ind w:firstLine="35" w:firstLineChars="17"/>
              <w:jc w:val="center"/>
              <w:rPr>
                <w:rFonts w:ascii="宋体" w:hAnsi="宋体"/>
              </w:rPr>
            </w:pPr>
          </w:p>
        </w:tc>
        <w:tc>
          <w:tcPr>
            <w:tcW w:w="710" w:type="dxa"/>
            <w:vAlign w:val="center"/>
          </w:tcPr>
          <w:p w14:paraId="72992267">
            <w:pPr>
              <w:spacing w:line="440" w:lineRule="exact"/>
              <w:jc w:val="center"/>
              <w:rPr>
                <w:rFonts w:ascii="宋体" w:hAnsi="宋体"/>
              </w:rPr>
            </w:pPr>
          </w:p>
        </w:tc>
        <w:tc>
          <w:tcPr>
            <w:tcW w:w="709" w:type="dxa"/>
            <w:vAlign w:val="center"/>
          </w:tcPr>
          <w:p w14:paraId="00A58C6E">
            <w:pPr>
              <w:spacing w:line="440" w:lineRule="exact"/>
              <w:ind w:firstLine="23" w:firstLineChars="11"/>
              <w:jc w:val="center"/>
              <w:rPr>
                <w:rFonts w:ascii="宋体" w:hAnsi="宋体"/>
              </w:rPr>
            </w:pPr>
          </w:p>
        </w:tc>
        <w:tc>
          <w:tcPr>
            <w:tcW w:w="1702" w:type="dxa"/>
            <w:vAlign w:val="center"/>
          </w:tcPr>
          <w:p w14:paraId="5D04D603">
            <w:pPr>
              <w:spacing w:line="440" w:lineRule="exact"/>
              <w:ind w:firstLine="23" w:firstLineChars="11"/>
              <w:jc w:val="center"/>
              <w:rPr>
                <w:rFonts w:ascii="宋体" w:hAnsi="宋体"/>
              </w:rPr>
            </w:pPr>
          </w:p>
        </w:tc>
        <w:tc>
          <w:tcPr>
            <w:tcW w:w="1702" w:type="dxa"/>
            <w:vAlign w:val="center"/>
          </w:tcPr>
          <w:p w14:paraId="0B8DE9BE">
            <w:pPr>
              <w:spacing w:line="440" w:lineRule="exact"/>
              <w:jc w:val="center"/>
              <w:rPr>
                <w:rFonts w:ascii="宋体" w:hAnsi="宋体"/>
              </w:rPr>
            </w:pPr>
          </w:p>
        </w:tc>
        <w:tc>
          <w:tcPr>
            <w:tcW w:w="852" w:type="dxa"/>
            <w:vAlign w:val="center"/>
          </w:tcPr>
          <w:p w14:paraId="08FDB8E7">
            <w:pPr>
              <w:spacing w:line="440" w:lineRule="exact"/>
              <w:jc w:val="center"/>
              <w:rPr>
                <w:rFonts w:ascii="宋体" w:hAnsi="宋体"/>
              </w:rPr>
            </w:pPr>
          </w:p>
        </w:tc>
        <w:tc>
          <w:tcPr>
            <w:tcW w:w="1348" w:type="dxa"/>
            <w:vAlign w:val="center"/>
          </w:tcPr>
          <w:p w14:paraId="7098F321">
            <w:pPr>
              <w:spacing w:line="440" w:lineRule="exact"/>
              <w:jc w:val="center"/>
              <w:rPr>
                <w:rFonts w:ascii="宋体" w:hAnsi="宋体"/>
              </w:rPr>
            </w:pPr>
          </w:p>
        </w:tc>
      </w:tr>
      <w:tr w14:paraId="6AE3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1" w:type="dxa"/>
            <w:gridSpan w:val="9"/>
            <w:vAlign w:val="center"/>
          </w:tcPr>
          <w:p w14:paraId="0AC65610">
            <w:pPr>
              <w:spacing w:line="440" w:lineRule="exact"/>
              <w:ind w:firstLine="27" w:firstLineChars="14"/>
              <w:rPr>
                <w:rFonts w:ascii="宋体" w:hAnsi="宋体" w:cs="Courier New"/>
                <w:spacing w:val="-6"/>
                <w:szCs w:val="21"/>
              </w:rPr>
            </w:pPr>
            <w:r>
              <w:rPr>
                <w:rFonts w:hint="eastAsia" w:ascii="宋体" w:hAnsi="宋体" w:cs="Courier New"/>
                <w:spacing w:val="-6"/>
                <w:szCs w:val="21"/>
              </w:rPr>
              <w:t>总报价（人民币大写）：</w:t>
            </w:r>
            <w:r>
              <w:rPr>
                <w:rFonts w:hint="eastAsia" w:ascii="宋体" w:hAnsi="宋体" w:cs="Courier New"/>
                <w:spacing w:val="-6"/>
                <w:szCs w:val="21"/>
                <w:u w:val="single"/>
              </w:rPr>
              <w:t xml:space="preserve">                                       </w:t>
            </w:r>
            <w:r>
              <w:rPr>
                <w:rFonts w:hint="eastAsia" w:ascii="宋体" w:hAnsi="宋体" w:cs="Courier New"/>
                <w:spacing w:val="-6"/>
                <w:szCs w:val="21"/>
              </w:rPr>
              <w:t>（￥</w:t>
            </w:r>
            <w:r>
              <w:rPr>
                <w:rFonts w:hint="eastAsia" w:ascii="宋体" w:hAnsi="宋体" w:cs="Courier New"/>
                <w:spacing w:val="-6"/>
                <w:szCs w:val="21"/>
                <w:u w:val="single"/>
              </w:rPr>
              <w:t xml:space="preserve">                       元</w:t>
            </w:r>
            <w:r>
              <w:rPr>
                <w:rFonts w:hint="eastAsia" w:ascii="宋体" w:hAnsi="宋体" w:cs="Courier New"/>
                <w:spacing w:val="-6"/>
                <w:szCs w:val="21"/>
              </w:rPr>
              <w:t>）</w:t>
            </w:r>
          </w:p>
        </w:tc>
      </w:tr>
      <w:bookmarkEnd w:id="132"/>
    </w:tbl>
    <w:p w14:paraId="37D91D10">
      <w:pPr>
        <w:spacing w:line="440" w:lineRule="exact"/>
        <w:rPr>
          <w:rFonts w:ascii="宋体" w:hAnsi="宋体"/>
          <w:szCs w:val="21"/>
        </w:rPr>
      </w:pPr>
      <w:r>
        <w:rPr>
          <w:rFonts w:hint="eastAsia" w:ascii="宋体" w:hAnsi="宋体"/>
          <w:szCs w:val="21"/>
        </w:rPr>
        <w:t>注：1.所有价格均用人民币表示，单位为元，精确到个数位。</w:t>
      </w:r>
    </w:p>
    <w:p w14:paraId="48047991">
      <w:pPr>
        <w:spacing w:line="440" w:lineRule="exact"/>
        <w:rPr>
          <w:rFonts w:ascii="宋体" w:hAnsi="宋体"/>
          <w:szCs w:val="21"/>
        </w:rPr>
      </w:pPr>
      <w:r>
        <w:rPr>
          <w:rFonts w:hint="eastAsia" w:ascii="宋体" w:hAnsi="宋体"/>
          <w:szCs w:val="21"/>
        </w:rPr>
        <w:t xml:space="preserve">    </w:t>
      </w:r>
      <w:r>
        <w:rPr>
          <w:rFonts w:hint="eastAsia" w:ascii="宋体" w:hAnsi="宋体"/>
          <w:bCs/>
          <w:szCs w:val="21"/>
        </w:rPr>
        <w:t>2.总报价应包含货物、货物标准附件、备品备件、专用工具、设备安装辅材、包装、运输、保险等各种费用以及安装、调试、税金、售后服务、技术培训费、更新升级其所有成本费用。</w:t>
      </w:r>
    </w:p>
    <w:p w14:paraId="3D68CA77"/>
    <w:p w14:paraId="6856B6E1"/>
    <w:p w14:paraId="3F86EE0B">
      <w:pPr>
        <w:pStyle w:val="21"/>
        <w:spacing w:line="440" w:lineRule="exact"/>
        <w:ind w:firstLine="3675" w:firstLineChars="1750"/>
        <w:rPr>
          <w:rFonts w:hAnsi="宋体"/>
          <w:u w:val="single"/>
        </w:rPr>
      </w:pPr>
    </w:p>
    <w:p w14:paraId="1637EC8E">
      <w:pPr>
        <w:pStyle w:val="21"/>
        <w:spacing w:line="440" w:lineRule="exact"/>
        <w:ind w:firstLine="3675" w:firstLineChars="1750"/>
        <w:rPr>
          <w:rFonts w:hAnsi="宋体"/>
          <w:u w:val="single"/>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p>
    <w:p w14:paraId="62955650">
      <w:pPr>
        <w:spacing w:line="440" w:lineRule="exact"/>
        <w:ind w:firstLine="3675" w:firstLineChars="1750"/>
        <w:rPr>
          <w:rFonts w:hAnsi="宋体"/>
          <w:color w:val="0000FF"/>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w:t>
      </w:r>
    </w:p>
    <w:sectPr>
      <w:headerReference r:id="rId10" w:type="default"/>
      <w:footerReference r:id="rId11"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32F5">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B9CC2F">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AB9CC2F">
                    <w:pPr>
                      <w:pStyle w:val="25"/>
                    </w:pPr>
                    <w:r>
                      <w:fldChar w:fldCharType="begin"/>
                    </w:r>
                    <w:r>
                      <w:instrText xml:space="preserve"> PAGE  \* MERGEFORMAT </w:instrText>
                    </w:r>
                    <w:r>
                      <w:fldChar w:fldCharType="separate"/>
                    </w:r>
                    <w:r>
                      <w:t>2</w:t>
                    </w:r>
                    <w:r>
                      <w:fldChar w:fldCharType="end"/>
                    </w:r>
                  </w:p>
                </w:txbxContent>
              </v:textbox>
            </v:shape>
          </w:pict>
        </mc:Fallback>
      </mc:AlternateContent>
    </w:r>
  </w:p>
  <w:p w14:paraId="0D0B92BB">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BE42B">
    <w:pPr>
      <w:pStyle w:val="25"/>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55866F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1HvwcCAAASBAAADgAAAGRycy9lMm9Eb2MueG1srVNLbtswEN0X6B0I&#10;7mvZXhSGYDlIY7gokH6AtAcYU5RFVOQQQ9qSe4D2Bl11033P5XNkKFlOmm6y6IYYzufNvMfh8qqz&#10;jThoCgZdIWeTqRTaKSyN2xXyy+fNq4UUIYIroUGnC3nUQV6tXr5Ytj7Xc6yxKTUJBnEhb30h6xh9&#10;nmVB1dpCmKDXjoMVkoXIV9plJUHL6LbJ5tPp66xFKj2h0iGwdz0E5RmRngOIVWWUXqPaW+3igEq6&#10;gciUQm18kKt+2qrSKn6sqqCjaArJTGN/chO2t+nMVkvIdwS+Nuo8AjxnhCecLBjHTS9Qa4gg9mT+&#10;gbJGEQas4kShzQYivSLMYjZ9os1dDV73XFjq4C+ih/8Hqz4cPpEwJW+CFA4sP/jp54/Trz+n39/F&#10;PMnT+pBz1p3nvNi9wS6lJqrB36L6GoTDmxrcTl8TYVtrKHm8WarMHpUOOCGBbNv3WHIf2EfsgbqK&#10;bAJkNQSj89McL0+juyhUarmYLxZTDimOjZfUA/Kx3FOIbzVakYxCEr99Dw+H2xCH1DEldXO4MU3D&#10;fsgb95eDMQeP7hfoXJ3IpPkHJrHbdlybnFssj0yLcFgu/lps1EjfpGh5sQrp+B9J0bxzLEzawdGg&#10;0diOBjjFhYWMUgzmTRx2de/J7GrGHaW/ZvE2pqf1MMNZcl6VXpjzWqddfHzvsx6+8u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KidR78HAgAAEgQAAA4AAAAAAAAAAQAgAAAAHgEAAGRycy9l&#10;Mm9Eb2MueG1sUEsFBgAAAAAGAAYAWQEAAJcFAAAAAA==&#10;">
              <v:fill on="f" focussize="0,0"/>
              <v:stroke on="f"/>
              <v:imagedata o:title=""/>
              <o:lock v:ext="edit" aspectratio="f"/>
              <v:textbox inset="0mm,0mm,0mm,0mm" style="mso-fit-shape-to-text:t;">
                <w:txbxContent>
                  <w:p w14:paraId="555866F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B63C9">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C70EF">
                          <w:pPr>
                            <w:pStyle w:val="2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22C70EF">
                    <w:pPr>
                      <w:pStyle w:val="2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3CBD8">
    <w:pPr>
      <w:pStyle w:val="25"/>
    </w:pPr>
  </w:p>
  <w:p w14:paraId="3B4E4690">
    <w:pPr>
      <w:pStyle w:val="25"/>
    </w:pPr>
  </w:p>
  <w:p w14:paraId="755DB9CE">
    <w:pPr>
      <w:pStyle w:val="25"/>
    </w:pPr>
  </w:p>
  <w:p w14:paraId="0F48BA81">
    <w:pPr>
      <w:pStyle w:val="25"/>
    </w:pPr>
  </w:p>
  <w:p w14:paraId="3E2078F3">
    <w:pPr>
      <w:pStyle w:val="2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C19635">
                          <w:pPr>
                            <w:pStyle w:val="2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4AC19635">
                    <w:pPr>
                      <w:pStyle w:val="2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0D076">
    <w:pPr>
      <w:pStyle w:val="2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
                          </w:sdtPr>
                          <w:sdtContent>
                            <w:p w14:paraId="1BEA200F">
                              <w:pPr>
                                <w:pStyle w:val="25"/>
                                <w:jc w:val="center"/>
                              </w:pPr>
                              <w:r>
                                <w:fldChar w:fldCharType="begin"/>
                              </w:r>
                              <w:r>
                                <w:instrText xml:space="preserve">PAGE   \* MERGEFORMAT</w:instrText>
                              </w:r>
                              <w:r>
                                <w:fldChar w:fldCharType="separate"/>
                              </w:r>
                              <w:r>
                                <w:t>64</w:t>
                              </w:r>
                              <w:r>
                                <w:fldChar w:fldCharType="end"/>
                              </w:r>
                            </w:p>
                          </w:sdtContent>
                        </w:sdt>
                        <w:p w14:paraId="13E6D81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sdt>
                    <w:sdtPr>
                      <w:id w:val="-1"/>
                    </w:sdtPr>
                    <w:sdtContent>
                      <w:p w14:paraId="1BEA200F">
                        <w:pPr>
                          <w:pStyle w:val="25"/>
                          <w:jc w:val="center"/>
                        </w:pPr>
                        <w:r>
                          <w:fldChar w:fldCharType="begin"/>
                        </w:r>
                        <w:r>
                          <w:instrText xml:space="preserve">PAGE   \* MERGEFORMAT</w:instrText>
                        </w:r>
                        <w:r>
                          <w:fldChar w:fldCharType="separate"/>
                        </w:r>
                        <w:r>
                          <w:t>64</w:t>
                        </w:r>
                        <w:r>
                          <w:fldChar w:fldCharType="end"/>
                        </w:r>
                      </w:p>
                    </w:sdtContent>
                  </w:sdt>
                  <w:p w14:paraId="13E6D816"/>
                </w:txbxContent>
              </v:textbox>
            </v:shape>
          </w:pict>
        </mc:Fallback>
      </mc:AlternateContent>
    </w:r>
  </w:p>
  <w:p w14:paraId="588110FA">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32F52">
    <w:pPr>
      <w:pStyle w:val="26"/>
      <w:ind w:firstLine="2160" w:firstLineChars="1200"/>
      <w:jc w:val="both"/>
    </w:pPr>
    <w:r>
      <w:rPr>
        <w:rFonts w:hint="eastAsia"/>
        <w:lang w:eastAsia="zh-CN"/>
      </w:rPr>
      <w:t>钦州市外国语学校新校区办公室信创计算机设备采购项目</w:t>
    </w:r>
    <w:r>
      <w:rPr>
        <w:rFonts w:hint="eastAsia"/>
      </w:rPr>
      <w:t xml:space="preserve"> (</w:t>
    </w:r>
    <w:r>
      <w:rPr>
        <w:rFonts w:hint="eastAsia"/>
        <w:lang w:eastAsia="zh-CN"/>
      </w:rPr>
      <w:t>QZZC2025-J1-990214-QZSZ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19F2">
    <w:pPr>
      <w:pStyle w:val="26"/>
      <w:ind w:firstLine="2160" w:firstLineChars="1200"/>
      <w:jc w:val="both"/>
    </w:pPr>
    <w:r>
      <w:rPr>
        <w:rFonts w:hint="eastAsia"/>
        <w:lang w:eastAsia="zh-CN"/>
      </w:rPr>
      <w:t>钦州市外国语学校新校区办公室信创计算机设备采购项目</w:t>
    </w:r>
    <w:r>
      <w:rPr>
        <w:rFonts w:hint="eastAsia"/>
      </w:rPr>
      <w:t xml:space="preserve"> (</w:t>
    </w:r>
    <w:r>
      <w:rPr>
        <w:rFonts w:hint="eastAsia"/>
        <w:lang w:eastAsia="zh-CN"/>
      </w:rPr>
      <w:t>QZZC2025-J1-990214-QZSZ</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5FE7C">
    <w:pPr>
      <w:pStyle w:val="26"/>
      <w:ind w:firstLine="1260" w:firstLineChars="700"/>
      <w:jc w:val="both"/>
    </w:pPr>
    <w:r>
      <w:rPr>
        <w:rFonts w:hint="eastAsia"/>
        <w:lang w:eastAsia="zh-CN"/>
      </w:rPr>
      <w:t>钦州市外国语学校新校区办公室信创计算机设备采购项目</w:t>
    </w:r>
    <w:r>
      <w:rPr>
        <w:rFonts w:hint="eastAsia"/>
      </w:rPr>
      <w:t xml:space="preserve"> (</w:t>
    </w:r>
    <w:r>
      <w:rPr>
        <w:rFonts w:hint="eastAsia"/>
        <w:lang w:eastAsia="zh-CN"/>
      </w:rPr>
      <w:t>QZZC2025-J1-990214-QZSZ</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5B07E">
    <w:pPr>
      <w:pStyle w:val="26"/>
      <w:ind w:firstLine="1080" w:firstLineChars="600"/>
      <w:jc w:val="both"/>
    </w:pPr>
    <w:r>
      <w:rPr>
        <w:rFonts w:hint="eastAsia"/>
        <w:lang w:eastAsia="zh-CN"/>
      </w:rPr>
      <w:t>钦州市外国语学校新校区办公室信创计算机设备采购项目</w:t>
    </w:r>
    <w:r>
      <w:rPr>
        <w:rFonts w:hint="eastAsia"/>
      </w:rPr>
      <w:t xml:space="preserve"> (</w:t>
    </w:r>
    <w:r>
      <w:rPr>
        <w:rFonts w:hint="eastAsia"/>
        <w:lang w:eastAsia="zh-CN"/>
      </w:rPr>
      <w:t>QZZC2025-J1-990214-QZSZ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FC8AF"/>
    <w:multiLevelType w:val="singleLevel"/>
    <w:tmpl w:val="875FC8AF"/>
    <w:lvl w:ilvl="0" w:tentative="0">
      <w:start w:val="1"/>
      <w:numFmt w:val="decimal"/>
      <w:suff w:val="nothing"/>
      <w:lvlText w:val="%1．"/>
      <w:lvlJc w:val="left"/>
      <w:pPr>
        <w:ind w:left="0" w:firstLine="400"/>
      </w:pPr>
      <w:rPr>
        <w:rFonts w:hint="default"/>
      </w:rPr>
    </w:lvl>
  </w:abstractNum>
  <w:abstractNum w:abstractNumId="1">
    <w:nsid w:val="8DBED3C7"/>
    <w:multiLevelType w:val="singleLevel"/>
    <w:tmpl w:val="8DBED3C7"/>
    <w:lvl w:ilvl="0" w:tentative="0">
      <w:start w:val="1"/>
      <w:numFmt w:val="decimal"/>
      <w:suff w:val="nothing"/>
      <w:lvlText w:val="%1．"/>
      <w:lvlJc w:val="left"/>
      <w:pPr>
        <w:ind w:left="0" w:firstLine="400"/>
      </w:pPr>
      <w:rPr>
        <w:rFonts w:hint="default"/>
      </w:rPr>
    </w:lvl>
  </w:abstractNum>
  <w:abstractNum w:abstractNumId="2">
    <w:nsid w:val="9BEE7173"/>
    <w:multiLevelType w:val="singleLevel"/>
    <w:tmpl w:val="9BEE7173"/>
    <w:lvl w:ilvl="0" w:tentative="0">
      <w:start w:val="1"/>
      <w:numFmt w:val="lowerLetter"/>
      <w:lvlText w:val="%1)"/>
      <w:lvlJc w:val="left"/>
      <w:pPr>
        <w:tabs>
          <w:tab w:val="left" w:pos="420"/>
        </w:tabs>
        <w:ind w:left="425" w:leftChars="0" w:hanging="425" w:firstLineChars="0"/>
      </w:pPr>
      <w:rPr>
        <w:rFonts w:hint="default"/>
      </w:rPr>
    </w:lvl>
  </w:abstractNum>
  <w:abstractNum w:abstractNumId="3">
    <w:nsid w:val="9EAF66D0"/>
    <w:multiLevelType w:val="singleLevel"/>
    <w:tmpl w:val="9EAF66D0"/>
    <w:lvl w:ilvl="0" w:tentative="0">
      <w:start w:val="1"/>
      <w:numFmt w:val="decimal"/>
      <w:lvlText w:val="%1."/>
      <w:lvlJc w:val="left"/>
      <w:pPr>
        <w:tabs>
          <w:tab w:val="left" w:pos="312"/>
        </w:tabs>
      </w:pPr>
    </w:lvl>
  </w:abstractNum>
  <w:abstractNum w:abstractNumId="4">
    <w:nsid w:val="A1D7453A"/>
    <w:multiLevelType w:val="singleLevel"/>
    <w:tmpl w:val="A1D7453A"/>
    <w:lvl w:ilvl="0" w:tentative="0">
      <w:start w:val="1"/>
      <w:numFmt w:val="lowerLetter"/>
      <w:lvlText w:val="%1)"/>
      <w:lvlJc w:val="left"/>
      <w:pPr>
        <w:tabs>
          <w:tab w:val="left" w:pos="420"/>
        </w:tabs>
        <w:ind w:left="425" w:leftChars="0" w:hanging="425" w:firstLineChars="0"/>
      </w:pPr>
      <w:rPr>
        <w:rFonts w:hint="default"/>
      </w:rPr>
    </w:lvl>
  </w:abstractNum>
  <w:abstractNum w:abstractNumId="5">
    <w:nsid w:val="A3F62AA9"/>
    <w:multiLevelType w:val="singleLevel"/>
    <w:tmpl w:val="A3F62AA9"/>
    <w:lvl w:ilvl="0" w:tentative="0">
      <w:start w:val="1"/>
      <w:numFmt w:val="decimal"/>
      <w:suff w:val="nothing"/>
      <w:lvlText w:val="%1．"/>
      <w:lvlJc w:val="left"/>
      <w:pPr>
        <w:ind w:left="0" w:firstLine="400"/>
      </w:pPr>
      <w:rPr>
        <w:rFonts w:hint="default"/>
      </w:rPr>
    </w:lvl>
  </w:abstractNum>
  <w:abstractNum w:abstractNumId="6">
    <w:nsid w:val="ABFFD447"/>
    <w:multiLevelType w:val="singleLevel"/>
    <w:tmpl w:val="ABFFD447"/>
    <w:lvl w:ilvl="0" w:tentative="0">
      <w:start w:val="1"/>
      <w:numFmt w:val="decimal"/>
      <w:suff w:val="nothing"/>
      <w:lvlText w:val="%1．"/>
      <w:lvlJc w:val="left"/>
      <w:pPr>
        <w:ind w:left="0" w:firstLine="400"/>
      </w:pPr>
      <w:rPr>
        <w:rFonts w:hint="default"/>
      </w:rPr>
    </w:lvl>
  </w:abstractNum>
  <w:abstractNum w:abstractNumId="7">
    <w:nsid w:val="AF15DDF7"/>
    <w:multiLevelType w:val="singleLevel"/>
    <w:tmpl w:val="AF15DDF7"/>
    <w:lvl w:ilvl="0" w:tentative="0">
      <w:start w:val="1"/>
      <w:numFmt w:val="decimal"/>
      <w:lvlText w:val="%1."/>
      <w:lvlJc w:val="left"/>
      <w:pPr>
        <w:tabs>
          <w:tab w:val="left" w:pos="312"/>
        </w:tabs>
      </w:pPr>
    </w:lvl>
  </w:abstractNum>
  <w:abstractNum w:abstractNumId="8">
    <w:nsid w:val="AFF4F9B7"/>
    <w:multiLevelType w:val="singleLevel"/>
    <w:tmpl w:val="AFF4F9B7"/>
    <w:lvl w:ilvl="0" w:tentative="0">
      <w:start w:val="1"/>
      <w:numFmt w:val="decimal"/>
      <w:suff w:val="nothing"/>
      <w:lvlText w:val="%1．"/>
      <w:lvlJc w:val="left"/>
      <w:pPr>
        <w:ind w:left="0" w:firstLine="400"/>
      </w:pPr>
      <w:rPr>
        <w:rFonts w:hint="default"/>
      </w:rPr>
    </w:lvl>
  </w:abstractNum>
  <w:abstractNum w:abstractNumId="9">
    <w:nsid w:val="BBFBD6BD"/>
    <w:multiLevelType w:val="singleLevel"/>
    <w:tmpl w:val="BBFBD6BD"/>
    <w:lvl w:ilvl="0" w:tentative="0">
      <w:start w:val="1"/>
      <w:numFmt w:val="lowerLetter"/>
      <w:lvlText w:val="%1)"/>
      <w:lvlJc w:val="left"/>
      <w:pPr>
        <w:tabs>
          <w:tab w:val="left" w:pos="420"/>
        </w:tabs>
        <w:ind w:left="425" w:leftChars="0" w:hanging="425" w:firstLineChars="0"/>
      </w:pPr>
      <w:rPr>
        <w:rFonts w:hint="default"/>
      </w:rPr>
    </w:lvl>
  </w:abstractNum>
  <w:abstractNum w:abstractNumId="10">
    <w:nsid w:val="BDBE3DF7"/>
    <w:multiLevelType w:val="singleLevel"/>
    <w:tmpl w:val="BDBE3DF7"/>
    <w:lvl w:ilvl="0" w:tentative="0">
      <w:start w:val="1"/>
      <w:numFmt w:val="lowerLetter"/>
      <w:lvlText w:val="%1)"/>
      <w:lvlJc w:val="left"/>
      <w:pPr>
        <w:tabs>
          <w:tab w:val="left" w:pos="420"/>
        </w:tabs>
        <w:ind w:left="425" w:leftChars="0" w:hanging="425" w:firstLineChars="0"/>
      </w:pPr>
      <w:rPr>
        <w:rFonts w:hint="default"/>
      </w:rPr>
    </w:lvl>
  </w:abstractNum>
  <w:abstractNum w:abstractNumId="11">
    <w:nsid w:val="BF6BC116"/>
    <w:multiLevelType w:val="singleLevel"/>
    <w:tmpl w:val="BF6BC116"/>
    <w:lvl w:ilvl="0" w:tentative="0">
      <w:start w:val="16"/>
      <w:numFmt w:val="decimal"/>
      <w:suff w:val="space"/>
      <w:lvlText w:val="%1."/>
      <w:lvlJc w:val="left"/>
    </w:lvl>
  </w:abstractNum>
  <w:abstractNum w:abstractNumId="12">
    <w:nsid w:val="C99FAE3C"/>
    <w:multiLevelType w:val="singleLevel"/>
    <w:tmpl w:val="C99FAE3C"/>
    <w:lvl w:ilvl="0" w:tentative="0">
      <w:start w:val="1"/>
      <w:numFmt w:val="decimal"/>
      <w:suff w:val="nothing"/>
      <w:lvlText w:val="%1．"/>
      <w:lvlJc w:val="left"/>
      <w:pPr>
        <w:ind w:left="0" w:firstLine="400"/>
      </w:pPr>
      <w:rPr>
        <w:rFonts w:hint="default"/>
      </w:rPr>
    </w:lvl>
  </w:abstractNum>
  <w:abstractNum w:abstractNumId="13">
    <w:nsid w:val="CAF73F17"/>
    <w:multiLevelType w:val="singleLevel"/>
    <w:tmpl w:val="CAF73F17"/>
    <w:lvl w:ilvl="0" w:tentative="0">
      <w:start w:val="1"/>
      <w:numFmt w:val="decimal"/>
      <w:suff w:val="nothing"/>
      <w:lvlText w:val="%1．"/>
      <w:lvlJc w:val="left"/>
      <w:pPr>
        <w:ind w:left="0" w:firstLine="400"/>
      </w:pPr>
      <w:rPr>
        <w:rFonts w:hint="default"/>
      </w:rPr>
    </w:lvl>
  </w:abstractNum>
  <w:abstractNum w:abstractNumId="14">
    <w:nsid w:val="CFBAFBBA"/>
    <w:multiLevelType w:val="singleLevel"/>
    <w:tmpl w:val="CFBAFBBA"/>
    <w:lvl w:ilvl="0" w:tentative="0">
      <w:start w:val="1"/>
      <w:numFmt w:val="lowerLetter"/>
      <w:lvlText w:val="%1)"/>
      <w:lvlJc w:val="left"/>
      <w:pPr>
        <w:tabs>
          <w:tab w:val="left" w:pos="420"/>
        </w:tabs>
        <w:ind w:left="425" w:leftChars="0" w:hanging="425" w:firstLineChars="0"/>
      </w:pPr>
      <w:rPr>
        <w:rFonts w:hint="default"/>
      </w:rPr>
    </w:lvl>
  </w:abstractNum>
  <w:abstractNum w:abstractNumId="15">
    <w:nsid w:val="CFDD3D1F"/>
    <w:multiLevelType w:val="singleLevel"/>
    <w:tmpl w:val="CFDD3D1F"/>
    <w:lvl w:ilvl="0" w:tentative="0">
      <w:start w:val="1"/>
      <w:numFmt w:val="lowerLetter"/>
      <w:lvlText w:val="%1)"/>
      <w:lvlJc w:val="left"/>
      <w:pPr>
        <w:tabs>
          <w:tab w:val="left" w:pos="420"/>
        </w:tabs>
        <w:ind w:left="425" w:leftChars="0" w:hanging="425" w:firstLineChars="0"/>
      </w:pPr>
      <w:rPr>
        <w:rFonts w:hint="default"/>
      </w:rPr>
    </w:lvl>
  </w:abstractNum>
  <w:abstractNum w:abstractNumId="16">
    <w:nsid w:val="CFE7C3F8"/>
    <w:multiLevelType w:val="singleLevel"/>
    <w:tmpl w:val="CFE7C3F8"/>
    <w:lvl w:ilvl="0" w:tentative="0">
      <w:start w:val="1"/>
      <w:numFmt w:val="decimal"/>
      <w:suff w:val="nothing"/>
      <w:lvlText w:val="（%1）"/>
      <w:lvlJc w:val="left"/>
    </w:lvl>
  </w:abstractNum>
  <w:abstractNum w:abstractNumId="17">
    <w:nsid w:val="D7BEC41C"/>
    <w:multiLevelType w:val="singleLevel"/>
    <w:tmpl w:val="D7BEC41C"/>
    <w:lvl w:ilvl="0" w:tentative="0">
      <w:start w:val="1"/>
      <w:numFmt w:val="decimal"/>
      <w:suff w:val="nothing"/>
      <w:lvlText w:val="%1．"/>
      <w:lvlJc w:val="left"/>
      <w:pPr>
        <w:ind w:left="0" w:firstLine="400"/>
      </w:pPr>
      <w:rPr>
        <w:rFonts w:hint="default"/>
      </w:rPr>
    </w:lvl>
  </w:abstractNum>
  <w:abstractNum w:abstractNumId="18">
    <w:nsid w:val="DBFB4F9E"/>
    <w:multiLevelType w:val="singleLevel"/>
    <w:tmpl w:val="DBFB4F9E"/>
    <w:lvl w:ilvl="0" w:tentative="0">
      <w:start w:val="1"/>
      <w:numFmt w:val="lowerLetter"/>
      <w:lvlText w:val="%1)"/>
      <w:lvlJc w:val="left"/>
      <w:pPr>
        <w:tabs>
          <w:tab w:val="left" w:pos="420"/>
        </w:tabs>
        <w:ind w:left="425" w:leftChars="0" w:hanging="425" w:firstLineChars="0"/>
      </w:pPr>
      <w:rPr>
        <w:rFonts w:hint="default"/>
      </w:rPr>
    </w:lvl>
  </w:abstractNum>
  <w:abstractNum w:abstractNumId="19">
    <w:nsid w:val="DCFF1E82"/>
    <w:multiLevelType w:val="singleLevel"/>
    <w:tmpl w:val="DCFF1E82"/>
    <w:lvl w:ilvl="0" w:tentative="0">
      <w:start w:val="1"/>
      <w:numFmt w:val="decimal"/>
      <w:suff w:val="nothing"/>
      <w:lvlText w:val="%1．"/>
      <w:lvlJc w:val="left"/>
      <w:pPr>
        <w:ind w:left="0" w:firstLine="400"/>
      </w:pPr>
      <w:rPr>
        <w:rFonts w:hint="default"/>
      </w:rPr>
    </w:lvl>
  </w:abstractNum>
  <w:abstractNum w:abstractNumId="20">
    <w:nsid w:val="DDECD3BC"/>
    <w:multiLevelType w:val="singleLevel"/>
    <w:tmpl w:val="DDECD3BC"/>
    <w:lvl w:ilvl="0" w:tentative="0">
      <w:start w:val="6"/>
      <w:numFmt w:val="decimal"/>
      <w:suff w:val="space"/>
      <w:lvlText w:val="%1."/>
      <w:lvlJc w:val="left"/>
    </w:lvl>
  </w:abstractNum>
  <w:abstractNum w:abstractNumId="21">
    <w:nsid w:val="DE74450A"/>
    <w:multiLevelType w:val="singleLevel"/>
    <w:tmpl w:val="DE74450A"/>
    <w:lvl w:ilvl="0" w:tentative="0">
      <w:start w:val="1"/>
      <w:numFmt w:val="decimal"/>
      <w:suff w:val="nothing"/>
      <w:lvlText w:val="%1．"/>
      <w:lvlJc w:val="left"/>
      <w:pPr>
        <w:ind w:left="0" w:firstLine="400"/>
      </w:pPr>
      <w:rPr>
        <w:rFonts w:hint="default"/>
      </w:rPr>
    </w:lvl>
  </w:abstractNum>
  <w:abstractNum w:abstractNumId="22">
    <w:nsid w:val="DE759F4B"/>
    <w:multiLevelType w:val="singleLevel"/>
    <w:tmpl w:val="DE759F4B"/>
    <w:lvl w:ilvl="0" w:tentative="0">
      <w:start w:val="2"/>
      <w:numFmt w:val="decimal"/>
      <w:suff w:val="space"/>
      <w:lvlText w:val="%1."/>
      <w:lvlJc w:val="left"/>
    </w:lvl>
  </w:abstractNum>
  <w:abstractNum w:abstractNumId="23">
    <w:nsid w:val="DEABE1DB"/>
    <w:multiLevelType w:val="singleLevel"/>
    <w:tmpl w:val="DEABE1DB"/>
    <w:lvl w:ilvl="0" w:tentative="0">
      <w:start w:val="23"/>
      <w:numFmt w:val="decimal"/>
      <w:suff w:val="space"/>
      <w:lvlText w:val="%1."/>
      <w:lvlJc w:val="left"/>
    </w:lvl>
  </w:abstractNum>
  <w:abstractNum w:abstractNumId="24">
    <w:nsid w:val="DEFA0C01"/>
    <w:multiLevelType w:val="singleLevel"/>
    <w:tmpl w:val="DEFA0C01"/>
    <w:lvl w:ilvl="0" w:tentative="0">
      <w:start w:val="1"/>
      <w:numFmt w:val="decimal"/>
      <w:suff w:val="nothing"/>
      <w:lvlText w:val="%1．"/>
      <w:lvlJc w:val="left"/>
      <w:pPr>
        <w:ind w:left="0" w:firstLine="400"/>
      </w:pPr>
      <w:rPr>
        <w:rFonts w:hint="default"/>
      </w:rPr>
    </w:lvl>
  </w:abstractNum>
  <w:abstractNum w:abstractNumId="25">
    <w:nsid w:val="DEFE1741"/>
    <w:multiLevelType w:val="singleLevel"/>
    <w:tmpl w:val="DEFE1741"/>
    <w:lvl w:ilvl="0" w:tentative="0">
      <w:start w:val="1"/>
      <w:numFmt w:val="decimal"/>
      <w:suff w:val="nothing"/>
      <w:lvlText w:val="%1．"/>
      <w:lvlJc w:val="left"/>
      <w:pPr>
        <w:ind w:left="0" w:firstLine="400"/>
      </w:pPr>
      <w:rPr>
        <w:rFonts w:hint="default"/>
      </w:rPr>
    </w:lvl>
  </w:abstractNum>
  <w:abstractNum w:abstractNumId="26">
    <w:nsid w:val="DEFEB2BC"/>
    <w:multiLevelType w:val="singleLevel"/>
    <w:tmpl w:val="DEFEB2BC"/>
    <w:lvl w:ilvl="0" w:tentative="0">
      <w:start w:val="1"/>
      <w:numFmt w:val="lowerLetter"/>
      <w:lvlText w:val="%1)"/>
      <w:lvlJc w:val="left"/>
      <w:pPr>
        <w:tabs>
          <w:tab w:val="left" w:pos="420"/>
        </w:tabs>
        <w:ind w:left="425" w:leftChars="0" w:hanging="425" w:firstLineChars="0"/>
      </w:pPr>
      <w:rPr>
        <w:rFonts w:hint="default"/>
      </w:rPr>
    </w:lvl>
  </w:abstractNum>
  <w:abstractNum w:abstractNumId="27">
    <w:nsid w:val="DFFE3F47"/>
    <w:multiLevelType w:val="singleLevel"/>
    <w:tmpl w:val="DFFE3F47"/>
    <w:lvl w:ilvl="0" w:tentative="0">
      <w:start w:val="1"/>
      <w:numFmt w:val="decimal"/>
      <w:suff w:val="nothing"/>
      <w:lvlText w:val="%1．"/>
      <w:lvlJc w:val="left"/>
      <w:pPr>
        <w:ind w:left="0" w:firstLine="400"/>
      </w:pPr>
      <w:rPr>
        <w:rFonts w:hint="default"/>
      </w:rPr>
    </w:lvl>
  </w:abstractNum>
  <w:abstractNum w:abstractNumId="28">
    <w:nsid w:val="E1FE6F3B"/>
    <w:multiLevelType w:val="singleLevel"/>
    <w:tmpl w:val="E1FE6F3B"/>
    <w:lvl w:ilvl="0" w:tentative="0">
      <w:start w:val="1"/>
      <w:numFmt w:val="lowerLetter"/>
      <w:lvlText w:val="%1)"/>
      <w:lvlJc w:val="left"/>
      <w:pPr>
        <w:tabs>
          <w:tab w:val="left" w:pos="420"/>
        </w:tabs>
        <w:ind w:left="425" w:leftChars="0" w:hanging="425" w:firstLineChars="0"/>
      </w:pPr>
      <w:rPr>
        <w:rFonts w:hint="default"/>
      </w:rPr>
    </w:lvl>
  </w:abstractNum>
  <w:abstractNum w:abstractNumId="29">
    <w:nsid w:val="E5EE2A7E"/>
    <w:multiLevelType w:val="singleLevel"/>
    <w:tmpl w:val="E5EE2A7E"/>
    <w:lvl w:ilvl="0" w:tentative="0">
      <w:start w:val="1"/>
      <w:numFmt w:val="decimal"/>
      <w:suff w:val="nothing"/>
      <w:lvlText w:val="%1．"/>
      <w:lvlJc w:val="left"/>
      <w:pPr>
        <w:ind w:left="0" w:firstLine="400"/>
      </w:pPr>
      <w:rPr>
        <w:rFonts w:hint="default"/>
      </w:rPr>
    </w:lvl>
  </w:abstractNum>
  <w:abstractNum w:abstractNumId="30">
    <w:nsid w:val="EA6A1C0C"/>
    <w:multiLevelType w:val="singleLevel"/>
    <w:tmpl w:val="EA6A1C0C"/>
    <w:lvl w:ilvl="0" w:tentative="0">
      <w:start w:val="1"/>
      <w:numFmt w:val="decimal"/>
      <w:suff w:val="nothing"/>
      <w:lvlText w:val="%1．"/>
      <w:lvlJc w:val="left"/>
      <w:pPr>
        <w:ind w:left="0" w:firstLine="400"/>
      </w:pPr>
      <w:rPr>
        <w:rFonts w:hint="default"/>
      </w:rPr>
    </w:lvl>
  </w:abstractNum>
  <w:abstractNum w:abstractNumId="31">
    <w:nsid w:val="EBEE24B9"/>
    <w:multiLevelType w:val="singleLevel"/>
    <w:tmpl w:val="EBEE24B9"/>
    <w:lvl w:ilvl="0" w:tentative="0">
      <w:start w:val="1"/>
      <w:numFmt w:val="decimal"/>
      <w:suff w:val="nothing"/>
      <w:lvlText w:val="%1．"/>
      <w:lvlJc w:val="left"/>
      <w:pPr>
        <w:ind w:left="0" w:firstLine="400"/>
      </w:pPr>
      <w:rPr>
        <w:rFonts w:hint="default"/>
      </w:rPr>
    </w:lvl>
  </w:abstractNum>
  <w:abstractNum w:abstractNumId="32">
    <w:nsid w:val="ECFBE19B"/>
    <w:multiLevelType w:val="singleLevel"/>
    <w:tmpl w:val="ECFBE19B"/>
    <w:lvl w:ilvl="0" w:tentative="0">
      <w:start w:val="1"/>
      <w:numFmt w:val="decimal"/>
      <w:suff w:val="nothing"/>
      <w:lvlText w:val="%1．"/>
      <w:lvlJc w:val="left"/>
      <w:pPr>
        <w:ind w:left="0" w:firstLine="400"/>
      </w:pPr>
      <w:rPr>
        <w:rFonts w:hint="default"/>
      </w:rPr>
    </w:lvl>
  </w:abstractNum>
  <w:abstractNum w:abstractNumId="33">
    <w:nsid w:val="EE66C2E0"/>
    <w:multiLevelType w:val="singleLevel"/>
    <w:tmpl w:val="EE66C2E0"/>
    <w:lvl w:ilvl="0" w:tentative="0">
      <w:start w:val="1"/>
      <w:numFmt w:val="lowerLetter"/>
      <w:lvlText w:val="%1)"/>
      <w:lvlJc w:val="left"/>
      <w:pPr>
        <w:tabs>
          <w:tab w:val="left" w:pos="420"/>
        </w:tabs>
        <w:ind w:left="425" w:leftChars="0" w:hanging="425" w:firstLineChars="0"/>
      </w:pPr>
      <w:rPr>
        <w:rFonts w:hint="default"/>
      </w:rPr>
    </w:lvl>
  </w:abstractNum>
  <w:abstractNum w:abstractNumId="34">
    <w:nsid w:val="EE7E4FFC"/>
    <w:multiLevelType w:val="singleLevel"/>
    <w:tmpl w:val="EE7E4FFC"/>
    <w:lvl w:ilvl="0" w:tentative="0">
      <w:start w:val="1"/>
      <w:numFmt w:val="decimal"/>
      <w:suff w:val="nothing"/>
      <w:lvlText w:val="%1．"/>
      <w:lvlJc w:val="left"/>
      <w:pPr>
        <w:ind w:left="0" w:firstLine="400"/>
      </w:pPr>
      <w:rPr>
        <w:rFonts w:hint="default"/>
      </w:rPr>
    </w:lvl>
  </w:abstractNum>
  <w:abstractNum w:abstractNumId="35">
    <w:nsid w:val="EEFF8F36"/>
    <w:multiLevelType w:val="singleLevel"/>
    <w:tmpl w:val="EEFF8F36"/>
    <w:lvl w:ilvl="0" w:tentative="0">
      <w:start w:val="1"/>
      <w:numFmt w:val="decimal"/>
      <w:suff w:val="nothing"/>
      <w:lvlText w:val="%1．"/>
      <w:lvlJc w:val="left"/>
      <w:pPr>
        <w:ind w:left="0" w:firstLine="400"/>
      </w:pPr>
      <w:rPr>
        <w:rFonts w:hint="default"/>
      </w:rPr>
    </w:lvl>
  </w:abstractNum>
  <w:abstractNum w:abstractNumId="36">
    <w:nsid w:val="EF5745A9"/>
    <w:multiLevelType w:val="singleLevel"/>
    <w:tmpl w:val="EF5745A9"/>
    <w:lvl w:ilvl="0" w:tentative="0">
      <w:start w:val="1"/>
      <w:numFmt w:val="decimal"/>
      <w:suff w:val="nothing"/>
      <w:lvlText w:val="%1．"/>
      <w:lvlJc w:val="left"/>
      <w:pPr>
        <w:ind w:left="0" w:firstLine="400"/>
      </w:pPr>
      <w:rPr>
        <w:rFonts w:hint="default"/>
      </w:rPr>
    </w:lvl>
  </w:abstractNum>
  <w:abstractNum w:abstractNumId="37">
    <w:nsid w:val="EF6FB262"/>
    <w:multiLevelType w:val="singleLevel"/>
    <w:tmpl w:val="EF6FB262"/>
    <w:lvl w:ilvl="0" w:tentative="0">
      <w:start w:val="1"/>
      <w:numFmt w:val="decimal"/>
      <w:suff w:val="nothing"/>
      <w:lvlText w:val="%1．"/>
      <w:lvlJc w:val="left"/>
      <w:pPr>
        <w:ind w:left="0" w:firstLine="400"/>
      </w:pPr>
      <w:rPr>
        <w:rFonts w:hint="default"/>
      </w:rPr>
    </w:lvl>
  </w:abstractNum>
  <w:abstractNum w:abstractNumId="38">
    <w:nsid w:val="EFAA011C"/>
    <w:multiLevelType w:val="singleLevel"/>
    <w:tmpl w:val="EFAA011C"/>
    <w:lvl w:ilvl="0" w:tentative="0">
      <w:start w:val="1"/>
      <w:numFmt w:val="decimal"/>
      <w:suff w:val="nothing"/>
      <w:lvlText w:val="%1．"/>
      <w:lvlJc w:val="left"/>
      <w:pPr>
        <w:ind w:left="0" w:firstLine="400"/>
      </w:pPr>
      <w:rPr>
        <w:rFonts w:hint="default"/>
      </w:rPr>
    </w:lvl>
  </w:abstractNum>
  <w:abstractNum w:abstractNumId="39">
    <w:nsid w:val="EFDA5A3F"/>
    <w:multiLevelType w:val="singleLevel"/>
    <w:tmpl w:val="EFDA5A3F"/>
    <w:lvl w:ilvl="0" w:tentative="0">
      <w:start w:val="1"/>
      <w:numFmt w:val="decimal"/>
      <w:suff w:val="nothing"/>
      <w:lvlText w:val="%1．"/>
      <w:lvlJc w:val="left"/>
      <w:pPr>
        <w:ind w:left="0" w:firstLine="400"/>
      </w:pPr>
      <w:rPr>
        <w:rFonts w:hint="default"/>
      </w:rPr>
    </w:lvl>
  </w:abstractNum>
  <w:abstractNum w:abstractNumId="40">
    <w:nsid w:val="F1DC2079"/>
    <w:multiLevelType w:val="singleLevel"/>
    <w:tmpl w:val="F1DC2079"/>
    <w:lvl w:ilvl="0" w:tentative="0">
      <w:start w:val="1"/>
      <w:numFmt w:val="decimal"/>
      <w:suff w:val="nothing"/>
      <w:lvlText w:val="%1．"/>
      <w:lvlJc w:val="left"/>
      <w:pPr>
        <w:ind w:left="0" w:firstLine="400"/>
      </w:pPr>
      <w:rPr>
        <w:rFonts w:hint="default"/>
      </w:rPr>
    </w:lvl>
  </w:abstractNum>
  <w:abstractNum w:abstractNumId="41">
    <w:nsid w:val="F5B7A7E7"/>
    <w:multiLevelType w:val="singleLevel"/>
    <w:tmpl w:val="F5B7A7E7"/>
    <w:lvl w:ilvl="0" w:tentative="0">
      <w:start w:val="1"/>
      <w:numFmt w:val="decimal"/>
      <w:suff w:val="nothing"/>
      <w:lvlText w:val="%1．"/>
      <w:lvlJc w:val="left"/>
      <w:pPr>
        <w:ind w:left="0" w:firstLine="400"/>
      </w:pPr>
      <w:rPr>
        <w:rFonts w:hint="default"/>
      </w:rPr>
    </w:lvl>
  </w:abstractNum>
  <w:abstractNum w:abstractNumId="42">
    <w:nsid w:val="F77BC13F"/>
    <w:multiLevelType w:val="singleLevel"/>
    <w:tmpl w:val="F77BC13F"/>
    <w:lvl w:ilvl="0" w:tentative="0">
      <w:start w:val="1"/>
      <w:numFmt w:val="lowerLetter"/>
      <w:lvlText w:val="%1)"/>
      <w:lvlJc w:val="left"/>
      <w:pPr>
        <w:tabs>
          <w:tab w:val="left" w:pos="420"/>
        </w:tabs>
        <w:ind w:left="425" w:leftChars="0" w:hanging="425" w:firstLineChars="0"/>
      </w:pPr>
      <w:rPr>
        <w:rFonts w:hint="default"/>
      </w:rPr>
    </w:lvl>
  </w:abstractNum>
  <w:abstractNum w:abstractNumId="43">
    <w:nsid w:val="F7D3D586"/>
    <w:multiLevelType w:val="singleLevel"/>
    <w:tmpl w:val="F7D3D586"/>
    <w:lvl w:ilvl="0" w:tentative="0">
      <w:start w:val="1"/>
      <w:numFmt w:val="chineseCounting"/>
      <w:suff w:val="nothing"/>
      <w:lvlText w:val="%1、"/>
      <w:lvlJc w:val="left"/>
      <w:pPr>
        <w:ind w:left="0" w:firstLine="420"/>
      </w:pPr>
      <w:rPr>
        <w:rFonts w:hint="eastAsia"/>
      </w:rPr>
    </w:lvl>
  </w:abstractNum>
  <w:abstractNum w:abstractNumId="44">
    <w:nsid w:val="F7F5DBC1"/>
    <w:multiLevelType w:val="singleLevel"/>
    <w:tmpl w:val="F7F5DBC1"/>
    <w:lvl w:ilvl="0" w:tentative="0">
      <w:start w:val="1"/>
      <w:numFmt w:val="decimal"/>
      <w:suff w:val="nothing"/>
      <w:lvlText w:val="%1．"/>
      <w:lvlJc w:val="left"/>
      <w:pPr>
        <w:ind w:left="0" w:firstLine="400"/>
      </w:pPr>
      <w:rPr>
        <w:rFonts w:hint="default"/>
      </w:rPr>
    </w:lvl>
  </w:abstractNum>
  <w:abstractNum w:abstractNumId="45">
    <w:nsid w:val="F7F7C12B"/>
    <w:multiLevelType w:val="singleLevel"/>
    <w:tmpl w:val="F7F7C12B"/>
    <w:lvl w:ilvl="0" w:tentative="0">
      <w:start w:val="1"/>
      <w:numFmt w:val="lowerLetter"/>
      <w:lvlText w:val="%1)"/>
      <w:lvlJc w:val="left"/>
      <w:pPr>
        <w:tabs>
          <w:tab w:val="left" w:pos="420"/>
        </w:tabs>
        <w:ind w:left="425" w:leftChars="0" w:hanging="425" w:firstLineChars="0"/>
      </w:pPr>
      <w:rPr>
        <w:rFonts w:hint="default"/>
      </w:rPr>
    </w:lvl>
  </w:abstractNum>
  <w:abstractNum w:abstractNumId="46">
    <w:nsid w:val="F7FB18E6"/>
    <w:multiLevelType w:val="singleLevel"/>
    <w:tmpl w:val="F7FB18E6"/>
    <w:lvl w:ilvl="0" w:tentative="0">
      <w:start w:val="1"/>
      <w:numFmt w:val="decimal"/>
      <w:suff w:val="nothing"/>
      <w:lvlText w:val="%1．"/>
      <w:lvlJc w:val="left"/>
      <w:pPr>
        <w:ind w:left="0" w:firstLine="400"/>
      </w:pPr>
      <w:rPr>
        <w:rFonts w:hint="default"/>
      </w:rPr>
    </w:lvl>
  </w:abstractNum>
  <w:abstractNum w:abstractNumId="47">
    <w:nsid w:val="F7FEBC7F"/>
    <w:multiLevelType w:val="singleLevel"/>
    <w:tmpl w:val="F7FEBC7F"/>
    <w:lvl w:ilvl="0" w:tentative="0">
      <w:start w:val="1"/>
      <w:numFmt w:val="decimal"/>
      <w:suff w:val="nothing"/>
      <w:lvlText w:val="%1．"/>
      <w:lvlJc w:val="left"/>
      <w:pPr>
        <w:ind w:left="0" w:firstLine="400"/>
      </w:pPr>
      <w:rPr>
        <w:rFonts w:hint="default"/>
      </w:rPr>
    </w:lvl>
  </w:abstractNum>
  <w:abstractNum w:abstractNumId="48">
    <w:nsid w:val="FADE244F"/>
    <w:multiLevelType w:val="singleLevel"/>
    <w:tmpl w:val="FADE244F"/>
    <w:lvl w:ilvl="0" w:tentative="0">
      <w:start w:val="1"/>
      <w:numFmt w:val="decimal"/>
      <w:suff w:val="nothing"/>
      <w:lvlText w:val="%1．"/>
      <w:lvlJc w:val="left"/>
      <w:pPr>
        <w:ind w:left="0" w:firstLine="400"/>
      </w:pPr>
      <w:rPr>
        <w:rFonts w:hint="default"/>
      </w:rPr>
    </w:lvl>
  </w:abstractNum>
  <w:abstractNum w:abstractNumId="49">
    <w:nsid w:val="FAFFE6BA"/>
    <w:multiLevelType w:val="singleLevel"/>
    <w:tmpl w:val="FAFFE6BA"/>
    <w:lvl w:ilvl="0" w:tentative="0">
      <w:start w:val="1"/>
      <w:numFmt w:val="decimal"/>
      <w:suff w:val="nothing"/>
      <w:lvlText w:val="%1．"/>
      <w:lvlJc w:val="left"/>
      <w:pPr>
        <w:ind w:left="0" w:firstLine="400"/>
      </w:pPr>
      <w:rPr>
        <w:rFonts w:hint="default"/>
      </w:rPr>
    </w:lvl>
  </w:abstractNum>
  <w:abstractNum w:abstractNumId="50">
    <w:nsid w:val="FBEE607C"/>
    <w:multiLevelType w:val="singleLevel"/>
    <w:tmpl w:val="FBEE607C"/>
    <w:lvl w:ilvl="0" w:tentative="0">
      <w:start w:val="1"/>
      <w:numFmt w:val="lowerLetter"/>
      <w:lvlText w:val="%1)"/>
      <w:lvlJc w:val="left"/>
      <w:pPr>
        <w:tabs>
          <w:tab w:val="left" w:pos="420"/>
        </w:tabs>
        <w:ind w:left="425" w:leftChars="0" w:hanging="425" w:firstLineChars="0"/>
      </w:pPr>
      <w:rPr>
        <w:rFonts w:hint="default"/>
      </w:rPr>
    </w:lvl>
  </w:abstractNum>
  <w:abstractNum w:abstractNumId="51">
    <w:nsid w:val="FBF42CC7"/>
    <w:multiLevelType w:val="singleLevel"/>
    <w:tmpl w:val="FBF42CC7"/>
    <w:lvl w:ilvl="0" w:tentative="0">
      <w:start w:val="1"/>
      <w:numFmt w:val="decimal"/>
      <w:suff w:val="nothing"/>
      <w:lvlText w:val="%1．"/>
      <w:lvlJc w:val="left"/>
      <w:pPr>
        <w:ind w:left="0" w:firstLine="400"/>
      </w:pPr>
      <w:rPr>
        <w:rFonts w:hint="default"/>
      </w:rPr>
    </w:lvl>
  </w:abstractNum>
  <w:abstractNum w:abstractNumId="52">
    <w:nsid w:val="FBFF0130"/>
    <w:multiLevelType w:val="singleLevel"/>
    <w:tmpl w:val="FBFF0130"/>
    <w:lvl w:ilvl="0" w:tentative="0">
      <w:start w:val="1"/>
      <w:numFmt w:val="decimal"/>
      <w:suff w:val="nothing"/>
      <w:lvlText w:val="%1．"/>
      <w:lvlJc w:val="left"/>
      <w:pPr>
        <w:ind w:left="0" w:firstLine="400"/>
      </w:pPr>
      <w:rPr>
        <w:rFonts w:hint="default"/>
      </w:rPr>
    </w:lvl>
  </w:abstractNum>
  <w:abstractNum w:abstractNumId="53">
    <w:nsid w:val="FC5A5C5C"/>
    <w:multiLevelType w:val="singleLevel"/>
    <w:tmpl w:val="FC5A5C5C"/>
    <w:lvl w:ilvl="0" w:tentative="0">
      <w:start w:val="1"/>
      <w:numFmt w:val="lowerLetter"/>
      <w:lvlText w:val="%1)"/>
      <w:lvlJc w:val="left"/>
      <w:pPr>
        <w:tabs>
          <w:tab w:val="left" w:pos="420"/>
        </w:tabs>
        <w:ind w:left="425" w:leftChars="0" w:hanging="425" w:firstLineChars="0"/>
      </w:pPr>
      <w:rPr>
        <w:rFonts w:hint="default"/>
      </w:rPr>
    </w:lvl>
  </w:abstractNum>
  <w:abstractNum w:abstractNumId="54">
    <w:nsid w:val="FDF65EDB"/>
    <w:multiLevelType w:val="singleLevel"/>
    <w:tmpl w:val="FDF65EDB"/>
    <w:lvl w:ilvl="0" w:tentative="0">
      <w:start w:val="1"/>
      <w:numFmt w:val="lowerLetter"/>
      <w:lvlText w:val="%1)"/>
      <w:lvlJc w:val="left"/>
      <w:pPr>
        <w:tabs>
          <w:tab w:val="left" w:pos="420"/>
        </w:tabs>
        <w:ind w:left="425" w:leftChars="0" w:hanging="425" w:firstLineChars="0"/>
      </w:pPr>
      <w:rPr>
        <w:rFonts w:hint="default"/>
      </w:rPr>
    </w:lvl>
  </w:abstractNum>
  <w:abstractNum w:abstractNumId="55">
    <w:nsid w:val="FE7A3D00"/>
    <w:multiLevelType w:val="singleLevel"/>
    <w:tmpl w:val="FE7A3D00"/>
    <w:lvl w:ilvl="0" w:tentative="0">
      <w:start w:val="1"/>
      <w:numFmt w:val="decimal"/>
      <w:suff w:val="nothing"/>
      <w:lvlText w:val="%1．"/>
      <w:lvlJc w:val="left"/>
      <w:pPr>
        <w:ind w:left="0" w:firstLine="400"/>
      </w:pPr>
      <w:rPr>
        <w:rFonts w:hint="default"/>
      </w:rPr>
    </w:lvl>
  </w:abstractNum>
  <w:abstractNum w:abstractNumId="56">
    <w:nsid w:val="FFDE4E17"/>
    <w:multiLevelType w:val="singleLevel"/>
    <w:tmpl w:val="FFDE4E17"/>
    <w:lvl w:ilvl="0" w:tentative="0">
      <w:start w:val="1"/>
      <w:numFmt w:val="decimal"/>
      <w:suff w:val="nothing"/>
      <w:lvlText w:val="%1．"/>
      <w:lvlJc w:val="left"/>
      <w:pPr>
        <w:ind w:left="0" w:firstLine="400"/>
      </w:pPr>
      <w:rPr>
        <w:rFonts w:hint="default"/>
      </w:rPr>
    </w:lvl>
  </w:abstractNum>
  <w:abstractNum w:abstractNumId="57">
    <w:nsid w:val="FFE83BB0"/>
    <w:multiLevelType w:val="singleLevel"/>
    <w:tmpl w:val="FFE83BB0"/>
    <w:lvl w:ilvl="0" w:tentative="0">
      <w:start w:val="1"/>
      <w:numFmt w:val="lowerLetter"/>
      <w:lvlText w:val="%1)"/>
      <w:lvlJc w:val="left"/>
      <w:pPr>
        <w:tabs>
          <w:tab w:val="left" w:pos="420"/>
        </w:tabs>
        <w:ind w:left="425" w:leftChars="0" w:hanging="425" w:firstLineChars="0"/>
      </w:pPr>
      <w:rPr>
        <w:rFonts w:hint="default"/>
      </w:rPr>
    </w:lvl>
  </w:abstractNum>
  <w:abstractNum w:abstractNumId="58">
    <w:nsid w:val="FFEFC674"/>
    <w:multiLevelType w:val="singleLevel"/>
    <w:tmpl w:val="FFEFC674"/>
    <w:lvl w:ilvl="0" w:tentative="0">
      <w:start w:val="1"/>
      <w:numFmt w:val="decimal"/>
      <w:suff w:val="nothing"/>
      <w:lvlText w:val="（%1）"/>
      <w:lvlJc w:val="left"/>
    </w:lvl>
  </w:abstractNum>
  <w:abstractNum w:abstractNumId="59">
    <w:nsid w:val="FFFBA93C"/>
    <w:multiLevelType w:val="singleLevel"/>
    <w:tmpl w:val="FFFBA93C"/>
    <w:lvl w:ilvl="0" w:tentative="0">
      <w:start w:val="1"/>
      <w:numFmt w:val="lowerLetter"/>
      <w:lvlText w:val="%1)"/>
      <w:lvlJc w:val="left"/>
      <w:pPr>
        <w:tabs>
          <w:tab w:val="left" w:pos="420"/>
        </w:tabs>
        <w:ind w:left="425" w:leftChars="0" w:hanging="425" w:firstLineChars="0"/>
      </w:pPr>
      <w:rPr>
        <w:rFonts w:hint="default"/>
      </w:rPr>
    </w:lvl>
  </w:abstractNum>
  <w:abstractNum w:abstractNumId="60">
    <w:nsid w:val="FFFE6D2D"/>
    <w:multiLevelType w:val="singleLevel"/>
    <w:tmpl w:val="FFFE6D2D"/>
    <w:lvl w:ilvl="0" w:tentative="0">
      <w:start w:val="1"/>
      <w:numFmt w:val="lowerLetter"/>
      <w:lvlText w:val="%1)"/>
      <w:lvlJc w:val="left"/>
      <w:pPr>
        <w:tabs>
          <w:tab w:val="left" w:pos="420"/>
        </w:tabs>
        <w:ind w:left="425" w:leftChars="0" w:hanging="425" w:firstLineChars="0"/>
      </w:pPr>
      <w:rPr>
        <w:rFonts w:hint="default"/>
      </w:rPr>
    </w:lvl>
  </w:abstractNum>
  <w:abstractNum w:abstractNumId="61">
    <w:nsid w:val="FFFE6F84"/>
    <w:multiLevelType w:val="singleLevel"/>
    <w:tmpl w:val="FFFE6F84"/>
    <w:lvl w:ilvl="0" w:tentative="0">
      <w:start w:val="1"/>
      <w:numFmt w:val="decimal"/>
      <w:suff w:val="nothing"/>
      <w:lvlText w:val="%1．"/>
      <w:lvlJc w:val="left"/>
      <w:pPr>
        <w:ind w:left="0" w:firstLine="400"/>
      </w:pPr>
      <w:rPr>
        <w:rFonts w:hint="default"/>
      </w:rPr>
    </w:lvl>
  </w:abstractNum>
  <w:abstractNum w:abstractNumId="62">
    <w:nsid w:val="FFFEFCEA"/>
    <w:multiLevelType w:val="singleLevel"/>
    <w:tmpl w:val="FFFEFCEA"/>
    <w:lvl w:ilvl="0" w:tentative="0">
      <w:start w:val="1"/>
      <w:numFmt w:val="decimal"/>
      <w:suff w:val="nothing"/>
      <w:lvlText w:val="%1．"/>
      <w:lvlJc w:val="left"/>
      <w:pPr>
        <w:ind w:left="0" w:firstLine="400"/>
      </w:pPr>
      <w:rPr>
        <w:rFonts w:hint="default"/>
      </w:rPr>
    </w:lvl>
  </w:abstractNum>
  <w:abstractNum w:abstractNumId="63">
    <w:nsid w:val="00000007"/>
    <w:multiLevelType w:val="multilevel"/>
    <w:tmpl w:val="00000007"/>
    <w:lvl w:ilvl="0" w:tentative="0">
      <w:start w:val="1"/>
      <w:numFmt w:val="chineseCountingThousand"/>
      <w:pStyle w:val="19"/>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4">
    <w:nsid w:val="27D9CE52"/>
    <w:multiLevelType w:val="singleLevel"/>
    <w:tmpl w:val="27D9CE52"/>
    <w:lvl w:ilvl="0" w:tentative="0">
      <w:start w:val="1"/>
      <w:numFmt w:val="decimal"/>
      <w:suff w:val="nothing"/>
      <w:lvlText w:val="%1．"/>
      <w:lvlJc w:val="left"/>
      <w:pPr>
        <w:ind w:left="0" w:firstLine="400"/>
      </w:pPr>
      <w:rPr>
        <w:rFonts w:hint="default"/>
      </w:rPr>
    </w:lvl>
  </w:abstractNum>
  <w:abstractNum w:abstractNumId="65">
    <w:nsid w:val="3DC6375D"/>
    <w:multiLevelType w:val="singleLevel"/>
    <w:tmpl w:val="3DC6375D"/>
    <w:lvl w:ilvl="0" w:tentative="0">
      <w:start w:val="1"/>
      <w:numFmt w:val="decimal"/>
      <w:suff w:val="nothing"/>
      <w:lvlText w:val="%1．"/>
      <w:lvlJc w:val="left"/>
      <w:pPr>
        <w:ind w:left="0" w:firstLine="400"/>
      </w:pPr>
      <w:rPr>
        <w:rFonts w:hint="default"/>
      </w:rPr>
    </w:lvl>
  </w:abstractNum>
  <w:abstractNum w:abstractNumId="66">
    <w:nsid w:val="3EED9649"/>
    <w:multiLevelType w:val="singleLevel"/>
    <w:tmpl w:val="3EED9649"/>
    <w:lvl w:ilvl="0" w:tentative="0">
      <w:start w:val="1"/>
      <w:numFmt w:val="decimal"/>
      <w:suff w:val="nothing"/>
      <w:lvlText w:val="%1．"/>
      <w:lvlJc w:val="left"/>
      <w:pPr>
        <w:ind w:left="0" w:firstLine="400"/>
      </w:pPr>
      <w:rPr>
        <w:rFonts w:hint="default"/>
      </w:rPr>
    </w:lvl>
  </w:abstractNum>
  <w:abstractNum w:abstractNumId="67">
    <w:nsid w:val="3FEEEEB8"/>
    <w:multiLevelType w:val="singleLevel"/>
    <w:tmpl w:val="3FEEEEB8"/>
    <w:lvl w:ilvl="0" w:tentative="0">
      <w:start w:val="1"/>
      <w:numFmt w:val="decimal"/>
      <w:suff w:val="nothing"/>
      <w:lvlText w:val="%1．"/>
      <w:lvlJc w:val="left"/>
      <w:pPr>
        <w:ind w:left="0" w:firstLine="400"/>
      </w:pPr>
      <w:rPr>
        <w:rFonts w:hint="default"/>
      </w:rPr>
    </w:lvl>
  </w:abstractNum>
  <w:abstractNum w:abstractNumId="68">
    <w:nsid w:val="5B6FB4B2"/>
    <w:multiLevelType w:val="singleLevel"/>
    <w:tmpl w:val="5B6FB4B2"/>
    <w:lvl w:ilvl="0" w:tentative="0">
      <w:start w:val="1"/>
      <w:numFmt w:val="decimal"/>
      <w:suff w:val="nothing"/>
      <w:lvlText w:val="%1．"/>
      <w:lvlJc w:val="left"/>
      <w:pPr>
        <w:ind w:left="0" w:firstLine="400"/>
      </w:pPr>
      <w:rPr>
        <w:rFonts w:hint="default"/>
      </w:rPr>
    </w:lvl>
  </w:abstractNum>
  <w:abstractNum w:abstractNumId="69">
    <w:nsid w:val="5FBEDBC4"/>
    <w:multiLevelType w:val="singleLevel"/>
    <w:tmpl w:val="5FBEDBC4"/>
    <w:lvl w:ilvl="0" w:tentative="0">
      <w:start w:val="1"/>
      <w:numFmt w:val="decimal"/>
      <w:suff w:val="nothing"/>
      <w:lvlText w:val="%1．"/>
      <w:lvlJc w:val="left"/>
      <w:pPr>
        <w:ind w:left="0" w:firstLine="400"/>
      </w:pPr>
      <w:rPr>
        <w:rFonts w:hint="default"/>
      </w:rPr>
    </w:lvl>
  </w:abstractNum>
  <w:abstractNum w:abstractNumId="70">
    <w:nsid w:val="67CCA69D"/>
    <w:multiLevelType w:val="singleLevel"/>
    <w:tmpl w:val="67CCA69D"/>
    <w:lvl w:ilvl="0" w:tentative="0">
      <w:start w:val="1"/>
      <w:numFmt w:val="lowerLetter"/>
      <w:lvlText w:val="%1)"/>
      <w:lvlJc w:val="left"/>
      <w:pPr>
        <w:tabs>
          <w:tab w:val="left" w:pos="420"/>
        </w:tabs>
        <w:ind w:left="425" w:leftChars="0" w:hanging="425" w:firstLineChars="0"/>
      </w:pPr>
      <w:rPr>
        <w:rFonts w:hint="default"/>
      </w:rPr>
    </w:lvl>
  </w:abstractNum>
  <w:abstractNum w:abstractNumId="71">
    <w:nsid w:val="6B6FB4F4"/>
    <w:multiLevelType w:val="singleLevel"/>
    <w:tmpl w:val="6B6FB4F4"/>
    <w:lvl w:ilvl="0" w:tentative="0">
      <w:start w:val="1"/>
      <w:numFmt w:val="lowerLetter"/>
      <w:lvlText w:val="%1)"/>
      <w:lvlJc w:val="left"/>
      <w:pPr>
        <w:tabs>
          <w:tab w:val="left" w:pos="420"/>
        </w:tabs>
        <w:ind w:left="425" w:leftChars="0" w:hanging="425" w:firstLineChars="0"/>
      </w:pPr>
      <w:rPr>
        <w:rFonts w:hint="default"/>
      </w:rPr>
    </w:lvl>
  </w:abstractNum>
  <w:abstractNum w:abstractNumId="72">
    <w:nsid w:val="6F6E72B0"/>
    <w:multiLevelType w:val="singleLevel"/>
    <w:tmpl w:val="6F6E72B0"/>
    <w:lvl w:ilvl="0" w:tentative="0">
      <w:start w:val="1"/>
      <w:numFmt w:val="decimal"/>
      <w:suff w:val="nothing"/>
      <w:lvlText w:val="%1．"/>
      <w:lvlJc w:val="left"/>
      <w:pPr>
        <w:ind w:left="0" w:firstLine="400"/>
      </w:pPr>
      <w:rPr>
        <w:rFonts w:hint="default"/>
      </w:rPr>
    </w:lvl>
  </w:abstractNum>
  <w:abstractNum w:abstractNumId="73">
    <w:nsid w:val="7A0F6431"/>
    <w:multiLevelType w:val="singleLevel"/>
    <w:tmpl w:val="7A0F6431"/>
    <w:lvl w:ilvl="0" w:tentative="0">
      <w:start w:val="1"/>
      <w:numFmt w:val="decimal"/>
      <w:suff w:val="space"/>
      <w:lvlText w:val="%1."/>
      <w:lvlJc w:val="left"/>
    </w:lvl>
  </w:abstractNum>
  <w:abstractNum w:abstractNumId="74">
    <w:nsid w:val="7AFE75D4"/>
    <w:multiLevelType w:val="singleLevel"/>
    <w:tmpl w:val="7AFE75D4"/>
    <w:lvl w:ilvl="0" w:tentative="0">
      <w:start w:val="1"/>
      <w:numFmt w:val="decimal"/>
      <w:suff w:val="nothing"/>
      <w:lvlText w:val="%1．"/>
      <w:lvlJc w:val="left"/>
      <w:pPr>
        <w:ind w:left="0" w:firstLine="400"/>
      </w:pPr>
      <w:rPr>
        <w:rFonts w:hint="default"/>
      </w:rPr>
    </w:lvl>
  </w:abstractNum>
  <w:abstractNum w:abstractNumId="75">
    <w:nsid w:val="7E7D8E2F"/>
    <w:multiLevelType w:val="singleLevel"/>
    <w:tmpl w:val="7E7D8E2F"/>
    <w:lvl w:ilvl="0" w:tentative="0">
      <w:start w:val="1"/>
      <w:numFmt w:val="decimal"/>
      <w:suff w:val="nothing"/>
      <w:lvlText w:val="%1．"/>
      <w:lvlJc w:val="left"/>
      <w:pPr>
        <w:ind w:left="0" w:firstLine="400"/>
      </w:pPr>
      <w:rPr>
        <w:rFonts w:hint="default"/>
      </w:rPr>
    </w:lvl>
  </w:abstractNum>
  <w:abstractNum w:abstractNumId="76">
    <w:nsid w:val="7FAFFC72"/>
    <w:multiLevelType w:val="singleLevel"/>
    <w:tmpl w:val="7FAFFC72"/>
    <w:lvl w:ilvl="0" w:tentative="0">
      <w:start w:val="1"/>
      <w:numFmt w:val="lowerLetter"/>
      <w:lvlText w:val="%1)"/>
      <w:lvlJc w:val="left"/>
      <w:pPr>
        <w:tabs>
          <w:tab w:val="left" w:pos="420"/>
        </w:tabs>
        <w:ind w:left="425" w:leftChars="0" w:hanging="425" w:firstLineChars="0"/>
      </w:pPr>
      <w:rPr>
        <w:rFonts w:hint="default"/>
      </w:rPr>
    </w:lvl>
  </w:abstractNum>
  <w:abstractNum w:abstractNumId="77">
    <w:nsid w:val="7FEEE7E0"/>
    <w:multiLevelType w:val="singleLevel"/>
    <w:tmpl w:val="7FEEE7E0"/>
    <w:lvl w:ilvl="0" w:tentative="0">
      <w:start w:val="1"/>
      <w:numFmt w:val="decimal"/>
      <w:suff w:val="nothing"/>
      <w:lvlText w:val="%1．"/>
      <w:lvlJc w:val="left"/>
      <w:pPr>
        <w:ind w:left="0" w:firstLine="400"/>
      </w:pPr>
      <w:rPr>
        <w:rFonts w:hint="default"/>
      </w:rPr>
    </w:lvl>
  </w:abstractNum>
  <w:abstractNum w:abstractNumId="78">
    <w:nsid w:val="7FFFE0BB"/>
    <w:multiLevelType w:val="singleLevel"/>
    <w:tmpl w:val="7FFFE0BB"/>
    <w:lvl w:ilvl="0" w:tentative="0">
      <w:start w:val="1"/>
      <w:numFmt w:val="decimal"/>
      <w:suff w:val="nothing"/>
      <w:lvlText w:val="%1．"/>
      <w:lvlJc w:val="left"/>
      <w:pPr>
        <w:ind w:left="0" w:firstLine="400"/>
      </w:pPr>
      <w:rPr>
        <w:rFonts w:hint="default"/>
      </w:rPr>
    </w:lvl>
  </w:abstractNum>
  <w:num w:numId="1">
    <w:abstractNumId w:val="63"/>
  </w:num>
  <w:num w:numId="2">
    <w:abstractNumId w:val="7"/>
  </w:num>
  <w:num w:numId="3">
    <w:abstractNumId w:val="3"/>
  </w:num>
  <w:num w:numId="4">
    <w:abstractNumId w:val="43"/>
  </w:num>
  <w:num w:numId="5">
    <w:abstractNumId w:val="1"/>
  </w:num>
  <w:num w:numId="6">
    <w:abstractNumId w:val="8"/>
  </w:num>
  <w:num w:numId="7">
    <w:abstractNumId w:val="68"/>
  </w:num>
  <w:num w:numId="8">
    <w:abstractNumId w:val="69"/>
  </w:num>
  <w:num w:numId="9">
    <w:abstractNumId w:val="61"/>
  </w:num>
  <w:num w:numId="10">
    <w:abstractNumId w:val="21"/>
  </w:num>
  <w:num w:numId="11">
    <w:abstractNumId w:val="0"/>
  </w:num>
  <w:num w:numId="12">
    <w:abstractNumId w:val="44"/>
  </w:num>
  <w:num w:numId="13">
    <w:abstractNumId w:val="77"/>
  </w:num>
  <w:num w:numId="14">
    <w:abstractNumId w:val="32"/>
  </w:num>
  <w:num w:numId="15">
    <w:abstractNumId w:val="66"/>
  </w:num>
  <w:num w:numId="16">
    <w:abstractNumId w:val="78"/>
  </w:num>
  <w:num w:numId="17">
    <w:abstractNumId w:val="47"/>
  </w:num>
  <w:num w:numId="18">
    <w:abstractNumId w:val="53"/>
  </w:num>
  <w:num w:numId="19">
    <w:abstractNumId w:val="10"/>
  </w:num>
  <w:num w:numId="20">
    <w:abstractNumId w:val="71"/>
  </w:num>
  <w:num w:numId="21">
    <w:abstractNumId w:val="2"/>
  </w:num>
  <w:num w:numId="22">
    <w:abstractNumId w:val="4"/>
  </w:num>
  <w:num w:numId="23">
    <w:abstractNumId w:val="70"/>
  </w:num>
  <w:num w:numId="24">
    <w:abstractNumId w:val="15"/>
  </w:num>
  <w:num w:numId="25">
    <w:abstractNumId w:val="60"/>
  </w:num>
  <w:num w:numId="26">
    <w:abstractNumId w:val="42"/>
  </w:num>
  <w:num w:numId="27">
    <w:abstractNumId w:val="64"/>
  </w:num>
  <w:num w:numId="28">
    <w:abstractNumId w:val="50"/>
  </w:num>
  <w:num w:numId="29">
    <w:abstractNumId w:val="76"/>
  </w:num>
  <w:num w:numId="30">
    <w:abstractNumId w:val="33"/>
  </w:num>
  <w:num w:numId="31">
    <w:abstractNumId w:val="26"/>
  </w:num>
  <w:num w:numId="32">
    <w:abstractNumId w:val="28"/>
  </w:num>
  <w:num w:numId="33">
    <w:abstractNumId w:val="65"/>
  </w:num>
  <w:num w:numId="34">
    <w:abstractNumId w:val="45"/>
  </w:num>
  <w:num w:numId="35">
    <w:abstractNumId w:val="59"/>
  </w:num>
  <w:num w:numId="36">
    <w:abstractNumId w:val="14"/>
  </w:num>
  <w:num w:numId="37">
    <w:abstractNumId w:val="41"/>
  </w:num>
  <w:num w:numId="38">
    <w:abstractNumId w:val="51"/>
  </w:num>
  <w:num w:numId="39">
    <w:abstractNumId w:val="30"/>
  </w:num>
  <w:num w:numId="40">
    <w:abstractNumId w:val="12"/>
  </w:num>
  <w:num w:numId="41">
    <w:abstractNumId w:val="9"/>
  </w:num>
  <w:num w:numId="42">
    <w:abstractNumId w:val="48"/>
  </w:num>
  <w:num w:numId="43">
    <w:abstractNumId w:val="37"/>
  </w:num>
  <w:num w:numId="44">
    <w:abstractNumId w:val="24"/>
  </w:num>
  <w:num w:numId="45">
    <w:abstractNumId w:val="52"/>
  </w:num>
  <w:num w:numId="46">
    <w:abstractNumId w:val="5"/>
  </w:num>
  <w:num w:numId="47">
    <w:abstractNumId w:val="62"/>
  </w:num>
  <w:num w:numId="48">
    <w:abstractNumId w:val="6"/>
  </w:num>
  <w:num w:numId="49">
    <w:abstractNumId w:val="67"/>
  </w:num>
  <w:num w:numId="50">
    <w:abstractNumId w:val="40"/>
  </w:num>
  <w:num w:numId="51">
    <w:abstractNumId w:val="19"/>
  </w:num>
  <w:num w:numId="52">
    <w:abstractNumId w:val="39"/>
  </w:num>
  <w:num w:numId="53">
    <w:abstractNumId w:val="46"/>
  </w:num>
  <w:num w:numId="54">
    <w:abstractNumId w:val="38"/>
  </w:num>
  <w:num w:numId="55">
    <w:abstractNumId w:val="34"/>
  </w:num>
  <w:num w:numId="56">
    <w:abstractNumId w:val="72"/>
  </w:num>
  <w:num w:numId="57">
    <w:abstractNumId w:val="29"/>
  </w:num>
  <w:num w:numId="58">
    <w:abstractNumId w:val="36"/>
  </w:num>
  <w:num w:numId="59">
    <w:abstractNumId w:val="31"/>
  </w:num>
  <w:num w:numId="60">
    <w:abstractNumId w:val="17"/>
  </w:num>
  <w:num w:numId="61">
    <w:abstractNumId w:val="49"/>
  </w:num>
  <w:num w:numId="62">
    <w:abstractNumId w:val="27"/>
  </w:num>
  <w:num w:numId="63">
    <w:abstractNumId w:val="55"/>
  </w:num>
  <w:num w:numId="64">
    <w:abstractNumId w:val="25"/>
  </w:num>
  <w:num w:numId="65">
    <w:abstractNumId w:val="35"/>
  </w:num>
  <w:num w:numId="66">
    <w:abstractNumId w:val="56"/>
  </w:num>
  <w:num w:numId="67">
    <w:abstractNumId w:val="18"/>
  </w:num>
  <w:num w:numId="68">
    <w:abstractNumId w:val="57"/>
  </w:num>
  <w:num w:numId="69">
    <w:abstractNumId w:val="13"/>
  </w:num>
  <w:num w:numId="70">
    <w:abstractNumId w:val="74"/>
  </w:num>
  <w:num w:numId="71">
    <w:abstractNumId w:val="75"/>
  </w:num>
  <w:num w:numId="72">
    <w:abstractNumId w:val="54"/>
  </w:num>
  <w:num w:numId="73">
    <w:abstractNumId w:val="73"/>
  </w:num>
  <w:num w:numId="74">
    <w:abstractNumId w:val="16"/>
  </w:num>
  <w:num w:numId="75">
    <w:abstractNumId w:val="58"/>
  </w:num>
  <w:num w:numId="76">
    <w:abstractNumId w:val="22"/>
  </w:num>
  <w:num w:numId="77">
    <w:abstractNumId w:val="20"/>
  </w:num>
  <w:num w:numId="78">
    <w:abstractNumId w:val="11"/>
  </w:num>
  <w:num w:numId="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NGFlOTE5YzM3NmI1Mjk3MTU1YWRiMjQ4ZDZiNGUifQ=="/>
    <w:docVar w:name="KSO_WPS_MARK_KEY" w:val="4327d736-5e14-4c10-a129-6da11502fcfe"/>
  </w:docVars>
  <w:rsids>
    <w:rsidRoot w:val="00172A27"/>
    <w:rsid w:val="000001F4"/>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48E5"/>
    <w:rsid w:val="0002594F"/>
    <w:rsid w:val="00025985"/>
    <w:rsid w:val="00025AC0"/>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170C"/>
    <w:rsid w:val="00061972"/>
    <w:rsid w:val="00061AC4"/>
    <w:rsid w:val="00063151"/>
    <w:rsid w:val="00063CE9"/>
    <w:rsid w:val="00064127"/>
    <w:rsid w:val="0006432D"/>
    <w:rsid w:val="00064B46"/>
    <w:rsid w:val="00064E81"/>
    <w:rsid w:val="000656B5"/>
    <w:rsid w:val="00065CA3"/>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0873"/>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976"/>
    <w:rsid w:val="000B3C2D"/>
    <w:rsid w:val="000B46A8"/>
    <w:rsid w:val="000B470D"/>
    <w:rsid w:val="000B4E66"/>
    <w:rsid w:val="000B5395"/>
    <w:rsid w:val="000B578F"/>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1274"/>
    <w:rsid w:val="000D1597"/>
    <w:rsid w:val="000D16A7"/>
    <w:rsid w:val="000D1C6A"/>
    <w:rsid w:val="000D1F8D"/>
    <w:rsid w:val="000D22BD"/>
    <w:rsid w:val="000D26E7"/>
    <w:rsid w:val="000D402F"/>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BA6"/>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899"/>
    <w:rsid w:val="00123679"/>
    <w:rsid w:val="001236BF"/>
    <w:rsid w:val="001236EB"/>
    <w:rsid w:val="00123ACC"/>
    <w:rsid w:val="0012450B"/>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4FA2"/>
    <w:rsid w:val="0013526C"/>
    <w:rsid w:val="001356B6"/>
    <w:rsid w:val="001365F4"/>
    <w:rsid w:val="0013661A"/>
    <w:rsid w:val="00136E07"/>
    <w:rsid w:val="001372D1"/>
    <w:rsid w:val="001374A2"/>
    <w:rsid w:val="00137B8F"/>
    <w:rsid w:val="00137C0C"/>
    <w:rsid w:val="00140295"/>
    <w:rsid w:val="00141121"/>
    <w:rsid w:val="001429D7"/>
    <w:rsid w:val="00143437"/>
    <w:rsid w:val="00143891"/>
    <w:rsid w:val="00143DE4"/>
    <w:rsid w:val="0014403E"/>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80D"/>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086B"/>
    <w:rsid w:val="001A10F0"/>
    <w:rsid w:val="001A24D5"/>
    <w:rsid w:val="001A2637"/>
    <w:rsid w:val="001A270B"/>
    <w:rsid w:val="001A2CE9"/>
    <w:rsid w:val="001A37A7"/>
    <w:rsid w:val="001A395C"/>
    <w:rsid w:val="001A397E"/>
    <w:rsid w:val="001A3D56"/>
    <w:rsid w:val="001A4A03"/>
    <w:rsid w:val="001A4CFB"/>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4F8"/>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D7CBC"/>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0F0"/>
    <w:rsid w:val="001F220E"/>
    <w:rsid w:val="001F299F"/>
    <w:rsid w:val="001F30B7"/>
    <w:rsid w:val="001F3380"/>
    <w:rsid w:val="001F409D"/>
    <w:rsid w:val="001F4B03"/>
    <w:rsid w:val="001F53DC"/>
    <w:rsid w:val="001F612B"/>
    <w:rsid w:val="001F69C1"/>
    <w:rsid w:val="001F6A7D"/>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424"/>
    <w:rsid w:val="00214AE1"/>
    <w:rsid w:val="00215B9B"/>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1B8"/>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040"/>
    <w:rsid w:val="00267D9A"/>
    <w:rsid w:val="00270584"/>
    <w:rsid w:val="00270EA2"/>
    <w:rsid w:val="00271121"/>
    <w:rsid w:val="00272DFC"/>
    <w:rsid w:val="002757DA"/>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53B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38D"/>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56C"/>
    <w:rsid w:val="002F461E"/>
    <w:rsid w:val="002F4DAB"/>
    <w:rsid w:val="002F5103"/>
    <w:rsid w:val="002F5779"/>
    <w:rsid w:val="002F5C3F"/>
    <w:rsid w:val="002F5C8F"/>
    <w:rsid w:val="002F6AC6"/>
    <w:rsid w:val="002F703B"/>
    <w:rsid w:val="00301558"/>
    <w:rsid w:val="00302300"/>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B0A"/>
    <w:rsid w:val="003137D4"/>
    <w:rsid w:val="00314227"/>
    <w:rsid w:val="00314DBA"/>
    <w:rsid w:val="00314EFA"/>
    <w:rsid w:val="00315AB3"/>
    <w:rsid w:val="003164A3"/>
    <w:rsid w:val="00317A63"/>
    <w:rsid w:val="00317BA9"/>
    <w:rsid w:val="003200AE"/>
    <w:rsid w:val="0032034B"/>
    <w:rsid w:val="00320BF6"/>
    <w:rsid w:val="00320EFA"/>
    <w:rsid w:val="00321739"/>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95D"/>
    <w:rsid w:val="00332B79"/>
    <w:rsid w:val="00333CAB"/>
    <w:rsid w:val="00333D3B"/>
    <w:rsid w:val="00334C5E"/>
    <w:rsid w:val="00334F81"/>
    <w:rsid w:val="00335E06"/>
    <w:rsid w:val="003362B6"/>
    <w:rsid w:val="00336AC2"/>
    <w:rsid w:val="00336FD3"/>
    <w:rsid w:val="00337B76"/>
    <w:rsid w:val="00337BB7"/>
    <w:rsid w:val="00341DE7"/>
    <w:rsid w:val="00341FEE"/>
    <w:rsid w:val="003430E1"/>
    <w:rsid w:val="0034324B"/>
    <w:rsid w:val="00343464"/>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2B"/>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679D6"/>
    <w:rsid w:val="003737B0"/>
    <w:rsid w:val="003743F8"/>
    <w:rsid w:val="00374B13"/>
    <w:rsid w:val="00374BBC"/>
    <w:rsid w:val="00374FC1"/>
    <w:rsid w:val="003756A2"/>
    <w:rsid w:val="00375C87"/>
    <w:rsid w:val="00375DC1"/>
    <w:rsid w:val="00375E94"/>
    <w:rsid w:val="00376DED"/>
    <w:rsid w:val="003774A0"/>
    <w:rsid w:val="0037767D"/>
    <w:rsid w:val="003776C9"/>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3583"/>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3ED"/>
    <w:rsid w:val="003B2BA8"/>
    <w:rsid w:val="003B3AF7"/>
    <w:rsid w:val="003B4180"/>
    <w:rsid w:val="003B4356"/>
    <w:rsid w:val="003B4407"/>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2EF6"/>
    <w:rsid w:val="003D3096"/>
    <w:rsid w:val="003D3994"/>
    <w:rsid w:val="003D3D95"/>
    <w:rsid w:val="003D3EC0"/>
    <w:rsid w:val="003D4492"/>
    <w:rsid w:val="003D519A"/>
    <w:rsid w:val="003D7120"/>
    <w:rsid w:val="003D73AB"/>
    <w:rsid w:val="003E00AC"/>
    <w:rsid w:val="003E095B"/>
    <w:rsid w:val="003E1840"/>
    <w:rsid w:val="003E2533"/>
    <w:rsid w:val="003E2F30"/>
    <w:rsid w:val="003E30A3"/>
    <w:rsid w:val="003E39C3"/>
    <w:rsid w:val="003E3D24"/>
    <w:rsid w:val="003E414B"/>
    <w:rsid w:val="003E431F"/>
    <w:rsid w:val="003E439D"/>
    <w:rsid w:val="003E5810"/>
    <w:rsid w:val="003E5A25"/>
    <w:rsid w:val="003E5C5F"/>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825"/>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5A3D"/>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672"/>
    <w:rsid w:val="004329FE"/>
    <w:rsid w:val="00432A04"/>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AE3"/>
    <w:rsid w:val="00446DAE"/>
    <w:rsid w:val="00446E47"/>
    <w:rsid w:val="004476FB"/>
    <w:rsid w:val="00447854"/>
    <w:rsid w:val="00447B58"/>
    <w:rsid w:val="00450013"/>
    <w:rsid w:val="00450709"/>
    <w:rsid w:val="004508C5"/>
    <w:rsid w:val="00450A8E"/>
    <w:rsid w:val="00450C55"/>
    <w:rsid w:val="004514E0"/>
    <w:rsid w:val="004516ED"/>
    <w:rsid w:val="00451E7C"/>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443"/>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709"/>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87CCD"/>
    <w:rsid w:val="00491CDE"/>
    <w:rsid w:val="00492566"/>
    <w:rsid w:val="00492C10"/>
    <w:rsid w:val="00492E53"/>
    <w:rsid w:val="004933FA"/>
    <w:rsid w:val="004935EE"/>
    <w:rsid w:val="004936C5"/>
    <w:rsid w:val="00493F1E"/>
    <w:rsid w:val="00493F29"/>
    <w:rsid w:val="00493F3D"/>
    <w:rsid w:val="00494354"/>
    <w:rsid w:val="004945B6"/>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799"/>
    <w:rsid w:val="004A487F"/>
    <w:rsid w:val="004A4B9D"/>
    <w:rsid w:val="004A4CA4"/>
    <w:rsid w:val="004A6288"/>
    <w:rsid w:val="004A6F45"/>
    <w:rsid w:val="004A76E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6B15"/>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ECB"/>
    <w:rsid w:val="004F42F7"/>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6E8"/>
    <w:rsid w:val="005048DA"/>
    <w:rsid w:val="00504C15"/>
    <w:rsid w:val="00504CCB"/>
    <w:rsid w:val="00505537"/>
    <w:rsid w:val="00506754"/>
    <w:rsid w:val="00506C1E"/>
    <w:rsid w:val="00506CCD"/>
    <w:rsid w:val="0050717B"/>
    <w:rsid w:val="00507647"/>
    <w:rsid w:val="0051007E"/>
    <w:rsid w:val="00510BB6"/>
    <w:rsid w:val="00511D79"/>
    <w:rsid w:val="0051432D"/>
    <w:rsid w:val="005154AD"/>
    <w:rsid w:val="00515628"/>
    <w:rsid w:val="00515BE6"/>
    <w:rsid w:val="005160F6"/>
    <w:rsid w:val="005168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2F15"/>
    <w:rsid w:val="00545239"/>
    <w:rsid w:val="005454E5"/>
    <w:rsid w:val="00546B8A"/>
    <w:rsid w:val="00546D05"/>
    <w:rsid w:val="00547244"/>
    <w:rsid w:val="00547933"/>
    <w:rsid w:val="005508AD"/>
    <w:rsid w:val="0055098D"/>
    <w:rsid w:val="00550B24"/>
    <w:rsid w:val="00550FD2"/>
    <w:rsid w:val="005513B4"/>
    <w:rsid w:val="00552031"/>
    <w:rsid w:val="00552244"/>
    <w:rsid w:val="005528E7"/>
    <w:rsid w:val="00553018"/>
    <w:rsid w:val="0055382B"/>
    <w:rsid w:val="0055412E"/>
    <w:rsid w:val="0055419D"/>
    <w:rsid w:val="0055583F"/>
    <w:rsid w:val="00556FA0"/>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435"/>
    <w:rsid w:val="005805B7"/>
    <w:rsid w:val="00580751"/>
    <w:rsid w:val="005812C5"/>
    <w:rsid w:val="00581990"/>
    <w:rsid w:val="0058223C"/>
    <w:rsid w:val="0058260F"/>
    <w:rsid w:val="00583EF1"/>
    <w:rsid w:val="00585913"/>
    <w:rsid w:val="005865CB"/>
    <w:rsid w:val="00586646"/>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25F9"/>
    <w:rsid w:val="005D3885"/>
    <w:rsid w:val="005D3F38"/>
    <w:rsid w:val="005D500D"/>
    <w:rsid w:val="005D51FF"/>
    <w:rsid w:val="005D5CE7"/>
    <w:rsid w:val="005D625F"/>
    <w:rsid w:val="005D6357"/>
    <w:rsid w:val="005D6D4B"/>
    <w:rsid w:val="005D6FB7"/>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ADB"/>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7BB"/>
    <w:rsid w:val="00632FD3"/>
    <w:rsid w:val="006335EF"/>
    <w:rsid w:val="00633EE8"/>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332"/>
    <w:rsid w:val="00657C33"/>
    <w:rsid w:val="006605F9"/>
    <w:rsid w:val="006606BF"/>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4DC4"/>
    <w:rsid w:val="00675260"/>
    <w:rsid w:val="00675350"/>
    <w:rsid w:val="0067650E"/>
    <w:rsid w:val="0067657F"/>
    <w:rsid w:val="00676E14"/>
    <w:rsid w:val="00676F2E"/>
    <w:rsid w:val="00677896"/>
    <w:rsid w:val="00677AAE"/>
    <w:rsid w:val="00677ABE"/>
    <w:rsid w:val="00677DB8"/>
    <w:rsid w:val="006801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97E84"/>
    <w:rsid w:val="006A1119"/>
    <w:rsid w:val="006A1B84"/>
    <w:rsid w:val="006A1FEF"/>
    <w:rsid w:val="006A27C2"/>
    <w:rsid w:val="006A2EBD"/>
    <w:rsid w:val="006A3009"/>
    <w:rsid w:val="006A3ACE"/>
    <w:rsid w:val="006A3E7B"/>
    <w:rsid w:val="006A4D9B"/>
    <w:rsid w:val="006A6950"/>
    <w:rsid w:val="006A7210"/>
    <w:rsid w:val="006A757D"/>
    <w:rsid w:val="006A7B32"/>
    <w:rsid w:val="006B002A"/>
    <w:rsid w:val="006B130C"/>
    <w:rsid w:val="006B15F2"/>
    <w:rsid w:val="006B28B5"/>
    <w:rsid w:val="006B32C8"/>
    <w:rsid w:val="006B3A46"/>
    <w:rsid w:val="006B5301"/>
    <w:rsid w:val="006B5544"/>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5DCF"/>
    <w:rsid w:val="006D6E79"/>
    <w:rsid w:val="006E017B"/>
    <w:rsid w:val="006E06A9"/>
    <w:rsid w:val="006E0888"/>
    <w:rsid w:val="006E097F"/>
    <w:rsid w:val="006E0E4A"/>
    <w:rsid w:val="006E16C4"/>
    <w:rsid w:val="006E1778"/>
    <w:rsid w:val="006E17B0"/>
    <w:rsid w:val="006E1A8C"/>
    <w:rsid w:val="006E2595"/>
    <w:rsid w:val="006E2694"/>
    <w:rsid w:val="006E2A1F"/>
    <w:rsid w:val="006E2A78"/>
    <w:rsid w:val="006E4FB2"/>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6F5"/>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4DED"/>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A2D"/>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802"/>
    <w:rsid w:val="00747E9F"/>
    <w:rsid w:val="00747F86"/>
    <w:rsid w:val="00750184"/>
    <w:rsid w:val="007520CE"/>
    <w:rsid w:val="00752414"/>
    <w:rsid w:val="00752573"/>
    <w:rsid w:val="00752A09"/>
    <w:rsid w:val="007548EC"/>
    <w:rsid w:val="00754B63"/>
    <w:rsid w:val="0075548A"/>
    <w:rsid w:val="00756180"/>
    <w:rsid w:val="00756636"/>
    <w:rsid w:val="007566F3"/>
    <w:rsid w:val="00756BC6"/>
    <w:rsid w:val="00756F23"/>
    <w:rsid w:val="00757736"/>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0BED"/>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372"/>
    <w:rsid w:val="007916AA"/>
    <w:rsid w:val="007919DB"/>
    <w:rsid w:val="00791A91"/>
    <w:rsid w:val="007929EE"/>
    <w:rsid w:val="00792B92"/>
    <w:rsid w:val="00792E68"/>
    <w:rsid w:val="00792FF5"/>
    <w:rsid w:val="007930CD"/>
    <w:rsid w:val="00793F64"/>
    <w:rsid w:val="00795243"/>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76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623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AA9"/>
    <w:rsid w:val="007E2C07"/>
    <w:rsid w:val="007E3350"/>
    <w:rsid w:val="007E3ABE"/>
    <w:rsid w:val="007E455D"/>
    <w:rsid w:val="007E467A"/>
    <w:rsid w:val="007E51A5"/>
    <w:rsid w:val="007E5E3C"/>
    <w:rsid w:val="007E6085"/>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0C"/>
    <w:rsid w:val="0080270E"/>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696A"/>
    <w:rsid w:val="00816EBB"/>
    <w:rsid w:val="008170CE"/>
    <w:rsid w:val="00817642"/>
    <w:rsid w:val="0082018D"/>
    <w:rsid w:val="00821C08"/>
    <w:rsid w:val="00821D78"/>
    <w:rsid w:val="0082313D"/>
    <w:rsid w:val="00823153"/>
    <w:rsid w:val="008235A6"/>
    <w:rsid w:val="00823718"/>
    <w:rsid w:val="008240B3"/>
    <w:rsid w:val="0082410C"/>
    <w:rsid w:val="00824186"/>
    <w:rsid w:val="008248CE"/>
    <w:rsid w:val="00826265"/>
    <w:rsid w:val="00826288"/>
    <w:rsid w:val="008264E8"/>
    <w:rsid w:val="00826980"/>
    <w:rsid w:val="008277D5"/>
    <w:rsid w:val="008303D2"/>
    <w:rsid w:val="008313D1"/>
    <w:rsid w:val="008325BF"/>
    <w:rsid w:val="00832658"/>
    <w:rsid w:val="00832E14"/>
    <w:rsid w:val="00833150"/>
    <w:rsid w:val="00834231"/>
    <w:rsid w:val="008344B3"/>
    <w:rsid w:val="00834CEE"/>
    <w:rsid w:val="00834EA0"/>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1680"/>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AE7"/>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C47"/>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3FAF"/>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97A"/>
    <w:rsid w:val="008D2B08"/>
    <w:rsid w:val="008D35B1"/>
    <w:rsid w:val="008D4205"/>
    <w:rsid w:val="008D49C9"/>
    <w:rsid w:val="008D5FAB"/>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55F1"/>
    <w:rsid w:val="008E68A7"/>
    <w:rsid w:val="008E728C"/>
    <w:rsid w:val="008E7327"/>
    <w:rsid w:val="008E78BF"/>
    <w:rsid w:val="008F01F0"/>
    <w:rsid w:val="008F03CC"/>
    <w:rsid w:val="008F087E"/>
    <w:rsid w:val="008F189D"/>
    <w:rsid w:val="008F1B54"/>
    <w:rsid w:val="008F255D"/>
    <w:rsid w:val="008F2853"/>
    <w:rsid w:val="008F3209"/>
    <w:rsid w:val="008F3A03"/>
    <w:rsid w:val="008F3FDD"/>
    <w:rsid w:val="008F64D5"/>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627F"/>
    <w:rsid w:val="0090766A"/>
    <w:rsid w:val="00907B64"/>
    <w:rsid w:val="009101A0"/>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E46"/>
    <w:rsid w:val="00923E7D"/>
    <w:rsid w:val="00925FA1"/>
    <w:rsid w:val="00926019"/>
    <w:rsid w:val="00926A42"/>
    <w:rsid w:val="0092700E"/>
    <w:rsid w:val="00927194"/>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ACC"/>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33B"/>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BC"/>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36C"/>
    <w:rsid w:val="0099441A"/>
    <w:rsid w:val="0099476D"/>
    <w:rsid w:val="009960CC"/>
    <w:rsid w:val="00996724"/>
    <w:rsid w:val="00996779"/>
    <w:rsid w:val="009A0607"/>
    <w:rsid w:val="009A345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6BE1"/>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4ED2"/>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1FB6"/>
    <w:rsid w:val="00A824FE"/>
    <w:rsid w:val="00A82727"/>
    <w:rsid w:val="00A846B2"/>
    <w:rsid w:val="00A850D2"/>
    <w:rsid w:val="00A856A7"/>
    <w:rsid w:val="00A85E75"/>
    <w:rsid w:val="00A86002"/>
    <w:rsid w:val="00A86104"/>
    <w:rsid w:val="00A86836"/>
    <w:rsid w:val="00A8687B"/>
    <w:rsid w:val="00A873F7"/>
    <w:rsid w:val="00A87773"/>
    <w:rsid w:val="00A877E2"/>
    <w:rsid w:val="00A87C20"/>
    <w:rsid w:val="00A90992"/>
    <w:rsid w:val="00A90C4D"/>
    <w:rsid w:val="00A918BA"/>
    <w:rsid w:val="00A92ACF"/>
    <w:rsid w:val="00A92CE3"/>
    <w:rsid w:val="00A92DAE"/>
    <w:rsid w:val="00A93317"/>
    <w:rsid w:val="00A93F88"/>
    <w:rsid w:val="00A94055"/>
    <w:rsid w:val="00A94056"/>
    <w:rsid w:val="00A94231"/>
    <w:rsid w:val="00A94B5C"/>
    <w:rsid w:val="00A9529C"/>
    <w:rsid w:val="00A9558D"/>
    <w:rsid w:val="00A9577C"/>
    <w:rsid w:val="00A95D47"/>
    <w:rsid w:val="00A964CC"/>
    <w:rsid w:val="00A964D0"/>
    <w:rsid w:val="00A9695C"/>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7E3"/>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57D"/>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604"/>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85B"/>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47D08"/>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6545"/>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315"/>
    <w:rsid w:val="00BD349B"/>
    <w:rsid w:val="00BD398B"/>
    <w:rsid w:val="00BD3A56"/>
    <w:rsid w:val="00BD5A3D"/>
    <w:rsid w:val="00BD61A8"/>
    <w:rsid w:val="00BD6459"/>
    <w:rsid w:val="00BD6714"/>
    <w:rsid w:val="00BD6A05"/>
    <w:rsid w:val="00BD6DE4"/>
    <w:rsid w:val="00BD6DF0"/>
    <w:rsid w:val="00BD745F"/>
    <w:rsid w:val="00BE1064"/>
    <w:rsid w:val="00BE14F4"/>
    <w:rsid w:val="00BE1820"/>
    <w:rsid w:val="00BE1D76"/>
    <w:rsid w:val="00BE1D92"/>
    <w:rsid w:val="00BE287F"/>
    <w:rsid w:val="00BE2C6C"/>
    <w:rsid w:val="00BE34DB"/>
    <w:rsid w:val="00BE3CD6"/>
    <w:rsid w:val="00BE52E7"/>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477"/>
    <w:rsid w:val="00C02AFC"/>
    <w:rsid w:val="00C043FD"/>
    <w:rsid w:val="00C0478B"/>
    <w:rsid w:val="00C047D6"/>
    <w:rsid w:val="00C04836"/>
    <w:rsid w:val="00C0489F"/>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3AA"/>
    <w:rsid w:val="00C2243A"/>
    <w:rsid w:val="00C22D7C"/>
    <w:rsid w:val="00C22E37"/>
    <w:rsid w:val="00C2370D"/>
    <w:rsid w:val="00C24249"/>
    <w:rsid w:val="00C2518F"/>
    <w:rsid w:val="00C2627F"/>
    <w:rsid w:val="00C26FDC"/>
    <w:rsid w:val="00C27520"/>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64E8"/>
    <w:rsid w:val="00C36F60"/>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5FD1"/>
    <w:rsid w:val="00C5730F"/>
    <w:rsid w:val="00C60154"/>
    <w:rsid w:val="00C60A1A"/>
    <w:rsid w:val="00C613D2"/>
    <w:rsid w:val="00C617BA"/>
    <w:rsid w:val="00C62A9D"/>
    <w:rsid w:val="00C633F7"/>
    <w:rsid w:val="00C63707"/>
    <w:rsid w:val="00C63825"/>
    <w:rsid w:val="00C64206"/>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76D"/>
    <w:rsid w:val="00C82E23"/>
    <w:rsid w:val="00C833AB"/>
    <w:rsid w:val="00C837F9"/>
    <w:rsid w:val="00C84170"/>
    <w:rsid w:val="00C8533B"/>
    <w:rsid w:val="00C85E21"/>
    <w:rsid w:val="00C86421"/>
    <w:rsid w:val="00C8708C"/>
    <w:rsid w:val="00C87547"/>
    <w:rsid w:val="00C87D64"/>
    <w:rsid w:val="00C9049F"/>
    <w:rsid w:val="00C905E1"/>
    <w:rsid w:val="00C90EB3"/>
    <w:rsid w:val="00C93360"/>
    <w:rsid w:val="00C934A7"/>
    <w:rsid w:val="00C9600E"/>
    <w:rsid w:val="00C967BD"/>
    <w:rsid w:val="00C97452"/>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07F3"/>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6DA8"/>
    <w:rsid w:val="00CC72CB"/>
    <w:rsid w:val="00CC7564"/>
    <w:rsid w:val="00CC79EA"/>
    <w:rsid w:val="00CD06C6"/>
    <w:rsid w:val="00CD0947"/>
    <w:rsid w:val="00CD0B5F"/>
    <w:rsid w:val="00CD115F"/>
    <w:rsid w:val="00CD153C"/>
    <w:rsid w:val="00CD1705"/>
    <w:rsid w:val="00CD1A26"/>
    <w:rsid w:val="00CD2219"/>
    <w:rsid w:val="00CD2C07"/>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5484"/>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088"/>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27D85"/>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08AA"/>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1D03"/>
    <w:rsid w:val="00D52AB6"/>
    <w:rsid w:val="00D52D4B"/>
    <w:rsid w:val="00D5360A"/>
    <w:rsid w:val="00D53D03"/>
    <w:rsid w:val="00D540AB"/>
    <w:rsid w:val="00D54A42"/>
    <w:rsid w:val="00D56598"/>
    <w:rsid w:val="00D56C08"/>
    <w:rsid w:val="00D5764E"/>
    <w:rsid w:val="00D577D1"/>
    <w:rsid w:val="00D57A67"/>
    <w:rsid w:val="00D602BB"/>
    <w:rsid w:val="00D61112"/>
    <w:rsid w:val="00D62347"/>
    <w:rsid w:val="00D64D10"/>
    <w:rsid w:val="00D65856"/>
    <w:rsid w:val="00D66903"/>
    <w:rsid w:val="00D66B91"/>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31D"/>
    <w:rsid w:val="00D87574"/>
    <w:rsid w:val="00D87C5D"/>
    <w:rsid w:val="00D908C0"/>
    <w:rsid w:val="00D90DA0"/>
    <w:rsid w:val="00D92B1A"/>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932"/>
    <w:rsid w:val="00DA3C65"/>
    <w:rsid w:val="00DA3CE0"/>
    <w:rsid w:val="00DA4E66"/>
    <w:rsid w:val="00DA4FA3"/>
    <w:rsid w:val="00DA5092"/>
    <w:rsid w:val="00DA6975"/>
    <w:rsid w:val="00DA6AC1"/>
    <w:rsid w:val="00DA7243"/>
    <w:rsid w:val="00DA77FA"/>
    <w:rsid w:val="00DA7D1C"/>
    <w:rsid w:val="00DB127E"/>
    <w:rsid w:val="00DB1C28"/>
    <w:rsid w:val="00DB2AAD"/>
    <w:rsid w:val="00DB3094"/>
    <w:rsid w:val="00DB3431"/>
    <w:rsid w:val="00DB3972"/>
    <w:rsid w:val="00DB3F40"/>
    <w:rsid w:val="00DB5BDE"/>
    <w:rsid w:val="00DB5EE3"/>
    <w:rsid w:val="00DB603C"/>
    <w:rsid w:val="00DB6187"/>
    <w:rsid w:val="00DB61C7"/>
    <w:rsid w:val="00DB6EF7"/>
    <w:rsid w:val="00DB7153"/>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3ED"/>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5B"/>
    <w:rsid w:val="00DD64AD"/>
    <w:rsid w:val="00DD6BDA"/>
    <w:rsid w:val="00DD707A"/>
    <w:rsid w:val="00DD776F"/>
    <w:rsid w:val="00DD7F79"/>
    <w:rsid w:val="00DE0573"/>
    <w:rsid w:val="00DE27E3"/>
    <w:rsid w:val="00DE2840"/>
    <w:rsid w:val="00DE2A9B"/>
    <w:rsid w:val="00DE348F"/>
    <w:rsid w:val="00DE34A7"/>
    <w:rsid w:val="00DE3907"/>
    <w:rsid w:val="00DE3A0D"/>
    <w:rsid w:val="00DE4ACE"/>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953"/>
    <w:rsid w:val="00E17F9D"/>
    <w:rsid w:val="00E2049B"/>
    <w:rsid w:val="00E205A9"/>
    <w:rsid w:val="00E2071B"/>
    <w:rsid w:val="00E20754"/>
    <w:rsid w:val="00E20F60"/>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2F9"/>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47A9"/>
    <w:rsid w:val="00E74862"/>
    <w:rsid w:val="00E748B6"/>
    <w:rsid w:val="00E74950"/>
    <w:rsid w:val="00E753B5"/>
    <w:rsid w:val="00E759C3"/>
    <w:rsid w:val="00E75B7B"/>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A7D61"/>
    <w:rsid w:val="00EB05EC"/>
    <w:rsid w:val="00EB0C1A"/>
    <w:rsid w:val="00EB15FB"/>
    <w:rsid w:val="00EB1E31"/>
    <w:rsid w:val="00EB1EA2"/>
    <w:rsid w:val="00EB21C2"/>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77B"/>
    <w:rsid w:val="00EE3AD2"/>
    <w:rsid w:val="00EE558E"/>
    <w:rsid w:val="00EE5937"/>
    <w:rsid w:val="00EE645F"/>
    <w:rsid w:val="00EE678E"/>
    <w:rsid w:val="00EE6918"/>
    <w:rsid w:val="00EE6A0F"/>
    <w:rsid w:val="00EE6A86"/>
    <w:rsid w:val="00EF072D"/>
    <w:rsid w:val="00EF119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0BCD"/>
    <w:rsid w:val="00F30BD6"/>
    <w:rsid w:val="00F314A2"/>
    <w:rsid w:val="00F323A5"/>
    <w:rsid w:val="00F32894"/>
    <w:rsid w:val="00F32A44"/>
    <w:rsid w:val="00F32D4D"/>
    <w:rsid w:val="00F32F58"/>
    <w:rsid w:val="00F333B8"/>
    <w:rsid w:val="00F33A07"/>
    <w:rsid w:val="00F33B22"/>
    <w:rsid w:val="00F33B6F"/>
    <w:rsid w:val="00F34415"/>
    <w:rsid w:val="00F34606"/>
    <w:rsid w:val="00F3478A"/>
    <w:rsid w:val="00F353BC"/>
    <w:rsid w:val="00F35686"/>
    <w:rsid w:val="00F3614C"/>
    <w:rsid w:val="00F3738D"/>
    <w:rsid w:val="00F37786"/>
    <w:rsid w:val="00F377DB"/>
    <w:rsid w:val="00F37AA3"/>
    <w:rsid w:val="00F37E99"/>
    <w:rsid w:val="00F400CB"/>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00A"/>
    <w:rsid w:val="00F5136B"/>
    <w:rsid w:val="00F5159B"/>
    <w:rsid w:val="00F51E48"/>
    <w:rsid w:val="00F52316"/>
    <w:rsid w:val="00F5293A"/>
    <w:rsid w:val="00F52AC0"/>
    <w:rsid w:val="00F52E2D"/>
    <w:rsid w:val="00F54084"/>
    <w:rsid w:val="00F549A1"/>
    <w:rsid w:val="00F5603F"/>
    <w:rsid w:val="00F56E01"/>
    <w:rsid w:val="00F57DA4"/>
    <w:rsid w:val="00F603F8"/>
    <w:rsid w:val="00F6062F"/>
    <w:rsid w:val="00F606A7"/>
    <w:rsid w:val="00F606C2"/>
    <w:rsid w:val="00F60715"/>
    <w:rsid w:val="00F60B09"/>
    <w:rsid w:val="00F61877"/>
    <w:rsid w:val="00F61ABE"/>
    <w:rsid w:val="00F61ACE"/>
    <w:rsid w:val="00F61D84"/>
    <w:rsid w:val="00F62810"/>
    <w:rsid w:val="00F63B1C"/>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13B"/>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0DC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3ECA"/>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5BD7"/>
    <w:rsid w:val="00FB63BC"/>
    <w:rsid w:val="00FB6514"/>
    <w:rsid w:val="00FB6614"/>
    <w:rsid w:val="00FB7083"/>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0DC"/>
    <w:rsid w:val="00FF23DE"/>
    <w:rsid w:val="00FF2792"/>
    <w:rsid w:val="00FF59D0"/>
    <w:rsid w:val="00FF670F"/>
    <w:rsid w:val="00FF72F4"/>
    <w:rsid w:val="00FF7454"/>
    <w:rsid w:val="00FF7ED8"/>
    <w:rsid w:val="010354AC"/>
    <w:rsid w:val="010F11F6"/>
    <w:rsid w:val="01255330"/>
    <w:rsid w:val="01301ECB"/>
    <w:rsid w:val="01F42E2D"/>
    <w:rsid w:val="01FB5C4F"/>
    <w:rsid w:val="0256548E"/>
    <w:rsid w:val="02657094"/>
    <w:rsid w:val="02890D36"/>
    <w:rsid w:val="029370C7"/>
    <w:rsid w:val="02960963"/>
    <w:rsid w:val="02BD78CB"/>
    <w:rsid w:val="02D05017"/>
    <w:rsid w:val="02DE1725"/>
    <w:rsid w:val="02FF41F8"/>
    <w:rsid w:val="0314419D"/>
    <w:rsid w:val="0315776F"/>
    <w:rsid w:val="04691FC5"/>
    <w:rsid w:val="04A12FC1"/>
    <w:rsid w:val="04E24159"/>
    <w:rsid w:val="04E81B1A"/>
    <w:rsid w:val="04EE6171"/>
    <w:rsid w:val="05097AD0"/>
    <w:rsid w:val="05187985"/>
    <w:rsid w:val="056D3AD0"/>
    <w:rsid w:val="05CC0E93"/>
    <w:rsid w:val="05CD58B2"/>
    <w:rsid w:val="05F306FA"/>
    <w:rsid w:val="06443FD4"/>
    <w:rsid w:val="066C1DBB"/>
    <w:rsid w:val="069471B1"/>
    <w:rsid w:val="06BD225B"/>
    <w:rsid w:val="07277E4A"/>
    <w:rsid w:val="073F1CAD"/>
    <w:rsid w:val="07B16AC6"/>
    <w:rsid w:val="08073E22"/>
    <w:rsid w:val="081437C9"/>
    <w:rsid w:val="087424D8"/>
    <w:rsid w:val="08822685"/>
    <w:rsid w:val="08D46F0F"/>
    <w:rsid w:val="08FA104A"/>
    <w:rsid w:val="08FA57C7"/>
    <w:rsid w:val="09403420"/>
    <w:rsid w:val="09AA1547"/>
    <w:rsid w:val="09E3201C"/>
    <w:rsid w:val="0A18470E"/>
    <w:rsid w:val="0A765FB8"/>
    <w:rsid w:val="0A814349"/>
    <w:rsid w:val="0AF8308E"/>
    <w:rsid w:val="0B077F8D"/>
    <w:rsid w:val="0B581C7A"/>
    <w:rsid w:val="0B733CEA"/>
    <w:rsid w:val="0B832C72"/>
    <w:rsid w:val="0C483CB5"/>
    <w:rsid w:val="0C5F0057"/>
    <w:rsid w:val="0CA926F0"/>
    <w:rsid w:val="0CAF268A"/>
    <w:rsid w:val="0D38584D"/>
    <w:rsid w:val="0D6126DC"/>
    <w:rsid w:val="0D8D654B"/>
    <w:rsid w:val="0DA914DF"/>
    <w:rsid w:val="0E263246"/>
    <w:rsid w:val="0E26741D"/>
    <w:rsid w:val="0E3015D7"/>
    <w:rsid w:val="0E6A02CB"/>
    <w:rsid w:val="0F1C5B09"/>
    <w:rsid w:val="0F2446FC"/>
    <w:rsid w:val="0FB177F3"/>
    <w:rsid w:val="101500B2"/>
    <w:rsid w:val="10507C42"/>
    <w:rsid w:val="105A7962"/>
    <w:rsid w:val="109C3C4F"/>
    <w:rsid w:val="10E45C0D"/>
    <w:rsid w:val="115C57C9"/>
    <w:rsid w:val="11BC2E71"/>
    <w:rsid w:val="11F62C07"/>
    <w:rsid w:val="124F3295"/>
    <w:rsid w:val="1319100A"/>
    <w:rsid w:val="13737B75"/>
    <w:rsid w:val="13894B8D"/>
    <w:rsid w:val="13B43E61"/>
    <w:rsid w:val="13EC5F71"/>
    <w:rsid w:val="147719A1"/>
    <w:rsid w:val="148C1946"/>
    <w:rsid w:val="149C7709"/>
    <w:rsid w:val="14A4244E"/>
    <w:rsid w:val="14AD2260"/>
    <w:rsid w:val="14B8240A"/>
    <w:rsid w:val="14F0383F"/>
    <w:rsid w:val="1534142B"/>
    <w:rsid w:val="15392D4C"/>
    <w:rsid w:val="154C7218"/>
    <w:rsid w:val="155557E1"/>
    <w:rsid w:val="156D5FF4"/>
    <w:rsid w:val="15F333DA"/>
    <w:rsid w:val="160D7DF3"/>
    <w:rsid w:val="169317A6"/>
    <w:rsid w:val="16AE3114"/>
    <w:rsid w:val="17707100"/>
    <w:rsid w:val="17853822"/>
    <w:rsid w:val="179A1B6A"/>
    <w:rsid w:val="17E06C0C"/>
    <w:rsid w:val="1868584B"/>
    <w:rsid w:val="18947263"/>
    <w:rsid w:val="189E2345"/>
    <w:rsid w:val="18B50E83"/>
    <w:rsid w:val="194C23DB"/>
    <w:rsid w:val="196C5A40"/>
    <w:rsid w:val="19C2556A"/>
    <w:rsid w:val="19C41B53"/>
    <w:rsid w:val="1A2608F3"/>
    <w:rsid w:val="1A2A3350"/>
    <w:rsid w:val="1A336B23"/>
    <w:rsid w:val="1A750A6F"/>
    <w:rsid w:val="1AB00CD7"/>
    <w:rsid w:val="1B143072"/>
    <w:rsid w:val="1B28788F"/>
    <w:rsid w:val="1B686DBB"/>
    <w:rsid w:val="1B824877"/>
    <w:rsid w:val="1BCD57AB"/>
    <w:rsid w:val="1C0E1A98"/>
    <w:rsid w:val="1C1E3533"/>
    <w:rsid w:val="1C2078F3"/>
    <w:rsid w:val="1C2428E7"/>
    <w:rsid w:val="1C490289"/>
    <w:rsid w:val="1C6F4FB4"/>
    <w:rsid w:val="1CA6768D"/>
    <w:rsid w:val="1CDB5968"/>
    <w:rsid w:val="1CFE635D"/>
    <w:rsid w:val="1D1F6145"/>
    <w:rsid w:val="1D501E57"/>
    <w:rsid w:val="1D54432D"/>
    <w:rsid w:val="1D651739"/>
    <w:rsid w:val="1DA63635"/>
    <w:rsid w:val="1DA82A10"/>
    <w:rsid w:val="1DAF569C"/>
    <w:rsid w:val="1DC86030"/>
    <w:rsid w:val="1E2D620F"/>
    <w:rsid w:val="1E422931"/>
    <w:rsid w:val="1EA615BB"/>
    <w:rsid w:val="1ED10ED1"/>
    <w:rsid w:val="1F210622"/>
    <w:rsid w:val="1F306401"/>
    <w:rsid w:val="1F3D4ADB"/>
    <w:rsid w:val="1F4277F5"/>
    <w:rsid w:val="1F5E4382"/>
    <w:rsid w:val="1FC3020C"/>
    <w:rsid w:val="1FF258FC"/>
    <w:rsid w:val="201812D5"/>
    <w:rsid w:val="205737C2"/>
    <w:rsid w:val="20621846"/>
    <w:rsid w:val="2066678B"/>
    <w:rsid w:val="208244E5"/>
    <w:rsid w:val="208337BA"/>
    <w:rsid w:val="21221E77"/>
    <w:rsid w:val="217E06CB"/>
    <w:rsid w:val="21AE27C3"/>
    <w:rsid w:val="21BD09EA"/>
    <w:rsid w:val="21C734F7"/>
    <w:rsid w:val="21D2510C"/>
    <w:rsid w:val="220D5256"/>
    <w:rsid w:val="22112672"/>
    <w:rsid w:val="2216360C"/>
    <w:rsid w:val="22352E85"/>
    <w:rsid w:val="22550749"/>
    <w:rsid w:val="22823F04"/>
    <w:rsid w:val="22B60C01"/>
    <w:rsid w:val="231879A1"/>
    <w:rsid w:val="2322375E"/>
    <w:rsid w:val="23242793"/>
    <w:rsid w:val="237D1557"/>
    <w:rsid w:val="239A46F7"/>
    <w:rsid w:val="23D5257E"/>
    <w:rsid w:val="2411343C"/>
    <w:rsid w:val="2425741B"/>
    <w:rsid w:val="247174BF"/>
    <w:rsid w:val="24855F40"/>
    <w:rsid w:val="249E6E14"/>
    <w:rsid w:val="249F6523"/>
    <w:rsid w:val="24A54BEC"/>
    <w:rsid w:val="24EE61B2"/>
    <w:rsid w:val="2593314B"/>
    <w:rsid w:val="25AD1ED4"/>
    <w:rsid w:val="25B84A72"/>
    <w:rsid w:val="25F52A65"/>
    <w:rsid w:val="25FA34AB"/>
    <w:rsid w:val="262249B0"/>
    <w:rsid w:val="26824AC6"/>
    <w:rsid w:val="26B71A66"/>
    <w:rsid w:val="26CA35AD"/>
    <w:rsid w:val="2749366C"/>
    <w:rsid w:val="28145A17"/>
    <w:rsid w:val="28B1694E"/>
    <w:rsid w:val="28BC0562"/>
    <w:rsid w:val="29254FDF"/>
    <w:rsid w:val="29747D10"/>
    <w:rsid w:val="298635F5"/>
    <w:rsid w:val="29EA739F"/>
    <w:rsid w:val="29F96A50"/>
    <w:rsid w:val="2A1F2738"/>
    <w:rsid w:val="2A2D713F"/>
    <w:rsid w:val="2A3C699D"/>
    <w:rsid w:val="2A423861"/>
    <w:rsid w:val="2A5C0462"/>
    <w:rsid w:val="2A63541A"/>
    <w:rsid w:val="2A7964DB"/>
    <w:rsid w:val="2A8F5EDF"/>
    <w:rsid w:val="2AA84B6D"/>
    <w:rsid w:val="2AAB11ED"/>
    <w:rsid w:val="2ABA4466"/>
    <w:rsid w:val="2ABF0192"/>
    <w:rsid w:val="2AFB6893"/>
    <w:rsid w:val="2B937D0B"/>
    <w:rsid w:val="2BB521F8"/>
    <w:rsid w:val="2C0262C1"/>
    <w:rsid w:val="2C773E97"/>
    <w:rsid w:val="2CC54020"/>
    <w:rsid w:val="2D2F5194"/>
    <w:rsid w:val="2D566901"/>
    <w:rsid w:val="2D7D2E49"/>
    <w:rsid w:val="2D966AB6"/>
    <w:rsid w:val="2DCA0C7A"/>
    <w:rsid w:val="2E0B1B47"/>
    <w:rsid w:val="2E144A59"/>
    <w:rsid w:val="2E1E06B9"/>
    <w:rsid w:val="2E3704AF"/>
    <w:rsid w:val="2E5A3DAC"/>
    <w:rsid w:val="2EB61B31"/>
    <w:rsid w:val="2EDE1D07"/>
    <w:rsid w:val="2EF8259B"/>
    <w:rsid w:val="2EF835AC"/>
    <w:rsid w:val="2EF8398F"/>
    <w:rsid w:val="2F2537C4"/>
    <w:rsid w:val="2F2954D5"/>
    <w:rsid w:val="2F312813"/>
    <w:rsid w:val="2F6F09B3"/>
    <w:rsid w:val="2F8F3DC0"/>
    <w:rsid w:val="2F9959A7"/>
    <w:rsid w:val="2FDE4A00"/>
    <w:rsid w:val="302000BC"/>
    <w:rsid w:val="30251807"/>
    <w:rsid w:val="30332B06"/>
    <w:rsid w:val="30575FA2"/>
    <w:rsid w:val="30A957E4"/>
    <w:rsid w:val="30C56DD2"/>
    <w:rsid w:val="30E177A7"/>
    <w:rsid w:val="314225B0"/>
    <w:rsid w:val="31511AD6"/>
    <w:rsid w:val="3198766B"/>
    <w:rsid w:val="319D0DD6"/>
    <w:rsid w:val="31AA329C"/>
    <w:rsid w:val="323B7E0F"/>
    <w:rsid w:val="328966D0"/>
    <w:rsid w:val="328E3A30"/>
    <w:rsid w:val="32CA15BD"/>
    <w:rsid w:val="32DE1F01"/>
    <w:rsid w:val="32FD564D"/>
    <w:rsid w:val="331630E9"/>
    <w:rsid w:val="335F6FD7"/>
    <w:rsid w:val="33C22678"/>
    <w:rsid w:val="34227F73"/>
    <w:rsid w:val="3430230D"/>
    <w:rsid w:val="34377FF9"/>
    <w:rsid w:val="343B6470"/>
    <w:rsid w:val="343E4844"/>
    <w:rsid w:val="34C131AF"/>
    <w:rsid w:val="34CA3577"/>
    <w:rsid w:val="34E87C04"/>
    <w:rsid w:val="35476355"/>
    <w:rsid w:val="35681C92"/>
    <w:rsid w:val="356928AF"/>
    <w:rsid w:val="35D579E0"/>
    <w:rsid w:val="35E84393"/>
    <w:rsid w:val="36013D27"/>
    <w:rsid w:val="36025D97"/>
    <w:rsid w:val="36B45A08"/>
    <w:rsid w:val="36C9251E"/>
    <w:rsid w:val="36E47B9D"/>
    <w:rsid w:val="370928C0"/>
    <w:rsid w:val="3747231F"/>
    <w:rsid w:val="37645C9B"/>
    <w:rsid w:val="376C2F19"/>
    <w:rsid w:val="37A23B04"/>
    <w:rsid w:val="38095130"/>
    <w:rsid w:val="38733E42"/>
    <w:rsid w:val="38C2712E"/>
    <w:rsid w:val="38EB4DDC"/>
    <w:rsid w:val="3925521E"/>
    <w:rsid w:val="39A62C24"/>
    <w:rsid w:val="39CB790F"/>
    <w:rsid w:val="39CF05D0"/>
    <w:rsid w:val="39F45841"/>
    <w:rsid w:val="3A0749A0"/>
    <w:rsid w:val="3A29797A"/>
    <w:rsid w:val="3A3E409C"/>
    <w:rsid w:val="3A5B7D04"/>
    <w:rsid w:val="3AB30E95"/>
    <w:rsid w:val="3AF15396"/>
    <w:rsid w:val="3B045C51"/>
    <w:rsid w:val="3B1D351E"/>
    <w:rsid w:val="3B2575DE"/>
    <w:rsid w:val="3B2F5F58"/>
    <w:rsid w:val="3B863442"/>
    <w:rsid w:val="3C682428"/>
    <w:rsid w:val="3C9402BA"/>
    <w:rsid w:val="3CB51561"/>
    <w:rsid w:val="3CF66AB4"/>
    <w:rsid w:val="3D0B7466"/>
    <w:rsid w:val="3D417B8C"/>
    <w:rsid w:val="3D4C5F1D"/>
    <w:rsid w:val="3DB712D8"/>
    <w:rsid w:val="3E1A5671"/>
    <w:rsid w:val="3E667CEF"/>
    <w:rsid w:val="3E6809D1"/>
    <w:rsid w:val="3E780B78"/>
    <w:rsid w:val="3E8C73DD"/>
    <w:rsid w:val="3ED34AA0"/>
    <w:rsid w:val="3EEC5C83"/>
    <w:rsid w:val="3F1C4C99"/>
    <w:rsid w:val="3F2A54AE"/>
    <w:rsid w:val="3F6E789D"/>
    <w:rsid w:val="3FE04FF8"/>
    <w:rsid w:val="3FED2FEE"/>
    <w:rsid w:val="406A624F"/>
    <w:rsid w:val="406A6AFE"/>
    <w:rsid w:val="40A91E62"/>
    <w:rsid w:val="40B118C6"/>
    <w:rsid w:val="40CE78E8"/>
    <w:rsid w:val="40ED414F"/>
    <w:rsid w:val="40FE0BC1"/>
    <w:rsid w:val="412874F2"/>
    <w:rsid w:val="41664225"/>
    <w:rsid w:val="419701EC"/>
    <w:rsid w:val="42014C57"/>
    <w:rsid w:val="42161379"/>
    <w:rsid w:val="42AF6075"/>
    <w:rsid w:val="42CC520C"/>
    <w:rsid w:val="42CF43AB"/>
    <w:rsid w:val="42E12969"/>
    <w:rsid w:val="42EE6E5E"/>
    <w:rsid w:val="430F4AB3"/>
    <w:rsid w:val="43204EC2"/>
    <w:rsid w:val="43C845C3"/>
    <w:rsid w:val="44001485"/>
    <w:rsid w:val="447B4624"/>
    <w:rsid w:val="44A479C5"/>
    <w:rsid w:val="44A553F2"/>
    <w:rsid w:val="44AB5BB5"/>
    <w:rsid w:val="44D74953"/>
    <w:rsid w:val="44ED7546"/>
    <w:rsid w:val="44FF51C4"/>
    <w:rsid w:val="45AA6F6F"/>
    <w:rsid w:val="46737A24"/>
    <w:rsid w:val="4674666E"/>
    <w:rsid w:val="46CA0433"/>
    <w:rsid w:val="46E44703"/>
    <w:rsid w:val="471E0126"/>
    <w:rsid w:val="47287FB8"/>
    <w:rsid w:val="47530F1F"/>
    <w:rsid w:val="47772728"/>
    <w:rsid w:val="47C876CB"/>
    <w:rsid w:val="47D73A93"/>
    <w:rsid w:val="48034366"/>
    <w:rsid w:val="481B4154"/>
    <w:rsid w:val="48516FB5"/>
    <w:rsid w:val="4860425D"/>
    <w:rsid w:val="488E0B7F"/>
    <w:rsid w:val="48910A08"/>
    <w:rsid w:val="48B459D5"/>
    <w:rsid w:val="48F416EC"/>
    <w:rsid w:val="49497D40"/>
    <w:rsid w:val="4A3A6E9E"/>
    <w:rsid w:val="4A5E657A"/>
    <w:rsid w:val="4A9216E3"/>
    <w:rsid w:val="4AE820F1"/>
    <w:rsid w:val="4B5C51AF"/>
    <w:rsid w:val="4BA62F67"/>
    <w:rsid w:val="4C3E19EB"/>
    <w:rsid w:val="4C6B2F56"/>
    <w:rsid w:val="4CAA52F9"/>
    <w:rsid w:val="4D560717"/>
    <w:rsid w:val="4D9066EF"/>
    <w:rsid w:val="4DAB5852"/>
    <w:rsid w:val="4E6241F5"/>
    <w:rsid w:val="4E634927"/>
    <w:rsid w:val="4E6D0038"/>
    <w:rsid w:val="4E751CC3"/>
    <w:rsid w:val="4EAD1E2E"/>
    <w:rsid w:val="4F105D44"/>
    <w:rsid w:val="4F132029"/>
    <w:rsid w:val="4F355850"/>
    <w:rsid w:val="4F437C01"/>
    <w:rsid w:val="4F5C4B3F"/>
    <w:rsid w:val="4F645657"/>
    <w:rsid w:val="4F8B14B0"/>
    <w:rsid w:val="4FB671CF"/>
    <w:rsid w:val="4FEFB9BD"/>
    <w:rsid w:val="4FFD7F4B"/>
    <w:rsid w:val="501F5F01"/>
    <w:rsid w:val="50275F90"/>
    <w:rsid w:val="505521CD"/>
    <w:rsid w:val="5063360F"/>
    <w:rsid w:val="5079308D"/>
    <w:rsid w:val="50BF05A8"/>
    <w:rsid w:val="50D93451"/>
    <w:rsid w:val="50E74F74"/>
    <w:rsid w:val="519F5DF6"/>
    <w:rsid w:val="51A04A97"/>
    <w:rsid w:val="51C63383"/>
    <w:rsid w:val="51DF1D99"/>
    <w:rsid w:val="52077FA0"/>
    <w:rsid w:val="523E6CC9"/>
    <w:rsid w:val="524E473C"/>
    <w:rsid w:val="52B03DCF"/>
    <w:rsid w:val="52E361B6"/>
    <w:rsid w:val="52F61E27"/>
    <w:rsid w:val="530B34BA"/>
    <w:rsid w:val="539D3912"/>
    <w:rsid w:val="545C6276"/>
    <w:rsid w:val="556C60B3"/>
    <w:rsid w:val="55EF7972"/>
    <w:rsid w:val="561A74D1"/>
    <w:rsid w:val="565A7F33"/>
    <w:rsid w:val="568850AA"/>
    <w:rsid w:val="57283E0B"/>
    <w:rsid w:val="574A1DC1"/>
    <w:rsid w:val="57A16150"/>
    <w:rsid w:val="57C00B06"/>
    <w:rsid w:val="58021570"/>
    <w:rsid w:val="580E5197"/>
    <w:rsid w:val="582C16A6"/>
    <w:rsid w:val="582F247B"/>
    <w:rsid w:val="5831455A"/>
    <w:rsid w:val="5863030F"/>
    <w:rsid w:val="58E93DFA"/>
    <w:rsid w:val="58F52B38"/>
    <w:rsid w:val="5906339C"/>
    <w:rsid w:val="592616D2"/>
    <w:rsid w:val="59341B00"/>
    <w:rsid w:val="59DE0E81"/>
    <w:rsid w:val="59F55223"/>
    <w:rsid w:val="59FF35B4"/>
    <w:rsid w:val="5A9E4C3C"/>
    <w:rsid w:val="5AE470AA"/>
    <w:rsid w:val="5AF2051E"/>
    <w:rsid w:val="5AF57202"/>
    <w:rsid w:val="5B2B34B2"/>
    <w:rsid w:val="5B301727"/>
    <w:rsid w:val="5B5A5DEF"/>
    <w:rsid w:val="5BB41608"/>
    <w:rsid w:val="5BC56904"/>
    <w:rsid w:val="5C0A6E8C"/>
    <w:rsid w:val="5CA9096B"/>
    <w:rsid w:val="5CCE6D02"/>
    <w:rsid w:val="5CEC2D02"/>
    <w:rsid w:val="5D16383F"/>
    <w:rsid w:val="5D2353DA"/>
    <w:rsid w:val="5D2F1D61"/>
    <w:rsid w:val="5DA14B7B"/>
    <w:rsid w:val="5DDF7727"/>
    <w:rsid w:val="5E2A2B5D"/>
    <w:rsid w:val="5E8E347A"/>
    <w:rsid w:val="5F2438BB"/>
    <w:rsid w:val="5F4257D5"/>
    <w:rsid w:val="5F6D531F"/>
    <w:rsid w:val="5FAE2505"/>
    <w:rsid w:val="5FB33563"/>
    <w:rsid w:val="60056797"/>
    <w:rsid w:val="6027437A"/>
    <w:rsid w:val="60291EE3"/>
    <w:rsid w:val="60B453AD"/>
    <w:rsid w:val="61094D40"/>
    <w:rsid w:val="61271980"/>
    <w:rsid w:val="614172DE"/>
    <w:rsid w:val="6160574F"/>
    <w:rsid w:val="62214A74"/>
    <w:rsid w:val="62B40E40"/>
    <w:rsid w:val="630700DA"/>
    <w:rsid w:val="634A4FAD"/>
    <w:rsid w:val="64134CCE"/>
    <w:rsid w:val="64342372"/>
    <w:rsid w:val="643F6C0E"/>
    <w:rsid w:val="64453605"/>
    <w:rsid w:val="646B5BC7"/>
    <w:rsid w:val="646E0A8E"/>
    <w:rsid w:val="64770E73"/>
    <w:rsid w:val="648B18C9"/>
    <w:rsid w:val="64C161CD"/>
    <w:rsid w:val="64CD2937"/>
    <w:rsid w:val="6511265D"/>
    <w:rsid w:val="651C4271"/>
    <w:rsid w:val="655B398A"/>
    <w:rsid w:val="65A8181D"/>
    <w:rsid w:val="65A836AB"/>
    <w:rsid w:val="65A93AD5"/>
    <w:rsid w:val="65BB2FC6"/>
    <w:rsid w:val="662B3EC2"/>
    <w:rsid w:val="66636F9A"/>
    <w:rsid w:val="66786787"/>
    <w:rsid w:val="66A15D14"/>
    <w:rsid w:val="66A4629C"/>
    <w:rsid w:val="66B25BAB"/>
    <w:rsid w:val="679F4E53"/>
    <w:rsid w:val="6808013C"/>
    <w:rsid w:val="68490BA5"/>
    <w:rsid w:val="685305E5"/>
    <w:rsid w:val="6872092B"/>
    <w:rsid w:val="68A320F0"/>
    <w:rsid w:val="68B11D24"/>
    <w:rsid w:val="68C10A03"/>
    <w:rsid w:val="68FB5567"/>
    <w:rsid w:val="691702F9"/>
    <w:rsid w:val="692E7F1E"/>
    <w:rsid w:val="69430A4C"/>
    <w:rsid w:val="695A32F7"/>
    <w:rsid w:val="69625FE3"/>
    <w:rsid w:val="698C6D71"/>
    <w:rsid w:val="6A242849"/>
    <w:rsid w:val="6A496830"/>
    <w:rsid w:val="6A8F166B"/>
    <w:rsid w:val="6ADF78E5"/>
    <w:rsid w:val="6B0B3C2C"/>
    <w:rsid w:val="6B57739A"/>
    <w:rsid w:val="6B596996"/>
    <w:rsid w:val="6B72636C"/>
    <w:rsid w:val="6B8D0D02"/>
    <w:rsid w:val="6BBB152F"/>
    <w:rsid w:val="6C35079A"/>
    <w:rsid w:val="6C7C2B89"/>
    <w:rsid w:val="6C8143AB"/>
    <w:rsid w:val="6CB30AE5"/>
    <w:rsid w:val="6CE20953"/>
    <w:rsid w:val="6D6F3466"/>
    <w:rsid w:val="6E10608E"/>
    <w:rsid w:val="6E625BD5"/>
    <w:rsid w:val="6E92338D"/>
    <w:rsid w:val="6EA50F15"/>
    <w:rsid w:val="6EDA4A7D"/>
    <w:rsid w:val="6EFA3169"/>
    <w:rsid w:val="6F1218C9"/>
    <w:rsid w:val="6F35142D"/>
    <w:rsid w:val="6F563453"/>
    <w:rsid w:val="6F737876"/>
    <w:rsid w:val="6FE10C9C"/>
    <w:rsid w:val="70157CF8"/>
    <w:rsid w:val="70257F20"/>
    <w:rsid w:val="70375E28"/>
    <w:rsid w:val="70593DDE"/>
    <w:rsid w:val="707375B2"/>
    <w:rsid w:val="70A81A46"/>
    <w:rsid w:val="70CE3BAA"/>
    <w:rsid w:val="7105681E"/>
    <w:rsid w:val="713F3812"/>
    <w:rsid w:val="717C1858"/>
    <w:rsid w:val="71900D99"/>
    <w:rsid w:val="72401A80"/>
    <w:rsid w:val="726603B7"/>
    <w:rsid w:val="7298562B"/>
    <w:rsid w:val="73047240"/>
    <w:rsid w:val="7306587D"/>
    <w:rsid w:val="73403E28"/>
    <w:rsid w:val="73577E87"/>
    <w:rsid w:val="737C78ED"/>
    <w:rsid w:val="74025A20"/>
    <w:rsid w:val="74125278"/>
    <w:rsid w:val="742D6B8B"/>
    <w:rsid w:val="7474619D"/>
    <w:rsid w:val="74DD7D93"/>
    <w:rsid w:val="750300CE"/>
    <w:rsid w:val="75063D16"/>
    <w:rsid w:val="75435570"/>
    <w:rsid w:val="7596318B"/>
    <w:rsid w:val="75F145C2"/>
    <w:rsid w:val="763E2D8B"/>
    <w:rsid w:val="76444DA6"/>
    <w:rsid w:val="765E373E"/>
    <w:rsid w:val="76912AA8"/>
    <w:rsid w:val="76936197"/>
    <w:rsid w:val="76B352E5"/>
    <w:rsid w:val="76BB5179"/>
    <w:rsid w:val="77B42785"/>
    <w:rsid w:val="77FD0061"/>
    <w:rsid w:val="784A497A"/>
    <w:rsid w:val="786E73D3"/>
    <w:rsid w:val="79015EE8"/>
    <w:rsid w:val="790C5439"/>
    <w:rsid w:val="7A2D6D03"/>
    <w:rsid w:val="7A926212"/>
    <w:rsid w:val="7AF15D92"/>
    <w:rsid w:val="7AF244C2"/>
    <w:rsid w:val="7B7968C3"/>
    <w:rsid w:val="7C0D4B58"/>
    <w:rsid w:val="7C1F2672"/>
    <w:rsid w:val="7C32323F"/>
    <w:rsid w:val="7C492337"/>
    <w:rsid w:val="7C5D1F33"/>
    <w:rsid w:val="7C8313D5"/>
    <w:rsid w:val="7C9149ED"/>
    <w:rsid w:val="7C9D0A90"/>
    <w:rsid w:val="7CB1637A"/>
    <w:rsid w:val="7CD82311"/>
    <w:rsid w:val="7CEA6A35"/>
    <w:rsid w:val="7D0564AB"/>
    <w:rsid w:val="7D4444CB"/>
    <w:rsid w:val="7D5052A6"/>
    <w:rsid w:val="7DA912DF"/>
    <w:rsid w:val="7DE50961"/>
    <w:rsid w:val="7DE62533"/>
    <w:rsid w:val="7E1A6070"/>
    <w:rsid w:val="7E351938"/>
    <w:rsid w:val="7E3A462D"/>
    <w:rsid w:val="7E813419"/>
    <w:rsid w:val="7EC74BC9"/>
    <w:rsid w:val="7F0204F0"/>
    <w:rsid w:val="7F06137B"/>
    <w:rsid w:val="7F106C3A"/>
    <w:rsid w:val="7F6E6C48"/>
    <w:rsid w:val="7F88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3"/>
    <w:qFormat/>
    <w:uiPriority w:val="9"/>
    <w:pPr>
      <w:keepNext/>
      <w:keepLines/>
      <w:spacing w:before="340" w:after="330" w:line="578" w:lineRule="auto"/>
      <w:jc w:val="center"/>
      <w:outlineLvl w:val="0"/>
    </w:pPr>
    <w:rPr>
      <w:rFonts w:eastAsia="仿宋_GB2312"/>
      <w:b/>
      <w:bCs/>
      <w:kern w:val="44"/>
      <w:sz w:val="44"/>
      <w:szCs w:val="44"/>
    </w:rPr>
  </w:style>
  <w:style w:type="paragraph" w:styleId="3">
    <w:name w:val="heading 2"/>
    <w:basedOn w:val="1"/>
    <w:next w:val="1"/>
    <w:link w:val="49"/>
    <w:qFormat/>
    <w:uiPriority w:val="9"/>
    <w:pPr>
      <w:keepNext/>
      <w:keepLines/>
      <w:spacing w:before="260" w:after="260" w:line="400" w:lineRule="exact"/>
      <w:outlineLvl w:val="1"/>
    </w:pPr>
    <w:rPr>
      <w:rFonts w:ascii="Arial" w:hAnsi="Arial" w:eastAsia="黑体"/>
      <w:b/>
      <w:bCs/>
      <w:sz w:val="24"/>
      <w:szCs w:val="32"/>
    </w:rPr>
  </w:style>
  <w:style w:type="paragraph" w:styleId="4">
    <w:name w:val="heading 3"/>
    <w:basedOn w:val="1"/>
    <w:next w:val="1"/>
    <w:link w:val="64"/>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13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13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3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5"/>
    <w:qFormat/>
    <w:uiPriority w:val="0"/>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7">
    <w:name w:val="Normal Indent"/>
    <w:basedOn w:val="1"/>
    <w:link w:val="62"/>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36"/>
    <w:qFormat/>
    <w:uiPriority w:val="0"/>
    <w:pPr>
      <w:shd w:val="clear" w:color="auto" w:fill="000080"/>
    </w:pPr>
  </w:style>
  <w:style w:type="paragraph" w:styleId="15">
    <w:name w:val="annotation text"/>
    <w:basedOn w:val="1"/>
    <w:link w:val="78"/>
    <w:qFormat/>
    <w:uiPriority w:val="0"/>
    <w:pPr>
      <w:jc w:val="left"/>
    </w:pPr>
  </w:style>
  <w:style w:type="paragraph" w:styleId="16">
    <w:name w:val="Body Text 3"/>
    <w:basedOn w:val="1"/>
    <w:link w:val="137"/>
    <w:qFormat/>
    <w:uiPriority w:val="0"/>
    <w:pPr>
      <w:spacing w:line="500" w:lineRule="exact"/>
    </w:pPr>
    <w:rPr>
      <w:b/>
      <w:bCs/>
      <w:sz w:val="24"/>
    </w:rPr>
  </w:style>
  <w:style w:type="paragraph" w:styleId="17">
    <w:name w:val="Body Text"/>
    <w:basedOn w:val="1"/>
    <w:link w:val="138"/>
    <w:qFormat/>
    <w:uiPriority w:val="0"/>
    <w:pPr>
      <w:spacing w:line="380" w:lineRule="exact"/>
    </w:pPr>
    <w:rPr>
      <w:sz w:val="24"/>
    </w:rPr>
  </w:style>
  <w:style w:type="paragraph" w:styleId="18">
    <w:name w:val="Body Text Indent"/>
    <w:basedOn w:val="1"/>
    <w:link w:val="71"/>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1"/>
      </w:numPr>
    </w:pPr>
  </w:style>
  <w:style w:type="paragraph" w:styleId="20">
    <w:name w:val="List 2"/>
    <w:basedOn w:val="1"/>
    <w:qFormat/>
    <w:uiPriority w:val="0"/>
    <w:pPr>
      <w:ind w:left="100" w:leftChars="200" w:hanging="200" w:hangingChars="200"/>
    </w:pPr>
    <w:rPr>
      <w:sz w:val="28"/>
    </w:rPr>
  </w:style>
  <w:style w:type="paragraph" w:styleId="21">
    <w:name w:val="Plain Text"/>
    <w:basedOn w:val="1"/>
    <w:next w:val="1"/>
    <w:link w:val="58"/>
    <w:qFormat/>
    <w:uiPriority w:val="0"/>
    <w:rPr>
      <w:rFonts w:ascii="宋体" w:hAnsi="Courier New" w:cs="Courier New"/>
      <w:szCs w:val="21"/>
    </w:rPr>
  </w:style>
  <w:style w:type="paragraph" w:styleId="22">
    <w:name w:val="Date"/>
    <w:basedOn w:val="1"/>
    <w:next w:val="1"/>
    <w:link w:val="139"/>
    <w:qFormat/>
    <w:uiPriority w:val="0"/>
    <w:pPr>
      <w:ind w:left="100" w:leftChars="2500"/>
    </w:pPr>
    <w:rPr>
      <w:rFonts w:ascii="宋体" w:hAnsi="Courier New" w:cs="Courier New"/>
      <w:szCs w:val="21"/>
    </w:rPr>
  </w:style>
  <w:style w:type="paragraph" w:styleId="23">
    <w:name w:val="Body Text Indent 2"/>
    <w:basedOn w:val="1"/>
    <w:link w:val="140"/>
    <w:qFormat/>
    <w:uiPriority w:val="0"/>
    <w:pPr>
      <w:ind w:firstLine="630"/>
    </w:pPr>
    <w:rPr>
      <w:sz w:val="32"/>
      <w:szCs w:val="20"/>
    </w:rPr>
  </w:style>
  <w:style w:type="paragraph" w:styleId="24">
    <w:name w:val="Balloon Text"/>
    <w:basedOn w:val="1"/>
    <w:link w:val="77"/>
    <w:qFormat/>
    <w:uiPriority w:val="0"/>
    <w:rPr>
      <w:sz w:val="18"/>
      <w:szCs w:val="18"/>
      <w:lang w:val="zh-CN"/>
    </w:rPr>
  </w:style>
  <w:style w:type="paragraph" w:styleId="25">
    <w:name w:val="footer"/>
    <w:basedOn w:val="1"/>
    <w:link w:val="73"/>
    <w:qFormat/>
    <w:uiPriority w:val="99"/>
    <w:pPr>
      <w:tabs>
        <w:tab w:val="center" w:pos="4153"/>
        <w:tab w:val="right" w:pos="8306"/>
      </w:tabs>
      <w:snapToGrid w:val="0"/>
      <w:jc w:val="left"/>
    </w:pPr>
    <w:rPr>
      <w:sz w:val="18"/>
      <w:szCs w:val="18"/>
      <w:lang w:val="zh-CN"/>
    </w:rPr>
  </w:style>
  <w:style w:type="paragraph" w:styleId="26">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76"/>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qFormat/>
    <w:uiPriority w:val="0"/>
    <w:pPr>
      <w:ind w:left="200" w:hanging="200" w:hangingChars="200"/>
    </w:pPr>
    <w:rPr>
      <w:sz w:val="28"/>
    </w:rPr>
  </w:style>
  <w:style w:type="paragraph" w:styleId="30">
    <w:name w:val="footnote text"/>
    <w:qFormat/>
    <w:uiPriority w:val="0"/>
    <w:pPr>
      <w:widowControl w:val="0"/>
      <w:snapToGrid w:val="0"/>
      <w:jc w:val="left"/>
    </w:pPr>
    <w:rPr>
      <w:rFonts w:ascii="Calibri" w:hAnsi="Calibri" w:eastAsia="宋体" w:cs="Times New Roman"/>
      <w:kern w:val="2"/>
      <w:sz w:val="18"/>
      <w:szCs w:val="24"/>
      <w:lang w:val="en-US" w:eastAsia="zh-CN" w:bidi="ar-SA"/>
    </w:rPr>
  </w:style>
  <w:style w:type="paragraph" w:styleId="31">
    <w:name w:val="Body Text Indent 3"/>
    <w:basedOn w:val="1"/>
    <w:link w:val="141"/>
    <w:qFormat/>
    <w:uiPriority w:val="0"/>
    <w:pPr>
      <w:spacing w:after="120"/>
      <w:ind w:left="420" w:leftChars="200"/>
    </w:pPr>
    <w:rPr>
      <w:sz w:val="16"/>
      <w:szCs w:val="16"/>
    </w:rPr>
  </w:style>
  <w:style w:type="paragraph" w:styleId="32">
    <w:name w:val="toc 2"/>
    <w:basedOn w:val="1"/>
    <w:next w:val="1"/>
    <w:qFormat/>
    <w:uiPriority w:val="39"/>
    <w:pPr>
      <w:ind w:left="420" w:leftChars="200"/>
    </w:pPr>
    <w:rPr>
      <w:rFonts w:ascii="Times New Roman" w:hAnsi="Times New Roman" w:eastAsia="宋体" w:cs="Times New Roman"/>
    </w:rPr>
  </w:style>
  <w:style w:type="paragraph" w:styleId="33">
    <w:name w:val="Body Text 2"/>
    <w:basedOn w:val="1"/>
    <w:link w:val="142"/>
    <w:qFormat/>
    <w:uiPriority w:val="0"/>
    <w:pPr>
      <w:spacing w:after="120" w:line="480" w:lineRule="auto"/>
    </w:pPr>
  </w:style>
  <w:style w:type="paragraph" w:styleId="34">
    <w:name w:val="HTML Preformatted"/>
    <w:basedOn w:val="1"/>
    <w:link w:val="1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Title"/>
    <w:basedOn w:val="1"/>
    <w:qFormat/>
    <w:uiPriority w:val="0"/>
    <w:pPr>
      <w:widowControl/>
      <w:kinsoku w:val="0"/>
      <w:autoSpaceDE w:val="0"/>
      <w:autoSpaceDN w:val="0"/>
      <w:adjustRightInd w:val="0"/>
      <w:snapToGrid w:val="0"/>
      <w:spacing w:before="240" w:after="60"/>
      <w:jc w:val="center"/>
      <w:textAlignment w:val="baseline"/>
      <w:outlineLvl w:val="0"/>
    </w:pPr>
    <w:rPr>
      <w:rFonts w:ascii="Arial" w:hAnsi="Arial" w:eastAsia="微软雅黑" w:cs="Arial"/>
      <w:b/>
      <w:snapToGrid w:val="0"/>
      <w:color w:val="000000"/>
      <w:kern w:val="0"/>
      <w:sz w:val="32"/>
      <w:szCs w:val="21"/>
    </w:rPr>
  </w:style>
  <w:style w:type="paragraph" w:styleId="38">
    <w:name w:val="annotation subject"/>
    <w:basedOn w:val="15"/>
    <w:next w:val="15"/>
    <w:link w:val="88"/>
    <w:qFormat/>
    <w:uiPriority w:val="0"/>
    <w:rPr>
      <w:b/>
      <w:bCs/>
    </w:rPr>
  </w:style>
  <w:style w:type="paragraph" w:styleId="39">
    <w:name w:val="Body Text First Indent"/>
    <w:basedOn w:val="17"/>
    <w:qFormat/>
    <w:uiPriority w:val="0"/>
    <w:pPr>
      <w:spacing w:after="120"/>
      <w:ind w:firstLine="420" w:firstLineChars="100"/>
    </w:pPr>
    <w:rPr>
      <w:rFonts w:ascii="宋体"/>
      <w:sz w:val="21"/>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rFonts w:ascii="Times New Roman" w:hAnsi="Times New Roman" w:eastAsia="宋体" w:cs="Times New Roman"/>
      <w:b/>
      <w:bCs/>
    </w:rPr>
  </w:style>
  <w:style w:type="character" w:styleId="44">
    <w:name w:val="page number"/>
    <w:qFormat/>
    <w:uiPriority w:val="0"/>
    <w:rPr>
      <w:rFonts w:ascii="Times New Roman" w:hAnsi="Times New Roman" w:eastAsia="宋体" w:cs="Times New Roman"/>
    </w:rPr>
  </w:style>
  <w:style w:type="character" w:styleId="45">
    <w:name w:val="FollowedHyperlink"/>
    <w:basedOn w:val="42"/>
    <w:unhideWhenUsed/>
    <w:qFormat/>
    <w:uiPriority w:val="99"/>
    <w:rPr>
      <w:color w:val="954F72" w:themeColor="followedHyperlink"/>
      <w:u w:val="single"/>
      <w14:textFill>
        <w14:solidFill>
          <w14:schemeClr w14:val="folHlink"/>
        </w14:solidFill>
      </w14:textFill>
    </w:rPr>
  </w:style>
  <w:style w:type="character" w:styleId="46">
    <w:name w:val="Emphasis"/>
    <w:qFormat/>
    <w:uiPriority w:val="0"/>
    <w:rPr>
      <w:rFonts w:ascii="Times New Roman" w:hAnsi="Times New Roman" w:eastAsia="宋体" w:cs="Times New Roman"/>
      <w:color w:val="CC0033"/>
    </w:rPr>
  </w:style>
  <w:style w:type="character" w:styleId="47">
    <w:name w:val="Hyperlink"/>
    <w:qFormat/>
    <w:uiPriority w:val="99"/>
    <w:rPr>
      <w:rFonts w:ascii="Times New Roman" w:hAnsi="Times New Roman" w:eastAsia="宋体" w:cs="Times New Roman"/>
      <w:color w:val="0000FF"/>
      <w:u w:val="single"/>
    </w:rPr>
  </w:style>
  <w:style w:type="character" w:styleId="48">
    <w:name w:val="annotation reference"/>
    <w:basedOn w:val="42"/>
    <w:qFormat/>
    <w:uiPriority w:val="0"/>
    <w:rPr>
      <w:rFonts w:ascii="Times New Roman" w:hAnsi="Times New Roman" w:eastAsia="宋体" w:cs="Times New Roman"/>
      <w:sz w:val="21"/>
      <w:szCs w:val="21"/>
    </w:rPr>
  </w:style>
  <w:style w:type="character" w:customStyle="1" w:styleId="49">
    <w:name w:val="标题 2 Char"/>
    <w:link w:val="3"/>
    <w:qFormat/>
    <w:uiPriority w:val="9"/>
    <w:rPr>
      <w:rFonts w:ascii="Arial" w:hAnsi="Arial" w:eastAsia="黑体"/>
      <w:b/>
      <w:bCs/>
      <w:kern w:val="2"/>
      <w:sz w:val="24"/>
      <w:szCs w:val="32"/>
    </w:rPr>
  </w:style>
  <w:style w:type="character" w:customStyle="1" w:styleId="50">
    <w:name w:val="标题 1 字符"/>
    <w:link w:val="2"/>
    <w:qFormat/>
    <w:uiPriority w:val="9"/>
    <w:rPr>
      <w:rFonts w:ascii="Times New Roman" w:hAnsi="Times New Roman" w:eastAsia="仿宋_GB2312" w:cs="Times New Roman"/>
      <w:b/>
      <w:bCs/>
      <w:kern w:val="44"/>
      <w:sz w:val="44"/>
      <w:szCs w:val="44"/>
      <w:lang w:val="en-US" w:eastAsia="zh-CN" w:bidi="ar-SA"/>
    </w:rPr>
  </w:style>
  <w:style w:type="paragraph" w:customStyle="1" w:styleId="51">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52">
    <w:name w:val="font21"/>
    <w:qFormat/>
    <w:uiPriority w:val="0"/>
    <w:rPr>
      <w:rFonts w:hint="eastAsia" w:ascii="宋体" w:hAnsi="宋体" w:eastAsia="宋体" w:cs="宋体"/>
      <w:color w:val="000000"/>
      <w:sz w:val="20"/>
      <w:szCs w:val="20"/>
    </w:rPr>
  </w:style>
  <w:style w:type="character" w:customStyle="1" w:styleId="53">
    <w:name w:val="st1"/>
    <w:qFormat/>
    <w:uiPriority w:val="0"/>
    <w:rPr>
      <w:rFonts w:ascii="Times New Roman" w:hAnsi="Times New Roman" w:eastAsia="宋体" w:cs="Times New Roman"/>
    </w:rPr>
  </w:style>
  <w:style w:type="character" w:customStyle="1" w:styleId="54">
    <w:name w:val="ca-2"/>
    <w:qFormat/>
    <w:uiPriority w:val="0"/>
    <w:rPr>
      <w:rFonts w:ascii="Times New Roman" w:hAnsi="Times New Roman" w:eastAsia="宋体" w:cs="Times New Roman"/>
    </w:rPr>
  </w:style>
  <w:style w:type="character" w:customStyle="1" w:styleId="55">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6">
    <w:name w:val="1ji Char"/>
    <w:link w:val="57"/>
    <w:qFormat/>
    <w:uiPriority w:val="0"/>
    <w:rPr>
      <w:rFonts w:ascii="宋体" w:hAnsi="宋体" w:eastAsia="仿宋_GB2312" w:cs="Times New Roman"/>
      <w:b/>
      <w:bCs/>
      <w:kern w:val="44"/>
      <w:sz w:val="36"/>
      <w:szCs w:val="44"/>
      <w:lang w:val="en-US" w:eastAsia="zh-CN" w:bidi="ar-SA"/>
    </w:rPr>
  </w:style>
  <w:style w:type="paragraph" w:customStyle="1" w:styleId="57">
    <w:name w:val="1ji"/>
    <w:basedOn w:val="2"/>
    <w:link w:val="56"/>
    <w:qFormat/>
    <w:uiPriority w:val="0"/>
    <w:pPr>
      <w:keepLines w:val="0"/>
      <w:widowControl/>
      <w:spacing w:before="0" w:after="0" w:line="240" w:lineRule="auto"/>
    </w:pPr>
    <w:rPr>
      <w:rFonts w:ascii="宋体" w:hAnsi="宋体"/>
      <w:sz w:val="36"/>
    </w:rPr>
  </w:style>
  <w:style w:type="character" w:customStyle="1" w:styleId="58">
    <w:name w:val="纯文本 Char"/>
    <w:link w:val="21"/>
    <w:qFormat/>
    <w:uiPriority w:val="0"/>
    <w:rPr>
      <w:rFonts w:ascii="宋体" w:hAnsi="Courier New" w:eastAsia="宋体" w:cs="Courier New"/>
      <w:kern w:val="2"/>
      <w:sz w:val="21"/>
      <w:szCs w:val="21"/>
      <w:lang w:val="en-US" w:eastAsia="zh-CN" w:bidi="ar-SA"/>
    </w:rPr>
  </w:style>
  <w:style w:type="character" w:customStyle="1" w:styleId="59">
    <w:name w:val="font41"/>
    <w:qFormat/>
    <w:uiPriority w:val="0"/>
    <w:rPr>
      <w:rFonts w:hint="default" w:ascii="Times New Roman" w:hAnsi="Times New Roman" w:eastAsia="宋体" w:cs="Times New Roman"/>
      <w:color w:val="000000"/>
      <w:sz w:val="20"/>
      <w:szCs w:val="20"/>
    </w:rPr>
  </w:style>
  <w:style w:type="character" w:customStyle="1" w:styleId="60">
    <w:name w:val="font31"/>
    <w:qFormat/>
    <w:uiPriority w:val="0"/>
    <w:rPr>
      <w:rFonts w:hint="default" w:ascii="Times New Roman" w:hAnsi="Times New Roman" w:eastAsia="宋体" w:cs="Times New Roman"/>
      <w:color w:val="000000"/>
      <w:sz w:val="20"/>
      <w:szCs w:val="20"/>
    </w:rPr>
  </w:style>
  <w:style w:type="character" w:customStyle="1" w:styleId="61">
    <w:name w:val="apple-style-span"/>
    <w:qFormat/>
    <w:uiPriority w:val="0"/>
    <w:rPr>
      <w:rFonts w:ascii="Times New Roman" w:hAnsi="Times New Roman" w:eastAsia="宋体" w:cs="Times New Roman"/>
    </w:rPr>
  </w:style>
  <w:style w:type="character" w:customStyle="1" w:styleId="62">
    <w:name w:val="正文缩进 Char"/>
    <w:link w:val="7"/>
    <w:qFormat/>
    <w:uiPriority w:val="0"/>
    <w:rPr>
      <w:rFonts w:ascii="Times New Roman" w:hAnsi="Times New Roman" w:eastAsia="宋体" w:cs="Times New Roman"/>
      <w:kern w:val="2"/>
      <w:sz w:val="21"/>
      <w:lang w:val="en-US" w:eastAsia="zh-CN" w:bidi="ar-SA"/>
    </w:rPr>
  </w:style>
  <w:style w:type="character" w:customStyle="1" w:styleId="63">
    <w:name w:val="font51"/>
    <w:qFormat/>
    <w:uiPriority w:val="0"/>
    <w:rPr>
      <w:rFonts w:hint="default" w:ascii="Times New Roman" w:hAnsi="Times New Roman" w:eastAsia="宋体" w:cs="Times New Roman"/>
      <w:color w:val="000000"/>
      <w:sz w:val="20"/>
      <w:szCs w:val="20"/>
    </w:rPr>
  </w:style>
  <w:style w:type="character" w:customStyle="1" w:styleId="64">
    <w:name w:val="标题 3 Char"/>
    <w:link w:val="4"/>
    <w:qFormat/>
    <w:uiPriority w:val="0"/>
    <w:rPr>
      <w:rFonts w:ascii="Times New Roman" w:hAnsi="Times New Roman" w:eastAsia="宋体" w:cs="Times New Roman"/>
      <w:b/>
      <w:bCs/>
      <w:kern w:val="2"/>
      <w:sz w:val="32"/>
      <w:szCs w:val="32"/>
      <w:lang w:val="en-US" w:eastAsia="zh-CN" w:bidi="ar-SA"/>
    </w:rPr>
  </w:style>
  <w:style w:type="character" w:customStyle="1" w:styleId="65">
    <w:name w:val="apple-converted-space"/>
    <w:qFormat/>
    <w:uiPriority w:val="0"/>
    <w:rPr>
      <w:rFonts w:ascii="Times New Roman" w:hAnsi="Times New Roman" w:eastAsia="宋体" w:cs="Times New Roman"/>
    </w:rPr>
  </w:style>
  <w:style w:type="character" w:customStyle="1" w:styleId="66">
    <w:name w:val="Header Char"/>
    <w:qFormat/>
    <w:uiPriority w:val="0"/>
    <w:rPr>
      <w:rFonts w:ascii="Calibri" w:hAnsi="Calibri" w:eastAsia="宋体" w:cs="Times New Roman"/>
      <w:kern w:val="2"/>
      <w:sz w:val="18"/>
      <w:szCs w:val="18"/>
      <w:lang w:val="en-US" w:eastAsia="zh-CN" w:bidi="ar-SA"/>
    </w:rPr>
  </w:style>
  <w:style w:type="character" w:customStyle="1" w:styleId="67">
    <w:name w:val="Footer Char"/>
    <w:qFormat/>
    <w:uiPriority w:val="0"/>
    <w:rPr>
      <w:rFonts w:ascii="Calibri" w:hAnsi="Calibri" w:eastAsia="宋体" w:cs="Times New Roman"/>
      <w:kern w:val="2"/>
      <w:sz w:val="18"/>
      <w:szCs w:val="18"/>
      <w:lang w:val="en-US" w:eastAsia="zh-CN" w:bidi="ar-SA"/>
    </w:rPr>
  </w:style>
  <w:style w:type="character" w:customStyle="1" w:styleId="68">
    <w:name w:val="Plain Text Char"/>
    <w:qFormat/>
    <w:uiPriority w:val="0"/>
    <w:rPr>
      <w:rFonts w:ascii="宋体" w:hAnsi="Courier New" w:eastAsia="宋体" w:cs="Times New Roman"/>
      <w:lang w:bidi="ar-SA"/>
    </w:rPr>
  </w:style>
  <w:style w:type="character" w:customStyle="1" w:styleId="69">
    <w:name w:val="普通文字 Char Char3"/>
    <w:qFormat/>
    <w:uiPriority w:val="0"/>
    <w:rPr>
      <w:rFonts w:ascii="宋体" w:hAnsi="Times New Roman" w:eastAsia="宋体" w:cs="Courier New"/>
      <w:kern w:val="2"/>
      <w:sz w:val="21"/>
      <w:szCs w:val="21"/>
      <w:lang w:val="en-US" w:eastAsia="zh-CN" w:bidi="ar-SA"/>
    </w:rPr>
  </w:style>
  <w:style w:type="character" w:customStyle="1" w:styleId="70">
    <w:name w:val="样式 正文 +"/>
    <w:qFormat/>
    <w:uiPriority w:val="0"/>
    <w:rPr>
      <w:rFonts w:ascii="Times New Roman" w:hAnsi="Times New Roman" w:eastAsia="宋体" w:cs="Times New Roman"/>
      <w:kern w:val="0"/>
      <w:sz w:val="28"/>
    </w:rPr>
  </w:style>
  <w:style w:type="character" w:customStyle="1" w:styleId="71">
    <w:name w:val="正文文本缩进 Char"/>
    <w:link w:val="18"/>
    <w:qFormat/>
    <w:uiPriority w:val="0"/>
    <w:rPr>
      <w:rFonts w:ascii="仿宋_GB2312" w:hAnsi="Times New Roman" w:eastAsia="仿宋_GB2312" w:cs="Times New Roman"/>
      <w:kern w:val="2"/>
      <w:sz w:val="32"/>
      <w:lang w:val="en-US" w:eastAsia="zh-CN" w:bidi="ar-SA"/>
    </w:rPr>
  </w:style>
  <w:style w:type="character" w:customStyle="1" w:styleId="72">
    <w:name w:val="普通文字 Char Char2"/>
    <w:qFormat/>
    <w:uiPriority w:val="0"/>
    <w:rPr>
      <w:rFonts w:ascii="宋体" w:hAnsi="Courier New" w:eastAsia="宋体" w:cs="Times New Roman"/>
      <w:kern w:val="2"/>
      <w:sz w:val="21"/>
      <w:lang w:val="en-US" w:eastAsia="zh-CN" w:bidi="ar-SA"/>
    </w:rPr>
  </w:style>
  <w:style w:type="character" w:customStyle="1" w:styleId="73">
    <w:name w:val="页脚 Char"/>
    <w:link w:val="25"/>
    <w:qFormat/>
    <w:uiPriority w:val="99"/>
    <w:rPr>
      <w:rFonts w:ascii="Times New Roman" w:hAnsi="Times New Roman" w:eastAsia="宋体" w:cs="Times New Roman"/>
      <w:kern w:val="2"/>
      <w:sz w:val="18"/>
      <w:szCs w:val="18"/>
    </w:rPr>
  </w:style>
  <w:style w:type="character" w:customStyle="1" w:styleId="74">
    <w:name w:val="样式 宋体 小四"/>
    <w:qFormat/>
    <w:uiPriority w:val="0"/>
    <w:rPr>
      <w:rFonts w:ascii="宋体" w:hAnsi="宋体" w:eastAsia="宋体" w:cs="Times New Roman"/>
      <w:sz w:val="24"/>
    </w:rPr>
  </w:style>
  <w:style w:type="character" w:customStyle="1" w:styleId="75">
    <w:name w:val="页眉 Char"/>
    <w:link w:val="26"/>
    <w:qFormat/>
    <w:uiPriority w:val="99"/>
    <w:rPr>
      <w:rFonts w:ascii="Times New Roman" w:hAnsi="Times New Roman" w:eastAsia="宋体" w:cs="Times New Roman"/>
      <w:kern w:val="2"/>
      <w:sz w:val="18"/>
      <w:szCs w:val="18"/>
      <w:lang w:val="en-US" w:eastAsia="zh-CN" w:bidi="ar-SA"/>
    </w:rPr>
  </w:style>
  <w:style w:type="character" w:customStyle="1" w:styleId="76">
    <w:name w:val="副标题 Char"/>
    <w:link w:val="28"/>
    <w:qFormat/>
    <w:uiPriority w:val="0"/>
    <w:rPr>
      <w:rFonts w:ascii="Cambria" w:hAnsi="Cambria" w:eastAsia="宋体" w:cs="Times New Roman"/>
      <w:b/>
      <w:bCs/>
      <w:kern w:val="28"/>
      <w:sz w:val="28"/>
      <w:szCs w:val="32"/>
      <w:lang w:val="en-US" w:eastAsia="zh-CN" w:bidi="ar-SA"/>
    </w:rPr>
  </w:style>
  <w:style w:type="character" w:customStyle="1" w:styleId="77">
    <w:name w:val="批注框文本 Char"/>
    <w:link w:val="24"/>
    <w:qFormat/>
    <w:uiPriority w:val="0"/>
    <w:rPr>
      <w:rFonts w:ascii="Times New Roman" w:hAnsi="Times New Roman" w:eastAsia="宋体" w:cs="Times New Roman"/>
      <w:kern w:val="2"/>
      <w:sz w:val="18"/>
      <w:szCs w:val="18"/>
    </w:rPr>
  </w:style>
  <w:style w:type="character" w:customStyle="1" w:styleId="78">
    <w:name w:val="批注文字 Char"/>
    <w:link w:val="15"/>
    <w:qFormat/>
    <w:uiPriority w:val="0"/>
    <w:rPr>
      <w:rFonts w:ascii="Times New Roman" w:hAnsi="Times New Roman" w:eastAsia="宋体" w:cs="Times New Roman"/>
      <w:kern w:val="2"/>
      <w:sz w:val="21"/>
      <w:szCs w:val="24"/>
      <w:lang w:val="en-US" w:eastAsia="zh-CN" w:bidi="ar-SA"/>
    </w:rPr>
  </w:style>
  <w:style w:type="character" w:customStyle="1" w:styleId="79">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80">
    <w:name w:val="ca-1"/>
    <w:qFormat/>
    <w:uiPriority w:val="0"/>
    <w:rPr>
      <w:rFonts w:ascii="Times New Roman" w:hAnsi="Times New Roman" w:eastAsia="宋体" w:cs="Times New Roman"/>
    </w:rPr>
  </w:style>
  <w:style w:type="character" w:customStyle="1" w:styleId="81">
    <w:name w:val="正文360首行缩进 Char"/>
    <w:link w:val="82"/>
    <w:qFormat/>
    <w:uiPriority w:val="0"/>
    <w:rPr>
      <w:rFonts w:ascii="Times New Roman" w:hAnsi="Times New Roman" w:eastAsia="宋体" w:cs="Times New Roman"/>
      <w:sz w:val="24"/>
      <w:szCs w:val="24"/>
    </w:rPr>
  </w:style>
  <w:style w:type="paragraph" w:customStyle="1" w:styleId="82">
    <w:name w:val="正文360首行缩进"/>
    <w:basedOn w:val="1"/>
    <w:link w:val="81"/>
    <w:qFormat/>
    <w:uiPriority w:val="0"/>
    <w:pPr>
      <w:widowControl/>
      <w:spacing w:before="120" w:line="300" w:lineRule="auto"/>
      <w:ind w:firstLine="200"/>
      <w:jc w:val="left"/>
    </w:pPr>
    <w:rPr>
      <w:kern w:val="0"/>
      <w:sz w:val="24"/>
    </w:rPr>
  </w:style>
  <w:style w:type="character" w:customStyle="1" w:styleId="83">
    <w:name w:val="List Paragraph Char"/>
    <w:link w:val="84"/>
    <w:qFormat/>
    <w:locked/>
    <w:uiPriority w:val="0"/>
    <w:rPr>
      <w:rFonts w:ascii="宋体" w:hAnsi="宋体" w:cs="宋体"/>
      <w:sz w:val="24"/>
      <w:szCs w:val="24"/>
    </w:rPr>
  </w:style>
  <w:style w:type="paragraph" w:customStyle="1" w:styleId="84">
    <w:name w:val="列表段落1"/>
    <w:basedOn w:val="1"/>
    <w:link w:val="83"/>
    <w:qFormat/>
    <w:uiPriority w:val="0"/>
    <w:pPr>
      <w:widowControl/>
      <w:ind w:firstLine="420" w:firstLineChars="200"/>
      <w:jc w:val="left"/>
    </w:pPr>
    <w:rPr>
      <w:rFonts w:ascii="宋体" w:hAnsi="宋体"/>
      <w:kern w:val="0"/>
      <w:sz w:val="24"/>
      <w:lang w:val="zh-CN"/>
    </w:rPr>
  </w:style>
  <w:style w:type="character" w:customStyle="1" w:styleId="85">
    <w:name w:val="yyii"/>
    <w:qFormat/>
    <w:uiPriority w:val="0"/>
    <w:rPr>
      <w:rFonts w:ascii="Times New Roman" w:hAnsi="Times New Roman" w:eastAsia="宋体" w:cs="Times New Roman"/>
    </w:rPr>
  </w:style>
  <w:style w:type="character" w:customStyle="1" w:styleId="86">
    <w:name w:val="纯文本 Char1"/>
    <w:qFormat/>
    <w:uiPriority w:val="0"/>
    <w:rPr>
      <w:rFonts w:ascii="宋体" w:hAnsi="Courier New" w:eastAsia="宋体" w:cs="Times New Roman"/>
      <w:kern w:val="2"/>
      <w:sz w:val="21"/>
    </w:rPr>
  </w:style>
  <w:style w:type="character" w:customStyle="1" w:styleId="87">
    <w:name w:val="标题 1 Char1"/>
    <w:qFormat/>
    <w:uiPriority w:val="0"/>
    <w:rPr>
      <w:rFonts w:ascii="Times New Roman" w:hAnsi="Times New Roman" w:eastAsia="宋体" w:cs="Times New Roman"/>
      <w:b/>
      <w:bCs/>
      <w:kern w:val="44"/>
      <w:sz w:val="44"/>
      <w:szCs w:val="44"/>
    </w:rPr>
  </w:style>
  <w:style w:type="character" w:customStyle="1" w:styleId="88">
    <w:name w:val="批注主题 Char"/>
    <w:link w:val="38"/>
    <w:qFormat/>
    <w:uiPriority w:val="0"/>
    <w:rPr>
      <w:rFonts w:ascii="Times New Roman" w:hAnsi="Times New Roman" w:eastAsia="宋体" w:cs="Times New Roman"/>
      <w:b/>
      <w:bCs/>
      <w:kern w:val="2"/>
      <w:sz w:val="21"/>
      <w:szCs w:val="24"/>
      <w:lang w:val="en-US" w:eastAsia="zh-CN" w:bidi="ar-SA"/>
    </w:rPr>
  </w:style>
  <w:style w:type="paragraph" w:customStyle="1" w:styleId="89">
    <w:name w:val="目录 11"/>
    <w:basedOn w:val="1"/>
    <w:next w:val="1"/>
    <w:qFormat/>
    <w:uiPriority w:val="39"/>
  </w:style>
  <w:style w:type="paragraph" w:customStyle="1" w:styleId="90">
    <w:name w:val="目录 21"/>
    <w:basedOn w:val="1"/>
    <w:next w:val="1"/>
    <w:qFormat/>
    <w:uiPriority w:val="39"/>
    <w:pPr>
      <w:tabs>
        <w:tab w:val="right" w:leader="dot" w:pos="9402"/>
      </w:tabs>
      <w:ind w:left="718" w:leftChars="200" w:hanging="298" w:hangingChars="142"/>
    </w:pPr>
  </w:style>
  <w:style w:type="paragraph" w:customStyle="1" w:styleId="91">
    <w:name w:val="目录 31"/>
    <w:basedOn w:val="1"/>
    <w:next w:val="1"/>
    <w:qFormat/>
    <w:uiPriority w:val="39"/>
    <w:pPr>
      <w:ind w:left="840" w:leftChars="400"/>
    </w:pPr>
  </w:style>
  <w:style w:type="paragraph" w:customStyle="1" w:styleId="92">
    <w:name w:val="正文首行缩进1"/>
    <w:basedOn w:val="17"/>
    <w:qFormat/>
    <w:uiPriority w:val="0"/>
    <w:pPr>
      <w:spacing w:after="120" w:line="240" w:lineRule="auto"/>
      <w:ind w:firstLine="420" w:firstLineChars="100"/>
    </w:pPr>
    <w:rPr>
      <w:sz w:val="21"/>
    </w:rPr>
  </w:style>
  <w:style w:type="paragraph" w:customStyle="1" w:styleId="93">
    <w:name w:val="Char Char1 Char Char Char Char"/>
    <w:basedOn w:val="14"/>
    <w:qFormat/>
    <w:uiPriority w:val="0"/>
    <w:rPr>
      <w:rFonts w:ascii="Tahoma" w:hAnsi="Tahoma"/>
      <w:sz w:val="24"/>
    </w:rPr>
  </w:style>
  <w:style w:type="paragraph" w:customStyle="1" w:styleId="94">
    <w:name w:val="列出段落1"/>
    <w:basedOn w:val="1"/>
    <w:qFormat/>
    <w:uiPriority w:val="99"/>
    <w:pPr>
      <w:ind w:firstLine="420" w:firstLineChars="200"/>
    </w:pPr>
    <w:rPr>
      <w:rFonts w:ascii="Calibri" w:hAnsi="Calibri"/>
    </w:rPr>
  </w:style>
  <w:style w:type="paragraph" w:customStyle="1" w:styleId="95">
    <w:name w:val="Char Char Char1 Char"/>
    <w:basedOn w:val="14"/>
    <w:qFormat/>
    <w:uiPriority w:val="0"/>
  </w:style>
  <w:style w:type="paragraph" w:customStyle="1" w:styleId="96">
    <w:name w:val="pa-5"/>
    <w:basedOn w:val="1"/>
    <w:qFormat/>
    <w:uiPriority w:val="0"/>
    <w:pPr>
      <w:widowControl/>
      <w:spacing w:before="150" w:after="150"/>
      <w:jc w:val="left"/>
    </w:pPr>
    <w:rPr>
      <w:rFonts w:ascii="宋体" w:hAnsi="宋体" w:cs="宋体"/>
      <w:kern w:val="0"/>
      <w:sz w:val="24"/>
    </w:rPr>
  </w:style>
  <w:style w:type="paragraph" w:customStyle="1" w:styleId="97">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8">
    <w:name w:val="Char Char1 Char Char Char Char1"/>
    <w:basedOn w:val="14"/>
    <w:qFormat/>
    <w:uiPriority w:val="0"/>
    <w:rPr>
      <w:rFonts w:ascii="Tahoma" w:hAnsi="Tahoma"/>
      <w:sz w:val="24"/>
    </w:rPr>
  </w:style>
  <w:style w:type="paragraph" w:customStyle="1" w:styleId="99">
    <w:name w:val="_Style 35"/>
    <w:basedOn w:val="14"/>
    <w:qFormat/>
    <w:uiPriority w:val="0"/>
    <w:pPr>
      <w:widowControl/>
      <w:ind w:firstLine="454"/>
      <w:jc w:val="left"/>
    </w:pPr>
  </w:style>
  <w:style w:type="paragraph" w:customStyle="1" w:styleId="100">
    <w:name w:val="5 Char Char Char Char Char Char Char Char Char Char"/>
    <w:basedOn w:val="1"/>
    <w:qFormat/>
    <w:uiPriority w:val="0"/>
  </w:style>
  <w:style w:type="paragraph" w:customStyle="1" w:styleId="10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2">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3">
    <w:name w:val="默认段落字体 Para Char"/>
    <w:basedOn w:val="1"/>
    <w:qFormat/>
    <w:uiPriority w:val="0"/>
    <w:rPr>
      <w:szCs w:val="20"/>
    </w:rPr>
  </w:style>
  <w:style w:type="paragraph" w:customStyle="1" w:styleId="104">
    <w:name w:val="表格文字"/>
    <w:basedOn w:val="1"/>
    <w:qFormat/>
    <w:uiPriority w:val="0"/>
    <w:pPr>
      <w:spacing w:before="25" w:after="25"/>
      <w:jc w:val="left"/>
    </w:pPr>
    <w:rPr>
      <w:bCs/>
      <w:spacing w:val="10"/>
      <w:kern w:val="0"/>
      <w:sz w:val="24"/>
    </w:rPr>
  </w:style>
  <w:style w:type="paragraph" w:customStyle="1" w:styleId="105">
    <w:name w:val="_Style 7"/>
    <w:basedOn w:val="14"/>
    <w:qFormat/>
    <w:uiPriority w:val="0"/>
  </w:style>
  <w:style w:type="paragraph" w:customStyle="1" w:styleId="10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默认段落字体 Para Char Char Char Char Char Char Char Char Char1 Char Char Char Char"/>
    <w:basedOn w:val="1"/>
    <w:qFormat/>
    <w:uiPriority w:val="0"/>
    <w:rPr>
      <w:rFonts w:ascii="Tahoma" w:hAnsi="Tahoma"/>
      <w:sz w:val="24"/>
      <w:szCs w:val="20"/>
    </w:rPr>
  </w:style>
  <w:style w:type="paragraph" w:customStyle="1" w:styleId="108">
    <w:name w:val="样式 标题 1 + 居中 段前: 0 磅 段后: 0 磅 行距: 固定值 30 磅"/>
    <w:basedOn w:val="2"/>
    <w:qFormat/>
    <w:uiPriority w:val="0"/>
    <w:pPr>
      <w:spacing w:before="0" w:after="0" w:line="600" w:lineRule="exact"/>
    </w:pPr>
    <w:rPr>
      <w:rFonts w:eastAsia="宋体" w:cs="宋体"/>
      <w:szCs w:val="20"/>
    </w:rPr>
  </w:style>
  <w:style w:type="paragraph" w:customStyle="1" w:styleId="109">
    <w:name w:val="样式 小四 行距: 1.5 倍行距"/>
    <w:basedOn w:val="1"/>
    <w:qFormat/>
    <w:uiPriority w:val="0"/>
    <w:pPr>
      <w:spacing w:line="360" w:lineRule="auto"/>
      <w:ind w:firstLine="480" w:firstLineChars="200"/>
    </w:pPr>
    <w:rPr>
      <w:rFonts w:cs="宋体"/>
      <w:sz w:val="24"/>
      <w:szCs w:val="20"/>
    </w:rPr>
  </w:style>
  <w:style w:type="paragraph" w:customStyle="1" w:styleId="110">
    <w:name w:val="p0"/>
    <w:basedOn w:val="1"/>
    <w:qFormat/>
    <w:uiPriority w:val="0"/>
    <w:pPr>
      <w:widowControl/>
    </w:pPr>
    <w:rPr>
      <w:rFonts w:ascii="宋体" w:hAnsi="宋体" w:cs="宋体"/>
      <w:kern w:val="0"/>
      <w:szCs w:val="21"/>
    </w:rPr>
  </w:style>
  <w:style w:type="paragraph" w:customStyle="1" w:styleId="111">
    <w:name w:val="Char Char Char Char Char Char Char Char Char Char Char Char"/>
    <w:basedOn w:val="1"/>
    <w:qFormat/>
    <w:uiPriority w:val="0"/>
    <w:pPr>
      <w:widowControl/>
      <w:spacing w:after="160" w:line="240" w:lineRule="exact"/>
      <w:jc w:val="left"/>
    </w:pPr>
  </w:style>
  <w:style w:type="paragraph" w:customStyle="1" w:styleId="112">
    <w:name w:val="Char Char Char1 Char1"/>
    <w:basedOn w:val="1"/>
    <w:qFormat/>
    <w:uiPriority w:val="0"/>
    <w:rPr>
      <w:rFonts w:ascii="Calibri" w:hAnsi="Calibri"/>
      <w:szCs w:val="22"/>
    </w:rPr>
  </w:style>
  <w:style w:type="paragraph" w:customStyle="1" w:styleId="113">
    <w:name w:val="Char Char Char Char Char Char Char"/>
    <w:basedOn w:val="1"/>
    <w:qFormat/>
    <w:uiPriority w:val="0"/>
  </w:style>
  <w:style w:type="paragraph" w:customStyle="1" w:styleId="114">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5">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6">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8">
    <w:name w:val="Char"/>
    <w:basedOn w:val="14"/>
    <w:qFormat/>
    <w:uiPriority w:val="0"/>
    <w:pPr>
      <w:widowControl/>
      <w:ind w:firstLine="454"/>
      <w:jc w:val="left"/>
    </w:pPr>
    <w:rPr>
      <w:rFonts w:ascii="Tahoma" w:hAnsi="Tahoma" w:cs="宋体"/>
      <w:kern w:val="0"/>
      <w:sz w:val="24"/>
      <w:szCs w:val="20"/>
    </w:rPr>
  </w:style>
  <w:style w:type="paragraph" w:customStyle="1" w:styleId="119">
    <w:name w:val="Char1"/>
    <w:basedOn w:val="14"/>
    <w:qFormat/>
    <w:uiPriority w:val="0"/>
    <w:pPr>
      <w:widowControl/>
      <w:ind w:firstLine="454"/>
      <w:jc w:val="left"/>
    </w:pPr>
    <w:rPr>
      <w:rFonts w:ascii="Tahoma" w:hAnsi="Tahoma" w:cs="宋体"/>
      <w:kern w:val="0"/>
      <w:sz w:val="24"/>
      <w:szCs w:val="20"/>
    </w:rPr>
  </w:style>
  <w:style w:type="paragraph" w:customStyle="1" w:styleId="120">
    <w:name w:val="1"/>
    <w:basedOn w:val="1"/>
    <w:next w:val="21"/>
    <w:qFormat/>
    <w:uiPriority w:val="0"/>
    <w:rPr>
      <w:rFonts w:ascii="宋体" w:hAnsi="Courier New"/>
      <w:szCs w:val="20"/>
    </w:rPr>
  </w:style>
  <w:style w:type="paragraph" w:customStyle="1" w:styleId="121">
    <w:name w:val="_Style 2"/>
    <w:basedOn w:val="1"/>
    <w:qFormat/>
    <w:uiPriority w:val="0"/>
    <w:pPr>
      <w:ind w:firstLine="420" w:firstLineChars="200"/>
    </w:pPr>
  </w:style>
  <w:style w:type="paragraph" w:customStyle="1" w:styleId="122">
    <w:name w:val="正文段"/>
    <w:basedOn w:val="1"/>
    <w:qFormat/>
    <w:uiPriority w:val="0"/>
    <w:pPr>
      <w:widowControl/>
      <w:snapToGrid w:val="0"/>
      <w:spacing w:afterLines="50"/>
      <w:ind w:firstLine="200" w:firstLineChars="200"/>
    </w:pPr>
    <w:rPr>
      <w:kern w:val="0"/>
      <w:sz w:val="24"/>
      <w:szCs w:val="20"/>
    </w:rPr>
  </w:style>
  <w:style w:type="paragraph" w:customStyle="1" w:styleId="123">
    <w:name w:val="列出段落2"/>
    <w:basedOn w:val="1"/>
    <w:qFormat/>
    <w:uiPriority w:val="34"/>
    <w:pPr>
      <w:ind w:firstLine="420" w:firstLineChars="200"/>
    </w:pPr>
    <w:rPr>
      <w:rFonts w:ascii="Calibri" w:hAnsi="Calibri"/>
      <w:szCs w:val="22"/>
    </w:rPr>
  </w:style>
  <w:style w:type="paragraph" w:customStyle="1" w:styleId="124">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5">
    <w:name w:val="未处理的提及1"/>
    <w:basedOn w:val="42"/>
    <w:unhideWhenUsed/>
    <w:qFormat/>
    <w:uiPriority w:val="99"/>
    <w:rPr>
      <w:color w:val="605E5C"/>
      <w:shd w:val="clear" w:color="auto" w:fill="E1DFDD"/>
    </w:rPr>
  </w:style>
  <w:style w:type="character" w:customStyle="1" w:styleId="126">
    <w:name w:val="font81"/>
    <w:basedOn w:val="42"/>
    <w:qFormat/>
    <w:uiPriority w:val="0"/>
    <w:rPr>
      <w:rFonts w:hint="eastAsia" w:ascii="宋体" w:hAnsi="宋体" w:eastAsia="宋体" w:cs="宋体"/>
      <w:color w:val="000000"/>
      <w:sz w:val="18"/>
      <w:szCs w:val="18"/>
      <w:u w:val="none"/>
    </w:rPr>
  </w:style>
  <w:style w:type="paragraph" w:customStyle="1" w:styleId="127">
    <w:name w:val="List Paragraph"/>
    <w:basedOn w:val="1"/>
    <w:qFormat/>
    <w:uiPriority w:val="34"/>
    <w:pPr>
      <w:ind w:firstLine="420" w:firstLineChars="200"/>
    </w:pPr>
  </w:style>
  <w:style w:type="character" w:customStyle="1" w:styleId="128">
    <w:name w:val="未处理的提及2"/>
    <w:basedOn w:val="42"/>
    <w:unhideWhenUsed/>
    <w:qFormat/>
    <w:uiPriority w:val="99"/>
    <w:rPr>
      <w:color w:val="605E5C"/>
      <w:shd w:val="clear" w:color="auto" w:fill="E1DFDD"/>
    </w:rPr>
  </w:style>
  <w:style w:type="character" w:customStyle="1" w:styleId="129">
    <w:name w:val="纯文本 字符1"/>
    <w:qFormat/>
    <w:uiPriority w:val="0"/>
    <w:rPr>
      <w:rFonts w:ascii="宋体" w:hAnsi="Courier New" w:eastAsia="宋体" w:cs="Courier New"/>
      <w:kern w:val="2"/>
      <w:sz w:val="21"/>
      <w:szCs w:val="21"/>
      <w:lang w:val="en-US" w:eastAsia="zh-CN" w:bidi="ar-SA"/>
    </w:rPr>
  </w:style>
  <w:style w:type="paragraph" w:customStyle="1" w:styleId="130">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31">
    <w:name w:val="标题 5 Char"/>
    <w:basedOn w:val="42"/>
    <w:link w:val="6"/>
    <w:qFormat/>
    <w:uiPriority w:val="0"/>
    <w:rPr>
      <w:b/>
      <w:kern w:val="2"/>
      <w:sz w:val="28"/>
      <w:szCs w:val="24"/>
    </w:rPr>
  </w:style>
  <w:style w:type="character" w:customStyle="1" w:styleId="132">
    <w:name w:val="标题 6 Char"/>
    <w:basedOn w:val="42"/>
    <w:link w:val="8"/>
    <w:qFormat/>
    <w:uiPriority w:val="0"/>
    <w:rPr>
      <w:rFonts w:ascii="Arial" w:hAnsi="Arial" w:eastAsia="黑体"/>
      <w:b/>
      <w:kern w:val="2"/>
      <w:sz w:val="24"/>
      <w:szCs w:val="24"/>
    </w:rPr>
  </w:style>
  <w:style w:type="character" w:customStyle="1" w:styleId="133">
    <w:name w:val="标题 7 Char"/>
    <w:basedOn w:val="42"/>
    <w:link w:val="9"/>
    <w:qFormat/>
    <w:uiPriority w:val="0"/>
    <w:rPr>
      <w:b/>
      <w:kern w:val="2"/>
      <w:sz w:val="24"/>
      <w:szCs w:val="24"/>
    </w:rPr>
  </w:style>
  <w:style w:type="character" w:customStyle="1" w:styleId="134">
    <w:name w:val="标题 8 Char"/>
    <w:basedOn w:val="42"/>
    <w:link w:val="10"/>
    <w:qFormat/>
    <w:uiPriority w:val="0"/>
    <w:rPr>
      <w:rFonts w:ascii="Arial" w:hAnsi="Arial" w:eastAsia="黑体"/>
      <w:kern w:val="2"/>
      <w:sz w:val="24"/>
      <w:szCs w:val="24"/>
    </w:rPr>
  </w:style>
  <w:style w:type="character" w:customStyle="1" w:styleId="135">
    <w:name w:val="标题 9 Char"/>
    <w:basedOn w:val="42"/>
    <w:link w:val="11"/>
    <w:qFormat/>
    <w:uiPriority w:val="0"/>
    <w:rPr>
      <w:rFonts w:ascii="Arial" w:hAnsi="Arial" w:eastAsia="黑体"/>
      <w:kern w:val="2"/>
      <w:sz w:val="21"/>
      <w:szCs w:val="24"/>
    </w:rPr>
  </w:style>
  <w:style w:type="character" w:customStyle="1" w:styleId="136">
    <w:name w:val="文档结构图 Char"/>
    <w:basedOn w:val="42"/>
    <w:link w:val="14"/>
    <w:qFormat/>
    <w:uiPriority w:val="0"/>
    <w:rPr>
      <w:kern w:val="2"/>
      <w:sz w:val="21"/>
      <w:szCs w:val="24"/>
      <w:shd w:val="clear" w:color="auto" w:fill="000080"/>
    </w:rPr>
  </w:style>
  <w:style w:type="character" w:customStyle="1" w:styleId="137">
    <w:name w:val="正文文本 3 Char"/>
    <w:basedOn w:val="42"/>
    <w:link w:val="16"/>
    <w:qFormat/>
    <w:uiPriority w:val="0"/>
    <w:rPr>
      <w:b/>
      <w:bCs/>
      <w:kern w:val="2"/>
      <w:sz w:val="24"/>
      <w:szCs w:val="24"/>
    </w:rPr>
  </w:style>
  <w:style w:type="character" w:customStyle="1" w:styleId="138">
    <w:name w:val="正文文本 Char"/>
    <w:basedOn w:val="42"/>
    <w:link w:val="17"/>
    <w:qFormat/>
    <w:uiPriority w:val="0"/>
    <w:rPr>
      <w:kern w:val="2"/>
      <w:sz w:val="24"/>
      <w:szCs w:val="24"/>
    </w:rPr>
  </w:style>
  <w:style w:type="character" w:customStyle="1" w:styleId="139">
    <w:name w:val="日期 Char"/>
    <w:basedOn w:val="42"/>
    <w:link w:val="22"/>
    <w:qFormat/>
    <w:uiPriority w:val="0"/>
    <w:rPr>
      <w:rFonts w:ascii="宋体" w:hAnsi="Courier New" w:cs="Courier New"/>
      <w:kern w:val="2"/>
      <w:sz w:val="21"/>
      <w:szCs w:val="21"/>
    </w:rPr>
  </w:style>
  <w:style w:type="character" w:customStyle="1" w:styleId="140">
    <w:name w:val="正文文本缩进 2 Char"/>
    <w:basedOn w:val="42"/>
    <w:link w:val="23"/>
    <w:qFormat/>
    <w:uiPriority w:val="0"/>
    <w:rPr>
      <w:kern w:val="2"/>
      <w:sz w:val="32"/>
    </w:rPr>
  </w:style>
  <w:style w:type="character" w:customStyle="1" w:styleId="141">
    <w:name w:val="正文文本缩进 3 Char"/>
    <w:basedOn w:val="42"/>
    <w:link w:val="31"/>
    <w:qFormat/>
    <w:uiPriority w:val="0"/>
    <w:rPr>
      <w:kern w:val="2"/>
      <w:sz w:val="16"/>
      <w:szCs w:val="16"/>
    </w:rPr>
  </w:style>
  <w:style w:type="character" w:customStyle="1" w:styleId="142">
    <w:name w:val="正文文本 2 Char"/>
    <w:basedOn w:val="42"/>
    <w:link w:val="33"/>
    <w:qFormat/>
    <w:uiPriority w:val="0"/>
    <w:rPr>
      <w:kern w:val="2"/>
      <w:sz w:val="21"/>
      <w:szCs w:val="24"/>
    </w:rPr>
  </w:style>
  <w:style w:type="character" w:customStyle="1" w:styleId="143">
    <w:name w:val="HTML 预设格式 Char"/>
    <w:basedOn w:val="42"/>
    <w:link w:val="34"/>
    <w:qFormat/>
    <w:uiPriority w:val="0"/>
    <w:rPr>
      <w:rFonts w:ascii="宋体" w:hAnsi="宋体" w:cs="宋体"/>
      <w:sz w:val="24"/>
      <w:szCs w:val="24"/>
    </w:rPr>
  </w:style>
  <w:style w:type="paragraph" w:customStyle="1" w:styleId="14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45">
    <w:name w:val="font122"/>
    <w:basedOn w:val="42"/>
    <w:qFormat/>
    <w:uiPriority w:val="0"/>
    <w:rPr>
      <w:rFonts w:hint="default" w:ascii="Times New Roman" w:hAnsi="Times New Roman" w:cs="Times New Roman"/>
      <w:color w:val="000000"/>
      <w:sz w:val="20"/>
      <w:szCs w:val="20"/>
      <w:u w:val="none"/>
    </w:rPr>
  </w:style>
  <w:style w:type="character" w:customStyle="1" w:styleId="146">
    <w:name w:val="font01"/>
    <w:basedOn w:val="42"/>
    <w:qFormat/>
    <w:uiPriority w:val="0"/>
    <w:rPr>
      <w:rFonts w:hint="eastAsia" w:ascii="宋体" w:hAnsi="宋体" w:eastAsia="宋体" w:cs="宋体"/>
      <w:color w:val="000000"/>
      <w:sz w:val="22"/>
      <w:szCs w:val="22"/>
      <w:u w:val="none"/>
    </w:rPr>
  </w:style>
  <w:style w:type="paragraph" w:customStyle="1" w:styleId="14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Table Paragraph_file_341_file_582"/>
    <w:basedOn w:val="150"/>
    <w:qFormat/>
    <w:uiPriority w:val="1"/>
    <w:pPr>
      <w:autoSpaceDE w:val="0"/>
      <w:autoSpaceDN w:val="0"/>
      <w:adjustRightInd w:val="0"/>
      <w:jc w:val="left"/>
    </w:pPr>
    <w:rPr>
      <w:rFonts w:ascii="黑体" w:eastAsia="黑体" w:cs="黑体"/>
      <w:kern w:val="0"/>
      <w:sz w:val="24"/>
    </w:rPr>
  </w:style>
  <w:style w:type="paragraph" w:customStyle="1" w:styleId="150">
    <w:name w:val="Normal_file_341_file_58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Table Paragraph_file_582"/>
    <w:basedOn w:val="152"/>
    <w:qFormat/>
    <w:uiPriority w:val="1"/>
    <w:pPr>
      <w:kinsoku w:val="0"/>
      <w:overflowPunct w:val="0"/>
      <w:autoSpaceDE w:val="0"/>
      <w:autoSpaceDN w:val="0"/>
      <w:adjustRightInd w:val="0"/>
      <w:spacing w:before="1"/>
      <w:ind w:left="162" w:firstLine="134" w:firstLineChars="56"/>
      <w:jc w:val="left"/>
    </w:pPr>
    <w:rPr>
      <w:rFonts w:ascii="黑体" w:eastAsia="黑体" w:cs="黑体"/>
      <w:kern w:val="0"/>
      <w:sz w:val="24"/>
    </w:rPr>
  </w:style>
  <w:style w:type="paragraph" w:customStyle="1" w:styleId="152">
    <w:name w:val="Normal_file_58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标题 1 Char"/>
    <w:link w:val="2"/>
    <w:qFormat/>
    <w:uiPriority w:val="0"/>
    <w:rPr>
      <w:rFonts w:ascii="Times New Roman" w:hAnsi="Times New Roman" w:eastAsia="宋体"/>
      <w:b/>
      <w:bCs/>
      <w:kern w:val="44"/>
      <w:sz w:val="44"/>
      <w:szCs w:val="44"/>
    </w:rPr>
  </w:style>
  <w:style w:type="character" w:customStyle="1" w:styleId="154">
    <w:name w:val="font71"/>
    <w:qFormat/>
    <w:uiPriority w:val="0"/>
    <w:rPr>
      <w:rFonts w:hint="eastAsia" w:ascii="宋体" w:hAnsi="宋体" w:eastAsia="宋体" w:cs="宋体"/>
      <w:color w:val="000000"/>
      <w:sz w:val="21"/>
      <w:szCs w:val="21"/>
      <w:u w:val="none"/>
    </w:rPr>
  </w:style>
  <w:style w:type="character" w:customStyle="1" w:styleId="155">
    <w:name w:val="font61"/>
    <w:qFormat/>
    <w:uiPriority w:val="0"/>
    <w:rPr>
      <w:rFonts w:hint="default" w:ascii="Times New Roman" w:hAnsi="Times New Roman" w:cs="Times New Roman"/>
      <w:color w:val="000000"/>
      <w:sz w:val="21"/>
      <w:szCs w:val="21"/>
      <w:u w:val="none"/>
    </w:rPr>
  </w:style>
  <w:style w:type="character" w:customStyle="1" w:styleId="156">
    <w:name w:val="font11"/>
    <w:basedOn w:val="4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19753</Words>
  <Characters>21789</Characters>
  <Lines>346</Lines>
  <Paragraphs>97</Paragraphs>
  <TotalTime>2</TotalTime>
  <ScaleCrop>false</ScaleCrop>
  <LinksUpToDate>false</LinksUpToDate>
  <CharactersWithSpaces>22320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2024-06-17T15:53:00Z</dcterms:created>
  <dc:creator>Huang Qian</dc:creator>
  <cp:lastModifiedBy>~猫~石榴</cp:lastModifiedBy>
  <cp:lastPrinted>2025-08-06T02:00:00Z</cp:lastPrinted>
  <dcterms:modified xsi:type="dcterms:W3CDTF">2025-08-18T08:09:52Z</dcterms:modified>
  <dc:title>竞争性谈判文件</dc:title>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EA7D9B6C8894493897239C49CD59965F_13</vt:lpwstr>
  </property>
  <property fmtid="{D5CDD505-2E9C-101B-9397-08002B2CF9AE}" pid="4" name="KSOTemplateDocerSaveRecord">
    <vt:lpwstr>eyJoZGlkIjoiMTM0NGFlOTE5YzM3NmI1Mjk3MTU1YWRiMjQ4ZDZiNGUiLCJ1c2VySWQiOiIxMzM5Mjk0NDEwIn0=</vt:lpwstr>
  </property>
</Properties>
</file>