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561F7">
      <w:pPr>
        <w:rPr>
          <w:color w:val="auto"/>
        </w:rPr>
      </w:pPr>
    </w:p>
    <w:p w14:paraId="163B2C48">
      <w:pPr>
        <w:rPr>
          <w:color w:val="auto"/>
        </w:rPr>
      </w:pPr>
    </w:p>
    <w:p w14:paraId="32A8E484">
      <w:pPr>
        <w:rPr>
          <w:color w:val="auto"/>
        </w:rPr>
      </w:pPr>
    </w:p>
    <w:p w14:paraId="33BDFAC6">
      <w:pPr>
        <w:rPr>
          <w:color w:val="auto"/>
        </w:rPr>
      </w:pPr>
    </w:p>
    <w:p w14:paraId="6FC207B9">
      <w:pPr>
        <w:spacing w:before="156" w:beforeLines="50" w:line="780" w:lineRule="exact"/>
        <w:jc w:val="center"/>
        <w:rPr>
          <w:rFonts w:hint="eastAsia" w:ascii="方正小标宋_GBK" w:hAnsi="黑体" w:eastAsia="方正小标宋_GBK"/>
          <w:b/>
          <w:color w:val="auto"/>
          <w:sz w:val="84"/>
          <w:szCs w:val="84"/>
        </w:rPr>
      </w:pPr>
      <w:r>
        <w:rPr>
          <w:rFonts w:hint="eastAsia" w:ascii="方正小标宋_GBK" w:hAnsi="黑体" w:eastAsia="方正小标宋_GBK"/>
          <w:b/>
          <w:color w:val="auto"/>
          <w:sz w:val="84"/>
          <w:szCs w:val="84"/>
        </w:rPr>
        <w:t>竞争性谈判采购文件</w:t>
      </w:r>
    </w:p>
    <w:p w14:paraId="7FDE38ED">
      <w:pPr>
        <w:rPr>
          <w:color w:val="auto"/>
        </w:rPr>
      </w:pPr>
    </w:p>
    <w:p w14:paraId="447731A5">
      <w:pPr>
        <w:rPr>
          <w:color w:val="auto"/>
        </w:rPr>
      </w:pPr>
    </w:p>
    <w:p w14:paraId="765508B9">
      <w:pPr>
        <w:rPr>
          <w:color w:val="auto"/>
        </w:rPr>
      </w:pPr>
    </w:p>
    <w:p w14:paraId="6F1B1395">
      <w:pPr>
        <w:rPr>
          <w:color w:val="auto"/>
        </w:rPr>
      </w:pPr>
    </w:p>
    <w:p w14:paraId="477D5B68">
      <w:pPr>
        <w:rPr>
          <w:color w:val="auto"/>
        </w:rPr>
      </w:pPr>
    </w:p>
    <w:p w14:paraId="4B08DA0E">
      <w:pPr>
        <w:rPr>
          <w:color w:val="auto"/>
        </w:rPr>
      </w:pPr>
    </w:p>
    <w:p w14:paraId="6355746D">
      <w:pPr>
        <w:rPr>
          <w:color w:val="auto"/>
        </w:rPr>
      </w:pPr>
    </w:p>
    <w:p w14:paraId="452E4C98">
      <w:pPr>
        <w:rPr>
          <w:color w:val="auto"/>
        </w:rPr>
      </w:pPr>
    </w:p>
    <w:p w14:paraId="49F3E03B">
      <w:pPr>
        <w:rPr>
          <w:color w:val="auto"/>
        </w:rPr>
      </w:pPr>
    </w:p>
    <w:p w14:paraId="5BD91F20">
      <w:pPr>
        <w:rPr>
          <w:color w:val="auto"/>
        </w:rPr>
      </w:pPr>
    </w:p>
    <w:p w14:paraId="08B1BA5C">
      <w:pPr>
        <w:rPr>
          <w:color w:val="auto"/>
        </w:rPr>
      </w:pPr>
    </w:p>
    <w:p w14:paraId="0A96DD52">
      <w:pPr>
        <w:rPr>
          <w:color w:val="auto"/>
        </w:rPr>
      </w:pPr>
    </w:p>
    <w:p w14:paraId="4907C960">
      <w:pPr>
        <w:spacing w:line="500" w:lineRule="exact"/>
        <w:ind w:left="2557" w:leftChars="608" w:hanging="1280" w:hangingChars="400"/>
        <w:rPr>
          <w:rFonts w:hint="eastAsia" w:ascii="方正小标宋_GBK" w:hAnsi="微软雅黑" w:eastAsia="方正小标宋_GBK"/>
          <w:color w:val="auto"/>
          <w:sz w:val="32"/>
          <w:szCs w:val="32"/>
          <w:lang w:eastAsia="zh-CN"/>
        </w:rPr>
      </w:pPr>
      <w:r>
        <w:rPr>
          <w:rFonts w:hint="eastAsia" w:ascii="方正小标宋_GBK" w:hAnsi="微软雅黑" w:eastAsia="方正小标宋_GBK"/>
          <w:color w:val="auto"/>
          <w:sz w:val="32"/>
          <w:szCs w:val="32"/>
        </w:rPr>
        <w:t>项目名称:</w:t>
      </w:r>
      <w:r>
        <w:rPr>
          <w:rFonts w:hint="eastAsia" w:ascii="方正小标宋_GBK" w:hAnsi="微软雅黑" w:eastAsia="方正小标宋_GBK"/>
          <w:color w:val="auto"/>
          <w:sz w:val="32"/>
          <w:szCs w:val="32"/>
          <w:lang w:eastAsia="zh-CN"/>
        </w:rPr>
        <w:t>浦北县第一职业技术学校2024年双优建设项目</w:t>
      </w:r>
    </w:p>
    <w:p w14:paraId="54852E4E">
      <w:pPr>
        <w:spacing w:line="500" w:lineRule="exact"/>
        <w:ind w:firstLine="1280" w:firstLineChars="400"/>
        <w:rPr>
          <w:rFonts w:hint="eastAsia" w:ascii="方正小标宋_GBK" w:hAnsi="微软雅黑" w:eastAsia="方正小标宋_GBK"/>
          <w:color w:val="auto"/>
          <w:sz w:val="32"/>
          <w:szCs w:val="32"/>
          <w:lang w:eastAsia="zh-CN"/>
        </w:rPr>
      </w:pPr>
      <w:r>
        <w:rPr>
          <w:rFonts w:hint="eastAsia" w:ascii="方正小标宋_GBK" w:hAnsi="微软雅黑" w:eastAsia="方正小标宋_GBK"/>
          <w:color w:val="auto"/>
          <w:sz w:val="32"/>
          <w:szCs w:val="32"/>
        </w:rPr>
        <w:t>项目编号:</w:t>
      </w:r>
      <w:r>
        <w:rPr>
          <w:rFonts w:hint="eastAsia" w:ascii="方正小标宋_GBK" w:hAnsi="微软雅黑" w:eastAsia="方正小标宋_GBK"/>
          <w:color w:val="auto"/>
          <w:sz w:val="32"/>
          <w:szCs w:val="32"/>
          <w:lang w:eastAsia="zh-CN"/>
        </w:rPr>
        <w:t xml:space="preserve">  QZZC2025-J1-220217-QZSZ</w:t>
      </w:r>
    </w:p>
    <w:p w14:paraId="60E37CEC">
      <w:pPr>
        <w:rPr>
          <w:color w:val="auto"/>
        </w:rPr>
      </w:pPr>
    </w:p>
    <w:p w14:paraId="2AACAF94">
      <w:pPr>
        <w:rPr>
          <w:color w:val="auto"/>
        </w:rPr>
      </w:pPr>
    </w:p>
    <w:p w14:paraId="1F7708CC">
      <w:pPr>
        <w:rPr>
          <w:color w:val="auto"/>
        </w:rPr>
      </w:pPr>
    </w:p>
    <w:p w14:paraId="35334790">
      <w:pPr>
        <w:rPr>
          <w:color w:val="auto"/>
        </w:rPr>
      </w:pPr>
    </w:p>
    <w:p w14:paraId="79B607B0">
      <w:pPr>
        <w:rPr>
          <w:color w:val="auto"/>
        </w:rPr>
      </w:pPr>
    </w:p>
    <w:p w14:paraId="0644A14D">
      <w:pPr>
        <w:rPr>
          <w:color w:val="auto"/>
        </w:rPr>
      </w:pPr>
    </w:p>
    <w:p w14:paraId="381DFB6B">
      <w:pPr>
        <w:rPr>
          <w:color w:val="auto"/>
        </w:rPr>
      </w:pPr>
    </w:p>
    <w:p w14:paraId="6A2B797D">
      <w:pPr>
        <w:rPr>
          <w:color w:val="auto"/>
        </w:rPr>
      </w:pPr>
    </w:p>
    <w:p w14:paraId="79E0EB05">
      <w:pPr>
        <w:rPr>
          <w:color w:val="auto"/>
        </w:rPr>
      </w:pPr>
    </w:p>
    <w:p w14:paraId="3AE93681">
      <w:pPr>
        <w:rPr>
          <w:color w:val="auto"/>
        </w:rPr>
      </w:pPr>
    </w:p>
    <w:p w14:paraId="371055DB">
      <w:pPr>
        <w:rPr>
          <w:color w:val="auto"/>
        </w:rPr>
      </w:pPr>
    </w:p>
    <w:p w14:paraId="5314F881">
      <w:pPr>
        <w:rPr>
          <w:color w:val="auto"/>
        </w:rPr>
      </w:pPr>
    </w:p>
    <w:p w14:paraId="76EDFF1F">
      <w:pPr>
        <w:rPr>
          <w:color w:val="auto"/>
        </w:rPr>
      </w:pPr>
    </w:p>
    <w:p w14:paraId="47F68CAF">
      <w:pPr>
        <w:rPr>
          <w:color w:val="auto"/>
        </w:rPr>
      </w:pPr>
    </w:p>
    <w:p w14:paraId="51F01DF8">
      <w:pPr>
        <w:rPr>
          <w:color w:val="auto"/>
        </w:rPr>
      </w:pPr>
    </w:p>
    <w:p w14:paraId="0EEFF6E5">
      <w:pPr>
        <w:rPr>
          <w:color w:val="auto"/>
        </w:rPr>
      </w:pPr>
    </w:p>
    <w:p w14:paraId="6A1B2EB8">
      <w:pPr>
        <w:rPr>
          <w:color w:val="auto"/>
        </w:rPr>
      </w:pPr>
    </w:p>
    <w:p w14:paraId="45DF679F">
      <w:pPr>
        <w:rPr>
          <w:color w:val="auto"/>
        </w:rPr>
      </w:pPr>
    </w:p>
    <w:p w14:paraId="20B9473C">
      <w:pPr>
        <w:spacing w:line="360" w:lineRule="exact"/>
        <w:jc w:val="center"/>
        <w:rPr>
          <w:rFonts w:hint="eastAsia" w:ascii="方正小标宋_GBK" w:hAnsi="微软雅黑" w:eastAsia="方正小标宋_GBK"/>
          <w:color w:val="auto"/>
          <w:sz w:val="32"/>
          <w:szCs w:val="32"/>
        </w:rPr>
      </w:pPr>
      <w:r>
        <w:rPr>
          <w:rFonts w:hint="eastAsia" w:ascii="方正小标宋_GBK" w:hAnsi="微软雅黑" w:eastAsia="方正小标宋_GBK"/>
          <w:color w:val="auto"/>
          <w:sz w:val="32"/>
          <w:szCs w:val="32"/>
        </w:rPr>
        <w:t>钦州市政府采购中心</w:t>
      </w:r>
    </w:p>
    <w:p w14:paraId="2057F3D9">
      <w:pPr>
        <w:tabs>
          <w:tab w:val="left" w:pos="360"/>
        </w:tabs>
        <w:spacing w:line="440" w:lineRule="exact"/>
        <w:jc w:val="center"/>
        <w:rPr>
          <w:rFonts w:hint="eastAsia" w:ascii="仿宋_GB2312" w:hAnsi="宋体" w:eastAsia="仿宋_GB2312"/>
          <w:color w:val="auto"/>
          <w:sz w:val="32"/>
          <w:szCs w:val="32"/>
        </w:rPr>
      </w:pPr>
      <w:r>
        <w:rPr>
          <w:rFonts w:hint="eastAsia" w:ascii="方正小标宋_GBK" w:hAnsi="微软雅黑" w:eastAsia="方正小标宋_GBK"/>
          <w:color w:val="auto"/>
          <w:sz w:val="32"/>
          <w:szCs w:val="32"/>
        </w:rPr>
        <w:t>202</w:t>
      </w:r>
      <w:r>
        <w:rPr>
          <w:rFonts w:hint="eastAsia" w:ascii="方正小标宋_GBK" w:hAnsi="微软雅黑" w:eastAsia="方正小标宋_GBK"/>
          <w:color w:val="auto"/>
          <w:sz w:val="32"/>
          <w:szCs w:val="32"/>
          <w:lang w:val="en-US" w:eastAsia="zh-CN"/>
        </w:rPr>
        <w:t>5</w:t>
      </w:r>
      <w:r>
        <w:rPr>
          <w:rFonts w:hint="eastAsia" w:ascii="方正小标宋_GBK" w:hAnsi="微软雅黑" w:eastAsia="方正小标宋_GBK"/>
          <w:color w:val="auto"/>
          <w:sz w:val="32"/>
          <w:szCs w:val="32"/>
        </w:rPr>
        <w:t>年</w:t>
      </w:r>
      <w:r>
        <w:rPr>
          <w:rFonts w:hint="eastAsia" w:ascii="方正小标宋_GBK" w:hAnsi="微软雅黑" w:eastAsia="方正小标宋_GBK"/>
          <w:color w:val="auto"/>
          <w:sz w:val="32"/>
          <w:szCs w:val="32"/>
          <w:lang w:val="en-US" w:eastAsia="zh-CN"/>
        </w:rPr>
        <w:t>10</w:t>
      </w:r>
      <w:r>
        <w:rPr>
          <w:rFonts w:hint="eastAsia" w:ascii="方正小标宋_GBK" w:hAnsi="微软雅黑" w:eastAsia="方正小标宋_GBK"/>
          <w:color w:val="auto"/>
          <w:sz w:val="32"/>
          <w:szCs w:val="32"/>
        </w:rPr>
        <w:t>月</w:t>
      </w:r>
    </w:p>
    <w:p w14:paraId="6A7267DD">
      <w:pPr>
        <w:rPr>
          <w:color w:val="auto"/>
        </w:rPr>
      </w:pPr>
    </w:p>
    <w:p w14:paraId="4B191217">
      <w:pPr>
        <w:rPr>
          <w:color w:val="auto"/>
        </w:rPr>
      </w:pPr>
    </w:p>
    <w:p w14:paraId="0271577A">
      <w:pPr>
        <w:spacing w:line="640" w:lineRule="exact"/>
        <w:jc w:val="center"/>
        <w:rPr>
          <w:rFonts w:hint="eastAsia" w:ascii="方正小标宋_GBK" w:hAnsi="宋体" w:eastAsia="方正小标宋_GBK"/>
          <w:b/>
          <w:color w:val="auto"/>
          <w:sz w:val="32"/>
          <w:szCs w:val="32"/>
        </w:rPr>
      </w:pPr>
      <w:r>
        <w:rPr>
          <w:rFonts w:hint="eastAsia" w:ascii="方正小标宋_GBK" w:hAnsi="宋体" w:eastAsia="方正小标宋_GBK"/>
          <w:b/>
          <w:color w:val="auto"/>
          <w:sz w:val="44"/>
          <w:szCs w:val="44"/>
        </w:rPr>
        <w:t>目   录</w:t>
      </w:r>
    </w:p>
    <w:p w14:paraId="3E96720E">
      <w:pPr>
        <w:rPr>
          <w:color w:val="auto"/>
        </w:rPr>
      </w:pPr>
    </w:p>
    <w:p w14:paraId="0B7F6E7C">
      <w:pPr>
        <w:pStyle w:val="27"/>
        <w:tabs>
          <w:tab w:val="right" w:leader="dot" w:pos="9514"/>
        </w:tabs>
        <w:spacing w:line="1000" w:lineRule="exact"/>
        <w:rPr>
          <w:rFonts w:hint="eastAsia" w:asciiTheme="minorHAnsi" w:hAnsiTheme="minorHAnsi" w:eastAsiaTheme="minorEastAsia" w:cstheme="minorBidi"/>
          <w:color w:val="auto"/>
          <w:sz w:val="28"/>
          <w:szCs w:val="28"/>
        </w:rPr>
      </w:pPr>
      <w:bookmarkStart w:id="0" w:name="_Toc354479497"/>
      <w:r>
        <w:rPr>
          <w:rFonts w:hint="eastAsia" w:ascii="方正小标宋_GBK" w:hAnsi="仿宋" w:eastAsia="方正小标宋_GBK"/>
          <w:b/>
          <w:color w:val="auto"/>
          <w:sz w:val="28"/>
          <w:szCs w:val="28"/>
        </w:rPr>
        <w:fldChar w:fldCharType="begin"/>
      </w:r>
      <w:r>
        <w:rPr>
          <w:rFonts w:hint="eastAsia" w:ascii="方正小标宋_GBK" w:hAnsi="仿宋" w:eastAsia="方正小标宋_GBK"/>
          <w:b/>
          <w:color w:val="auto"/>
          <w:sz w:val="28"/>
          <w:szCs w:val="28"/>
        </w:rPr>
        <w:instrText xml:space="preserve"> TOC \o "1-1" \h \z \u </w:instrText>
      </w:r>
      <w:r>
        <w:rPr>
          <w:rFonts w:hint="eastAsia" w:ascii="方正小标宋_GBK" w:hAnsi="仿宋" w:eastAsia="方正小标宋_GBK"/>
          <w:b/>
          <w:color w:val="auto"/>
          <w:sz w:val="28"/>
          <w:szCs w:val="28"/>
        </w:rPr>
        <w:fldChar w:fldCharType="separate"/>
      </w:r>
      <w:r>
        <w:rPr>
          <w:color w:val="auto"/>
        </w:rPr>
        <w:fldChar w:fldCharType="begin"/>
      </w:r>
      <w:r>
        <w:rPr>
          <w:color w:val="auto"/>
        </w:rPr>
        <w:instrText xml:space="preserve"> HYPERLINK \l "_Toc92355023" </w:instrText>
      </w:r>
      <w:r>
        <w:rPr>
          <w:color w:val="auto"/>
        </w:rPr>
        <w:fldChar w:fldCharType="separate"/>
      </w:r>
      <w:r>
        <w:rPr>
          <w:rStyle w:val="44"/>
          <w:rFonts w:ascii="方正小标宋_GBK" w:hAnsi="宋体" w:eastAsia="方正小标宋_GBK"/>
          <w:color w:val="auto"/>
          <w:sz w:val="28"/>
          <w:szCs w:val="28"/>
        </w:rPr>
        <w:t>第一章  竞争性谈判公告</w:t>
      </w:r>
      <w:r>
        <w:rPr>
          <w:color w:val="auto"/>
          <w:sz w:val="28"/>
          <w:szCs w:val="28"/>
        </w:rPr>
        <w:tab/>
      </w:r>
      <w:r>
        <w:rPr>
          <w:color w:val="auto"/>
          <w:sz w:val="28"/>
          <w:szCs w:val="28"/>
        </w:rPr>
        <w:fldChar w:fldCharType="begin"/>
      </w:r>
      <w:r>
        <w:rPr>
          <w:color w:val="auto"/>
          <w:sz w:val="28"/>
          <w:szCs w:val="28"/>
        </w:rPr>
        <w:instrText xml:space="preserve"> PAGEREF _Toc92355023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14:paraId="38DBD90A">
      <w:pPr>
        <w:pStyle w:val="27"/>
        <w:tabs>
          <w:tab w:val="right" w:leader="dot" w:pos="9514"/>
        </w:tabs>
        <w:spacing w:line="1000" w:lineRule="exact"/>
        <w:rPr>
          <w:rFonts w:hint="eastAsia"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"_Toc92355024" </w:instrText>
      </w:r>
      <w:r>
        <w:rPr>
          <w:color w:val="auto"/>
        </w:rPr>
        <w:fldChar w:fldCharType="separate"/>
      </w:r>
      <w:r>
        <w:rPr>
          <w:rStyle w:val="44"/>
          <w:rFonts w:ascii="方正小标宋_GBK" w:hAnsi="宋体" w:eastAsia="方正小标宋_GBK"/>
          <w:color w:val="auto"/>
          <w:sz w:val="28"/>
          <w:szCs w:val="28"/>
        </w:rPr>
        <w:t>第二章  项目需求</w:t>
      </w:r>
      <w:r>
        <w:rPr>
          <w:color w:val="auto"/>
          <w:sz w:val="28"/>
          <w:szCs w:val="28"/>
        </w:rPr>
        <w:tab/>
      </w:r>
      <w:r>
        <w:rPr>
          <w:color w:val="auto"/>
          <w:sz w:val="28"/>
          <w:szCs w:val="28"/>
        </w:rPr>
        <w:fldChar w:fldCharType="begin"/>
      </w:r>
      <w:r>
        <w:rPr>
          <w:color w:val="auto"/>
          <w:sz w:val="28"/>
          <w:szCs w:val="28"/>
        </w:rPr>
        <w:instrText xml:space="preserve"> PAGEREF _Toc92355024 \h </w:instrText>
      </w:r>
      <w:r>
        <w:rPr>
          <w:color w:val="auto"/>
          <w:sz w:val="28"/>
          <w:szCs w:val="28"/>
        </w:rPr>
        <w:fldChar w:fldCharType="separate"/>
      </w:r>
      <w:r>
        <w:rPr>
          <w:color w:val="auto"/>
          <w:sz w:val="28"/>
          <w:szCs w:val="28"/>
        </w:rPr>
        <w:t>7</w:t>
      </w:r>
      <w:r>
        <w:rPr>
          <w:color w:val="auto"/>
          <w:sz w:val="28"/>
          <w:szCs w:val="28"/>
        </w:rPr>
        <w:fldChar w:fldCharType="end"/>
      </w:r>
      <w:r>
        <w:rPr>
          <w:color w:val="auto"/>
          <w:sz w:val="28"/>
          <w:szCs w:val="28"/>
        </w:rPr>
        <w:fldChar w:fldCharType="end"/>
      </w:r>
    </w:p>
    <w:p w14:paraId="704E73EF">
      <w:pPr>
        <w:pStyle w:val="27"/>
        <w:tabs>
          <w:tab w:val="right" w:leader="dot" w:pos="9514"/>
        </w:tabs>
        <w:spacing w:line="1000" w:lineRule="exact"/>
        <w:rPr>
          <w:rFonts w:hint="eastAsia"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"_Toc92355025" </w:instrText>
      </w:r>
      <w:r>
        <w:rPr>
          <w:color w:val="auto"/>
        </w:rPr>
        <w:fldChar w:fldCharType="separate"/>
      </w:r>
      <w:r>
        <w:rPr>
          <w:rStyle w:val="44"/>
          <w:rFonts w:ascii="方正小标宋简体" w:eastAsia="方正小标宋简体"/>
          <w:color w:val="auto"/>
          <w:sz w:val="28"/>
          <w:szCs w:val="28"/>
        </w:rPr>
        <w:t>第三章  供应商须知</w:t>
      </w:r>
      <w:r>
        <w:rPr>
          <w:color w:val="auto"/>
          <w:sz w:val="28"/>
          <w:szCs w:val="28"/>
        </w:rPr>
        <w:tab/>
      </w:r>
      <w:r>
        <w:rPr>
          <w:color w:val="auto"/>
          <w:sz w:val="28"/>
          <w:szCs w:val="28"/>
        </w:rPr>
        <w:fldChar w:fldCharType="begin"/>
      </w:r>
      <w:r>
        <w:rPr>
          <w:color w:val="auto"/>
          <w:sz w:val="28"/>
          <w:szCs w:val="28"/>
        </w:rPr>
        <w:instrText xml:space="preserve"> PAGEREF _Toc92355025 \h </w:instrText>
      </w:r>
      <w:r>
        <w:rPr>
          <w:color w:val="auto"/>
          <w:sz w:val="28"/>
          <w:szCs w:val="28"/>
        </w:rPr>
        <w:fldChar w:fldCharType="separate"/>
      </w:r>
      <w:r>
        <w:rPr>
          <w:color w:val="auto"/>
          <w:sz w:val="28"/>
          <w:szCs w:val="28"/>
        </w:rPr>
        <w:t>56</w:t>
      </w:r>
      <w:r>
        <w:rPr>
          <w:color w:val="auto"/>
          <w:sz w:val="28"/>
          <w:szCs w:val="28"/>
        </w:rPr>
        <w:fldChar w:fldCharType="end"/>
      </w:r>
      <w:r>
        <w:rPr>
          <w:color w:val="auto"/>
          <w:sz w:val="28"/>
          <w:szCs w:val="28"/>
        </w:rPr>
        <w:fldChar w:fldCharType="end"/>
      </w:r>
    </w:p>
    <w:p w14:paraId="32B7D9B6">
      <w:pPr>
        <w:pStyle w:val="27"/>
        <w:tabs>
          <w:tab w:val="right" w:leader="dot" w:pos="9514"/>
        </w:tabs>
        <w:spacing w:line="1000" w:lineRule="exact"/>
        <w:rPr>
          <w:rFonts w:hint="eastAsia"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"_Toc92355026" </w:instrText>
      </w:r>
      <w:r>
        <w:rPr>
          <w:color w:val="auto"/>
        </w:rPr>
        <w:fldChar w:fldCharType="separate"/>
      </w:r>
      <w:r>
        <w:rPr>
          <w:rStyle w:val="44"/>
          <w:rFonts w:ascii="方正小标宋_GBK" w:hAnsi="宋体" w:eastAsia="方正小标宋_GBK"/>
          <w:color w:val="auto"/>
          <w:sz w:val="28"/>
          <w:szCs w:val="28"/>
        </w:rPr>
        <w:t>第四章  评定标准及推荐原则</w:t>
      </w:r>
      <w:r>
        <w:rPr>
          <w:color w:val="auto"/>
          <w:sz w:val="28"/>
          <w:szCs w:val="28"/>
        </w:rPr>
        <w:tab/>
      </w:r>
      <w:r>
        <w:rPr>
          <w:color w:val="auto"/>
          <w:sz w:val="28"/>
          <w:szCs w:val="28"/>
        </w:rPr>
        <w:fldChar w:fldCharType="begin"/>
      </w:r>
      <w:r>
        <w:rPr>
          <w:color w:val="auto"/>
          <w:sz w:val="28"/>
          <w:szCs w:val="28"/>
        </w:rPr>
        <w:instrText xml:space="preserve"> PAGEREF _Toc92355026 \h </w:instrText>
      </w:r>
      <w:r>
        <w:rPr>
          <w:color w:val="auto"/>
          <w:sz w:val="28"/>
          <w:szCs w:val="28"/>
        </w:rPr>
        <w:fldChar w:fldCharType="separate"/>
      </w:r>
      <w:r>
        <w:rPr>
          <w:color w:val="auto"/>
          <w:sz w:val="28"/>
          <w:szCs w:val="28"/>
        </w:rPr>
        <w:t>68</w:t>
      </w:r>
      <w:r>
        <w:rPr>
          <w:color w:val="auto"/>
          <w:sz w:val="28"/>
          <w:szCs w:val="28"/>
        </w:rPr>
        <w:fldChar w:fldCharType="end"/>
      </w:r>
      <w:r>
        <w:rPr>
          <w:color w:val="auto"/>
          <w:sz w:val="28"/>
          <w:szCs w:val="28"/>
        </w:rPr>
        <w:fldChar w:fldCharType="end"/>
      </w:r>
    </w:p>
    <w:p w14:paraId="6B769A56">
      <w:pPr>
        <w:pStyle w:val="27"/>
        <w:tabs>
          <w:tab w:val="right" w:leader="dot" w:pos="9514"/>
        </w:tabs>
        <w:spacing w:line="1000" w:lineRule="exact"/>
        <w:rPr>
          <w:rFonts w:hint="eastAsia"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"_Toc92355027" </w:instrText>
      </w:r>
      <w:r>
        <w:rPr>
          <w:color w:val="auto"/>
        </w:rPr>
        <w:fldChar w:fldCharType="separate"/>
      </w:r>
      <w:r>
        <w:rPr>
          <w:rStyle w:val="44"/>
          <w:rFonts w:ascii="方正小标宋_GBK" w:eastAsia="方正小标宋_GBK"/>
          <w:color w:val="auto"/>
          <w:sz w:val="28"/>
          <w:szCs w:val="28"/>
        </w:rPr>
        <w:t>第五章  合同文本</w:t>
      </w:r>
      <w:r>
        <w:rPr>
          <w:color w:val="auto"/>
          <w:sz w:val="28"/>
          <w:szCs w:val="28"/>
        </w:rPr>
        <w:tab/>
      </w:r>
      <w:r>
        <w:rPr>
          <w:color w:val="auto"/>
          <w:sz w:val="28"/>
          <w:szCs w:val="28"/>
        </w:rPr>
        <w:fldChar w:fldCharType="begin"/>
      </w:r>
      <w:r>
        <w:rPr>
          <w:color w:val="auto"/>
          <w:sz w:val="28"/>
          <w:szCs w:val="28"/>
        </w:rPr>
        <w:instrText xml:space="preserve"> PAGEREF _Toc92355027 \h </w:instrText>
      </w:r>
      <w:r>
        <w:rPr>
          <w:color w:val="auto"/>
          <w:sz w:val="28"/>
          <w:szCs w:val="28"/>
        </w:rPr>
        <w:fldChar w:fldCharType="separate"/>
      </w:r>
      <w:r>
        <w:rPr>
          <w:color w:val="auto"/>
          <w:sz w:val="28"/>
          <w:szCs w:val="28"/>
        </w:rPr>
        <w:t>70</w:t>
      </w:r>
      <w:r>
        <w:rPr>
          <w:color w:val="auto"/>
          <w:sz w:val="28"/>
          <w:szCs w:val="28"/>
        </w:rPr>
        <w:fldChar w:fldCharType="end"/>
      </w:r>
      <w:r>
        <w:rPr>
          <w:color w:val="auto"/>
          <w:sz w:val="28"/>
          <w:szCs w:val="28"/>
        </w:rPr>
        <w:fldChar w:fldCharType="end"/>
      </w:r>
    </w:p>
    <w:p w14:paraId="29BC855A">
      <w:pPr>
        <w:pStyle w:val="27"/>
        <w:tabs>
          <w:tab w:val="right" w:leader="dot" w:pos="9514"/>
        </w:tabs>
        <w:spacing w:line="1000" w:lineRule="exact"/>
        <w:rPr>
          <w:rFonts w:hint="eastAsia"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"_Toc92355028" </w:instrText>
      </w:r>
      <w:r>
        <w:rPr>
          <w:color w:val="auto"/>
        </w:rPr>
        <w:fldChar w:fldCharType="separate"/>
      </w:r>
      <w:r>
        <w:rPr>
          <w:rStyle w:val="44"/>
          <w:rFonts w:ascii="方正小标宋_GBK" w:hAnsi="方正小标宋_GBK" w:eastAsia="方正小标宋_GBK"/>
          <w:color w:val="auto"/>
          <w:sz w:val="28"/>
          <w:szCs w:val="28"/>
        </w:rPr>
        <w:t>第六章  响应文件格式</w:t>
      </w:r>
      <w:r>
        <w:rPr>
          <w:color w:val="auto"/>
          <w:sz w:val="28"/>
          <w:szCs w:val="28"/>
        </w:rPr>
        <w:tab/>
      </w:r>
      <w:r>
        <w:rPr>
          <w:color w:val="auto"/>
          <w:sz w:val="28"/>
          <w:szCs w:val="28"/>
        </w:rPr>
        <w:fldChar w:fldCharType="begin"/>
      </w:r>
      <w:r>
        <w:rPr>
          <w:color w:val="auto"/>
          <w:sz w:val="28"/>
          <w:szCs w:val="28"/>
        </w:rPr>
        <w:instrText xml:space="preserve"> PAGEREF _Toc92355028 \h </w:instrText>
      </w:r>
      <w:r>
        <w:rPr>
          <w:color w:val="auto"/>
          <w:sz w:val="28"/>
          <w:szCs w:val="28"/>
        </w:rPr>
        <w:fldChar w:fldCharType="separate"/>
      </w:r>
      <w:r>
        <w:rPr>
          <w:color w:val="auto"/>
          <w:sz w:val="28"/>
          <w:szCs w:val="28"/>
        </w:rPr>
        <w:t>86</w:t>
      </w:r>
      <w:r>
        <w:rPr>
          <w:color w:val="auto"/>
          <w:sz w:val="28"/>
          <w:szCs w:val="28"/>
        </w:rPr>
        <w:fldChar w:fldCharType="end"/>
      </w:r>
      <w:r>
        <w:rPr>
          <w:color w:val="auto"/>
          <w:sz w:val="28"/>
          <w:szCs w:val="28"/>
        </w:rPr>
        <w:fldChar w:fldCharType="end"/>
      </w:r>
    </w:p>
    <w:p w14:paraId="2ADE0FA3">
      <w:pPr>
        <w:rPr>
          <w:color w:val="auto"/>
        </w:rPr>
        <w:sectPr>
          <w:footerReference r:id="rId5" w:type="first"/>
          <w:headerReference r:id="rId3" w:type="default"/>
          <w:footerReference r:id="rId4" w:type="default"/>
          <w:pgSz w:w="11906" w:h="16838"/>
          <w:pgMar w:top="936" w:right="1191" w:bottom="936" w:left="1191" w:header="851" w:footer="992" w:gutter="0"/>
          <w:pgNumType w:start="1"/>
          <w:cols w:space="720" w:num="1"/>
          <w:docGrid w:type="lines" w:linePitch="312" w:charSpace="0"/>
        </w:sectPr>
      </w:pPr>
      <w:r>
        <w:rPr>
          <w:rFonts w:hint="eastAsia"/>
          <w:color w:val="auto"/>
        </w:rPr>
        <w:fldChar w:fldCharType="end"/>
      </w:r>
    </w:p>
    <w:p w14:paraId="71D691E4">
      <w:pPr>
        <w:rPr>
          <w:color w:val="auto"/>
        </w:rPr>
      </w:pPr>
    </w:p>
    <w:p w14:paraId="3594BB94">
      <w:pPr>
        <w:widowControl/>
        <w:jc w:val="left"/>
        <w:rPr>
          <w:color w:val="auto"/>
        </w:rPr>
      </w:pPr>
    </w:p>
    <w:p w14:paraId="61FD26E2">
      <w:pPr>
        <w:rPr>
          <w:color w:val="auto"/>
        </w:rPr>
      </w:pPr>
    </w:p>
    <w:p w14:paraId="4EE61B86">
      <w:pPr>
        <w:rPr>
          <w:color w:val="auto"/>
        </w:rPr>
      </w:pPr>
    </w:p>
    <w:p w14:paraId="7933489A">
      <w:pPr>
        <w:rPr>
          <w:color w:val="auto"/>
        </w:rPr>
      </w:pPr>
    </w:p>
    <w:p w14:paraId="5022F99A">
      <w:pPr>
        <w:rPr>
          <w:color w:val="auto"/>
        </w:rPr>
      </w:pPr>
    </w:p>
    <w:p w14:paraId="7FBAD49A">
      <w:pPr>
        <w:rPr>
          <w:color w:val="auto"/>
        </w:rPr>
      </w:pPr>
    </w:p>
    <w:p w14:paraId="619BBA05">
      <w:pPr>
        <w:rPr>
          <w:color w:val="auto"/>
        </w:rPr>
      </w:pPr>
    </w:p>
    <w:p w14:paraId="154B3DA8">
      <w:pPr>
        <w:rPr>
          <w:color w:val="auto"/>
        </w:rPr>
      </w:pPr>
    </w:p>
    <w:p w14:paraId="21A5A2CA">
      <w:pPr>
        <w:rPr>
          <w:color w:val="auto"/>
        </w:rPr>
      </w:pPr>
    </w:p>
    <w:p w14:paraId="25A7165C">
      <w:pPr>
        <w:rPr>
          <w:color w:val="auto"/>
        </w:rPr>
      </w:pPr>
    </w:p>
    <w:p w14:paraId="68B36242">
      <w:pPr>
        <w:rPr>
          <w:color w:val="auto"/>
        </w:rPr>
      </w:pPr>
    </w:p>
    <w:p w14:paraId="1B850BA4">
      <w:pPr>
        <w:rPr>
          <w:color w:val="auto"/>
        </w:rPr>
      </w:pPr>
    </w:p>
    <w:p w14:paraId="1DAF043B">
      <w:pPr>
        <w:rPr>
          <w:color w:val="auto"/>
        </w:rPr>
      </w:pPr>
    </w:p>
    <w:p w14:paraId="22D4C297">
      <w:pPr>
        <w:pStyle w:val="2"/>
        <w:spacing w:line="400" w:lineRule="exact"/>
        <w:rPr>
          <w:rFonts w:hint="eastAsia" w:ascii="方正小标宋_GBK" w:hAnsi="宋体" w:eastAsia="方正小标宋_GBK"/>
          <w:color w:val="auto"/>
        </w:rPr>
      </w:pPr>
      <w:bookmarkStart w:id="1" w:name="_Toc92355023"/>
      <w:r>
        <w:rPr>
          <w:rFonts w:hint="eastAsia" w:ascii="方正小标宋_GBK" w:hAnsi="宋体" w:eastAsia="方正小标宋_GBK"/>
          <w:color w:val="auto"/>
        </w:rPr>
        <w:t>第一章  竞争性谈判公告</w:t>
      </w:r>
      <w:bookmarkEnd w:id="0"/>
      <w:bookmarkEnd w:id="1"/>
    </w:p>
    <w:p w14:paraId="467B5673">
      <w:pPr>
        <w:spacing w:line="600" w:lineRule="exact"/>
        <w:jc w:val="center"/>
        <w:rPr>
          <w:color w:val="auto"/>
        </w:rPr>
      </w:pPr>
      <w:r>
        <w:rPr>
          <w:rFonts w:ascii="黑体" w:hAnsi="宋体" w:eastAsia="黑体"/>
          <w:b/>
          <w:color w:val="auto"/>
          <w:sz w:val="32"/>
          <w:szCs w:val="32"/>
        </w:rPr>
        <w:br w:type="page"/>
      </w:r>
    </w:p>
    <w:p w14:paraId="22294720">
      <w:pPr>
        <w:spacing w:line="600" w:lineRule="exact"/>
        <w:jc w:val="center"/>
        <w:rPr>
          <w:rFonts w:hint="eastAsia" w:ascii="方正小标宋_GBK" w:hAnsi="宋体" w:eastAsia="方正小标宋_GBK"/>
          <w:b/>
          <w:color w:val="auto"/>
          <w:sz w:val="34"/>
          <w:szCs w:val="34"/>
        </w:rPr>
      </w:pPr>
      <w:r>
        <w:rPr>
          <w:rFonts w:hint="eastAsia" w:ascii="方正小标宋_GBK" w:hAnsi="宋体" w:eastAsia="方正小标宋_GBK"/>
          <w:b/>
          <w:color w:val="auto"/>
          <w:sz w:val="34"/>
          <w:szCs w:val="34"/>
        </w:rPr>
        <w:t>钦州市政府采购中心关于</w:t>
      </w:r>
      <w:r>
        <w:rPr>
          <w:rFonts w:hint="eastAsia" w:ascii="方正小标宋_GBK" w:hAnsi="宋体" w:eastAsia="方正小标宋_GBK"/>
          <w:b/>
          <w:color w:val="auto"/>
          <w:sz w:val="34"/>
          <w:szCs w:val="34"/>
          <w:lang w:eastAsia="zh-CN"/>
        </w:rPr>
        <w:t>浦北县第一职业技术学校2024年双优建设项目</w:t>
      </w:r>
      <w:r>
        <w:rPr>
          <w:rFonts w:ascii="方正小标宋_GBK" w:hAnsi="宋体" w:eastAsia="方正小标宋_GBK"/>
          <w:b/>
          <w:color w:val="auto"/>
          <w:sz w:val="34"/>
          <w:szCs w:val="34"/>
        </w:rPr>
        <w:t>(</w:t>
      </w:r>
      <w:r>
        <w:rPr>
          <w:rFonts w:hint="eastAsia" w:ascii="方正小标宋_GBK" w:hAnsi="宋体" w:eastAsia="方正小标宋_GBK"/>
          <w:b/>
          <w:color w:val="auto"/>
          <w:sz w:val="34"/>
          <w:szCs w:val="34"/>
          <w:lang w:eastAsia="zh-CN"/>
        </w:rPr>
        <w:t>QZZC2025-J1-220217-QZSZ</w:t>
      </w:r>
      <w:r>
        <w:rPr>
          <w:rFonts w:ascii="方正小标宋_GBK" w:hAnsi="宋体" w:eastAsia="方正小标宋_GBK"/>
          <w:b/>
          <w:color w:val="auto"/>
          <w:sz w:val="34"/>
          <w:szCs w:val="34"/>
        </w:rPr>
        <w:t>)</w:t>
      </w:r>
      <w:r>
        <w:rPr>
          <w:rFonts w:hint="eastAsia" w:ascii="方正小标宋_GBK" w:hAnsi="宋体" w:eastAsia="方正小标宋_GBK"/>
          <w:b/>
          <w:color w:val="auto"/>
          <w:sz w:val="34"/>
          <w:szCs w:val="34"/>
        </w:rPr>
        <w:t>的竞争性谈判公告</w:t>
      </w:r>
    </w:p>
    <w:p w14:paraId="4A9EBD27">
      <w:pPr>
        <w:pBdr>
          <w:top w:val="single" w:color="auto" w:sz="4" w:space="0"/>
          <w:left w:val="single" w:color="auto" w:sz="4" w:space="4"/>
          <w:bottom w:val="single" w:color="auto" w:sz="4" w:space="1"/>
          <w:right w:val="single" w:color="auto" w:sz="4" w:space="4"/>
        </w:pBdr>
        <w:spacing w:line="400" w:lineRule="exact"/>
        <w:rPr>
          <w:rFonts w:hint="eastAsia" w:ascii="方正小标宋简体" w:hAnsi="宋体" w:eastAsia="方正小标宋简体"/>
          <w:b/>
          <w:color w:val="auto"/>
          <w:sz w:val="32"/>
          <w:szCs w:val="32"/>
        </w:rPr>
      </w:pPr>
      <w:bookmarkStart w:id="2" w:name="_Toc38370138"/>
      <w:r>
        <w:rPr>
          <w:rFonts w:hint="eastAsia" w:ascii="宋体" w:hAnsi="宋体"/>
          <w:color w:val="auto"/>
          <w:szCs w:val="21"/>
        </w:rPr>
        <w:t>项目概况</w:t>
      </w:r>
    </w:p>
    <w:p w14:paraId="76756744">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color w:val="auto"/>
          <w:szCs w:val="21"/>
        </w:rPr>
      </w:pPr>
      <w:r>
        <w:rPr>
          <w:rFonts w:hint="eastAsia" w:ascii="宋体" w:hAnsi="宋体"/>
          <w:color w:val="auto"/>
          <w:szCs w:val="21"/>
          <w:lang w:eastAsia="zh-CN"/>
        </w:rPr>
        <w:t>浦北县第一职业技术学校2024年双优建设项目</w:t>
      </w:r>
      <w:r>
        <w:rPr>
          <w:rFonts w:hint="eastAsia" w:ascii="宋体" w:hAnsi="宋体"/>
          <w:color w:val="auto"/>
          <w:szCs w:val="21"/>
        </w:rPr>
        <w:t>的潜在供应商应在广西政府采购云平台（https://www.gcy.zfcg.gxzf.gov.cn/）获取采购文件，并于202</w:t>
      </w:r>
      <w:r>
        <w:rPr>
          <w:rFonts w:hint="eastAsia" w:ascii="宋体" w:hAnsi="宋体"/>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23</w:t>
      </w:r>
      <w:r>
        <w:rPr>
          <w:rFonts w:hint="eastAsia" w:ascii="宋体" w:hAnsi="宋体"/>
          <w:bCs/>
          <w:color w:val="auto"/>
          <w:szCs w:val="21"/>
        </w:rPr>
        <w:t>日</w:t>
      </w:r>
      <w:r>
        <w:rPr>
          <w:rFonts w:hint="eastAsia"/>
          <w:color w:val="auto"/>
          <w:lang w:val="en-US" w:eastAsia="zh-CN"/>
        </w:rPr>
        <w:t>9</w:t>
      </w:r>
      <w:r>
        <w:rPr>
          <w:color w:val="auto"/>
        </w:rPr>
        <w:t>:</w:t>
      </w:r>
      <w:r>
        <w:rPr>
          <w:rFonts w:hint="eastAsia"/>
          <w:color w:val="auto"/>
          <w:lang w:val="en-US" w:eastAsia="zh-CN"/>
        </w:rPr>
        <w:t>30</w:t>
      </w:r>
      <w:r>
        <w:rPr>
          <w:rFonts w:hint="eastAsia" w:ascii="宋体" w:hAnsi="宋体"/>
          <w:bCs/>
          <w:color w:val="auto"/>
          <w:szCs w:val="21"/>
        </w:rPr>
        <w:t>（北京时间）前提交响应</w:t>
      </w:r>
      <w:r>
        <w:rPr>
          <w:rFonts w:ascii="宋体" w:hAnsi="宋体"/>
          <w:bCs/>
          <w:color w:val="auto"/>
          <w:szCs w:val="21"/>
        </w:rPr>
        <w:t>文件</w:t>
      </w:r>
      <w:r>
        <w:rPr>
          <w:rFonts w:hint="eastAsia" w:ascii="宋体" w:hAnsi="宋体"/>
          <w:color w:val="auto"/>
          <w:szCs w:val="21"/>
        </w:rPr>
        <w:t>。</w:t>
      </w:r>
    </w:p>
    <w:bookmarkEnd w:id="2"/>
    <w:p w14:paraId="4A75D68A">
      <w:pPr>
        <w:spacing w:line="400" w:lineRule="exact"/>
        <w:rPr>
          <w:b/>
          <w:color w:val="auto"/>
        </w:rPr>
      </w:pPr>
      <w:bookmarkStart w:id="3" w:name="_Toc35393790"/>
      <w:bookmarkStart w:id="4" w:name="_Toc28359002"/>
      <w:bookmarkStart w:id="5" w:name="_Toc28359079"/>
      <w:bookmarkStart w:id="6" w:name="_Toc35393621"/>
      <w:bookmarkStart w:id="7" w:name="_Hlk24379207"/>
      <w:bookmarkStart w:id="8" w:name="_Toc38370146"/>
      <w:r>
        <w:rPr>
          <w:rFonts w:hint="eastAsia"/>
          <w:b/>
          <w:color w:val="auto"/>
        </w:rPr>
        <w:t>一、项目基本情况</w:t>
      </w:r>
      <w:bookmarkEnd w:id="3"/>
      <w:bookmarkEnd w:id="4"/>
      <w:bookmarkEnd w:id="5"/>
      <w:bookmarkEnd w:id="6"/>
    </w:p>
    <w:p w14:paraId="66B9551A">
      <w:pPr>
        <w:spacing w:line="400" w:lineRule="exact"/>
        <w:ind w:firstLine="420"/>
        <w:rPr>
          <w:rFonts w:hint="eastAsia" w:eastAsia="宋体"/>
          <w:color w:val="auto"/>
          <w:lang w:eastAsia="zh-CN"/>
        </w:rPr>
      </w:pPr>
      <w:r>
        <w:rPr>
          <w:rFonts w:hint="eastAsia"/>
          <w:color w:val="auto"/>
        </w:rPr>
        <w:t>项目编号：</w:t>
      </w:r>
      <w:r>
        <w:rPr>
          <w:rFonts w:hint="eastAsia"/>
          <w:color w:val="auto"/>
          <w:lang w:eastAsia="zh-CN"/>
        </w:rPr>
        <w:t>QZZC2025-J1-220217-QZSZ</w:t>
      </w:r>
    </w:p>
    <w:p w14:paraId="4755A984">
      <w:pPr>
        <w:spacing w:line="400" w:lineRule="exact"/>
        <w:ind w:firstLine="420"/>
        <w:rPr>
          <w:rFonts w:hint="eastAsia" w:eastAsia="宋体"/>
          <w:color w:val="auto"/>
          <w:lang w:eastAsia="zh-CN"/>
        </w:rPr>
      </w:pPr>
      <w:r>
        <w:rPr>
          <w:rFonts w:hint="eastAsia"/>
          <w:color w:val="auto"/>
        </w:rPr>
        <w:t>项目名称：</w:t>
      </w:r>
      <w:r>
        <w:rPr>
          <w:rFonts w:hint="eastAsia"/>
          <w:color w:val="auto"/>
          <w:lang w:eastAsia="zh-CN"/>
        </w:rPr>
        <w:t>浦北县第一职业技术学校2024年双优建设项目</w:t>
      </w:r>
    </w:p>
    <w:bookmarkEnd w:id="7"/>
    <w:p w14:paraId="7BE3022B">
      <w:pPr>
        <w:spacing w:line="400" w:lineRule="exact"/>
        <w:ind w:firstLine="420"/>
        <w:rPr>
          <w:rFonts w:hint="default"/>
          <w:color w:val="auto"/>
          <w:lang w:val="en-US" w:eastAsia="zh-CN"/>
        </w:rPr>
      </w:pPr>
      <w:r>
        <w:rPr>
          <w:rFonts w:hint="eastAsia"/>
          <w:color w:val="auto"/>
        </w:rPr>
        <w:t>预算总金额(元</w:t>
      </w:r>
      <w:r>
        <w:rPr>
          <w:color w:val="auto"/>
        </w:rPr>
        <w:t>)</w:t>
      </w:r>
      <w:r>
        <w:rPr>
          <w:rFonts w:hint="eastAsia"/>
          <w:color w:val="auto"/>
        </w:rPr>
        <w:t>：</w:t>
      </w:r>
      <w:r>
        <w:rPr>
          <w:rFonts w:hint="eastAsia"/>
          <w:color w:val="auto"/>
          <w:lang w:val="en-US" w:eastAsia="zh-CN"/>
        </w:rPr>
        <w:t>1800000.00</w:t>
      </w:r>
    </w:p>
    <w:p w14:paraId="22577639">
      <w:pPr>
        <w:spacing w:line="400" w:lineRule="exact"/>
        <w:ind w:firstLine="420"/>
        <w:rPr>
          <w:color w:val="auto"/>
        </w:rPr>
      </w:pPr>
      <w:r>
        <w:rPr>
          <w:rFonts w:hint="eastAsia"/>
          <w:color w:val="auto"/>
        </w:rPr>
        <w:t>采购需求：</w:t>
      </w:r>
    </w:p>
    <w:p w14:paraId="1B5D1E82">
      <w:pPr>
        <w:spacing w:line="400" w:lineRule="exact"/>
        <w:rPr>
          <w:color w:val="auto"/>
        </w:rPr>
      </w:pPr>
    </w:p>
    <w:p w14:paraId="3A40C015">
      <w:pPr>
        <w:spacing w:line="400" w:lineRule="exact"/>
        <w:ind w:firstLine="420"/>
        <w:rPr>
          <w:rFonts w:hint="default" w:eastAsia="宋体"/>
          <w:color w:val="auto"/>
          <w:lang w:val="en-US" w:eastAsia="zh-CN"/>
        </w:rPr>
      </w:pPr>
      <w:r>
        <w:rPr>
          <w:rFonts w:hint="eastAsia"/>
          <w:color w:val="auto"/>
          <w:lang w:val="en-US" w:eastAsia="zh-CN"/>
        </w:rPr>
        <w:t>标项一</w:t>
      </w:r>
    </w:p>
    <w:p w14:paraId="6716098E">
      <w:pPr>
        <w:spacing w:line="400" w:lineRule="exact"/>
        <w:ind w:firstLine="420"/>
        <w:rPr>
          <w:color w:val="auto"/>
        </w:rPr>
      </w:pPr>
      <w:r>
        <w:rPr>
          <w:rFonts w:hint="eastAsia"/>
          <w:color w:val="auto"/>
        </w:rPr>
        <w:t>标项名称：</w:t>
      </w:r>
      <w:r>
        <w:rPr>
          <w:rFonts w:hint="eastAsia"/>
          <w:color w:val="auto"/>
          <w:lang w:eastAsia="zh-CN"/>
        </w:rPr>
        <w:t>数字化设计实训室、现代加工实训室和建设焊接实训室</w:t>
      </w:r>
    </w:p>
    <w:p w14:paraId="7ED70FF6">
      <w:pPr>
        <w:spacing w:line="400" w:lineRule="exact"/>
        <w:ind w:firstLine="420"/>
        <w:rPr>
          <w:color w:val="auto"/>
        </w:rPr>
      </w:pPr>
      <w:r>
        <w:rPr>
          <w:rFonts w:hint="eastAsia"/>
          <w:color w:val="auto"/>
        </w:rPr>
        <w:t>数量：1</w:t>
      </w:r>
    </w:p>
    <w:p w14:paraId="3A38BC22">
      <w:pPr>
        <w:spacing w:line="400" w:lineRule="exact"/>
        <w:ind w:firstLine="420"/>
        <w:rPr>
          <w:color w:val="auto"/>
        </w:rPr>
      </w:pPr>
      <w:r>
        <w:rPr>
          <w:rFonts w:hint="eastAsia"/>
          <w:color w:val="auto"/>
        </w:rPr>
        <w:t>预算金额(元</w:t>
      </w:r>
      <w:r>
        <w:rPr>
          <w:color w:val="auto"/>
        </w:rPr>
        <w:t>)</w:t>
      </w:r>
      <w:r>
        <w:rPr>
          <w:rFonts w:hint="eastAsia"/>
          <w:color w:val="auto"/>
        </w:rPr>
        <w:t>：</w:t>
      </w:r>
      <w:r>
        <w:rPr>
          <w:rFonts w:hint="eastAsia"/>
          <w:color w:val="auto"/>
          <w:lang w:val="en-US" w:eastAsia="zh-CN"/>
        </w:rPr>
        <w:t>1800000.00</w:t>
      </w:r>
    </w:p>
    <w:p w14:paraId="7D63D969">
      <w:pPr>
        <w:spacing w:line="400" w:lineRule="exact"/>
        <w:ind w:firstLine="420"/>
        <w:rPr>
          <w:rFonts w:hint="eastAsia"/>
          <w:color w:val="auto"/>
        </w:rPr>
      </w:pPr>
      <w:r>
        <w:rPr>
          <w:rFonts w:hint="eastAsia"/>
          <w:color w:val="auto"/>
        </w:rPr>
        <w:t>简要规格描述或项目基本</w:t>
      </w:r>
      <w:r>
        <w:rPr>
          <w:rFonts w:hint="eastAsia"/>
          <w:color w:val="auto"/>
          <w:highlight w:val="none"/>
        </w:rPr>
        <w:t>概况介绍、用途</w:t>
      </w:r>
      <w:r>
        <w:rPr>
          <w:rFonts w:hint="eastAsia"/>
          <w:color w:val="auto"/>
        </w:rPr>
        <w:t>：</w:t>
      </w:r>
      <w:r>
        <w:rPr>
          <w:rFonts w:hint="eastAsia"/>
          <w:color w:val="auto"/>
          <w:lang w:eastAsia="zh-CN"/>
        </w:rPr>
        <w:t>数字化设计实训室、现代加工实训室和建设焊接实训室</w:t>
      </w:r>
      <w:r>
        <w:rPr>
          <w:rFonts w:hint="eastAsia"/>
          <w:color w:val="auto"/>
          <w:lang w:val="en-US" w:eastAsia="zh-CN"/>
        </w:rPr>
        <w:t>等教学设备一批</w:t>
      </w:r>
      <w:r>
        <w:rPr>
          <w:rFonts w:hint="eastAsia"/>
          <w:color w:val="auto"/>
        </w:rPr>
        <w:t xml:space="preserve">，具体详见采购需求。 </w:t>
      </w:r>
    </w:p>
    <w:p w14:paraId="793AA234">
      <w:pPr>
        <w:spacing w:line="400" w:lineRule="exact"/>
        <w:ind w:firstLine="420"/>
        <w:rPr>
          <w:color w:val="auto"/>
          <w:highlight w:val="none"/>
        </w:rPr>
      </w:pPr>
      <w:r>
        <w:rPr>
          <w:rFonts w:hint="eastAsia"/>
          <w:color w:val="auto"/>
          <w:highlight w:val="none"/>
        </w:rPr>
        <w:t>最高限价(如有</w:t>
      </w:r>
      <w:r>
        <w:rPr>
          <w:color w:val="auto"/>
          <w:highlight w:val="none"/>
        </w:rPr>
        <w:t>)</w:t>
      </w:r>
      <w:r>
        <w:rPr>
          <w:rFonts w:hint="eastAsia"/>
          <w:color w:val="auto"/>
          <w:highlight w:val="none"/>
        </w:rPr>
        <w:t>：</w:t>
      </w:r>
    </w:p>
    <w:p w14:paraId="607A52F2">
      <w:pPr>
        <w:spacing w:line="400" w:lineRule="exact"/>
        <w:ind w:firstLine="420"/>
        <w:rPr>
          <w:rFonts w:hint="eastAsia"/>
          <w:color w:val="auto"/>
          <w:highlight w:val="none"/>
        </w:rPr>
      </w:pPr>
      <w:r>
        <w:rPr>
          <w:rFonts w:hint="eastAsia"/>
          <w:color w:val="auto"/>
          <w:highlight w:val="none"/>
        </w:rPr>
        <w:t>合同履行期限：</w:t>
      </w:r>
      <w:r>
        <w:rPr>
          <w:rFonts w:hint="eastAsia"/>
          <w:color w:val="auto"/>
          <w:highlight w:val="none"/>
          <w:lang w:val="en-US" w:eastAsia="zh-CN"/>
        </w:rPr>
        <w:t>合同签订之日起15日内</w:t>
      </w:r>
      <w:r>
        <w:rPr>
          <w:rFonts w:hint="eastAsia"/>
          <w:color w:val="auto"/>
          <w:highlight w:val="none"/>
        </w:rPr>
        <w:t>安装调试竣工验收交付使用。</w:t>
      </w:r>
    </w:p>
    <w:p w14:paraId="2E06405F">
      <w:pPr>
        <w:spacing w:line="400" w:lineRule="exact"/>
        <w:ind w:firstLine="420"/>
        <w:rPr>
          <w:color w:val="auto"/>
        </w:rPr>
      </w:pPr>
      <w:r>
        <w:rPr>
          <w:rFonts w:hint="eastAsia"/>
          <w:color w:val="auto"/>
        </w:rPr>
        <w:t>本标项(否</w:t>
      </w:r>
      <w:r>
        <w:rPr>
          <w:color w:val="auto"/>
        </w:rPr>
        <w:t>)</w:t>
      </w:r>
      <w:r>
        <w:rPr>
          <w:rFonts w:hint="eastAsia"/>
          <w:color w:val="auto"/>
        </w:rPr>
        <w:t>接受联合体竞标。</w:t>
      </w:r>
    </w:p>
    <w:p w14:paraId="3FC31ACD">
      <w:pPr>
        <w:spacing w:line="400" w:lineRule="exact"/>
        <w:ind w:firstLine="420"/>
        <w:rPr>
          <w:color w:val="auto"/>
        </w:rPr>
      </w:pPr>
      <w:r>
        <w:rPr>
          <w:rFonts w:hint="eastAsia"/>
          <w:color w:val="auto"/>
        </w:rPr>
        <w:t>备注：</w:t>
      </w:r>
    </w:p>
    <w:p w14:paraId="342EA3D6">
      <w:pPr>
        <w:spacing w:line="400" w:lineRule="exact"/>
        <w:ind w:firstLine="420"/>
        <w:rPr>
          <w:color w:val="auto"/>
        </w:rPr>
      </w:pPr>
    </w:p>
    <w:p w14:paraId="07CDAFD7">
      <w:pPr>
        <w:spacing w:line="400" w:lineRule="exact"/>
        <w:rPr>
          <w:b/>
          <w:color w:val="auto"/>
        </w:rPr>
      </w:pPr>
      <w:bookmarkStart w:id="9" w:name="_Toc28359003"/>
      <w:bookmarkStart w:id="10" w:name="_Toc35393791"/>
      <w:bookmarkStart w:id="11" w:name="_Toc35393622"/>
      <w:bookmarkStart w:id="12" w:name="_Toc28359080"/>
      <w:r>
        <w:rPr>
          <w:rFonts w:hint="eastAsia"/>
          <w:b/>
          <w:color w:val="auto"/>
        </w:rPr>
        <w:t>二、申请人的资格要求：</w:t>
      </w:r>
      <w:bookmarkEnd w:id="9"/>
      <w:bookmarkEnd w:id="10"/>
      <w:bookmarkEnd w:id="11"/>
      <w:bookmarkEnd w:id="12"/>
      <w:bookmarkStart w:id="13" w:name="_Toc28359081"/>
      <w:bookmarkStart w:id="14" w:name="_Toc28359004"/>
      <w:bookmarkStart w:id="15" w:name="_Toc35393623"/>
      <w:bookmarkStart w:id="16" w:name="_Toc35393792"/>
    </w:p>
    <w:p w14:paraId="02982543">
      <w:pPr>
        <w:spacing w:line="400" w:lineRule="exact"/>
        <w:ind w:firstLine="420"/>
        <w:rPr>
          <w:b/>
          <w:color w:val="auto"/>
        </w:rPr>
      </w:pPr>
      <w:r>
        <w:rPr>
          <w:rFonts w:hint="eastAsia"/>
          <w:color w:val="auto"/>
        </w:rPr>
        <w:t>1.满足《中华人民共和国政府采购法》第二十二条规定</w:t>
      </w:r>
    </w:p>
    <w:p w14:paraId="7A2B49D9">
      <w:pPr>
        <w:spacing w:line="418" w:lineRule="exact"/>
        <w:ind w:left="-283" w:leftChars="-135" w:firstLine="699" w:firstLineChars="333"/>
        <w:rPr>
          <w:rFonts w:hint="eastAsia" w:eastAsia="宋体"/>
          <w:color w:val="auto"/>
          <w:lang w:val="en-US" w:eastAsia="zh-CN"/>
        </w:rPr>
      </w:pPr>
      <w:r>
        <w:rPr>
          <w:rFonts w:hint="eastAsia"/>
          <w:color w:val="auto"/>
        </w:rPr>
        <w:t>2.落实政府采购政策需满足的资格要求：</w:t>
      </w:r>
      <w:r>
        <w:rPr>
          <w:rFonts w:hint="eastAsia"/>
          <w:color w:val="auto"/>
          <w:lang w:val="en-US" w:eastAsia="zh-CN"/>
        </w:rPr>
        <w:t>无</w:t>
      </w:r>
    </w:p>
    <w:p w14:paraId="693FCBD2">
      <w:pPr>
        <w:spacing w:line="400" w:lineRule="exact"/>
        <w:ind w:firstLine="435"/>
        <w:rPr>
          <w:color w:val="auto"/>
        </w:rPr>
      </w:pPr>
      <w:r>
        <w:rPr>
          <w:rFonts w:hint="eastAsia"/>
          <w:color w:val="auto"/>
        </w:rPr>
        <w:t>3.本项目的特定资格要求：无</w:t>
      </w:r>
    </w:p>
    <w:p w14:paraId="59FCC519">
      <w:pPr>
        <w:spacing w:line="400" w:lineRule="exact"/>
        <w:rPr>
          <w:b/>
          <w:color w:val="auto"/>
        </w:rPr>
      </w:pPr>
      <w:r>
        <w:rPr>
          <w:rFonts w:hint="eastAsia"/>
          <w:b/>
          <w:color w:val="auto"/>
        </w:rPr>
        <w:t>三、获取采购文件</w:t>
      </w:r>
      <w:bookmarkEnd w:id="13"/>
      <w:bookmarkEnd w:id="14"/>
      <w:bookmarkEnd w:id="15"/>
      <w:bookmarkEnd w:id="16"/>
    </w:p>
    <w:p w14:paraId="4CBC00A8">
      <w:pPr>
        <w:spacing w:line="400" w:lineRule="exact"/>
        <w:ind w:firstLine="420"/>
        <w:jc w:val="left"/>
        <w:rPr>
          <w:color w:val="auto"/>
        </w:rPr>
      </w:pPr>
      <w:bookmarkStart w:id="17" w:name="_Toc38370141"/>
      <w:r>
        <w:rPr>
          <w:rFonts w:hint="eastAsia"/>
          <w:color w:val="auto"/>
        </w:rPr>
        <w:t>时间：</w:t>
      </w: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15</w:t>
      </w:r>
      <w:r>
        <w:rPr>
          <w:rFonts w:hint="eastAsia" w:ascii="宋体" w:hAnsi="宋体"/>
          <w:bCs/>
          <w:color w:val="auto"/>
          <w:szCs w:val="21"/>
        </w:rPr>
        <w:t>日</w:t>
      </w:r>
      <w:r>
        <w:rPr>
          <w:rFonts w:hint="eastAsia"/>
          <w:color w:val="auto"/>
        </w:rPr>
        <w:t>至</w:t>
      </w: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21</w:t>
      </w:r>
      <w:r>
        <w:rPr>
          <w:rFonts w:hint="eastAsia" w:ascii="宋体" w:hAnsi="宋体"/>
          <w:bCs/>
          <w:color w:val="auto"/>
          <w:szCs w:val="21"/>
        </w:rPr>
        <w:t>日</w:t>
      </w:r>
      <w:r>
        <w:rPr>
          <w:rFonts w:hint="eastAsia"/>
          <w:color w:val="auto"/>
        </w:rPr>
        <w:t xml:space="preserve"> ，每天上午00:00至12:00，下午12:00至23:59（北京时间，法定节假日除外）</w:t>
      </w:r>
    </w:p>
    <w:p w14:paraId="6C15D31D">
      <w:pPr>
        <w:spacing w:line="400" w:lineRule="exact"/>
        <w:ind w:firstLine="420"/>
        <w:rPr>
          <w:color w:val="auto"/>
        </w:rPr>
      </w:pPr>
      <w:r>
        <w:rPr>
          <w:rFonts w:hint="eastAsia"/>
          <w:color w:val="auto"/>
        </w:rPr>
        <w:t>地点(网址</w:t>
      </w:r>
      <w:r>
        <w:rPr>
          <w:color w:val="auto"/>
        </w:rPr>
        <w:t>)</w:t>
      </w:r>
      <w:r>
        <w:rPr>
          <w:rFonts w:hint="eastAsia"/>
          <w:color w:val="auto"/>
        </w:rPr>
        <w:t>：</w:t>
      </w:r>
      <w:r>
        <w:rPr>
          <w:rFonts w:hint="eastAsia" w:ascii="宋体" w:hAnsi="宋体"/>
          <w:color w:val="auto"/>
          <w:szCs w:val="21"/>
        </w:rPr>
        <w:t>广西政府采购云平台（https://www.gcy.zfcg.gxzf.gov.cn/）</w:t>
      </w:r>
    </w:p>
    <w:p w14:paraId="10687F12">
      <w:pPr>
        <w:spacing w:line="400" w:lineRule="exact"/>
        <w:ind w:firstLine="420"/>
        <w:rPr>
          <w:color w:val="auto"/>
        </w:rPr>
      </w:pPr>
      <w:r>
        <w:rPr>
          <w:rFonts w:hint="eastAsia"/>
          <w:color w:val="auto"/>
        </w:rPr>
        <w:t>方式：供应商登录广西政府采购云平台https://www.gcy.zfcg.gxzf.gov.cn/在线申请获取采购文件（进入“项目采购”应用，在获取采购文件菜单中选择项目，申请获取采购文件）</w:t>
      </w:r>
    </w:p>
    <w:p w14:paraId="4645EE9A">
      <w:pPr>
        <w:spacing w:line="400" w:lineRule="exact"/>
        <w:ind w:firstLine="420"/>
        <w:rPr>
          <w:color w:val="auto"/>
        </w:rPr>
      </w:pPr>
      <w:r>
        <w:rPr>
          <w:rFonts w:hint="eastAsia"/>
          <w:color w:val="auto"/>
        </w:rPr>
        <w:t>售价(元</w:t>
      </w:r>
      <w:r>
        <w:rPr>
          <w:color w:val="auto"/>
        </w:rPr>
        <w:t>)</w:t>
      </w:r>
      <w:r>
        <w:rPr>
          <w:rFonts w:hint="eastAsia"/>
          <w:color w:val="auto"/>
        </w:rPr>
        <w:t>：0</w:t>
      </w:r>
    </w:p>
    <w:p w14:paraId="417B66DF">
      <w:pPr>
        <w:spacing w:line="400" w:lineRule="exact"/>
        <w:rPr>
          <w:b/>
          <w:color w:val="auto"/>
        </w:rPr>
      </w:pPr>
      <w:r>
        <w:rPr>
          <w:rFonts w:hint="eastAsia"/>
          <w:b/>
          <w:bCs/>
          <w:color w:val="auto"/>
        </w:rPr>
        <w:t>四、</w:t>
      </w:r>
      <w:bookmarkEnd w:id="17"/>
      <w:bookmarkStart w:id="18" w:name="_Toc28359082"/>
      <w:bookmarkStart w:id="19" w:name="_Toc28359005"/>
      <w:bookmarkStart w:id="20" w:name="_Toc35393624"/>
      <w:bookmarkStart w:id="21" w:name="_Toc35393793"/>
      <w:r>
        <w:rPr>
          <w:rFonts w:hint="eastAsia"/>
          <w:b/>
          <w:color w:val="auto"/>
        </w:rPr>
        <w:t>响应文件</w:t>
      </w:r>
      <w:bookmarkEnd w:id="18"/>
      <w:bookmarkEnd w:id="19"/>
      <w:r>
        <w:rPr>
          <w:rFonts w:hint="eastAsia"/>
          <w:b/>
          <w:color w:val="auto"/>
        </w:rPr>
        <w:t>提交</w:t>
      </w:r>
      <w:bookmarkEnd w:id="20"/>
      <w:bookmarkEnd w:id="21"/>
    </w:p>
    <w:p w14:paraId="06783A3C">
      <w:pPr>
        <w:spacing w:line="400" w:lineRule="exact"/>
        <w:ind w:firstLine="420"/>
        <w:rPr>
          <w:color w:val="auto"/>
        </w:rPr>
      </w:pPr>
      <w:r>
        <w:rPr>
          <w:rFonts w:hint="eastAsia"/>
          <w:color w:val="auto"/>
        </w:rPr>
        <w:t>截止时间：</w:t>
      </w: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23</w:t>
      </w:r>
      <w:r>
        <w:rPr>
          <w:rFonts w:hint="eastAsia" w:ascii="宋体" w:hAnsi="宋体"/>
          <w:bCs/>
          <w:color w:val="auto"/>
          <w:szCs w:val="21"/>
        </w:rPr>
        <w:t>日</w:t>
      </w:r>
      <w:r>
        <w:rPr>
          <w:rFonts w:hint="eastAsia"/>
          <w:color w:val="auto"/>
          <w:lang w:val="en-US" w:eastAsia="zh-CN"/>
        </w:rPr>
        <w:t>9</w:t>
      </w:r>
      <w:r>
        <w:rPr>
          <w:color w:val="auto"/>
        </w:rPr>
        <w:t>:</w:t>
      </w:r>
      <w:r>
        <w:rPr>
          <w:rFonts w:hint="eastAsia"/>
          <w:color w:val="auto"/>
          <w:lang w:val="en-US" w:eastAsia="zh-CN"/>
        </w:rPr>
        <w:t>30</w:t>
      </w:r>
      <w:r>
        <w:rPr>
          <w:rFonts w:hint="eastAsia"/>
          <w:color w:val="auto"/>
        </w:rPr>
        <w:t>（北京时间）</w:t>
      </w:r>
    </w:p>
    <w:p w14:paraId="6F79BE42">
      <w:pPr>
        <w:spacing w:line="400" w:lineRule="exact"/>
        <w:ind w:firstLine="420"/>
        <w:rPr>
          <w:rFonts w:hint="eastAsia" w:ascii="宋体" w:hAnsi="宋体" w:cs="Courier New"/>
          <w:color w:val="auto"/>
          <w:szCs w:val="21"/>
        </w:rPr>
      </w:pPr>
      <w:r>
        <w:rPr>
          <w:rFonts w:hint="eastAsia"/>
          <w:color w:val="auto"/>
        </w:rPr>
        <w:t>地点(网址）：</w:t>
      </w:r>
      <w:r>
        <w:rPr>
          <w:rFonts w:hint="eastAsia" w:ascii="宋体" w:hAnsi="宋体"/>
          <w:color w:val="auto"/>
          <w:szCs w:val="21"/>
        </w:rPr>
        <w:t>广西政府采购云平台（https://www.gcy.zfcg.gxzf.gov.cn/）</w:t>
      </w:r>
    </w:p>
    <w:p w14:paraId="76B84FA1">
      <w:pPr>
        <w:spacing w:line="400" w:lineRule="exact"/>
        <w:rPr>
          <w:rFonts w:hint="eastAsia" w:ascii="宋体" w:hAnsi="宋体" w:cs="Courier New"/>
          <w:b/>
          <w:bCs/>
          <w:color w:val="auto"/>
          <w:szCs w:val="21"/>
        </w:rPr>
      </w:pPr>
      <w:r>
        <w:rPr>
          <w:rFonts w:hint="eastAsia" w:ascii="宋体" w:hAnsi="宋体" w:cs="Courier New"/>
          <w:b/>
          <w:bCs/>
          <w:color w:val="auto"/>
          <w:szCs w:val="21"/>
        </w:rPr>
        <w:t>五、响应文件开启</w:t>
      </w:r>
    </w:p>
    <w:p w14:paraId="40841CF9">
      <w:pPr>
        <w:spacing w:line="400" w:lineRule="exact"/>
        <w:ind w:firstLine="420" w:firstLineChars="200"/>
        <w:rPr>
          <w:rFonts w:hint="eastAsia" w:ascii="宋体" w:hAnsi="宋体" w:cs="Courier New"/>
          <w:color w:val="auto"/>
          <w:szCs w:val="21"/>
        </w:rPr>
      </w:pPr>
      <w:r>
        <w:rPr>
          <w:rFonts w:hint="eastAsia" w:ascii="宋体" w:hAnsi="宋体" w:cs="Courier New"/>
          <w:color w:val="auto"/>
          <w:szCs w:val="21"/>
        </w:rPr>
        <w:t>开启时间：</w:t>
      </w: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23</w:t>
      </w:r>
      <w:r>
        <w:rPr>
          <w:rFonts w:hint="eastAsia" w:ascii="宋体" w:hAnsi="宋体"/>
          <w:bCs/>
          <w:color w:val="auto"/>
          <w:szCs w:val="21"/>
        </w:rPr>
        <w:t>日</w:t>
      </w:r>
      <w:r>
        <w:rPr>
          <w:rFonts w:hint="eastAsia"/>
          <w:color w:val="auto"/>
          <w:lang w:val="en-US" w:eastAsia="zh-CN"/>
        </w:rPr>
        <w:t>9</w:t>
      </w:r>
      <w:r>
        <w:rPr>
          <w:color w:val="auto"/>
        </w:rPr>
        <w:t>:</w:t>
      </w:r>
      <w:r>
        <w:rPr>
          <w:rFonts w:hint="eastAsia"/>
          <w:color w:val="auto"/>
          <w:lang w:val="en-US" w:eastAsia="zh-CN"/>
        </w:rPr>
        <w:t>30</w:t>
      </w:r>
      <w:r>
        <w:rPr>
          <w:rFonts w:hint="eastAsia"/>
          <w:color w:val="auto"/>
        </w:rPr>
        <w:t>（北京时间）</w:t>
      </w:r>
    </w:p>
    <w:p w14:paraId="46AD5F9D">
      <w:pPr>
        <w:spacing w:line="400" w:lineRule="exact"/>
        <w:ind w:firstLine="420"/>
        <w:rPr>
          <w:rFonts w:hint="eastAsia" w:ascii="宋体" w:hAnsi="宋体" w:cs="Courier New"/>
          <w:color w:val="auto"/>
          <w:szCs w:val="21"/>
        </w:rPr>
      </w:pPr>
      <w:r>
        <w:rPr>
          <w:rFonts w:hint="eastAsia" w:ascii="宋体" w:hAnsi="宋体" w:cs="Courier New"/>
          <w:color w:val="auto"/>
          <w:szCs w:val="21"/>
        </w:rPr>
        <w:t>地点：</w:t>
      </w:r>
      <w:bookmarkStart w:id="22" w:name="_Toc28359007"/>
      <w:bookmarkStart w:id="23" w:name="_Toc35393625"/>
      <w:bookmarkStart w:id="24" w:name="_Toc35393794"/>
      <w:bookmarkStart w:id="25" w:name="_Toc28359084"/>
      <w:r>
        <w:rPr>
          <w:rFonts w:hint="eastAsia"/>
          <w:color w:val="auto"/>
        </w:rPr>
        <w:t>广西钦州市金海湾东大街8号市政务服务中心三楼开标室</w:t>
      </w:r>
    </w:p>
    <w:p w14:paraId="0B5EC5E7">
      <w:pPr>
        <w:spacing w:line="400" w:lineRule="exact"/>
        <w:rPr>
          <w:b/>
          <w:color w:val="auto"/>
        </w:rPr>
      </w:pPr>
      <w:r>
        <w:rPr>
          <w:rFonts w:hint="eastAsia"/>
          <w:b/>
          <w:color w:val="auto"/>
        </w:rPr>
        <w:t>六、公告期限</w:t>
      </w:r>
      <w:bookmarkEnd w:id="22"/>
      <w:bookmarkEnd w:id="23"/>
      <w:bookmarkEnd w:id="24"/>
      <w:bookmarkEnd w:id="25"/>
    </w:p>
    <w:p w14:paraId="48AA70CD">
      <w:pPr>
        <w:spacing w:line="400" w:lineRule="exact"/>
        <w:ind w:firstLine="420"/>
        <w:rPr>
          <w:color w:val="auto"/>
        </w:rPr>
      </w:pPr>
      <w:r>
        <w:rPr>
          <w:rFonts w:hint="eastAsia"/>
          <w:color w:val="auto"/>
        </w:rPr>
        <w:t>自本公告发布之日起</w:t>
      </w:r>
      <w:r>
        <w:rPr>
          <w:color w:val="auto"/>
        </w:rPr>
        <w:t>3</w:t>
      </w:r>
      <w:r>
        <w:rPr>
          <w:rFonts w:hint="eastAsia"/>
          <w:color w:val="auto"/>
        </w:rPr>
        <w:t>个工作日。</w:t>
      </w:r>
    </w:p>
    <w:p w14:paraId="1443EDB0">
      <w:pPr>
        <w:spacing w:line="400" w:lineRule="exact"/>
        <w:rPr>
          <w:b/>
          <w:color w:val="auto"/>
        </w:rPr>
      </w:pPr>
      <w:bookmarkStart w:id="26" w:name="_Toc28359008"/>
      <w:bookmarkStart w:id="27" w:name="_Toc28359085"/>
      <w:bookmarkStart w:id="28" w:name="_Toc35393796"/>
      <w:bookmarkStart w:id="29" w:name="_Toc35393627"/>
      <w:r>
        <w:rPr>
          <w:rFonts w:hint="eastAsia"/>
          <w:b/>
          <w:color w:val="auto"/>
        </w:rPr>
        <w:t>七、其他补充事宜</w:t>
      </w:r>
    </w:p>
    <w:p w14:paraId="2442F209">
      <w:pPr>
        <w:spacing w:line="400" w:lineRule="exact"/>
        <w:ind w:firstLine="420"/>
        <w:rPr>
          <w:b/>
          <w:color w:val="auto"/>
        </w:rPr>
      </w:pPr>
      <w:r>
        <w:rPr>
          <w:rFonts w:hint="eastAsia"/>
          <w:color w:val="auto"/>
        </w:rPr>
        <w:t>1</w:t>
      </w:r>
      <w:r>
        <w:rPr>
          <w:color w:val="auto"/>
        </w:rPr>
        <w:t>.</w:t>
      </w:r>
      <w:r>
        <w:rPr>
          <w:rFonts w:hint="eastAsia"/>
          <w:bCs/>
          <w:color w:val="auto"/>
        </w:rPr>
        <w:t>本项目须要落实的政府采购政策</w:t>
      </w:r>
      <w:r>
        <w:rPr>
          <w:rFonts w:hint="eastAsia"/>
          <w:b/>
          <w:color w:val="auto"/>
        </w:rPr>
        <w:t>：</w:t>
      </w:r>
    </w:p>
    <w:p w14:paraId="60A2D1EB">
      <w:pPr>
        <w:spacing w:line="400" w:lineRule="exact"/>
        <w:ind w:left="420" w:leftChars="200"/>
        <w:rPr>
          <w:bCs/>
          <w:color w:val="auto"/>
        </w:rPr>
      </w:pPr>
      <w:r>
        <w:rPr>
          <w:rFonts w:hint="eastAsia"/>
          <w:bCs/>
          <w:color w:val="auto"/>
        </w:rPr>
        <w:t>(1)财政部 工业和信息化部关于印发《政府采购促进中小企业发展管理办法》的通知(财</w:t>
      </w:r>
    </w:p>
    <w:p w14:paraId="0E9F948A">
      <w:pPr>
        <w:spacing w:line="400" w:lineRule="exact"/>
        <w:ind w:left="420" w:hanging="420" w:hangingChars="200"/>
        <w:rPr>
          <w:rFonts w:hint="eastAsia" w:eastAsia="宋体"/>
          <w:bCs/>
          <w:color w:val="auto"/>
          <w:lang w:eastAsia="zh-CN"/>
        </w:rPr>
      </w:pPr>
      <w:r>
        <w:rPr>
          <w:rFonts w:hint="eastAsia"/>
          <w:bCs/>
          <w:color w:val="auto"/>
        </w:rPr>
        <w:t>库﹝2020﹞46号)</w:t>
      </w:r>
    </w:p>
    <w:p w14:paraId="0077FDEC">
      <w:pPr>
        <w:spacing w:line="400" w:lineRule="exact"/>
        <w:ind w:left="420" w:leftChars="200" w:firstLine="0" w:firstLineChars="0"/>
        <w:rPr>
          <w:bCs/>
          <w:color w:val="auto"/>
        </w:rPr>
      </w:pPr>
      <w:r>
        <w:rPr>
          <w:rFonts w:hint="eastAsia"/>
          <w:bCs/>
          <w:color w:val="auto"/>
        </w:rPr>
        <w:t>(2)财政部 司法部关于政府采购支持监狱企业发展有关问题的通知 (财库﹝2014﹞68</w:t>
      </w:r>
    </w:p>
    <w:p w14:paraId="587FE058">
      <w:pPr>
        <w:spacing w:line="400" w:lineRule="exact"/>
        <w:ind w:left="420" w:hanging="420" w:hangingChars="200"/>
        <w:rPr>
          <w:rFonts w:hint="eastAsia" w:eastAsia="宋体"/>
          <w:bCs/>
          <w:color w:val="auto"/>
          <w:lang w:eastAsia="zh-CN"/>
        </w:rPr>
      </w:pPr>
      <w:r>
        <w:rPr>
          <w:rFonts w:hint="eastAsia"/>
          <w:bCs/>
          <w:color w:val="auto"/>
        </w:rPr>
        <w:t>号)</w:t>
      </w:r>
    </w:p>
    <w:p w14:paraId="6663F8DC">
      <w:pPr>
        <w:spacing w:line="400" w:lineRule="exact"/>
        <w:ind w:left="420" w:leftChars="200" w:firstLine="0" w:firstLineChars="0"/>
        <w:rPr>
          <w:bCs/>
          <w:color w:val="auto"/>
        </w:rPr>
      </w:pPr>
      <w:r>
        <w:rPr>
          <w:rFonts w:hint="eastAsia"/>
          <w:bCs/>
          <w:color w:val="auto"/>
        </w:rPr>
        <w:t>(3)财政部 民政部 中国残疾人联合会关于促进残疾人就业政府采购政策的通知 (财库</w:t>
      </w:r>
    </w:p>
    <w:p w14:paraId="2D8171AA">
      <w:pPr>
        <w:spacing w:line="400" w:lineRule="exact"/>
        <w:ind w:left="420" w:hanging="420" w:hangingChars="200"/>
        <w:rPr>
          <w:rFonts w:hint="eastAsia" w:eastAsia="宋体"/>
          <w:bCs/>
          <w:color w:val="auto"/>
          <w:lang w:eastAsia="zh-CN"/>
        </w:rPr>
      </w:pPr>
      <w:r>
        <w:rPr>
          <w:rFonts w:hint="eastAsia"/>
          <w:bCs/>
          <w:color w:val="auto"/>
        </w:rPr>
        <w:t>﹝2017﹞141号)</w:t>
      </w:r>
    </w:p>
    <w:p w14:paraId="5C7FDE8C">
      <w:pPr>
        <w:spacing w:line="400" w:lineRule="exact"/>
        <w:ind w:left="420" w:leftChars="200" w:firstLine="0" w:firstLineChars="0"/>
        <w:rPr>
          <w:bCs/>
          <w:color w:val="auto"/>
        </w:rPr>
      </w:pPr>
      <w:r>
        <w:rPr>
          <w:rFonts w:hint="eastAsia"/>
          <w:bCs/>
          <w:color w:val="auto"/>
        </w:rPr>
        <w:t>(4)财政部 发展改革委 生态环境部 市场监管总局关于调整优化节能产品、环境标志产</w:t>
      </w:r>
    </w:p>
    <w:p w14:paraId="2AE43CE7">
      <w:pPr>
        <w:spacing w:line="400" w:lineRule="exact"/>
        <w:ind w:left="420" w:hanging="420" w:hangingChars="200"/>
        <w:rPr>
          <w:bCs/>
          <w:color w:val="auto"/>
        </w:rPr>
      </w:pPr>
      <w:r>
        <w:rPr>
          <w:rFonts w:hint="eastAsia"/>
          <w:bCs/>
          <w:color w:val="auto"/>
        </w:rPr>
        <w:t>品政府采购执行机制的通知（财库〔2019〕9号）</w:t>
      </w:r>
    </w:p>
    <w:p w14:paraId="0CC8EF62">
      <w:pPr>
        <w:spacing w:line="400" w:lineRule="exact"/>
        <w:ind w:left="420" w:leftChars="200" w:firstLine="0" w:firstLineChars="0"/>
        <w:rPr>
          <w:rFonts w:hint="eastAsia"/>
          <w:bCs/>
          <w:color w:val="auto"/>
        </w:rPr>
      </w:pPr>
      <w:r>
        <w:rPr>
          <w:rFonts w:hint="eastAsia"/>
          <w:bCs/>
          <w:color w:val="auto"/>
        </w:rPr>
        <w:t>(5)财政部 发展改革委 关于印发节能产品政府采购品目清单的通知（财库〔2019〕19</w:t>
      </w:r>
    </w:p>
    <w:p w14:paraId="63ADD090">
      <w:pPr>
        <w:spacing w:line="400" w:lineRule="exact"/>
        <w:ind w:left="420" w:hanging="420" w:hangingChars="200"/>
        <w:rPr>
          <w:bCs/>
          <w:color w:val="auto"/>
        </w:rPr>
      </w:pPr>
      <w:r>
        <w:rPr>
          <w:rFonts w:hint="eastAsia"/>
          <w:bCs/>
          <w:color w:val="auto"/>
        </w:rPr>
        <w:t>号）</w:t>
      </w:r>
    </w:p>
    <w:p w14:paraId="282365D3">
      <w:pPr>
        <w:spacing w:line="400" w:lineRule="exact"/>
        <w:ind w:firstLine="420"/>
        <w:rPr>
          <w:rFonts w:hint="default" w:eastAsia="宋体"/>
          <w:color w:val="auto"/>
          <w:lang w:val="en-US" w:eastAsia="zh-CN"/>
        </w:rPr>
      </w:pPr>
      <w:r>
        <w:rPr>
          <w:rFonts w:hint="eastAsia"/>
          <w:color w:val="auto"/>
          <w:lang w:val="en-US" w:eastAsia="zh-CN"/>
        </w:rPr>
        <w:t>2.竞标保证金：不需要缴纳。</w:t>
      </w:r>
    </w:p>
    <w:p w14:paraId="179C94D9">
      <w:pPr>
        <w:spacing w:line="400" w:lineRule="exact"/>
        <w:ind w:firstLine="420"/>
        <w:rPr>
          <w:color w:val="auto"/>
        </w:rPr>
      </w:pPr>
      <w:r>
        <w:rPr>
          <w:rFonts w:hint="eastAsia"/>
          <w:color w:val="auto"/>
          <w:lang w:val="en-US" w:eastAsia="zh-CN"/>
        </w:rPr>
        <w:t>3</w:t>
      </w:r>
      <w:r>
        <w:rPr>
          <w:color w:val="auto"/>
        </w:rPr>
        <w:t>.</w:t>
      </w:r>
      <w:bookmarkStart w:id="30" w:name="_Hlk91598380"/>
      <w:r>
        <w:rPr>
          <w:rFonts w:hint="eastAsia"/>
          <w:color w:val="auto"/>
        </w:rPr>
        <w:t>全流程电子化</w:t>
      </w:r>
      <w:bookmarkEnd w:id="30"/>
      <w:r>
        <w:rPr>
          <w:rFonts w:hint="eastAsia"/>
          <w:color w:val="auto"/>
        </w:rPr>
        <w:t>要求：</w:t>
      </w:r>
    </w:p>
    <w:p w14:paraId="66301ACE">
      <w:pPr>
        <w:spacing w:line="400" w:lineRule="exact"/>
        <w:ind w:firstLine="420"/>
        <w:rPr>
          <w:color w:val="auto"/>
        </w:rPr>
      </w:pPr>
      <w:bookmarkStart w:id="31" w:name="_Hlk147760486"/>
      <w:r>
        <w:rPr>
          <w:rFonts w:hint="eastAsia"/>
          <w:color w:val="auto"/>
        </w:rPr>
        <w:t>本项目为全流程电子化项目，供应商应做好参与全流程电子化交易的充分准备，熟悉掌握电子化采购项目操作指南(操作指南：</w:t>
      </w:r>
      <w:r>
        <w:rPr>
          <w:rFonts w:hint="eastAsia"/>
          <w:color w:val="auto"/>
          <w:u w:val="single"/>
        </w:rPr>
        <w:t>广西</w:t>
      </w:r>
      <w:r>
        <w:rPr>
          <w:color w:val="auto"/>
        </w:rPr>
        <w:fldChar w:fldCharType="begin"/>
      </w:r>
      <w:r>
        <w:rPr>
          <w:color w:val="auto"/>
        </w:rPr>
        <w:instrText xml:space="preserve"> HYPERLINK "https://helpcenter.zcygov.cn/document/" \l "/document/dashboard?siteCode=beijing&amp;channel=dt" </w:instrText>
      </w:r>
      <w:r>
        <w:rPr>
          <w:color w:val="auto"/>
        </w:rPr>
        <w:fldChar w:fldCharType="separate"/>
      </w:r>
      <w:r>
        <w:rPr>
          <w:rStyle w:val="44"/>
          <w:rFonts w:hint="eastAsia"/>
          <w:color w:val="auto"/>
        </w:rPr>
        <w:t>政采云电子卖场首页右上角—服务中心—帮助文档—项目采购</w:t>
      </w:r>
      <w:r>
        <w:rPr>
          <w:rStyle w:val="44"/>
          <w:rFonts w:hint="eastAsia"/>
          <w:color w:val="auto"/>
        </w:rPr>
        <w:fldChar w:fldCharType="end"/>
      </w:r>
      <w:r>
        <w:rPr>
          <w:rFonts w:hint="eastAsia"/>
          <w:color w:val="auto"/>
        </w:rPr>
        <w:t>)，及时完成CA申领和绑定(操作指南：</w:t>
      </w:r>
      <w:r>
        <w:rPr>
          <w:rFonts w:hint="eastAsia"/>
          <w:color w:val="auto"/>
          <w:u w:val="single"/>
        </w:rPr>
        <w:t>广西</w:t>
      </w:r>
      <w:r>
        <w:rPr>
          <w:color w:val="auto"/>
        </w:rPr>
        <w:fldChar w:fldCharType="begin"/>
      </w:r>
      <w:r>
        <w:rPr>
          <w:color w:val="auto"/>
        </w:rPr>
        <w:instrText xml:space="preserve"> HYPERLINK "https://helpcenter.zcygov.cn/document/" \l "/document/detail?siteCode=beijing&amp;manualId=795&amp;topicId=4081" </w:instrText>
      </w:r>
      <w:r>
        <w:rPr>
          <w:color w:val="auto"/>
        </w:rPr>
        <w:fldChar w:fldCharType="separate"/>
      </w:r>
      <w:r>
        <w:rPr>
          <w:rStyle w:val="44"/>
          <w:rFonts w:hint="eastAsia"/>
          <w:color w:val="auto"/>
        </w:rPr>
        <w:t>政采云电子卖场首页右上角—帮助文档—入驻与配置—CA管理</w:t>
      </w:r>
      <w:r>
        <w:rPr>
          <w:rStyle w:val="44"/>
          <w:rFonts w:hint="eastAsia"/>
          <w:color w:val="auto"/>
        </w:rPr>
        <w:fldChar w:fldCharType="end"/>
      </w:r>
      <w:r>
        <w:rPr>
          <w:rFonts w:hint="eastAsia"/>
          <w:color w:val="auto"/>
        </w:rPr>
        <w:t>；CA证书申领路径：</w:t>
      </w:r>
      <w:r>
        <w:rPr>
          <w:rFonts w:hint="eastAsia"/>
          <w:color w:val="auto"/>
          <w:u w:val="single"/>
        </w:rPr>
        <w:t>广西</w:t>
      </w:r>
      <w:r>
        <w:rPr>
          <w:color w:val="auto"/>
        </w:rPr>
        <w:fldChar w:fldCharType="begin"/>
      </w:r>
      <w:r>
        <w:rPr>
          <w:color w:val="auto"/>
        </w:rPr>
        <w:instrText xml:space="preserve"> HYPERLINK "https://helpcenter.zcygov.cn/document/" \l "/document/detail?siteCode=beijing&amp;manualId=795&amp;topicId=4083" </w:instrText>
      </w:r>
      <w:r>
        <w:rPr>
          <w:color w:val="auto"/>
        </w:rPr>
        <w:fldChar w:fldCharType="separate"/>
      </w:r>
      <w:r>
        <w:rPr>
          <w:rStyle w:val="44"/>
          <w:rFonts w:hint="eastAsia"/>
          <w:color w:val="auto"/>
        </w:rPr>
        <w:t>政采云平台—我的工作台右上角—CA管理—CA证书申领</w:t>
      </w:r>
      <w:r>
        <w:rPr>
          <w:rStyle w:val="44"/>
          <w:rFonts w:hint="eastAsia"/>
          <w:color w:val="auto"/>
        </w:rPr>
        <w:fldChar w:fldCharType="end"/>
      </w:r>
      <w:r>
        <w:rPr>
          <w:rFonts w:hint="eastAsia"/>
          <w:color w:val="auto"/>
        </w:rPr>
        <w:t>)。因未注册入库、未办理CA数字证书、CA证书故障、操作不当等原因造成谈判失败等后果由供应商承担。</w:t>
      </w:r>
    </w:p>
    <w:bookmarkEnd w:id="31"/>
    <w:p w14:paraId="667DA206">
      <w:pPr>
        <w:spacing w:line="400" w:lineRule="exact"/>
        <w:ind w:firstLine="420"/>
        <w:rPr>
          <w:color w:val="auto"/>
        </w:rPr>
      </w:pPr>
      <w:r>
        <w:rPr>
          <w:color w:val="auto"/>
        </w:rPr>
        <w:t>(1)</w:t>
      </w:r>
      <w:r>
        <w:rPr>
          <w:rFonts w:hint="eastAsia"/>
          <w:color w:val="auto"/>
        </w:rPr>
        <w:t>依法获取采购文件：供应商须在获取采购文件时间内登录</w:t>
      </w:r>
      <w:r>
        <w:rPr>
          <w:rFonts w:hint="eastAsia"/>
          <w:color w:val="auto"/>
          <w:u w:val="single"/>
        </w:rPr>
        <w:t>广西</w:t>
      </w:r>
      <w:r>
        <w:rPr>
          <w:color w:val="auto"/>
        </w:rPr>
        <w:fldChar w:fldCharType="begin"/>
      </w:r>
      <w:r>
        <w:rPr>
          <w:color w:val="auto"/>
        </w:rPr>
        <w:instrText xml:space="preserve"> HYPERLINK "https://www.zcygov.cn/" </w:instrText>
      </w:r>
      <w:r>
        <w:rPr>
          <w:color w:val="auto"/>
        </w:rPr>
        <w:fldChar w:fldCharType="separate"/>
      </w:r>
      <w:r>
        <w:rPr>
          <w:rStyle w:val="44"/>
          <w:rFonts w:hint="eastAsia"/>
          <w:color w:val="auto"/>
        </w:rPr>
        <w:t>政府采购云平台</w:t>
      </w:r>
      <w:r>
        <w:rPr>
          <w:rStyle w:val="44"/>
          <w:rFonts w:hint="eastAsia"/>
          <w:color w:val="auto"/>
        </w:rPr>
        <w:fldChar w:fldCharType="end"/>
      </w:r>
      <w:r>
        <w:rPr>
          <w:rFonts w:hint="eastAsia"/>
          <w:color w:val="auto"/>
        </w:rPr>
        <w:t>申请下载采购文件才视作依法获取采购文件。</w:t>
      </w:r>
    </w:p>
    <w:p w14:paraId="2389D8B1">
      <w:pPr>
        <w:spacing w:line="400" w:lineRule="exact"/>
        <w:ind w:firstLine="420"/>
        <w:rPr>
          <w:b/>
          <w:color w:val="auto"/>
        </w:rPr>
      </w:pPr>
      <w:r>
        <w:rPr>
          <w:rFonts w:hint="eastAsia"/>
          <w:color w:val="auto"/>
        </w:rPr>
        <w:t>(</w:t>
      </w:r>
      <w:r>
        <w:rPr>
          <w:color w:val="auto"/>
        </w:rPr>
        <w:t>2)</w:t>
      </w:r>
      <w:r>
        <w:rPr>
          <w:rFonts w:hint="eastAsia"/>
          <w:color w:val="auto"/>
        </w:rPr>
        <w:t>供应商应通过广西政府采购云平台客户端制作响应文件，供应商自行前往下载安装（</w:t>
      </w:r>
      <w:r>
        <w:rPr>
          <w:rFonts w:hint="eastAsia"/>
          <w:color w:val="auto"/>
        </w:rPr>
        <w:fldChar w:fldCharType="begin"/>
      </w:r>
      <w:r>
        <w:rPr>
          <w:color w:val="auto"/>
        </w:rPr>
        <w:instrText xml:space="preserve"> HYPERLINK "https://sitecdn.zcycdn.com/zcy-client/bidding-client-new/official/guangxi/GuangXiSetup.exe" </w:instrText>
      </w:r>
      <w:r>
        <w:rPr>
          <w:rFonts w:hint="eastAsia"/>
          <w:color w:val="auto"/>
        </w:rPr>
        <w:fldChar w:fldCharType="separate"/>
      </w:r>
      <w:r>
        <w:rPr>
          <w:rFonts w:hint="eastAsia"/>
          <w:color w:val="auto"/>
        </w:rPr>
        <w:t>客户端下载</w:t>
      </w:r>
      <w:r>
        <w:rPr>
          <w:rFonts w:hint="eastAsia"/>
          <w:color w:val="auto"/>
        </w:rPr>
        <w:fldChar w:fldCharType="end"/>
      </w:r>
      <w:r>
        <w:rPr>
          <w:rFonts w:hint="eastAsia"/>
          <w:color w:val="auto"/>
        </w:rPr>
        <w:t>）。</w:t>
      </w:r>
    </w:p>
    <w:p w14:paraId="74D84A73">
      <w:pPr>
        <w:spacing w:line="400" w:lineRule="exact"/>
        <w:ind w:firstLine="420"/>
        <w:rPr>
          <w:color w:val="auto"/>
        </w:rPr>
      </w:pPr>
      <w:r>
        <w:rPr>
          <w:rFonts w:hint="eastAsia"/>
          <w:color w:val="auto"/>
        </w:rPr>
        <w:t>(</w:t>
      </w:r>
      <w:r>
        <w:rPr>
          <w:color w:val="auto"/>
        </w:rPr>
        <w:t>3)</w:t>
      </w:r>
      <w:r>
        <w:rPr>
          <w:rFonts w:hint="eastAsia"/>
          <w:color w:val="auto"/>
        </w:rPr>
        <w:t>供应商须按照采购文件和广西政府采购云平台的要求进行编制、上传、加密、提交、解密响应文件，响应文件提交截止时间后，广西政府采购云平台自动提取全部响应文件，各供应商须在提交截止时间后30分钟内对已上传广西政府采购云平台的响应文件进行解密，参与本项目的全部供应商在规定的解密时限内解密完成或解密时限结束后，我中心开启响应文件；供应商在解密时限内未完成解密的，广西政府采购云平台默认为供应商放弃参与本项目。</w:t>
      </w:r>
    </w:p>
    <w:p w14:paraId="4BA3C70E">
      <w:pPr>
        <w:spacing w:line="400" w:lineRule="exact"/>
        <w:ind w:firstLine="420"/>
        <w:rPr>
          <w:b/>
          <w:color w:val="auto"/>
        </w:rPr>
      </w:pPr>
      <w:r>
        <w:rPr>
          <w:rFonts w:hint="eastAsia"/>
          <w:color w:val="auto"/>
        </w:rPr>
        <w:t>(</w:t>
      </w:r>
      <w:r>
        <w:rPr>
          <w:color w:val="auto"/>
        </w:rPr>
        <w:t>4)</w:t>
      </w:r>
      <w:r>
        <w:rPr>
          <w:rFonts w:hint="eastAsia"/>
          <w:color w:val="auto"/>
        </w:rPr>
        <w:t>供应商法定代表人或委托代理人须按时登录</w:t>
      </w:r>
      <w:bookmarkStart w:id="32" w:name="_Hlk90367388"/>
      <w:r>
        <w:rPr>
          <w:rFonts w:hint="eastAsia"/>
          <w:color w:val="auto"/>
        </w:rPr>
        <w:t>广西</w:t>
      </w:r>
      <w:r>
        <w:rPr>
          <w:rFonts w:hint="eastAsia" w:ascii="宋体" w:hAnsi="宋体" w:cs="Courier New"/>
          <w:color w:val="auto"/>
          <w:szCs w:val="21"/>
        </w:rPr>
        <w:t>政采云远程开标大厅</w:t>
      </w:r>
      <w:bookmarkEnd w:id="32"/>
      <w:r>
        <w:rPr>
          <w:rFonts w:hint="eastAsia"/>
          <w:color w:val="auto"/>
        </w:rPr>
        <w:t>，保持全程在线并关注评审谈判进度，评审期间谈判小组提出澄清等要求时，供应商须在规定时间内进行应答，否则按采购文件或广西政采云平台的相关规定执行。</w:t>
      </w:r>
    </w:p>
    <w:p w14:paraId="086B5D7F">
      <w:pPr>
        <w:spacing w:line="400" w:lineRule="exact"/>
        <w:ind w:firstLine="420"/>
        <w:rPr>
          <w:rFonts w:hint="eastAsia" w:hAnsi="宋体"/>
          <w:color w:val="auto"/>
        </w:rPr>
      </w:pPr>
      <w:r>
        <w:rPr>
          <w:rFonts w:hint="eastAsia"/>
          <w:color w:val="auto"/>
        </w:rPr>
        <w:t>(</w:t>
      </w:r>
      <w:r>
        <w:rPr>
          <w:color w:val="auto"/>
        </w:rPr>
        <w:t>5)</w:t>
      </w:r>
      <w:r>
        <w:rPr>
          <w:rFonts w:hint="eastAsia"/>
          <w:color w:val="auto"/>
        </w:rPr>
        <w:t>供应商参与谈判过程中涉及广西政府采购云平台的问题，请咨询广西政采云</w:t>
      </w:r>
      <w:r>
        <w:rPr>
          <w:rFonts w:hint="eastAsia" w:hAnsi="宋体"/>
          <w:color w:val="auto"/>
        </w:rPr>
        <w:t>技术支持热线：</w:t>
      </w:r>
      <w:r>
        <w:rPr>
          <w:rFonts w:hAnsi="宋体"/>
          <w:color w:val="auto"/>
        </w:rPr>
        <w:t>95763</w:t>
      </w:r>
      <w:r>
        <w:rPr>
          <w:rFonts w:hint="eastAsia" w:hAnsi="宋体"/>
          <w:color w:val="auto"/>
        </w:rPr>
        <w:t>。</w:t>
      </w:r>
    </w:p>
    <w:p w14:paraId="636816E0">
      <w:pPr>
        <w:spacing w:line="400" w:lineRule="exact"/>
        <w:ind w:firstLine="420"/>
        <w:jc w:val="left"/>
        <w:rPr>
          <w:rFonts w:hint="eastAsia" w:hAnsi="宋体"/>
          <w:color w:val="auto"/>
        </w:rPr>
      </w:pPr>
      <w:r>
        <w:rPr>
          <w:rFonts w:hint="eastAsia" w:hAnsi="宋体"/>
          <w:color w:val="auto"/>
          <w:lang w:val="en-US" w:eastAsia="zh-CN"/>
        </w:rPr>
        <w:t>4</w:t>
      </w:r>
      <w:r>
        <w:rPr>
          <w:rFonts w:hAnsi="宋体"/>
          <w:color w:val="auto"/>
        </w:rPr>
        <w:t>.</w:t>
      </w:r>
      <w:r>
        <w:rPr>
          <w:rFonts w:hint="eastAsia" w:hAnsi="宋体"/>
          <w:color w:val="auto"/>
        </w:rPr>
        <w:t>查询媒体：中国政府采购网、</w:t>
      </w:r>
      <w:r>
        <w:rPr>
          <w:rFonts w:hint="eastAsia"/>
          <w:color w:val="auto"/>
        </w:rPr>
        <w:fldChar w:fldCharType="begin"/>
      </w:r>
      <w:r>
        <w:rPr>
          <w:color w:val="auto"/>
        </w:rPr>
        <w:instrText xml:space="preserve"> HYPERLINK "http://zfcg.gxzf.gov.cn/" </w:instrText>
      </w:r>
      <w:r>
        <w:rPr>
          <w:rFonts w:hint="eastAsia"/>
          <w:color w:val="auto"/>
        </w:rPr>
        <w:fldChar w:fldCharType="separate"/>
      </w:r>
      <w:r>
        <w:rPr>
          <w:rStyle w:val="44"/>
          <w:rFonts w:hint="eastAsia" w:hAnsi="宋体"/>
          <w:color w:val="auto"/>
          <w:u w:val="none"/>
        </w:rPr>
        <w:t>广西政府采购网</w:t>
      </w:r>
      <w:r>
        <w:rPr>
          <w:rStyle w:val="44"/>
          <w:rFonts w:hint="eastAsia" w:hAnsi="宋体"/>
          <w:color w:val="auto"/>
          <w:u w:val="none"/>
        </w:rPr>
        <w:fldChar w:fldCharType="end"/>
      </w:r>
      <w:r>
        <w:rPr>
          <w:rFonts w:hint="eastAsia" w:hAnsi="宋体"/>
          <w:color w:val="auto"/>
        </w:rPr>
        <w:t>。</w:t>
      </w:r>
    </w:p>
    <w:p w14:paraId="6F515E14">
      <w:pPr>
        <w:spacing w:line="400" w:lineRule="exact"/>
        <w:ind w:firstLine="420"/>
        <w:jc w:val="left"/>
        <w:rPr>
          <w:rFonts w:hint="eastAsia" w:hAnsi="宋体"/>
          <w:color w:val="auto"/>
        </w:rPr>
      </w:pPr>
      <w:bookmarkStart w:id="33" w:name="_Hlk107409555"/>
      <w:r>
        <w:rPr>
          <w:rFonts w:hint="eastAsia" w:hAnsi="宋体"/>
          <w:color w:val="auto"/>
          <w:lang w:val="en-US" w:eastAsia="zh-CN"/>
        </w:rPr>
        <w:t>5</w:t>
      </w:r>
      <w:r>
        <w:rPr>
          <w:rFonts w:hAnsi="宋体"/>
          <w:color w:val="auto"/>
        </w:rPr>
        <w:t>.</w:t>
      </w:r>
      <w:r>
        <w:rPr>
          <w:rFonts w:hint="eastAsia" w:hAnsi="宋体"/>
          <w:color w:val="auto"/>
        </w:rPr>
        <w:t>钦州市政府采购中心联系方式：</w:t>
      </w:r>
    </w:p>
    <w:p w14:paraId="7C0F5C87">
      <w:pPr>
        <w:spacing w:line="400" w:lineRule="exact"/>
        <w:ind w:firstLine="420"/>
        <w:jc w:val="left"/>
        <w:rPr>
          <w:rFonts w:hint="eastAsia" w:hAnsi="宋体"/>
          <w:color w:val="auto"/>
        </w:rPr>
      </w:pPr>
      <w:r>
        <w:rPr>
          <w:rFonts w:hAnsi="宋体"/>
          <w:color w:val="auto"/>
        </w:rPr>
        <w:t>(1)</w:t>
      </w:r>
      <w:r>
        <w:rPr>
          <w:rFonts w:hint="eastAsia" w:hAnsi="宋体"/>
          <w:color w:val="auto"/>
        </w:rPr>
        <w:t>采购部(采购文件</w:t>
      </w:r>
      <w:r>
        <w:rPr>
          <w:rFonts w:hAnsi="宋体"/>
          <w:color w:val="auto"/>
        </w:rPr>
        <w:t>)</w:t>
      </w:r>
    </w:p>
    <w:p w14:paraId="236A4D36">
      <w:pPr>
        <w:spacing w:line="400" w:lineRule="exact"/>
        <w:ind w:firstLine="420"/>
        <w:jc w:val="left"/>
        <w:rPr>
          <w:rFonts w:hint="eastAsia" w:hAnsi="宋体"/>
          <w:color w:val="auto"/>
        </w:rPr>
      </w:pPr>
      <w:r>
        <w:rPr>
          <w:rFonts w:hint="eastAsia" w:hAnsi="宋体"/>
          <w:color w:val="auto"/>
        </w:rPr>
        <w:t>联系人：苏晓婷</w:t>
      </w:r>
      <w:r>
        <w:rPr>
          <w:rFonts w:hAnsi="宋体"/>
          <w:color w:val="auto"/>
        </w:rPr>
        <w:t xml:space="preserve">  </w:t>
      </w:r>
      <w:r>
        <w:rPr>
          <w:rFonts w:hint="eastAsia" w:hAnsi="宋体"/>
          <w:color w:val="auto"/>
        </w:rPr>
        <w:t xml:space="preserve"> 联系方式：0777-2886022</w:t>
      </w:r>
    </w:p>
    <w:p w14:paraId="3E9E6D8A">
      <w:pPr>
        <w:spacing w:line="400" w:lineRule="exact"/>
        <w:ind w:firstLine="420"/>
        <w:jc w:val="left"/>
        <w:rPr>
          <w:rFonts w:hint="eastAsia" w:hAnsi="宋体"/>
          <w:color w:val="auto"/>
        </w:rPr>
      </w:pPr>
      <w:r>
        <w:rPr>
          <w:rFonts w:hint="eastAsia" w:hAnsi="宋体"/>
          <w:color w:val="auto"/>
        </w:rPr>
        <w:t>(</w:t>
      </w:r>
      <w:r>
        <w:rPr>
          <w:rFonts w:hAnsi="宋体"/>
          <w:color w:val="auto"/>
        </w:rPr>
        <w:t>2)</w:t>
      </w:r>
      <w:r>
        <w:rPr>
          <w:rFonts w:hint="eastAsia" w:hAnsi="宋体"/>
          <w:color w:val="auto"/>
        </w:rPr>
        <w:t>综合二部(评审、谈判、成交及合同管理)</w:t>
      </w:r>
    </w:p>
    <w:p w14:paraId="463E16EE">
      <w:pPr>
        <w:spacing w:line="400" w:lineRule="exact"/>
        <w:ind w:firstLine="420"/>
        <w:jc w:val="left"/>
        <w:rPr>
          <w:rFonts w:hint="eastAsia" w:hAnsi="宋体"/>
          <w:color w:val="auto"/>
        </w:rPr>
      </w:pPr>
      <w:r>
        <w:rPr>
          <w:rFonts w:hint="eastAsia" w:hAnsi="宋体"/>
          <w:color w:val="auto"/>
        </w:rPr>
        <w:t>联系人：陈侃</w:t>
      </w:r>
      <w:r>
        <w:rPr>
          <w:rFonts w:hint="eastAsia" w:hAnsi="宋体"/>
          <w:color w:val="auto"/>
          <w:lang w:eastAsia="zh-CN"/>
        </w:rPr>
        <w:t>、</w:t>
      </w:r>
      <w:r>
        <w:rPr>
          <w:rFonts w:hint="eastAsia" w:hAnsi="宋体"/>
          <w:color w:val="auto"/>
        </w:rPr>
        <w:t xml:space="preserve">陈启梅 </w:t>
      </w:r>
      <w:r>
        <w:rPr>
          <w:rFonts w:hAnsi="宋体"/>
          <w:color w:val="auto"/>
        </w:rPr>
        <w:t xml:space="preserve">  </w:t>
      </w:r>
      <w:r>
        <w:rPr>
          <w:rFonts w:hint="eastAsia" w:hAnsi="宋体"/>
          <w:color w:val="auto"/>
        </w:rPr>
        <w:t>联系方式：0777-2886006</w:t>
      </w:r>
      <w:bookmarkEnd w:id="33"/>
    </w:p>
    <w:p w14:paraId="3EAFF390">
      <w:pPr>
        <w:spacing w:line="400" w:lineRule="exact"/>
        <w:rPr>
          <w:b/>
          <w:color w:val="auto"/>
        </w:rPr>
      </w:pPr>
      <w:r>
        <w:rPr>
          <w:rFonts w:hint="eastAsia"/>
          <w:b/>
          <w:color w:val="auto"/>
        </w:rPr>
        <w:t>八、对本次采购项目提出询问，请按</w:t>
      </w:r>
      <w:r>
        <w:rPr>
          <w:b/>
          <w:color w:val="auto"/>
        </w:rPr>
        <w:t>以下方式</w:t>
      </w:r>
      <w:r>
        <w:rPr>
          <w:rFonts w:hint="eastAsia"/>
          <w:b/>
          <w:color w:val="auto"/>
        </w:rPr>
        <w:t>联系</w:t>
      </w:r>
      <w:bookmarkEnd w:id="26"/>
      <w:bookmarkEnd w:id="27"/>
      <w:bookmarkEnd w:id="28"/>
      <w:bookmarkEnd w:id="29"/>
    </w:p>
    <w:bookmarkEnd w:id="8"/>
    <w:p w14:paraId="3CA044D7">
      <w:pPr>
        <w:spacing w:line="400" w:lineRule="exact"/>
        <w:ind w:firstLine="420" w:firstLineChars="200"/>
        <w:rPr>
          <w:color w:val="auto"/>
        </w:rPr>
      </w:pPr>
      <w:r>
        <w:rPr>
          <w:rFonts w:hint="eastAsia"/>
          <w:color w:val="auto"/>
        </w:rPr>
        <w:t>1.采购人信息</w:t>
      </w:r>
    </w:p>
    <w:p w14:paraId="018DD3E8">
      <w:pPr>
        <w:spacing w:line="400" w:lineRule="exact"/>
        <w:ind w:firstLine="420" w:firstLineChars="200"/>
        <w:rPr>
          <w:rFonts w:hint="default" w:eastAsia="宋体"/>
          <w:color w:val="auto"/>
          <w:lang w:val="en-US" w:eastAsia="zh-CN"/>
        </w:rPr>
      </w:pPr>
      <w:bookmarkStart w:id="34" w:name="_Toc38370147"/>
      <w:r>
        <w:rPr>
          <w:rFonts w:hint="eastAsia"/>
          <w:color w:val="auto"/>
        </w:rPr>
        <w:t>名称：</w:t>
      </w:r>
      <w:r>
        <w:rPr>
          <w:rFonts w:hint="eastAsia"/>
          <w:color w:val="auto"/>
          <w:lang w:eastAsia="zh-CN"/>
        </w:rPr>
        <w:t>浦北县第一职业技术学校</w:t>
      </w:r>
    </w:p>
    <w:p w14:paraId="28C95777">
      <w:pPr>
        <w:spacing w:line="400" w:lineRule="exact"/>
        <w:ind w:firstLine="420" w:firstLineChars="200"/>
        <w:rPr>
          <w:rFonts w:hint="eastAsia"/>
          <w:color w:val="auto"/>
          <w:lang w:eastAsia="zh-CN"/>
        </w:rPr>
      </w:pPr>
      <w:r>
        <w:rPr>
          <w:rFonts w:hint="eastAsia"/>
          <w:color w:val="auto"/>
        </w:rPr>
        <w:t>地址：</w:t>
      </w:r>
      <w:r>
        <w:rPr>
          <w:rFonts w:hint="eastAsia"/>
          <w:color w:val="auto"/>
          <w:lang w:eastAsia="zh-CN"/>
        </w:rPr>
        <w:t>浦北县江城街道科园路111号</w:t>
      </w:r>
    </w:p>
    <w:bookmarkEnd w:id="34"/>
    <w:p w14:paraId="4434609D">
      <w:pPr>
        <w:spacing w:line="400" w:lineRule="exact"/>
        <w:ind w:firstLine="420" w:firstLineChars="200"/>
        <w:rPr>
          <w:rFonts w:hint="default"/>
          <w:color w:val="auto"/>
          <w:lang w:val="en-US" w:eastAsia="zh-CN"/>
        </w:rPr>
      </w:pPr>
      <w:r>
        <w:rPr>
          <w:rFonts w:hint="eastAsia"/>
          <w:color w:val="auto"/>
        </w:rPr>
        <w:t>项目联系人：谢钦</w:t>
      </w:r>
    </w:p>
    <w:p w14:paraId="5456BFFA">
      <w:pPr>
        <w:spacing w:line="400" w:lineRule="exact"/>
        <w:ind w:firstLine="420" w:firstLineChars="200"/>
        <w:rPr>
          <w:rFonts w:hint="eastAsia"/>
          <w:color w:val="auto"/>
        </w:rPr>
      </w:pPr>
      <w:r>
        <w:rPr>
          <w:rFonts w:hint="eastAsia"/>
          <w:color w:val="auto"/>
        </w:rPr>
        <w:t>项目联系方式：0777-8319585</w:t>
      </w:r>
    </w:p>
    <w:p w14:paraId="5BF6D196">
      <w:pPr>
        <w:spacing w:line="400" w:lineRule="exact"/>
        <w:ind w:firstLine="420" w:firstLineChars="200"/>
        <w:rPr>
          <w:color w:val="auto"/>
        </w:rPr>
      </w:pPr>
      <w:r>
        <w:rPr>
          <w:rFonts w:hint="eastAsia"/>
          <w:color w:val="auto"/>
        </w:rPr>
        <w:t>2.采购代理机构信息</w:t>
      </w:r>
    </w:p>
    <w:p w14:paraId="4536C127">
      <w:pPr>
        <w:spacing w:line="400" w:lineRule="exact"/>
        <w:ind w:firstLine="420" w:firstLineChars="200"/>
        <w:rPr>
          <w:color w:val="auto"/>
        </w:rPr>
      </w:pPr>
      <w:r>
        <w:rPr>
          <w:rFonts w:hint="eastAsia"/>
          <w:color w:val="auto"/>
        </w:rPr>
        <w:t>名称：钦州市政府采购中心</w:t>
      </w:r>
    </w:p>
    <w:p w14:paraId="41B2A07B">
      <w:pPr>
        <w:spacing w:line="400" w:lineRule="exact"/>
        <w:ind w:firstLine="420" w:firstLineChars="200"/>
        <w:rPr>
          <w:color w:val="auto"/>
        </w:rPr>
      </w:pPr>
      <w:r>
        <w:rPr>
          <w:rFonts w:hint="eastAsia"/>
          <w:color w:val="auto"/>
        </w:rPr>
        <w:t>地址：钦州市金海湾东大街8号</w:t>
      </w:r>
    </w:p>
    <w:p w14:paraId="09D1470D">
      <w:pPr>
        <w:spacing w:line="400" w:lineRule="exact"/>
        <w:ind w:firstLine="420" w:firstLineChars="200"/>
        <w:rPr>
          <w:color w:val="auto"/>
        </w:rPr>
      </w:pPr>
      <w:r>
        <w:rPr>
          <w:rFonts w:hint="eastAsia"/>
          <w:color w:val="auto"/>
        </w:rPr>
        <w:t>项目联系人：</w:t>
      </w:r>
      <w:bookmarkStart w:id="35" w:name="_Toc28359087"/>
      <w:bookmarkStart w:id="36" w:name="_Toc28359010"/>
      <w:r>
        <w:rPr>
          <w:rFonts w:hint="eastAsia"/>
          <w:color w:val="auto"/>
        </w:rPr>
        <w:t>苏晓婷</w:t>
      </w:r>
    </w:p>
    <w:p w14:paraId="4E646198">
      <w:pPr>
        <w:spacing w:line="400" w:lineRule="exact"/>
        <w:ind w:firstLine="420"/>
        <w:jc w:val="left"/>
        <w:rPr>
          <w:rFonts w:hint="eastAsia" w:hAnsi="宋体"/>
          <w:color w:val="auto"/>
        </w:rPr>
      </w:pPr>
      <w:r>
        <w:rPr>
          <w:rFonts w:hint="eastAsia"/>
          <w:color w:val="auto"/>
        </w:rPr>
        <w:t>项目联系方式：</w:t>
      </w:r>
      <w:r>
        <w:rPr>
          <w:rFonts w:hint="eastAsia" w:hAnsi="宋体"/>
          <w:color w:val="auto"/>
        </w:rPr>
        <w:t>0777-2886022</w:t>
      </w:r>
    </w:p>
    <w:p w14:paraId="6C45520A">
      <w:pPr>
        <w:spacing w:line="400" w:lineRule="exact"/>
        <w:ind w:firstLine="420" w:firstLineChars="200"/>
        <w:rPr>
          <w:color w:val="auto"/>
        </w:rPr>
      </w:pPr>
    </w:p>
    <w:p w14:paraId="7B8FE1AD">
      <w:pPr>
        <w:widowControl/>
        <w:jc w:val="left"/>
        <w:rPr>
          <w:color w:val="auto"/>
        </w:rPr>
      </w:pPr>
      <w:r>
        <w:rPr>
          <w:color w:val="auto"/>
        </w:rPr>
        <w:br w:type="page"/>
      </w:r>
    </w:p>
    <w:p w14:paraId="07FF29B6">
      <w:pPr>
        <w:spacing w:line="400" w:lineRule="exact"/>
        <w:ind w:firstLine="420" w:firstLineChars="200"/>
        <w:rPr>
          <w:color w:val="auto"/>
        </w:rPr>
      </w:pPr>
    </w:p>
    <w:p w14:paraId="19533D4E">
      <w:pPr>
        <w:rPr>
          <w:color w:val="auto"/>
        </w:rPr>
      </w:pPr>
    </w:p>
    <w:bookmarkEnd w:id="35"/>
    <w:bookmarkEnd w:id="36"/>
    <w:p w14:paraId="1E0A66EE">
      <w:pPr>
        <w:rPr>
          <w:color w:val="auto"/>
        </w:rPr>
      </w:pPr>
    </w:p>
    <w:p w14:paraId="027B5592">
      <w:pPr>
        <w:rPr>
          <w:color w:val="auto"/>
        </w:rPr>
      </w:pPr>
    </w:p>
    <w:p w14:paraId="2FED55BB">
      <w:pPr>
        <w:rPr>
          <w:color w:val="auto"/>
        </w:rPr>
      </w:pPr>
    </w:p>
    <w:p w14:paraId="41B8A89D">
      <w:pPr>
        <w:rPr>
          <w:color w:val="auto"/>
        </w:rPr>
      </w:pPr>
    </w:p>
    <w:p w14:paraId="5A11A8E9">
      <w:pPr>
        <w:rPr>
          <w:color w:val="auto"/>
        </w:rPr>
      </w:pPr>
    </w:p>
    <w:p w14:paraId="08528EA3">
      <w:pPr>
        <w:rPr>
          <w:color w:val="auto"/>
        </w:rPr>
      </w:pPr>
    </w:p>
    <w:p w14:paraId="2B088122">
      <w:pPr>
        <w:rPr>
          <w:color w:val="auto"/>
        </w:rPr>
      </w:pPr>
    </w:p>
    <w:p w14:paraId="4CC0CB85">
      <w:pPr>
        <w:rPr>
          <w:color w:val="auto"/>
        </w:rPr>
      </w:pPr>
    </w:p>
    <w:p w14:paraId="0FE3E401">
      <w:pPr>
        <w:rPr>
          <w:color w:val="auto"/>
        </w:rPr>
      </w:pPr>
    </w:p>
    <w:p w14:paraId="3A0FCF22">
      <w:pPr>
        <w:rPr>
          <w:color w:val="auto"/>
        </w:rPr>
      </w:pPr>
    </w:p>
    <w:p w14:paraId="3BCCCE85">
      <w:pPr>
        <w:rPr>
          <w:color w:val="auto"/>
        </w:rPr>
      </w:pPr>
    </w:p>
    <w:p w14:paraId="74C71BC7">
      <w:pPr>
        <w:rPr>
          <w:color w:val="auto"/>
        </w:rPr>
      </w:pPr>
    </w:p>
    <w:p w14:paraId="3F8D1CF4">
      <w:pPr>
        <w:pStyle w:val="2"/>
        <w:spacing w:line="400" w:lineRule="exact"/>
        <w:rPr>
          <w:rFonts w:hint="eastAsia" w:ascii="方正小标宋_GBK" w:hAnsi="宋体" w:eastAsia="方正小标宋_GBK"/>
          <w:color w:val="auto"/>
        </w:rPr>
      </w:pPr>
      <w:bookmarkStart w:id="37" w:name="_Toc92355024"/>
      <w:r>
        <w:rPr>
          <w:rFonts w:hint="eastAsia" w:ascii="方正小标宋_GBK" w:hAnsi="宋体" w:eastAsia="方正小标宋_GBK"/>
          <w:color w:val="auto"/>
        </w:rPr>
        <w:t>第二章  项目需求</w:t>
      </w:r>
      <w:bookmarkEnd w:id="37"/>
    </w:p>
    <w:p w14:paraId="73411ED0">
      <w:pPr>
        <w:spacing w:line="440" w:lineRule="exact"/>
        <w:jc w:val="center"/>
        <w:rPr>
          <w:rFonts w:hint="eastAsia" w:ascii="宋体" w:hAnsi="宋体"/>
          <w:b/>
          <w:color w:val="auto"/>
          <w:sz w:val="36"/>
          <w:szCs w:val="36"/>
        </w:rPr>
      </w:pPr>
      <w:r>
        <w:rPr>
          <w:rFonts w:ascii="宋体" w:hAnsi="宋体"/>
          <w:b/>
          <w:color w:val="auto"/>
          <w:szCs w:val="21"/>
        </w:rPr>
        <w:br w:type="page"/>
      </w:r>
      <w:bookmarkStart w:id="38" w:name="_Toc358477280"/>
      <w:bookmarkStart w:id="39" w:name="_Toc354479498"/>
      <w:r>
        <w:rPr>
          <w:rFonts w:hint="eastAsia" w:ascii="宋体" w:hAnsi="宋体"/>
          <w:b/>
          <w:color w:val="auto"/>
          <w:sz w:val="36"/>
          <w:szCs w:val="36"/>
        </w:rPr>
        <w:t>项目需求</w:t>
      </w:r>
    </w:p>
    <w:p w14:paraId="07F0B614">
      <w:pPr>
        <w:spacing w:line="396" w:lineRule="exact"/>
        <w:rPr>
          <w:rFonts w:hint="eastAsia" w:ascii="宋体" w:hAnsi="宋体"/>
          <w:b/>
          <w:color w:val="auto"/>
          <w:szCs w:val="21"/>
        </w:rPr>
      </w:pPr>
    </w:p>
    <w:p w14:paraId="6311F487">
      <w:pPr>
        <w:spacing w:line="430" w:lineRule="exact"/>
        <w:ind w:firstLine="420" w:firstLineChars="200"/>
        <w:rPr>
          <w:rFonts w:hint="eastAsia" w:ascii="宋体" w:hAnsi="宋体" w:cs="宋体"/>
          <w:color w:val="auto"/>
          <w:kern w:val="0"/>
          <w:szCs w:val="21"/>
          <w:lang w:bidi="ar"/>
        </w:rPr>
      </w:pPr>
      <w:r>
        <w:rPr>
          <w:rFonts w:hint="eastAsia" w:ascii="宋体" w:hAnsi="宋体" w:cs="宋体"/>
          <w:color w:val="auto"/>
          <w:kern w:val="0"/>
          <w:szCs w:val="21"/>
          <w:lang w:bidi="ar"/>
        </w:rPr>
        <w:t xml:space="preserve">说明：  </w:t>
      </w:r>
    </w:p>
    <w:p w14:paraId="00CDE2C3">
      <w:pPr>
        <w:spacing w:line="460" w:lineRule="exact"/>
        <w:ind w:firstLine="422"/>
        <w:rPr>
          <w:rFonts w:hint="eastAsia" w:ascii="宋体" w:hAnsi="宋体" w:cs="宋体"/>
          <w:b/>
          <w:bCs/>
          <w:color w:val="0000FF"/>
          <w:szCs w:val="21"/>
        </w:rPr>
      </w:pPr>
      <w:r>
        <w:rPr>
          <w:rFonts w:hint="eastAsia" w:ascii="宋体" w:hAnsi="宋体" w:cs="宋体"/>
          <w:b/>
          <w:bCs/>
          <w:color w:val="auto"/>
          <w:szCs w:val="21"/>
        </w:rPr>
        <w:t>1.根据《财政部 发展改革委 生态环境部 市场监管总局关于调整优化节能产品、环境标志产品政府采购执行机制的通知》（财库〔2019〕9号）和《关于印发节能产品政府采购品目清单的通知》（财库〔2019〕19号）的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cs="宋体"/>
          <w:b/>
          <w:bCs/>
          <w:color w:val="auto"/>
          <w:szCs w:val="21"/>
          <w:lang w:val="en-US" w:eastAsia="zh-CN"/>
        </w:rPr>
        <w:t xml:space="preserve"> </w:t>
      </w:r>
    </w:p>
    <w:p w14:paraId="7FB5AB63">
      <w:pPr>
        <w:spacing w:line="460" w:lineRule="exact"/>
        <w:ind w:firstLine="422"/>
        <w:rPr>
          <w:rFonts w:hint="eastAsia" w:ascii="宋体" w:hAnsi="宋体"/>
          <w:color w:val="auto"/>
          <w:szCs w:val="21"/>
        </w:rPr>
      </w:pPr>
      <w:r>
        <w:rPr>
          <w:rFonts w:hint="eastAsia" w:ascii="宋体" w:hAnsi="宋体" w:cs="宋体"/>
          <w:b/>
          <w:bCs/>
          <w:color w:val="auto"/>
          <w:szCs w:val="21"/>
        </w:rPr>
        <w:t>2.根据《关于调整网络安全专用产品安全管理有关事项的公告》（2023年1号）规定，采购标的中如包含列入《网络关键设备和网络安全专用产品目录》的网络安全专用产品，供应商应当按照《信息安全技术网络安全专用产品安全技术要求》等相关国家标准的强制性要求，提供由具备资格的机构安全认证合格或者安全检测符合要求证明材料（加盖供应商公章），否则竞标无效。</w:t>
      </w:r>
    </w:p>
    <w:p w14:paraId="0B71D7B3">
      <w:pPr>
        <w:spacing w:line="430" w:lineRule="exact"/>
        <w:ind w:firstLine="420" w:firstLineChars="200"/>
        <w:rPr>
          <w:rFonts w:hint="eastAsia" w:ascii="宋体" w:hAnsi="宋体"/>
          <w:color w:val="auto"/>
          <w:szCs w:val="21"/>
        </w:rPr>
      </w:pPr>
      <w:r>
        <w:rPr>
          <w:rFonts w:hint="eastAsia" w:ascii="宋体" w:hAnsi="宋体"/>
          <w:color w:val="auto"/>
          <w:szCs w:val="21"/>
        </w:rPr>
        <w:t>3.本表中的品牌型号、技术参数及其性能（规格）仅起参考作用，供应商可选用其他品牌型号替代，</w:t>
      </w:r>
      <w:r>
        <w:rPr>
          <w:rFonts w:hint="eastAsia" w:ascii="宋体" w:hAnsi="宋体"/>
          <w:color w:val="auto"/>
        </w:rPr>
        <w:t>但替代的产品整体上要相当于或优于参考品牌型号或其技术参数性能（规格）要求。</w:t>
      </w:r>
    </w:p>
    <w:p w14:paraId="36555FA1">
      <w:pPr>
        <w:spacing w:line="430" w:lineRule="exact"/>
        <w:ind w:firstLine="420" w:firstLineChars="200"/>
        <w:rPr>
          <w:rFonts w:hint="eastAsia" w:ascii="宋体" w:hAnsi="宋体"/>
          <w:color w:val="auto"/>
          <w:szCs w:val="21"/>
        </w:rPr>
      </w:pPr>
      <w:r>
        <w:rPr>
          <w:rFonts w:hint="eastAsia" w:ascii="宋体" w:hAnsi="宋体"/>
          <w:color w:val="auto"/>
          <w:szCs w:val="21"/>
        </w:rPr>
        <w:t>4</w:t>
      </w:r>
      <w:r>
        <w:rPr>
          <w:rFonts w:ascii="宋体" w:hAnsi="宋体"/>
          <w:color w:val="auto"/>
          <w:szCs w:val="21"/>
        </w:rPr>
        <w:t>.</w:t>
      </w:r>
      <w:r>
        <w:rPr>
          <w:rFonts w:hint="eastAsia" w:ascii="宋体" w:hAnsi="宋体"/>
          <w:color w:val="auto"/>
          <w:szCs w:val="21"/>
        </w:rPr>
        <w:t>供应商必须自行为其产品侵犯其他供应商或专利人的专利成果承担相应法律责任；同时，具有产品专利的供应商应在其响应文件中提供与其自有产品专利相关的有效证明材料，否则，不能就其产品的专利在本项目谈判过程中被侵权问题提出异议。</w:t>
      </w:r>
    </w:p>
    <w:p w14:paraId="5EA339AB">
      <w:pPr>
        <w:spacing w:line="430" w:lineRule="exact"/>
        <w:ind w:firstLine="420" w:firstLineChars="200"/>
        <w:rPr>
          <w:rFonts w:hint="eastAsia" w:ascii="宋体" w:hAnsi="宋体"/>
          <w:color w:val="auto"/>
          <w:szCs w:val="21"/>
        </w:rPr>
      </w:pPr>
      <w:r>
        <w:rPr>
          <w:rFonts w:hint="eastAsia" w:ascii="宋体" w:hAnsi="宋体"/>
          <w:color w:val="auto"/>
          <w:szCs w:val="21"/>
        </w:rPr>
        <w:t>5.本项目不接受供应商提供通过中国海关报关验放进入中国境内且产自关境外的产品。</w:t>
      </w:r>
    </w:p>
    <w:p w14:paraId="78B5D510">
      <w:pPr>
        <w:spacing w:line="430" w:lineRule="exact"/>
        <w:ind w:firstLine="420" w:firstLineChars="200"/>
        <w:rPr>
          <w:rFonts w:hint="eastAsia" w:ascii="宋体" w:hAnsi="宋体"/>
          <w:color w:val="auto"/>
          <w:szCs w:val="21"/>
        </w:rPr>
      </w:pPr>
      <w:r>
        <w:rPr>
          <w:rFonts w:hint="eastAsia" w:ascii="宋体" w:hAnsi="宋体"/>
          <w:color w:val="auto"/>
          <w:szCs w:val="21"/>
        </w:rPr>
        <w:t>6</w:t>
      </w:r>
      <w:r>
        <w:rPr>
          <w:rFonts w:ascii="宋体" w:hAnsi="宋体"/>
          <w:color w:val="auto"/>
          <w:szCs w:val="21"/>
        </w:rPr>
        <w:t>.</w:t>
      </w:r>
      <w:r>
        <w:rPr>
          <w:rFonts w:hint="eastAsia" w:ascii="宋体" w:hAnsi="宋体"/>
          <w:color w:val="auto"/>
          <w:szCs w:val="21"/>
        </w:rPr>
        <w:t>谈判文件中可能实质性变动的内容：</w:t>
      </w:r>
      <w:r>
        <w:rPr>
          <w:rFonts w:hint="eastAsia" w:ascii="宋体" w:hAnsi="宋体" w:cs="宋体"/>
          <w:color w:val="auto"/>
          <w:kern w:val="0"/>
          <w:szCs w:val="21"/>
        </w:rPr>
        <w:t>采购需求的技术、服务要求以及合同草案条款</w:t>
      </w:r>
      <w:r>
        <w:rPr>
          <w:rFonts w:hint="eastAsia" w:ascii="宋体" w:hAnsi="宋体" w:cs="宋体"/>
          <w:b/>
          <w:color w:val="auto"/>
          <w:kern w:val="0"/>
          <w:szCs w:val="21"/>
        </w:rPr>
        <w:t>。</w:t>
      </w:r>
    </w:p>
    <w:p w14:paraId="2DC35C22">
      <w:pPr>
        <w:spacing w:line="430" w:lineRule="exact"/>
        <w:ind w:firstLine="420" w:firstLineChars="200"/>
        <w:rPr>
          <w:rFonts w:hint="eastAsia" w:ascii="宋体" w:hAnsi="宋体"/>
          <w:color w:val="auto"/>
          <w:szCs w:val="21"/>
        </w:rPr>
      </w:pPr>
      <w:r>
        <w:rPr>
          <w:rFonts w:hint="eastAsia" w:ascii="宋体" w:hAnsi="宋体"/>
          <w:color w:val="auto"/>
          <w:szCs w:val="21"/>
        </w:rPr>
        <w:t>7</w:t>
      </w:r>
      <w:r>
        <w:rPr>
          <w:rFonts w:ascii="宋体" w:hAnsi="宋体"/>
          <w:color w:val="auto"/>
          <w:szCs w:val="21"/>
        </w:rPr>
        <w:t>.</w:t>
      </w:r>
      <w:r>
        <w:rPr>
          <w:rFonts w:hint="eastAsia" w:ascii="宋体" w:hAnsi="宋体"/>
          <w:color w:val="auto"/>
          <w:szCs w:val="21"/>
        </w:rPr>
        <w:t>标注★号的技术参数为实质性响应条款，要求必须满足或优于，否则视为无效响应文件。</w:t>
      </w:r>
    </w:p>
    <w:p w14:paraId="43E6F597">
      <w:pPr>
        <w:spacing w:line="430" w:lineRule="exact"/>
        <w:ind w:firstLine="420" w:firstLineChars="200"/>
        <w:rPr>
          <w:rFonts w:hint="eastAsia" w:ascii="宋体" w:hAnsi="宋体" w:eastAsia="宋体" w:cs="Times New Roman"/>
          <w:color w:val="auto"/>
          <w:szCs w:val="21"/>
          <w:lang w:val="en-US" w:eastAsia="zh-CN"/>
        </w:rPr>
      </w:pPr>
      <w:r>
        <w:rPr>
          <w:rFonts w:hint="eastAsia" w:ascii="宋体" w:hAnsi="宋体" w:cs="宋体"/>
          <w:color w:val="auto"/>
          <w:kern w:val="0"/>
          <w:szCs w:val="21"/>
          <w:lang w:val="en-US" w:eastAsia="zh-CN" w:bidi="ar"/>
        </w:rPr>
        <w:t>8.</w:t>
      </w:r>
      <w:r>
        <w:rPr>
          <w:rFonts w:hint="eastAsia" w:ascii="宋体" w:hAnsi="宋体" w:cs="宋体"/>
          <w:color w:val="auto"/>
          <w:kern w:val="0"/>
          <w:szCs w:val="21"/>
          <w:lang w:bidi="ar"/>
        </w:rPr>
        <w:t>采购需求中出现的产品的固定规格尺寸或重量允许偏离（具体技术参数要求已有允许偏离差异或定制的除外）。</w:t>
      </w:r>
    </w:p>
    <w:p w14:paraId="0C0F73EC">
      <w:pPr>
        <w:pStyle w:val="46"/>
        <w:ind w:firstLine="353"/>
        <w:rPr>
          <w:color w:val="auto"/>
        </w:rPr>
      </w:pPr>
    </w:p>
    <w:p w14:paraId="55FC770C">
      <w:pPr>
        <w:pStyle w:val="46"/>
        <w:ind w:firstLine="353"/>
        <w:rPr>
          <w:color w:val="auto"/>
        </w:rPr>
      </w:pPr>
    </w:p>
    <w:p w14:paraId="791371B8">
      <w:pPr>
        <w:pStyle w:val="46"/>
        <w:ind w:firstLine="353"/>
        <w:rPr>
          <w:color w:val="0000FF"/>
        </w:rPr>
      </w:pPr>
    </w:p>
    <w:p w14:paraId="5D2FCF7C">
      <w:pPr>
        <w:pStyle w:val="46"/>
        <w:ind w:firstLine="353"/>
        <w:rPr>
          <w:color w:val="auto"/>
        </w:rPr>
      </w:pPr>
    </w:p>
    <w:p w14:paraId="034AFA6F">
      <w:pPr>
        <w:pStyle w:val="46"/>
        <w:ind w:firstLine="353"/>
        <w:rPr>
          <w:color w:val="auto"/>
        </w:rPr>
      </w:pPr>
    </w:p>
    <w:p w14:paraId="4303AD2D">
      <w:pPr>
        <w:pStyle w:val="17"/>
        <w:keepNext w:val="0"/>
        <w:keepLines w:val="0"/>
        <w:pageBreakBefore w:val="0"/>
        <w:kinsoku/>
        <w:wordWrap/>
        <w:overflowPunct/>
        <w:topLinePunct w:val="0"/>
        <w:autoSpaceDE/>
        <w:autoSpaceDN/>
        <w:bidi w:val="0"/>
        <w:adjustRightInd/>
        <w:snapToGrid/>
        <w:spacing w:line="440" w:lineRule="exact"/>
        <w:textAlignment w:val="auto"/>
        <w:rPr>
          <w:rFonts w:hint="eastAsia"/>
          <w:color w:val="auto"/>
          <w:lang w:val="en-US" w:eastAsia="zh-CN"/>
        </w:rPr>
      </w:pPr>
    </w:p>
    <w:p w14:paraId="3B11C31E">
      <w:pPr>
        <w:jc w:val="left"/>
        <w:rPr>
          <w:rFonts w:hint="eastAsia" w:ascii="宋体" w:hAnsi="宋体" w:eastAsia="宋体" w:cs="仿宋"/>
          <w:b/>
          <w:bCs/>
          <w:color w:val="auto"/>
          <w:sz w:val="24"/>
          <w:szCs w:val="20"/>
          <w:highlight w:val="none"/>
          <w:lang w:val="en-US" w:eastAsia="zh-CN"/>
        </w:rPr>
      </w:pPr>
    </w:p>
    <w:p w14:paraId="5C6CEEF6">
      <w:pPr>
        <w:ind w:firstLine="482" w:firstLineChars="200"/>
        <w:jc w:val="left"/>
        <w:rPr>
          <w:rFonts w:hint="eastAsia" w:ascii="宋体" w:hAnsi="宋体" w:eastAsia="宋体" w:cs="仿宋"/>
          <w:b/>
          <w:bCs/>
          <w:color w:val="auto"/>
          <w:sz w:val="24"/>
          <w:szCs w:val="20"/>
          <w:highlight w:val="none"/>
        </w:rPr>
      </w:pPr>
      <w:r>
        <w:rPr>
          <w:rFonts w:hint="eastAsia" w:ascii="宋体" w:hAnsi="宋体" w:eastAsia="宋体" w:cs="仿宋"/>
          <w:b/>
          <w:bCs/>
          <w:color w:val="auto"/>
          <w:sz w:val="24"/>
          <w:szCs w:val="20"/>
          <w:highlight w:val="none"/>
          <w:lang w:eastAsia="zh-CN"/>
        </w:rPr>
        <w:t>数字化设计实训室、现代加工实训室和建设焊接实训室</w:t>
      </w:r>
    </w:p>
    <w:tbl>
      <w:tblPr>
        <w:tblStyle w:val="3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239"/>
        <w:gridCol w:w="1192"/>
        <w:gridCol w:w="5198"/>
        <w:gridCol w:w="505"/>
        <w:gridCol w:w="478"/>
        <w:gridCol w:w="718"/>
      </w:tblGrid>
      <w:tr w14:paraId="3B08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50861BF5">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序号</w:t>
            </w:r>
          </w:p>
        </w:tc>
        <w:tc>
          <w:tcPr>
            <w:tcW w:w="1239" w:type="dxa"/>
            <w:noWrap w:val="0"/>
            <w:vAlign w:val="center"/>
          </w:tcPr>
          <w:p w14:paraId="7448879F">
            <w:pPr>
              <w:jc w:val="center"/>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标的</w:t>
            </w:r>
            <w:r>
              <w:rPr>
                <w:rFonts w:hint="eastAsia" w:ascii="宋体" w:hAnsi="宋体" w:cs="宋体"/>
                <w:b/>
                <w:bCs/>
                <w:sz w:val="22"/>
                <w:szCs w:val="22"/>
                <w:vertAlign w:val="baseline"/>
                <w:lang w:val="en-US" w:eastAsia="zh-CN"/>
              </w:rPr>
              <w:t>名称</w:t>
            </w:r>
          </w:p>
        </w:tc>
        <w:tc>
          <w:tcPr>
            <w:tcW w:w="6390" w:type="dxa"/>
            <w:gridSpan w:val="2"/>
            <w:noWrap w:val="0"/>
            <w:vAlign w:val="center"/>
          </w:tcPr>
          <w:p w14:paraId="2F8F85C3">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技术参数</w:t>
            </w:r>
          </w:p>
        </w:tc>
        <w:tc>
          <w:tcPr>
            <w:tcW w:w="505" w:type="dxa"/>
            <w:noWrap w:val="0"/>
            <w:vAlign w:val="center"/>
          </w:tcPr>
          <w:p w14:paraId="5E88564E">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数量</w:t>
            </w:r>
          </w:p>
        </w:tc>
        <w:tc>
          <w:tcPr>
            <w:tcW w:w="478" w:type="dxa"/>
            <w:noWrap w:val="0"/>
            <w:vAlign w:val="center"/>
          </w:tcPr>
          <w:p w14:paraId="2162B4B8">
            <w:pPr>
              <w:jc w:val="center"/>
              <w:rPr>
                <w:rFonts w:hint="default" w:ascii="宋体" w:hAnsi="宋体" w:eastAsia="宋体" w:cs="宋体"/>
                <w:b/>
                <w:bCs/>
                <w:sz w:val="22"/>
                <w:szCs w:val="22"/>
                <w:vertAlign w:val="baseline"/>
                <w:lang w:val="en-US" w:eastAsia="zh-CN"/>
              </w:rPr>
            </w:pPr>
            <w:r>
              <w:rPr>
                <w:rFonts w:hint="eastAsia" w:ascii="宋体" w:hAnsi="宋体" w:cs="宋体"/>
                <w:b/>
                <w:bCs/>
                <w:sz w:val="22"/>
                <w:szCs w:val="22"/>
                <w:vertAlign w:val="baseline"/>
                <w:lang w:val="en-US" w:eastAsia="zh-CN"/>
              </w:rPr>
              <w:t>单位</w:t>
            </w:r>
          </w:p>
        </w:tc>
        <w:tc>
          <w:tcPr>
            <w:tcW w:w="718" w:type="dxa"/>
            <w:noWrap w:val="0"/>
            <w:vAlign w:val="center"/>
          </w:tcPr>
          <w:p w14:paraId="504D0CC0">
            <w:pPr>
              <w:jc w:val="center"/>
              <w:rPr>
                <w:rFonts w:hint="default" w:ascii="宋体" w:hAnsi="宋体" w:cs="宋体"/>
                <w:b/>
                <w:bCs/>
                <w:sz w:val="22"/>
                <w:szCs w:val="22"/>
                <w:vertAlign w:val="baseline"/>
                <w:lang w:val="en-US" w:eastAsia="zh-CN"/>
              </w:rPr>
            </w:pPr>
            <w:r>
              <w:rPr>
                <w:rFonts w:hint="eastAsia" w:ascii="宋体" w:hAnsi="宋体" w:cs="宋体"/>
                <w:b/>
                <w:bCs/>
                <w:sz w:val="22"/>
                <w:szCs w:val="22"/>
                <w:vertAlign w:val="baseline"/>
                <w:lang w:val="en-US" w:eastAsia="zh-CN"/>
              </w:rPr>
              <w:t>所属行业</w:t>
            </w:r>
          </w:p>
        </w:tc>
      </w:tr>
      <w:tr w14:paraId="6090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876" w:type="dxa"/>
            <w:gridSpan w:val="7"/>
            <w:noWrap w:val="0"/>
            <w:vAlign w:val="center"/>
          </w:tcPr>
          <w:p w14:paraId="15C1A2C7">
            <w:pPr>
              <w:jc w:val="left"/>
              <w:rPr>
                <w:rFonts w:hint="eastAsia" w:ascii="宋体" w:hAnsi="宋体" w:cs="宋体"/>
                <w:b/>
                <w:bCs/>
                <w:sz w:val="22"/>
                <w:szCs w:val="22"/>
                <w:vertAlign w:val="baseline"/>
                <w:lang w:val="en-US" w:eastAsia="zh-CN"/>
              </w:rPr>
            </w:pPr>
            <w:r>
              <w:rPr>
                <w:rFonts w:hint="eastAsia" w:ascii="宋体" w:hAnsi="宋体" w:eastAsia="宋体" w:cs="宋体"/>
                <w:b/>
                <w:bCs w:val="0"/>
                <w:color w:val="auto"/>
                <w:kern w:val="0"/>
                <w:sz w:val="21"/>
                <w:szCs w:val="21"/>
                <w:lang w:val="en-US" w:eastAsia="zh-CN"/>
              </w:rPr>
              <w:t>一、技术要求</w:t>
            </w:r>
          </w:p>
        </w:tc>
      </w:tr>
      <w:tr w14:paraId="0C82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876" w:type="dxa"/>
            <w:gridSpan w:val="7"/>
            <w:noWrap w:val="0"/>
            <w:vAlign w:val="center"/>
          </w:tcPr>
          <w:p w14:paraId="21A57532">
            <w:pPr>
              <w:jc w:val="left"/>
              <w:rPr>
                <w:rFonts w:hint="default"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1.数字化设计实训室（3D打印区域）</w:t>
            </w:r>
          </w:p>
        </w:tc>
      </w:tr>
      <w:tr w14:paraId="7979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53E14B31">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w:t>
            </w:r>
          </w:p>
        </w:tc>
        <w:tc>
          <w:tcPr>
            <w:tcW w:w="1239" w:type="dxa"/>
            <w:noWrap w:val="0"/>
            <w:vAlign w:val="center"/>
          </w:tcPr>
          <w:p w14:paraId="355273B3">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auto"/>
                <w:kern w:val="0"/>
                <w:sz w:val="21"/>
                <w:szCs w:val="21"/>
                <w:highlight w:val="none"/>
                <w:lang w:bidi="ar"/>
              </w:rPr>
              <w:t>手持式扫描仪</w:t>
            </w:r>
          </w:p>
        </w:tc>
        <w:tc>
          <w:tcPr>
            <w:tcW w:w="6390" w:type="dxa"/>
            <w:gridSpan w:val="2"/>
            <w:noWrap w:val="0"/>
            <w:vAlign w:val="center"/>
          </w:tcPr>
          <w:p w14:paraId="59EC1772">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多种</w:t>
            </w:r>
            <w:r>
              <w:rPr>
                <w:rFonts w:hint="eastAsia" w:ascii="宋体" w:hAnsi="宋体" w:eastAsia="宋体" w:cs="宋体"/>
                <w:color w:val="auto"/>
                <w:sz w:val="21"/>
                <w:szCs w:val="21"/>
                <w:highlight w:val="none"/>
              </w:rPr>
              <w:t>扫描模式</w:t>
            </w:r>
            <w:r>
              <w:rPr>
                <w:rFonts w:hint="eastAsia" w:ascii="宋体" w:hAnsi="宋体" w:eastAsia="宋体" w:cs="宋体"/>
                <w:color w:val="auto"/>
                <w:sz w:val="21"/>
                <w:szCs w:val="21"/>
                <w:highlight w:val="none"/>
                <w:lang w:val="en-US" w:eastAsia="zh-CN"/>
              </w:rPr>
              <w:t>自由切换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手持白光</w:t>
            </w:r>
            <w:r>
              <w:rPr>
                <w:rFonts w:hint="eastAsia" w:ascii="宋体" w:hAnsi="宋体" w:eastAsia="宋体" w:cs="宋体"/>
                <w:color w:val="auto"/>
                <w:sz w:val="21"/>
                <w:szCs w:val="21"/>
                <w:highlight w:val="none"/>
              </w:rPr>
              <w:t>精细扫描，手持</w:t>
            </w:r>
            <w:r>
              <w:rPr>
                <w:rFonts w:hint="eastAsia" w:ascii="宋体" w:hAnsi="宋体" w:eastAsia="宋体" w:cs="宋体"/>
                <w:color w:val="auto"/>
                <w:sz w:val="21"/>
                <w:szCs w:val="21"/>
                <w:highlight w:val="none"/>
                <w:lang w:val="en-US" w:eastAsia="zh-CN"/>
              </w:rPr>
              <w:t>白光</w:t>
            </w:r>
            <w:r>
              <w:rPr>
                <w:rFonts w:hint="eastAsia" w:ascii="宋体" w:hAnsi="宋体" w:eastAsia="宋体" w:cs="宋体"/>
                <w:color w:val="auto"/>
                <w:sz w:val="21"/>
                <w:szCs w:val="21"/>
                <w:highlight w:val="none"/>
              </w:rPr>
              <w:t>快速扫描，</w:t>
            </w:r>
            <w:r>
              <w:rPr>
                <w:rFonts w:hint="eastAsia" w:ascii="宋体" w:hAnsi="宋体" w:eastAsia="宋体" w:cs="宋体"/>
                <w:color w:val="auto"/>
                <w:sz w:val="21"/>
                <w:szCs w:val="21"/>
                <w:highlight w:val="none"/>
                <w:lang w:val="en-US" w:eastAsia="zh-CN"/>
              </w:rPr>
              <w:t>白光</w:t>
            </w:r>
            <w:r>
              <w:rPr>
                <w:rFonts w:hint="eastAsia" w:ascii="宋体" w:hAnsi="宋体" w:eastAsia="宋体" w:cs="宋体"/>
                <w:color w:val="auto"/>
                <w:sz w:val="21"/>
                <w:szCs w:val="21"/>
                <w:highlight w:val="none"/>
              </w:rPr>
              <w:t>固</w:t>
            </w:r>
            <w:r>
              <w:rPr>
                <w:rFonts w:hint="eastAsia" w:ascii="宋体" w:hAnsi="宋体" w:eastAsia="宋体" w:cs="宋体"/>
                <w:color w:val="auto"/>
                <w:sz w:val="21"/>
                <w:szCs w:val="21"/>
                <w:highlight w:val="none"/>
                <w:lang w:val="en-US" w:eastAsia="zh-CN"/>
              </w:rPr>
              <w:t>定模式:转台</w:t>
            </w:r>
            <w:r>
              <w:rPr>
                <w:rFonts w:hint="eastAsia" w:ascii="宋体" w:hAnsi="宋体" w:eastAsia="宋体" w:cs="宋体"/>
                <w:color w:val="auto"/>
                <w:sz w:val="21"/>
                <w:szCs w:val="21"/>
                <w:highlight w:val="none"/>
              </w:rPr>
              <w:t>自动扫描</w:t>
            </w:r>
            <w:r>
              <w:rPr>
                <w:rFonts w:hint="eastAsia" w:ascii="宋体" w:hAnsi="宋体" w:eastAsia="宋体" w:cs="宋体"/>
                <w:color w:val="auto"/>
                <w:sz w:val="21"/>
                <w:szCs w:val="21"/>
                <w:highlight w:val="none"/>
                <w:lang w:val="en-US" w:eastAsia="zh-CN"/>
              </w:rPr>
              <w:t>和无转台</w:t>
            </w:r>
            <w:r>
              <w:rPr>
                <w:rFonts w:hint="eastAsia" w:ascii="宋体" w:hAnsi="宋体" w:eastAsia="宋体" w:cs="宋体"/>
                <w:color w:val="auto"/>
                <w:sz w:val="21"/>
                <w:szCs w:val="21"/>
                <w:highlight w:val="none"/>
              </w:rPr>
              <w:t>自由扫描，手持</w:t>
            </w:r>
            <w:r>
              <w:rPr>
                <w:rFonts w:hint="eastAsia" w:ascii="宋体" w:hAnsi="宋体" w:eastAsia="宋体" w:cs="宋体"/>
                <w:color w:val="auto"/>
                <w:sz w:val="21"/>
                <w:szCs w:val="21"/>
                <w:highlight w:val="none"/>
                <w:lang w:val="en-US" w:eastAsia="zh-CN"/>
              </w:rPr>
              <w:t>激光</w:t>
            </w:r>
            <w:r>
              <w:rPr>
                <w:rFonts w:hint="eastAsia" w:ascii="宋体" w:hAnsi="宋体" w:eastAsia="宋体" w:cs="宋体"/>
                <w:color w:val="auto"/>
                <w:sz w:val="21"/>
                <w:szCs w:val="21"/>
                <w:highlight w:val="none"/>
              </w:rPr>
              <w:t>模式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w:t>
            </w:r>
            <w:r>
              <w:rPr>
                <w:rFonts w:hint="eastAsia" w:ascii="宋体" w:hAnsi="宋体" w:eastAsia="宋体" w:cs="宋体"/>
                <w:color w:val="auto"/>
                <w:sz w:val="21"/>
                <w:szCs w:val="21"/>
                <w:highlight w:val="none"/>
                <w:lang w:val="en-US" w:eastAsia="zh-CN"/>
              </w:rPr>
              <w:t>一字</w:t>
            </w:r>
            <w:r>
              <w:rPr>
                <w:rFonts w:hint="eastAsia" w:ascii="宋体" w:hAnsi="宋体" w:eastAsia="宋体" w:cs="宋体"/>
                <w:color w:val="auto"/>
                <w:sz w:val="21"/>
                <w:szCs w:val="21"/>
                <w:highlight w:val="none"/>
              </w:rPr>
              <w:t>激光扫描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很好应对镜面反射或半透明材质或户外震动环境，无需喷粉</w:t>
            </w:r>
            <w:r>
              <w:rPr>
                <w:rFonts w:hint="eastAsia" w:ascii="宋体" w:hAnsi="宋体" w:eastAsia="宋体" w:cs="宋体"/>
                <w:color w:val="auto"/>
                <w:sz w:val="21"/>
                <w:szCs w:val="21"/>
                <w:highlight w:val="none"/>
              </w:rPr>
              <w:t>；</w:t>
            </w:r>
          </w:p>
          <w:p w14:paraId="663531EB">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扫描精度：手持精细扫描模式：±0.05mm，各方向误差≤0.</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M</w:t>
            </w:r>
            <w:r>
              <w:rPr>
                <w:rFonts w:hint="eastAsia" w:ascii="宋体" w:hAnsi="宋体" w:eastAsia="宋体" w:cs="宋体"/>
                <w:color w:val="auto"/>
                <w:sz w:val="21"/>
                <w:szCs w:val="21"/>
                <w:highlight w:val="none"/>
              </w:rPr>
              <w:t>；手持快速扫描模式：±0.1mm，各方向误差≤0.3mm/</w:t>
            </w:r>
            <w:r>
              <w:rPr>
                <w:rFonts w:hint="eastAsia" w:ascii="宋体" w:hAnsi="宋体" w:eastAsia="宋体" w:cs="宋体"/>
                <w:color w:val="auto"/>
                <w:sz w:val="21"/>
                <w:szCs w:val="21"/>
                <w:highlight w:val="none"/>
                <w:lang w:val="en-US" w:eastAsia="zh-CN"/>
              </w:rPr>
              <w:t>M</w:t>
            </w:r>
            <w:r>
              <w:rPr>
                <w:rFonts w:hint="eastAsia" w:ascii="宋体" w:hAnsi="宋体" w:eastAsia="宋体" w:cs="宋体"/>
                <w:color w:val="auto"/>
                <w:sz w:val="21"/>
                <w:szCs w:val="21"/>
                <w:highlight w:val="none"/>
              </w:rPr>
              <w:t>；固定扫描模式：单幅扫描精度为0.02mm；手持</w:t>
            </w:r>
            <w:r>
              <w:rPr>
                <w:rFonts w:hint="eastAsia" w:ascii="宋体" w:hAnsi="宋体" w:eastAsia="宋体" w:cs="宋体"/>
                <w:color w:val="auto"/>
                <w:sz w:val="21"/>
                <w:szCs w:val="21"/>
                <w:highlight w:val="none"/>
                <w:lang w:val="en-US" w:eastAsia="zh-CN"/>
              </w:rPr>
              <w:t>激光</w:t>
            </w:r>
            <w:r>
              <w:rPr>
                <w:rFonts w:hint="eastAsia" w:ascii="宋体" w:hAnsi="宋体" w:eastAsia="宋体" w:cs="宋体"/>
                <w:color w:val="auto"/>
                <w:sz w:val="21"/>
                <w:szCs w:val="21"/>
                <w:highlight w:val="none"/>
              </w:rPr>
              <w:t>扫描模式：±0.05mm</w:t>
            </w:r>
          </w:p>
          <w:p w14:paraId="230CA183">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空间点距：手持精细模式（0.</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mm），手持快速模式（0.25mm-3mm）,固定扫描模式（0.24mm）；手持</w:t>
            </w:r>
            <w:r>
              <w:rPr>
                <w:rFonts w:hint="eastAsia" w:ascii="宋体" w:hAnsi="宋体" w:eastAsia="宋体" w:cs="宋体"/>
                <w:color w:val="auto"/>
                <w:sz w:val="21"/>
                <w:szCs w:val="21"/>
                <w:highlight w:val="none"/>
                <w:lang w:val="en-US" w:eastAsia="zh-CN"/>
              </w:rPr>
              <w:t>激光</w:t>
            </w:r>
            <w:r>
              <w:rPr>
                <w:rFonts w:hint="eastAsia" w:ascii="宋体" w:hAnsi="宋体" w:eastAsia="宋体" w:cs="宋体"/>
                <w:color w:val="auto"/>
                <w:sz w:val="21"/>
                <w:szCs w:val="21"/>
                <w:highlight w:val="none"/>
              </w:rPr>
              <w:t>扫描模式：（0.2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mm-3mm）</w:t>
            </w:r>
          </w:p>
          <w:p w14:paraId="625DA96C">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扫描速度：手持</w:t>
            </w:r>
            <w:r>
              <w:rPr>
                <w:rFonts w:hint="eastAsia" w:ascii="宋体" w:hAnsi="宋体" w:eastAsia="宋体" w:cs="宋体"/>
                <w:color w:val="auto"/>
                <w:sz w:val="21"/>
                <w:szCs w:val="21"/>
                <w:highlight w:val="none"/>
                <w:lang w:val="en-US" w:eastAsia="zh-CN"/>
              </w:rPr>
              <w:t>白光</w:t>
            </w:r>
            <w:r>
              <w:rPr>
                <w:rFonts w:hint="eastAsia" w:ascii="宋体" w:hAnsi="宋体" w:eastAsia="宋体" w:cs="宋体"/>
                <w:color w:val="auto"/>
                <w:sz w:val="21"/>
                <w:szCs w:val="21"/>
                <w:highlight w:val="none"/>
              </w:rPr>
              <w:t>扫描模式：≥</w:t>
            </w:r>
            <w:r>
              <w:rPr>
                <w:rFonts w:hint="eastAsia" w:ascii="宋体" w:hAnsi="宋体" w:eastAsia="宋体" w:cs="宋体"/>
                <w:color w:val="auto"/>
                <w:sz w:val="21"/>
                <w:szCs w:val="21"/>
                <w:highlight w:val="none"/>
                <w:lang w:val="en-US" w:eastAsia="zh-CN"/>
              </w:rPr>
              <w:t>900</w:t>
            </w:r>
            <w:r>
              <w:rPr>
                <w:rFonts w:hint="eastAsia" w:ascii="宋体" w:hAnsi="宋体" w:eastAsia="宋体" w:cs="宋体"/>
                <w:color w:val="auto"/>
                <w:sz w:val="21"/>
                <w:szCs w:val="21"/>
                <w:highlight w:val="none"/>
              </w:rPr>
              <w:t>,000点/秒；固定扫描模式：单幅扫描时间&lt;0.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s；手持</w:t>
            </w:r>
            <w:r>
              <w:rPr>
                <w:rFonts w:hint="eastAsia" w:ascii="宋体" w:hAnsi="宋体" w:eastAsia="宋体" w:cs="宋体"/>
                <w:color w:val="auto"/>
                <w:sz w:val="21"/>
                <w:szCs w:val="21"/>
                <w:highlight w:val="none"/>
                <w:lang w:val="en-US" w:eastAsia="zh-CN"/>
              </w:rPr>
              <w:t>激光</w:t>
            </w:r>
            <w:r>
              <w:rPr>
                <w:rFonts w:hint="eastAsia" w:ascii="宋体" w:hAnsi="宋体" w:eastAsia="宋体" w:cs="宋体"/>
                <w:color w:val="auto"/>
                <w:sz w:val="21"/>
                <w:szCs w:val="21"/>
                <w:highlight w:val="none"/>
              </w:rPr>
              <w:t>扫描模式：≥1</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000点/秒；</w:t>
            </w:r>
          </w:p>
          <w:p w14:paraId="3E4BFA24">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近场扫描范围：≥205mm*135mm； 远场扫描范围：≥310mm*200mm；</w:t>
            </w:r>
          </w:p>
          <w:p w14:paraId="17C581F7">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扫描景深：4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0mm-6</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0mm；</w:t>
            </w:r>
          </w:p>
          <w:p w14:paraId="4E7ED425">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基准工作距离：5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0mm；</w:t>
            </w:r>
          </w:p>
          <w:p w14:paraId="1D0A79CA">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光源：</w:t>
            </w:r>
            <w:r>
              <w:rPr>
                <w:rFonts w:hint="eastAsia" w:ascii="宋体" w:hAnsi="宋体" w:eastAsia="宋体" w:cs="宋体"/>
                <w:color w:val="auto"/>
                <w:sz w:val="21"/>
                <w:szCs w:val="21"/>
                <w:highlight w:val="none"/>
                <w:lang w:val="en-US" w:eastAsia="zh-CN"/>
              </w:rPr>
              <w:t>白</w:t>
            </w:r>
            <w:r>
              <w:rPr>
                <w:rFonts w:hint="eastAsia" w:ascii="宋体" w:hAnsi="宋体" w:eastAsia="宋体" w:cs="宋体"/>
                <w:color w:val="auto"/>
                <w:sz w:val="21"/>
                <w:szCs w:val="21"/>
                <w:highlight w:val="none"/>
              </w:rPr>
              <w:t>光</w:t>
            </w:r>
            <w:r>
              <w:rPr>
                <w:rFonts w:hint="eastAsia" w:ascii="宋体" w:hAnsi="宋体" w:eastAsia="宋体" w:cs="宋体"/>
                <w:color w:val="auto"/>
                <w:sz w:val="21"/>
                <w:szCs w:val="21"/>
                <w:highlight w:val="none"/>
                <w:lang w:val="en-US" w:eastAsia="zh-CN"/>
              </w:rPr>
              <w:t>和激光两种光源</w:t>
            </w:r>
            <w:r>
              <w:rPr>
                <w:rFonts w:hint="eastAsia" w:ascii="宋体" w:hAnsi="宋体" w:eastAsia="宋体" w:cs="宋体"/>
                <w:color w:val="auto"/>
                <w:sz w:val="21"/>
                <w:szCs w:val="21"/>
                <w:highlight w:val="none"/>
              </w:rPr>
              <w:t>；</w:t>
            </w:r>
          </w:p>
          <w:p w14:paraId="767B25DD">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输出格式：OBJ\STL\ASC\PLY</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w:t>
            </w:r>
          </w:p>
          <w:p w14:paraId="72BEE9E1">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可变分辨率：≥0.2mm，扫描时分辨率可以通过系统软件在扫描后根据需要调整，无须通过更换硬件镜头来实现。</w:t>
            </w:r>
          </w:p>
          <w:p w14:paraId="01CF1C5A">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拼接模式：手持精细模式（标志点拼接），手持快速模式（特征拼接、标志点拼接、混合拼接），固定全自动模式（转台</w:t>
            </w:r>
            <w:r>
              <w:rPr>
                <w:rFonts w:hint="eastAsia" w:ascii="宋体" w:hAnsi="宋体" w:eastAsia="宋体" w:cs="宋体"/>
                <w:color w:val="auto"/>
                <w:sz w:val="21"/>
                <w:szCs w:val="21"/>
                <w:highlight w:val="none"/>
                <w:lang w:val="en-US" w:eastAsia="zh-CN"/>
              </w:rPr>
              <w:t>轴</w:t>
            </w:r>
            <w:r>
              <w:rPr>
                <w:rFonts w:hint="eastAsia" w:ascii="宋体" w:hAnsi="宋体" w:eastAsia="宋体" w:cs="宋体"/>
                <w:color w:val="auto"/>
                <w:sz w:val="21"/>
                <w:szCs w:val="21"/>
                <w:highlight w:val="none"/>
              </w:rPr>
              <w:t>拼接、特征拼接、标志点拼接、手动拼接），固定自由模式（标志点拼接、特征拼接、手动拼接）；</w:t>
            </w:r>
          </w:p>
          <w:p w14:paraId="58B6D218">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混合拼接，在同一物体上可同时利用特征和标志点进行拼接，且可自动识别，仅在特征不足处使用标志点，减少标志点使用量，提高扫描效率；</w:t>
            </w:r>
          </w:p>
          <w:p w14:paraId="7F767EC5">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多工程拼接：在扫描软件中，可以实现在扫描中增加工程的功能，实现在软件中对不同工程进行拼接，避免了将数据导出在第三方软件中进行拼接；</w:t>
            </w:r>
          </w:p>
          <w:p w14:paraId="57DCC274">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扫描软件后处理功能：支持对扫描数据进行补洞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平滑、锐化、数据简化等操作；</w:t>
            </w:r>
          </w:p>
          <w:p w14:paraId="6D385D6B">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软件测量功能：支持对扫描数据进行表面积、距离的测量；</w:t>
            </w:r>
          </w:p>
          <w:p w14:paraId="4C5321B2">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模型树功能：适用于固定扫描模式，可针对不同单幅扫描数据进行分组编辑。</w:t>
            </w:r>
          </w:p>
          <w:p w14:paraId="20330420">
            <w:pPr>
              <w:keepNext w:val="0"/>
              <w:keepLines w:val="0"/>
              <w:pageBreakBefore w:val="0"/>
              <w:widowControl/>
              <w:kinsoku/>
              <w:wordWrap/>
              <w:overflowPunct/>
              <w:topLinePunct w:val="0"/>
              <w:autoSpaceDE/>
              <w:autoSpaceDN/>
              <w:bidi w:val="0"/>
              <w:adjustRightInd/>
              <w:snapToGrid/>
              <w:spacing w:line="440" w:lineRule="exact"/>
              <w:ind w:firstLine="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即时显示出扫描数据，扫描完成后，一键操作，即可得到经过补孔, 自动稀释网格, 删除离散点, 整体平滑, 锐化，可直接用于3D打印</w:t>
            </w:r>
            <w:r>
              <w:rPr>
                <w:rFonts w:hint="eastAsia" w:ascii="宋体" w:hAnsi="宋体" w:cs="宋体"/>
                <w:color w:val="auto"/>
                <w:sz w:val="21"/>
                <w:szCs w:val="21"/>
                <w:highlight w:val="none"/>
                <w:lang w:eastAsia="zh-CN"/>
              </w:rPr>
              <w:t>。</w:t>
            </w:r>
          </w:p>
          <w:p w14:paraId="08114E08">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设备必须有自校准精度板，以保证设备精度，且校准迅速，设备校准时间≤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分钟</w:t>
            </w:r>
            <w:r>
              <w:rPr>
                <w:rFonts w:hint="eastAsia" w:ascii="宋体" w:hAnsi="宋体" w:cs="宋体"/>
                <w:color w:val="auto"/>
                <w:sz w:val="21"/>
                <w:szCs w:val="21"/>
                <w:highlight w:val="none"/>
                <w:lang w:eastAsia="zh-CN"/>
              </w:rPr>
              <w:t>。</w:t>
            </w:r>
          </w:p>
        </w:tc>
        <w:tc>
          <w:tcPr>
            <w:tcW w:w="505" w:type="dxa"/>
            <w:noWrap w:val="0"/>
            <w:vAlign w:val="center"/>
          </w:tcPr>
          <w:p w14:paraId="08D9552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3B970DBA">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38C6AA7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工业</w:t>
            </w:r>
          </w:p>
        </w:tc>
      </w:tr>
      <w:tr w14:paraId="0008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6095F087">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w:t>
            </w:r>
          </w:p>
        </w:tc>
        <w:tc>
          <w:tcPr>
            <w:tcW w:w="1239" w:type="dxa"/>
            <w:noWrap w:val="0"/>
            <w:vAlign w:val="center"/>
          </w:tcPr>
          <w:p w14:paraId="4CBC680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bidi="ar"/>
              </w:rPr>
              <w:t>桌面式光固化打印机</w:t>
            </w:r>
          </w:p>
        </w:tc>
        <w:tc>
          <w:tcPr>
            <w:tcW w:w="6390" w:type="dxa"/>
            <w:gridSpan w:val="2"/>
            <w:noWrap w:val="0"/>
            <w:vAlign w:val="center"/>
          </w:tcPr>
          <w:p w14:paraId="3301B7E0">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1.</w:t>
            </w:r>
            <w:r>
              <w:rPr>
                <w:rFonts w:hint="eastAsia" w:ascii="宋体" w:hAnsi="宋体" w:eastAsia="宋体" w:cs="宋体"/>
                <w:color w:val="auto"/>
                <w:kern w:val="0"/>
                <w:sz w:val="21"/>
                <w:szCs w:val="21"/>
                <w:highlight w:val="none"/>
              </w:rPr>
              <w:t>成型工艺：DLP光固化面成型工艺，快速倒置打印成型技术，以蓝光DLP投影为驱动源；</w:t>
            </w:r>
          </w:p>
          <w:p w14:paraId="2C898B9D">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eastAsia="zh-CN"/>
              </w:rPr>
              <w:t>2.</w:t>
            </w:r>
            <w:r>
              <w:rPr>
                <w:rFonts w:hint="eastAsia" w:ascii="宋体" w:hAnsi="宋体" w:eastAsia="宋体" w:cs="宋体"/>
                <w:color w:val="auto"/>
                <w:sz w:val="21"/>
                <w:szCs w:val="21"/>
                <w:highlight w:val="none"/>
                <w:lang w:val="en-US" w:eastAsia="zh-CN"/>
              </w:rPr>
              <w:t>搭载4.3寸触摸屏，可支持打印预览、模型预览，并支持中英文切换，</w:t>
            </w:r>
            <w:r>
              <w:rPr>
                <w:rFonts w:hint="eastAsia" w:ascii="宋体" w:hAnsi="宋体" w:eastAsia="宋体" w:cs="宋体"/>
                <w:color w:val="auto"/>
                <w:sz w:val="21"/>
                <w:szCs w:val="21"/>
                <w:highlight w:val="none"/>
              </w:rPr>
              <w:t>使打印更加便捷，体验感更强；</w:t>
            </w:r>
          </w:p>
          <w:p w14:paraId="445C0B46">
            <w:pPr>
              <w:keepNext w:val="0"/>
              <w:keepLines w:val="0"/>
              <w:pageBreakBefore w:val="0"/>
              <w:widowControl/>
              <w:tabs>
                <w:tab w:val="left" w:pos="1843"/>
              </w:tabs>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3.</w:t>
            </w:r>
            <w:r>
              <w:rPr>
                <w:rFonts w:hint="eastAsia" w:ascii="宋体" w:hAnsi="宋体" w:eastAsia="宋体" w:cs="宋体"/>
                <w:color w:val="auto"/>
                <w:kern w:val="0"/>
                <w:sz w:val="21"/>
                <w:szCs w:val="21"/>
                <w:highlight w:val="none"/>
              </w:rPr>
              <w:t>设备尺寸：不大于</w:t>
            </w:r>
            <w:r>
              <w:rPr>
                <w:rFonts w:hint="eastAsia" w:ascii="宋体" w:hAnsi="宋体" w:eastAsia="宋体" w:cs="宋体"/>
                <w:color w:val="auto"/>
                <w:kern w:val="0"/>
                <w:sz w:val="21"/>
                <w:szCs w:val="21"/>
                <w:highlight w:val="none"/>
                <w:lang w:val="en-US" w:eastAsia="zh-CN"/>
              </w:rPr>
              <w:t>375X345X435</w:t>
            </w:r>
            <w:r>
              <w:rPr>
                <w:rFonts w:hint="eastAsia" w:ascii="宋体" w:hAnsi="宋体" w:eastAsia="宋体" w:cs="宋体"/>
                <w:color w:val="auto"/>
                <w:kern w:val="0"/>
                <w:sz w:val="21"/>
                <w:szCs w:val="21"/>
                <w:highlight w:val="none"/>
              </w:rPr>
              <w:t>mm，桌面级尺寸，样式美观；最大成型空间：</w:t>
            </w:r>
            <w:r>
              <w:rPr>
                <w:rFonts w:hint="eastAsia" w:ascii="宋体" w:hAnsi="宋体" w:eastAsia="宋体" w:cs="宋体"/>
                <w:color w:val="auto"/>
                <w:kern w:val="0"/>
                <w:sz w:val="21"/>
                <w:szCs w:val="21"/>
                <w:highlight w:val="none"/>
                <w:lang w:val="en-US" w:eastAsia="zh-CN"/>
              </w:rPr>
              <w:t>128X72X180</w:t>
            </w:r>
            <w:r>
              <w:rPr>
                <w:rFonts w:hint="eastAsia" w:ascii="宋体" w:hAnsi="宋体" w:eastAsia="宋体" w:cs="宋体"/>
                <w:color w:val="auto"/>
                <w:kern w:val="0"/>
                <w:sz w:val="21"/>
                <w:szCs w:val="21"/>
                <w:highlight w:val="none"/>
              </w:rPr>
              <w:t xml:space="preserve"> mm</w:t>
            </w:r>
          </w:p>
          <w:p w14:paraId="55A06F2B">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4.</w:t>
            </w:r>
            <w:r>
              <w:rPr>
                <w:rFonts w:hint="eastAsia" w:ascii="宋体" w:hAnsi="宋体" w:eastAsia="宋体" w:cs="宋体"/>
                <w:color w:val="auto"/>
                <w:kern w:val="0"/>
                <w:sz w:val="21"/>
                <w:szCs w:val="21"/>
                <w:highlight w:val="none"/>
              </w:rPr>
              <w:t>分层厚度：0.02mm—0.1mm</w:t>
            </w:r>
          </w:p>
          <w:p w14:paraId="1CFEE8C4">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eastAsia="zh-CN"/>
              </w:rPr>
              <w:t>5.</w:t>
            </w:r>
            <w:r>
              <w:rPr>
                <w:rFonts w:hint="eastAsia" w:ascii="宋体" w:hAnsi="宋体" w:eastAsia="宋体" w:cs="宋体"/>
                <w:color w:val="auto"/>
                <w:kern w:val="0"/>
                <w:sz w:val="21"/>
                <w:szCs w:val="21"/>
                <w:highlight w:val="none"/>
                <w:lang w:val="en-US" w:eastAsia="zh-CN"/>
              </w:rPr>
              <w:t>打印精度：XY100μm，Z轴20-100μm</w:t>
            </w:r>
            <w:r>
              <w:rPr>
                <w:rFonts w:hint="eastAsia" w:ascii="宋体" w:hAnsi="宋体" w:eastAsia="宋体" w:cs="宋体"/>
                <w:color w:val="auto"/>
                <w:sz w:val="21"/>
                <w:szCs w:val="21"/>
                <w:highlight w:val="none"/>
              </w:rPr>
              <w:t>；</w:t>
            </w:r>
          </w:p>
          <w:p w14:paraId="179AD0D4">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6.</w:t>
            </w:r>
            <w:r>
              <w:rPr>
                <w:rFonts w:hint="eastAsia" w:ascii="宋体" w:hAnsi="宋体" w:eastAsia="宋体" w:cs="宋体"/>
                <w:color w:val="auto"/>
                <w:kern w:val="0"/>
                <w:sz w:val="21"/>
                <w:szCs w:val="21"/>
                <w:highlight w:val="none"/>
                <w:lang w:val="en-US" w:eastAsia="zh-CN"/>
              </w:rPr>
              <w:t>具备wifii模块控制，支持远程控制打印，远程下载打印文件，具备自动开关机功能；</w:t>
            </w:r>
          </w:p>
          <w:p w14:paraId="6898E27E">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eastAsia="zh-CN"/>
              </w:rPr>
              <w:t>7.</w:t>
            </w:r>
            <w:r>
              <w:rPr>
                <w:rFonts w:hint="eastAsia" w:ascii="宋体" w:hAnsi="宋体" w:eastAsia="宋体" w:cs="宋体"/>
                <w:color w:val="auto"/>
                <w:kern w:val="0"/>
                <w:sz w:val="21"/>
                <w:szCs w:val="21"/>
                <w:highlight w:val="none"/>
                <w:lang w:val="en-US" w:eastAsia="zh-CN"/>
              </w:rPr>
              <w:t>设备底部配有环绕彩色灯光，可选择多种颜色灯光效果，视觉效果更佳。</w:t>
            </w:r>
          </w:p>
          <w:p w14:paraId="60171078">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兼容数据格式：支持所有输出STL格式的三维软件，如</w:t>
            </w:r>
            <w:r>
              <w:rPr>
                <w:rFonts w:hint="eastAsia" w:ascii="宋体" w:hAnsi="宋体" w:eastAsia="宋体" w:cs="宋体"/>
                <w:color w:val="auto"/>
                <w:sz w:val="21"/>
                <w:szCs w:val="21"/>
                <w:highlight w:val="none"/>
              </w:rPr>
              <w:t>PRO/E、3DMAX、Solidworks、UG、Geomagic、Zbrush、Catia等</w:t>
            </w:r>
          </w:p>
          <w:p w14:paraId="7D8F3AE3">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设备外观整体一次性注塑成型，结构精致</w:t>
            </w:r>
          </w:p>
          <w:p w14:paraId="4E9C8D69">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eastAsia="zh-CN"/>
              </w:rPr>
              <w:t>0.</w:t>
            </w:r>
            <w:r>
              <w:rPr>
                <w:rFonts w:hint="eastAsia" w:ascii="宋体" w:hAnsi="宋体" w:eastAsia="宋体" w:cs="宋体"/>
                <w:color w:val="auto"/>
                <w:kern w:val="0"/>
                <w:sz w:val="21"/>
                <w:szCs w:val="21"/>
                <w:highlight w:val="none"/>
              </w:rPr>
              <w:t>操作软件主要功能</w:t>
            </w:r>
            <w:r>
              <w:rPr>
                <w:rFonts w:hint="eastAsia" w:ascii="宋体" w:hAnsi="宋体" w:eastAsia="宋体" w:cs="宋体"/>
                <w:color w:val="auto"/>
                <w:kern w:val="0"/>
                <w:sz w:val="21"/>
                <w:szCs w:val="21"/>
                <w:highlight w:val="none"/>
                <w:lang w:eastAsia="zh-CN"/>
              </w:rPr>
              <w:t>：</w:t>
            </w:r>
          </w:p>
          <w:p w14:paraId="275663A7">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a</w:t>
            </w:r>
            <w:r>
              <w:rPr>
                <w:rFonts w:hint="eastAsia" w:ascii="宋体" w:hAnsi="宋体" w:eastAsia="宋体" w:cs="宋体"/>
                <w:color w:val="auto"/>
                <w:kern w:val="0"/>
                <w:sz w:val="21"/>
                <w:szCs w:val="21"/>
                <w:highlight w:val="none"/>
              </w:rPr>
              <w:t>具备一键自动生成网状支撑和手动加支撑的功能，支</w:t>
            </w:r>
            <w:r>
              <w:rPr>
                <w:rFonts w:hint="eastAsia" w:ascii="宋体" w:hAnsi="宋体" w:eastAsia="宋体" w:cs="宋体"/>
                <w:color w:val="auto"/>
                <w:sz w:val="21"/>
                <w:szCs w:val="21"/>
                <w:highlight w:val="none"/>
              </w:rPr>
              <w:t>撑与支撑通过网状结构联结，节省材料的同时使得支撑更加稳固；</w:t>
            </w:r>
            <w:r>
              <w:rPr>
                <w:rFonts w:hint="eastAsia" w:ascii="宋体" w:hAnsi="宋体" w:eastAsia="宋体" w:cs="宋体"/>
                <w:color w:val="auto"/>
                <w:kern w:val="0"/>
                <w:sz w:val="21"/>
                <w:szCs w:val="21"/>
                <w:highlight w:val="none"/>
                <w:lang w:val="en-US" w:eastAsia="zh-CN"/>
              </w:rPr>
              <w:t>内置操作软件视频</w:t>
            </w:r>
          </w:p>
          <w:p w14:paraId="1C6B0B8F">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b、设备光强可调：设备光强可根据用户需求，在指定范围内调整光源强度</w:t>
            </w:r>
          </w:p>
          <w:p w14:paraId="56FB9C24">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c、预压功能：内置平台预压功能，解决设备长时间使用过程中做到精准调试</w:t>
            </w:r>
          </w:p>
          <w:p w14:paraId="442034AF">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cs="宋体"/>
                <w:color w:val="auto"/>
                <w:spacing w:val="8"/>
                <w:sz w:val="21"/>
                <w:szCs w:val="21"/>
                <w:highlight w:val="none"/>
                <w:lang w:val="en-US" w:eastAsia="zh-CN"/>
              </w:rPr>
              <w:t>1.</w:t>
            </w:r>
            <w:r>
              <w:rPr>
                <w:rFonts w:hint="eastAsia" w:ascii="宋体" w:hAnsi="宋体" w:eastAsia="宋体" w:cs="宋体"/>
                <w:color w:val="auto"/>
                <w:spacing w:val="8"/>
                <w:sz w:val="21"/>
                <w:szCs w:val="21"/>
                <w:highlight w:val="none"/>
              </w:rPr>
              <w:t>现场提供配套完整的后期处理和产品手工上色DIY全过程视</w:t>
            </w:r>
          </w:p>
          <w:p w14:paraId="2F40E62C">
            <w:pPr>
              <w:keepNext w:val="0"/>
              <w:keepLines w:val="0"/>
              <w:pageBreakBefore w:val="0"/>
              <w:widowControl/>
              <w:kinsoku/>
              <w:wordWrap/>
              <w:overflowPunct/>
              <w:topLinePunct w:val="0"/>
              <w:autoSpaceDE/>
              <w:autoSpaceDN/>
              <w:bidi w:val="0"/>
              <w:adjustRightInd/>
              <w:snapToGrid/>
              <w:spacing w:line="440" w:lineRule="exact"/>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sz w:val="21"/>
                <w:szCs w:val="21"/>
                <w:highlight w:val="none"/>
              </w:rPr>
              <w:t>频教程，特别适合学校、教育机构等的DIY教学和培训</w:t>
            </w:r>
            <w:r>
              <w:rPr>
                <w:rFonts w:hint="eastAsia" w:ascii="宋体" w:hAnsi="宋体" w:cs="宋体"/>
                <w:color w:val="auto"/>
                <w:spacing w:val="8"/>
                <w:sz w:val="21"/>
                <w:szCs w:val="21"/>
                <w:highlight w:val="none"/>
                <w:lang w:eastAsia="zh-CN"/>
              </w:rPr>
              <w:t>。</w:t>
            </w:r>
          </w:p>
        </w:tc>
        <w:tc>
          <w:tcPr>
            <w:tcW w:w="505" w:type="dxa"/>
            <w:noWrap w:val="0"/>
            <w:vAlign w:val="center"/>
          </w:tcPr>
          <w:p w14:paraId="3105B94D">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478" w:type="dxa"/>
            <w:noWrap w:val="0"/>
            <w:vAlign w:val="center"/>
          </w:tcPr>
          <w:p w14:paraId="51DB2F4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6DCB982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3ACE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5CD9CDB8">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w:t>
            </w:r>
          </w:p>
        </w:tc>
        <w:tc>
          <w:tcPr>
            <w:tcW w:w="1239" w:type="dxa"/>
            <w:noWrap w:val="0"/>
            <w:vAlign w:val="center"/>
          </w:tcPr>
          <w:p w14:paraId="2B56B13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空调</w:t>
            </w:r>
          </w:p>
        </w:tc>
        <w:tc>
          <w:tcPr>
            <w:tcW w:w="6390" w:type="dxa"/>
            <w:gridSpan w:val="2"/>
            <w:noWrap w:val="0"/>
            <w:vAlign w:val="top"/>
          </w:tcPr>
          <w:p w14:paraId="185503E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为保证产品质量服务与稳定性，要求必须品牌整机：</w:t>
            </w:r>
          </w:p>
          <w:p w14:paraId="1632EFA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规格：3匹冷暖变频柜式空调</w:t>
            </w:r>
          </w:p>
          <w:p w14:paraId="01A6D3B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能效等级：2级</w:t>
            </w:r>
          </w:p>
          <w:p w14:paraId="038B19D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能效比：3.39</w:t>
            </w:r>
          </w:p>
          <w:p w14:paraId="44BCA3F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额定制冷量：7350W</w:t>
            </w:r>
          </w:p>
          <w:p w14:paraId="48554F0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额定制热量：8200W</w:t>
            </w:r>
          </w:p>
          <w:p w14:paraId="29EF261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6.</w:t>
            </w:r>
            <w:r>
              <w:rPr>
                <w:rFonts w:hint="eastAsia" w:ascii="宋体" w:hAnsi="宋体" w:eastAsia="宋体" w:cs="宋体"/>
                <w:color w:val="auto"/>
                <w:sz w:val="21"/>
                <w:szCs w:val="21"/>
                <w:highlight w:val="none"/>
              </w:rPr>
              <w:t>额定制冷功率：2170W</w:t>
            </w:r>
          </w:p>
          <w:p w14:paraId="1E548BB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额定制热功率：2240W</w:t>
            </w:r>
          </w:p>
          <w:p w14:paraId="0085D9C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8.</w:t>
            </w:r>
            <w:r>
              <w:rPr>
                <w:rFonts w:hint="eastAsia" w:ascii="宋体" w:hAnsi="宋体" w:eastAsia="宋体" w:cs="宋体"/>
                <w:color w:val="auto"/>
                <w:sz w:val="21"/>
                <w:szCs w:val="21"/>
                <w:highlight w:val="none"/>
              </w:rPr>
              <w:t>外机噪音：dB(A)56</w:t>
            </w:r>
          </w:p>
          <w:p w14:paraId="05173FE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9.</w:t>
            </w:r>
            <w:r>
              <w:rPr>
                <w:rFonts w:hint="eastAsia" w:ascii="宋体" w:hAnsi="宋体" w:eastAsia="宋体" w:cs="宋体"/>
                <w:color w:val="auto"/>
                <w:sz w:val="21"/>
                <w:szCs w:val="21"/>
                <w:highlight w:val="none"/>
              </w:rPr>
              <w:t>内机噪音dB(A)：41.5-45.5</w:t>
            </w:r>
          </w:p>
          <w:p w14:paraId="7F2F498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0.</w:t>
            </w:r>
            <w:r>
              <w:rPr>
                <w:rFonts w:hint="eastAsia" w:ascii="宋体" w:hAnsi="宋体" w:eastAsia="宋体" w:cs="宋体"/>
                <w:color w:val="auto"/>
                <w:sz w:val="21"/>
                <w:szCs w:val="21"/>
                <w:highlight w:val="none"/>
              </w:rPr>
              <w:t>电源（V/Hz）：220/50</w:t>
            </w:r>
          </w:p>
          <w:p w14:paraId="785CD5D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标配4米铜管</w:t>
            </w:r>
          </w:p>
          <w:p w14:paraId="42F4F57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olor w:val="auto"/>
                <w:lang w:val="en-US" w:eastAsia="zh-CN"/>
              </w:rPr>
              <w:t>12.提供产品节能认证证书（加盖供应商公章）。</w:t>
            </w:r>
          </w:p>
        </w:tc>
        <w:tc>
          <w:tcPr>
            <w:tcW w:w="505" w:type="dxa"/>
            <w:noWrap w:val="0"/>
            <w:vAlign w:val="center"/>
          </w:tcPr>
          <w:p w14:paraId="3B6030F0">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289731C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007DB55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6DF4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231F7FD2">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1.4</w:t>
            </w:r>
          </w:p>
        </w:tc>
        <w:tc>
          <w:tcPr>
            <w:tcW w:w="1239" w:type="dxa"/>
            <w:noWrap w:val="0"/>
            <w:vAlign w:val="center"/>
          </w:tcPr>
          <w:p w14:paraId="39E06D1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bidi="ar"/>
              </w:rPr>
              <w:t>计算机</w:t>
            </w:r>
          </w:p>
        </w:tc>
        <w:tc>
          <w:tcPr>
            <w:tcW w:w="6390" w:type="dxa"/>
            <w:gridSpan w:val="2"/>
            <w:noWrap w:val="0"/>
            <w:vAlign w:val="top"/>
          </w:tcPr>
          <w:p w14:paraId="5036ED6F">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一、CPU规格</w:t>
            </w:r>
          </w:p>
          <w:p w14:paraId="68B1C5DB">
            <w:pPr>
              <w:jc w:val="left"/>
              <w:rPr>
                <w:rFonts w:hint="eastAsia" w:ascii="宋体" w:hAnsi="宋体" w:eastAsia="宋体" w:cs="黑体"/>
                <w:color w:val="FF0000"/>
                <w:spacing w:val="-17"/>
                <w:kern w:val="0"/>
                <w:szCs w:val="21"/>
              </w:rPr>
            </w:pPr>
            <w:r>
              <w:rPr>
                <w:rFonts w:hint="eastAsia" w:ascii="宋体" w:hAnsi="宋体" w:eastAsia="宋体" w:cs="黑体"/>
                <w:spacing w:val="-2"/>
                <w:kern w:val="0"/>
                <w:szCs w:val="21"/>
                <w:lang w:eastAsia="zh-CN"/>
              </w:rPr>
              <w:t>★</w:t>
            </w:r>
            <w:r>
              <w:rPr>
                <w:rFonts w:hint="eastAsia" w:ascii="宋体" w:hAnsi="宋体" w:eastAsia="宋体" w:cs="黑体"/>
                <w:color w:val="auto"/>
                <w:spacing w:val="-2"/>
                <w:kern w:val="0"/>
                <w:szCs w:val="21"/>
              </w:rPr>
              <w:t>1.CPU</w:t>
            </w:r>
            <w:r>
              <w:rPr>
                <w:rFonts w:hint="eastAsia" w:ascii="宋体" w:hAnsi="宋体" w:eastAsia="宋体" w:cs="黑体"/>
                <w:color w:val="auto"/>
                <w:spacing w:val="-17"/>
                <w:kern w:val="0"/>
                <w:szCs w:val="21"/>
              </w:rPr>
              <w:t>信息：</w:t>
            </w:r>
            <w:r>
              <w:rPr>
                <w:rFonts w:hint="eastAsia" w:ascii="宋体" w:hAnsi="宋体" w:cs="黑体"/>
                <w:color w:val="auto"/>
                <w:spacing w:val="-17"/>
                <w:kern w:val="0"/>
                <w:szCs w:val="21"/>
                <w:lang w:eastAsia="zh-CN"/>
              </w:rPr>
              <w:t>兼容</w:t>
            </w:r>
            <w:r>
              <w:rPr>
                <w:rFonts w:hint="eastAsia" w:ascii="宋体" w:hAnsi="宋体" w:cs="黑体"/>
                <w:color w:val="auto"/>
                <w:spacing w:val="-17"/>
                <w:kern w:val="0"/>
                <w:szCs w:val="21"/>
                <w:lang w:val="en-US" w:eastAsia="zh-CN"/>
              </w:rPr>
              <w:t>X86架构</w:t>
            </w:r>
            <w:r>
              <w:rPr>
                <w:rFonts w:hint="eastAsia" w:ascii="宋体" w:hAnsi="宋体" w:eastAsia="宋体" w:cs="黑体"/>
                <w:color w:val="auto"/>
                <w:spacing w:val="-17"/>
                <w:kern w:val="0"/>
                <w:szCs w:val="21"/>
              </w:rPr>
              <w:t>,八核十二线</w:t>
            </w:r>
            <w:r>
              <w:rPr>
                <w:rFonts w:hint="eastAsia" w:ascii="宋体" w:hAnsi="宋体" w:cs="黑体"/>
                <w:color w:val="auto"/>
                <w:spacing w:val="-17"/>
                <w:kern w:val="0"/>
                <w:szCs w:val="21"/>
                <w:lang w:eastAsia="zh-CN"/>
              </w:rPr>
              <w:t>程国产处理器</w:t>
            </w:r>
            <w:r>
              <w:rPr>
                <w:rFonts w:hint="eastAsia" w:ascii="宋体" w:hAnsi="宋体" w:eastAsia="宋体" w:cs="黑体"/>
                <w:color w:val="auto"/>
                <w:spacing w:val="-17"/>
                <w:kern w:val="0"/>
                <w:szCs w:val="21"/>
              </w:rPr>
              <w:t>，3.0G主频；</w:t>
            </w:r>
          </w:p>
          <w:p w14:paraId="0AC62A9E">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二、内存规格</w:t>
            </w:r>
          </w:p>
          <w:p w14:paraId="7D79B204">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1.内存配置容量：≥16G；</w:t>
            </w:r>
          </w:p>
          <w:p w14:paraId="797C6F24">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2.内存类型：支持DDR4/LPDDR4/LPDDR4X及以上内存类型；</w:t>
            </w:r>
          </w:p>
          <w:p w14:paraId="18A85C1D">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3.内存条配置数量（板载内存不涉及）：≥2；</w:t>
            </w:r>
          </w:p>
          <w:p w14:paraId="7FDE05D4">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三、主板规格</w:t>
            </w:r>
          </w:p>
          <w:p w14:paraId="0F614D76">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1.主板集成模块：</w:t>
            </w:r>
            <w:r>
              <w:rPr>
                <w:rFonts w:hint="eastAsia" w:ascii="宋体" w:hAnsi="宋体" w:eastAsia="宋体" w:cs="宋体"/>
                <w:bCs/>
                <w:spacing w:val="10"/>
                <w:kern w:val="0"/>
                <w:szCs w:val="21"/>
              </w:rPr>
              <w:t>与处理器同级匹配的主板或以上，支持M.2无线+蓝牙5.0模块，集成千兆网卡，满足高速、稳定上网需求</w:t>
            </w:r>
            <w:r>
              <w:rPr>
                <w:rFonts w:hint="eastAsia" w:ascii="宋体" w:hAnsi="宋体" w:eastAsia="宋体" w:cs="黑体"/>
                <w:spacing w:val="-2"/>
                <w:kern w:val="0"/>
                <w:szCs w:val="21"/>
              </w:rPr>
              <w:t>；</w:t>
            </w:r>
          </w:p>
          <w:p w14:paraId="04586AD6">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2.主板支持的CPU和内存情况：</w:t>
            </w:r>
            <w:r>
              <w:rPr>
                <w:rFonts w:hint="eastAsia" w:ascii="宋体" w:hAnsi="宋体" w:eastAsia="宋体" w:cs="黑体"/>
                <w:spacing w:val="-6"/>
                <w:kern w:val="0"/>
                <w:szCs w:val="21"/>
              </w:rPr>
              <w:t>供应商给出主板支持的</w:t>
            </w:r>
            <w:r>
              <w:rPr>
                <w:rFonts w:hint="eastAsia" w:ascii="宋体" w:hAnsi="宋体" w:eastAsia="宋体" w:cs="黑体"/>
                <w:spacing w:val="-2"/>
                <w:kern w:val="0"/>
                <w:szCs w:val="21"/>
              </w:rPr>
              <w:t>CPU</w:t>
            </w:r>
            <w:r>
              <w:rPr>
                <w:rFonts w:hint="eastAsia" w:ascii="宋体" w:hAnsi="宋体" w:eastAsia="宋体" w:cs="黑体"/>
                <w:spacing w:val="-11"/>
                <w:kern w:val="0"/>
                <w:szCs w:val="21"/>
              </w:rPr>
              <w:t>和内存型</w:t>
            </w:r>
            <w:r>
              <w:rPr>
                <w:rFonts w:hint="eastAsia" w:ascii="宋体" w:hAnsi="宋体" w:eastAsia="宋体" w:cs="黑体"/>
                <w:spacing w:val="-4"/>
                <w:kern w:val="0"/>
                <w:szCs w:val="21"/>
              </w:rPr>
              <w:t>号和数量；</w:t>
            </w:r>
          </w:p>
          <w:p w14:paraId="2346B4C6">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3.主板其他内置接口：供应商给出相关</w:t>
            </w:r>
            <w:r>
              <w:rPr>
                <w:rFonts w:hint="eastAsia" w:ascii="宋体" w:hAnsi="宋体" w:eastAsia="宋体" w:cs="黑体"/>
                <w:spacing w:val="-2"/>
                <w:kern w:val="0"/>
                <w:szCs w:val="21"/>
              </w:rPr>
              <w:t>SATA、M.2、USB</w:t>
            </w:r>
            <w:r>
              <w:rPr>
                <w:rFonts w:hint="eastAsia" w:ascii="宋体" w:hAnsi="宋体" w:eastAsia="宋体" w:cs="黑体"/>
                <w:spacing w:val="-16"/>
                <w:kern w:val="0"/>
                <w:szCs w:val="21"/>
              </w:rPr>
              <w:t>接口</w:t>
            </w:r>
            <w:r>
              <w:rPr>
                <w:rFonts w:hint="eastAsia" w:ascii="宋体" w:hAnsi="宋体" w:eastAsia="宋体" w:cs="黑体"/>
                <w:spacing w:val="-2"/>
                <w:kern w:val="0"/>
                <w:szCs w:val="21"/>
              </w:rPr>
              <w:t>数量及占用状态；</w:t>
            </w:r>
          </w:p>
          <w:p w14:paraId="1DDDA70F">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4.单内存插槽最大可支持容量（板载内存不涉及）：</w:t>
            </w:r>
            <w:r>
              <w:rPr>
                <w:rFonts w:hint="eastAsia" w:ascii="宋体" w:hAnsi="宋体" w:eastAsia="宋体" w:cs="黑体"/>
                <w:spacing w:val="-4"/>
                <w:kern w:val="0"/>
                <w:szCs w:val="21"/>
              </w:rPr>
              <w:t>≥16GB；</w:t>
            </w:r>
          </w:p>
          <w:p w14:paraId="7ABD3C89">
            <w:pPr>
              <w:autoSpaceDE w:val="0"/>
              <w:autoSpaceDN w:val="0"/>
              <w:spacing w:line="340" w:lineRule="exact"/>
              <w:jc w:val="left"/>
              <w:rPr>
                <w:rFonts w:hint="eastAsia" w:ascii="宋体" w:hAnsi="宋体" w:eastAsia="宋体" w:cs="黑体"/>
                <w:spacing w:val="-2"/>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5.内存插槽满配时提供的最高内存总容量：</w:t>
            </w:r>
            <w:r>
              <w:rPr>
                <w:rFonts w:hint="eastAsia" w:ascii="宋体" w:hAnsi="宋体" w:eastAsia="宋体" w:cs="黑体"/>
                <w:spacing w:val="-2"/>
                <w:kern w:val="0"/>
                <w:szCs w:val="21"/>
              </w:rPr>
              <w:t>≥32GB；</w:t>
            </w:r>
          </w:p>
          <w:p w14:paraId="2E904E3A">
            <w:pPr>
              <w:autoSpaceDE w:val="0"/>
              <w:autoSpaceDN w:val="0"/>
              <w:spacing w:line="340" w:lineRule="exact"/>
              <w:jc w:val="left"/>
              <w:rPr>
                <w:rFonts w:hint="eastAsia" w:ascii="宋体" w:hAnsi="宋体" w:eastAsia="宋体" w:cs="黑体"/>
                <w:b/>
                <w:bCs/>
                <w:spacing w:val="-8"/>
                <w:kern w:val="0"/>
                <w:szCs w:val="21"/>
              </w:rPr>
            </w:pPr>
            <w:r>
              <w:rPr>
                <w:rFonts w:hint="eastAsia" w:ascii="宋体" w:hAnsi="宋体" w:eastAsia="宋体" w:cs="黑体"/>
                <w:b/>
                <w:bCs/>
                <w:spacing w:val="-8"/>
                <w:kern w:val="0"/>
                <w:szCs w:val="21"/>
              </w:rPr>
              <w:t>四、存储设备规格</w:t>
            </w:r>
          </w:p>
          <w:p w14:paraId="04A3F3DB">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1.固态盘数量：≥1个；</w:t>
            </w:r>
          </w:p>
          <w:p w14:paraId="5A9F0A9C">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2.固态存储容量：≥</w:t>
            </w:r>
            <w:r>
              <w:rPr>
                <w:rFonts w:hint="eastAsia" w:ascii="宋体" w:hAnsi="宋体" w:eastAsia="宋体" w:cs="宋体"/>
                <w:bCs/>
                <w:spacing w:val="10"/>
                <w:kern w:val="0"/>
                <w:szCs w:val="21"/>
              </w:rPr>
              <w:t>512GB</w:t>
            </w:r>
            <w:r>
              <w:rPr>
                <w:rFonts w:hint="eastAsia" w:ascii="宋体" w:hAnsi="宋体" w:eastAsia="宋体" w:cs="黑体"/>
                <w:spacing w:val="-8"/>
                <w:kern w:val="0"/>
                <w:szCs w:val="21"/>
              </w:rPr>
              <w:t>；</w:t>
            </w:r>
          </w:p>
          <w:p w14:paraId="146A8DED">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3.机械硬盘数量：≥1个；</w:t>
            </w:r>
          </w:p>
          <w:p w14:paraId="77D4FB6F">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4.机械硬盘总容量：≥2T；</w:t>
            </w:r>
          </w:p>
          <w:p w14:paraId="14906D3F">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5.机械硬盘转速：≥5400rpm；</w:t>
            </w:r>
          </w:p>
          <w:p w14:paraId="454C1942">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6.机械硬盘形态：2.5英寸或3.5英寸等；</w:t>
            </w:r>
          </w:p>
          <w:p w14:paraId="50865B4A">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7.固态存储形态：采用插卡或板载等形态，可选用符合M.2或2.5寸SATA或mSATA等标准的插卡形态；</w:t>
            </w:r>
          </w:p>
          <w:p w14:paraId="5CFD2E73">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8.存储设备其他参数要求：a)固态盘应符合SJ/T 11654相关规定；b)机械硬盘准备时间应不大于30s；侧面固定螺丝孔数量可为4孔或6孔；工作状态环境温度应满足5℃~55℃；其它参数应符合GB/T 12628相关规定；</w:t>
            </w:r>
          </w:p>
          <w:p w14:paraId="14FC40B3">
            <w:pPr>
              <w:autoSpaceDE w:val="0"/>
              <w:autoSpaceDN w:val="0"/>
              <w:spacing w:line="340" w:lineRule="exact"/>
              <w:jc w:val="left"/>
              <w:rPr>
                <w:rFonts w:hint="eastAsia" w:ascii="宋体" w:hAnsi="宋体" w:eastAsia="宋体" w:cs="黑体"/>
                <w:b/>
                <w:bCs/>
                <w:spacing w:val="-8"/>
                <w:kern w:val="0"/>
                <w:szCs w:val="21"/>
              </w:rPr>
            </w:pPr>
            <w:r>
              <w:rPr>
                <w:rFonts w:hint="eastAsia" w:ascii="宋体" w:hAnsi="宋体" w:eastAsia="宋体" w:cs="黑体"/>
                <w:b/>
                <w:bCs/>
                <w:spacing w:val="-8"/>
                <w:kern w:val="0"/>
                <w:szCs w:val="21"/>
              </w:rPr>
              <w:t>五、显卡规格</w:t>
            </w:r>
          </w:p>
          <w:p w14:paraId="635DE654">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1.显卡类型：</w:t>
            </w:r>
            <w:r>
              <w:rPr>
                <w:rFonts w:hint="eastAsia" w:ascii="宋体" w:hAnsi="宋体" w:eastAsia="宋体" w:cs="宋体"/>
                <w:bCs/>
                <w:spacing w:val="10"/>
                <w:kern w:val="0"/>
                <w:szCs w:val="21"/>
              </w:rPr>
              <w:t>独立显卡≥8G</w:t>
            </w:r>
            <w:r>
              <w:rPr>
                <w:rFonts w:hint="eastAsia" w:ascii="宋体" w:hAnsi="宋体" w:eastAsia="宋体" w:cs="黑体"/>
                <w:spacing w:val="-8"/>
                <w:kern w:val="0"/>
                <w:szCs w:val="21"/>
              </w:rPr>
              <w:t>；</w:t>
            </w:r>
          </w:p>
          <w:p w14:paraId="217BD780">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2.独立显卡显存类型：若配置独立显卡，显存类型应为DDR3/DDR4/GDDR5/GDDR6/LPDDR4；</w:t>
            </w:r>
          </w:p>
          <w:p w14:paraId="1F007A13">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3.独立显卡显存位宽：若配置独立显卡，显存位宽≥</w:t>
            </w:r>
            <w:r>
              <w:rPr>
                <w:rFonts w:hint="eastAsia" w:ascii="宋体" w:hAnsi="宋体" w:cs="黑体"/>
                <w:spacing w:val="-8"/>
                <w:kern w:val="0"/>
                <w:szCs w:val="21"/>
                <w:lang w:val="en-US" w:eastAsia="zh-CN"/>
              </w:rPr>
              <w:t>128</w:t>
            </w:r>
            <w:r>
              <w:rPr>
                <w:rFonts w:hint="eastAsia" w:ascii="宋体" w:hAnsi="宋体" w:eastAsia="宋体" w:cs="黑体"/>
                <w:spacing w:val="-8"/>
                <w:kern w:val="0"/>
                <w:szCs w:val="21"/>
              </w:rPr>
              <w:t>位；</w:t>
            </w:r>
          </w:p>
          <w:p w14:paraId="2BBF8D5E">
            <w:pPr>
              <w:autoSpaceDE w:val="0"/>
              <w:autoSpaceDN w:val="0"/>
              <w:spacing w:line="340" w:lineRule="exact"/>
              <w:jc w:val="left"/>
              <w:rPr>
                <w:rFonts w:hint="eastAsia" w:ascii="宋体" w:hAnsi="宋体" w:eastAsia="宋体" w:cs="黑体"/>
                <w:spacing w:val="-8"/>
                <w:kern w:val="0"/>
                <w:szCs w:val="21"/>
              </w:rPr>
            </w:pPr>
            <w:r>
              <w:rPr>
                <w:rFonts w:hint="eastAsia" w:ascii="宋体" w:hAnsi="宋体" w:eastAsia="宋体" w:cs="黑体"/>
                <w:spacing w:val="-8"/>
                <w:kern w:val="0"/>
                <w:szCs w:val="21"/>
                <w:lang w:eastAsia="zh-CN"/>
              </w:rPr>
              <w:t>★</w:t>
            </w:r>
            <w:r>
              <w:rPr>
                <w:rFonts w:hint="eastAsia" w:ascii="宋体" w:hAnsi="宋体" w:eastAsia="宋体" w:cs="黑体"/>
                <w:spacing w:val="-8"/>
                <w:kern w:val="0"/>
                <w:szCs w:val="21"/>
              </w:rPr>
              <w:t>4.独立显卡显存容量：若配置独立显卡，显存容量≥8GB；</w:t>
            </w:r>
          </w:p>
          <w:p w14:paraId="0DCFD82D">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spacing w:val="-6"/>
                <w:kern w:val="0"/>
                <w:szCs w:val="21"/>
              </w:rPr>
              <w:t>六、显</w:t>
            </w:r>
            <w:r>
              <w:rPr>
                <w:rFonts w:hint="eastAsia" w:ascii="宋体" w:hAnsi="宋体" w:eastAsia="宋体" w:cs="黑体"/>
                <w:b/>
                <w:bCs/>
                <w:spacing w:val="-4"/>
                <w:kern w:val="0"/>
                <w:szCs w:val="21"/>
              </w:rPr>
              <w:t>示</w:t>
            </w:r>
            <w:r>
              <w:rPr>
                <w:rFonts w:hint="eastAsia" w:ascii="宋体" w:hAnsi="宋体" w:eastAsia="宋体" w:cs="黑体"/>
                <w:b/>
                <w:bCs/>
                <w:spacing w:val="-6"/>
                <w:kern w:val="0"/>
                <w:szCs w:val="21"/>
              </w:rPr>
              <w:t>设备</w:t>
            </w:r>
            <w:r>
              <w:rPr>
                <w:rFonts w:hint="eastAsia" w:ascii="宋体" w:hAnsi="宋体" w:eastAsia="宋体" w:cs="黑体"/>
                <w:b/>
                <w:bCs/>
                <w:spacing w:val="-5"/>
                <w:kern w:val="0"/>
                <w:szCs w:val="21"/>
              </w:rPr>
              <w:t>规格</w:t>
            </w:r>
          </w:p>
          <w:p w14:paraId="38264A7E">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1.显示屏屏占比：≥80%；</w:t>
            </w:r>
          </w:p>
          <w:p w14:paraId="4668CD1C">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2.显示屏分辨率：≥1920x1080；</w:t>
            </w:r>
          </w:p>
          <w:p w14:paraId="658064EE">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3.显示屏尺寸：≥23英寸；</w:t>
            </w:r>
          </w:p>
          <w:p w14:paraId="2AD06814">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4.显示屏屏幕比例：16:9/3:2/21:9/16:10等；</w:t>
            </w:r>
          </w:p>
          <w:p w14:paraId="04F3540B">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5.显示器外观颜色：黑色；</w:t>
            </w:r>
          </w:p>
          <w:p w14:paraId="140F4907">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6.显示屏防蓝光：支持防蓝光模式，蓝光加权辐射亮度比应≤0.0012W/(·cd·sr)（瓦每坎特拉每球面度）；</w:t>
            </w:r>
          </w:p>
          <w:p w14:paraId="33E9467F">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7.显示屏低频闪：显示屏应支持低频闪≤-35dB；</w:t>
            </w:r>
          </w:p>
          <w:p w14:paraId="55939FD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8.显示屏防炫目：显示屏镜面反射率≤10%；</w:t>
            </w:r>
          </w:p>
          <w:p w14:paraId="30076113">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七、外设规格</w:t>
            </w:r>
          </w:p>
          <w:p w14:paraId="56A14941">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1.鼠标数量：≥1个；</w:t>
            </w:r>
          </w:p>
          <w:p w14:paraId="0016A2A1">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2.键盘数量：≥1个；</w:t>
            </w:r>
          </w:p>
          <w:p w14:paraId="7F9D5CB7">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3.键盘按键数目：104键；</w:t>
            </w:r>
          </w:p>
          <w:p w14:paraId="67C462C6">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4.键盘连接方式：有线；</w:t>
            </w:r>
          </w:p>
          <w:p w14:paraId="7B1056C0">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5.键盘键程：2.3mm~4.0mm；</w:t>
            </w:r>
          </w:p>
          <w:p w14:paraId="391D8EA6">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6.键盘按键压力：按键压力应在0.54N±0.14N；</w:t>
            </w:r>
          </w:p>
          <w:p w14:paraId="6A2D74E2">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7.有线键盘连接线：≥1.5米；</w:t>
            </w:r>
          </w:p>
          <w:p w14:paraId="53BBC689">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8.键盘颜色：黑色；</w:t>
            </w:r>
          </w:p>
          <w:p w14:paraId="09D76CA7">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9.鼠标连接方式：有线；</w:t>
            </w:r>
          </w:p>
          <w:p w14:paraId="776F7A7F">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10.有线鼠标连接线：≥1.5米；</w:t>
            </w:r>
          </w:p>
          <w:p w14:paraId="412075EE">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11.鼠标DPI分辨率：800~1600</w:t>
            </w:r>
          </w:p>
          <w:p w14:paraId="2B14C92D">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12.鼠标颜色：黑色；</w:t>
            </w:r>
          </w:p>
          <w:p w14:paraId="0264BCE9">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13.鼠标其他要求：其它参数应符合GB/T 26245的相关规定；</w:t>
            </w:r>
          </w:p>
          <w:p w14:paraId="66A6252E">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八、网络设备规格</w:t>
            </w:r>
          </w:p>
          <w:p w14:paraId="351970B7">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1.有线网卡数量：≥1；</w:t>
            </w:r>
          </w:p>
          <w:p w14:paraId="563D3D61">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九、外部接口规格</w:t>
            </w:r>
          </w:p>
          <w:p w14:paraId="4D2C0CDF">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spacing w:val="-2"/>
                <w:kern w:val="0"/>
                <w:szCs w:val="21"/>
                <w:lang w:eastAsia="zh-CN"/>
              </w:rPr>
              <w:t>★</w:t>
            </w:r>
            <w:r>
              <w:rPr>
                <w:rFonts w:hint="eastAsia" w:ascii="宋体" w:hAnsi="宋体" w:eastAsia="宋体" w:cs="黑体"/>
                <w:spacing w:val="-2"/>
                <w:kern w:val="0"/>
                <w:szCs w:val="21"/>
              </w:rPr>
              <w:t>1.USB</w:t>
            </w:r>
            <w:r>
              <w:rPr>
                <w:rFonts w:hint="eastAsia" w:ascii="宋体" w:hAnsi="宋体" w:eastAsia="宋体" w:cs="黑体"/>
                <w:spacing w:val="-17"/>
                <w:kern w:val="0"/>
                <w:szCs w:val="21"/>
              </w:rPr>
              <w:t>接口</w:t>
            </w:r>
            <w:r>
              <w:rPr>
                <w:rFonts w:hint="eastAsia" w:ascii="宋体" w:hAnsi="宋体" w:eastAsia="宋体" w:cs="黑体"/>
                <w:spacing w:val="-6"/>
                <w:kern w:val="0"/>
                <w:szCs w:val="21"/>
              </w:rPr>
              <w:t>数量：机箱前面板应提供不少于3个USB接口（含2个USB3.0及以上接口）；</w:t>
            </w:r>
          </w:p>
          <w:p w14:paraId="081AE30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2.视频接口数量：≥1；</w:t>
            </w:r>
          </w:p>
          <w:p w14:paraId="1997A7CF">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3.音频接口数量：≥1；</w:t>
            </w:r>
          </w:p>
          <w:p w14:paraId="0661B5E4">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十、整机基础规格</w:t>
            </w:r>
          </w:p>
          <w:p w14:paraId="3F45B12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1.整机外观：a)</w:t>
            </w:r>
            <w:r>
              <w:rPr>
                <w:rFonts w:hint="eastAsia" w:ascii="宋体" w:hAnsi="宋体" w:eastAsia="宋体" w:cs="黑体"/>
                <w:kern w:val="0"/>
                <w:szCs w:val="21"/>
              </w:rPr>
              <w:tab/>
            </w:r>
            <w:r>
              <w:rPr>
                <w:rFonts w:hint="eastAsia" w:ascii="宋体" w:hAnsi="宋体" w:eastAsia="宋体" w:cs="黑体"/>
                <w:kern w:val="0"/>
                <w:szCs w:val="21"/>
              </w:rPr>
              <w:t>产品表面不应有凹痕、划伤、裂缝、变形和污染等。表面涂层均匀，不应起泡、龟裂、脱落和磨损，金属零部件无锈蚀及其它机械损伤；b)产品表面说明功能的文字、符号、标志，应清晰、端正、牢固；</w:t>
            </w:r>
          </w:p>
          <w:p w14:paraId="5F7F3405">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2.状态指示灯：在产品显著位置提供状态指示功能，如运行状态，并由供应商提供详细参数；</w:t>
            </w:r>
          </w:p>
          <w:p w14:paraId="47B0A262">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3.整机结构：a)机箱应符合GB/T 4208、GB/T 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14:paraId="1BBB8D8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4.机箱防护要求：机箱应符合GB/T 4208中IP20防护要求；</w:t>
            </w:r>
          </w:p>
          <w:p w14:paraId="3DD9F6D3">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5.整机噪音：产品工作在空闲状态下，产品的声功率级应不超过4.5Bel；</w:t>
            </w:r>
          </w:p>
          <w:p w14:paraId="28FE7566">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14:paraId="6522EB82">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7.整机能效限定值:产品能效限定值应达到GB 28380-2012标准中能效等级2级及以上</w:t>
            </w:r>
            <w:r>
              <w:rPr>
                <w:rFonts w:hint="eastAsia" w:ascii="宋体" w:hAnsi="宋体" w:eastAsia="宋体" w:cs="宋体"/>
                <w:b/>
                <w:bCs/>
                <w:kern w:val="0"/>
                <w:szCs w:val="21"/>
                <w:lang w:bidi="ar"/>
              </w:rPr>
              <w:t>。</w:t>
            </w:r>
          </w:p>
          <w:p w14:paraId="0F41EC64">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8.机身材质：金属；</w:t>
            </w:r>
          </w:p>
          <w:p w14:paraId="4E4C945C">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9.机身颜色：黑色；</w:t>
            </w:r>
          </w:p>
          <w:p w14:paraId="220E190C">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10.机箱尺寸容量：机箱体积</w:t>
            </w:r>
            <w:r>
              <w:rPr>
                <w:rFonts w:hint="eastAsia" w:ascii="宋体" w:hAnsi="宋体" w:eastAsia="宋体" w:cs="黑体"/>
                <w:kern w:val="0"/>
                <w:szCs w:val="21"/>
                <w:lang w:eastAsia="zh-CN"/>
              </w:rPr>
              <w:t>，配套适用</w:t>
            </w:r>
            <w:r>
              <w:rPr>
                <w:rFonts w:hint="eastAsia" w:ascii="宋体" w:hAnsi="宋体" w:eastAsia="宋体" w:cs="黑体"/>
                <w:kern w:val="0"/>
                <w:szCs w:val="21"/>
              </w:rPr>
              <w:t>；</w:t>
            </w:r>
          </w:p>
          <w:p w14:paraId="5E87FE1E">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十一、CPU性能</w:t>
            </w:r>
          </w:p>
          <w:p w14:paraId="6AE38545">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1.CPU物理核数：≥</w:t>
            </w:r>
            <w:r>
              <w:rPr>
                <w:rFonts w:hint="eastAsia" w:ascii="宋体" w:hAnsi="宋体" w:eastAsia="宋体" w:cs="黑体"/>
                <w:kern w:val="0"/>
                <w:szCs w:val="21"/>
                <w:lang w:val="en-US" w:eastAsia="zh-CN"/>
              </w:rPr>
              <w:t>8</w:t>
            </w:r>
            <w:r>
              <w:rPr>
                <w:rFonts w:hint="eastAsia" w:ascii="宋体" w:hAnsi="宋体" w:eastAsia="宋体" w:cs="黑体"/>
                <w:kern w:val="0"/>
                <w:szCs w:val="21"/>
              </w:rPr>
              <w:t>；</w:t>
            </w:r>
          </w:p>
          <w:p w14:paraId="3719A0F9">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2.CPU主频：≥</w:t>
            </w:r>
            <w:r>
              <w:rPr>
                <w:rFonts w:hint="eastAsia" w:ascii="宋体" w:hAnsi="宋体" w:eastAsia="宋体" w:cs="黑体"/>
                <w:kern w:val="0"/>
                <w:szCs w:val="21"/>
                <w:lang w:val="en-US" w:eastAsia="zh-CN"/>
              </w:rPr>
              <w:t>3.0</w:t>
            </w:r>
            <w:r>
              <w:rPr>
                <w:rFonts w:hint="eastAsia" w:ascii="宋体" w:hAnsi="宋体" w:eastAsia="宋体" w:cs="黑体"/>
                <w:kern w:val="0"/>
                <w:szCs w:val="21"/>
              </w:rPr>
              <w:t>GHz；</w:t>
            </w:r>
          </w:p>
          <w:p w14:paraId="0A24621D">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3.CPU末级缓存容量：≥20MB</w:t>
            </w:r>
          </w:p>
          <w:p w14:paraId="68A107B6">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4.CPU支持的内存最高速率：≥2666MT/s；</w:t>
            </w:r>
          </w:p>
          <w:p w14:paraId="689CA991">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十二、内存性能</w:t>
            </w:r>
          </w:p>
          <w:p w14:paraId="4D4FCAB5">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1.内存读写速率：≥2666MT/s；</w:t>
            </w:r>
          </w:p>
          <w:p w14:paraId="72E8D922">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十三、显卡性能</w:t>
            </w:r>
          </w:p>
          <w:p w14:paraId="47929F6F">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1.显示分辨率：≥1920x1080；</w:t>
            </w:r>
          </w:p>
          <w:p w14:paraId="6A3526CD">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2.显卡显示芯片核心频率：≥300MHz；</w:t>
            </w:r>
          </w:p>
          <w:p w14:paraId="367CCDD0">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3.显存等效频率：≥1000MT/s；</w:t>
            </w:r>
          </w:p>
          <w:p w14:paraId="293FE57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4.显卡可支持多屏同时显示数量：显卡应支持2块屏幕同时显示，分辨率应不低于1920×1080；</w:t>
            </w:r>
          </w:p>
          <w:p w14:paraId="1D89F0A0">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十四、显示设备性能</w:t>
            </w:r>
          </w:p>
          <w:p w14:paraId="71A75E85">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1.显示屏刷新率：≥75Hz；</w:t>
            </w:r>
          </w:p>
          <w:p w14:paraId="582AA78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2.显示屏位深：≥8位；</w:t>
            </w:r>
          </w:p>
          <w:p w14:paraId="01982510">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3.显示屏色域：≥99%sRGB；</w:t>
            </w:r>
          </w:p>
          <w:p w14:paraId="3CFD74FA">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4.显示屏色准：△E≤4；</w:t>
            </w:r>
          </w:p>
          <w:p w14:paraId="77317A51">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5.显示屏响应时间：≤8ms；</w:t>
            </w:r>
          </w:p>
          <w:p w14:paraId="23122A37">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6.显示屏亮度：≥250尼特；</w:t>
            </w:r>
          </w:p>
          <w:p w14:paraId="57AC4A07">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7.显示屏亮度一致性：≥70%；</w:t>
            </w:r>
          </w:p>
          <w:p w14:paraId="68E3693B">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8.显示屏对比度：≥500：1；</w:t>
            </w:r>
          </w:p>
          <w:p w14:paraId="1E989259">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9.显示屏其他参数：其它参数应符合SJ/T 11292的相关规定；</w:t>
            </w:r>
          </w:p>
          <w:p w14:paraId="3F353A6B">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十五、网络设备性能</w:t>
            </w:r>
          </w:p>
          <w:p w14:paraId="19903AE9">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1.有线网卡速率：最高速率应不低于1000Mbps，应支持10Mbps、100Mbps、1000Mbps速率自适应；</w:t>
            </w:r>
          </w:p>
          <w:p w14:paraId="5BE49393">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十六、主板功能</w:t>
            </w:r>
          </w:p>
          <w:p w14:paraId="5080EE2D">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1.内存扩展接口(板载内存不涉及)：≥2个；</w:t>
            </w:r>
          </w:p>
          <w:p w14:paraId="3ECCEA3B">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2.主板USB瞬间过流保护：支持有瞬间过流保护功能；</w:t>
            </w:r>
          </w:p>
          <w:p w14:paraId="44996045">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3.主板防静电保护：支持防静电保护功能；</w:t>
            </w:r>
          </w:p>
          <w:p w14:paraId="005CC303">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14:paraId="10189735">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十七、显卡功能</w:t>
            </w:r>
          </w:p>
          <w:p w14:paraId="2CA958AB">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1.显卡外接显示接口：显卡至少支持VGA、HDMI、DVI、DP、Type-C中1种显示接口，并与显示器接口相匹配；</w:t>
            </w:r>
          </w:p>
          <w:p w14:paraId="68700EFF">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十八、显示设备功能</w:t>
            </w:r>
          </w:p>
          <w:p w14:paraId="528773B0">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1.显示器接口：显示器应与显卡外接显示接口匹配；</w:t>
            </w:r>
          </w:p>
          <w:p w14:paraId="13701519">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2.显示器支架：显示器应提供显示器支架，根据采购人需求支持屏幕旋转、升降等；</w:t>
            </w:r>
          </w:p>
          <w:p w14:paraId="4ED22E64">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3.显示器参数调节：a)提供OSD选单按钮用于调节色彩、模式等；b)支持色温、亮度、对比度调节；</w:t>
            </w:r>
          </w:p>
          <w:p w14:paraId="6EB52CA0">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十九、存储功能</w:t>
            </w:r>
          </w:p>
          <w:p w14:paraId="71F5B23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1.存储功能：通过SATA固态存储/PCIe固态存储/UFS固态存储/SATA硬磁盘等存储部件提供存储功能；</w:t>
            </w:r>
          </w:p>
          <w:p w14:paraId="1166E2B5">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二十、网络设备功能</w:t>
            </w:r>
          </w:p>
          <w:p w14:paraId="0840AD19">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1.网络功能：a)支持网络连接、网络开启/关闭功能；b)支持访问网络和数据交换功能；</w:t>
            </w:r>
          </w:p>
          <w:p w14:paraId="268F8311">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2.数据传输：支持数据传输能力，并提供数据流量和异常日志记录功能；</w:t>
            </w:r>
          </w:p>
          <w:p w14:paraId="049A9D3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3.有线网卡接口类型：支持RJ45接口；</w:t>
            </w:r>
          </w:p>
          <w:p w14:paraId="7183216C">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4.网络设备拆装：网络设备支持物理拆装，包括无线网卡和蓝牙模块等；</w:t>
            </w:r>
          </w:p>
          <w:p w14:paraId="5091CB37">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二十一、外部接口功能</w:t>
            </w:r>
          </w:p>
          <w:p w14:paraId="1B5A751E">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1.音频接口类型：支持3.5mm孔径3段式或4段式接口；</w:t>
            </w:r>
          </w:p>
          <w:p w14:paraId="6E0769DF">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2.视频接口类型：至少支持VGA、HDMI、DVI、DP、Type-C中1种显示接口；</w:t>
            </w:r>
          </w:p>
          <w:p w14:paraId="6F68C9E8">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3.HDMI、DP、Type-C显示接口要求：若提供HDMI或DP或Type-C作为显示接口，应支持音频和视频同步输出；</w:t>
            </w:r>
          </w:p>
          <w:p w14:paraId="6B99FB19">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二十二、电源功能</w:t>
            </w:r>
          </w:p>
          <w:p w14:paraId="2076C363">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1.电源线适配能力：电源适配器电线组件应符合GB/T 15934的要求，可拆线的插头和连接器可以不做要求；</w:t>
            </w:r>
          </w:p>
          <w:p w14:paraId="779C9714">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二十三、操作系统及软件功能</w:t>
            </w:r>
          </w:p>
          <w:p w14:paraId="68179DDF">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1.中文信息处理要求：符合GB 18030的相关规定；</w:t>
            </w:r>
          </w:p>
          <w:p w14:paraId="3A1ACCEC">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2.操作系统备份及还原功能：支持操作系统备份及还原功能；</w:t>
            </w:r>
          </w:p>
          <w:p w14:paraId="0E59C817">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3.固件备份还原能力：支持备份及还原固件的功能；</w:t>
            </w:r>
          </w:p>
          <w:p w14:paraId="4932EDE8">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4.操作系统及驱动升级：支持通过网络、闪存盘等方式对操作系统、驱动进行升级；</w:t>
            </w:r>
          </w:p>
          <w:p w14:paraId="3CCF7DC0">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5.固件升级：支持通过网络、闪存盘等方式对固件进行升级；</w:t>
            </w:r>
          </w:p>
          <w:p w14:paraId="69F4EFAD">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6.BIOS支持关闭通讯接口：支持BIOS关闭以太网及USB接口；</w:t>
            </w:r>
          </w:p>
          <w:p w14:paraId="1E1EA3C3">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7.固件查看信息：支持查看固件版本、内存信息、主板信息、处理器信息和系统时间信息等功能；</w:t>
            </w:r>
          </w:p>
          <w:p w14:paraId="111CA244">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8.固件设置启动顺序：支持设置启动顺序功能，并按照设置的启动顺序启动；</w:t>
            </w:r>
          </w:p>
          <w:p w14:paraId="7912A84A">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9.固件设置口令：支持设置口令、修改口令、验证口令功能；</w:t>
            </w:r>
          </w:p>
          <w:p w14:paraId="61229CD0">
            <w:pPr>
              <w:autoSpaceDE w:val="0"/>
              <w:autoSpaceDN w:val="0"/>
              <w:spacing w:line="340" w:lineRule="exact"/>
              <w:rPr>
                <w:rFonts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10.固件设置网络引导：支持网络引导启动和关闭功能；</w:t>
            </w:r>
          </w:p>
          <w:p w14:paraId="63ED5109">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二十四、存储设备可靠性</w:t>
            </w:r>
          </w:p>
          <w:p w14:paraId="38B19323">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1.固态存储寿命：TBW≥80TB（条件：240GB硬盘容量）；</w:t>
            </w:r>
          </w:p>
          <w:p w14:paraId="0B2F629F">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2.机械硬盘寿命：通电时间≥5万小时；</w:t>
            </w:r>
          </w:p>
          <w:p w14:paraId="050C8265">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二十五、显示设备可靠性</w:t>
            </w:r>
          </w:p>
          <w:p w14:paraId="29B464AE">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1.显示屏屏幕失效点：符合GB/T 9813.2的要求；</w:t>
            </w:r>
          </w:p>
          <w:p w14:paraId="1D3E9BD8">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二十六、外设可靠性</w:t>
            </w:r>
          </w:p>
          <w:p w14:paraId="5DA2A09F">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1.键盘按键寿命：≥1000万次；</w:t>
            </w:r>
          </w:p>
          <w:p w14:paraId="22550352">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2.鼠标按键寿命：≥500万次；</w:t>
            </w:r>
          </w:p>
          <w:p w14:paraId="4DF1C206">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3.键盘鼠标线材寿命：键盘鼠标所用线材经±60°弯折不低于3000次，功能、外观完好；</w:t>
            </w:r>
          </w:p>
          <w:p w14:paraId="017A7B4D">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4.风扇寿命：≥4万小时；</w:t>
            </w:r>
          </w:p>
          <w:p w14:paraId="23FE9BCB">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二十七、整机可靠性要求</w:t>
            </w:r>
          </w:p>
          <w:p w14:paraId="1625AE63">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1.电磁兼容性要求的抗扰度：符合GB/T 9254.2的规定；</w:t>
            </w:r>
          </w:p>
          <w:p w14:paraId="0100346A">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2.环境条件要求的气候环境适应性：符合GB/T 9813.1中规定；</w:t>
            </w:r>
          </w:p>
          <w:p w14:paraId="395A6264">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3.环境条件要求的振动适应性：符合GB/T 9813.1中规定；</w:t>
            </w:r>
          </w:p>
          <w:p w14:paraId="401C2202">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4.环境条件要求的冲击适应性：符合GB/T 9813.1中规定；</w:t>
            </w:r>
          </w:p>
          <w:p w14:paraId="7FC7BD49">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5.环境条件要求的碰撞适应性：符合GB/T 9813.1中规定；</w:t>
            </w:r>
          </w:p>
          <w:p w14:paraId="3A6197E3">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6.环境条件要求的运输包装件跌落适应性：符合GB/T 9813.1中规定；</w:t>
            </w:r>
          </w:p>
          <w:p w14:paraId="689590CC">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7.MTBF测试：MTBF(m1)≥3万小时；</w:t>
            </w:r>
          </w:p>
          <w:p w14:paraId="5EE3633E">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二十八、兼容要求</w:t>
            </w:r>
          </w:p>
          <w:p w14:paraId="349812AE">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1.常用软件兼容：支持流式软件、版式软件、浏览器、邮件采购人端、解压软件、多媒体、图形图像处理等常用软件；</w:t>
            </w:r>
          </w:p>
          <w:p w14:paraId="09529149">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2.数据库兼容：兼容3个及以上厂商的数据库产品；</w:t>
            </w:r>
          </w:p>
          <w:p w14:paraId="789EFEC5">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3.中间件兼容：兼容3个及以上厂商中间件产品；</w:t>
            </w:r>
          </w:p>
          <w:p w14:paraId="2FB99678">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4.平台软件兼容：兼容3个及以上厂商云计算及大数据平台；</w:t>
            </w:r>
          </w:p>
          <w:p w14:paraId="4B4F8F21">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二十九、包装及运输要求</w:t>
            </w:r>
          </w:p>
          <w:p w14:paraId="7ACCF368">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1.标志、包装、运输和贮存：符合GB/T 9813.1和商品包装政府采购需求标准的相关规定；</w:t>
            </w:r>
          </w:p>
          <w:p w14:paraId="070A7BC7">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三十、服务要求</w:t>
            </w:r>
          </w:p>
          <w:p w14:paraId="06C5FC3D">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1.配置检查工具：供应商提供自检测试工具；</w:t>
            </w:r>
          </w:p>
          <w:p w14:paraId="267B14E1">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4ACD5F13">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3.服务周期：a)设备停产后应继续提供质量保障服务（含备品备件），服务终止时间与最后一批设备交付时间间隔不低于6年；b)产品停止服务时间应提前1年告知；c)应明确产品发布日期；</w:t>
            </w:r>
          </w:p>
          <w:p w14:paraId="7E3D29ED">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4.预装操作系统：预装符合桌面操作系统政府采购需求标准的正版操作系统；</w:t>
            </w:r>
          </w:p>
          <w:p w14:paraId="009E0587">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5.培训服务：供应商提供培训材料、产品手册、培训视频等培训相关内容；</w:t>
            </w:r>
          </w:p>
          <w:p w14:paraId="086D308D">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6.典型问题解决手册：供应商提供典型问题解决说明文档或视频；</w:t>
            </w:r>
          </w:p>
          <w:p w14:paraId="320BB525">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7.厂家升级软件与扩容服务：供应商提供上门升级部件/软件与扩容的增值服务；</w:t>
            </w:r>
          </w:p>
          <w:p w14:paraId="033ACA14">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8.整机质量服务要求：免费服务周期（含换件和维修）应不小于3年；</w:t>
            </w:r>
          </w:p>
          <w:p w14:paraId="391482B0">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9.合格证书要求：供应商提供产品合格证；</w:t>
            </w:r>
          </w:p>
          <w:p w14:paraId="4300167C">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10.开箱组装/使用指导要求：供应商提供开箱组装/使用指导；</w:t>
            </w:r>
          </w:p>
          <w:p w14:paraId="20CACB64">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11.驱动下载服务要求：供应商提供驱动光盘或下载方式；</w:t>
            </w:r>
          </w:p>
          <w:p w14:paraId="013A3CA5">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12.兼容适配软件下载服务要求：供应商提供兼容适配软件下载渠道（光盘、网站）；</w:t>
            </w:r>
          </w:p>
          <w:p w14:paraId="24A10B73">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三十一、供应链合规性</w:t>
            </w:r>
          </w:p>
          <w:p w14:paraId="6106BF9F">
            <w:pPr>
              <w:autoSpaceDE w:val="0"/>
              <w:autoSpaceDN w:val="0"/>
              <w:spacing w:line="340" w:lineRule="exac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1.产品部件保障：供应商保障产品主要部件，提供6年的备件服务能力（自购买之日起），或提供可兼容原设备的升级换代产品；</w:t>
            </w:r>
          </w:p>
          <w:p w14:paraId="6DBFD93F">
            <w:pPr>
              <w:autoSpaceDE w:val="0"/>
              <w:autoSpaceDN w:val="0"/>
              <w:spacing w:line="340" w:lineRule="exact"/>
              <w:rPr>
                <w:rFonts w:hint="eastAsia" w:ascii="宋体" w:hAnsi="宋体" w:eastAsia="宋体" w:cs="黑体"/>
                <w:b/>
                <w:bCs/>
                <w:kern w:val="0"/>
                <w:szCs w:val="21"/>
              </w:rPr>
            </w:pPr>
            <w:r>
              <w:rPr>
                <w:rFonts w:hint="eastAsia" w:ascii="宋体" w:hAnsi="宋体" w:eastAsia="宋体" w:cs="黑体"/>
                <w:b/>
                <w:bCs/>
                <w:kern w:val="0"/>
                <w:szCs w:val="21"/>
              </w:rPr>
              <w:t>三十二、供应链质量</w:t>
            </w:r>
          </w:p>
          <w:p w14:paraId="17B66F99">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1.抗干扰性：当产品部件出现供应风险时，供应商应通知采购人并提供风险应对方案确保产品的服务保障；</w:t>
            </w:r>
          </w:p>
          <w:p w14:paraId="72F3DFCB">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2.供应能力证明：供应商提供供应链稳定承诺书，确保产品的部件在产品服务周期内稳定供货；</w:t>
            </w:r>
          </w:p>
          <w:p w14:paraId="634B3A90">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三十三、关键部件安全要求</w:t>
            </w:r>
          </w:p>
          <w:p w14:paraId="3B3C59E3">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1.关键部件安全要求：CPU和操作系统等关键部件应当符合安全可靠测评要求；</w:t>
            </w:r>
          </w:p>
          <w:p w14:paraId="4594A98B">
            <w:pPr>
              <w:autoSpaceDE w:val="0"/>
              <w:autoSpaceDN w:val="0"/>
              <w:spacing w:line="340" w:lineRule="exact"/>
              <w:jc w:val="left"/>
              <w:rPr>
                <w:rFonts w:hint="eastAsia" w:ascii="宋体" w:hAnsi="宋体" w:eastAsia="宋体" w:cs="黑体"/>
                <w:b/>
                <w:bCs/>
                <w:kern w:val="0"/>
                <w:szCs w:val="21"/>
              </w:rPr>
            </w:pPr>
            <w:r>
              <w:rPr>
                <w:rFonts w:hint="eastAsia" w:ascii="宋体" w:hAnsi="宋体" w:eastAsia="宋体" w:cs="黑体"/>
                <w:b/>
                <w:bCs/>
                <w:kern w:val="0"/>
                <w:szCs w:val="21"/>
              </w:rPr>
              <w:t>三十四、整机安全性要求</w:t>
            </w:r>
          </w:p>
          <w:p w14:paraId="4E6D9EDA">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1.密码算法实现：CPU芯片应符合GM/T 0008的相关规定，或芯片密码模块应符合GB/T 37092或GM/T 0028的相关规定；</w:t>
            </w:r>
          </w:p>
          <w:p w14:paraId="7029051C">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2.信息安全基本要求：a)产品应符合GB/T 39276的5.2的规定；b)生产厂商应建立漏洞跟踪表，保证产品版本涉及到的漏洞(如驱动程序等)可查看；c)产品不得包含已知的恶意代码或漏洞，不存在未声明的指令、功能、接口；</w:t>
            </w:r>
          </w:p>
          <w:p w14:paraId="692B613A">
            <w:pPr>
              <w:autoSpaceDE w:val="0"/>
              <w:autoSpaceDN w:val="0"/>
              <w:spacing w:line="340" w:lineRule="exact"/>
              <w:jc w:val="left"/>
              <w:rPr>
                <w:rFonts w:hint="eastAsia" w:ascii="宋体" w:hAnsi="宋体" w:eastAsia="宋体" w:cs="黑体"/>
                <w:kern w:val="0"/>
                <w:szCs w:val="21"/>
              </w:rPr>
            </w:pPr>
            <w:r>
              <w:rPr>
                <w:rFonts w:hint="eastAsia" w:ascii="宋体" w:hAnsi="宋体" w:eastAsia="宋体" w:cs="黑体"/>
                <w:kern w:val="0"/>
                <w:szCs w:val="21"/>
                <w:lang w:eastAsia="zh-CN"/>
              </w:rPr>
              <w:t>★</w:t>
            </w:r>
            <w:r>
              <w:rPr>
                <w:rFonts w:hint="eastAsia" w:ascii="宋体" w:hAnsi="宋体" w:eastAsia="宋体" w:cs="黑体"/>
                <w:kern w:val="0"/>
                <w:szCs w:val="21"/>
              </w:rPr>
              <w:t>3.固件安全启动：支持固件安全启动功能，固件启动过程中只有通过启动校验才能正常启动；</w:t>
            </w:r>
          </w:p>
          <w:p w14:paraId="57D37DB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黑体"/>
                <w:kern w:val="0"/>
                <w:szCs w:val="21"/>
                <w:lang w:eastAsia="zh-CN"/>
              </w:rPr>
              <w:t>★</w:t>
            </w:r>
            <w:r>
              <w:rPr>
                <w:rFonts w:hint="eastAsia" w:ascii="宋体" w:hAnsi="宋体" w:eastAsia="宋体" w:cs="黑体"/>
                <w:kern w:val="0"/>
                <w:szCs w:val="21"/>
              </w:rPr>
              <w:t>4.限用物质的限量要求：符合GB/T 26572中规定。</w:t>
            </w:r>
          </w:p>
        </w:tc>
        <w:tc>
          <w:tcPr>
            <w:tcW w:w="505" w:type="dxa"/>
            <w:noWrap w:val="0"/>
            <w:vAlign w:val="center"/>
          </w:tcPr>
          <w:p w14:paraId="1D41C577">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8</w:t>
            </w:r>
          </w:p>
        </w:tc>
        <w:tc>
          <w:tcPr>
            <w:tcW w:w="478" w:type="dxa"/>
            <w:noWrap w:val="0"/>
            <w:vAlign w:val="center"/>
          </w:tcPr>
          <w:p w14:paraId="7314F867">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台</w:t>
            </w:r>
          </w:p>
        </w:tc>
        <w:tc>
          <w:tcPr>
            <w:tcW w:w="718" w:type="dxa"/>
            <w:noWrap w:val="0"/>
            <w:vAlign w:val="center"/>
          </w:tcPr>
          <w:p w14:paraId="5E89C50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工业</w:t>
            </w:r>
          </w:p>
        </w:tc>
      </w:tr>
      <w:tr w14:paraId="325B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6" w:type="dxa"/>
            <w:gridSpan w:val="7"/>
            <w:noWrap w:val="0"/>
            <w:vAlign w:val="center"/>
          </w:tcPr>
          <w:p w14:paraId="3ECAC16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现代加工实训室</w:t>
            </w:r>
          </w:p>
        </w:tc>
      </w:tr>
      <w:tr w14:paraId="7331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2E156253">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2.1</w:t>
            </w:r>
          </w:p>
        </w:tc>
        <w:tc>
          <w:tcPr>
            <w:tcW w:w="1239" w:type="dxa"/>
            <w:noWrap w:val="0"/>
            <w:vAlign w:val="center"/>
          </w:tcPr>
          <w:p w14:paraId="176B8925">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数控车床</w:t>
            </w:r>
            <w:r>
              <w:rPr>
                <w:rFonts w:hint="eastAsia" w:ascii="宋体" w:hAnsi="宋体" w:eastAsia="宋体" w:cs="宋体"/>
                <w:b w:val="0"/>
                <w:bCs w:val="0"/>
                <w:color w:val="auto"/>
                <w:sz w:val="21"/>
                <w:szCs w:val="21"/>
                <w:highlight w:val="none"/>
                <w:lang w:val="en-US" w:eastAsia="zh-CN"/>
              </w:rPr>
              <w:t>智能升级改造</w:t>
            </w:r>
          </w:p>
        </w:tc>
        <w:tc>
          <w:tcPr>
            <w:tcW w:w="6390" w:type="dxa"/>
            <w:gridSpan w:val="2"/>
            <w:noWrap w:val="0"/>
            <w:vAlign w:val="center"/>
          </w:tcPr>
          <w:p w14:paraId="0459429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一、基本需求</w:t>
            </w:r>
          </w:p>
          <w:p w14:paraId="6039364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待升级的数控卧式车床</w:t>
            </w:r>
            <w:r>
              <w:rPr>
                <w:rFonts w:hint="eastAsia" w:ascii="宋体" w:hAnsi="宋体" w:cs="宋体"/>
                <w:color w:val="auto"/>
                <w:sz w:val="21"/>
                <w:szCs w:val="21"/>
                <w:highlight w:val="none"/>
                <w:lang w:val="en-US" w:eastAsia="zh-CN"/>
              </w:rPr>
              <w:t>（江西盛豪机床制造有限公司，型号：CK6136）</w:t>
            </w:r>
            <w:r>
              <w:rPr>
                <w:rFonts w:hint="eastAsia" w:ascii="宋体" w:hAnsi="宋体" w:eastAsia="宋体" w:cs="宋体"/>
                <w:color w:val="auto"/>
                <w:sz w:val="21"/>
                <w:szCs w:val="21"/>
                <w:highlight w:val="none"/>
                <w:lang w:val="en-US" w:eastAsia="zh-CN"/>
              </w:rPr>
              <w:t>，现更换两个伺服直线运动轴，满足教学和数控车铣加工职业技能等级标准考证需求，需要对机床的数控系统进行换代升级，从而使机床达到稳定、正常使用，满足教学和数控车铣考证加工要求。现有CK6136数控车床主要参数如下：</w:t>
            </w:r>
          </w:p>
          <w:p w14:paraId="6D43FC1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1.最大工件回转直径：410mm。</w:t>
            </w:r>
          </w:p>
          <w:p w14:paraId="264C2C6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2.工作最大长度：750mm。</w:t>
            </w:r>
          </w:p>
          <w:p w14:paraId="5ED9CFC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3.刀架横向移动最大行程：240mm。</w:t>
            </w:r>
          </w:p>
          <w:p w14:paraId="73679E6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4.主轴转速：20~2000rpm。</w:t>
            </w:r>
          </w:p>
          <w:p w14:paraId="220154F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5.进给快速移动速度：4m/min。</w:t>
            </w:r>
          </w:p>
          <w:p w14:paraId="1D59E15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6.主轴电机功率：4kW。</w:t>
            </w:r>
          </w:p>
          <w:p w14:paraId="60290F8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7.刀架电机功率：120W。</w:t>
            </w:r>
          </w:p>
          <w:p w14:paraId="030C270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二、智能升级要求</w:t>
            </w:r>
          </w:p>
          <w:p w14:paraId="2149207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改造整体实施规划：需要将机床升级成二轴二联动半闭环数控机床。系统升级具有总线式数控系统，需要保留机床电柜、主轴电机、主轴编码器，同时更换伺服电机及驱动器。</w:t>
            </w:r>
          </w:p>
          <w:p w14:paraId="2179770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数控系统：</w:t>
            </w:r>
          </w:p>
          <w:p w14:paraId="20795A9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最小插补周期：≤0. 5ms；</w:t>
            </w:r>
          </w:p>
          <w:p w14:paraId="0DACC79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总线方式：NCUC总线式。</w:t>
            </w:r>
          </w:p>
          <w:p w14:paraId="6D2A6AD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数控系统需具网络初始化和连接、获取和设置寄存器、获取和设置变量、获取、设置参数、载入以及保存参数、获取系统、通道、轴以及坐标系数据、获取和设置刀具数据、获取报警数据、订阅消息事件、获取和设置采样数据、设置MDI、获取和设置PLC、其它接口数据、NC-LINK接口数据、文件接口数据、组态式HMI二次开发等二次开发功能，功能要求满足数控车铣考证要求。</w:t>
            </w:r>
          </w:p>
          <w:p w14:paraId="5B2BAFA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数控系统需具备机床调试辅助工具功能</w:t>
            </w:r>
          </w:p>
          <w:p w14:paraId="108048D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数控系统需具备并行控制两类以上工业以太网总线从站设备的功能</w:t>
            </w:r>
          </w:p>
          <w:p w14:paraId="489F1D3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数控系统需具备数控机床热误差补偿功能</w:t>
            </w:r>
          </w:p>
          <w:p w14:paraId="212269E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数控系统支持网络通讯，开通数控系统联网功能，可实时采集数控系统核心参数。</w:t>
            </w:r>
          </w:p>
          <w:p w14:paraId="1F2D69A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8.数控系统IPC控制器运行环境配置要求：</w:t>
            </w:r>
          </w:p>
          <w:p w14:paraId="2BA6D92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①处 理 器 ：CPU主频不低于1.46G</w:t>
            </w:r>
          </w:p>
          <w:p w14:paraId="34FFC7B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②电源： +24V电源输入，带掉电检测功能</w:t>
            </w:r>
          </w:p>
          <w:p w14:paraId="69E9834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③总线协议接口：EtherCAT+NCUC或EtherCAT+M3</w:t>
            </w:r>
          </w:p>
          <w:p w14:paraId="788BCC8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④磁盘容量：不低于8G 固态盘，预留mSATA接口</w:t>
            </w:r>
          </w:p>
          <w:p w14:paraId="77E58C3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⑤内存空间：不低于1G</w:t>
            </w:r>
          </w:p>
          <w:p w14:paraId="4AE2947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⑥网口：不少于1个1000Mbps千兆网口</w:t>
            </w:r>
          </w:p>
          <w:p w14:paraId="11C89B7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9.数控系统具备的功能：</w:t>
            </w:r>
          </w:p>
          <w:p w14:paraId="546D039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(1)用户宏设置功能；</w:t>
            </w:r>
          </w:p>
          <w:p w14:paraId="7DA4F9B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(2)轨迹设置功能：</w:t>
            </w:r>
          </w:p>
          <w:p w14:paraId="24C5535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①视图切换：不少于5个视图切换；</w:t>
            </w:r>
          </w:p>
          <w:p w14:paraId="5FCC5F7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②图形还原；</w:t>
            </w:r>
          </w:p>
          <w:p w14:paraId="5ED7AC4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③刀具路径颜色配置：不少于100个刀具轨迹颜色配置以及有20种颜色选择的颜色表；</w:t>
            </w:r>
          </w:p>
          <w:p w14:paraId="2034009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④图形中心设置：具备选择不同坐标系为图形中心功能；</w:t>
            </w:r>
          </w:p>
          <w:p w14:paraId="1B2A82C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⑤图形设置：图形中心X设置、图形中心Y设置、图形中心Z设置以及缩放比例设置；</w:t>
            </w:r>
          </w:p>
          <w:p w14:paraId="4AD1CC0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(3)系统盘、U盘、用户盘程序管理、存储；</w:t>
            </w:r>
          </w:p>
          <w:p w14:paraId="5CA74F7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(4)梯图监控功能：梯图在线监控功能；</w:t>
            </w:r>
          </w:p>
          <w:p w14:paraId="1889EF2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(5)梯图编辑功能：梯图在线编辑功能；</w:t>
            </w:r>
          </w:p>
          <w:p w14:paraId="6EAA6FC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(6)梯图信息功能：</w:t>
            </w:r>
          </w:p>
          <w:p w14:paraId="6237013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①梯图标题：梯图相关信息显示；</w:t>
            </w:r>
          </w:p>
          <w:p w14:paraId="187F990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②符号表设置：含有寄存器、符号名以及注释栏，能对符号表进行增加、删除、查找、更新修改以及放弃修改；</w:t>
            </w:r>
          </w:p>
          <w:p w14:paraId="38E80C6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③IO对照表设置：含有寄存器（I/Q）、IO点（X/Y）、电平、周期、符号名以及注释栏，能对IO对照表（包含用户IO和面板IO）进行增加、删除、查找、查找下一个、更新修改以及放弃修改；</w:t>
            </w:r>
          </w:p>
          <w:p w14:paraId="2BE03FB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④K参数设置：具有设定有效开关，可对不少于16个K参数进行ON或OFF设置；</w:t>
            </w:r>
          </w:p>
          <w:p w14:paraId="547D4DC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定时器设置：含有索引、地址、指令字、当前值、预设值、符号名以及注释栏，可对不少于512个定时器进行设置、查找、更新修改以及放弃修改；⑥计数器设置：含有索引、地址、指令字、当前值、预设值、符号名以及注释栏，可对不少于512个计数器进行设置、查找、更新修改以及放弃修改；</w:t>
            </w:r>
          </w:p>
          <w:p w14:paraId="5E2375E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⑦报警设置：可对不少于256个报警地址进行报警内容定义、查找、更新修改以及放弃修改；可对不少于384个提示地址进行提示内容定义、查找、更新修改以及放弃修改；</w:t>
            </w:r>
          </w:p>
          <w:p w14:paraId="3F87526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⑧可对PLC进行运行停止设置；</w:t>
            </w:r>
          </w:p>
          <w:p w14:paraId="057BF08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(7)导入工艺文件功能；</w:t>
            </w:r>
          </w:p>
          <w:p w14:paraId="1A8698A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(8)编程引导功能；</w:t>
            </w:r>
          </w:p>
          <w:p w14:paraId="3285464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(9)加工统计功能；</w:t>
            </w:r>
          </w:p>
          <w:p w14:paraId="6328F8D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(10)机床状态二维码功能：包含机床状态二维码、工件统计二维码、报警历史二维码、故障诊断二维码、调机报表二维码、手机APP二维码以及健康保障二维码，通过手机扫描实时、快捷了解机床状态。</w:t>
            </w:r>
          </w:p>
          <w:p w14:paraId="62992B3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(11)断点运行功能；</w:t>
            </w:r>
          </w:p>
          <w:p w14:paraId="4C4A8C1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(12)刀库配置功能；</w:t>
            </w:r>
          </w:p>
          <w:p w14:paraId="35CD448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(13)刀具寿命管理功能；</w:t>
            </w:r>
          </w:p>
          <w:p w14:paraId="21BCF76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(14)断刀监测功能；具备通过实际功率和断刀空跑功率实时比较检测加工刀具是否断裂功能</w:t>
            </w:r>
          </w:p>
          <w:p w14:paraId="330DCE3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(15)刀具测量功能；</w:t>
            </w:r>
          </w:p>
          <w:p w14:paraId="14C33BF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(16)自检功能：具备通过运行自检程序进行机床健康状态诊断功能并通过雷达图将机床系统当前健康状态显示出来；</w:t>
            </w:r>
          </w:p>
          <w:p w14:paraId="6770C81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(17)故障录像功能：具备通过记录故障前10s的采样数据，通过对录像数据的回放和分析，诊断出故障产生的原因；</w:t>
            </w:r>
          </w:p>
          <w:p w14:paraId="3C659E7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(18)伺服自整定功能：具备通过运行整定过程配置参数达到机电调试最优提升零件加工质量和加工效率；</w:t>
            </w:r>
          </w:p>
          <w:p w14:paraId="7561CCC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(19)丝杠负荷检查功能：具备检测机床丝杠各区间点丝杠负荷值功能以便快速检测出装配质量以及丝杠当前状态；</w:t>
            </w:r>
          </w:p>
          <w:p w14:paraId="7C42A00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(20)工艺评估功能：具备对G代码进行工艺参数评估功能，并能给出评估结果、评估建议；</w:t>
            </w:r>
          </w:p>
          <w:p w14:paraId="38B50FE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(21)P参数设置功能：对用户参数进行设置、查找、更新修改以及放弃修改；</w:t>
            </w:r>
          </w:p>
          <w:p w14:paraId="2CB17D6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(22)M代码设置功能：对不少于999个M代码进行设置以及查找；</w:t>
            </w:r>
          </w:p>
          <w:p w14:paraId="52E9D89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(23)PLC开关设置功能：含有设定有效开关，对PLC地址位进行ON和OFF设置；</w:t>
            </w:r>
          </w:p>
          <w:p w14:paraId="4009671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(24)通讯设定功能：可对本地、共享盘、FTP、云盘进行网络通讯参数设置，具有网络连接、网络断开以及网络PING功能；</w:t>
            </w:r>
          </w:p>
          <w:p w14:paraId="1BABA98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(25)个性化设定功能：</w:t>
            </w:r>
          </w:p>
          <w:p w14:paraId="1C2063C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①语言设定：中文、english、russia；</w:t>
            </w:r>
          </w:p>
          <w:p w14:paraId="2E01B30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②分辨率设置：800*600像素、1024*768像素、1280*1024像素；</w:t>
            </w:r>
          </w:p>
          <w:p w14:paraId="2A406D3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③皮肤设置：蓝色皮肤、灰色皮肤、黑色皮肤、绿色皮肤；</w:t>
            </w:r>
          </w:p>
          <w:p w14:paraId="129A2BC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④载入LOGO设置：可载入自定义开机LOGO；</w:t>
            </w:r>
          </w:p>
          <w:p w14:paraId="3CFB917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⑤菜单排序设置：用户可根据个人操作习惯自定义菜单栏排序；</w:t>
            </w:r>
          </w:p>
          <w:p w14:paraId="3B92289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(26)闭环切换功能；</w:t>
            </w:r>
          </w:p>
          <w:p w14:paraId="20CCE84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(27)空间补偿功能；</w:t>
            </w:r>
          </w:p>
          <w:p w14:paraId="10AE820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(28)工艺包功能：具有从系统盘、U盘、用户盘以及网盘对工艺包进行载入、备份以及重命名功能；</w:t>
            </w:r>
          </w:p>
          <w:p w14:paraId="71DF1BC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(29)加工匀顺功能：快速有效地对加工轨迹中的缺陷处进行平滑光顺，提升速度及加速度平顺性，获得更优的加工表面质量；</w:t>
            </w:r>
          </w:p>
          <w:p w14:paraId="5B5B993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(30)示教编程功能：具有插入、快速定位、插补直线、三点圆模式、半径圆模式、进给速度、删除行以及窗口切换功能；</w:t>
            </w:r>
          </w:p>
          <w:p w14:paraId="165AE7C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(31)辅助编程功能：</w:t>
            </w:r>
          </w:p>
          <w:p w14:paraId="1B8F711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①插入循环：程序头能选择加工平面、坐标系、编程方式等参数；</w:t>
            </w:r>
          </w:p>
          <w:p w14:paraId="6944822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②钻削具备不少于15种指令选择和参数设置；</w:t>
            </w:r>
          </w:p>
          <w:p w14:paraId="6F23C1D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③复合钻削具备不少于12种指令选择和参数设置；</w:t>
            </w:r>
          </w:p>
          <w:p w14:paraId="51C1754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④平面铣槽具备不少于8种指令选择和参数设置；</w:t>
            </w:r>
          </w:p>
          <w:p w14:paraId="602B6E8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⑤设置完成后能直接输出NC。</w:t>
            </w:r>
          </w:p>
          <w:p w14:paraId="41EE627C">
            <w:pPr>
              <w:keepNext w:val="0"/>
              <w:keepLines w:val="0"/>
              <w:pageBreakBefore w:val="0"/>
              <w:widowControl/>
              <w:numPr>
                <w:ilvl w:val="0"/>
                <w:numId w:val="2"/>
              </w:numPr>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配套数控系统仿真软件（50节点/套）</w:t>
            </w:r>
          </w:p>
          <w:p w14:paraId="63B9AB90">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（1）配置数控机床相同系统界面编程仿真软件：</w:t>
            </w:r>
          </w:p>
          <w:p w14:paraId="16BA3D5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（2）软件具备九轴九联动的系统运行界面，可以实现在电脑上模拟系统的程序加工和编程，依此来实现对程序的校验，保证程序的正确性和安全性；</w:t>
            </w:r>
          </w:p>
          <w:p w14:paraId="2AD12AF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（3）可以实现在多台电脑上实现程序的编写和程序的校验，模拟软件可以实现对数控系统内部的参数进行修改和编辑；</w:t>
            </w:r>
          </w:p>
          <w:p w14:paraId="07BC540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（4）具备自动、单段、回零，手动等加工方式以及键盘PLC控制等功能；</w:t>
            </w:r>
          </w:p>
          <w:p w14:paraId="6C4388B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（5）支持具备系统界面在执行系统程序时，各轴数据值会根据执行程序而发生变化，系统界面中的所有九轴数据值都可以变化；</w:t>
            </w:r>
          </w:p>
          <w:p w14:paraId="6B1990C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（6）模拟软件在系统运行程序时，可以显示运行轨迹两维和三维模拟界面，界面可以单独显示也可以同时显示，可以放大缩小画面；</w:t>
            </w:r>
          </w:p>
          <w:p w14:paraId="792B832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支持具备读取自动生成的代码，可减少大量编程工作。对已有的轨迹进行过程模拟，以检查轨迹的正确性。支持生成的轨迹不满意时可以修改参数值，可以把轨迹状态进行调整，以生成符合需求的运行轨迹；</w:t>
            </w:r>
          </w:p>
          <w:p w14:paraId="7F3DC6C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（8）仿真软件在编辑程序时包含以下功能：查找、替换、删除、复制、粘贴等功能；</w:t>
            </w:r>
          </w:p>
          <w:p w14:paraId="0BF2E5D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（9）软件具备用户可以二次升级系统功能和备份系统全部资料；</w:t>
            </w:r>
          </w:p>
          <w:p w14:paraId="0B1564D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（10）仿真软件具备可以修改内部设置参数，可以让用户熟悉系统参数定义和修改参数；</w:t>
            </w:r>
          </w:p>
          <w:p w14:paraId="4B758F5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（11）仿真软件参数模块包含以下模块：用户参数，通道参数，轴参数，设备接口参数，数据表参数等；</w:t>
            </w:r>
          </w:p>
          <w:p w14:paraId="65195DA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（12）仿真软件具备拥有检测信号的输入输出显示功能；</w:t>
            </w:r>
          </w:p>
          <w:p w14:paraId="38D165A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（13）仿真软件具备可以查询报警信息；</w:t>
            </w:r>
          </w:p>
          <w:p w14:paraId="2DAEB1D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（14）仿真软件具备能够实现效验编辑好的程序，通过效验功能检查程序是否存在错误；</w:t>
            </w:r>
          </w:p>
          <w:p w14:paraId="653A7AD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（15）数控系统PLC编程软件需具备离线读取编辑PLC和在线读取编辑PLC功能；</w:t>
            </w:r>
          </w:p>
          <w:p w14:paraId="066A017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（16）PLC编程软件需具备和数控系统通讯功能，通过设置IP地址，连接数控系统，实现PLC在线调试；</w:t>
            </w:r>
          </w:p>
          <w:p w14:paraId="6183F92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PLC功能模块中不少于100个功能单元，每个功能单元还需有对应的帮助说明。功能模块中至少包含：数据查找、T获取、用户自定义、逻辑异或、数据交换、数据获取、数据复位、热误差补偿、T响应等功能单元；</w:t>
            </w:r>
          </w:p>
          <w:p w14:paraId="2448A24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（18）通过PLC编程软件plc编写，可直接给系统定义一些新的控制逻辑，便于二次发。</w:t>
            </w:r>
          </w:p>
          <w:p w14:paraId="57B5420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黑体"/>
                <w:kern w:val="0"/>
                <w:szCs w:val="21"/>
                <w:lang w:eastAsia="zh-CN"/>
              </w:rPr>
              <w:t>★</w:t>
            </w:r>
            <w:r>
              <w:rPr>
                <w:rFonts w:hint="eastAsia" w:ascii="宋体" w:hAnsi="宋体" w:eastAsia="宋体" w:cs="宋体"/>
                <w:b w:val="0"/>
                <w:bCs w:val="0"/>
                <w:color w:val="auto"/>
                <w:sz w:val="21"/>
                <w:szCs w:val="21"/>
                <w:highlight w:val="none"/>
                <w:lang w:val="en-US" w:eastAsia="zh-CN"/>
              </w:rPr>
              <w:t>响应文件须提供以</w:t>
            </w:r>
            <w:r>
              <w:rPr>
                <w:rFonts w:hint="eastAsia" w:ascii="宋体" w:hAnsi="宋体" w:cs="宋体"/>
                <w:b w:val="0"/>
                <w:bCs w:val="0"/>
                <w:color w:val="auto"/>
                <w:sz w:val="21"/>
                <w:szCs w:val="21"/>
                <w:highlight w:val="none"/>
                <w:lang w:val="en-US" w:eastAsia="zh-CN"/>
              </w:rPr>
              <w:t>上</w:t>
            </w:r>
            <w:r>
              <w:rPr>
                <w:rFonts w:hint="eastAsia" w:ascii="宋体" w:hAnsi="宋体" w:eastAsia="宋体" w:cs="宋体"/>
                <w:b w:val="0"/>
                <w:bCs w:val="0"/>
                <w:color w:val="auto"/>
                <w:sz w:val="21"/>
                <w:szCs w:val="21"/>
                <w:highlight w:val="none"/>
                <w:lang w:val="en-US" w:eastAsia="zh-CN"/>
              </w:rPr>
              <w:t>第1～18项的证明材料，证明材料可为具有相应检测资质的第三方检测机构出具对该功能的检测报告复印件或功能截图或产品彩页或说明书等，并加盖供应商公章</w:t>
            </w:r>
            <w:r>
              <w:rPr>
                <w:rFonts w:hint="eastAsia" w:ascii="宋体" w:hAnsi="宋体" w:cs="宋体"/>
                <w:b w:val="0"/>
                <w:bCs w:val="0"/>
                <w:color w:val="auto"/>
                <w:sz w:val="21"/>
                <w:szCs w:val="21"/>
                <w:highlight w:val="none"/>
                <w:lang w:val="en-US" w:eastAsia="zh-CN"/>
              </w:rPr>
              <w:t>。</w:t>
            </w:r>
            <w:r>
              <w:rPr>
                <w:rFonts w:hint="eastAsia" w:ascii="宋体" w:hAnsi="宋体" w:cs="宋体"/>
                <w:b/>
                <w:bCs/>
                <w:color w:val="FF0000"/>
                <w:sz w:val="21"/>
                <w:szCs w:val="21"/>
                <w:highlight w:val="none"/>
                <w:lang w:val="en-US" w:eastAsia="zh-CN"/>
              </w:rPr>
              <w:t>（注：为方便评审核对，供应商所提供的证明材料的编号应与上述证明内容的编号保持一致）</w:t>
            </w:r>
          </w:p>
          <w:p w14:paraId="43B9AC9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w:t>
            </w:r>
            <w:r>
              <w:rPr>
                <w:rFonts w:hint="eastAsia" w:ascii="宋体" w:hAnsi="宋体" w:cs="宋体"/>
                <w:color w:val="auto"/>
                <w:sz w:val="21"/>
                <w:szCs w:val="21"/>
                <w:highlight w:val="none"/>
                <w:lang w:val="en-US" w:eastAsia="zh-CN"/>
              </w:rPr>
              <w:t>竞标时</w:t>
            </w:r>
            <w:r>
              <w:rPr>
                <w:rFonts w:hint="eastAsia" w:ascii="宋体" w:hAnsi="宋体" w:eastAsia="宋体" w:cs="宋体"/>
                <w:color w:val="auto"/>
                <w:sz w:val="21"/>
                <w:szCs w:val="21"/>
                <w:highlight w:val="none"/>
                <w:lang w:val="en-US" w:eastAsia="zh-CN"/>
              </w:rPr>
              <w:t>提供数控车铣加工职业技能等级标准考核案例不少于5个</w:t>
            </w:r>
            <w:r>
              <w:rPr>
                <w:rFonts w:hint="eastAsia" w:ascii="宋体" w:hAnsi="宋体" w:cs="宋体"/>
                <w:color w:val="auto"/>
                <w:sz w:val="21"/>
                <w:szCs w:val="21"/>
                <w:highlight w:val="none"/>
                <w:lang w:val="en-US" w:eastAsia="zh-CN"/>
              </w:rPr>
              <w:t>。</w:t>
            </w:r>
          </w:p>
          <w:p w14:paraId="32D2948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六、数控系统开通数控云管家功能：</w:t>
            </w:r>
          </w:p>
          <w:p w14:paraId="136006B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控云管家是运用工业以太物联网、大数据、云数控等关键技术，围绕数控机床加工效率和质量的提升以及机床的智能化管理，整合国内各项技术而开发出的车间信息化管理系统。有“设备运维、生产管理、最新资讯”三大功能，实现制造设备从日常生产到维护保养、改造优化的全生命周期管理，为用户提供设备及产品相关信息的“大数据”。</w:t>
            </w:r>
          </w:p>
          <w:p w14:paraId="3F4899D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数控云管家功能：</w:t>
            </w:r>
          </w:p>
          <w:p w14:paraId="4CDE489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通过大数据平台对数控机床进行定期的“体检”，采集运行过程中的数据，通过单机历史数据的纵向比较和机床集群数据的横向比较，掌握机床健康变化，实现数控机床的健康保障。</w:t>
            </w:r>
          </w:p>
          <w:p w14:paraId="0F6E4AA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1.设备运维功能</w:t>
            </w:r>
          </w:p>
          <w:p w14:paraId="057C5EE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(1)新建工单模块：具有故障信息描述、上传图片以及填写报修信息功能；</w:t>
            </w:r>
          </w:p>
          <w:p w14:paraId="26B5D77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(2)我的工单模块：可查看已报单、已指派、待评价、已关闭、进行中以及工单暂停等功能，具备直接输入订单编号或客户单位信息直接快速查看功能；</w:t>
            </w:r>
          </w:p>
          <w:p w14:paraId="28F9A1A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(3)历史工单模块：可查看历史工单信息，具备直接输入订单编号、系统SN码、客户单位或人员名称信息直接快速查看功能；</w:t>
            </w:r>
          </w:p>
          <w:p w14:paraId="6C72B85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返修工单模块：可查看返修工单信息，包含返厂中、已收货、已指派、维修收货、维修中、维修完成、返修完成以及废单信息，具备直接输入订单编号、返修件类型、返修件编号或客户单号信息直接快速查看功能；</w:t>
            </w:r>
          </w:p>
          <w:p w14:paraId="1B91C7F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(5)打卡签到模块：具备输入用户位置信息及用户备注信息进行打卡功能；</w:t>
            </w:r>
          </w:p>
          <w:p w14:paraId="7162515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(6)案例库模块：具备全部案例、调试案例、故障案例以及工艺案例查看功能，每个案例均能查看案例详情，包含案例名称、适用范围、调试目标、解决方案以及案例标签。</w:t>
            </w:r>
          </w:p>
          <w:p w14:paraId="161AB62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2.生产管理功能</w:t>
            </w:r>
          </w:p>
          <w:p w14:paraId="1A7A87C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(1)生产管理模块：</w:t>
            </w:r>
          </w:p>
          <w:p w14:paraId="5F9F3CB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①可查看设备厂列表功能，包含全部、华东片区、华北片区、东北片区、西北片区、华中片区和深圳、永川、宁波、泉州、玉溪分公司以及教育行业；</w:t>
            </w:r>
          </w:p>
          <w:p w14:paraId="28065A8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②具备查看设备详情功能：包含设备离线、待机、加工、报警状态；开机时间、加工时间、待机时间、报警时间、离线时间统计；加工加工信息统计、显示功能；</w:t>
            </w:r>
          </w:p>
          <w:p w14:paraId="475F79A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③具备运行统计功能：包含状态统计图、时间统计、产量统计功能；</w:t>
            </w:r>
          </w:p>
          <w:p w14:paraId="3110686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④具备报警历史功能：包含报警列表、报警等级筛选功能；</w:t>
            </w:r>
          </w:p>
          <w:p w14:paraId="2821164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⑤具备报警统计功能；包含报警频次和参数修改记录。</w:t>
            </w:r>
          </w:p>
          <w:p w14:paraId="7CE2EFF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(2)在线编程模块：</w:t>
            </w:r>
          </w:p>
          <w:p w14:paraId="25A8ABB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①具备查看G代码详情功能；</w:t>
            </w:r>
          </w:p>
          <w:p w14:paraId="6E348A4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②具备生成复合工艺G代码功能，包含通过工艺列表配置参数工艺生成G代码功能；</w:t>
            </w:r>
          </w:p>
          <w:p w14:paraId="3CDF96D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③简单工艺并生成G代码功能，包含通过选择工艺配置参数工艺生成G代码功能；</w:t>
            </w:r>
          </w:p>
          <w:p w14:paraId="239F7F2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七、综合管理系统(数控车铣)</w:t>
            </w:r>
          </w:p>
          <w:p w14:paraId="6F1EA4D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综合管理系统是智能化理论考试系统，系统具备考核、练习、成绩分析等模块，并且能实现自动组卷、自动评分，数据统计等功能。</w:t>
            </w:r>
          </w:p>
          <w:p w14:paraId="0E4AD7A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1.系统角色：</w:t>
            </w:r>
          </w:p>
          <w:p w14:paraId="2FFCA9C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（1）考试操作员：题库管理，定义考点信息、考试时间、指定出题规则（组卷）等。</w:t>
            </w:r>
          </w:p>
          <w:p w14:paraId="50977A8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（2）考点操作员：参考人员信息导入，成绩导出等（考点人员）</w:t>
            </w:r>
          </w:p>
          <w:p w14:paraId="0E8F617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（3）考点监控人员：操作考场管理软件的人员（考点人员）</w:t>
            </w:r>
          </w:p>
          <w:p w14:paraId="309154E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（4）巡考人员：考试过程中的在线巡考</w:t>
            </w:r>
          </w:p>
          <w:p w14:paraId="36DAB96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（5）考生：参考人员，可在线练习、在线模拟考试及正式考试</w:t>
            </w:r>
          </w:p>
          <w:p w14:paraId="03A6C2F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2.系统功能说明：</w:t>
            </w:r>
          </w:p>
          <w:p w14:paraId="011ED06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（1）Web服务器：提供系统资料导入、考点参数定义、组卷、在线练习服务等功能，为整个系统的核心；</w:t>
            </w:r>
          </w:p>
          <w:p w14:paraId="1539DD1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（2）在线练习终端：考生通过 PC 浏览器、微信公众号在线练习；考生的在线练习及模拟考试、考生成绩查询；</w:t>
            </w:r>
          </w:p>
          <w:p w14:paraId="31A107A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（3）系统管理 Web 终端：</w:t>
            </w:r>
          </w:p>
          <w:p w14:paraId="071D30C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1-考试操作员，2-考点操作员，3-系统管理员，完成这些角色的功能；</w:t>
            </w:r>
          </w:p>
          <w:p w14:paraId="1A12581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（4）考点服务器：每个考点的一个服务器，负责与【</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Web 服务器】通讯，下载考点信息、考生信息、考卷，答卷本地打分（考生提交答卷后马上给出成绩）、考生答题信息上传；连接每个考场的监控机，为巡考提供支撑；</w:t>
            </w:r>
          </w:p>
          <w:p w14:paraId="5892AB6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（5）考场监控 PC：监控考试终端，接收考点服务器开考和结束指令，并转发至【</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考场 PC】上的考试终端程序；将每个考试终端的信息推送至【</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考点服务器】，为巡考提供数据；</w:t>
            </w:r>
          </w:p>
          <w:p w14:paraId="40DE1FE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（6）网络巡考 PC：通过巡考程序，可以查看每一位考试的操作界面，摄像头信息，及报考信息等；</w:t>
            </w:r>
          </w:p>
          <w:p w14:paraId="5BFFF57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（7）考场 PC：考试最终的考试电脑，安装有考试终端程序；</w:t>
            </w:r>
          </w:p>
          <w:p w14:paraId="21008C2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3.在线练习：</w:t>
            </w:r>
          </w:p>
          <w:p w14:paraId="7792219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（1）用户选择一个知识点后，必须把所有题刷完才能进入下一个知识点；</w:t>
            </w:r>
          </w:p>
          <w:p w14:paraId="5B7707A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（2）错题重复；</w:t>
            </w:r>
          </w:p>
          <w:p w14:paraId="1B89AED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（3）抽过的题也重复，权重下降；</w:t>
            </w:r>
          </w:p>
          <w:p w14:paraId="34E404C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（4）一次显示 5 题或 10 题，可选；</w:t>
            </w:r>
          </w:p>
          <w:p w14:paraId="332FC5D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（5）可查看错题，及答题正误率；</w:t>
            </w:r>
          </w:p>
          <w:p w14:paraId="3A6013D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4.考场监控软件功能说明</w:t>
            </w:r>
          </w:p>
          <w:p w14:paraId="4C1D03A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（1）每个考场一台监控机，安装考场监控程序；</w:t>
            </w:r>
          </w:p>
          <w:p w14:paraId="6F3FF33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（2）从考点服务器下载试卷、考点考生信息；</w:t>
            </w:r>
          </w:p>
          <w:p w14:paraId="4E8405F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（3）转发考点服务器发送的开考、结束考试指令，考试结束强制提交，提示最后15 分钟；</w:t>
            </w:r>
          </w:p>
          <w:p w14:paraId="7E05EBF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（4）每位考生提交答卷后，当场将答卷信息转发至考点服务器，服务器自动阅卷，并将成绩发送到考试终端；</w:t>
            </w:r>
          </w:p>
          <w:p w14:paraId="269CC5D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（5）考场每个考试终端屏幕查看；</w:t>
            </w:r>
          </w:p>
          <w:p w14:paraId="548970D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（6）考场每台 PC 上的摄像头查看；</w:t>
            </w:r>
          </w:p>
          <w:p w14:paraId="4E5914B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（7）考试过程中，与考点服务器保存连接；</w:t>
            </w:r>
          </w:p>
          <w:p w14:paraId="19F411C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（8）在考试开始、开考半小时及考生提交答卷时，分别通过摄像头获取考生头像及考试程序界面，考试结束后，将这些信息提交至考点服务器；</w:t>
            </w:r>
          </w:p>
          <w:p w14:paraId="5405F47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5.考试终端功能说明</w:t>
            </w:r>
          </w:p>
          <w:p w14:paraId="7984B4F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（1）考生登录（准考证号和密码登录）、考试等级确认、考题信息确认；</w:t>
            </w:r>
          </w:p>
          <w:p w14:paraId="42A685A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（2）考生人脸识别验证；不能通过的，由监考人员现场比对，并在监考软件上登记；</w:t>
            </w:r>
          </w:p>
          <w:p w14:paraId="5D396866">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（3）从考场监控软件下载试卷；</w:t>
            </w:r>
          </w:p>
          <w:p w14:paraId="6929DE3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（4）答题并提交答卷至考场监控软件，考场监控软件发至考点服务器现场打分并返回成绩，考生提交后马上可以看到成绩；</w:t>
            </w:r>
          </w:p>
          <w:p w14:paraId="20CDDA0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（5）考试过程中的信息采集，头像、PC 界面等，为巡考提供支持；</w:t>
            </w:r>
          </w:p>
          <w:p w14:paraId="42CFCFF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（6）考试过程中电脑重启后，考试计时不中断；</w:t>
            </w:r>
          </w:p>
          <w:p w14:paraId="2691C08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（7）考试过程中电脑损坏，换机后继续考试，计时不中断，前面已答的题答案不变（即可换机继续考试）；</w:t>
            </w:r>
          </w:p>
          <w:p w14:paraId="2A82902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6.系统管理</w:t>
            </w:r>
          </w:p>
          <w:p w14:paraId="0140619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支持各种统计分析，包括但不限于练习统计、错题统计、成绩统计、考试计划统计等。</w:t>
            </w:r>
          </w:p>
          <w:p w14:paraId="289BC14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7.投标时须提供软件技术要求的成绩查询、考试管理、试卷管理、题库管理的证明材料，证明材料可以是有资质的第三方检测机构出具对上述功能的检测报告复印件或功能截图或产品彩页等。</w:t>
            </w:r>
          </w:p>
          <w:p w14:paraId="69F92BD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八、电气部分智能升级需求</w:t>
            </w:r>
          </w:p>
          <w:p w14:paraId="455437F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1.数控系统需采用车削数控系统，需具有2轴联动、网络和USB数据交换功能；</w:t>
            </w:r>
          </w:p>
          <w:p w14:paraId="112EECF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2.数控系统需采用单独的UPS电源供电。</w:t>
            </w:r>
          </w:p>
          <w:p w14:paraId="5C9D827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3.支持采用总线式PLC模块，不少于16点NPN输入点，不少于16点NPN输出点；</w:t>
            </w:r>
          </w:p>
          <w:p w14:paraId="55BEF09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4.去掉原有伺服驱动器，需采用总线式伺服驱动器进行替换。</w:t>
            </w:r>
          </w:p>
          <w:p w14:paraId="608971B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5.主轴系统：需保留原有主轴电机、变频器、主轴编码器及主轴档位控制方式，需要增加一块主轴模拟量控制模块，需保留机床档内无极调速功能。</w:t>
            </w:r>
          </w:p>
          <w:p w14:paraId="409B424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6.保留机床原电气控制柜体，保留柜内原有控制器件，根据新系统控制要求，需要整改机床的电气控制线路，需增加系统上电继电器，确保能够达到正常功能使用要求。</w:t>
            </w:r>
          </w:p>
          <w:p w14:paraId="152A0D1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7.保留机床原数控系统操作箱，需要重新设计系统安装钣金尺寸、连接新的数控系统操作箱，安装在原操作箱安装位置，需要与原操作方式保持一致。</w:t>
            </w:r>
          </w:p>
          <w:p w14:paraId="5D2B9D7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8.需要保留机床原有伺服变压器或电抗器。</w:t>
            </w:r>
          </w:p>
          <w:p w14:paraId="4FB2C90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9.去掉两轴行程开关及回零开关， X、Z进给轴需采用绝对值编码器电机保护措施。</w:t>
            </w:r>
          </w:p>
          <w:p w14:paraId="7983092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10.整理、清洁机床所有连接线缆及线缆防护软管、拖链等，使机床布线具备整洁、美观。</w:t>
            </w:r>
          </w:p>
          <w:p w14:paraId="1484179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11.检修机床照明线路，需要恢复照明。</w:t>
            </w:r>
          </w:p>
          <w:p w14:paraId="063D4F1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12.主轴使用模拟量信号线缆、主轴编码器线缆等信号易受干扰的地方需采用屏蔽电缆线。</w:t>
            </w:r>
          </w:p>
          <w:p w14:paraId="0EBECE5E">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13.根据机床动作要求，需要重新编制PLC，并具有严密的保护及报警提示信息，便于故障查询和维护。</w:t>
            </w:r>
          </w:p>
          <w:p w14:paraId="11E8CC8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九、单台配置至少包含以下模块</w:t>
            </w:r>
          </w:p>
          <w:p w14:paraId="0547E25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1.数控车床系统：1台。</w:t>
            </w:r>
          </w:p>
          <w:p w14:paraId="49EB71E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2.伺服驱动器：2台。</w:t>
            </w:r>
          </w:p>
          <w:p w14:paraId="1669343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3.X、Z进给电机：伺服电机2台。</w:t>
            </w:r>
          </w:p>
          <w:p w14:paraId="7889A2F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4.UPS电源：1台。</w:t>
            </w:r>
          </w:p>
          <w:p w14:paraId="5B10BB9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5.I/O模块：</w:t>
            </w:r>
          </w:p>
          <w:p w14:paraId="08EFD70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（1）6槽底板通讯板：1块。</w:t>
            </w:r>
          </w:p>
          <w:p w14:paraId="599DE70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（2）总线输入模块：2块。</w:t>
            </w:r>
          </w:p>
          <w:p w14:paraId="4FA8298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（3）总线输出模块：2块。</w:t>
            </w:r>
          </w:p>
          <w:p w14:paraId="72FD844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（4）主轴控制模块：1块。</w:t>
            </w:r>
          </w:p>
          <w:p w14:paraId="206569A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6.手持单元：2轴轴选，螺旋线。</w:t>
            </w:r>
          </w:p>
          <w:p w14:paraId="6BA262B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7.配套连接线缆：1套。</w:t>
            </w:r>
          </w:p>
          <w:p w14:paraId="0CCEF8D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8.配套相关说明书：</w:t>
            </w:r>
          </w:p>
          <w:p w14:paraId="2271A92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（1）车削系统操作说明书</w:t>
            </w:r>
          </w:p>
          <w:p w14:paraId="56B1E73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（2）车削系统编程说明书</w:t>
            </w:r>
          </w:p>
          <w:p w14:paraId="18F0C28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（3）伺服使用说明书</w:t>
            </w:r>
          </w:p>
          <w:p w14:paraId="28B9B23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（4）参数说明书</w:t>
            </w:r>
          </w:p>
          <w:p w14:paraId="5B5ED86F">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十、机械部分智能升级需求</w:t>
            </w:r>
          </w:p>
          <w:p w14:paraId="64D17C42">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1.机床需要整体进行三级保养。</w:t>
            </w:r>
          </w:p>
          <w:p w14:paraId="42A77AF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2.需要微调主轴跳动。</w:t>
            </w:r>
          </w:p>
          <w:p w14:paraId="79A5A2C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3.需要疏通油路。</w:t>
            </w:r>
          </w:p>
          <w:p w14:paraId="6B1BB83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4.需要疏通冷却管路。</w:t>
            </w:r>
          </w:p>
          <w:p w14:paraId="367CC5AF">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5.需要维护检修尾座。</w:t>
            </w:r>
          </w:p>
          <w:p w14:paraId="75CB3A5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十一、机床改造升级，某些要求以现场实际定制。</w:t>
            </w:r>
          </w:p>
        </w:tc>
        <w:tc>
          <w:tcPr>
            <w:tcW w:w="505" w:type="dxa"/>
            <w:noWrap w:val="0"/>
            <w:vAlign w:val="center"/>
          </w:tcPr>
          <w:p w14:paraId="6DB08815">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478" w:type="dxa"/>
            <w:noWrap w:val="0"/>
            <w:vAlign w:val="center"/>
          </w:tcPr>
          <w:p w14:paraId="25C4DE5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1BCC359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7C24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187DF9C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auto"/>
                <w:sz w:val="21"/>
                <w:szCs w:val="21"/>
                <w:highlight w:val="none"/>
                <w:lang w:val="en-US" w:eastAsia="zh-CN"/>
              </w:rPr>
              <w:t>2.2</w:t>
            </w:r>
          </w:p>
        </w:tc>
        <w:tc>
          <w:tcPr>
            <w:tcW w:w="1239" w:type="dxa"/>
            <w:noWrap w:val="0"/>
            <w:vAlign w:val="center"/>
          </w:tcPr>
          <w:p w14:paraId="33B0000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数控铣床</w:t>
            </w:r>
            <w:r>
              <w:rPr>
                <w:rFonts w:hint="eastAsia"/>
                <w:color w:val="auto"/>
                <w:lang w:eastAsia="zh-CN"/>
              </w:rPr>
              <w:t>升级改造</w:t>
            </w:r>
          </w:p>
        </w:tc>
        <w:tc>
          <w:tcPr>
            <w:tcW w:w="6390" w:type="dxa"/>
            <w:gridSpan w:val="2"/>
            <w:noWrap w:val="0"/>
            <w:vAlign w:val="center"/>
          </w:tcPr>
          <w:p w14:paraId="4079AF65">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一、基本需求</w:t>
            </w:r>
          </w:p>
          <w:p w14:paraId="47808B2D">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待升级的数控加工中心</w:t>
            </w:r>
            <w:r>
              <w:rPr>
                <w:rFonts w:hint="eastAsia" w:ascii="宋体" w:hAnsi="宋体" w:cs="宋体"/>
                <w:color w:val="auto"/>
                <w:sz w:val="21"/>
                <w:szCs w:val="21"/>
                <w:highlight w:val="none"/>
                <w:lang w:val="en-US" w:eastAsia="zh-CN"/>
              </w:rPr>
              <w:t>（大连机床集团有限责任公司，型号：VDL-600A）</w:t>
            </w:r>
            <w:r>
              <w:rPr>
                <w:rFonts w:hint="eastAsia" w:ascii="宋体" w:hAnsi="宋体" w:eastAsia="宋体" w:cs="宋体"/>
                <w:color w:val="auto"/>
                <w:sz w:val="21"/>
                <w:szCs w:val="21"/>
                <w:highlight w:val="none"/>
                <w:lang w:val="en-US" w:eastAsia="zh-CN"/>
              </w:rPr>
              <w:t>，现更换三个伺服直线运动轴，根据教学和数控车铣考证需求，需要对机床的数控系统进行换代升级，从而使机床达到稳定、正常使用，满足教学和数控车铣加工职业技能等级标准考证要求。现有VD-600加工中心参数如下：</w:t>
            </w:r>
          </w:p>
          <w:p w14:paraId="2ADF0983">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1.工作台长*宽（mm）：1000*500；三向行程（mm）：X-850；Y-500；Z-540。</w:t>
            </w:r>
          </w:p>
          <w:p w14:paraId="3B633E00">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2.三轴进给速度：1~20000mm/min；三向快速进给量：30m/min。</w:t>
            </w:r>
          </w:p>
          <w:p w14:paraId="4B9EC4FB">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3.主轴交流伺服电机功率：7.5kW；转速：50~8000rpm（无级调速）；最大输出扭矩35.8N•m。</w:t>
            </w:r>
          </w:p>
          <w:p w14:paraId="54D9E64C">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4.工作台最大承重≥600kg；</w:t>
            </w:r>
          </w:p>
          <w:p w14:paraId="008F3F61">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5.刀具松开采用气动，主轴锥孔采用压缩空气吹扫。</w:t>
            </w:r>
          </w:p>
          <w:p w14:paraId="66183650">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二、智能升级要求</w:t>
            </w:r>
          </w:p>
          <w:p w14:paraId="6EB42BDF">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改造整体实施规划：需要将机床升级成三轴三联动半闭环数控机床。系统升级具有总线式数控系统，需要保留机床电柜、主轴电机、主轴编码器，同时更换伺服电机及驱动器。</w:t>
            </w:r>
          </w:p>
          <w:p w14:paraId="688F3F14">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三、数控系统</w:t>
            </w:r>
          </w:p>
          <w:p w14:paraId="4BF65C1D">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最小插补周期：≤0. 5ms；</w:t>
            </w:r>
          </w:p>
          <w:p w14:paraId="4C2899CE">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总线方式：NCUC总线式。</w:t>
            </w:r>
          </w:p>
          <w:p w14:paraId="013C85E4">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数控系统需具网络初始化和连接、获取和设置寄存器、获取和设置变量、获取、设置参数、载入以及保存参数、获取系统、通道、轴以及坐标系数据、获取和设置刀具数据、获取报警数据、订阅消息事件、获取和设置采样数据、设置MDI、获取和设置PLC、其它接口数据、NC-LINK接口数据、文件接口数据、组 态式HMI二次开发等二次开发功能。</w:t>
            </w:r>
          </w:p>
          <w:p w14:paraId="61EF540B">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数控系统需具备机床调试辅助工具功能</w:t>
            </w:r>
          </w:p>
          <w:p w14:paraId="4EDE075F">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数控系统需具备并行控制两类以上工业以太网总线从站设备的功能</w:t>
            </w:r>
          </w:p>
          <w:p w14:paraId="753BE2A6">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数控系统需具备数控机床热误差补偿功能</w:t>
            </w:r>
          </w:p>
          <w:p w14:paraId="28D9427A">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数控系统支持网络通讯，开通数控系统联网功能，可实时采集数控系统核心参数。</w:t>
            </w:r>
          </w:p>
          <w:p w14:paraId="7D9E11F7">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8.数控系统IPC控制器运行环境配置要求：</w:t>
            </w:r>
          </w:p>
          <w:p w14:paraId="5DCDCB6D">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①处 理 器 ：CPU主频不低于1.46G</w:t>
            </w:r>
          </w:p>
          <w:p w14:paraId="62BBA1CC">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②电源： +24V电源输入，带掉电检测功能</w:t>
            </w:r>
          </w:p>
          <w:p w14:paraId="2284D093">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③总线协议接口：EtherCAT+NCUC或EtherCAT+M3</w:t>
            </w:r>
          </w:p>
          <w:p w14:paraId="61D67376">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④磁盘容量：不低于8G 固态盘，预留mSATA接口</w:t>
            </w:r>
          </w:p>
          <w:p w14:paraId="5B5A7E70">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⑤内存空间：不低于1G</w:t>
            </w:r>
          </w:p>
          <w:p w14:paraId="2AADE63F">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⑥网口：不少于1个1000Mbps千兆网口</w:t>
            </w:r>
          </w:p>
          <w:p w14:paraId="3BED81A5">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9.数控系统具备的功能：</w:t>
            </w:r>
          </w:p>
          <w:p w14:paraId="277FC056">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(1)用户宏设置功能；</w:t>
            </w:r>
          </w:p>
          <w:p w14:paraId="74C3E29A">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(2)轨迹设置功能：</w:t>
            </w:r>
          </w:p>
          <w:p w14:paraId="18A41863">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①视图切换：不少于5个视图切换；</w:t>
            </w:r>
          </w:p>
          <w:p w14:paraId="3CEAF72D">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②图形还原；</w:t>
            </w:r>
          </w:p>
          <w:p w14:paraId="313A2B9C">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③刀具路径颜色配置：不少于100个刀具轨迹颜色配置以及有20种颜色选择的颜色表；</w:t>
            </w:r>
          </w:p>
          <w:p w14:paraId="66EDC807">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④图形中心设置：具备选择不同坐标系为图形中心功能；</w:t>
            </w:r>
          </w:p>
          <w:p w14:paraId="7046915E">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⑤图形设置：图形中心X设置、图形中心Y设置、图形中心Z设置以及缩放比例设置；</w:t>
            </w:r>
          </w:p>
          <w:p w14:paraId="60CFED86">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(3)系统盘、U盘、用户盘程序管理、存储；</w:t>
            </w:r>
          </w:p>
          <w:p w14:paraId="1C9B1F90">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(4)梯图监控功能：梯图在线监控功能；</w:t>
            </w:r>
          </w:p>
          <w:p w14:paraId="225DFFD0">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(5)梯图编辑功能：梯图在线编辑功能；</w:t>
            </w:r>
          </w:p>
          <w:p w14:paraId="52FE9CC1">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(6)梯图信息功能：</w:t>
            </w:r>
          </w:p>
          <w:p w14:paraId="621E52AC">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①梯图标题：梯图相关信息显示；</w:t>
            </w:r>
          </w:p>
          <w:p w14:paraId="509A62E6">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②符号表设置：含有寄存器、符号名以及注释栏，能对符号表进行增加、删除、查找、更新修改以及放弃修改；</w:t>
            </w:r>
          </w:p>
          <w:p w14:paraId="6A9B2CAD">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③IO对照表设置：含有寄存器（I/Q）、IO点（X/Y）、电平、周期、符号名以及注释栏，能对IO对照表（包含用户IO和面板IO）进行增加、删除、查找、查找下一个、更新修改以及放弃修改；</w:t>
            </w:r>
          </w:p>
          <w:p w14:paraId="52A1C31F">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④K参数设置：具有设定有效开关，可对不少于16个K参数进行ON或OFF设置；</w:t>
            </w:r>
          </w:p>
          <w:p w14:paraId="4959D2AB">
            <w:pPr>
              <w:keepNext w:val="0"/>
              <w:keepLines w:val="0"/>
              <w:pageBreakBefore w:val="0"/>
              <w:widowControl/>
              <w:kinsoku/>
              <w:wordWrap/>
              <w:overflowPunct/>
              <w:topLinePunct w:val="0"/>
              <w:autoSpaceDE/>
              <w:autoSpaceDN/>
              <w:bidi w:val="0"/>
              <w:adjustRightInd/>
              <w:snapToGrid/>
              <w:spacing w:line="440" w:lineRule="exact"/>
              <w:ind w:firstLine="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⑤定时器设置：含有索引、地址、指令字、当前值、预设值、符号名以及注释栏，可对不少于512个定时器进行设置、查找、更新修改以及放弃修改；                                             </w:t>
            </w:r>
          </w:p>
          <w:p w14:paraId="74D74BCA">
            <w:pPr>
              <w:keepNext w:val="0"/>
              <w:keepLines w:val="0"/>
              <w:pageBreakBefore w:val="0"/>
              <w:widowControl/>
              <w:kinsoku/>
              <w:wordWrap/>
              <w:overflowPunct/>
              <w:topLinePunct w:val="0"/>
              <w:autoSpaceDE/>
              <w:autoSpaceDN/>
              <w:bidi w:val="0"/>
              <w:adjustRightInd/>
              <w:snapToGrid/>
              <w:spacing w:line="440" w:lineRule="exact"/>
              <w:ind w:firstLine="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⑥计数器设置：含有索引、地址、指令字、当前值、预设值、符号名以及注释栏，可对不少于512个计数器进行设置、查找、更新修改以及放弃修改；</w:t>
            </w:r>
          </w:p>
          <w:p w14:paraId="5657B11C">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⑦报警设置：可对不少于256个报警地址进行报警内容定义、查找、更新修改以及放弃修改；可对不少于384个提示地址进行提示内容定义、查找、更新修改以及放弃修改；</w:t>
            </w:r>
          </w:p>
          <w:p w14:paraId="39FBB3E3">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⑧可对PLC进行运行停止设置；</w:t>
            </w:r>
          </w:p>
          <w:p w14:paraId="7D303E28">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(7)导入工艺文件功能；</w:t>
            </w:r>
          </w:p>
          <w:p w14:paraId="7F94B529">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(8)编程引导功能；</w:t>
            </w:r>
          </w:p>
          <w:p w14:paraId="2B70AF65">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(9)加工统计功能；</w:t>
            </w:r>
          </w:p>
          <w:p w14:paraId="49E39ABF">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(10)机床状态二维码功能：包含机床状态二维码、工件统计二维码、报警历史二维码、故障诊断二维码、调机报表二维码、手机APP二维码以及健康保障二维码，通过手机扫描实时、快捷了解机床状态。</w:t>
            </w:r>
          </w:p>
          <w:p w14:paraId="089B30F1">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(11)断点运行功能；</w:t>
            </w:r>
          </w:p>
          <w:p w14:paraId="35222B2E">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(12)刀库配置功能；</w:t>
            </w:r>
          </w:p>
          <w:p w14:paraId="45DDF99E">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(13)刀具寿命管理功能；</w:t>
            </w:r>
          </w:p>
          <w:p w14:paraId="2C1F87C6">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(14)断刀监测功能；具备通过实际功率和断刀空跑功率实时比较检测加工刀具是否断裂功能</w:t>
            </w:r>
          </w:p>
          <w:p w14:paraId="29669D30">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(15)刀具测量功能；</w:t>
            </w:r>
          </w:p>
          <w:p w14:paraId="5ADEA3DE">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(16)自检功能：具备通过运行自检程序进行机床健康状态诊断功能并通过雷达图将机床系统当前健康状态显示出来；</w:t>
            </w:r>
          </w:p>
          <w:p w14:paraId="755DD2FA">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(17)故障录像功能：具备通过记录故障前10s的采样数据，通过对录像数据的回放和分析，诊断出故障产生的原因；</w:t>
            </w:r>
          </w:p>
          <w:p w14:paraId="21662768">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(18)伺服自整定功能：具备通过运行整定过程配置参数达到机电调试最优提升零件加工质量和加工效率；</w:t>
            </w:r>
          </w:p>
          <w:p w14:paraId="7092EA88">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(19)丝杠负荷检查功能：具备检测机床丝杠各区间点丝杠负荷值功能以便快速检测出装配质量以及丝杠当前状态；</w:t>
            </w:r>
          </w:p>
          <w:p w14:paraId="2BC23429">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(20)工艺评估功能：具备对G代码进行工艺参数评估功能，并能给出评估结果、评估建议；</w:t>
            </w:r>
          </w:p>
          <w:p w14:paraId="25A35700">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(21)P参数设置功能：对用户参数进行设置、查找、更新修改以及</w:t>
            </w:r>
            <w:r>
              <w:rPr>
                <w:rFonts w:hint="eastAsia" w:ascii="宋体" w:hAnsi="宋体" w:cs="宋体"/>
                <w:color w:val="auto"/>
                <w:sz w:val="21"/>
                <w:szCs w:val="21"/>
                <w:highlight w:val="none"/>
                <w:lang w:val="en-US" w:eastAsia="zh-CN"/>
              </w:rPr>
              <w:t>放弃修改。</w:t>
            </w:r>
            <w:r>
              <w:rPr>
                <w:rFonts w:hint="eastAsia" w:ascii="宋体" w:hAnsi="宋体" w:eastAsia="宋体" w:cs="宋体"/>
                <w:color w:val="auto"/>
                <w:sz w:val="21"/>
                <w:szCs w:val="21"/>
                <w:highlight w:val="none"/>
                <w:lang w:val="en-US" w:eastAsia="zh-CN"/>
              </w:rPr>
              <w:t xml:space="preserve">                                                                   </w:t>
            </w:r>
          </w:p>
          <w:p w14:paraId="2B984B5B">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(22)M代码设置功能：对不少于999个M代码进行设置以及查找；</w:t>
            </w:r>
          </w:p>
          <w:p w14:paraId="43AA7654">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(23)PLC开关设置功能：含有设定有效开关，对PLC地址位进行ON和OFF设置；</w:t>
            </w:r>
          </w:p>
          <w:p w14:paraId="30C976E9">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(24)通讯设定功能：可对本地、共享盘、FTP、云盘进行网络通讯参数设置，具有网络连接、网络断开以及网络PING功能；</w:t>
            </w:r>
          </w:p>
          <w:p w14:paraId="4152F51C">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(25)个性化设定功能：</w:t>
            </w:r>
          </w:p>
          <w:p w14:paraId="17B1B998">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①语言设定：中文、english、russia；</w:t>
            </w:r>
          </w:p>
          <w:p w14:paraId="135CD635">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②分辨率设置：800*60</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1024*76</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1280*1024；</w:t>
            </w:r>
          </w:p>
          <w:p w14:paraId="0BD2CCC5">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③皮肤设置：蓝色皮肤、灰色皮肤、黑色皮肤、绿色皮肤；</w:t>
            </w:r>
          </w:p>
          <w:p w14:paraId="006B9193">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④载入LOGO设置：可载入自定义开机LOGO；</w:t>
            </w:r>
          </w:p>
          <w:p w14:paraId="7F6D3C4A">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⑤菜单排序设置：用户可根据个人操作习惯自定义菜单栏排序；</w:t>
            </w:r>
          </w:p>
          <w:p w14:paraId="0180DAEB">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(26)闭环切换功能；</w:t>
            </w:r>
          </w:p>
          <w:p w14:paraId="00D758C9">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(27)空间补偿功能；</w:t>
            </w:r>
          </w:p>
          <w:p w14:paraId="75FDA319">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(28)工艺包功能：具有从系统盘、U盘、用户盘以及网盘对工艺包进行载入、备份以及重命名功能；</w:t>
            </w:r>
          </w:p>
          <w:p w14:paraId="101B4456">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(29)加工匀顺功能：快速有效地对加工轨迹中的缺陷处进行平滑光顺，提升速度及加速度平顺性，获得更优的加工表面质量；</w:t>
            </w:r>
          </w:p>
          <w:p w14:paraId="70DF90DC">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(30)示教编程功能：具有插入、快速定位、插补直线、三点圆模式、半径圆模式、进给速度、删除行以及窗口切换功能；</w:t>
            </w:r>
          </w:p>
          <w:p w14:paraId="401751C6">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(31)辅助编程功能：</w:t>
            </w:r>
          </w:p>
          <w:p w14:paraId="3A0ED2A7">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①插入循环：程序头能选择加工平面、坐标系、编程方式等参数；</w:t>
            </w:r>
          </w:p>
          <w:p w14:paraId="6519A973">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②钻削具备不少于15种指令选择和参数设置；</w:t>
            </w:r>
          </w:p>
          <w:p w14:paraId="0B753C5A">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③复合钻削具备不少于12种指令选择和参数设置；</w:t>
            </w:r>
          </w:p>
          <w:p w14:paraId="04B0FC79">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④平面铣槽具备不少于8种指令选择和参数设置；</w:t>
            </w:r>
          </w:p>
          <w:p w14:paraId="557446E1">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⑤设置完成后能直接输出NC。</w:t>
            </w:r>
          </w:p>
          <w:p w14:paraId="46335F63">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四、提供数控车铣加工职业技能等级标准考核案例不少于5个。 </w:t>
            </w:r>
          </w:p>
          <w:p w14:paraId="455435D5">
            <w:pPr>
              <w:keepNext w:val="0"/>
              <w:keepLines w:val="0"/>
              <w:pageBreakBefore w:val="0"/>
              <w:widowControl/>
              <w:kinsoku/>
              <w:wordWrap/>
              <w:overflowPunct/>
              <w:topLinePunct w:val="0"/>
              <w:autoSpaceDE/>
              <w:autoSpaceDN/>
              <w:bidi w:val="0"/>
              <w:adjustRightInd/>
              <w:snapToGrid/>
              <w:spacing w:line="440" w:lineRule="exact"/>
              <w:ind w:firstLine="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五、配套多轴软件教学资源（微课视频+PPT）。</w:t>
            </w:r>
          </w:p>
          <w:p w14:paraId="5CCBC94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六、机床改造升级，某些要求以现场实际定制。</w:t>
            </w:r>
          </w:p>
        </w:tc>
        <w:tc>
          <w:tcPr>
            <w:tcW w:w="505" w:type="dxa"/>
            <w:noWrap w:val="0"/>
            <w:vAlign w:val="center"/>
          </w:tcPr>
          <w:p w14:paraId="75C7A6DD">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24BDFC1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7A77252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6049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7AEBF404">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2.3</w:t>
            </w:r>
          </w:p>
        </w:tc>
        <w:tc>
          <w:tcPr>
            <w:tcW w:w="1239" w:type="dxa"/>
            <w:noWrap w:val="0"/>
            <w:vAlign w:val="center"/>
          </w:tcPr>
          <w:p w14:paraId="1292D16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普通车床挡板</w:t>
            </w:r>
          </w:p>
        </w:tc>
        <w:tc>
          <w:tcPr>
            <w:tcW w:w="6390" w:type="dxa"/>
            <w:gridSpan w:val="2"/>
            <w:noWrap w:val="0"/>
            <w:vAlign w:val="center"/>
          </w:tcPr>
          <w:p w14:paraId="6F0B2FD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采用不锈钢材料，厚度是</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MM</w:t>
            </w:r>
            <w:r>
              <w:rPr>
                <w:rFonts w:hint="eastAsia" w:ascii="宋体" w:hAnsi="宋体" w:cs="宋体"/>
                <w:b w:val="0"/>
                <w:bCs w:val="0"/>
                <w:color w:val="auto"/>
                <w:sz w:val="21"/>
                <w:szCs w:val="21"/>
                <w:highlight w:val="none"/>
                <w:lang w:val="en-US" w:eastAsia="zh-CN"/>
              </w:rPr>
              <w:t>以上</w:t>
            </w:r>
            <w:r>
              <w:rPr>
                <w:rFonts w:hint="eastAsia" w:ascii="宋体" w:hAnsi="宋体" w:eastAsia="宋体" w:cs="宋体"/>
                <w:b w:val="0"/>
                <w:bCs w:val="0"/>
                <w:color w:val="auto"/>
                <w:sz w:val="21"/>
                <w:szCs w:val="21"/>
                <w:highlight w:val="none"/>
                <w:lang w:val="en-US" w:eastAsia="zh-CN"/>
              </w:rPr>
              <w:t>.长1.2米*0.8米（具体尺寸以现场机床定制为准）</w:t>
            </w:r>
          </w:p>
        </w:tc>
        <w:tc>
          <w:tcPr>
            <w:tcW w:w="505" w:type="dxa"/>
            <w:noWrap w:val="0"/>
            <w:vAlign w:val="center"/>
          </w:tcPr>
          <w:p w14:paraId="512B5740">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w:t>
            </w:r>
          </w:p>
        </w:tc>
        <w:tc>
          <w:tcPr>
            <w:tcW w:w="478" w:type="dxa"/>
            <w:noWrap w:val="0"/>
            <w:vAlign w:val="center"/>
          </w:tcPr>
          <w:p w14:paraId="731905A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台</w:t>
            </w:r>
          </w:p>
        </w:tc>
        <w:tc>
          <w:tcPr>
            <w:tcW w:w="718" w:type="dxa"/>
            <w:noWrap w:val="0"/>
            <w:vAlign w:val="center"/>
          </w:tcPr>
          <w:p w14:paraId="402A46D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工业</w:t>
            </w:r>
          </w:p>
        </w:tc>
      </w:tr>
      <w:tr w14:paraId="2A7E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5" w:hRule="atLeast"/>
          <w:jc w:val="center"/>
        </w:trPr>
        <w:tc>
          <w:tcPr>
            <w:tcW w:w="546" w:type="dxa"/>
            <w:noWrap w:val="0"/>
            <w:vAlign w:val="center"/>
          </w:tcPr>
          <w:p w14:paraId="04E54216">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w:t>
            </w:r>
          </w:p>
        </w:tc>
        <w:tc>
          <w:tcPr>
            <w:tcW w:w="1239" w:type="dxa"/>
            <w:noWrap w:val="0"/>
            <w:vAlign w:val="center"/>
          </w:tcPr>
          <w:p w14:paraId="6651684E">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i/>
                <w:i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打印机</w:t>
            </w:r>
            <w:r>
              <w:rPr>
                <w:rFonts w:hint="eastAsia" w:ascii="宋体" w:hAnsi="宋体" w:cs="宋体"/>
                <w:b w:val="0"/>
                <w:bCs w:val="0"/>
                <w:color w:val="auto"/>
                <w:sz w:val="21"/>
                <w:szCs w:val="21"/>
                <w:highlight w:val="none"/>
                <w:lang w:val="en-US" w:eastAsia="zh-CN"/>
              </w:rPr>
              <w:t>（多功能一体机）</w:t>
            </w:r>
          </w:p>
        </w:tc>
        <w:tc>
          <w:tcPr>
            <w:tcW w:w="6390" w:type="dxa"/>
            <w:gridSpan w:val="2"/>
            <w:noWrap w:val="0"/>
            <w:vAlign w:val="center"/>
          </w:tcPr>
          <w:p w14:paraId="60C49D17">
            <w:pPr>
              <w:keepNext w:val="0"/>
              <w:keepLines w:val="0"/>
              <w:pageBreakBefore w:val="0"/>
              <w:widowControl/>
              <w:kinsoku/>
              <w:wordWrap/>
              <w:overflowPunct/>
              <w:topLinePunct w:val="0"/>
              <w:autoSpaceDE/>
              <w:autoSpaceDN/>
              <w:bidi w:val="0"/>
              <w:adjustRightInd/>
              <w:snapToGrid/>
              <w:spacing w:line="440" w:lineRule="exact"/>
              <w:ind w:firstLine="0" w:firstLineChars="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一般特性</w:t>
            </w:r>
          </w:p>
          <w:p w14:paraId="35FAD38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打印引擎:黑白激光</w:t>
            </w:r>
          </w:p>
          <w:p w14:paraId="71C0BE4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接口:高速USB2.0</w:t>
            </w:r>
          </w:p>
          <w:p w14:paraId="06B8F0D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内存:128MB</w:t>
            </w:r>
          </w:p>
          <w:p w14:paraId="4C7DCE8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标准纸盒输入量:最多250页</w:t>
            </w:r>
          </w:p>
          <w:p w14:paraId="116521A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自动进稿器ADP:50页</w:t>
            </w:r>
          </w:p>
          <w:p w14:paraId="3DC9189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纸张输出:最多120页</w:t>
            </w:r>
          </w:p>
          <w:p w14:paraId="7D97D2F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介质类型:标准纸盒:普通纸、薄纸、再生纸;进纸托板:普通纸、薄纸、厚纸、再生纸、标签纸、信封</w:t>
            </w:r>
          </w:p>
          <w:p w14:paraId="69AC944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介质尺寸:A4。 Letter,B5(JIS)，A5, A5 (长边)， A6，utive, 16K(195x270mm/</w:t>
            </w:r>
          </w:p>
          <w:p w14:paraId="3CF0ACE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eastAsia="zh-CN"/>
              </w:rPr>
              <w:t>液晶显示:标配2行中/英文液晶显示</w:t>
            </w:r>
          </w:p>
          <w:p w14:paraId="003B077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操作系统:Windows:Windows 7 SP1,8. 8.1,10:</w:t>
            </w:r>
          </w:p>
          <w:p w14:paraId="367AEEA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Macintosh:mac0S v10.10.5, 10.11.x。 10.12.x(仅下载):</w:t>
            </w:r>
          </w:p>
          <w:p w14:paraId="4B2C591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Linux:CUPS.LPD/LPRng(x86/x64环境</w:t>
            </w:r>
          </w:p>
          <w:p w14:paraId="7409BB1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eastAsia="zh-CN"/>
              </w:rPr>
              <w:t>安全锁功能:支持</w:t>
            </w:r>
          </w:p>
          <w:p w14:paraId="5A4F70F8">
            <w:pPr>
              <w:keepNext w:val="0"/>
              <w:keepLines w:val="0"/>
              <w:pageBreakBefore w:val="0"/>
              <w:widowControl/>
              <w:kinsoku/>
              <w:wordWrap/>
              <w:overflowPunct/>
              <w:topLinePunct w:val="0"/>
              <w:autoSpaceDE/>
              <w:autoSpaceDN/>
              <w:bidi w:val="0"/>
              <w:adjustRightInd/>
              <w:snapToGrid/>
              <w:spacing w:line="440" w:lineRule="exact"/>
              <w:ind w:firstLine="0" w:firstLineChars="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复印参数</w:t>
            </w:r>
          </w:p>
          <w:p w14:paraId="6FDDB4D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复印幅面:A4</w:t>
            </w:r>
          </w:p>
          <w:p w14:paraId="283C32F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复印速度:34ppm</w:t>
            </w:r>
          </w:p>
          <w:p w14:paraId="53D1C1B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分辨率:600x600dpi</w:t>
            </w:r>
          </w:p>
          <w:p w14:paraId="57A0B77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放大缩小复印:25%-400%(最小调整为1%)</w:t>
            </w:r>
          </w:p>
          <w:p w14:paraId="2D158A6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N合1复印:支持</w:t>
            </w:r>
          </w:p>
          <w:p w14:paraId="43A52C12">
            <w:pPr>
              <w:keepNext w:val="0"/>
              <w:keepLines w:val="0"/>
              <w:pageBreakBefore w:val="0"/>
              <w:widowControl/>
              <w:kinsoku/>
              <w:wordWrap/>
              <w:overflowPunct/>
              <w:topLinePunct w:val="0"/>
              <w:autoSpaceDE/>
              <w:autoSpaceDN/>
              <w:bidi w:val="0"/>
              <w:adjustRightInd/>
              <w:snapToGrid/>
              <w:spacing w:line="440" w:lineRule="exact"/>
              <w:ind w:firstLine="0" w:firstLineChars="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扫描参数</w:t>
            </w:r>
          </w:p>
          <w:p w14:paraId="38FFB39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扫描分辨率(光学):高达1200x 1200 dpi</w:t>
            </w:r>
          </w:p>
          <w:p w14:paraId="18D1408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扫描分辨率(插值):高达19200x19200 dpi</w:t>
            </w:r>
          </w:p>
          <w:p w14:paraId="6727951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灰度等级:10位输入/8位输出</w:t>
            </w:r>
          </w:p>
          <w:p w14:paraId="257F107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色深:30位输入/24位输出</w:t>
            </w:r>
          </w:p>
          <w:p w14:paraId="5A38489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打印参数</w:t>
            </w:r>
          </w:p>
          <w:p w14:paraId="71E8257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打印速度:34ppm</w:t>
            </w:r>
          </w:p>
          <w:p w14:paraId="5D03D9A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自动双面打印速度:16面/分钟</w:t>
            </w:r>
          </w:p>
          <w:p w14:paraId="2098622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首页打印输出时间:少于8.5秒</w:t>
            </w:r>
          </w:p>
          <w:p w14:paraId="0D45282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分辨率:高达1200 x1200dpi，HQ1200(2400x 600dpi)</w:t>
            </w:r>
          </w:p>
          <w:p w14:paraId="222E50C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打印仿真语言:PCL6, BR-Script3, PDF Version 1.7</w:t>
            </w:r>
          </w:p>
          <w:p w14:paraId="108E1986">
            <w:pPr>
              <w:keepNext w:val="0"/>
              <w:keepLines w:val="0"/>
              <w:pageBreakBefore w:val="0"/>
              <w:widowControl/>
              <w:kinsoku/>
              <w:wordWrap/>
              <w:overflowPunct/>
              <w:topLinePunct w:val="0"/>
              <w:autoSpaceDE/>
              <w:autoSpaceDN/>
              <w:bidi w:val="0"/>
              <w:adjustRightInd/>
              <w:snapToGrid/>
              <w:spacing w:line="440" w:lineRule="exact"/>
              <w:ind w:firstLine="0" w:firstLineChars="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其他参数</w:t>
            </w:r>
          </w:p>
          <w:p w14:paraId="44D847B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尺寸和重量:410x398.5x 318.5 mm/10.9 kg</w:t>
            </w:r>
          </w:p>
          <w:p w14:paraId="18F6314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耗电量:打印/待机/深度待机:475瓦/42瓦/0.9瓦</w:t>
            </w:r>
          </w:p>
          <w:p w14:paraId="3C7151F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噪音等级:打印模式:LpAm=49 dB(A):待机模式:LpAm =30 dB(A)</w:t>
            </w:r>
          </w:p>
          <w:p w14:paraId="6834CA3C">
            <w:pPr>
              <w:keepNext w:val="0"/>
              <w:keepLines w:val="0"/>
              <w:pageBreakBefore w:val="0"/>
              <w:widowControl/>
              <w:kinsoku/>
              <w:wordWrap/>
              <w:overflowPunct/>
              <w:topLinePunct w:val="0"/>
              <w:autoSpaceDE/>
              <w:autoSpaceDN/>
              <w:bidi w:val="0"/>
              <w:adjustRightInd/>
              <w:snapToGrid/>
              <w:spacing w:line="440" w:lineRule="exact"/>
              <w:ind w:firstLine="0" w:firstLineChar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无需更换芯片调整打印次数</w:t>
            </w:r>
          </w:p>
        </w:tc>
        <w:tc>
          <w:tcPr>
            <w:tcW w:w="505" w:type="dxa"/>
            <w:noWrap w:val="0"/>
            <w:vAlign w:val="center"/>
          </w:tcPr>
          <w:p w14:paraId="626F2CBF">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2301888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588DBB3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3EAD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2DBD74FA">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2.5</w:t>
            </w:r>
          </w:p>
        </w:tc>
        <w:tc>
          <w:tcPr>
            <w:tcW w:w="1239" w:type="dxa"/>
            <w:noWrap w:val="0"/>
            <w:vAlign w:val="center"/>
          </w:tcPr>
          <w:p w14:paraId="4DC2979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i/>
                <w:iCs/>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空调</w:t>
            </w:r>
          </w:p>
        </w:tc>
        <w:tc>
          <w:tcPr>
            <w:tcW w:w="6390" w:type="dxa"/>
            <w:gridSpan w:val="2"/>
            <w:noWrap w:val="0"/>
            <w:vAlign w:val="top"/>
          </w:tcPr>
          <w:p w14:paraId="3DB9A6D5">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为保证产品质量服务与稳定性，要求必须品牌整机：</w:t>
            </w:r>
          </w:p>
          <w:p w14:paraId="5E70035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规格：3匹冷暖变频柜式空调</w:t>
            </w:r>
          </w:p>
          <w:p w14:paraId="3FBBE09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能效等级：2级</w:t>
            </w:r>
          </w:p>
          <w:p w14:paraId="53B2F801">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能效比：3.39</w:t>
            </w:r>
          </w:p>
          <w:p w14:paraId="7FE0341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额定制冷量：7350W</w:t>
            </w:r>
          </w:p>
          <w:p w14:paraId="6C4D40E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额定制热量：8200W</w:t>
            </w:r>
          </w:p>
          <w:p w14:paraId="349DDF9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6.</w:t>
            </w:r>
            <w:r>
              <w:rPr>
                <w:rFonts w:hint="eastAsia" w:ascii="宋体" w:hAnsi="宋体" w:eastAsia="宋体" w:cs="宋体"/>
                <w:color w:val="auto"/>
                <w:sz w:val="21"/>
                <w:szCs w:val="21"/>
                <w:highlight w:val="none"/>
              </w:rPr>
              <w:t>额定制冷功率：2170W</w:t>
            </w:r>
          </w:p>
          <w:p w14:paraId="0AE37CFB">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额定制热功率：2240W</w:t>
            </w:r>
          </w:p>
          <w:p w14:paraId="3AB4CCA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8.</w:t>
            </w:r>
            <w:r>
              <w:rPr>
                <w:rFonts w:hint="eastAsia" w:ascii="宋体" w:hAnsi="宋体" w:eastAsia="宋体" w:cs="宋体"/>
                <w:color w:val="auto"/>
                <w:sz w:val="21"/>
                <w:szCs w:val="21"/>
                <w:highlight w:val="none"/>
              </w:rPr>
              <w:t>外机噪音：dB(A)56</w:t>
            </w:r>
          </w:p>
          <w:p w14:paraId="442AF104">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9.</w:t>
            </w:r>
            <w:r>
              <w:rPr>
                <w:rFonts w:hint="eastAsia" w:ascii="宋体" w:hAnsi="宋体" w:eastAsia="宋体" w:cs="宋体"/>
                <w:color w:val="auto"/>
                <w:sz w:val="21"/>
                <w:szCs w:val="21"/>
                <w:highlight w:val="none"/>
              </w:rPr>
              <w:t>内机噪音dB(A)：41.5-45.5</w:t>
            </w:r>
          </w:p>
          <w:p w14:paraId="129F8C5A">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0.</w:t>
            </w:r>
            <w:r>
              <w:rPr>
                <w:rFonts w:hint="eastAsia" w:ascii="宋体" w:hAnsi="宋体" w:eastAsia="宋体" w:cs="宋体"/>
                <w:color w:val="auto"/>
                <w:sz w:val="21"/>
                <w:szCs w:val="21"/>
                <w:highlight w:val="none"/>
              </w:rPr>
              <w:t>电源（V/Hz）：220/50</w:t>
            </w:r>
          </w:p>
          <w:p w14:paraId="351E6538">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标配4米铜管</w:t>
            </w:r>
          </w:p>
          <w:p w14:paraId="393932A8">
            <w:pPr>
              <w:pStyle w:val="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olor w:val="auto"/>
                <w:lang w:val="en-US" w:eastAsia="zh-CN"/>
              </w:rPr>
              <w:t>12.提供产品节能认证证书，加盖供应商公章。</w:t>
            </w:r>
          </w:p>
        </w:tc>
        <w:tc>
          <w:tcPr>
            <w:tcW w:w="505" w:type="dxa"/>
            <w:noWrap w:val="0"/>
            <w:vAlign w:val="center"/>
          </w:tcPr>
          <w:p w14:paraId="571D8DC4">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26A9A5A6">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3773473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2F3D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6" w:type="dxa"/>
            <w:gridSpan w:val="7"/>
            <w:noWrap w:val="0"/>
            <w:vAlign w:val="center"/>
          </w:tcPr>
          <w:p w14:paraId="3B87F75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焊接实训室</w:t>
            </w:r>
          </w:p>
        </w:tc>
      </w:tr>
      <w:tr w14:paraId="2378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0B19655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highlight w:val="none"/>
                <w:lang w:val="en-US" w:eastAsia="zh-CN"/>
              </w:rPr>
              <w:t>3.1</w:t>
            </w:r>
          </w:p>
        </w:tc>
        <w:tc>
          <w:tcPr>
            <w:tcW w:w="1239" w:type="dxa"/>
            <w:noWrap w:val="0"/>
            <w:vAlign w:val="center"/>
          </w:tcPr>
          <w:p w14:paraId="4DFC692E">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bidi="ar"/>
              </w:rPr>
              <w:t>基建</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文化建设</w:t>
            </w:r>
          </w:p>
        </w:tc>
        <w:tc>
          <w:tcPr>
            <w:tcW w:w="6390" w:type="dxa"/>
            <w:gridSpan w:val="2"/>
            <w:noWrap w:val="0"/>
            <w:vAlign w:val="center"/>
          </w:tcPr>
          <w:p w14:paraId="053AB99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1.基建：建造砖混结构电焊实训室一间，面积约117平方米，根据业主设计施工图建设，工程造价最终以有资质的审计机构审计为准。</w:t>
            </w:r>
          </w:p>
          <w:p w14:paraId="70C007A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2.地板采用混泥土打平，过沙浆水泥油。</w:t>
            </w:r>
          </w:p>
          <w:p w14:paraId="5EE09D3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3.室内通道采用绿色环氧地坪漆，并区分工作区区域线。</w:t>
            </w:r>
          </w:p>
          <w:p w14:paraId="2EA2EF2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4.水电：水、电铺设路线根据业主设计安装（包含从水、电源接通）。</w:t>
            </w:r>
          </w:p>
          <w:p w14:paraId="5C5BCF7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5.墙壁刷1.2米高的灰色环氧漆或墙砖。</w:t>
            </w:r>
          </w:p>
          <w:p w14:paraId="326275B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6.需完成室内照明、风扇、插座等布线。</w:t>
            </w:r>
          </w:p>
          <w:p w14:paraId="0DCC84D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①照明灯：数量4盏投光灯，功率100w。</w:t>
            </w:r>
          </w:p>
          <w:p w14:paraId="3F519D8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②风扇：数量6台牛角扇，功率250W。</w:t>
            </w:r>
          </w:p>
          <w:p w14:paraId="7A487D1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7.采用隔板隔开4个普通电焊工位，尺寸：2.5米*2.5米*2米（具体要求和业主方商定）。</w:t>
            </w:r>
          </w:p>
          <w:p w14:paraId="0771E69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8.文化建设，根据业主要求做。</w:t>
            </w:r>
          </w:p>
          <w:p w14:paraId="3144679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SA"/>
              </w:rPr>
              <w:t xml:space="preserve"> 以上由供货商负责并安装。</w:t>
            </w:r>
          </w:p>
        </w:tc>
        <w:tc>
          <w:tcPr>
            <w:tcW w:w="505" w:type="dxa"/>
            <w:noWrap w:val="0"/>
            <w:vAlign w:val="center"/>
          </w:tcPr>
          <w:p w14:paraId="66FCC92B">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478" w:type="dxa"/>
            <w:noWrap w:val="0"/>
            <w:vAlign w:val="center"/>
          </w:tcPr>
          <w:p w14:paraId="387AA0D6">
            <w:pPr>
              <w:keepNext w:val="0"/>
              <w:keepLines w:val="0"/>
              <w:pageBreakBefore w:val="0"/>
              <w:kinsoku/>
              <w:wordWrap/>
              <w:overflowPunct/>
              <w:topLinePunct w:val="0"/>
              <w:autoSpaceDE/>
              <w:autoSpaceDN/>
              <w:bidi w:val="0"/>
              <w:adjustRightInd/>
              <w:snapToGrid/>
              <w:spacing w:line="440" w:lineRule="exact"/>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间</w:t>
            </w:r>
          </w:p>
        </w:tc>
        <w:tc>
          <w:tcPr>
            <w:tcW w:w="718" w:type="dxa"/>
            <w:noWrap w:val="0"/>
            <w:vAlign w:val="center"/>
          </w:tcPr>
          <w:p w14:paraId="373AAD14">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14:paraId="754B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00630CE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3.2</w:t>
            </w:r>
          </w:p>
        </w:tc>
        <w:tc>
          <w:tcPr>
            <w:tcW w:w="1239" w:type="dxa"/>
            <w:noWrap w:val="0"/>
            <w:vAlign w:val="center"/>
          </w:tcPr>
          <w:p w14:paraId="1549AFFB">
            <w:pPr>
              <w:keepNext w:val="0"/>
              <w:keepLines w:val="0"/>
              <w:pageBreakBefore w:val="0"/>
              <w:widowControl/>
              <w:tabs>
                <w:tab w:val="left" w:pos="371"/>
              </w:tabs>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bidi="ar"/>
              </w:rPr>
              <w:t>教学任务开展</w:t>
            </w:r>
            <w:r>
              <w:rPr>
                <w:rFonts w:hint="eastAsia" w:ascii="宋体" w:hAnsi="宋体" w:eastAsia="宋体" w:cs="宋体"/>
                <w:b w:val="0"/>
                <w:bCs w:val="0"/>
                <w:color w:val="auto"/>
                <w:kern w:val="0"/>
                <w:sz w:val="21"/>
                <w:szCs w:val="21"/>
                <w:highlight w:val="none"/>
                <w:lang w:val="en-US" w:eastAsia="zh-CN" w:bidi="ar"/>
              </w:rPr>
              <w:t>耗材</w:t>
            </w:r>
          </w:p>
        </w:tc>
        <w:tc>
          <w:tcPr>
            <w:tcW w:w="6390" w:type="dxa"/>
            <w:gridSpan w:val="2"/>
            <w:noWrap w:val="0"/>
            <w:vAlign w:val="center"/>
          </w:tcPr>
          <w:p w14:paraId="4A15E8B0">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1.氩气瓶：数量3个，容量40L。</w:t>
            </w:r>
          </w:p>
          <w:p w14:paraId="42101E95">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rPr>
                <w:rFonts w:hint="default" w:ascii="宋体" w:hAnsi="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2.气瓶活动架：根据气瓶尺寸现场定制，数量8个。</w:t>
            </w:r>
          </w:p>
          <w:p w14:paraId="6793E725">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rPr>
                <w:rFonts w:hint="eastAsia" w:ascii="宋体" w:hAnsi="宋体" w:eastAsia="宋体" w:cs="宋体"/>
                <w:color w:val="auto"/>
                <w:sz w:val="21"/>
                <w:szCs w:val="21"/>
                <w:highlight w:val="none"/>
              </w:rPr>
            </w:pPr>
            <w:r>
              <w:rPr>
                <w:rFonts w:hint="eastAsia" w:ascii="宋体" w:hAnsi="宋体" w:cs="宋体"/>
                <w:b w:val="0"/>
                <w:bCs w:val="0"/>
                <w:color w:val="auto"/>
                <w:kern w:val="0"/>
                <w:sz w:val="21"/>
                <w:szCs w:val="21"/>
                <w:highlight w:val="none"/>
                <w:lang w:val="en-US" w:eastAsia="zh-CN"/>
              </w:rPr>
              <w:t>3.货架:用角铁焊做的货架并油漆，数量2个。尺寸、层数（根据现场要求定制）。</w:t>
            </w:r>
          </w:p>
        </w:tc>
        <w:tc>
          <w:tcPr>
            <w:tcW w:w="505" w:type="dxa"/>
            <w:noWrap w:val="0"/>
            <w:vAlign w:val="center"/>
          </w:tcPr>
          <w:p w14:paraId="21444A1B">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478" w:type="dxa"/>
            <w:noWrap w:val="0"/>
            <w:vAlign w:val="center"/>
          </w:tcPr>
          <w:p w14:paraId="4BB92F87">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highlight w:val="none"/>
                <w:vertAlign w:val="baseline"/>
                <w:lang w:val="en-US" w:eastAsia="zh-CN"/>
              </w:rPr>
            </w:pPr>
          </w:p>
        </w:tc>
        <w:tc>
          <w:tcPr>
            <w:tcW w:w="718" w:type="dxa"/>
            <w:noWrap w:val="0"/>
            <w:vAlign w:val="center"/>
          </w:tcPr>
          <w:p w14:paraId="1DBFA4D6">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768C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4BF42D6B">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3.3</w:t>
            </w:r>
          </w:p>
        </w:tc>
        <w:tc>
          <w:tcPr>
            <w:tcW w:w="1239" w:type="dxa"/>
            <w:noWrap w:val="0"/>
            <w:vAlign w:val="center"/>
          </w:tcPr>
          <w:p w14:paraId="0C0323C8">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烟尘净化系统</w:t>
            </w:r>
          </w:p>
        </w:tc>
        <w:tc>
          <w:tcPr>
            <w:tcW w:w="6390" w:type="dxa"/>
            <w:gridSpan w:val="2"/>
            <w:noWrap w:val="0"/>
            <w:vAlign w:val="center"/>
          </w:tcPr>
          <w:p w14:paraId="03410FB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default" w:ascii="宋体" w:hAnsi="宋体" w:cs="宋体"/>
                <w:b w:val="0"/>
                <w:bCs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1.烟尘净化器</w:t>
            </w:r>
            <w:r>
              <w:rPr>
                <w:rFonts w:hint="eastAsia" w:ascii="宋体" w:hAnsi="宋体" w:cs="宋体"/>
                <w:color w:val="auto"/>
                <w:sz w:val="21"/>
                <w:szCs w:val="21"/>
                <w:highlight w:val="none"/>
                <w:lang w:val="en-US" w:eastAsia="zh-CN"/>
              </w:rPr>
              <w:t>，数量1台</w:t>
            </w:r>
          </w:p>
          <w:p w14:paraId="21FE1E6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①</w:t>
            </w:r>
            <w:r>
              <w:rPr>
                <w:rFonts w:hint="eastAsia" w:ascii="宋体" w:hAnsi="宋体" w:eastAsia="宋体" w:cs="宋体"/>
                <w:b w:val="0"/>
                <w:bCs w:val="0"/>
                <w:color w:val="auto"/>
                <w:kern w:val="0"/>
                <w:sz w:val="21"/>
                <w:szCs w:val="21"/>
                <w:highlight w:val="none"/>
                <w:lang w:val="en-US" w:eastAsia="zh-CN" w:bidi="ar-SA"/>
              </w:rPr>
              <w:t>电机功率：22KW</w:t>
            </w:r>
          </w:p>
          <w:p w14:paraId="6084C67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②</w:t>
            </w:r>
            <w:r>
              <w:rPr>
                <w:rFonts w:hint="eastAsia" w:ascii="宋体" w:hAnsi="宋体" w:eastAsia="宋体" w:cs="宋体"/>
                <w:b w:val="0"/>
                <w:bCs w:val="0"/>
                <w:color w:val="auto"/>
                <w:kern w:val="0"/>
                <w:sz w:val="21"/>
                <w:szCs w:val="21"/>
                <w:highlight w:val="none"/>
                <w:lang w:val="en-US" w:eastAsia="zh-CN" w:bidi="ar-SA"/>
              </w:rPr>
              <w:t>滤芯尺寸：200MM*850mm</w:t>
            </w:r>
          </w:p>
          <w:p w14:paraId="2ACB4BD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③机器尺寸：1.5M*1.5M*2.6M</w:t>
            </w:r>
          </w:p>
          <w:p w14:paraId="77FDFBE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④</w:t>
            </w:r>
            <w:r>
              <w:rPr>
                <w:rFonts w:hint="eastAsia" w:ascii="宋体" w:hAnsi="宋体" w:eastAsia="宋体" w:cs="宋体"/>
                <w:b w:val="0"/>
                <w:bCs w:val="0"/>
                <w:color w:val="auto"/>
                <w:kern w:val="0"/>
                <w:sz w:val="21"/>
                <w:szCs w:val="21"/>
                <w:highlight w:val="none"/>
                <w:lang w:val="en-US" w:eastAsia="zh-CN" w:bidi="ar-SA"/>
              </w:rPr>
              <w:t>风量：30000m³/h</w:t>
            </w:r>
          </w:p>
          <w:p w14:paraId="437684D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⑤</w:t>
            </w:r>
            <w:r>
              <w:rPr>
                <w:rFonts w:hint="eastAsia" w:ascii="宋体" w:hAnsi="宋体" w:eastAsia="宋体" w:cs="宋体"/>
                <w:b w:val="0"/>
                <w:bCs w:val="0"/>
                <w:color w:val="auto"/>
                <w:kern w:val="0"/>
                <w:sz w:val="21"/>
                <w:szCs w:val="21"/>
                <w:highlight w:val="none"/>
                <w:lang w:val="en-US" w:eastAsia="zh-CN" w:bidi="ar-SA"/>
              </w:rPr>
              <w:t>吸口：300/400/500</w:t>
            </w:r>
          </w:p>
          <w:p w14:paraId="33FDBFC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⑥</w:t>
            </w:r>
            <w:r>
              <w:rPr>
                <w:rFonts w:hint="eastAsia" w:ascii="宋体" w:hAnsi="宋体" w:eastAsia="宋体" w:cs="宋体"/>
                <w:b w:val="0"/>
                <w:bCs w:val="0"/>
                <w:color w:val="auto"/>
                <w:kern w:val="0"/>
                <w:sz w:val="21"/>
                <w:szCs w:val="21"/>
                <w:highlight w:val="none"/>
                <w:lang w:val="en-US" w:eastAsia="zh-CN" w:bidi="ar-SA"/>
              </w:rPr>
              <w:t>过滤面积：240平方</w:t>
            </w:r>
          </w:p>
          <w:p w14:paraId="7482B4F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⑦</w:t>
            </w:r>
            <w:r>
              <w:rPr>
                <w:rFonts w:hint="eastAsia" w:ascii="宋体" w:hAnsi="宋体" w:eastAsia="宋体" w:cs="宋体"/>
                <w:b w:val="0"/>
                <w:bCs w:val="0"/>
                <w:color w:val="auto"/>
                <w:kern w:val="0"/>
                <w:sz w:val="21"/>
                <w:szCs w:val="21"/>
                <w:highlight w:val="none"/>
                <w:lang w:val="en-US" w:eastAsia="zh-CN" w:bidi="ar-SA"/>
              </w:rPr>
              <w:t>清尘方式：脉冲</w:t>
            </w:r>
          </w:p>
          <w:p w14:paraId="5C525D7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⑧</w:t>
            </w:r>
            <w:r>
              <w:rPr>
                <w:rFonts w:hint="eastAsia" w:ascii="宋体" w:hAnsi="宋体" w:eastAsia="宋体" w:cs="宋体"/>
                <w:b w:val="0"/>
                <w:bCs w:val="0"/>
                <w:color w:val="auto"/>
                <w:kern w:val="0"/>
                <w:sz w:val="21"/>
                <w:szCs w:val="21"/>
                <w:highlight w:val="none"/>
                <w:lang w:val="en-US" w:eastAsia="zh-CN" w:bidi="ar-SA"/>
              </w:rPr>
              <w:t>电压：380V</w:t>
            </w:r>
          </w:p>
          <w:p w14:paraId="1863320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⑨</w:t>
            </w:r>
            <w:r>
              <w:rPr>
                <w:rFonts w:hint="eastAsia" w:ascii="宋体" w:hAnsi="宋体" w:eastAsia="宋体" w:cs="宋体"/>
                <w:b w:val="0"/>
                <w:bCs w:val="0"/>
                <w:color w:val="auto"/>
                <w:kern w:val="0"/>
                <w:sz w:val="21"/>
                <w:szCs w:val="21"/>
                <w:highlight w:val="none"/>
                <w:lang w:val="en-US" w:eastAsia="zh-CN" w:bidi="ar-SA"/>
              </w:rPr>
              <w:t>活性炭箱：1个</w:t>
            </w:r>
          </w:p>
          <w:p w14:paraId="52849D9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微软雅黑" w:hAnsi="微软雅黑" w:eastAsia="微软雅黑" w:cs="微软雅黑"/>
                <w:b w:val="0"/>
                <w:bCs w:val="0"/>
                <w:color w:val="auto"/>
                <w:kern w:val="0"/>
                <w:sz w:val="21"/>
                <w:szCs w:val="21"/>
                <w:highlight w:val="none"/>
                <w:lang w:val="en-US" w:eastAsia="zh-CN" w:bidi="ar-SA"/>
              </w:rPr>
              <w:t>⑩</w:t>
            </w:r>
            <w:r>
              <w:rPr>
                <w:rFonts w:hint="eastAsia" w:ascii="宋体" w:hAnsi="宋体" w:eastAsia="宋体" w:cs="宋体"/>
                <w:b w:val="0"/>
                <w:bCs w:val="0"/>
                <w:color w:val="auto"/>
                <w:kern w:val="0"/>
                <w:sz w:val="21"/>
                <w:szCs w:val="21"/>
                <w:highlight w:val="none"/>
                <w:lang w:val="en-US" w:eastAsia="zh-CN" w:bidi="ar-SA"/>
              </w:rPr>
              <w:t>消音器：1个</w:t>
            </w:r>
          </w:p>
          <w:p w14:paraId="06B665F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微软雅黑" w:hAnsi="微软雅黑" w:eastAsia="微软雅黑" w:cs="微软雅黑"/>
                <w:b w:val="0"/>
                <w:bCs w:val="0"/>
                <w:color w:val="auto"/>
                <w:kern w:val="0"/>
                <w:sz w:val="21"/>
                <w:szCs w:val="21"/>
                <w:highlight w:val="none"/>
                <w:lang w:val="en-US" w:eastAsia="zh-CN" w:bidi="ar-SA"/>
              </w:rPr>
              <w:t>⑪</w:t>
            </w:r>
            <w:r>
              <w:rPr>
                <w:rFonts w:hint="eastAsia" w:ascii="宋体" w:hAnsi="宋体" w:eastAsia="宋体" w:cs="宋体"/>
                <w:b w:val="0"/>
                <w:bCs w:val="0"/>
                <w:color w:val="auto"/>
                <w:kern w:val="0"/>
                <w:sz w:val="21"/>
                <w:szCs w:val="21"/>
                <w:highlight w:val="none"/>
                <w:lang w:val="en-US" w:eastAsia="zh-CN" w:bidi="ar-SA"/>
              </w:rPr>
              <w:t>滤芯数量25支</w:t>
            </w:r>
          </w:p>
          <w:p w14:paraId="324F66C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微软雅黑" w:hAnsi="微软雅黑" w:eastAsia="微软雅黑" w:cs="微软雅黑"/>
                <w:b w:val="0"/>
                <w:bCs w:val="0"/>
                <w:color w:val="auto"/>
                <w:kern w:val="0"/>
                <w:sz w:val="21"/>
                <w:szCs w:val="21"/>
                <w:highlight w:val="none"/>
                <w:lang w:val="en-US" w:eastAsia="zh-CN" w:bidi="ar-SA"/>
              </w:rPr>
            </w:pPr>
            <w:r>
              <w:rPr>
                <w:rFonts w:hint="eastAsia" w:ascii="微软雅黑" w:hAnsi="微软雅黑" w:eastAsia="微软雅黑" w:cs="微软雅黑"/>
                <w:b w:val="0"/>
                <w:bCs w:val="0"/>
                <w:color w:val="auto"/>
                <w:kern w:val="0"/>
                <w:sz w:val="21"/>
                <w:szCs w:val="21"/>
                <w:highlight w:val="none"/>
                <w:lang w:val="en-US" w:eastAsia="zh-CN" w:bidi="ar-SA"/>
              </w:rPr>
              <w:t>⑫</w:t>
            </w:r>
            <w:r>
              <w:rPr>
                <w:rFonts w:hint="eastAsia" w:ascii="宋体" w:hAnsi="宋体" w:cs="宋体"/>
                <w:b w:val="0"/>
                <w:bCs w:val="0"/>
                <w:color w:val="auto"/>
                <w:kern w:val="0"/>
                <w:sz w:val="21"/>
                <w:szCs w:val="21"/>
                <w:highlight w:val="none"/>
                <w:lang w:val="en-US" w:eastAsia="zh-CN" w:bidi="ar-SA"/>
              </w:rPr>
              <w:t>需完成30平方排气管道布设，达到除尘净化效果，布局美观合理。</w:t>
            </w:r>
          </w:p>
          <w:p w14:paraId="08686CB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2.轴流风机：</w:t>
            </w:r>
          </w:p>
          <w:p w14:paraId="78E71A2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①数量5台。</w:t>
            </w:r>
          </w:p>
          <w:p w14:paraId="71E1880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②功率1500W。</w:t>
            </w:r>
          </w:p>
          <w:p w14:paraId="65E9246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③尺寸:外径410MM*内径360*桶高330MM。</w:t>
            </w:r>
          </w:p>
          <w:p w14:paraId="111D507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color w:val="auto"/>
                <w:sz w:val="21"/>
                <w:szCs w:val="21"/>
                <w:highlight w:val="none"/>
              </w:rPr>
            </w:pPr>
            <w:r>
              <w:rPr>
                <w:rFonts w:hint="eastAsia" w:ascii="宋体" w:hAnsi="宋体" w:cs="宋体"/>
                <w:b w:val="0"/>
                <w:bCs w:val="0"/>
                <w:color w:val="auto"/>
                <w:kern w:val="0"/>
                <w:sz w:val="21"/>
                <w:szCs w:val="21"/>
                <w:highlight w:val="none"/>
                <w:lang w:val="en-US" w:eastAsia="zh-CN" w:bidi="ar-SA"/>
              </w:rPr>
              <w:t>以上供应商负责安装并调试正常使用</w:t>
            </w:r>
          </w:p>
        </w:tc>
        <w:tc>
          <w:tcPr>
            <w:tcW w:w="505" w:type="dxa"/>
            <w:noWrap w:val="0"/>
            <w:vAlign w:val="center"/>
          </w:tcPr>
          <w:p w14:paraId="7675EC07">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478" w:type="dxa"/>
            <w:noWrap w:val="0"/>
            <w:vAlign w:val="center"/>
          </w:tcPr>
          <w:p w14:paraId="39EDA36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套</w:t>
            </w:r>
          </w:p>
        </w:tc>
        <w:tc>
          <w:tcPr>
            <w:tcW w:w="718" w:type="dxa"/>
            <w:noWrap w:val="0"/>
            <w:vAlign w:val="center"/>
          </w:tcPr>
          <w:p w14:paraId="1EDB114C">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工业</w:t>
            </w:r>
          </w:p>
        </w:tc>
      </w:tr>
      <w:tr w14:paraId="68F0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42EE5AB7">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3.4 </w:t>
            </w:r>
          </w:p>
        </w:tc>
        <w:tc>
          <w:tcPr>
            <w:tcW w:w="1239" w:type="dxa"/>
            <w:noWrap w:val="0"/>
            <w:vAlign w:val="center"/>
          </w:tcPr>
          <w:p w14:paraId="7FCDFD94">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ZX7-400逆变焊机(焊钳焊夹配套)</w:t>
            </w:r>
          </w:p>
        </w:tc>
        <w:tc>
          <w:tcPr>
            <w:tcW w:w="6390" w:type="dxa"/>
            <w:gridSpan w:val="2"/>
            <w:noWrap w:val="0"/>
            <w:vAlign w:val="center"/>
          </w:tcPr>
          <w:p w14:paraId="657C9AE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规格：ZX7-400</w:t>
            </w:r>
          </w:p>
          <w:p w14:paraId="003E293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输入电压：3相380V±15%50~60Hz</w:t>
            </w:r>
          </w:p>
          <w:p w14:paraId="77F71BF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3.</w:t>
            </w:r>
            <w:r>
              <w:rPr>
                <w:rFonts w:hint="eastAsia" w:ascii="宋体" w:hAnsi="宋体" w:eastAsia="宋体" w:cs="宋体"/>
                <w:b w:val="0"/>
                <w:bCs w:val="0"/>
                <w:color w:val="auto"/>
                <w:kern w:val="0"/>
                <w:sz w:val="21"/>
                <w:szCs w:val="21"/>
                <w:highlight w:val="none"/>
                <w:lang w:val="en-US" w:eastAsia="zh-CN" w:bidi="ar-SA"/>
              </w:rPr>
              <w:t>额定输入电流(A)：26</w:t>
            </w:r>
          </w:p>
          <w:p w14:paraId="23196C9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4.</w:t>
            </w:r>
            <w:r>
              <w:rPr>
                <w:rFonts w:hint="eastAsia" w:ascii="宋体" w:hAnsi="宋体" w:eastAsia="宋体" w:cs="宋体"/>
                <w:b w:val="0"/>
                <w:bCs w:val="0"/>
                <w:color w:val="auto"/>
                <w:kern w:val="0"/>
                <w:sz w:val="21"/>
                <w:szCs w:val="21"/>
                <w:highlight w:val="none"/>
                <w:lang w:val="en-US" w:eastAsia="zh-CN" w:bidi="ar-SA"/>
              </w:rPr>
              <w:t>额定输入功率(kw)：14.4</w:t>
            </w:r>
          </w:p>
          <w:p w14:paraId="5AE431A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5.</w:t>
            </w:r>
            <w:r>
              <w:rPr>
                <w:rFonts w:hint="eastAsia" w:ascii="宋体" w:hAnsi="宋体" w:eastAsia="宋体" w:cs="宋体"/>
                <w:b w:val="0"/>
                <w:bCs w:val="0"/>
                <w:color w:val="auto"/>
                <w:kern w:val="0"/>
                <w:sz w:val="21"/>
                <w:szCs w:val="21"/>
                <w:highlight w:val="none"/>
                <w:lang w:val="en-US" w:eastAsia="zh-CN" w:bidi="ar-SA"/>
              </w:rPr>
              <w:t>额定空载电压(V)：76±5%</w:t>
            </w:r>
          </w:p>
          <w:p w14:paraId="301318D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6.</w:t>
            </w:r>
            <w:r>
              <w:rPr>
                <w:rFonts w:hint="eastAsia" w:ascii="宋体" w:hAnsi="宋体" w:eastAsia="宋体" w:cs="宋体"/>
                <w:b w:val="0"/>
                <w:bCs w:val="0"/>
                <w:color w:val="auto"/>
                <w:kern w:val="0"/>
                <w:sz w:val="21"/>
                <w:szCs w:val="21"/>
                <w:highlight w:val="none"/>
                <w:lang w:val="en-US" w:eastAsia="zh-CN" w:bidi="ar-SA"/>
              </w:rPr>
              <w:t>输出电流调节范围(A)：20~400</w:t>
            </w:r>
          </w:p>
          <w:p w14:paraId="18F4A88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7.</w:t>
            </w:r>
            <w:r>
              <w:rPr>
                <w:rFonts w:hint="eastAsia" w:ascii="宋体" w:hAnsi="宋体" w:eastAsia="宋体" w:cs="宋体"/>
                <w:b w:val="0"/>
                <w:bCs w:val="0"/>
                <w:color w:val="auto"/>
                <w:kern w:val="0"/>
                <w:sz w:val="21"/>
                <w:szCs w:val="21"/>
                <w:highlight w:val="none"/>
                <w:lang w:val="en-US" w:eastAsia="zh-CN" w:bidi="ar-SA"/>
              </w:rPr>
              <w:t>推力电流调节范围(A)：0~200</w:t>
            </w:r>
          </w:p>
          <w:p w14:paraId="63479C9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8.</w:t>
            </w:r>
            <w:r>
              <w:rPr>
                <w:rFonts w:hint="eastAsia" w:ascii="宋体" w:hAnsi="宋体" w:eastAsia="宋体" w:cs="宋体"/>
                <w:b w:val="0"/>
                <w:bCs w:val="0"/>
                <w:color w:val="auto"/>
                <w:kern w:val="0"/>
                <w:sz w:val="21"/>
                <w:szCs w:val="21"/>
                <w:highlight w:val="none"/>
                <w:lang w:val="en-US" w:eastAsia="zh-CN" w:bidi="ar-SA"/>
              </w:rPr>
              <w:t>引弧电流调节范围：0~200</w:t>
            </w:r>
          </w:p>
          <w:p w14:paraId="14A2FC8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9.</w:t>
            </w:r>
            <w:r>
              <w:rPr>
                <w:rFonts w:hint="eastAsia" w:ascii="宋体" w:hAnsi="宋体" w:eastAsia="宋体" w:cs="宋体"/>
                <w:b w:val="0"/>
                <w:bCs w:val="0"/>
                <w:color w:val="auto"/>
                <w:kern w:val="0"/>
                <w:sz w:val="21"/>
                <w:szCs w:val="21"/>
                <w:highlight w:val="none"/>
                <w:lang w:val="en-US" w:eastAsia="zh-CN" w:bidi="ar-SA"/>
              </w:rPr>
              <w:t>适用碳棒规格：φ4.0-φ6.0</w:t>
            </w:r>
          </w:p>
          <w:p w14:paraId="1894F0A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10.</w:t>
            </w:r>
            <w:r>
              <w:rPr>
                <w:rFonts w:hint="eastAsia" w:ascii="宋体" w:hAnsi="宋体" w:eastAsia="宋体" w:cs="宋体"/>
                <w:b w:val="0"/>
                <w:bCs w:val="0"/>
                <w:color w:val="auto"/>
                <w:kern w:val="0"/>
                <w:sz w:val="21"/>
                <w:szCs w:val="21"/>
                <w:highlight w:val="none"/>
                <w:lang w:val="en-US" w:eastAsia="zh-CN" w:bidi="ar-SA"/>
              </w:rPr>
              <w:t>额定负载持续率(40℃)：60%</w:t>
            </w:r>
          </w:p>
          <w:p w14:paraId="243CD01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11.</w:t>
            </w:r>
            <w:r>
              <w:rPr>
                <w:rFonts w:hint="eastAsia" w:ascii="宋体" w:hAnsi="宋体" w:eastAsia="宋体" w:cs="宋体"/>
                <w:b w:val="0"/>
                <w:bCs w:val="0"/>
                <w:color w:val="auto"/>
                <w:kern w:val="0"/>
                <w:sz w:val="21"/>
                <w:szCs w:val="21"/>
                <w:highlight w:val="none"/>
                <w:lang w:val="en-US" w:eastAsia="zh-CN" w:bidi="ar-SA"/>
              </w:rPr>
              <w:t>效率：≥85%</w:t>
            </w:r>
          </w:p>
          <w:p w14:paraId="738F8E0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12.</w:t>
            </w:r>
            <w:r>
              <w:rPr>
                <w:rFonts w:hint="eastAsia" w:ascii="宋体" w:hAnsi="宋体" w:eastAsia="宋体" w:cs="宋体"/>
                <w:b w:val="0"/>
                <w:bCs w:val="0"/>
                <w:color w:val="auto"/>
                <w:kern w:val="0"/>
                <w:sz w:val="21"/>
                <w:szCs w:val="21"/>
                <w:highlight w:val="none"/>
                <w:lang w:val="en-US" w:eastAsia="zh-CN" w:bidi="ar-SA"/>
              </w:rPr>
              <w:t>功率因数：0.93</w:t>
            </w:r>
          </w:p>
          <w:p w14:paraId="5801C11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13.</w:t>
            </w:r>
            <w:r>
              <w:rPr>
                <w:rFonts w:hint="eastAsia" w:ascii="宋体" w:hAnsi="宋体" w:eastAsia="宋体" w:cs="宋体"/>
                <w:b w:val="0"/>
                <w:bCs w:val="0"/>
                <w:color w:val="auto"/>
                <w:kern w:val="0"/>
                <w:sz w:val="21"/>
                <w:szCs w:val="21"/>
                <w:highlight w:val="none"/>
                <w:lang w:val="en-US" w:eastAsia="zh-CN" w:bidi="ar-SA"/>
              </w:rPr>
              <w:t>绝缘等级：F</w:t>
            </w:r>
          </w:p>
          <w:p w14:paraId="0EA6D0B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14.</w:t>
            </w:r>
            <w:r>
              <w:rPr>
                <w:rFonts w:hint="eastAsia" w:ascii="宋体" w:hAnsi="宋体" w:eastAsia="宋体" w:cs="宋体"/>
                <w:b w:val="0"/>
                <w:bCs w:val="0"/>
                <w:color w:val="auto"/>
                <w:kern w:val="0"/>
                <w:sz w:val="21"/>
                <w:szCs w:val="21"/>
                <w:highlight w:val="none"/>
                <w:lang w:val="en-US" w:eastAsia="zh-CN" w:bidi="ar-SA"/>
              </w:rPr>
              <w:t>外壳防护等级：IP23S</w:t>
            </w:r>
          </w:p>
          <w:p w14:paraId="39693CA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15.</w:t>
            </w:r>
            <w:r>
              <w:rPr>
                <w:rFonts w:hint="eastAsia" w:ascii="宋体" w:hAnsi="宋体" w:eastAsia="宋体" w:cs="宋体"/>
                <w:b w:val="0"/>
                <w:bCs w:val="0"/>
                <w:color w:val="auto"/>
                <w:kern w:val="0"/>
                <w:sz w:val="21"/>
                <w:szCs w:val="21"/>
                <w:highlight w:val="none"/>
                <w:lang w:val="en-US" w:eastAsia="zh-CN" w:bidi="ar-SA"/>
              </w:rPr>
              <w:t>冷却方式：风冷</w:t>
            </w:r>
          </w:p>
          <w:p w14:paraId="75521C3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16.</w:t>
            </w:r>
            <w:r>
              <w:rPr>
                <w:rFonts w:hint="eastAsia" w:ascii="宋体" w:hAnsi="宋体" w:eastAsia="宋体" w:cs="宋体"/>
                <w:b w:val="0"/>
                <w:bCs w:val="0"/>
                <w:color w:val="auto"/>
                <w:kern w:val="0"/>
                <w:sz w:val="21"/>
                <w:szCs w:val="21"/>
                <w:highlight w:val="none"/>
                <w:lang w:val="en-US" w:eastAsia="zh-CN" w:bidi="ar-SA"/>
              </w:rPr>
              <w:t>外形尺寸(mm)：560×300×530</w:t>
            </w:r>
          </w:p>
          <w:p w14:paraId="5E762E8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17.</w:t>
            </w:r>
            <w:r>
              <w:rPr>
                <w:rFonts w:hint="eastAsia" w:ascii="宋体" w:hAnsi="宋体" w:eastAsia="宋体" w:cs="宋体"/>
                <w:b w:val="0"/>
                <w:bCs w:val="0"/>
                <w:color w:val="auto"/>
                <w:kern w:val="0"/>
                <w:sz w:val="21"/>
                <w:szCs w:val="21"/>
                <w:highlight w:val="none"/>
                <w:lang w:val="en-US" w:eastAsia="zh-CN" w:bidi="ar-SA"/>
              </w:rPr>
              <w:t>重量(Kg)：33</w:t>
            </w:r>
          </w:p>
        </w:tc>
        <w:tc>
          <w:tcPr>
            <w:tcW w:w="505" w:type="dxa"/>
            <w:noWrap w:val="0"/>
            <w:vAlign w:val="center"/>
          </w:tcPr>
          <w:p w14:paraId="5636569A">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478" w:type="dxa"/>
            <w:noWrap w:val="0"/>
            <w:vAlign w:val="center"/>
          </w:tcPr>
          <w:p w14:paraId="4E66E40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5C9D197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1883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443C46C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3.5 </w:t>
            </w:r>
          </w:p>
        </w:tc>
        <w:tc>
          <w:tcPr>
            <w:tcW w:w="1239" w:type="dxa"/>
            <w:noWrap w:val="0"/>
            <w:vAlign w:val="center"/>
          </w:tcPr>
          <w:p w14:paraId="024097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ZX7-400STG逆变式手弧/氩弧焊机（焊枪焊夹配套)</w:t>
            </w:r>
          </w:p>
        </w:tc>
        <w:tc>
          <w:tcPr>
            <w:tcW w:w="6390" w:type="dxa"/>
            <w:gridSpan w:val="2"/>
            <w:noWrap w:val="0"/>
            <w:vAlign w:val="center"/>
          </w:tcPr>
          <w:p w14:paraId="137D583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规  格：ZX7-400STG</w:t>
            </w:r>
          </w:p>
          <w:p w14:paraId="156F376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额定输入电压/频率：三相380v±10%  50Hz</w:t>
            </w:r>
          </w:p>
          <w:p w14:paraId="48274AD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3.</w:t>
            </w:r>
            <w:r>
              <w:rPr>
                <w:rFonts w:hint="eastAsia" w:ascii="宋体" w:hAnsi="宋体" w:eastAsia="宋体" w:cs="宋体"/>
                <w:b w:val="0"/>
                <w:bCs w:val="0"/>
                <w:color w:val="auto"/>
                <w:kern w:val="0"/>
                <w:sz w:val="21"/>
                <w:szCs w:val="21"/>
                <w:highlight w:val="none"/>
                <w:lang w:val="en-US" w:eastAsia="zh-CN" w:bidi="ar-SA"/>
              </w:rPr>
              <w:t>额定输入容量(KVA)：18.4</w:t>
            </w:r>
          </w:p>
          <w:p w14:paraId="1531F92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4.</w:t>
            </w:r>
            <w:r>
              <w:rPr>
                <w:rFonts w:hint="eastAsia" w:ascii="宋体" w:hAnsi="宋体" w:eastAsia="宋体" w:cs="宋体"/>
                <w:b w:val="0"/>
                <w:bCs w:val="0"/>
                <w:color w:val="auto"/>
                <w:kern w:val="0"/>
                <w:sz w:val="21"/>
                <w:szCs w:val="21"/>
                <w:highlight w:val="none"/>
                <w:lang w:val="en-US" w:eastAsia="zh-CN" w:bidi="ar-SA"/>
              </w:rPr>
              <w:t>额定输入电流(A)：28</w:t>
            </w:r>
          </w:p>
          <w:p w14:paraId="5ABFC0D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5.</w:t>
            </w:r>
            <w:r>
              <w:rPr>
                <w:rFonts w:hint="eastAsia" w:ascii="宋体" w:hAnsi="宋体" w:eastAsia="宋体" w:cs="宋体"/>
                <w:b w:val="0"/>
                <w:bCs w:val="0"/>
                <w:color w:val="auto"/>
                <w:kern w:val="0"/>
                <w:sz w:val="21"/>
                <w:szCs w:val="21"/>
                <w:highlight w:val="none"/>
                <w:lang w:val="en-US" w:eastAsia="zh-CN" w:bidi="ar-SA"/>
              </w:rPr>
              <w:t>额定输出电压(V)：36</w:t>
            </w:r>
          </w:p>
          <w:p w14:paraId="51DCE98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6.</w:t>
            </w:r>
            <w:r>
              <w:rPr>
                <w:rFonts w:hint="eastAsia" w:ascii="宋体" w:hAnsi="宋体" w:eastAsia="宋体" w:cs="宋体"/>
                <w:b w:val="0"/>
                <w:bCs w:val="0"/>
                <w:color w:val="auto"/>
                <w:kern w:val="0"/>
                <w:sz w:val="21"/>
                <w:szCs w:val="21"/>
                <w:highlight w:val="none"/>
                <w:lang w:val="en-US" w:eastAsia="zh-CN" w:bidi="ar-SA"/>
              </w:rPr>
              <w:t>额定负载持续率(%)：60</w:t>
            </w:r>
          </w:p>
          <w:p w14:paraId="2A50E97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7.</w:t>
            </w:r>
            <w:r>
              <w:rPr>
                <w:rFonts w:hint="eastAsia" w:ascii="宋体" w:hAnsi="宋体" w:eastAsia="宋体" w:cs="宋体"/>
                <w:b w:val="0"/>
                <w:bCs w:val="0"/>
                <w:color w:val="auto"/>
                <w:kern w:val="0"/>
                <w:sz w:val="21"/>
                <w:szCs w:val="21"/>
                <w:highlight w:val="none"/>
                <w:lang w:val="en-US" w:eastAsia="zh-CN" w:bidi="ar-SA"/>
              </w:rPr>
              <w:t>输出空载电压(V)：71</w:t>
            </w:r>
          </w:p>
          <w:p w14:paraId="5009805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8.</w:t>
            </w:r>
            <w:r>
              <w:rPr>
                <w:rFonts w:hint="eastAsia" w:ascii="宋体" w:hAnsi="宋体" w:eastAsia="宋体" w:cs="宋体"/>
                <w:b w:val="0"/>
                <w:bCs w:val="0"/>
                <w:color w:val="auto"/>
                <w:kern w:val="0"/>
                <w:sz w:val="21"/>
                <w:szCs w:val="21"/>
                <w:highlight w:val="none"/>
                <w:lang w:val="en-US" w:eastAsia="zh-CN" w:bidi="ar-SA"/>
              </w:rPr>
              <w:t>输出电流范围(A)：20～400</w:t>
            </w:r>
          </w:p>
          <w:p w14:paraId="1F7369D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9.</w:t>
            </w:r>
            <w:r>
              <w:rPr>
                <w:rFonts w:hint="eastAsia" w:ascii="宋体" w:hAnsi="宋体" w:eastAsia="宋体" w:cs="宋体"/>
                <w:b w:val="0"/>
                <w:bCs w:val="0"/>
                <w:color w:val="auto"/>
                <w:kern w:val="0"/>
                <w:sz w:val="21"/>
                <w:szCs w:val="21"/>
                <w:highlight w:val="none"/>
                <w:lang w:val="en-US" w:eastAsia="zh-CN" w:bidi="ar-SA"/>
              </w:rPr>
              <w:t>TIG焊引弧方式：STG:接触引弧/高频引弧</w:t>
            </w:r>
          </w:p>
          <w:p w14:paraId="6FBAC6A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10.</w:t>
            </w:r>
            <w:r>
              <w:rPr>
                <w:rFonts w:hint="eastAsia" w:ascii="宋体" w:hAnsi="宋体" w:eastAsia="宋体" w:cs="宋体"/>
                <w:b w:val="0"/>
                <w:bCs w:val="0"/>
                <w:color w:val="auto"/>
                <w:kern w:val="0"/>
                <w:sz w:val="21"/>
                <w:szCs w:val="21"/>
                <w:highlight w:val="none"/>
                <w:lang w:val="en-US" w:eastAsia="zh-CN" w:bidi="ar-SA"/>
              </w:rPr>
              <w:t>外壳防护等级：IP21S</w:t>
            </w:r>
          </w:p>
          <w:p w14:paraId="64934AF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11.</w:t>
            </w:r>
            <w:r>
              <w:rPr>
                <w:rFonts w:hint="eastAsia" w:ascii="宋体" w:hAnsi="宋体" w:eastAsia="宋体" w:cs="宋体"/>
                <w:b w:val="0"/>
                <w:bCs w:val="0"/>
                <w:color w:val="auto"/>
                <w:kern w:val="0"/>
                <w:sz w:val="21"/>
                <w:szCs w:val="21"/>
                <w:highlight w:val="none"/>
                <w:lang w:val="en-US" w:eastAsia="zh-CN" w:bidi="ar-SA"/>
              </w:rPr>
              <w:t>绝缘等级：H</w:t>
            </w:r>
          </w:p>
          <w:p w14:paraId="02BD224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12.</w:t>
            </w:r>
            <w:r>
              <w:rPr>
                <w:rFonts w:hint="eastAsia" w:ascii="宋体" w:hAnsi="宋体" w:eastAsia="宋体" w:cs="宋体"/>
                <w:b w:val="0"/>
                <w:bCs w:val="0"/>
                <w:color w:val="auto"/>
                <w:kern w:val="0"/>
                <w:sz w:val="21"/>
                <w:szCs w:val="21"/>
                <w:highlight w:val="none"/>
                <w:lang w:val="en-US" w:eastAsia="zh-CN" w:bidi="ar-SA"/>
              </w:rPr>
              <w:t>冷却方式：风冷</w:t>
            </w:r>
          </w:p>
          <w:p w14:paraId="62390AF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13.</w:t>
            </w:r>
            <w:r>
              <w:rPr>
                <w:rFonts w:hint="eastAsia" w:ascii="宋体" w:hAnsi="宋体" w:eastAsia="宋体" w:cs="宋体"/>
                <w:b w:val="0"/>
                <w:bCs w:val="0"/>
                <w:color w:val="auto"/>
                <w:kern w:val="0"/>
                <w:sz w:val="21"/>
                <w:szCs w:val="21"/>
                <w:highlight w:val="none"/>
                <w:lang w:val="en-US" w:eastAsia="zh-CN" w:bidi="ar-SA"/>
              </w:rPr>
              <w:t>外型尺寸LxWxH(mm)：614×311×557"</w:t>
            </w:r>
          </w:p>
          <w:p w14:paraId="0637396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14.</w:t>
            </w:r>
            <w:r>
              <w:rPr>
                <w:rFonts w:hint="eastAsia" w:ascii="宋体" w:hAnsi="宋体" w:eastAsia="宋体" w:cs="宋体"/>
                <w:b w:val="0"/>
                <w:bCs w:val="0"/>
                <w:color w:val="auto"/>
                <w:kern w:val="0"/>
                <w:sz w:val="21"/>
                <w:szCs w:val="21"/>
                <w:highlight w:val="none"/>
                <w:lang w:val="en-US" w:eastAsia="zh-CN" w:bidi="ar-SA"/>
              </w:rPr>
              <w:t>重量(Kg)：43</w:t>
            </w:r>
          </w:p>
        </w:tc>
        <w:tc>
          <w:tcPr>
            <w:tcW w:w="505" w:type="dxa"/>
            <w:noWrap w:val="0"/>
            <w:vAlign w:val="center"/>
          </w:tcPr>
          <w:p w14:paraId="71DC8778">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478" w:type="dxa"/>
            <w:noWrap w:val="0"/>
            <w:vAlign w:val="center"/>
          </w:tcPr>
          <w:p w14:paraId="72ABD00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54E633E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67AC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1B5A43B9">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 3.6</w:t>
            </w:r>
          </w:p>
        </w:tc>
        <w:tc>
          <w:tcPr>
            <w:tcW w:w="1239" w:type="dxa"/>
            <w:noWrap w:val="0"/>
            <w:vAlign w:val="center"/>
          </w:tcPr>
          <w:p w14:paraId="0D3B781F">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NBC-350III逆变式CO2气体保护焊机（焊枪焊夹送丝机配套)</w:t>
            </w:r>
          </w:p>
        </w:tc>
        <w:tc>
          <w:tcPr>
            <w:tcW w:w="6390" w:type="dxa"/>
            <w:gridSpan w:val="2"/>
            <w:noWrap w:val="0"/>
            <w:vAlign w:val="center"/>
          </w:tcPr>
          <w:p w14:paraId="173DFEC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规  格：NBC-350</w:t>
            </w:r>
          </w:p>
          <w:p w14:paraId="274B84F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额定输入电压/频率：三相380V±10%50Hz</w:t>
            </w:r>
          </w:p>
          <w:p w14:paraId="675DD84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3.</w:t>
            </w:r>
            <w:r>
              <w:rPr>
                <w:rFonts w:hint="eastAsia" w:ascii="宋体" w:hAnsi="宋体" w:eastAsia="宋体" w:cs="宋体"/>
                <w:b w:val="0"/>
                <w:bCs w:val="0"/>
                <w:color w:val="auto"/>
                <w:kern w:val="0"/>
                <w:sz w:val="21"/>
                <w:szCs w:val="21"/>
                <w:highlight w:val="none"/>
                <w:lang w:val="en-US" w:eastAsia="zh-CN" w:bidi="ar-SA"/>
              </w:rPr>
              <w:t>额定输入容量(KVA)：13</w:t>
            </w:r>
          </w:p>
          <w:p w14:paraId="29FB5C0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4.</w:t>
            </w:r>
            <w:r>
              <w:rPr>
                <w:rFonts w:hint="eastAsia" w:ascii="宋体" w:hAnsi="宋体" w:eastAsia="宋体" w:cs="宋体"/>
                <w:b w:val="0"/>
                <w:bCs w:val="0"/>
                <w:color w:val="auto"/>
                <w:kern w:val="0"/>
                <w:sz w:val="21"/>
                <w:szCs w:val="21"/>
                <w:highlight w:val="none"/>
                <w:lang w:val="en-US" w:eastAsia="zh-CN" w:bidi="ar-SA"/>
              </w:rPr>
              <w:t>额定输入电流(A)：19</w:t>
            </w:r>
          </w:p>
          <w:p w14:paraId="5EA9A69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5.</w:t>
            </w:r>
            <w:r>
              <w:rPr>
                <w:rFonts w:hint="eastAsia" w:ascii="宋体" w:hAnsi="宋体" w:eastAsia="宋体" w:cs="宋体"/>
                <w:b w:val="0"/>
                <w:bCs w:val="0"/>
                <w:color w:val="auto"/>
                <w:kern w:val="0"/>
                <w:sz w:val="21"/>
                <w:szCs w:val="21"/>
                <w:highlight w:val="none"/>
                <w:lang w:val="en-US" w:eastAsia="zh-CN" w:bidi="ar-SA"/>
              </w:rPr>
              <w:t>额定输出电压(V)：31.5</w:t>
            </w:r>
          </w:p>
          <w:p w14:paraId="2A7D648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6.</w:t>
            </w:r>
            <w:r>
              <w:rPr>
                <w:rFonts w:hint="eastAsia" w:ascii="宋体" w:hAnsi="宋体" w:eastAsia="宋体" w:cs="宋体"/>
                <w:b w:val="0"/>
                <w:bCs w:val="0"/>
                <w:color w:val="auto"/>
                <w:kern w:val="0"/>
                <w:sz w:val="21"/>
                <w:szCs w:val="21"/>
                <w:highlight w:val="none"/>
                <w:lang w:val="en-US" w:eastAsia="zh-CN" w:bidi="ar-SA"/>
              </w:rPr>
              <w:t>额定负载持续率(%)：60</w:t>
            </w:r>
          </w:p>
          <w:p w14:paraId="5C84102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7.</w:t>
            </w:r>
            <w:r>
              <w:rPr>
                <w:rFonts w:hint="eastAsia" w:ascii="宋体" w:hAnsi="宋体" w:eastAsia="宋体" w:cs="宋体"/>
                <w:b w:val="0"/>
                <w:bCs w:val="0"/>
                <w:color w:val="auto"/>
                <w:kern w:val="0"/>
                <w:sz w:val="21"/>
                <w:szCs w:val="21"/>
                <w:highlight w:val="none"/>
                <w:lang w:val="en-US" w:eastAsia="zh-CN" w:bidi="ar-SA"/>
              </w:rPr>
              <w:t>输出空载电压(V)：70</w:t>
            </w:r>
          </w:p>
          <w:p w14:paraId="12502D6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8.</w:t>
            </w:r>
            <w:r>
              <w:rPr>
                <w:rFonts w:hint="eastAsia" w:ascii="宋体" w:hAnsi="宋体" w:eastAsia="宋体" w:cs="宋体"/>
                <w:b w:val="0"/>
                <w:bCs w:val="0"/>
                <w:color w:val="auto"/>
                <w:kern w:val="0"/>
                <w:sz w:val="21"/>
                <w:szCs w:val="21"/>
                <w:highlight w:val="none"/>
                <w:lang w:val="en-US" w:eastAsia="zh-CN" w:bidi="ar-SA"/>
              </w:rPr>
              <w:t>输出电流范围(A)：60-350</w:t>
            </w:r>
          </w:p>
          <w:p w14:paraId="3339106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9.</w:t>
            </w:r>
            <w:r>
              <w:rPr>
                <w:rFonts w:hint="eastAsia" w:ascii="宋体" w:hAnsi="宋体" w:eastAsia="宋体" w:cs="宋体"/>
                <w:b w:val="0"/>
                <w:bCs w:val="0"/>
                <w:color w:val="auto"/>
                <w:kern w:val="0"/>
                <w:sz w:val="21"/>
                <w:szCs w:val="21"/>
                <w:highlight w:val="none"/>
                <w:lang w:val="en-US" w:eastAsia="zh-CN" w:bidi="ar-SA"/>
              </w:rPr>
              <w:t>输出电压范围(V)：14-40</w:t>
            </w:r>
          </w:p>
          <w:p w14:paraId="2C2B8DF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10.</w:t>
            </w:r>
            <w:r>
              <w:rPr>
                <w:rFonts w:hint="eastAsia" w:ascii="宋体" w:hAnsi="宋体" w:eastAsia="宋体" w:cs="宋体"/>
                <w:b w:val="0"/>
                <w:bCs w:val="0"/>
                <w:color w:val="auto"/>
                <w:kern w:val="0"/>
                <w:sz w:val="21"/>
                <w:szCs w:val="21"/>
                <w:highlight w:val="none"/>
                <w:lang w:val="en-US" w:eastAsia="zh-CN" w:bidi="ar-SA"/>
              </w:rPr>
              <w:t>功率因数：&gt;0.87</w:t>
            </w:r>
          </w:p>
          <w:p w14:paraId="20562AD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11.</w:t>
            </w:r>
            <w:r>
              <w:rPr>
                <w:rFonts w:hint="eastAsia" w:ascii="宋体" w:hAnsi="宋体" w:eastAsia="宋体" w:cs="宋体"/>
                <w:b w:val="0"/>
                <w:bCs w:val="0"/>
                <w:color w:val="auto"/>
                <w:kern w:val="0"/>
                <w:sz w:val="21"/>
                <w:szCs w:val="21"/>
                <w:highlight w:val="none"/>
                <w:lang w:val="en-US" w:eastAsia="zh-CN" w:bidi="ar-SA"/>
              </w:rPr>
              <w:t>焊丝直径(mm)：0.8-1.2</w:t>
            </w:r>
          </w:p>
          <w:p w14:paraId="3346E99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12.</w:t>
            </w:r>
            <w:r>
              <w:rPr>
                <w:rFonts w:hint="eastAsia" w:ascii="宋体" w:hAnsi="宋体" w:eastAsia="宋体" w:cs="宋体"/>
                <w:b w:val="0"/>
                <w:bCs w:val="0"/>
                <w:color w:val="auto"/>
                <w:kern w:val="0"/>
                <w:sz w:val="21"/>
                <w:szCs w:val="21"/>
                <w:highlight w:val="none"/>
                <w:lang w:val="en-US" w:eastAsia="zh-CN" w:bidi="ar-SA"/>
              </w:rPr>
              <w:t>送丝类型：推丝</w:t>
            </w:r>
          </w:p>
          <w:p w14:paraId="5542743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13.</w:t>
            </w:r>
            <w:r>
              <w:rPr>
                <w:rFonts w:hint="eastAsia" w:ascii="宋体" w:hAnsi="宋体" w:eastAsia="宋体" w:cs="宋体"/>
                <w:b w:val="0"/>
                <w:bCs w:val="0"/>
                <w:color w:val="auto"/>
                <w:kern w:val="0"/>
                <w:sz w:val="21"/>
                <w:szCs w:val="21"/>
                <w:highlight w:val="none"/>
                <w:lang w:val="en-US" w:eastAsia="zh-CN" w:bidi="ar-SA"/>
              </w:rPr>
              <w:t>气体流量(L/min)：15-25</w:t>
            </w:r>
          </w:p>
          <w:p w14:paraId="5947C41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14.</w:t>
            </w:r>
            <w:r>
              <w:rPr>
                <w:rFonts w:hint="eastAsia" w:ascii="宋体" w:hAnsi="宋体" w:eastAsia="宋体" w:cs="宋体"/>
                <w:b w:val="0"/>
                <w:bCs w:val="0"/>
                <w:color w:val="auto"/>
                <w:kern w:val="0"/>
                <w:sz w:val="21"/>
                <w:szCs w:val="21"/>
                <w:highlight w:val="none"/>
                <w:lang w:val="en-US" w:eastAsia="zh-CN" w:bidi="ar-SA"/>
              </w:rPr>
              <w:t>焊枪冷却方式：气冷</w:t>
            </w:r>
          </w:p>
          <w:p w14:paraId="409544D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15.</w:t>
            </w:r>
            <w:r>
              <w:rPr>
                <w:rFonts w:hint="eastAsia" w:ascii="宋体" w:hAnsi="宋体" w:eastAsia="宋体" w:cs="宋体"/>
                <w:b w:val="0"/>
                <w:bCs w:val="0"/>
                <w:color w:val="auto"/>
                <w:kern w:val="0"/>
                <w:sz w:val="21"/>
                <w:szCs w:val="21"/>
                <w:highlight w:val="none"/>
                <w:lang w:val="en-US" w:eastAsia="zh-CN" w:bidi="ar-SA"/>
              </w:rPr>
              <w:t>外壳防护等级：IP21S</w:t>
            </w:r>
          </w:p>
          <w:p w14:paraId="49E6B8D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16.</w:t>
            </w:r>
            <w:r>
              <w:rPr>
                <w:rFonts w:hint="eastAsia" w:ascii="宋体" w:hAnsi="宋体" w:eastAsia="宋体" w:cs="宋体"/>
                <w:b w:val="0"/>
                <w:bCs w:val="0"/>
                <w:color w:val="auto"/>
                <w:kern w:val="0"/>
                <w:sz w:val="21"/>
                <w:szCs w:val="21"/>
                <w:highlight w:val="none"/>
                <w:lang w:val="en-US" w:eastAsia="zh-CN" w:bidi="ar-SA"/>
              </w:rPr>
              <w:t>绝缘等级：H</w:t>
            </w:r>
          </w:p>
          <w:p w14:paraId="70AA659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17.</w:t>
            </w:r>
            <w:r>
              <w:rPr>
                <w:rFonts w:hint="eastAsia" w:ascii="宋体" w:hAnsi="宋体" w:eastAsia="宋体" w:cs="宋体"/>
                <w:b w:val="0"/>
                <w:bCs w:val="0"/>
                <w:color w:val="auto"/>
                <w:kern w:val="0"/>
                <w:sz w:val="21"/>
                <w:szCs w:val="21"/>
                <w:highlight w:val="none"/>
                <w:lang w:val="en-US" w:eastAsia="zh-CN" w:bidi="ar-SA"/>
              </w:rPr>
              <w:t>外形尺寸L×W×H(mm)：603×311×574</w:t>
            </w:r>
          </w:p>
          <w:p w14:paraId="11F25DB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18.</w:t>
            </w:r>
            <w:r>
              <w:rPr>
                <w:rFonts w:hint="eastAsia" w:ascii="宋体" w:hAnsi="宋体" w:eastAsia="宋体" w:cs="宋体"/>
                <w:b w:val="0"/>
                <w:bCs w:val="0"/>
                <w:color w:val="auto"/>
                <w:kern w:val="0"/>
                <w:sz w:val="21"/>
                <w:szCs w:val="21"/>
                <w:highlight w:val="none"/>
                <w:lang w:val="en-US" w:eastAsia="zh-CN" w:bidi="ar-SA"/>
              </w:rPr>
              <w:t>重量(kg)：40</w:t>
            </w:r>
          </w:p>
        </w:tc>
        <w:tc>
          <w:tcPr>
            <w:tcW w:w="505" w:type="dxa"/>
            <w:noWrap w:val="0"/>
            <w:vAlign w:val="center"/>
          </w:tcPr>
          <w:p w14:paraId="1E9D9689">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478" w:type="dxa"/>
            <w:noWrap w:val="0"/>
            <w:vAlign w:val="center"/>
          </w:tcPr>
          <w:p w14:paraId="1BD69391">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7611544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43AA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4AB88D6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3.7 </w:t>
            </w:r>
          </w:p>
        </w:tc>
        <w:tc>
          <w:tcPr>
            <w:tcW w:w="1239" w:type="dxa"/>
            <w:noWrap w:val="0"/>
            <w:vAlign w:val="top"/>
          </w:tcPr>
          <w:p w14:paraId="30A0B5C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top"/>
              <w:rPr>
                <w:rFonts w:hint="eastAsia" w:ascii="宋体" w:hAnsi="宋体" w:eastAsia="宋体" w:cs="宋体"/>
                <w:i w:val="0"/>
                <w:iCs w:val="0"/>
                <w:color w:val="auto"/>
                <w:kern w:val="0"/>
                <w:sz w:val="21"/>
                <w:szCs w:val="21"/>
                <w:highlight w:val="none"/>
                <w:u w:val="none"/>
                <w:lang w:val="en-US" w:eastAsia="zh-CN" w:bidi="ar"/>
              </w:rPr>
            </w:pPr>
          </w:p>
          <w:p w14:paraId="0C6BF04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top"/>
              <w:rPr>
                <w:rFonts w:hint="eastAsia" w:ascii="宋体" w:hAnsi="宋体" w:eastAsia="宋体" w:cs="宋体"/>
                <w:i w:val="0"/>
                <w:iCs w:val="0"/>
                <w:color w:val="auto"/>
                <w:kern w:val="0"/>
                <w:sz w:val="21"/>
                <w:szCs w:val="21"/>
                <w:highlight w:val="none"/>
                <w:u w:val="none"/>
                <w:lang w:val="en-US" w:eastAsia="zh-CN" w:bidi="ar"/>
              </w:rPr>
            </w:pPr>
          </w:p>
          <w:p w14:paraId="50B11D2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NRD-N120内涨式圆管坡口机</w:t>
            </w:r>
          </w:p>
        </w:tc>
        <w:tc>
          <w:tcPr>
            <w:tcW w:w="6390" w:type="dxa"/>
            <w:gridSpan w:val="2"/>
            <w:noWrap w:val="0"/>
            <w:vAlign w:val="center"/>
          </w:tcPr>
          <w:p w14:paraId="104C90D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规  格：NRD-N120</w:t>
            </w:r>
          </w:p>
          <w:p w14:paraId="085DEC1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适用坡口形式：V/I/U</w:t>
            </w:r>
          </w:p>
          <w:p w14:paraId="1E65257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加工范围：45-120mm</w:t>
            </w:r>
          </w:p>
          <w:p w14:paraId="3F5C315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加工壁厚：≤15mm</w:t>
            </w:r>
          </w:p>
          <w:p w14:paraId="71191F2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电机功率：1.2kw</w:t>
            </w:r>
          </w:p>
          <w:p w14:paraId="181890C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设备重量：25kg</w:t>
            </w:r>
          </w:p>
          <w:p w14:paraId="5296688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刀盘转速：50R/min</w:t>
            </w:r>
          </w:p>
          <w:p w14:paraId="241D579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轴向进刀深度：50mm</w:t>
            </w:r>
          </w:p>
          <w:p w14:paraId="3C1DCC1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进刀量：0.07-0.1mm</w:t>
            </w:r>
          </w:p>
          <w:p w14:paraId="23314AF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刀具选择：0°、30°、37.5°、内坡15°</w:t>
            </w:r>
          </w:p>
        </w:tc>
        <w:tc>
          <w:tcPr>
            <w:tcW w:w="505" w:type="dxa"/>
            <w:noWrap w:val="0"/>
            <w:vAlign w:val="center"/>
          </w:tcPr>
          <w:p w14:paraId="14FF1082">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6110863F">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3D61467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5DC9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3A1C745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3.8</w:t>
            </w:r>
          </w:p>
        </w:tc>
        <w:tc>
          <w:tcPr>
            <w:tcW w:w="1239" w:type="dxa"/>
            <w:noWrap w:val="0"/>
            <w:vAlign w:val="center"/>
          </w:tcPr>
          <w:p w14:paraId="76954CB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lang w:val="en-US" w:eastAsia="zh-CN" w:bidi="ar"/>
              </w:rPr>
              <w:t>机器人焊接设备</w:t>
            </w:r>
          </w:p>
        </w:tc>
        <w:tc>
          <w:tcPr>
            <w:tcW w:w="6390" w:type="dxa"/>
            <w:gridSpan w:val="2"/>
            <w:noWrap w:val="0"/>
            <w:vAlign w:val="center"/>
          </w:tcPr>
          <w:p w14:paraId="31E4E5F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一、焊接机器人本体</w:t>
            </w:r>
          </w:p>
          <w:p w14:paraId="1C4DA1D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cs="宋体"/>
                <w:b w:val="0"/>
                <w:bCs w:val="0"/>
                <w:strike/>
                <w:dstrike w:val="0"/>
                <w:color w:val="FF0000"/>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bidi="ar"/>
              </w:rPr>
              <w:t>工业机器人本体生产厂家符合《工业机器人行业规范条件》</w:t>
            </w:r>
            <w:r>
              <w:rPr>
                <w:rFonts w:hint="eastAsia" w:ascii="宋体" w:hAnsi="宋体" w:cs="宋体"/>
                <w:b w:val="0"/>
                <w:bCs w:val="0"/>
                <w:color w:val="auto"/>
                <w:kern w:val="0"/>
                <w:sz w:val="21"/>
                <w:szCs w:val="21"/>
                <w:highlight w:val="none"/>
                <w:lang w:val="en-US" w:eastAsia="zh-CN" w:bidi="ar"/>
              </w:rPr>
              <w:t>。</w:t>
            </w:r>
          </w:p>
          <w:p w14:paraId="53E42C0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具有6个自由度，串联关节型专用焊接机器人本体；</w:t>
            </w:r>
          </w:p>
          <w:p w14:paraId="5F2C47E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重复定位精度：≤±0.06mm；</w:t>
            </w:r>
          </w:p>
          <w:p w14:paraId="7B5EF73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额定负载：≥5kg；</w:t>
            </w:r>
          </w:p>
          <w:p w14:paraId="7C1E633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水平到达距离: ≥1441mm；</w:t>
            </w:r>
          </w:p>
          <w:p w14:paraId="679F1DD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重量: ≥196kg；</w:t>
            </w:r>
          </w:p>
          <w:p w14:paraId="2C568EF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各轴运动范围</w:t>
            </w:r>
          </w:p>
          <w:p w14:paraId="4967911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J1轴≥±150°；</w:t>
            </w:r>
          </w:p>
          <w:p w14:paraId="5E7A74B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J2轴≥-145°/+60°；</w:t>
            </w:r>
          </w:p>
          <w:p w14:paraId="1066950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J3轴≥+30°/+270°；</w:t>
            </w:r>
          </w:p>
          <w:p w14:paraId="42BF8DB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J4轴≥±120°；</w:t>
            </w:r>
          </w:p>
          <w:p w14:paraId="111891B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J5轴≥-110°/+140°；</w:t>
            </w:r>
          </w:p>
          <w:p w14:paraId="479D8F7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J6轴≥±360°。</w:t>
            </w:r>
          </w:p>
          <w:p w14:paraId="73E4DB4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7.</w:t>
            </w:r>
            <w:r>
              <w:rPr>
                <w:rFonts w:hint="eastAsia" w:ascii="宋体" w:hAnsi="宋体" w:eastAsia="宋体" w:cs="宋体"/>
                <w:b w:val="0"/>
                <w:bCs w:val="0"/>
                <w:color w:val="auto"/>
                <w:kern w:val="0"/>
                <w:sz w:val="21"/>
                <w:szCs w:val="21"/>
                <w:highlight w:val="none"/>
                <w:lang w:val="en-US" w:eastAsia="zh-CN" w:bidi="ar"/>
              </w:rPr>
              <w:t>各轴最大速度：</w:t>
            </w:r>
          </w:p>
          <w:p w14:paraId="517718B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J1轴≥3.87rad/s，222°/s；</w:t>
            </w:r>
          </w:p>
          <w:p w14:paraId="69BDBE3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J2轴≥3.87rad/s，222°/s；</w:t>
            </w:r>
          </w:p>
          <w:p w14:paraId="6BEB381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J3轴≥3.87rad/s，222°/s；</w:t>
            </w:r>
          </w:p>
          <w:p w14:paraId="3EF34BB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J4轴≥5.89rad/s，337.5°/s；</w:t>
            </w:r>
          </w:p>
          <w:p w14:paraId="16A95F5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J5轴≥5.89rad/s，337.5°/s；</w:t>
            </w:r>
          </w:p>
          <w:p w14:paraId="6E2DABF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J6轴≥5.89rad/s，337.5°/s。</w:t>
            </w:r>
          </w:p>
          <w:p w14:paraId="0A5F755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二、机器人控制系统</w:t>
            </w:r>
          </w:p>
          <w:p w14:paraId="474D158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机器人控制系统软件</w:t>
            </w:r>
          </w:p>
          <w:p w14:paraId="4A8977F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bidi="ar"/>
              </w:rPr>
              <w:t>支持二次开发，提供C++二次开发接口：</w:t>
            </w:r>
          </w:p>
          <w:p w14:paraId="47C2A3B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1）机器人二次开发接口，支持C/C++、C#语言，可基于windows或Linux平台进行开发；</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2）二次开发接口通信类功能，支持通信配置、通信操作、执行命令、UDP操作、FTP操作等；</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3）二次开发接口代理类功能，支持系统功能代理Proxy Sys、运动功能代理Proxy Motion、IO操作代理Proxy IO、变量操作代理Proxy Var、采集操作代理Proxy Collect。</w:t>
            </w:r>
          </w:p>
          <w:p w14:paraId="4DDDD45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机器人示教器</w:t>
            </w:r>
          </w:p>
          <w:p w14:paraId="2EFDE9D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（1）示教器外观参数</w:t>
            </w:r>
          </w:p>
          <w:p w14:paraId="1B21B2B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触摸屏尺寸≥8英寸，全触屏操作，配备急停开关、模式切换开关以及三段式安全开关，配备USB接口。</w:t>
            </w:r>
          </w:p>
          <w:p w14:paraId="2AAE6AE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（2）示教器性能参数</w:t>
            </w:r>
          </w:p>
          <w:p w14:paraId="3133A01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1）运行内存：≥2G；</w:t>
            </w:r>
          </w:p>
          <w:p w14:paraId="5718144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2）存储空间为：≥4G；</w:t>
            </w:r>
          </w:p>
          <w:p w14:paraId="5BB97C2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3）CPU频率：≥1GHz。</w:t>
            </w:r>
          </w:p>
          <w:p w14:paraId="5E27B6E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（3）示教器功能</w:t>
            </w:r>
          </w:p>
          <w:p w14:paraId="54CFC4E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手动控制机器人运动、机器人程序示教编程、机器人程序自动运行、机器人运行状态监视、机器人控制参数设置。</w:t>
            </w:r>
          </w:p>
          <w:p w14:paraId="19E76A3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（4）模式选择</w:t>
            </w:r>
          </w:p>
          <w:p w14:paraId="37BC61A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示教器通过旋转开关选择手动T1模式、手动T2模式、自动模式、外部模式4种模式。</w:t>
            </w:r>
          </w:p>
          <w:p w14:paraId="7892486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提供焊接工艺包</w:t>
            </w:r>
          </w:p>
          <w:p w14:paraId="2165DF6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焊接工艺包，自主设计研发，可根据客户需求，进行定制，出厂配置参数如下：</w:t>
            </w:r>
          </w:p>
          <w:p w14:paraId="65B6DF5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（1）系统配置：系统配置主要设置焊机品牌，焊接通道数量、清枪站品牌、起弧次数、焊机工作模式等。</w:t>
            </w:r>
            <w:r>
              <w:rPr>
                <w:rFonts w:hint="eastAsia" w:ascii="宋体" w:hAnsi="宋体" w:eastAsia="宋体" w:cs="宋体"/>
                <w:b w:val="0"/>
                <w:bCs w:val="0"/>
                <w:color w:val="auto"/>
                <w:kern w:val="0"/>
                <w:sz w:val="21"/>
                <w:szCs w:val="21"/>
                <w:highlight w:val="none"/>
                <w:lang w:val="en-US" w:eastAsia="zh-CN" w:bidi="ar"/>
              </w:rPr>
              <w:cr/>
            </w:r>
            <w:r>
              <w:rPr>
                <w:rFonts w:hint="eastAsia" w:ascii="宋体" w:hAnsi="宋体" w:eastAsia="宋体" w:cs="宋体"/>
                <w:b w:val="0"/>
                <w:bCs w:val="0"/>
                <w:color w:val="auto"/>
                <w:kern w:val="0"/>
                <w:sz w:val="21"/>
                <w:szCs w:val="21"/>
                <w:highlight w:val="none"/>
                <w:lang w:val="en-US" w:eastAsia="zh-CN" w:bidi="ar"/>
              </w:rPr>
              <w:t>（2）焊机曲线配置：设置电流电压的映射曲线。</w:t>
            </w:r>
            <w:r>
              <w:rPr>
                <w:rFonts w:hint="eastAsia" w:ascii="宋体" w:hAnsi="宋体" w:eastAsia="宋体" w:cs="宋体"/>
                <w:b w:val="0"/>
                <w:bCs w:val="0"/>
                <w:color w:val="auto"/>
                <w:kern w:val="0"/>
                <w:sz w:val="21"/>
                <w:szCs w:val="21"/>
                <w:highlight w:val="none"/>
                <w:lang w:val="en-US" w:eastAsia="zh-CN" w:bidi="ar"/>
              </w:rPr>
              <w:cr/>
            </w:r>
            <w:r>
              <w:rPr>
                <w:rFonts w:hint="eastAsia" w:ascii="宋体" w:hAnsi="宋体" w:eastAsia="宋体" w:cs="宋体"/>
                <w:b w:val="0"/>
                <w:bCs w:val="0"/>
                <w:color w:val="auto"/>
                <w:kern w:val="0"/>
                <w:sz w:val="21"/>
                <w:szCs w:val="21"/>
                <w:highlight w:val="none"/>
                <w:lang w:val="en-US" w:eastAsia="zh-CN" w:bidi="ar"/>
              </w:rPr>
              <w:t>（3）工艺参数：设置焊接通道的工艺参数（共10 组工艺参数可供设置），包括焊机工作模式、起弧/收弧电压/电流、焊接电压/电流、焊接速度等。</w:t>
            </w:r>
            <w:r>
              <w:rPr>
                <w:rFonts w:hint="eastAsia" w:ascii="宋体" w:hAnsi="宋体" w:eastAsia="宋体" w:cs="宋体"/>
                <w:b w:val="0"/>
                <w:bCs w:val="0"/>
                <w:color w:val="auto"/>
                <w:kern w:val="0"/>
                <w:sz w:val="21"/>
                <w:szCs w:val="21"/>
                <w:highlight w:val="none"/>
                <w:lang w:val="en-US" w:eastAsia="zh-CN" w:bidi="ar"/>
              </w:rPr>
              <w:cr/>
            </w:r>
            <w:r>
              <w:rPr>
                <w:rFonts w:hint="eastAsia" w:ascii="宋体" w:hAnsi="宋体" w:eastAsia="宋体" w:cs="宋体"/>
                <w:b w:val="0"/>
                <w:bCs w:val="0"/>
                <w:color w:val="auto"/>
                <w:kern w:val="0"/>
                <w:sz w:val="21"/>
                <w:szCs w:val="21"/>
                <w:highlight w:val="none"/>
                <w:lang w:val="en-US" w:eastAsia="zh-CN" w:bidi="ar"/>
              </w:rPr>
              <w:t>（4）支持摆焊、鱼鳞焊等常见焊接工艺。</w:t>
            </w:r>
          </w:p>
          <w:p w14:paraId="2DCF11D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（5）产量统计：统计指定程序运行次数，即指定产品生产数量。</w:t>
            </w:r>
          </w:p>
          <w:p w14:paraId="3458324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三、焊接电源</w:t>
            </w:r>
          </w:p>
          <w:p w14:paraId="1905C5C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采用全数字的控制方式，可焊接碳钢和不锈钢；</w:t>
            </w:r>
          </w:p>
          <w:p w14:paraId="7365500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能够与工业机器人建立通讯，可通过机器人示教器端，配置焊接电源参数；</w:t>
            </w:r>
          </w:p>
          <w:p w14:paraId="10339F5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额定输入电压/频率：三相380V/50Hz；</w:t>
            </w:r>
          </w:p>
          <w:p w14:paraId="3CF9232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额定空载电压：≥60V；</w:t>
            </w:r>
          </w:p>
          <w:p w14:paraId="45231AF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额定输出电流/电压：60A/17V—350A/31.5V；</w:t>
            </w:r>
          </w:p>
          <w:p w14:paraId="3D99C48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气体流量：≥10L/min；</w:t>
            </w:r>
          </w:p>
          <w:p w14:paraId="44B4772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7.</w:t>
            </w:r>
            <w:r>
              <w:rPr>
                <w:rFonts w:hint="eastAsia" w:ascii="宋体" w:hAnsi="宋体" w:eastAsia="宋体" w:cs="宋体"/>
                <w:b w:val="0"/>
                <w:bCs w:val="0"/>
                <w:color w:val="auto"/>
                <w:kern w:val="0"/>
                <w:sz w:val="21"/>
                <w:szCs w:val="21"/>
                <w:highlight w:val="none"/>
                <w:lang w:val="en-US" w:eastAsia="zh-CN" w:bidi="ar"/>
              </w:rPr>
              <w:t>气体类型：CO</w:t>
            </w: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MAG；</w:t>
            </w:r>
          </w:p>
          <w:p w14:paraId="39930AA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输出控制：一元化、分别；</w:t>
            </w:r>
          </w:p>
          <w:p w14:paraId="6A3677A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具备气体检测、点动送丝等其他功能。</w:t>
            </w:r>
          </w:p>
          <w:p w14:paraId="6D5A493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四、焊枪</w:t>
            </w:r>
          </w:p>
          <w:p w14:paraId="19023F7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配套气冷焊枪，额定电流≥350A，暂载率&gt;60%；</w:t>
            </w:r>
          </w:p>
          <w:p w14:paraId="4DDD1D1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焊丝直径支持，0.8/1.0/1.2mm；</w:t>
            </w:r>
          </w:p>
          <w:p w14:paraId="0AC2FD5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提供导电嘴、送丝管备件。</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五、清枪站</w:t>
            </w:r>
          </w:p>
          <w:p w14:paraId="129884A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具备电气控制清枪、喷油、剪丝、TCP标定点等主要功能。</w:t>
            </w:r>
          </w:p>
          <w:p w14:paraId="35DFC68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总体技术参数</w:t>
            </w:r>
          </w:p>
          <w:p w14:paraId="03DB3E5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（1）压缩空气气源：无油干燥压缩空气，6bar；</w:t>
            </w:r>
          </w:p>
          <w:p w14:paraId="370EC4E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（2）所需空气量：大约每秒 10升；</w:t>
            </w:r>
          </w:p>
          <w:p w14:paraId="32A7B27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（3）程序控制：气动；</w:t>
            </w:r>
          </w:p>
          <w:p w14:paraId="1425372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（4）电压：U=24V DC，Imax=0.15A；</w:t>
            </w:r>
          </w:p>
          <w:p w14:paraId="1249B8F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（5）清枪时间：约 4～5 秒；</w:t>
            </w:r>
          </w:p>
          <w:p w14:paraId="4175DE2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（6）防飞溅剂容量：500ml。</w:t>
            </w:r>
          </w:p>
          <w:p w14:paraId="1272A87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输入信号：开始清枪信号、剪丝信号。</w:t>
            </w:r>
          </w:p>
          <w:p w14:paraId="30ACB11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输出信号：打开夹紧气缸、检测铰刀上升。</w:t>
            </w:r>
          </w:p>
          <w:p w14:paraId="3431B60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六、二维柔性平台</w:t>
            </w:r>
          </w:p>
          <w:p w14:paraId="42077B0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由工作台面和立柱组成，工作台面具备定位孔和锁紧孔，可适配多种焊接工件，采用快速工装进行装夹，具有快捷、精度高等特点（定制工作台）。</w:t>
            </w:r>
          </w:p>
          <w:p w14:paraId="606B1C6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钢板材质，面板尺寸（长×宽）：≥800×600mm；</w:t>
            </w:r>
          </w:p>
          <w:p w14:paraId="0533E18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立柱直径：≥60mm；</w:t>
            </w:r>
          </w:p>
          <w:p w14:paraId="4F257BA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台面开孔尺寸≥φ16mm，并刻有网格线，便于定位。</w:t>
            </w:r>
          </w:p>
          <w:p w14:paraId="0B7C17C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七、焊烟净化器</w:t>
            </w:r>
          </w:p>
          <w:p w14:paraId="34BA703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 xml:space="preserve">焊烟净化器采用小型化设计，底部装有万向轮；        </w:t>
            </w:r>
          </w:p>
          <w:p w14:paraId="0EBF183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处理风量：≥2400m³/h；</w:t>
            </w:r>
          </w:p>
          <w:p w14:paraId="203EC79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工作电压：220V；</w:t>
            </w:r>
          </w:p>
          <w:p w14:paraId="3CAC60C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配置机械臂，可手动360°自由悬停。</w:t>
            </w:r>
          </w:p>
          <w:p w14:paraId="4555184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八、安全防护栏</w:t>
            </w:r>
          </w:p>
          <w:p w14:paraId="35E9A32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金属材质制作，单片尺寸≥1m×1m；</w:t>
            </w:r>
          </w:p>
          <w:p w14:paraId="24C6049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现场可快速进行拼接，拼接完成后，整体≥3m×3m×1m。</w:t>
            </w:r>
          </w:p>
          <w:p w14:paraId="002742C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九、空压机</w:t>
            </w:r>
          </w:p>
          <w:p w14:paraId="4AE9AD1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容量9L及以上静音无油空压机，采用纯铜电机；</w:t>
            </w:r>
          </w:p>
          <w:p w14:paraId="5DBB331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工作电压220V，50HZ；</w:t>
            </w:r>
          </w:p>
          <w:p w14:paraId="2368D88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最大压力可达0.7MPa。</w:t>
            </w:r>
          </w:p>
          <w:p w14:paraId="4607785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十、工装夹具</w:t>
            </w:r>
          </w:p>
          <w:p w14:paraId="77238F8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配套快速定位工装夹具：</w:t>
            </w:r>
          </w:p>
          <w:p w14:paraId="7C5544E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（1）锁紧销≥10个；</w:t>
            </w:r>
          </w:p>
          <w:p w14:paraId="17D3FC5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（2）定位平尺≥4个；</w:t>
            </w:r>
          </w:p>
          <w:p w14:paraId="1960D47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（3）平面角尺≥2个；</w:t>
            </w:r>
          </w:p>
          <w:p w14:paraId="2AEC770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（4）T型角尺≥2个；</w:t>
            </w:r>
          </w:p>
          <w:p w14:paraId="7844F7C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（5）180度压紧器≥2个。</w:t>
            </w:r>
          </w:p>
          <w:p w14:paraId="7D555E6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bidi="ar"/>
              </w:rPr>
              <w:t>十一、配套实训资源</w:t>
            </w:r>
          </w:p>
          <w:p w14:paraId="24C6E73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配套实训指导书资源：包含焊接机器人系统认知、焊接机器人操作与编程2个项目，共计9个子任务。</w:t>
            </w:r>
          </w:p>
          <w:p w14:paraId="3BB878B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配套PPT资源：包含《工业机器人基本认知》、《工业机器人基本操作》、《工业机器人指令操作与编程》、《设备简介》4个教学PPT资源。</w:t>
            </w:r>
          </w:p>
          <w:p w14:paraId="7934AB1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配套应用案例：包含工业现场焊接应用视频10个。</w:t>
            </w:r>
          </w:p>
          <w:p w14:paraId="353C712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随机附带资料，包括以下内容：</w:t>
            </w:r>
          </w:p>
          <w:p w14:paraId="74E87FC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机器人程序、电气原理图、IO表。</w:t>
            </w:r>
          </w:p>
          <w:p w14:paraId="1533342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bidi="ar"/>
              </w:rPr>
              <w:t>十二、配套控制器调试操作软件</w:t>
            </w:r>
          </w:p>
          <w:p w14:paraId="1229153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 xml:space="preserve">该软件是一款基于 Windows 平台的机器人调试软件， 提供示教、终端、采集、仿真等多种功能，可满足多种场景的调试需求。 </w:t>
            </w:r>
          </w:p>
          <w:p w14:paraId="0F3A48F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具有以下功能：</w:t>
            </w:r>
          </w:p>
          <w:p w14:paraId="1D09363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具备【控制器监视器】功能，包括、新建、配置、移除、注册、升级、连接、断开等功能；</w:t>
            </w:r>
          </w:p>
          <w:p w14:paraId="58CD88E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具备【状态】用于显示当前机器人状态信息功能，包含使能状态、当前轴组、坐标系显示切换、当前工具号、当前工件号状态；</w:t>
            </w:r>
          </w:p>
          <w:p w14:paraId="343E0C4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具备【面板】常规机器人操作控制面板功能，包含使能开关、运动模式切换、点动、寸动、增量寸动距离设置、倍率修调、控制器选项、组选项、工具选择、工件选择、点动、定义关节/笛卡尔坐标、关节、关节运动/直线运动到点功能；</w:t>
            </w:r>
          </w:p>
          <w:p w14:paraId="7B9DE93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具备【终端】可以使用终端命令与控制器进行数据交互及消息显示功能；</w:t>
            </w:r>
          </w:p>
          <w:p w14:paraId="4E35316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能对机器人各轴指令位置、反馈位置、速度、加速度等信息进行采集，并图形化显示，并导出采集文件；</w:t>
            </w:r>
          </w:p>
          <w:p w14:paraId="6C05616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能对IO 列表可进行，IO 真实或虚拟切换、设置 IO 信号、以及进行外部运行调试；</w:t>
            </w:r>
          </w:p>
          <w:p w14:paraId="4093D90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
              </w:rPr>
              <w:t>7.</w:t>
            </w:r>
            <w:r>
              <w:rPr>
                <w:rFonts w:hint="eastAsia" w:ascii="宋体" w:hAnsi="宋体" w:eastAsia="宋体" w:cs="宋体"/>
                <w:b w:val="0"/>
                <w:bCs w:val="0"/>
                <w:color w:val="auto"/>
                <w:kern w:val="0"/>
                <w:sz w:val="21"/>
                <w:szCs w:val="21"/>
                <w:highlight w:val="none"/>
                <w:lang w:val="en-US" w:eastAsia="zh-CN" w:bidi="ar"/>
              </w:rPr>
              <w:t>对机器人控制器参数进行设置、修改、导入、导出等功能。</w:t>
            </w:r>
            <w:r>
              <w:rPr>
                <w:rFonts w:hint="eastAsia" w:ascii="宋体" w:hAnsi="宋体" w:eastAsia="宋体" w:cs="宋体"/>
                <w:b w:val="0"/>
                <w:bCs w:val="0"/>
                <w:color w:val="auto"/>
                <w:kern w:val="0"/>
                <w:sz w:val="21"/>
                <w:szCs w:val="21"/>
                <w:highlight w:val="none"/>
                <w:lang w:val="en-US" w:eastAsia="zh-CN" w:bidi="ar-SA"/>
              </w:rPr>
              <w:tab/>
            </w:r>
          </w:p>
        </w:tc>
        <w:tc>
          <w:tcPr>
            <w:tcW w:w="505" w:type="dxa"/>
            <w:noWrap w:val="0"/>
            <w:vAlign w:val="center"/>
          </w:tcPr>
          <w:p w14:paraId="537215D0">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7B6B1627">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台</w:t>
            </w:r>
          </w:p>
        </w:tc>
        <w:tc>
          <w:tcPr>
            <w:tcW w:w="718" w:type="dxa"/>
            <w:noWrap w:val="0"/>
            <w:vAlign w:val="center"/>
          </w:tcPr>
          <w:p w14:paraId="20E7659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36A1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24D61127">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1239" w:type="dxa"/>
            <w:noWrap w:val="0"/>
            <w:vAlign w:val="center"/>
          </w:tcPr>
          <w:p w14:paraId="405FC347">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szCs w:val="21"/>
                <w:highlight w:val="none"/>
              </w:rPr>
              <w:t>自治区教学成果奖</w:t>
            </w:r>
            <w:r>
              <w:rPr>
                <w:rFonts w:hint="eastAsia" w:ascii="宋体" w:hAnsi="宋体" w:cs="宋体"/>
                <w:b w:val="0"/>
                <w:bCs w:val="0"/>
                <w:color w:val="auto"/>
                <w:szCs w:val="21"/>
                <w:highlight w:val="none"/>
                <w:lang w:eastAsia="zh-CN"/>
              </w:rPr>
              <w:t>培育</w:t>
            </w:r>
          </w:p>
        </w:tc>
        <w:tc>
          <w:tcPr>
            <w:tcW w:w="6390" w:type="dxa"/>
            <w:gridSpan w:val="2"/>
            <w:noWrap w:val="0"/>
            <w:vAlign w:val="center"/>
          </w:tcPr>
          <w:p w14:paraId="1D660F2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bidi="ar"/>
              </w:rPr>
              <w:t>一</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邀请专家指导</w:t>
            </w:r>
            <w:r>
              <w:rPr>
                <w:rFonts w:hint="eastAsia" w:ascii="宋体" w:hAnsi="宋体" w:eastAsia="宋体" w:cs="宋体"/>
                <w:b w:val="0"/>
                <w:bCs w:val="0"/>
                <w:color w:val="auto"/>
                <w:kern w:val="0"/>
                <w:sz w:val="21"/>
                <w:szCs w:val="21"/>
                <w:highlight w:val="none"/>
                <w:lang w:eastAsia="zh-CN" w:bidi="ar"/>
              </w:rPr>
              <w:t>（线上</w:t>
            </w: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eastAsia="zh-CN" w:bidi="ar"/>
              </w:rPr>
              <w:t>个月，线下</w:t>
            </w:r>
            <w:r>
              <w:rPr>
                <w:rFonts w:hint="eastAsia" w:ascii="宋体" w:hAnsi="宋体" w:eastAsia="宋体" w:cs="宋体"/>
                <w:b w:val="0"/>
                <w:bCs w:val="0"/>
                <w:color w:val="auto"/>
                <w:kern w:val="0"/>
                <w:sz w:val="21"/>
                <w:szCs w:val="21"/>
                <w:highlight w:val="none"/>
                <w:lang w:val="en-US" w:eastAsia="zh-CN" w:bidi="ar"/>
              </w:rPr>
              <w:t>3天</w:t>
            </w:r>
            <w:r>
              <w:rPr>
                <w:rFonts w:hint="eastAsia" w:ascii="宋体" w:hAnsi="宋体" w:eastAsia="宋体" w:cs="宋体"/>
                <w:b w:val="0"/>
                <w:bCs w:val="0"/>
                <w:color w:val="auto"/>
                <w:kern w:val="0"/>
                <w:sz w:val="21"/>
                <w:szCs w:val="21"/>
                <w:highlight w:val="none"/>
                <w:lang w:eastAsia="zh-CN" w:bidi="ar"/>
              </w:rPr>
              <w:t>）：</w:t>
            </w:r>
          </w:p>
          <w:p w14:paraId="3C6BF52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eastAsia="zh-CN" w:bidi="ar"/>
              </w:rPr>
              <w:t>申报书的撰写以及申报材料的制作技巧。</w:t>
            </w:r>
          </w:p>
          <w:p w14:paraId="1E8A293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eastAsia="zh-CN" w:bidi="ar"/>
              </w:rPr>
              <w:t>教学成果奖的佐证与展示。</w:t>
            </w:r>
          </w:p>
          <w:p w14:paraId="0762571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eastAsia="zh-CN" w:bidi="ar"/>
              </w:rPr>
              <w:t>日常如何培育教学成果奖。</w:t>
            </w:r>
          </w:p>
          <w:p w14:paraId="2518C9C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eastAsia="zh-CN" w:bidi="ar"/>
              </w:rPr>
              <w:t>与本校相近的案例解析。</w:t>
            </w:r>
          </w:p>
          <w:p w14:paraId="23348EC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eastAsia="zh-CN" w:bidi="ar"/>
              </w:rPr>
              <w:t>结合当前本校基础，拟定方向。</w:t>
            </w:r>
          </w:p>
          <w:p w14:paraId="0E9B442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6.对材料进行打磨、进行答辩模拟。</w:t>
            </w:r>
          </w:p>
          <w:p w14:paraId="0A82A34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7.对数据进行验证、对文案进行优化。</w:t>
            </w:r>
          </w:p>
          <w:p w14:paraId="22CC980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专家资质要求：省级教学成果特等奖主持人或前三参与者。</w:t>
            </w:r>
          </w:p>
          <w:p w14:paraId="10B246B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二、</w:t>
            </w:r>
            <w:r>
              <w:rPr>
                <w:rFonts w:hint="eastAsia" w:ascii="宋体" w:hAnsi="宋体" w:eastAsia="宋体" w:cs="宋体"/>
                <w:b w:val="0"/>
                <w:bCs w:val="0"/>
                <w:color w:val="auto"/>
                <w:kern w:val="0"/>
                <w:sz w:val="21"/>
                <w:szCs w:val="21"/>
                <w:highlight w:val="none"/>
                <w:lang w:val="en-US" w:eastAsia="zh-CN" w:bidi="ar"/>
              </w:rPr>
              <w:t>6位专业教师</w:t>
            </w:r>
            <w:r>
              <w:rPr>
                <w:rFonts w:hint="eastAsia" w:ascii="宋体" w:hAnsi="宋体" w:eastAsia="宋体" w:cs="宋体"/>
                <w:b w:val="0"/>
                <w:bCs w:val="0"/>
                <w:color w:val="auto"/>
                <w:kern w:val="0"/>
                <w:sz w:val="21"/>
                <w:szCs w:val="21"/>
                <w:highlight w:val="none"/>
                <w:lang w:eastAsia="zh-CN" w:bidi="ar"/>
              </w:rPr>
              <w:t>外出与高质量双优或双高建设院校进行学习（</w:t>
            </w:r>
            <w:r>
              <w:rPr>
                <w:rFonts w:hint="eastAsia" w:ascii="宋体" w:hAnsi="宋体" w:eastAsia="宋体" w:cs="宋体"/>
                <w:b w:val="0"/>
                <w:bCs w:val="0"/>
                <w:color w:val="auto"/>
                <w:kern w:val="0"/>
                <w:sz w:val="21"/>
                <w:szCs w:val="21"/>
                <w:highlight w:val="none"/>
                <w:lang w:val="en-US" w:eastAsia="zh-CN" w:bidi="ar"/>
              </w:rPr>
              <w:t>3天</w:t>
            </w:r>
            <w:r>
              <w:rPr>
                <w:rFonts w:hint="eastAsia" w:ascii="宋体" w:hAnsi="宋体" w:eastAsia="宋体" w:cs="宋体"/>
                <w:b w:val="0"/>
                <w:bCs w:val="0"/>
                <w:color w:val="auto"/>
                <w:kern w:val="0"/>
                <w:sz w:val="21"/>
                <w:szCs w:val="21"/>
                <w:highlight w:val="none"/>
                <w:lang w:eastAsia="zh-CN" w:bidi="ar"/>
              </w:rPr>
              <w:t>）</w:t>
            </w:r>
          </w:p>
          <w:p w14:paraId="6EC427F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1.参观、听课、座谈。</w:t>
            </w:r>
          </w:p>
          <w:p w14:paraId="53EBE6F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2.提炼可复制的"双优"建设经验，获得对应特色案例1份。</w:t>
            </w:r>
          </w:p>
          <w:p w14:paraId="2416F8B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3.地点：已完成本项验收的优质专业（数控）职业院校或已完成中期验收的双优职业院校。</w:t>
            </w:r>
          </w:p>
        </w:tc>
        <w:tc>
          <w:tcPr>
            <w:tcW w:w="505" w:type="dxa"/>
            <w:noWrap w:val="0"/>
            <w:vAlign w:val="center"/>
          </w:tcPr>
          <w:p w14:paraId="490C0C6A">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5CD73005">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项</w:t>
            </w:r>
          </w:p>
        </w:tc>
        <w:tc>
          <w:tcPr>
            <w:tcW w:w="718" w:type="dxa"/>
            <w:noWrap w:val="0"/>
            <w:vAlign w:val="center"/>
          </w:tcPr>
          <w:p w14:paraId="5896ACFC">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r>
      <w:tr w14:paraId="1356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4364FF37">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w:t>
            </w:r>
          </w:p>
        </w:tc>
        <w:tc>
          <w:tcPr>
            <w:tcW w:w="1239" w:type="dxa"/>
            <w:noWrap w:val="0"/>
            <w:vAlign w:val="center"/>
          </w:tcPr>
          <w:p w14:paraId="2C8F380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bidi="ar"/>
              </w:rPr>
              <w:t>自治区重点课题研究</w:t>
            </w:r>
          </w:p>
        </w:tc>
        <w:tc>
          <w:tcPr>
            <w:tcW w:w="6390" w:type="dxa"/>
            <w:gridSpan w:val="2"/>
            <w:noWrap w:val="0"/>
            <w:vAlign w:val="center"/>
          </w:tcPr>
          <w:p w14:paraId="1232C64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一、邀请专家进行指导：</w:t>
            </w:r>
          </w:p>
          <w:p w14:paraId="278EB51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1.指导完成研究报告。</w:t>
            </w:r>
          </w:p>
          <w:p w14:paraId="436A078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2.指导完成预期成果内容的撰写与论证。</w:t>
            </w:r>
          </w:p>
          <w:p w14:paraId="1FA95F8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3.完成2篇论文发表，刊物应在知网、维普或万方其中一个收录。</w:t>
            </w:r>
          </w:p>
          <w:p w14:paraId="010FD5D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专家资质：已经结题的社区教育类重点课题主持人。</w:t>
            </w:r>
          </w:p>
        </w:tc>
        <w:tc>
          <w:tcPr>
            <w:tcW w:w="505" w:type="dxa"/>
            <w:noWrap w:val="0"/>
            <w:vAlign w:val="center"/>
          </w:tcPr>
          <w:p w14:paraId="4706E19D">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478" w:type="dxa"/>
            <w:noWrap w:val="0"/>
            <w:vAlign w:val="center"/>
          </w:tcPr>
          <w:p w14:paraId="036D6C7E">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w:t>
            </w:r>
          </w:p>
        </w:tc>
        <w:tc>
          <w:tcPr>
            <w:tcW w:w="718" w:type="dxa"/>
            <w:noWrap w:val="0"/>
            <w:vAlign w:val="center"/>
          </w:tcPr>
          <w:p w14:paraId="4EFFAA9A">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p>
        </w:tc>
      </w:tr>
      <w:tr w14:paraId="38A4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75987A72">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w:t>
            </w:r>
          </w:p>
        </w:tc>
        <w:tc>
          <w:tcPr>
            <w:tcW w:w="1239" w:type="dxa"/>
            <w:noWrap w:val="0"/>
            <w:vAlign w:val="center"/>
          </w:tcPr>
          <w:p w14:paraId="2D048603">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bidi="ar"/>
              </w:rPr>
              <w:t>社会培训（乡村振兴培训）</w:t>
            </w:r>
          </w:p>
        </w:tc>
        <w:tc>
          <w:tcPr>
            <w:tcW w:w="6390" w:type="dxa"/>
            <w:gridSpan w:val="2"/>
            <w:noWrap w:val="0"/>
            <w:vAlign w:val="center"/>
          </w:tcPr>
          <w:p w14:paraId="4C05AAF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参加社会培训</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eastAsia="zh-CN"/>
              </w:rPr>
              <w:t>组织与本专业相关的人员培训</w:t>
            </w:r>
          </w:p>
          <w:p w14:paraId="5973D09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bidi="ar"/>
              </w:rPr>
              <w:t>组织村书记学习</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eastAsia="zh-CN"/>
              </w:rPr>
              <w:t>组织村书记参加乡村振兴培训</w:t>
            </w:r>
          </w:p>
          <w:p w14:paraId="14EBA64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3.培训人数：300人</w:t>
            </w:r>
          </w:p>
        </w:tc>
        <w:tc>
          <w:tcPr>
            <w:tcW w:w="505" w:type="dxa"/>
            <w:noWrap w:val="0"/>
            <w:vAlign w:val="center"/>
          </w:tcPr>
          <w:p w14:paraId="2917BAFA">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478" w:type="dxa"/>
            <w:noWrap w:val="0"/>
            <w:vAlign w:val="center"/>
          </w:tcPr>
          <w:p w14:paraId="7F4D6172">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w:t>
            </w:r>
          </w:p>
        </w:tc>
        <w:tc>
          <w:tcPr>
            <w:tcW w:w="718" w:type="dxa"/>
            <w:noWrap w:val="0"/>
            <w:vAlign w:val="center"/>
          </w:tcPr>
          <w:p w14:paraId="5D2E3B9C">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p>
        </w:tc>
      </w:tr>
      <w:tr w14:paraId="71DD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6DCEB4BA">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w:t>
            </w:r>
          </w:p>
        </w:tc>
        <w:tc>
          <w:tcPr>
            <w:tcW w:w="1239" w:type="dxa"/>
            <w:noWrap w:val="0"/>
            <w:vAlign w:val="center"/>
          </w:tcPr>
          <w:p w14:paraId="31C95F18">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教学资源库建设</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精品课程培育</w:t>
            </w:r>
            <w:r>
              <w:rPr>
                <w:rFonts w:hint="eastAsia" w:ascii="宋体" w:hAnsi="宋体" w:eastAsia="宋体" w:cs="宋体"/>
                <w:color w:val="auto"/>
                <w:kern w:val="0"/>
                <w:sz w:val="21"/>
                <w:szCs w:val="21"/>
                <w:highlight w:val="none"/>
                <w:lang w:eastAsia="zh-CN" w:bidi="ar"/>
              </w:rPr>
              <w:t>）</w:t>
            </w:r>
          </w:p>
        </w:tc>
        <w:tc>
          <w:tcPr>
            <w:tcW w:w="6390" w:type="dxa"/>
            <w:gridSpan w:val="2"/>
            <w:noWrap w:val="0"/>
            <w:vAlign w:val="center"/>
          </w:tcPr>
          <w:p w14:paraId="300B01CC">
            <w:pPr>
              <w:spacing w:before="89" w:line="219" w:lineRule="auto"/>
              <w:ind w:left="64"/>
              <w:rPr>
                <w:rFonts w:ascii="宋体" w:hAnsi="宋体" w:eastAsia="宋体" w:cs="宋体"/>
                <w:color w:val="auto"/>
                <w:sz w:val="18"/>
                <w:szCs w:val="18"/>
                <w:highlight w:val="none"/>
              </w:rPr>
            </w:pPr>
            <w:r>
              <w:rPr>
                <w:rFonts w:ascii="宋体" w:hAnsi="宋体" w:eastAsia="宋体" w:cs="宋体"/>
                <w:b/>
                <w:bCs/>
                <w:color w:val="auto"/>
                <w:spacing w:val="-5"/>
                <w:sz w:val="18"/>
                <w:szCs w:val="18"/>
                <w:highlight w:val="none"/>
              </w:rPr>
              <w:t>一、内容要求</w:t>
            </w:r>
          </w:p>
          <w:p w14:paraId="76313CF5">
            <w:pPr>
              <w:widowControl/>
              <w:spacing w:line="340" w:lineRule="exact"/>
              <w:textAlignment w:val="center"/>
              <w:rPr>
                <w:rFonts w:hint="eastAsia" w:ascii="宋体" w:hAnsi="宋体" w:cs="仿宋_GB2312"/>
                <w:color w:val="auto"/>
                <w:szCs w:val="21"/>
                <w:highlight w:val="none"/>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w:t>
            </w:r>
            <w:r>
              <w:rPr>
                <w:rFonts w:hint="eastAsia" w:ascii="宋体" w:hAnsi="宋体" w:cs="仿宋_GB2312"/>
                <w:color w:val="auto"/>
                <w:szCs w:val="21"/>
                <w:highlight w:val="none"/>
              </w:rPr>
              <w:t>指导完成2门在线课程建设，课程内容体现新知识、新技术、新工艺、新方法，与行业先进水平保持同步。</w:t>
            </w:r>
          </w:p>
          <w:p w14:paraId="6B29A0EA">
            <w:pPr>
              <w:widowControl/>
              <w:spacing w:line="340" w:lineRule="exact"/>
              <w:textAlignment w:val="center"/>
              <w:rPr>
                <w:rFonts w:hint="eastAsia" w:ascii="宋体" w:hAnsi="宋体" w:cs="仿宋_GB2312"/>
                <w:color w:val="auto"/>
                <w:szCs w:val="21"/>
                <w:highlight w:val="none"/>
              </w:rPr>
            </w:pPr>
            <w:r>
              <w:rPr>
                <w:rFonts w:hint="eastAsia" w:ascii="宋体" w:hAnsi="宋体" w:cs="仿宋_GB2312"/>
                <w:color w:val="auto"/>
                <w:szCs w:val="21"/>
                <w:highlight w:val="none"/>
              </w:rPr>
              <w:t>2</w:t>
            </w:r>
            <w:r>
              <w:rPr>
                <w:rFonts w:hint="eastAsia" w:ascii="宋体" w:hAnsi="宋体" w:cs="仿宋_GB2312"/>
                <w:color w:val="auto"/>
                <w:szCs w:val="21"/>
                <w:highlight w:val="none"/>
                <w:lang w:val="en-US" w:eastAsia="zh-CN"/>
              </w:rPr>
              <w:t>.</w:t>
            </w:r>
            <w:r>
              <w:rPr>
                <w:rFonts w:hint="eastAsia" w:ascii="宋体" w:hAnsi="宋体" w:cs="仿宋_GB2312"/>
                <w:color w:val="auto"/>
                <w:szCs w:val="21"/>
                <w:highlight w:val="none"/>
              </w:rPr>
              <w:t>建设成果：数字教材平台账号、数字教材内容和资源。</w:t>
            </w:r>
          </w:p>
          <w:p w14:paraId="63AD416A">
            <w:pPr>
              <w:spacing w:before="105" w:line="219" w:lineRule="auto"/>
              <w:ind w:left="54"/>
              <w:rPr>
                <w:rFonts w:ascii="宋体" w:hAnsi="宋体" w:eastAsia="宋体" w:cs="宋体"/>
                <w:color w:val="auto"/>
                <w:sz w:val="18"/>
                <w:szCs w:val="18"/>
                <w:highlight w:val="none"/>
              </w:rPr>
            </w:pPr>
            <w:r>
              <w:rPr>
                <w:rFonts w:ascii="宋体" w:hAnsi="宋体" w:eastAsia="宋体" w:cs="宋体"/>
                <w:b/>
                <w:bCs/>
                <w:color w:val="auto"/>
                <w:spacing w:val="-4"/>
                <w:sz w:val="18"/>
                <w:szCs w:val="18"/>
                <w:highlight w:val="none"/>
              </w:rPr>
              <w:t>二、服务要求</w:t>
            </w:r>
          </w:p>
          <w:p w14:paraId="05EDE20E">
            <w:pPr>
              <w:spacing w:before="78" w:line="199" w:lineRule="auto"/>
              <w:ind w:left="37" w:leftChars="0"/>
              <w:rPr>
                <w:rFonts w:ascii="宋体" w:hAnsi="宋体" w:eastAsia="宋体" w:cs="宋体"/>
                <w:color w:val="auto"/>
                <w:sz w:val="18"/>
                <w:szCs w:val="18"/>
                <w:highlight w:val="none"/>
              </w:rPr>
            </w:pPr>
            <w:r>
              <w:rPr>
                <w:rFonts w:ascii="宋体" w:hAnsi="宋体" w:eastAsia="宋体" w:cs="宋体"/>
                <w:b/>
                <w:bCs/>
                <w:color w:val="auto"/>
                <w:spacing w:val="-4"/>
                <w:sz w:val="18"/>
                <w:szCs w:val="18"/>
                <w:highlight w:val="none"/>
              </w:rPr>
              <w:t>资源数量要求</w:t>
            </w:r>
          </w:p>
          <w:tbl>
            <w:tblPr>
              <w:tblStyle w:val="38"/>
              <w:tblW w:w="7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073"/>
              <w:gridCol w:w="1201"/>
              <w:gridCol w:w="4359"/>
            </w:tblGrid>
            <w:tr w14:paraId="3E37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textDirection w:val="tbRlV"/>
                  <w:vAlign w:val="top"/>
                </w:tcPr>
                <w:p w14:paraId="29F46332">
                  <w:pPr>
                    <w:spacing w:before="78" w:line="199" w:lineRule="auto"/>
                    <w:ind w:left="37" w:leftChars="0" w:firstLine="180" w:firstLineChars="1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序 号</w:t>
                  </w:r>
                </w:p>
                <w:p w14:paraId="7605994C">
                  <w:pPr>
                    <w:spacing w:before="78" w:line="199" w:lineRule="auto"/>
                    <w:ind w:left="37" w:leftChars="0"/>
                    <w:rPr>
                      <w:rFonts w:ascii="宋体" w:hAnsi="宋体" w:eastAsia="宋体" w:cs="宋体"/>
                      <w:color w:val="auto"/>
                      <w:sz w:val="18"/>
                      <w:szCs w:val="18"/>
                      <w:highlight w:val="none"/>
                    </w:rPr>
                  </w:pPr>
                </w:p>
                <w:p w14:paraId="3A2EFF4F">
                  <w:pPr>
                    <w:spacing w:before="78" w:line="199" w:lineRule="auto"/>
                    <w:ind w:left="37"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序号</w:t>
                  </w:r>
                </w:p>
              </w:tc>
              <w:tc>
                <w:tcPr>
                  <w:tcW w:w="1073" w:type="dxa"/>
                  <w:shd w:val="clear" w:color="auto" w:fill="auto"/>
                  <w:vAlign w:val="top"/>
                </w:tcPr>
                <w:p w14:paraId="4C922365">
                  <w:pPr>
                    <w:spacing w:before="95" w:line="221" w:lineRule="auto"/>
                    <w:ind w:left="72"/>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资源</w:t>
                  </w:r>
                </w:p>
                <w:p w14:paraId="2DBFD863">
                  <w:pPr>
                    <w:spacing w:before="103" w:line="201" w:lineRule="auto"/>
                    <w:ind w:left="7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类型</w:t>
                  </w:r>
                </w:p>
              </w:tc>
              <w:tc>
                <w:tcPr>
                  <w:tcW w:w="1201" w:type="dxa"/>
                  <w:shd w:val="clear" w:color="auto" w:fill="auto"/>
                  <w:vAlign w:val="top"/>
                </w:tcPr>
                <w:p w14:paraId="3ADCB728">
                  <w:pPr>
                    <w:spacing w:before="224" w:line="219" w:lineRule="auto"/>
                    <w:ind w:left="33"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3"/>
                      <w:sz w:val="18"/>
                      <w:szCs w:val="18"/>
                      <w:highlight w:val="none"/>
                    </w:rPr>
                    <w:t>数量</w:t>
                  </w:r>
                </w:p>
              </w:tc>
              <w:tc>
                <w:tcPr>
                  <w:tcW w:w="4359" w:type="dxa"/>
                  <w:shd w:val="clear" w:color="auto" w:fill="auto"/>
                  <w:vAlign w:val="top"/>
                </w:tcPr>
                <w:p w14:paraId="6DC909D7">
                  <w:pPr>
                    <w:spacing w:before="225" w:line="221" w:lineRule="auto"/>
                    <w:ind w:left="94"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3"/>
                      <w:sz w:val="18"/>
                      <w:szCs w:val="18"/>
                      <w:highlight w:val="none"/>
                    </w:rPr>
                    <w:t>备注</w:t>
                  </w:r>
                </w:p>
              </w:tc>
            </w:tr>
            <w:tr w14:paraId="7BC6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top"/>
                </w:tcPr>
                <w:p w14:paraId="06F6A498">
                  <w:pPr>
                    <w:spacing w:before="262" w:line="241" w:lineRule="auto"/>
                    <w:ind w:left="10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1</w:t>
                  </w:r>
                </w:p>
              </w:tc>
              <w:tc>
                <w:tcPr>
                  <w:tcW w:w="1073" w:type="dxa"/>
                  <w:shd w:val="clear" w:color="auto" w:fill="auto"/>
                  <w:vAlign w:val="top"/>
                </w:tcPr>
                <w:p w14:paraId="79B7E2E7">
                  <w:pPr>
                    <w:spacing w:before="104" w:line="274" w:lineRule="auto"/>
                    <w:ind w:left="72" w:leftChars="0" w:right="392" w:righ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4"/>
                      <w:sz w:val="18"/>
                      <w:szCs w:val="18"/>
                      <w:highlight w:val="none"/>
                    </w:rPr>
                    <w:t>课程</w:t>
                  </w:r>
                  <w:r>
                    <w:rPr>
                      <w:rFonts w:ascii="宋体" w:hAnsi="宋体" w:eastAsia="宋体" w:cs="宋体"/>
                      <w:color w:val="auto"/>
                      <w:spacing w:val="7"/>
                      <w:sz w:val="18"/>
                      <w:szCs w:val="18"/>
                      <w:highlight w:val="none"/>
                    </w:rPr>
                    <w:t>介绍</w:t>
                  </w:r>
                </w:p>
              </w:tc>
              <w:tc>
                <w:tcPr>
                  <w:tcW w:w="1201" w:type="dxa"/>
                  <w:shd w:val="clear" w:color="auto" w:fill="auto"/>
                  <w:vAlign w:val="top"/>
                </w:tcPr>
                <w:p w14:paraId="14A9D9E5">
                  <w:pPr>
                    <w:spacing w:before="244" w:line="219" w:lineRule="auto"/>
                    <w:ind w:left="33" w:leftChars="0"/>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1个/门</w:t>
                  </w:r>
                </w:p>
              </w:tc>
              <w:tc>
                <w:tcPr>
                  <w:tcW w:w="4359" w:type="dxa"/>
                  <w:shd w:val="clear" w:color="auto" w:fill="auto"/>
                  <w:vAlign w:val="top"/>
                </w:tcPr>
                <w:p w14:paraId="32A51C6B">
                  <w:pPr>
                    <w:spacing w:before="245" w:line="220" w:lineRule="auto"/>
                    <w:ind w:left="94"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5-10分钟视频</w:t>
                  </w:r>
                </w:p>
              </w:tc>
            </w:tr>
            <w:tr w14:paraId="3D1F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top"/>
                </w:tcPr>
                <w:p w14:paraId="7618B64C">
                  <w:pPr>
                    <w:pStyle w:val="147"/>
                    <w:spacing w:line="330" w:lineRule="auto"/>
                    <w:rPr>
                      <w:color w:val="auto"/>
                      <w:highlight w:val="none"/>
                    </w:rPr>
                  </w:pPr>
                </w:p>
                <w:p w14:paraId="27DF6CC5">
                  <w:pPr>
                    <w:pStyle w:val="147"/>
                    <w:spacing w:line="330" w:lineRule="auto"/>
                    <w:rPr>
                      <w:color w:val="auto"/>
                      <w:highlight w:val="none"/>
                    </w:rPr>
                  </w:pPr>
                </w:p>
                <w:p w14:paraId="366865BC">
                  <w:pPr>
                    <w:spacing w:before="59" w:line="241" w:lineRule="auto"/>
                    <w:ind w:left="10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2</w:t>
                  </w:r>
                </w:p>
              </w:tc>
              <w:tc>
                <w:tcPr>
                  <w:tcW w:w="1073" w:type="dxa"/>
                  <w:shd w:val="clear" w:color="auto" w:fill="auto"/>
                  <w:vAlign w:val="top"/>
                </w:tcPr>
                <w:p w14:paraId="466EB7C9">
                  <w:pPr>
                    <w:pStyle w:val="147"/>
                    <w:spacing w:line="321" w:lineRule="auto"/>
                    <w:rPr>
                      <w:color w:val="auto"/>
                      <w:highlight w:val="none"/>
                    </w:rPr>
                  </w:pPr>
                </w:p>
                <w:p w14:paraId="72442C03">
                  <w:pPr>
                    <w:pStyle w:val="147"/>
                    <w:spacing w:line="321" w:lineRule="auto"/>
                    <w:rPr>
                      <w:color w:val="auto"/>
                      <w:highlight w:val="none"/>
                    </w:rPr>
                  </w:pPr>
                </w:p>
                <w:p w14:paraId="32967C30">
                  <w:pPr>
                    <w:spacing w:before="59" w:line="219" w:lineRule="auto"/>
                    <w:ind w:left="7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微课</w:t>
                  </w:r>
                </w:p>
              </w:tc>
              <w:tc>
                <w:tcPr>
                  <w:tcW w:w="1201" w:type="dxa"/>
                  <w:shd w:val="clear" w:color="auto" w:fill="auto"/>
                  <w:vAlign w:val="top"/>
                </w:tcPr>
                <w:p w14:paraId="6D8DF10B">
                  <w:pPr>
                    <w:tabs>
                      <w:tab w:val="left" w:pos="151"/>
                    </w:tabs>
                    <w:spacing w:before="115" w:line="298" w:lineRule="auto"/>
                    <w:ind w:left="33" w:leftChars="0" w:right="208" w:rightChars="0"/>
                    <w:jc w:val="both"/>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3"/>
                      <w:sz w:val="18"/>
                      <w:szCs w:val="18"/>
                      <w:highlight w:val="none"/>
                    </w:rPr>
                    <w:t>350分</w:t>
                  </w:r>
                  <w:r>
                    <w:rPr>
                      <w:rFonts w:ascii="宋体" w:hAnsi="宋体" w:eastAsia="宋体" w:cs="宋体"/>
                      <w:color w:val="auto"/>
                      <w:spacing w:val="6"/>
                      <w:sz w:val="18"/>
                      <w:szCs w:val="18"/>
                      <w:highlight w:val="none"/>
                    </w:rPr>
                    <w:t>钟/门</w:t>
                  </w:r>
                  <w:r>
                    <w:rPr>
                      <w:rFonts w:ascii="宋体" w:hAnsi="宋体" w:eastAsia="宋体" w:cs="宋体"/>
                      <w:color w:val="auto"/>
                      <w:sz w:val="18"/>
                      <w:szCs w:val="18"/>
                      <w:highlight w:val="none"/>
                    </w:rPr>
                    <w:tab/>
                  </w:r>
                  <w:r>
                    <w:rPr>
                      <w:rFonts w:ascii="宋体" w:hAnsi="宋体" w:eastAsia="宋体" w:cs="宋体"/>
                      <w:color w:val="auto"/>
                      <w:spacing w:val="2"/>
                      <w:sz w:val="18"/>
                      <w:szCs w:val="18"/>
                      <w:highlight w:val="none"/>
                    </w:rPr>
                    <w:t>(5个</w:t>
                  </w:r>
                  <w:r>
                    <w:rPr>
                      <w:rFonts w:ascii="宋体" w:hAnsi="宋体" w:eastAsia="宋体" w:cs="宋体"/>
                      <w:color w:val="auto"/>
                      <w:spacing w:val="-3"/>
                      <w:sz w:val="18"/>
                      <w:szCs w:val="18"/>
                      <w:highlight w:val="none"/>
                    </w:rPr>
                    <w:t>动画/</w:t>
                  </w:r>
                  <w:r>
                    <w:rPr>
                      <w:rFonts w:ascii="宋体" w:hAnsi="宋体" w:eastAsia="宋体" w:cs="宋体"/>
                      <w:color w:val="auto"/>
                      <w:spacing w:val="-14"/>
                      <w:sz w:val="18"/>
                      <w:szCs w:val="18"/>
                      <w:highlight w:val="none"/>
                    </w:rPr>
                    <w:t>门)</w:t>
                  </w:r>
                </w:p>
              </w:tc>
              <w:tc>
                <w:tcPr>
                  <w:tcW w:w="4359" w:type="dxa"/>
                  <w:shd w:val="clear" w:color="auto" w:fill="auto"/>
                  <w:vAlign w:val="top"/>
                </w:tcPr>
                <w:p w14:paraId="4F8AA508">
                  <w:pPr>
                    <w:spacing w:before="265" w:line="333" w:lineRule="auto"/>
                    <w:ind w:left="84" w:leftChars="0"/>
                    <w:jc w:val="both"/>
                    <w:rPr>
                      <w:rFonts w:ascii="宋体" w:hAnsi="宋体" w:eastAsia="宋体" w:cs="宋体"/>
                      <w:color w:val="auto"/>
                      <w:spacing w:val="-4"/>
                      <w:sz w:val="18"/>
                      <w:szCs w:val="18"/>
                      <w:highlight w:val="none"/>
                    </w:rPr>
                  </w:pPr>
                  <w:r>
                    <w:rPr>
                      <w:rFonts w:ascii="宋体" w:hAnsi="宋体" w:eastAsia="宋体" w:cs="宋体"/>
                      <w:color w:val="auto"/>
                      <w:spacing w:val="-2"/>
                      <w:sz w:val="18"/>
                      <w:szCs w:val="18"/>
                      <w:highlight w:val="none"/>
                    </w:rPr>
                    <w:t>时长3-10分钟/</w:t>
                  </w:r>
                  <w:r>
                    <w:rPr>
                      <w:rFonts w:hint="eastAsia" w:ascii="宋体" w:hAnsi="宋体" w:eastAsia="宋体" w:cs="宋体"/>
                      <w:color w:val="auto"/>
                      <w:spacing w:val="-2"/>
                      <w:sz w:val="18"/>
                      <w:szCs w:val="18"/>
                      <w:highlight w:val="none"/>
                      <w:lang w:eastAsia="zh-CN"/>
                    </w:rPr>
                    <w:t>个</w:t>
                  </w:r>
                  <w:r>
                    <w:rPr>
                      <w:rFonts w:ascii="宋体" w:hAnsi="宋体" w:eastAsia="宋体" w:cs="宋体"/>
                      <w:color w:val="auto"/>
                      <w:spacing w:val="-2"/>
                      <w:sz w:val="18"/>
                      <w:szCs w:val="18"/>
                      <w:highlight w:val="none"/>
                    </w:rPr>
                    <w:t>。匹配教学内</w:t>
                  </w:r>
                  <w:r>
                    <w:rPr>
                      <w:rFonts w:ascii="宋体" w:hAnsi="宋体" w:eastAsia="宋体" w:cs="宋体"/>
                      <w:color w:val="auto"/>
                      <w:spacing w:val="-4"/>
                      <w:sz w:val="18"/>
                      <w:szCs w:val="18"/>
                      <w:highlight w:val="none"/>
                    </w:rPr>
                    <w:t>容中的重</w:t>
                  </w:r>
                </w:p>
                <w:p w14:paraId="0B70F7B6">
                  <w:pPr>
                    <w:spacing w:before="265" w:line="333" w:lineRule="auto"/>
                    <w:ind w:left="84" w:leftChars="0"/>
                    <w:jc w:val="both"/>
                    <w:rPr>
                      <w:rFonts w:ascii="宋体" w:hAnsi="宋体" w:eastAsia="宋体" w:cs="宋体"/>
                      <w:color w:val="auto"/>
                      <w:spacing w:val="2"/>
                      <w:sz w:val="18"/>
                      <w:szCs w:val="18"/>
                      <w:highlight w:val="none"/>
                    </w:rPr>
                  </w:pPr>
                  <w:r>
                    <w:rPr>
                      <w:rFonts w:ascii="宋体" w:hAnsi="宋体" w:eastAsia="宋体" w:cs="宋体"/>
                      <w:color w:val="auto"/>
                      <w:spacing w:val="-4"/>
                      <w:sz w:val="18"/>
                      <w:szCs w:val="18"/>
                      <w:highlight w:val="none"/>
                    </w:rPr>
                    <w:t>点、难点，以视频形式</w:t>
                  </w:r>
                  <w:r>
                    <w:rPr>
                      <w:rFonts w:ascii="宋体" w:hAnsi="宋体" w:eastAsia="宋体" w:cs="宋体"/>
                      <w:color w:val="auto"/>
                      <w:spacing w:val="2"/>
                      <w:sz w:val="18"/>
                      <w:szCs w:val="18"/>
                      <w:highlight w:val="none"/>
                    </w:rPr>
                    <w:t>讲解、演示，使学</w:t>
                  </w:r>
                </w:p>
                <w:p w14:paraId="0EE8C20C">
                  <w:pPr>
                    <w:spacing w:before="265" w:line="333" w:lineRule="auto"/>
                    <w:ind w:left="84" w:leftChars="0"/>
                    <w:jc w:val="both"/>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生通过灵活、</w:t>
                  </w:r>
                  <w:r>
                    <w:rPr>
                      <w:rFonts w:ascii="宋体" w:hAnsi="宋体" w:eastAsia="宋体" w:cs="宋体"/>
                      <w:color w:val="auto"/>
                      <w:spacing w:val="-3"/>
                      <w:sz w:val="18"/>
                      <w:szCs w:val="18"/>
                      <w:highlight w:val="none"/>
                    </w:rPr>
                    <w:t>活泼的形式学习知识点。</w:t>
                  </w:r>
                </w:p>
              </w:tc>
            </w:tr>
            <w:tr w14:paraId="6133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top"/>
                </w:tcPr>
                <w:p w14:paraId="0C74F3D4">
                  <w:pPr>
                    <w:pStyle w:val="147"/>
                    <w:spacing w:line="244" w:lineRule="auto"/>
                    <w:rPr>
                      <w:color w:val="auto"/>
                      <w:highlight w:val="none"/>
                    </w:rPr>
                  </w:pPr>
                </w:p>
                <w:p w14:paraId="7DD6CF30">
                  <w:pPr>
                    <w:spacing w:before="59"/>
                    <w:ind w:left="10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3</w:t>
                  </w:r>
                </w:p>
              </w:tc>
              <w:tc>
                <w:tcPr>
                  <w:tcW w:w="1073" w:type="dxa"/>
                  <w:shd w:val="clear" w:color="auto" w:fill="auto"/>
                  <w:vAlign w:val="top"/>
                </w:tcPr>
                <w:p w14:paraId="2D358FE2">
                  <w:pPr>
                    <w:spacing w:before="277" w:line="219" w:lineRule="auto"/>
                    <w:ind w:left="7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课件</w:t>
                  </w:r>
                </w:p>
              </w:tc>
              <w:tc>
                <w:tcPr>
                  <w:tcW w:w="1201" w:type="dxa"/>
                  <w:shd w:val="clear" w:color="auto" w:fill="auto"/>
                  <w:vAlign w:val="top"/>
                </w:tcPr>
                <w:p w14:paraId="58434584">
                  <w:pPr>
                    <w:spacing w:before="277" w:line="220" w:lineRule="auto"/>
                    <w:ind w:left="33"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2套</w:t>
                  </w:r>
                </w:p>
              </w:tc>
              <w:tc>
                <w:tcPr>
                  <w:tcW w:w="4359" w:type="dxa"/>
                  <w:shd w:val="clear" w:color="auto" w:fill="auto"/>
                  <w:vAlign w:val="top"/>
                </w:tcPr>
                <w:p w14:paraId="50891DEA">
                  <w:pPr>
                    <w:spacing w:before="116" w:line="260" w:lineRule="auto"/>
                    <w:ind w:left="94" w:leftChars="0" w:right="108" w:rightChars="0"/>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以</w:t>
                  </w:r>
                  <w:r>
                    <w:rPr>
                      <w:rFonts w:ascii="宋体" w:hAnsi="宋体" w:eastAsia="宋体" w:cs="宋体"/>
                      <w:color w:val="auto"/>
                      <w:sz w:val="18"/>
                      <w:szCs w:val="18"/>
                      <w:highlight w:val="none"/>
                    </w:rPr>
                    <w:t>PPT</w:t>
                  </w:r>
                  <w:r>
                    <w:rPr>
                      <w:rFonts w:ascii="宋体" w:hAnsi="宋体" w:eastAsia="宋体" w:cs="宋体"/>
                      <w:color w:val="auto"/>
                      <w:spacing w:val="1"/>
                      <w:sz w:val="18"/>
                      <w:szCs w:val="18"/>
                      <w:highlight w:val="none"/>
                    </w:rPr>
                    <w:t>形式融合教学目标、各种</w:t>
                  </w:r>
                  <w:r>
                    <w:rPr>
                      <w:rFonts w:ascii="宋体" w:hAnsi="宋体" w:eastAsia="宋体" w:cs="宋体"/>
                      <w:color w:val="auto"/>
                      <w:sz w:val="18"/>
                      <w:szCs w:val="18"/>
                      <w:highlight w:val="none"/>
                    </w:rPr>
                    <w:t>参考资</w:t>
                  </w:r>
                </w:p>
                <w:p w14:paraId="2F959741">
                  <w:pPr>
                    <w:spacing w:before="116" w:line="260" w:lineRule="auto"/>
                    <w:ind w:left="94" w:leftChars="0" w:right="108" w:righ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料、学习素材等。</w:t>
                  </w:r>
                </w:p>
              </w:tc>
            </w:tr>
            <w:tr w14:paraId="351F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top"/>
                </w:tcPr>
                <w:p w14:paraId="6F7862CB">
                  <w:pPr>
                    <w:pStyle w:val="147"/>
                    <w:spacing w:line="339" w:lineRule="auto"/>
                    <w:rPr>
                      <w:color w:val="auto"/>
                      <w:highlight w:val="none"/>
                    </w:rPr>
                  </w:pPr>
                </w:p>
                <w:p w14:paraId="577868F7">
                  <w:pPr>
                    <w:spacing w:before="59" w:line="241" w:lineRule="auto"/>
                    <w:ind w:left="11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4</w:t>
                  </w:r>
                </w:p>
              </w:tc>
              <w:tc>
                <w:tcPr>
                  <w:tcW w:w="1073" w:type="dxa"/>
                  <w:shd w:val="clear" w:color="auto" w:fill="auto"/>
                  <w:vAlign w:val="top"/>
                </w:tcPr>
                <w:p w14:paraId="009DDD88">
                  <w:pPr>
                    <w:pStyle w:val="147"/>
                    <w:spacing w:line="321" w:lineRule="auto"/>
                    <w:rPr>
                      <w:color w:val="auto"/>
                      <w:highlight w:val="none"/>
                    </w:rPr>
                  </w:pPr>
                </w:p>
                <w:p w14:paraId="7227027E">
                  <w:pPr>
                    <w:spacing w:before="59" w:line="219" w:lineRule="auto"/>
                    <w:ind w:left="61"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试题库</w:t>
                  </w:r>
                </w:p>
              </w:tc>
              <w:tc>
                <w:tcPr>
                  <w:tcW w:w="1201" w:type="dxa"/>
                  <w:shd w:val="clear" w:color="auto" w:fill="auto"/>
                  <w:vAlign w:val="top"/>
                </w:tcPr>
                <w:p w14:paraId="766401DF">
                  <w:pPr>
                    <w:pStyle w:val="147"/>
                    <w:spacing w:line="322" w:lineRule="auto"/>
                    <w:rPr>
                      <w:color w:val="auto"/>
                      <w:highlight w:val="none"/>
                    </w:rPr>
                  </w:pPr>
                </w:p>
                <w:p w14:paraId="7F1D855F">
                  <w:pPr>
                    <w:spacing w:before="58" w:line="220" w:lineRule="auto"/>
                    <w:ind w:left="52" w:leftChars="0"/>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10</w:t>
                  </w:r>
                  <w:r>
                    <w:rPr>
                      <w:rFonts w:ascii="宋体" w:hAnsi="宋体" w:eastAsia="宋体" w:cs="宋体"/>
                      <w:color w:val="auto"/>
                      <w:spacing w:val="-2"/>
                      <w:sz w:val="18"/>
                      <w:szCs w:val="18"/>
                      <w:highlight w:val="none"/>
                    </w:rPr>
                    <w:t>套</w:t>
                  </w:r>
                  <w:r>
                    <w:rPr>
                      <w:rFonts w:hint="eastAsia" w:ascii="宋体" w:hAnsi="宋体" w:cs="宋体"/>
                      <w:color w:val="auto"/>
                      <w:spacing w:val="-2"/>
                      <w:sz w:val="18"/>
                      <w:szCs w:val="18"/>
                      <w:highlight w:val="none"/>
                      <w:lang w:val="en-US" w:eastAsia="zh-CN"/>
                    </w:rPr>
                    <w:t>/门</w:t>
                  </w:r>
                </w:p>
              </w:tc>
              <w:tc>
                <w:tcPr>
                  <w:tcW w:w="4359" w:type="dxa"/>
                  <w:shd w:val="clear" w:color="auto" w:fill="auto"/>
                  <w:vAlign w:val="top"/>
                </w:tcPr>
                <w:p w14:paraId="3BA00478">
                  <w:pPr>
                    <w:spacing w:before="92" w:line="323" w:lineRule="auto"/>
                    <w:ind w:left="74" w:hanging="10"/>
                    <w:rPr>
                      <w:rFonts w:ascii="宋体" w:hAnsi="宋体" w:eastAsia="宋体" w:cs="宋体"/>
                      <w:color w:val="auto"/>
                      <w:spacing w:val="-1"/>
                      <w:sz w:val="18"/>
                      <w:szCs w:val="18"/>
                      <w:highlight w:val="none"/>
                    </w:rPr>
                  </w:pPr>
                  <w:r>
                    <w:rPr>
                      <w:rFonts w:ascii="宋体" w:hAnsi="宋体" w:eastAsia="宋体" w:cs="宋体"/>
                      <w:color w:val="auto"/>
                      <w:spacing w:val="-1"/>
                      <w:sz w:val="18"/>
                      <w:szCs w:val="18"/>
                      <w:highlight w:val="none"/>
                    </w:rPr>
                    <w:t>含</w:t>
                  </w:r>
                  <w:r>
                    <w:rPr>
                      <w:rFonts w:hint="eastAsia" w:ascii="宋体" w:hAnsi="宋体" w:cs="宋体"/>
                      <w:color w:val="auto"/>
                      <w:spacing w:val="-1"/>
                      <w:sz w:val="18"/>
                      <w:szCs w:val="18"/>
                      <w:highlight w:val="none"/>
                      <w:lang w:val="en-US" w:eastAsia="zh-CN"/>
                    </w:rPr>
                    <w:t>100道课</w:t>
                  </w:r>
                  <w:r>
                    <w:rPr>
                      <w:rFonts w:ascii="宋体" w:hAnsi="宋体" w:eastAsia="宋体" w:cs="宋体"/>
                      <w:color w:val="auto"/>
                      <w:spacing w:val="-1"/>
                      <w:sz w:val="18"/>
                      <w:szCs w:val="18"/>
                      <w:highlight w:val="none"/>
                    </w:rPr>
                    <w:t>后练习题和单元自测题，课后</w:t>
                  </w:r>
                </w:p>
                <w:p w14:paraId="7A8EC0D6">
                  <w:pPr>
                    <w:spacing w:before="92" w:line="323" w:lineRule="auto"/>
                    <w:ind w:left="74" w:hanging="1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1"/>
                      <w:sz w:val="18"/>
                      <w:szCs w:val="18"/>
                      <w:highlight w:val="none"/>
                    </w:rPr>
                    <w:t>检验学习成果和重难点掌握情况。</w:t>
                  </w:r>
                </w:p>
              </w:tc>
            </w:tr>
            <w:tr w14:paraId="17E5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top"/>
                </w:tcPr>
                <w:p w14:paraId="7778F194">
                  <w:pPr>
                    <w:pStyle w:val="147"/>
                    <w:spacing w:line="335" w:lineRule="auto"/>
                    <w:rPr>
                      <w:color w:val="auto"/>
                      <w:highlight w:val="none"/>
                    </w:rPr>
                  </w:pPr>
                </w:p>
                <w:p w14:paraId="15EED4B2">
                  <w:pPr>
                    <w:spacing w:before="58"/>
                    <w:ind w:left="11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5</w:t>
                  </w:r>
                </w:p>
              </w:tc>
              <w:tc>
                <w:tcPr>
                  <w:tcW w:w="1073" w:type="dxa"/>
                  <w:shd w:val="clear" w:color="auto" w:fill="auto"/>
                  <w:vAlign w:val="top"/>
                </w:tcPr>
                <w:p w14:paraId="7F8859CA">
                  <w:pPr>
                    <w:pStyle w:val="147"/>
                    <w:spacing w:line="318" w:lineRule="auto"/>
                    <w:rPr>
                      <w:color w:val="auto"/>
                      <w:highlight w:val="none"/>
                    </w:rPr>
                  </w:pPr>
                </w:p>
                <w:p w14:paraId="5DC1EAA5">
                  <w:pPr>
                    <w:spacing w:before="58" w:line="219" w:lineRule="auto"/>
                    <w:ind w:left="61"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5"/>
                      <w:sz w:val="18"/>
                      <w:szCs w:val="18"/>
                      <w:highlight w:val="none"/>
                    </w:rPr>
                    <w:t>图库</w:t>
                  </w:r>
                </w:p>
              </w:tc>
              <w:tc>
                <w:tcPr>
                  <w:tcW w:w="1201" w:type="dxa"/>
                  <w:shd w:val="clear" w:color="auto" w:fill="auto"/>
                  <w:vAlign w:val="top"/>
                </w:tcPr>
                <w:p w14:paraId="66CEE06C">
                  <w:pPr>
                    <w:pStyle w:val="147"/>
                    <w:spacing w:line="318" w:lineRule="auto"/>
                    <w:rPr>
                      <w:color w:val="auto"/>
                      <w:highlight w:val="none"/>
                    </w:rPr>
                  </w:pPr>
                </w:p>
                <w:p w14:paraId="3C566AEB">
                  <w:pPr>
                    <w:spacing w:before="58" w:line="220" w:lineRule="auto"/>
                    <w:ind w:left="5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2套</w:t>
                  </w:r>
                </w:p>
              </w:tc>
              <w:tc>
                <w:tcPr>
                  <w:tcW w:w="4359" w:type="dxa"/>
                  <w:shd w:val="clear" w:color="auto" w:fill="auto"/>
                  <w:vAlign w:val="top"/>
                </w:tcPr>
                <w:p w14:paraId="210AD027">
                  <w:pPr>
                    <w:spacing w:before="108" w:line="277" w:lineRule="auto"/>
                    <w:ind w:left="74" w:leftChars="0" w:right="5" w:rightChars="0"/>
                    <w:rPr>
                      <w:rFonts w:ascii="宋体" w:hAnsi="宋体" w:eastAsia="宋体" w:cs="宋体"/>
                      <w:color w:val="auto"/>
                      <w:spacing w:val="-2"/>
                      <w:sz w:val="18"/>
                      <w:szCs w:val="18"/>
                      <w:highlight w:val="none"/>
                    </w:rPr>
                  </w:pPr>
                  <w:r>
                    <w:rPr>
                      <w:rFonts w:ascii="宋体" w:hAnsi="宋体" w:eastAsia="宋体" w:cs="宋体"/>
                      <w:color w:val="auto"/>
                      <w:sz w:val="18"/>
                      <w:szCs w:val="18"/>
                      <w:highlight w:val="none"/>
                    </w:rPr>
                    <w:t>以组合图片形式代替传统教材</w:t>
                  </w:r>
                  <w:r>
                    <w:rPr>
                      <w:rFonts w:ascii="宋体" w:hAnsi="宋体" w:eastAsia="宋体" w:cs="宋体"/>
                      <w:color w:val="auto"/>
                      <w:spacing w:val="-2"/>
                      <w:sz w:val="18"/>
                      <w:szCs w:val="18"/>
                      <w:highlight w:val="none"/>
                    </w:rPr>
                    <w:t>中的单个插</w:t>
                  </w:r>
                </w:p>
                <w:p w14:paraId="547D6938">
                  <w:pPr>
                    <w:spacing w:before="108" w:line="277" w:lineRule="auto"/>
                    <w:ind w:left="74" w:leftChars="0" w:right="5" w:rightChars="0"/>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图，提高辅助学习效</w:t>
                  </w:r>
                  <w:r>
                    <w:rPr>
                      <w:rFonts w:ascii="宋体" w:hAnsi="宋体" w:eastAsia="宋体" w:cs="宋体"/>
                      <w:color w:val="auto"/>
                      <w:sz w:val="18"/>
                      <w:szCs w:val="18"/>
                      <w:highlight w:val="none"/>
                    </w:rPr>
                    <w:t>果。包含思维导图</w:t>
                  </w:r>
                </w:p>
                <w:p w14:paraId="339BD9BB">
                  <w:pPr>
                    <w:spacing w:before="108" w:line="277" w:lineRule="auto"/>
                    <w:ind w:left="74" w:leftChars="0" w:right="5" w:righ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等。</w:t>
                  </w:r>
                </w:p>
              </w:tc>
            </w:tr>
            <w:tr w14:paraId="1C65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top"/>
                </w:tcPr>
                <w:p w14:paraId="640270A3">
                  <w:pPr>
                    <w:spacing w:before="236"/>
                    <w:ind w:left="11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z w:val="18"/>
                      <w:szCs w:val="18"/>
                      <w:highlight w:val="none"/>
                    </w:rPr>
                    <w:t>6</w:t>
                  </w:r>
                </w:p>
              </w:tc>
              <w:tc>
                <w:tcPr>
                  <w:tcW w:w="1073" w:type="dxa"/>
                  <w:shd w:val="clear" w:color="auto" w:fill="auto"/>
                  <w:vAlign w:val="top"/>
                </w:tcPr>
                <w:p w14:paraId="18723116">
                  <w:pPr>
                    <w:spacing w:before="99" w:line="219" w:lineRule="auto"/>
                    <w:ind w:left="61"/>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教学</w:t>
                  </w:r>
                </w:p>
                <w:p w14:paraId="23B57C15">
                  <w:pPr>
                    <w:spacing w:before="97" w:line="193" w:lineRule="auto"/>
                    <w:ind w:left="61"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3"/>
                      <w:sz w:val="18"/>
                      <w:szCs w:val="18"/>
                      <w:highlight w:val="none"/>
                    </w:rPr>
                    <w:t>设计</w:t>
                  </w:r>
                </w:p>
              </w:tc>
              <w:tc>
                <w:tcPr>
                  <w:tcW w:w="1201" w:type="dxa"/>
                  <w:shd w:val="clear" w:color="auto" w:fill="auto"/>
                  <w:vAlign w:val="top"/>
                </w:tcPr>
                <w:p w14:paraId="44AD168C">
                  <w:pPr>
                    <w:spacing w:before="260" w:line="220" w:lineRule="auto"/>
                    <w:ind w:left="5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2套</w:t>
                  </w:r>
                </w:p>
              </w:tc>
              <w:tc>
                <w:tcPr>
                  <w:tcW w:w="4359" w:type="dxa"/>
                  <w:shd w:val="clear" w:color="auto" w:fill="auto"/>
                  <w:vAlign w:val="top"/>
                </w:tcPr>
                <w:p w14:paraId="488C943A">
                  <w:pPr>
                    <w:spacing w:before="219" w:line="219" w:lineRule="auto"/>
                    <w:ind w:left="74"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覆盖全部学时</w:t>
                  </w:r>
                </w:p>
              </w:tc>
            </w:tr>
            <w:tr w14:paraId="09AE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top"/>
                </w:tcPr>
                <w:p w14:paraId="25E17B18">
                  <w:pPr>
                    <w:spacing w:before="138" w:line="123" w:lineRule="exact"/>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44"/>
                      <w:w w:val="125"/>
                      <w:position w:val="-3"/>
                      <w:sz w:val="18"/>
                      <w:szCs w:val="18"/>
                      <w:highlight w:val="none"/>
                    </w:rPr>
                    <w:t>7</w:t>
                  </w:r>
                </w:p>
              </w:tc>
              <w:tc>
                <w:tcPr>
                  <w:tcW w:w="1073" w:type="dxa"/>
                  <w:shd w:val="clear" w:color="auto" w:fill="auto"/>
                  <w:vAlign w:val="top"/>
                </w:tcPr>
                <w:p w14:paraId="7D4EA022">
                  <w:pPr>
                    <w:spacing w:before="111" w:line="220" w:lineRule="auto"/>
                    <w:ind w:left="61"/>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课程</w:t>
                  </w:r>
                </w:p>
                <w:p w14:paraId="3540E1A8">
                  <w:pPr>
                    <w:spacing w:before="105" w:line="193" w:lineRule="auto"/>
                    <w:ind w:left="61"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标准</w:t>
                  </w:r>
                </w:p>
              </w:tc>
              <w:tc>
                <w:tcPr>
                  <w:tcW w:w="1201" w:type="dxa"/>
                  <w:shd w:val="clear" w:color="auto" w:fill="auto"/>
                  <w:vAlign w:val="top"/>
                </w:tcPr>
                <w:p w14:paraId="4DAD6024">
                  <w:pPr>
                    <w:spacing w:before="230" w:line="219" w:lineRule="auto"/>
                    <w:ind w:left="52" w:left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2"/>
                      <w:sz w:val="18"/>
                      <w:szCs w:val="18"/>
                      <w:highlight w:val="none"/>
                    </w:rPr>
                    <w:t>2个</w:t>
                  </w:r>
                </w:p>
              </w:tc>
              <w:tc>
                <w:tcPr>
                  <w:tcW w:w="4359" w:type="dxa"/>
                  <w:shd w:val="clear" w:color="auto" w:fill="auto"/>
                  <w:vAlign w:val="top"/>
                </w:tcPr>
                <w:p w14:paraId="092163ED">
                  <w:pPr>
                    <w:spacing w:before="110" w:line="261" w:lineRule="auto"/>
                    <w:ind w:left="74" w:leftChars="0" w:hanging="10" w:firstLineChars="0"/>
                    <w:rPr>
                      <w:rFonts w:ascii="宋体" w:hAnsi="宋体" w:eastAsia="宋体" w:cs="宋体"/>
                      <w:color w:val="auto"/>
                      <w:spacing w:val="-1"/>
                      <w:sz w:val="18"/>
                      <w:szCs w:val="18"/>
                      <w:highlight w:val="none"/>
                    </w:rPr>
                  </w:pPr>
                  <w:r>
                    <w:rPr>
                      <w:rFonts w:ascii="宋体" w:hAnsi="宋体" w:eastAsia="宋体" w:cs="宋体"/>
                      <w:color w:val="auto"/>
                      <w:spacing w:val="-1"/>
                      <w:sz w:val="18"/>
                      <w:szCs w:val="18"/>
                      <w:highlight w:val="none"/>
                    </w:rPr>
                    <w:t>完成课程性质、课程目标、内容目标、实</w:t>
                  </w:r>
                </w:p>
                <w:p w14:paraId="3C1427A1">
                  <w:pPr>
                    <w:spacing w:before="110" w:line="261" w:lineRule="auto"/>
                    <w:ind w:left="74" w:leftChars="0" w:hanging="10" w:firstLineChars="0"/>
                    <w:rPr>
                      <w:rFonts w:hint="eastAsia" w:ascii="宋体" w:hAnsi="宋体" w:eastAsia="宋体" w:cs="宋体"/>
                      <w:color w:val="auto"/>
                      <w:kern w:val="2"/>
                      <w:sz w:val="18"/>
                      <w:szCs w:val="18"/>
                      <w:highlight w:val="none"/>
                      <w:lang w:val="en-US" w:eastAsia="zh-CN" w:bidi="ar-SA"/>
                    </w:rPr>
                  </w:pPr>
                  <w:r>
                    <w:rPr>
                      <w:rFonts w:ascii="宋体" w:hAnsi="宋体" w:eastAsia="宋体" w:cs="宋体"/>
                      <w:color w:val="auto"/>
                      <w:spacing w:val="-1"/>
                      <w:sz w:val="18"/>
                      <w:szCs w:val="18"/>
                      <w:highlight w:val="none"/>
                    </w:rPr>
                    <w:t>施建议、课程评价。</w:t>
                  </w:r>
                </w:p>
              </w:tc>
            </w:tr>
          </w:tbl>
          <w:p w14:paraId="6087C0F2">
            <w:pPr>
              <w:widowControl/>
              <w:spacing w:line="340" w:lineRule="exact"/>
              <w:textAlignment w:val="center"/>
              <w:rPr>
                <w:rFonts w:hint="eastAsia" w:ascii="宋体" w:hAnsi="宋体" w:cs="仿宋_GB2312"/>
                <w:b w:val="0"/>
                <w:bCs w:val="0"/>
                <w:color w:val="auto"/>
                <w:szCs w:val="21"/>
                <w:highlight w:val="none"/>
                <w:lang w:eastAsia="zh-CN"/>
              </w:rPr>
            </w:pPr>
          </w:p>
          <w:p w14:paraId="48D9782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课程资源技术要求</w:t>
            </w:r>
          </w:p>
          <w:p w14:paraId="1CFA78F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(一)课程建设指导</w:t>
            </w:r>
          </w:p>
          <w:p w14:paraId="0A566F9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1.聘请国家级在线精品课程主持人或双高建设学校教授，开展课程设计思路与逻辑指导1次，针对现有课程教学设计进行优化。</w:t>
            </w:r>
          </w:p>
          <w:p w14:paraId="3910741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2.课程思政元素优化指导。</w:t>
            </w:r>
          </w:p>
          <w:p w14:paraId="0915646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3.安排技术人员到校进行建课和使用等方面的指导。投标人专业技术人员与教师共同进行资源设计与开发，资源内容包括课程介绍、教学课件、微课、二维动画、教学设计、题库、图库等。</w:t>
            </w:r>
          </w:p>
          <w:p w14:paraId="4ED0A07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4.将典型工作案例中抽象的理论原理、操作步骤、操作规范等内容，借助课程网络平台上的相应资源来呈现，汇总各类课程资源，如微课、图解、课件、参考资料等，形成线上运行的精品课程。</w:t>
            </w:r>
          </w:p>
          <w:p w14:paraId="6AFFF7F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5.辅助上传平台。</w:t>
            </w:r>
          </w:p>
          <w:p w14:paraId="77DC249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(二)思政元素设计融入</w:t>
            </w:r>
          </w:p>
          <w:p w14:paraId="7B1F706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通过相关专家培训与指导，在课程与知识点规划阶段就考虑思政元素与专业内的重难点进行融合，以工学一体化培养模式为基础，实现教学信息量充足，并符合学习者认知规律，具有较好的高阶性、创新性和挑战度。思政建设目标如下：</w:t>
            </w:r>
          </w:p>
          <w:p w14:paraId="49F1135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运用思想政治理论教育的学科思维处理专业知识和教学目标，组织教学内容，融入政治认同、家国情怀、文化素养、宪法法治意识、道德修养等要素，潜移默化地对学习和的思想意识、行为举止产生积极影响，实现价值塑。造、知识传授和能力培养相融合、教书与育人相统一。</w:t>
            </w:r>
          </w:p>
          <w:p w14:paraId="1EA3E4D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2.综合运用信息技术手段和数字资源把思政教育巧妙渗透教学全过程，教学方法运用恰当，教学策略使用有效。</w:t>
            </w:r>
          </w:p>
          <w:p w14:paraId="6E8D8B7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3.具有良好的专业知识呈现，又具备科学精神、人文情怀，将投标人实践与课堂学习相结合，融入技能提升与素质提升。</w:t>
            </w:r>
          </w:p>
          <w:p w14:paraId="2E3A78D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4.目标设计恰当，符合课程要求、学科特点和学生实际；明确具体、可观察、可测评、可达成；思政目标无缝对接知识、能力目标。</w:t>
            </w:r>
          </w:p>
          <w:p w14:paraId="7F04CCF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(三)制作要求：</w:t>
            </w:r>
          </w:p>
          <w:p w14:paraId="496A116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1.资源内容基于教材，按照课程教学需求、课程标准进行建设。</w:t>
            </w:r>
          </w:p>
          <w:p w14:paraId="68F048F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2.资源呈现的教学目标、重难点，与教材一致。</w:t>
            </w:r>
          </w:p>
          <w:p w14:paraId="2587F73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3.资源内容无科学性错误。</w:t>
            </w:r>
          </w:p>
          <w:p w14:paraId="55E2E7E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4.制作手段含视频拍摄、音频录制、动画设计制作等。</w:t>
            </w:r>
          </w:p>
          <w:p w14:paraId="0CA9862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5.微课的开发脚本由采购人专业老师提出教学设计思路，供应商具体落实设想，形成文本性文件，用于之后的制作。</w:t>
            </w:r>
          </w:p>
          <w:p w14:paraId="0F836A9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6.微课的制作包括知识点教学结构设计、碎片资源教学设计、素材采集、知识点的知识内容编辑加工处理(包括后期剪辑、配音、字幕)等。</w:t>
            </w:r>
          </w:p>
          <w:p w14:paraId="4BF830E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7.教学课件的制作应在充分理解教师的教学设计基础上，综合使用动画、视频、二维等技术将其进行可视化建构，辅助教师和学生完成一堂沉浸式的教与学的体验。</w:t>
            </w:r>
          </w:p>
          <w:p w14:paraId="5785764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8.所有资源可独立运行，也可与教材融合使用。</w:t>
            </w:r>
          </w:p>
          <w:p w14:paraId="3FE3D80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9.为丰富教材资源建设，方便老师案例教学，供应商需协助教材负责人策划教学资源与纸质内容融合。</w:t>
            </w:r>
          </w:p>
          <w:p w14:paraId="579EACF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10.可以网络运行的资源内容与教材通过二维码形式融合。</w:t>
            </w:r>
          </w:p>
          <w:p w14:paraId="701085D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(四)指导专家要求</w:t>
            </w:r>
          </w:p>
          <w:p w14:paraId="231B78F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聘请具有职业教育课程资源建设指导经验的职教专家团队开展项目建设指导，提供完善的开发指导、知识点与资源形态规划。</w:t>
            </w:r>
          </w:p>
          <w:p w14:paraId="3A48B75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(五)服务团队要求：</w:t>
            </w:r>
          </w:p>
          <w:p w14:paraId="1BFC90F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1.供应商具有从事职业教育教学规划、精品课程开发、课程设计规划等类型项目的丰富经验。</w:t>
            </w:r>
          </w:p>
          <w:p w14:paraId="116E943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2.供应商自身拥有完善的专业技术人员配备，针对本项目提供不少于3人的项目服务团队，具备以下岗位人员，满足本项目课程资源开发和制作方面专业需求。</w:t>
            </w:r>
          </w:p>
          <w:p w14:paraId="5F829DC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(1)项目负责人：统筹负责沟通对接和制作审核等任务，具备教学经验，具备同类项目实施和管理经验。</w:t>
            </w:r>
          </w:p>
          <w:p w14:paraId="091E62D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(2)专业编辑：与老师协作进行课程资源开发工作。</w:t>
            </w:r>
          </w:p>
          <w:p w14:paraId="3F50952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(3)课程编导：审读解读课程教学需求、课程目标、人才培养方案，具备课程设计经验与能力，能够与任课教师沟通对接并提供专业化建议和解决方案，能够进行脚本的设计与策划，具有专业的文字开发编辑能力。</w:t>
            </w:r>
          </w:p>
          <w:p w14:paraId="192B60F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(4)拍摄小组：负责现场的场景搭建、灯光布置，视频录制，音频录制，其他拍摄设备的准备、调试和维护。</w:t>
            </w:r>
          </w:p>
          <w:p w14:paraId="673E93C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场务：现场记录，拍摄文件的收集、整理、备份、上传等，辅助教师准备衣着、仪容、随身设备等，根据实际需求灵活提供提词器解决方案。应能根据课程教学需求、实际场地条件等，搭建方便拍摄的场地，包括但不限于绿幕环境、常亮灯光环境的创建。并在技术上实现声音、光线的不受干扰。</w:t>
            </w:r>
          </w:p>
          <w:p w14:paraId="2331CB1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(6)后期剪辑：基于脚本、拍摄素材、音频素材，进行后期剪辑合成，片头片尾及其他特效的设计与制作。</w:t>
            </w:r>
          </w:p>
          <w:p w14:paraId="61DFAEE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(7)动画：绘制与制作动画，特效包装。</w:t>
            </w:r>
          </w:p>
          <w:p w14:paraId="13CFFA0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(六)课程建设技术与质量标准要求</w:t>
            </w:r>
          </w:p>
          <w:p w14:paraId="23828B8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1.微课制作</w:t>
            </w:r>
          </w:p>
          <w:p w14:paraId="23CA449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【摄像要求】</w:t>
            </w:r>
          </w:p>
          <w:p w14:paraId="1FFD8AC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(1)利用专业摄像机在采购人指定场地进行摄制。</w:t>
            </w:r>
          </w:p>
          <w:p w14:paraId="2C82A6B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(2)微课作品视频质量要求图像稳定、对焦清晰、构图合理、镜头运用恰当。</w:t>
            </w:r>
          </w:p>
          <w:p w14:paraId="7D3F51C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(3)各微课作品的视频分辨率应统一，分辨率采用1280*720及以上，采用高清影像。</w:t>
            </w:r>
          </w:p>
          <w:p w14:paraId="4EA41D5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(4)同期声音采用双声道，要求清晰、饱满、圆润，无失真、噪声杂音干扰、音量忽大忽小现象。解说声与背景音乐无明显比例失调。</w:t>
            </w:r>
          </w:p>
          <w:p w14:paraId="4A755F4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【动画要求】</w:t>
            </w:r>
          </w:p>
          <w:p w14:paraId="59D52D9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微课根据主讲教师要求，可加入不超过2分钟的动画，动画要能够完整的体现出课程特点。要求接近于真实物体的效果，利用专业软件进行材质的渲染。播放流畅，播放时没有明显的噪点。</w:t>
            </w:r>
          </w:p>
          <w:p w14:paraId="4E0E1FF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【输出成品要求】</w:t>
            </w:r>
          </w:p>
          <w:p w14:paraId="30831DB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(1)微课作品视频压缩采用H.264格式编码，视频格式为MP4格式，时长为8-15分钟。</w:t>
            </w:r>
          </w:p>
          <w:p w14:paraId="2201443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(2)微课作品视频码流率：动态码流的最高码率不高于2000Kbps,最低码率不得低于1024Kbps。</w:t>
            </w:r>
          </w:p>
          <w:p w14:paraId="0A66789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(3)微课作品视频分辨率：分辨率采用1280*720及以上。</w:t>
            </w:r>
          </w:p>
          <w:p w14:paraId="468855B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(4)在同一课程中，各微课作品的视频分辨率应统一采用高清影像。</w:t>
            </w:r>
          </w:p>
          <w:p w14:paraId="4BF3E02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(5)微课作品视频帧率为25帧/秒，扫描方式采用逐行扫描。</w:t>
            </w:r>
          </w:p>
          <w:p w14:paraId="4D59C6F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字幕：要使用符合国家标准的规范字，不出现繁体字、异体字(国家规定的除外)、错别字；字幕的字体建议采用：微软雅黑，大小、色彩搭配、摆放位置、停留时间、出入屏方式力求与其他要素(画面、解说词、音乐)</w:t>
            </w:r>
          </w:p>
          <w:p w14:paraId="4B2AB8F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配合适当，不能破坏原有画面。</w:t>
            </w:r>
          </w:p>
          <w:p w14:paraId="0AF5784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【命名要求】</w:t>
            </w:r>
          </w:p>
          <w:p w14:paraId="431DCF7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文件命名应直接指明资源所属课程、章节及性质。</w:t>
            </w:r>
          </w:p>
          <w:p w14:paraId="1582D5C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【内容和版权要求】</w:t>
            </w:r>
          </w:p>
          <w:p w14:paraId="629B997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微课作品内容应忠实于原文献，完整有序，版权不存在争议；符合我国法律法规，尊重各民族风俗习惯。</w:t>
            </w:r>
          </w:p>
          <w:p w14:paraId="4C7F0AC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2.视频录制</w:t>
            </w:r>
          </w:p>
          <w:p w14:paraId="65E49F4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【标准要求】</w:t>
            </w:r>
          </w:p>
          <w:p w14:paraId="0D19A89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根据课程特点选择最优的展现形式；以能力培养为目标的课程，技能点教学录像的覆盖度不低于80%,技能点教学录像时长原则不超过20分钟。</w:t>
            </w:r>
          </w:p>
          <w:p w14:paraId="5107216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【视频拍摄要求】</w:t>
            </w:r>
          </w:p>
          <w:p w14:paraId="5626B7B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(1)利用4K及以上专业摄像机录制，一至两个机位录制。专业收音麦克、专业灯光。</w:t>
            </w:r>
          </w:p>
          <w:p w14:paraId="0C09C14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(2)视频原始拍摄素材质量要求图像稳定、对焦清晰、构图合理、镜头运用恰当。同期声音采用双声道，要求清晰、饱满、圆润，无失真、噪声杂音干扰、音量忽大忽小现象。解说声与背景音乐无明显比例失调。</w:t>
            </w:r>
          </w:p>
          <w:p w14:paraId="16C319F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屏幕图像的构图合理，画面主体突出。人像及肢体动作以及配合讲授选用的板书、画板、教具实物、模型和实验设备等均不能超出镜头所及范围。画面中教师以中景和近景为主，要求人物、板书(或其他画面元素)清晰，不建议无教师形象的全程板书或PPT配音。</w:t>
            </w:r>
          </w:p>
          <w:p w14:paraId="76CB8CC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(4)使用的背景采用彩色喷绘或电脑虚拟、实景等背景。背景的颜色、图案不易过多，应保持静态，画面应简洁、明快，有利于营造课堂气氛。</w:t>
            </w:r>
          </w:p>
          <w:p w14:paraId="0B70E3F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(5)使用资料、图片、外景实拍、实验和表演等形象化教学手段，应符合教学内容要求，与讲授内容联系紧密，手段选用恰当。</w:t>
            </w:r>
          </w:p>
          <w:p w14:paraId="76E0BC5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(6)摄像镜头应保持与主讲教师目光平视的角度。主讲教师不应较长时间仰视或俯视。录像环境应光线充足、安静，主讲教师应衣着整洁，讲话清晰，板书清楚。</w:t>
            </w:r>
          </w:p>
          <w:p w14:paraId="449B6E1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(7)选用影视作品或自拍素材，应注明素材来源。影视作品或自拍素材中涉及人物访谈内容时，除应加注人物介绍外，还应采用滚动式同声字幕。</w:t>
            </w:r>
          </w:p>
          <w:p w14:paraId="310FA03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(8)选用的资料、图片等素材画面应清晰，对于历史资料、图片应进行再加工。选用的资料、图片等素材应注明素材来源及原始信息(如字画的作品、生卒年月，影视片断的作品名称、创作年代等信息)。</w:t>
            </w:r>
          </w:p>
          <w:p w14:paraId="4B82999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【视频制作要求】</w:t>
            </w:r>
          </w:p>
          <w:p w14:paraId="5938FA0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(1)视频信号源</w:t>
            </w:r>
          </w:p>
          <w:p w14:paraId="34DA8BE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①稳定性：全片图像同步性能稳定，无失步现象，CTL同步控制信号必须连续：图像无抖动跳跃，色彩无突变，编辑点处图像稳定。</w:t>
            </w:r>
          </w:p>
          <w:p w14:paraId="69FF763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②信噪比：图像信噪比不低于55dB,无明显杂波。</w:t>
            </w:r>
          </w:p>
          <w:p w14:paraId="6BE7FB2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③色调：白平衡正确，无明显偏色，多机拍摄的镜头衔接处无明显色差。</w:t>
            </w:r>
          </w:p>
          <w:p w14:paraId="4FF71DF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④视频电平：视频全讯号幅度为1Vp-p,最大不超过1.1Vp-p。其中，消隐电平为0V时，白电平幅度0.7Vp-p,同步信号-0.3V,色同步信号幅度0.3Vp-p(以消隐线上下对称),全片一致。</w:t>
            </w:r>
          </w:p>
          <w:p w14:paraId="01BC2AB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(2)音频信号源</w:t>
            </w:r>
          </w:p>
          <w:p w14:paraId="54284E5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①声道：中文内容音频信号记录于第1声道，音乐、音效、同期声记录于第2声道，若有其他文字解说记录于第3声道(如录音设备无第3声道，则录于第2声道)。</w:t>
            </w:r>
          </w:p>
          <w:p w14:paraId="1161A49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②电平指标：-2db——-8db声音应无明显失真、放音过冲、过弱。</w:t>
            </w:r>
          </w:p>
          <w:p w14:paraId="018984D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③音频信噪比不低于48dB。</w:t>
            </w:r>
          </w:p>
          <w:p w14:paraId="2DA6ED3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④声音和画面要求同步，无交流声或其他杂音等缺陷。</w:t>
            </w:r>
          </w:p>
          <w:p w14:paraId="173457D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⑤伴音清晰、饱满、圆润，无失真、噪声杂音干扰、音量忽大忽小现象。解说声与现场声无明显比例失调，解说声与背景音乐无明显比例失调。</w:t>
            </w:r>
          </w:p>
          <w:p w14:paraId="0F21588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(3)视频压缩格式及技术参数</w:t>
            </w:r>
          </w:p>
          <w:p w14:paraId="2475523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①视频压缩采用H.264/AVC(MPEG-4Part10)编码、使用二次编码、不包含字幕的MP4格式。</w:t>
            </w:r>
          </w:p>
          <w:p w14:paraId="297C507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②视频码流率：动态码流的最低码率不得低于300Kbps。</w:t>
            </w:r>
          </w:p>
          <w:p w14:paraId="3923731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③视频分辨率。</w:t>
            </w:r>
          </w:p>
          <w:p w14:paraId="45571DB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前期采用标清4:3拍摄时，设定为720×576;前期采用高清16:9拍摄时，设定为1280×720或1920×1080。</w:t>
            </w:r>
          </w:p>
          <w:p w14:paraId="37FD08C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④视频画幅宽高比</w:t>
            </w:r>
          </w:p>
          <w:p w14:paraId="3D9590F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分辨率设定为720×576的，选定4:3;</w:t>
            </w:r>
          </w:p>
          <w:p w14:paraId="7CFED96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分辨率设定为1280×720或1920×1080的，选定16:9。</w:t>
            </w:r>
          </w:p>
          <w:p w14:paraId="6F66B5B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⑤视频帧率不低于25帧/秒。</w:t>
            </w:r>
          </w:p>
          <w:p w14:paraId="673573F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⑥扫描方式采用逐行扫描。</w:t>
            </w:r>
          </w:p>
          <w:p w14:paraId="23DA117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(4)音频压缩格式及技术参数</w:t>
            </w:r>
          </w:p>
          <w:p w14:paraId="247B951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①音频压缩采用AAC(MPEG4Part3)格式。</w:t>
            </w:r>
          </w:p>
          <w:p w14:paraId="64DA90C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②采样率不低于44KHz。</w:t>
            </w:r>
          </w:p>
          <w:p w14:paraId="49D50DC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③音频码流率不低于96Kbps。</w:t>
            </w:r>
          </w:p>
          <w:p w14:paraId="1B91A10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④必须是双声道。</w:t>
            </w:r>
          </w:p>
          <w:p w14:paraId="379A392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【封装】</w:t>
            </w:r>
          </w:p>
          <w:p w14:paraId="098AF5D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采用MP4封装。</w:t>
            </w:r>
          </w:p>
          <w:p w14:paraId="53428E3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【命名要求】</w:t>
            </w:r>
          </w:p>
          <w:p w14:paraId="5FC9127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文件命名应直接指明资源所属课程、章节或性质。(如采购人有新要求以采购人文件为准)。</w:t>
            </w:r>
          </w:p>
          <w:p w14:paraId="3AE49AD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【内容和版权要求】</w:t>
            </w:r>
          </w:p>
          <w:p w14:paraId="4820843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视频内容应忠实于原文献，完整有序，版权不存在争议；符合我国法律法规，尊重各民族风俗习惯。</w:t>
            </w:r>
          </w:p>
          <w:p w14:paraId="2C965AD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3.图片处理美化</w:t>
            </w:r>
          </w:p>
          <w:p w14:paraId="709EB93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【标准要求】</w:t>
            </w:r>
          </w:p>
          <w:p w14:paraId="7147388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教学图片素材资源，包括结构图、施工图纸、设计图纸、设备图纸、原理动图、知识结构思、维导图等教学用图，按精品在线开放课程教学需要提供处理、美化。</w:t>
            </w:r>
          </w:p>
          <w:p w14:paraId="1CA1526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【技术要求】</w:t>
            </w:r>
          </w:p>
          <w:p w14:paraId="6C7DE2C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(1)彩色图像颜色数不低于真彩(24位色)。</w:t>
            </w:r>
          </w:p>
          <w:p w14:paraId="3288EB2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(2)尺寸：1920X1080像素，建议提供同比例大图；位深：24位；扫描图像的扫描分辨率不低于72dpi。</w:t>
            </w:r>
          </w:p>
          <w:p w14:paraId="4BB55FE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(3)采用常见存储格式，如GIF、PNG、JPG等。</w:t>
            </w:r>
          </w:p>
          <w:p w14:paraId="53C99B8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4.文本排版美化</w:t>
            </w:r>
          </w:p>
          <w:p w14:paraId="037A81C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【标准要求】</w:t>
            </w:r>
          </w:p>
          <w:p w14:paraId="1AE5BD1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文本素材资源，包括课程介绍、团队介绍、教学标准、教学日历、课程导学、教学设计、评价标准、拓展学习、模块导学、专题导学、学习目标、技能目标、教案、练习测验、考试试题等文本资源，按精品在线开放课程教学需要提供排版处理、美化。</w:t>
            </w:r>
          </w:p>
          <w:p w14:paraId="2968A09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【技术要求】</w:t>
            </w:r>
          </w:p>
          <w:p w14:paraId="4F6167E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(1)纯文本采用UTF-8编码或GB18030编码。</w:t>
            </w:r>
          </w:p>
          <w:p w14:paraId="2ECC4B1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(2)存储格式：DOC(word97-2003版本)。</w:t>
            </w:r>
          </w:p>
          <w:p w14:paraId="37EDDB3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5.二维动画</w:t>
            </w:r>
          </w:p>
          <w:p w14:paraId="06E40B1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【标准要求】</w:t>
            </w:r>
          </w:p>
          <w:p w14:paraId="4E5D909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维动画资源，应通过对专业特点的分析，充分调研专业涉及的教学和实际工作场景，运用了科学的原画设定方法，制定符合专业的角色、场景、道具等原画设计，创设职业岗位相关情景，采用丰富的动画表现形式，与专业特点和谐统一。视频时长1-2分钟。</w:t>
            </w:r>
          </w:p>
          <w:p w14:paraId="0FD4094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【技术要求】</w:t>
            </w:r>
          </w:p>
          <w:p w14:paraId="1D0C138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(1)原画设计：使用AdobePhotoshopCC2020、AdobeIllustrator2020、Sai进行角色，场景、道具、视频包装等设计绘制。</w:t>
            </w:r>
          </w:p>
          <w:p w14:paraId="5EB2C0B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(2)分镜设计：根据脚本内容，详细分析，运用AdobePhotoshopCC2020、Storyboarderv3.0.0或纸质分镜头，绘制分镜，呈现影片初步效果。</w:t>
            </w:r>
          </w:p>
          <w:p w14:paraId="5D09756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(3)动态分镜Layout:根据分镜头脚本与动作设计，通过更深入具体的描述刻画，形成Layout,并运用已设计的角色、场景、道具在AdobeAnimate、AdobeAfter</w:t>
            </w:r>
          </w:p>
          <w:p w14:paraId="59C7892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Effects、万彩动画大师、MOHO、Flash中制作出动画片段，动画表现应符合自然规律和基本运动规律。</w:t>
            </w:r>
          </w:p>
          <w:p w14:paraId="161F0B8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(4)动画设计：采用动作补间、形状补间动画、逐帧动画、遮罩动画、引导层动画对角色、场景、道具等元素进行控制，满足动画脚本内容需要。</w:t>
            </w:r>
          </w:p>
          <w:p w14:paraId="588984B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(5)后期合成：使用AdobeAfterEffect、Adobe</w:t>
            </w:r>
          </w:p>
          <w:p w14:paraId="4E7A738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premiere、将已制作动画镜头进行合成、剪辑，添加音乐音效，最终生成动画文件，动画的帧率都为25帧/秒，格式为MP4,总比特率不低于300kdps。</w:t>
            </w:r>
          </w:p>
          <w:p w14:paraId="03DF31D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(6)画面尺寸：画面比例应为16:9,宽度1280像素×高度720像素及以上。</w:t>
            </w:r>
          </w:p>
          <w:p w14:paraId="40FD167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(7)品质要求：动画内容中用到的图像必须清晰，不能有图像过于模糊等现象出现。</w:t>
            </w:r>
          </w:p>
          <w:p w14:paraId="3894978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(8)动画内容播放过程连续流畅，节奏合适，避免采用简单重复方式以保持动画播放时间，如说话特写中，同一抬手放手动作不断重复。</w:t>
            </w:r>
          </w:p>
          <w:p w14:paraId="4D68997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(9)声音录制采用专业级话筒，保证后期配音的录音质量，解说配音应标准，无噪音，声音悦耳，音量适当，快慢适度。</w:t>
            </w:r>
          </w:p>
          <w:p w14:paraId="6B691539">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(10)资源开发完成后，需将源代码、制作源文件和相关脚本、素材等项目材料与成品一并归档整理，统一交付采购方。</w:t>
            </w:r>
          </w:p>
          <w:p w14:paraId="0B20191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(11)版权归采购方所有，资源中应增加含有采购人校徽或校名的水印标识；资源中选用的其他非原创性资源不存在版权争议问题。</w:t>
            </w:r>
          </w:p>
          <w:p w14:paraId="54203B1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(七)执行标准</w:t>
            </w:r>
          </w:p>
          <w:p w14:paraId="22045097">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1.教育部关于国家精品开放课程建设的实施意见。</w:t>
            </w:r>
          </w:p>
          <w:p w14:paraId="542DB341">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2.教育部联合五部门印发的《关于加强普通高等学校在线开放课程教学管理的若干意见》。</w:t>
            </w:r>
          </w:p>
          <w:p w14:paraId="73665B82">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3.教育部关于启动高等学校教学质量与教学改革工程精品课程建设工作的通知。</w:t>
            </w:r>
          </w:p>
          <w:p w14:paraId="6140EA3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4.教学资源符合教育部网络教育技术标准集CELTS。</w:t>
            </w:r>
          </w:p>
          <w:p w14:paraId="1A0C13FA">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5.资源开发遵循《教育资源建设技术规范》(GELTS-41)。</w:t>
            </w:r>
          </w:p>
          <w:p w14:paraId="5BC3BC9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6.资源管理遵循《教育管理信息化技术标准》。</w:t>
            </w:r>
          </w:p>
          <w:p w14:paraId="1D32C5B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7.教学资源开发遵循《职业教育专业教学资源库建设工作指南》(2016)《国家示范性职业学校数字化资源共建共享计划资源开发技术规范》《职业院校数字化校园建设解决方案》。</w:t>
            </w:r>
          </w:p>
          <w:p w14:paraId="3C74281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(八)交付要求</w:t>
            </w:r>
          </w:p>
          <w:p w14:paraId="4CA6AA33">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本项目编辑后的设计文件、教学课件、文本资源等，动画源文件、微课视频工程文件等，脚本、字幕文件等，拍摄过程的视频、音频等原素材，项目完成后交采购人，版权归采购人所有。</w:t>
            </w:r>
          </w:p>
        </w:tc>
        <w:tc>
          <w:tcPr>
            <w:tcW w:w="505" w:type="dxa"/>
            <w:noWrap w:val="0"/>
            <w:vAlign w:val="center"/>
          </w:tcPr>
          <w:p w14:paraId="609753E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478" w:type="dxa"/>
            <w:noWrap w:val="0"/>
            <w:vAlign w:val="center"/>
          </w:tcPr>
          <w:p w14:paraId="62A8BA5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项</w:t>
            </w:r>
          </w:p>
        </w:tc>
        <w:tc>
          <w:tcPr>
            <w:tcW w:w="718" w:type="dxa"/>
            <w:noWrap w:val="0"/>
            <w:vAlign w:val="center"/>
          </w:tcPr>
          <w:p w14:paraId="4569DE4F">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14:paraId="088E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6A636C34">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1239" w:type="dxa"/>
            <w:noWrap w:val="0"/>
            <w:vAlign w:val="center"/>
          </w:tcPr>
          <w:p w14:paraId="07D4532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教师教学能力大赛</w:t>
            </w:r>
          </w:p>
        </w:tc>
        <w:tc>
          <w:tcPr>
            <w:tcW w:w="6390" w:type="dxa"/>
            <w:gridSpan w:val="2"/>
            <w:noWrap w:val="0"/>
            <w:vAlign w:val="center"/>
          </w:tcPr>
          <w:p w14:paraId="3768133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组织教师外出学习</w:t>
            </w:r>
          </w:p>
          <w:p w14:paraId="2269DA36">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组织老师参加区级以上培训，培训人数：</w:t>
            </w:r>
            <w:r>
              <w:rPr>
                <w:rFonts w:hint="eastAsia" w:ascii="宋体" w:hAnsi="宋体" w:eastAsia="宋体" w:cs="宋体"/>
                <w:b w:val="0"/>
                <w:bCs w:val="0"/>
                <w:color w:val="auto"/>
                <w:kern w:val="0"/>
                <w:sz w:val="21"/>
                <w:szCs w:val="21"/>
                <w:highlight w:val="none"/>
                <w:lang w:val="en-US" w:eastAsia="zh-CN"/>
              </w:rPr>
              <w:t>8人</w:t>
            </w:r>
          </w:p>
          <w:p w14:paraId="36A848D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bidi="ar"/>
              </w:rPr>
              <w:t>邀请专家进行指导</w:t>
            </w:r>
          </w:p>
          <w:p w14:paraId="6272513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邀请</w:t>
            </w:r>
            <w:r>
              <w:rPr>
                <w:rFonts w:hint="eastAsia" w:ascii="宋体" w:hAnsi="宋体" w:eastAsia="宋体" w:cs="宋体"/>
                <w:b w:val="0"/>
                <w:bCs w:val="0"/>
                <w:color w:val="auto"/>
                <w:kern w:val="0"/>
                <w:sz w:val="21"/>
                <w:szCs w:val="21"/>
                <w:highlight w:val="none"/>
                <w:lang w:val="en-US" w:eastAsia="zh-CN"/>
              </w:rPr>
              <w:t>具有</w:t>
            </w:r>
            <w:r>
              <w:rPr>
                <w:rFonts w:hint="eastAsia" w:ascii="宋体" w:hAnsi="宋体" w:eastAsia="宋体" w:cs="宋体"/>
                <w:b w:val="0"/>
                <w:bCs w:val="0"/>
                <w:color w:val="auto"/>
                <w:kern w:val="0"/>
                <w:sz w:val="21"/>
                <w:szCs w:val="21"/>
                <w:highlight w:val="none"/>
                <w:lang w:eastAsia="zh-CN"/>
              </w:rPr>
              <w:t>教学能力</w:t>
            </w:r>
            <w:r>
              <w:rPr>
                <w:rFonts w:hint="eastAsia" w:ascii="宋体" w:hAnsi="宋体" w:eastAsia="宋体" w:cs="宋体"/>
                <w:b w:val="0"/>
                <w:bCs w:val="0"/>
                <w:color w:val="auto"/>
                <w:kern w:val="0"/>
                <w:sz w:val="21"/>
                <w:szCs w:val="21"/>
                <w:highlight w:val="none"/>
                <w:lang w:val="en-US" w:eastAsia="zh-CN"/>
              </w:rPr>
              <w:t>大赛经验的专家</w:t>
            </w:r>
            <w:r>
              <w:rPr>
                <w:rFonts w:hint="eastAsia" w:ascii="宋体" w:hAnsi="宋体" w:eastAsia="宋体" w:cs="宋体"/>
                <w:b w:val="0"/>
                <w:bCs w:val="0"/>
                <w:color w:val="auto"/>
                <w:kern w:val="0"/>
                <w:sz w:val="21"/>
                <w:szCs w:val="21"/>
                <w:highlight w:val="none"/>
                <w:lang w:eastAsia="zh-CN"/>
              </w:rPr>
              <w:t>进行指导，线下培训时间应达到</w:t>
            </w:r>
            <w:r>
              <w:rPr>
                <w:rFonts w:hint="eastAsia" w:ascii="宋体" w:hAnsi="宋体" w:eastAsia="宋体" w:cs="宋体"/>
                <w:b w:val="0"/>
                <w:bCs w:val="0"/>
                <w:color w:val="auto"/>
                <w:kern w:val="0"/>
                <w:sz w:val="21"/>
                <w:szCs w:val="21"/>
                <w:highlight w:val="none"/>
                <w:lang w:val="en-US" w:eastAsia="zh-CN"/>
              </w:rPr>
              <w:t>12天及以上，线上培训时间应达到一个月及以上。包括内容：</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（1）职业院校教学能力比赛备赛经验分享与交流</w:t>
            </w:r>
          </w:p>
          <w:p w14:paraId="4C8BEB9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（2）教学能力大赛一等奖全套参赛作品的解读、观摩、评价与讨论</w:t>
            </w:r>
          </w:p>
          <w:p w14:paraId="45DC186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（3）任务驱动式、深度学习式课堂实例体验与解读</w:t>
            </w:r>
          </w:p>
          <w:p w14:paraId="2D333F54">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（4）实操方面：教学设计与思路；教案与实施报告撰写；教学展示和答辩策略</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bidi="ar-SA"/>
              </w:rPr>
              <w:t>结合当前本专业基础，拟定方向</w:t>
            </w:r>
            <w:r>
              <w:rPr>
                <w:rFonts w:hint="eastAsia" w:ascii="宋体" w:hAnsi="宋体" w:eastAsia="宋体" w:cs="宋体"/>
                <w:b w:val="0"/>
                <w:bCs w:val="0"/>
                <w:color w:val="auto"/>
                <w:kern w:val="0"/>
                <w:sz w:val="21"/>
                <w:szCs w:val="21"/>
                <w:highlight w:val="none"/>
                <w:lang w:val="en-US" w:eastAsia="zh-CN"/>
              </w:rPr>
              <w:br w:type="textWrapping"/>
            </w:r>
            <w:r>
              <w:rPr>
                <w:rFonts w:hint="eastAsia" w:ascii="宋体" w:hAnsi="宋体" w:eastAsia="宋体" w:cs="宋体"/>
                <w:b w:val="0"/>
                <w:bCs w:val="0"/>
                <w:color w:val="auto"/>
                <w:kern w:val="0"/>
                <w:sz w:val="21"/>
                <w:szCs w:val="21"/>
                <w:highlight w:val="none"/>
                <w:lang w:val="en-US" w:eastAsia="zh-CN"/>
              </w:rPr>
              <w:t>专家资质要求：与数控专业相同或相近的省级一等奖以上的参赛选手</w:t>
            </w:r>
          </w:p>
          <w:p w14:paraId="6E209B3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bidi="ar"/>
              </w:rPr>
              <w:t>聘请专业团队进行拍摄、制作视频</w:t>
            </w:r>
          </w:p>
          <w:p w14:paraId="0136B125">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邀请具有教学能力（国赛）拍摄经验的团队进行一对一拍摄。实录视频分两组，一组包括三段实录视频。每段时长8—12分钟，总时长控制在24—36分钟；每段视频选择教学场景，应分别完整、清晰地呈现线上线下教学特质鲜明、反映团队成员教学风格的教学活动实况。</w:t>
            </w:r>
          </w:p>
          <w:p w14:paraId="4C00904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要求：视频须采用3机位全程连续录制，镜头固定，其中一个机位对准黑板和屏幕，另两个机位根据教学实际固定镜头位置，须覆盖教室全景（1 学时教学需要两个教学场所的，每个教学场所均须安放固定镜头，机位总数为3个）。3 机位须同步录制，保证音视频准确同步。录课过程中拍摄及其他人员不在场，提交的视频从拍摄人员离场开始到拍摄人员停机为止（1学时之外的录制时长不超过2分钟）。所有机位拍摄的视频须保证音轨连续，不另行剪辑及配音，不加片头片尾、字幕注解。视频采用MP4格式封装，单个视频文件大小不超过500M。</w:t>
            </w:r>
          </w:p>
          <w:p w14:paraId="4005999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 xml:space="preserve">视频录制采用H.264/AVC编码格式压缩，动态比特率（码 </w:t>
            </w:r>
          </w:p>
          <w:p w14:paraId="0C1F6D6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eastAsia="zh-CN"/>
              </w:rPr>
              <w:t>流）不低于1024Kbps，分辨率设定为1280*720，采用逐行扫描，帧速率为25 帧/秒。音频采用AAC格式压缩，采样率48KHz，比特率（码流）128Kbps(恒定)。</w:t>
            </w:r>
          </w:p>
        </w:tc>
        <w:tc>
          <w:tcPr>
            <w:tcW w:w="505" w:type="dxa"/>
            <w:noWrap w:val="0"/>
            <w:vAlign w:val="center"/>
          </w:tcPr>
          <w:p w14:paraId="4139B9D5">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478" w:type="dxa"/>
            <w:noWrap w:val="0"/>
            <w:vAlign w:val="center"/>
          </w:tcPr>
          <w:p w14:paraId="4093893B">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人</w:t>
            </w:r>
          </w:p>
        </w:tc>
        <w:tc>
          <w:tcPr>
            <w:tcW w:w="718" w:type="dxa"/>
            <w:noWrap w:val="0"/>
            <w:vAlign w:val="center"/>
          </w:tcPr>
          <w:p w14:paraId="532B277C">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0844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6B37876A">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w:t>
            </w:r>
          </w:p>
        </w:tc>
        <w:tc>
          <w:tcPr>
            <w:tcW w:w="1239" w:type="dxa"/>
            <w:noWrap w:val="0"/>
            <w:vAlign w:val="center"/>
          </w:tcPr>
          <w:p w14:paraId="190D1C5E">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学生技能大赛培训（国赛）</w:t>
            </w:r>
          </w:p>
        </w:tc>
        <w:tc>
          <w:tcPr>
            <w:tcW w:w="6390" w:type="dxa"/>
            <w:gridSpan w:val="2"/>
            <w:noWrap w:val="0"/>
            <w:vAlign w:val="center"/>
          </w:tcPr>
          <w:p w14:paraId="347ECE7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组织</w:t>
            </w:r>
            <w:r>
              <w:rPr>
                <w:rFonts w:hint="eastAsia" w:ascii="宋体" w:hAnsi="宋体" w:eastAsia="宋体" w:cs="宋体"/>
                <w:b w:val="0"/>
                <w:bCs w:val="0"/>
                <w:color w:val="auto"/>
                <w:kern w:val="0"/>
                <w:sz w:val="21"/>
                <w:szCs w:val="21"/>
                <w:highlight w:val="none"/>
                <w:lang w:eastAsia="zh-CN" w:bidi="ar"/>
              </w:rPr>
              <w:t>师生参加国赛培训</w:t>
            </w:r>
          </w:p>
          <w:p w14:paraId="399AA02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Inventor、Fusion 360高阶技术培训</w:t>
            </w:r>
          </w:p>
          <w:p w14:paraId="60A56FE5">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线下培训要求：专业讲师授课，线下安排与区外优秀院校进行技术拉练不少于15天，具体培训内容可根据当年竞赛方向做具体要求，培训拉练时长根据竞赛时间可做调整；</w:t>
            </w:r>
          </w:p>
          <w:p w14:paraId="44C6AA3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线上培训：不少于</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eastAsia="zh-CN"/>
              </w:rPr>
              <w:t>5天，每天不低于6学时</w:t>
            </w:r>
          </w:p>
          <w:p w14:paraId="5021D7B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参训人员：教师2名，学生不限人数；</w:t>
            </w:r>
          </w:p>
          <w:p w14:paraId="6984993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讲师资质：要求Autodesk讲师资质，省级技术能手；具备《产品数字化设计与开发》赛项的大赛指导经验，近三年指导学生在国家级竞赛中获奖</w:t>
            </w:r>
          </w:p>
          <w:p w14:paraId="2EA7AC0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bidi="ar"/>
              </w:rPr>
              <w:t>聘请专家指导</w:t>
            </w:r>
          </w:p>
          <w:p w14:paraId="5271ECCC">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专家资质：具备autodesk inventor讲师资质、fusion360讲师资质</w:t>
            </w:r>
          </w:p>
          <w:p w14:paraId="22251798">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bidi="ar"/>
              </w:rPr>
              <w:t>大赛项目所需耗材、设备支持</w:t>
            </w:r>
            <w:r>
              <w:rPr>
                <w:rFonts w:hint="eastAsia" w:ascii="宋体" w:hAnsi="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eastAsia="zh-CN"/>
              </w:rPr>
              <w:t>根据培训计划购买</w:t>
            </w:r>
          </w:p>
          <w:p w14:paraId="0D2CCF10">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省级赛准备</w:t>
            </w:r>
          </w:p>
          <w:p w14:paraId="4671F9FB">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省赛：邀请具备《产品数字化设计与开发》赛项制裁经验专家指导</w:t>
            </w:r>
          </w:p>
        </w:tc>
        <w:tc>
          <w:tcPr>
            <w:tcW w:w="505" w:type="dxa"/>
            <w:noWrap w:val="0"/>
            <w:vAlign w:val="center"/>
          </w:tcPr>
          <w:p w14:paraId="5770291B">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0D3FBE2A">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项</w:t>
            </w:r>
          </w:p>
        </w:tc>
        <w:tc>
          <w:tcPr>
            <w:tcW w:w="718" w:type="dxa"/>
            <w:noWrap w:val="0"/>
            <w:vAlign w:val="center"/>
          </w:tcPr>
          <w:p w14:paraId="0E3E0ABF">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3974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4FD94259">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w:t>
            </w:r>
          </w:p>
        </w:tc>
        <w:tc>
          <w:tcPr>
            <w:tcW w:w="1239" w:type="dxa"/>
            <w:noWrap w:val="0"/>
            <w:vAlign w:val="center"/>
          </w:tcPr>
          <w:p w14:paraId="64760C1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数控车床“1+X”证书试点</w:t>
            </w:r>
          </w:p>
        </w:tc>
        <w:tc>
          <w:tcPr>
            <w:tcW w:w="6390" w:type="dxa"/>
            <w:gridSpan w:val="2"/>
            <w:noWrap w:val="0"/>
            <w:vAlign w:val="center"/>
          </w:tcPr>
          <w:p w14:paraId="751C132F">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购买学生训练</w:t>
            </w:r>
            <w:r>
              <w:rPr>
                <w:rFonts w:hint="eastAsia" w:ascii="宋体" w:hAnsi="宋体" w:cs="宋体"/>
                <w:b w:val="0"/>
                <w:bCs w:val="0"/>
                <w:color w:val="auto"/>
                <w:kern w:val="0"/>
                <w:sz w:val="21"/>
                <w:szCs w:val="21"/>
                <w:highlight w:val="none"/>
                <w:lang w:eastAsia="zh-CN" w:bidi="ar"/>
              </w:rPr>
              <w:t>和考证</w:t>
            </w:r>
            <w:r>
              <w:rPr>
                <w:rFonts w:hint="eastAsia" w:ascii="宋体" w:hAnsi="宋体" w:eastAsia="宋体" w:cs="宋体"/>
                <w:b w:val="0"/>
                <w:bCs w:val="0"/>
                <w:color w:val="auto"/>
                <w:kern w:val="0"/>
                <w:sz w:val="21"/>
                <w:szCs w:val="21"/>
                <w:highlight w:val="none"/>
                <w:lang w:bidi="ar"/>
              </w:rPr>
              <w:t>耗材</w:t>
            </w:r>
            <w:r>
              <w:rPr>
                <w:rFonts w:hint="eastAsia" w:ascii="宋体" w:hAnsi="宋体" w:eastAsia="宋体" w:cs="宋体"/>
                <w:b w:val="0"/>
                <w:bCs w:val="0"/>
                <w:color w:val="auto"/>
                <w:kern w:val="0"/>
                <w:sz w:val="21"/>
                <w:szCs w:val="21"/>
                <w:highlight w:val="none"/>
                <w:lang w:eastAsia="zh-CN" w:bidi="ar"/>
              </w:rPr>
              <w:t>：</w:t>
            </w:r>
            <w:r>
              <w:rPr>
                <w:rFonts w:hint="eastAsia" w:ascii="宋体" w:hAnsi="宋体" w:cs="宋体"/>
                <w:b w:val="0"/>
                <w:bCs w:val="0"/>
                <w:color w:val="auto"/>
                <w:kern w:val="0"/>
                <w:sz w:val="21"/>
                <w:szCs w:val="21"/>
                <w:highlight w:val="none"/>
                <w:lang w:eastAsia="zh-CN" w:bidi="ar"/>
              </w:rPr>
              <w:t>工具、量具、刀具、</w:t>
            </w:r>
            <w:r>
              <w:rPr>
                <w:rFonts w:hint="eastAsia" w:ascii="宋体" w:hAnsi="宋体" w:cs="宋体"/>
                <w:b w:val="0"/>
                <w:bCs w:val="0"/>
                <w:color w:val="auto"/>
                <w:kern w:val="0"/>
                <w:sz w:val="21"/>
                <w:szCs w:val="21"/>
                <w:highlight w:val="none"/>
                <w:lang w:val="en-US" w:eastAsia="zh-CN" w:bidi="ar"/>
              </w:rPr>
              <w:t>45钢和铝（具体和业主方商定）</w:t>
            </w:r>
          </w:p>
          <w:p w14:paraId="453723E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color w:val="auto"/>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bidi="ar"/>
              </w:rPr>
              <w:t>印刷习题资料等</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eastAsia="zh-CN"/>
              </w:rPr>
              <w:t>收集与考证相关资料，题库等印刷给考生</w:t>
            </w:r>
          </w:p>
          <w:p w14:paraId="4A6194DE">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default" w:eastAsia="宋体"/>
                <w:color w:val="auto"/>
                <w:lang w:val="en-US" w:eastAsia="zh-CN"/>
              </w:rPr>
            </w:pPr>
            <w:r>
              <w:rPr>
                <w:rFonts w:hint="eastAsia"/>
                <w:color w:val="auto"/>
                <w:lang w:val="en-US" w:eastAsia="zh-CN"/>
              </w:rPr>
              <w:t>3.考评员、工作人员费用支出（住宿、交通和伙食）</w:t>
            </w:r>
          </w:p>
        </w:tc>
        <w:tc>
          <w:tcPr>
            <w:tcW w:w="505" w:type="dxa"/>
            <w:noWrap w:val="0"/>
            <w:vAlign w:val="center"/>
          </w:tcPr>
          <w:p w14:paraId="42847D0B">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60</w:t>
            </w:r>
          </w:p>
        </w:tc>
        <w:tc>
          <w:tcPr>
            <w:tcW w:w="478" w:type="dxa"/>
            <w:noWrap w:val="0"/>
            <w:vAlign w:val="center"/>
          </w:tcPr>
          <w:p w14:paraId="2FE02B76">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人</w:t>
            </w:r>
          </w:p>
        </w:tc>
        <w:tc>
          <w:tcPr>
            <w:tcW w:w="718" w:type="dxa"/>
            <w:noWrap w:val="0"/>
            <w:vAlign w:val="center"/>
          </w:tcPr>
          <w:p w14:paraId="5765F260">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6729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noWrap w:val="0"/>
            <w:vAlign w:val="center"/>
          </w:tcPr>
          <w:p w14:paraId="4FC717A4">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w:t>
            </w:r>
          </w:p>
        </w:tc>
        <w:tc>
          <w:tcPr>
            <w:tcW w:w="1239" w:type="dxa"/>
            <w:noWrap w:val="0"/>
            <w:vAlign w:val="center"/>
          </w:tcPr>
          <w:p w14:paraId="3A4DCAF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校企合作</w:t>
            </w:r>
          </w:p>
        </w:tc>
        <w:tc>
          <w:tcPr>
            <w:tcW w:w="6390" w:type="dxa"/>
            <w:gridSpan w:val="2"/>
            <w:noWrap w:val="0"/>
            <w:vAlign w:val="center"/>
          </w:tcPr>
          <w:p w14:paraId="7C9AD19D">
            <w:pPr>
              <w:keepNext w:val="0"/>
              <w:keepLines w:val="0"/>
              <w:pageBreakBefore w:val="0"/>
              <w:widowControl/>
              <w:kinsoku/>
              <w:wordWrap/>
              <w:overflowPunct/>
              <w:topLinePunct w:val="0"/>
              <w:autoSpaceDE/>
              <w:autoSpaceDN/>
              <w:bidi w:val="0"/>
              <w:adjustRightInd/>
              <w:snapToGrid/>
              <w:spacing w:line="440" w:lineRule="exact"/>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eastAsia="zh-CN"/>
              </w:rPr>
              <w:t>邀请数控技术应用专业相关企业进行校企合作，共同撰写</w:t>
            </w:r>
            <w:r>
              <w:rPr>
                <w:rFonts w:hint="eastAsia" w:ascii="宋体" w:hAnsi="宋体" w:cs="宋体"/>
                <w:b w:val="0"/>
                <w:bCs w:val="0"/>
                <w:color w:val="auto"/>
                <w:kern w:val="0"/>
                <w:sz w:val="21"/>
                <w:szCs w:val="21"/>
                <w:highlight w:val="none"/>
                <w:lang w:eastAsia="zh-CN"/>
              </w:rPr>
              <w:t>数控专业</w:t>
            </w:r>
            <w:r>
              <w:rPr>
                <w:rFonts w:hint="eastAsia" w:ascii="宋体" w:hAnsi="宋体" w:eastAsia="宋体" w:cs="宋体"/>
                <w:b w:val="0"/>
                <w:bCs w:val="0"/>
                <w:color w:val="auto"/>
                <w:kern w:val="0"/>
                <w:sz w:val="21"/>
                <w:szCs w:val="21"/>
                <w:highlight w:val="none"/>
                <w:lang w:eastAsia="zh-CN"/>
              </w:rPr>
              <w:t>校本教材</w:t>
            </w:r>
            <w:r>
              <w:rPr>
                <w:rFonts w:hint="eastAsia" w:ascii="宋体" w:hAnsi="宋体" w:cs="宋体"/>
                <w:b w:val="0"/>
                <w:bCs w:val="0"/>
                <w:color w:val="auto"/>
                <w:kern w:val="0"/>
                <w:sz w:val="21"/>
                <w:szCs w:val="21"/>
                <w:highlight w:val="none"/>
                <w:lang w:val="en-US" w:eastAsia="zh-CN"/>
              </w:rPr>
              <w:t>1本。</w:t>
            </w:r>
          </w:p>
        </w:tc>
        <w:tc>
          <w:tcPr>
            <w:tcW w:w="505" w:type="dxa"/>
            <w:noWrap w:val="0"/>
            <w:vAlign w:val="center"/>
          </w:tcPr>
          <w:p w14:paraId="1A502668">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78" w:type="dxa"/>
            <w:noWrap w:val="0"/>
            <w:vAlign w:val="center"/>
          </w:tcPr>
          <w:p w14:paraId="44367AEB">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个</w:t>
            </w:r>
          </w:p>
        </w:tc>
        <w:tc>
          <w:tcPr>
            <w:tcW w:w="718" w:type="dxa"/>
            <w:noWrap w:val="0"/>
            <w:vAlign w:val="center"/>
          </w:tcPr>
          <w:p w14:paraId="245BBB1F">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5D12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6" w:type="dxa"/>
            <w:gridSpan w:val="7"/>
            <w:noWrap w:val="0"/>
            <w:vAlign w:val="center"/>
          </w:tcPr>
          <w:p w14:paraId="700EA9D4">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二、商务要求</w:t>
            </w:r>
          </w:p>
        </w:tc>
      </w:tr>
      <w:tr w14:paraId="1852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gridSpan w:val="2"/>
            <w:noWrap w:val="0"/>
            <w:vAlign w:val="center"/>
          </w:tcPr>
          <w:p w14:paraId="3D0B85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lang w:bidi="ar"/>
              </w:rPr>
              <w:t>合同签订期</w:t>
            </w:r>
          </w:p>
        </w:tc>
        <w:tc>
          <w:tcPr>
            <w:tcW w:w="8091" w:type="dxa"/>
            <w:gridSpan w:val="5"/>
            <w:noWrap w:val="0"/>
            <w:vAlign w:val="center"/>
          </w:tcPr>
          <w:p w14:paraId="1D308F6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kern w:val="0"/>
                <w:szCs w:val="21"/>
                <w:lang w:bidi="ar"/>
              </w:rPr>
              <w:t>自</w:t>
            </w:r>
            <w:r>
              <w:rPr>
                <w:rFonts w:hint="eastAsia" w:ascii="宋体" w:hAnsi="宋体" w:cs="宋体"/>
                <w:color w:val="auto"/>
                <w:kern w:val="0"/>
                <w:szCs w:val="21"/>
                <w:lang w:val="en-US" w:eastAsia="zh-CN" w:bidi="ar"/>
              </w:rPr>
              <w:t>成交</w:t>
            </w:r>
            <w:r>
              <w:rPr>
                <w:rFonts w:hint="eastAsia" w:ascii="宋体" w:hAnsi="宋体" w:cs="宋体"/>
                <w:color w:val="auto"/>
                <w:kern w:val="0"/>
                <w:szCs w:val="21"/>
                <w:lang w:bidi="ar"/>
              </w:rPr>
              <w:t>通知书发出之日起</w:t>
            </w:r>
            <w:r>
              <w:rPr>
                <w:rFonts w:hint="eastAsia" w:ascii="宋体" w:hAnsi="宋体" w:cs="宋体"/>
                <w:color w:val="auto"/>
                <w:kern w:val="0"/>
                <w:szCs w:val="21"/>
                <w:lang w:val="en-US" w:eastAsia="zh-CN" w:bidi="ar"/>
              </w:rPr>
              <w:t>15</w:t>
            </w:r>
            <w:r>
              <w:rPr>
                <w:rFonts w:hint="eastAsia" w:ascii="宋体" w:hAnsi="宋体" w:cs="宋体"/>
                <w:color w:val="auto"/>
                <w:kern w:val="0"/>
                <w:szCs w:val="21"/>
                <w:lang w:bidi="ar"/>
              </w:rPr>
              <w:t>日内。</w:t>
            </w:r>
          </w:p>
        </w:tc>
      </w:tr>
      <w:tr w14:paraId="2D35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gridSpan w:val="2"/>
            <w:noWrap w:val="0"/>
            <w:vAlign w:val="center"/>
          </w:tcPr>
          <w:p w14:paraId="6B5F8BC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lang w:bidi="ar"/>
              </w:rPr>
              <w:t>交货时间及地点</w:t>
            </w:r>
          </w:p>
        </w:tc>
        <w:tc>
          <w:tcPr>
            <w:tcW w:w="8091" w:type="dxa"/>
            <w:gridSpan w:val="5"/>
            <w:noWrap w:val="0"/>
            <w:vAlign w:val="center"/>
          </w:tcPr>
          <w:p w14:paraId="3FCE75FA">
            <w:pPr>
              <w:keepNext w:val="0"/>
              <w:keepLines w:val="0"/>
              <w:pageBreakBefore w:val="0"/>
              <w:widowControl/>
              <w:numPr>
                <w:ilvl w:val="0"/>
                <w:numId w:val="3"/>
              </w:numPr>
              <w:kinsoku/>
              <w:wordWrap/>
              <w:overflowPunct/>
              <w:topLinePunct w:val="0"/>
              <w:autoSpaceDE/>
              <w:autoSpaceDN/>
              <w:bidi w:val="0"/>
              <w:adjustRightInd/>
              <w:snapToGrid/>
              <w:spacing w:line="440" w:lineRule="exact"/>
              <w:jc w:val="left"/>
              <w:textAlignment w:val="auto"/>
              <w:rPr>
                <w:rFonts w:hint="eastAsia"/>
                <w:color w:val="auto"/>
              </w:rPr>
            </w:pPr>
            <w:r>
              <w:rPr>
                <w:rFonts w:hint="eastAsia" w:ascii="宋体" w:hAnsi="宋体" w:cs="宋体"/>
                <w:color w:val="auto"/>
                <w:kern w:val="0"/>
                <w:szCs w:val="21"/>
                <w:lang w:bidi="ar"/>
              </w:rPr>
              <w:t>交货期：</w:t>
            </w:r>
            <w:r>
              <w:rPr>
                <w:rFonts w:hint="eastAsia"/>
                <w:color w:val="auto"/>
                <w:lang w:val="en-US" w:eastAsia="zh-CN"/>
              </w:rPr>
              <w:t>合同签订之日起15日内</w:t>
            </w:r>
            <w:r>
              <w:rPr>
                <w:rFonts w:hint="eastAsia"/>
                <w:color w:val="auto"/>
              </w:rPr>
              <w:t>安装调试竣工验收交付使用。</w:t>
            </w:r>
          </w:p>
          <w:p w14:paraId="3B20A48A">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2.交货地点：</w:t>
            </w:r>
            <w:r>
              <w:rPr>
                <w:rFonts w:hint="eastAsia"/>
                <w:color w:val="auto"/>
                <w:lang w:eastAsia="zh-CN"/>
              </w:rPr>
              <w:t>浦北县第一职业技术学校</w:t>
            </w:r>
          </w:p>
          <w:p w14:paraId="398C9AA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kern w:val="0"/>
                <w:szCs w:val="21"/>
                <w:lang w:bidi="ar"/>
              </w:rPr>
              <w:t>3.交货方式：现场交货</w:t>
            </w:r>
          </w:p>
        </w:tc>
      </w:tr>
      <w:tr w14:paraId="592A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gridSpan w:val="2"/>
            <w:noWrap w:val="0"/>
            <w:vAlign w:val="center"/>
          </w:tcPr>
          <w:p w14:paraId="33A959D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lang w:bidi="ar"/>
              </w:rPr>
              <w:t>质保期限</w:t>
            </w:r>
          </w:p>
        </w:tc>
        <w:tc>
          <w:tcPr>
            <w:tcW w:w="8091" w:type="dxa"/>
            <w:gridSpan w:val="5"/>
            <w:noWrap w:val="0"/>
            <w:vAlign w:val="center"/>
          </w:tcPr>
          <w:p w14:paraId="41ABD95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kern w:val="0"/>
                <w:szCs w:val="21"/>
                <w:lang w:val="en-US" w:eastAsia="zh-CN" w:bidi="ar"/>
              </w:rPr>
              <w:t>货物</w:t>
            </w:r>
            <w:r>
              <w:rPr>
                <w:rFonts w:hint="eastAsia" w:ascii="宋体" w:hAnsi="宋体" w:cs="宋体"/>
                <w:color w:val="auto"/>
                <w:kern w:val="0"/>
                <w:szCs w:val="21"/>
                <w:lang w:bidi="ar"/>
              </w:rPr>
              <w:t>按国家有关产品“三包”规定执行“三包”，自货物验收合格之日起计算，产品质保期最短不少于</w:t>
            </w:r>
            <w:r>
              <w:rPr>
                <w:rFonts w:hint="eastAsia" w:ascii="宋体" w:hAnsi="宋体" w:cs="宋体"/>
                <w:color w:val="auto"/>
                <w:kern w:val="0"/>
                <w:szCs w:val="21"/>
                <w:lang w:val="en-US" w:eastAsia="zh-CN" w:bidi="ar"/>
              </w:rPr>
              <w:t>一</w:t>
            </w:r>
            <w:r>
              <w:rPr>
                <w:rFonts w:hint="eastAsia" w:ascii="宋体" w:hAnsi="宋体" w:cs="宋体"/>
                <w:color w:val="auto"/>
                <w:kern w:val="0"/>
                <w:szCs w:val="21"/>
                <w:lang w:bidi="ar"/>
              </w:rPr>
              <w:t>年（“技术参数要求”有要求的则按其要求）。若厂家质保期超过此年限的，合同履行过程中按厂家规定执行。质保期满后，终身维护。</w:t>
            </w:r>
          </w:p>
        </w:tc>
      </w:tr>
      <w:tr w14:paraId="3B62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gridSpan w:val="2"/>
            <w:noWrap w:val="0"/>
            <w:vAlign w:val="center"/>
          </w:tcPr>
          <w:p w14:paraId="5935483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lang w:bidi="ar"/>
              </w:rPr>
              <w:t>售后服务要求</w:t>
            </w:r>
          </w:p>
        </w:tc>
        <w:tc>
          <w:tcPr>
            <w:tcW w:w="8091" w:type="dxa"/>
            <w:gridSpan w:val="5"/>
            <w:noWrap w:val="0"/>
            <w:vAlign w:val="center"/>
          </w:tcPr>
          <w:p w14:paraId="5298A3C8">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1.</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按采购人指定的地点负责送货上门、安装、调试，负责培训使用人员和维护人员。 </w:t>
            </w:r>
          </w:p>
          <w:p w14:paraId="760F76A5">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2.</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必须提供安装、配线以及软硬件的测试和调整服务。系统安装之前，应先对用户人员进行现场培训。开始安装时，应让用户的硬软件和系统集成人员参与安装、检测和排除故障。</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在施工、安装、调试等全过程中接受采购人的监督。 </w:t>
            </w:r>
          </w:p>
          <w:p w14:paraId="48D6AF1A">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3.在</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承诺的质保期内，设备保修包换所需要的配件均是原厂原装，不得使用兼容货物。 </w:t>
            </w:r>
          </w:p>
          <w:p w14:paraId="12D7E0E5">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4.售后服务按厂家承诺执行。</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超过厂家承诺标准的，按</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提交的售后服务承诺书执行。</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定期回访以及对设备进行维护；质保期后</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需提供维修维护服务。 </w:t>
            </w:r>
          </w:p>
          <w:p w14:paraId="652EDC90">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5.</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在质量保证期内应当为采购人提供以下技术支持和服务： </w:t>
            </w:r>
          </w:p>
          <w:p w14:paraId="44669802">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（1）电话咨询 </w:t>
            </w:r>
          </w:p>
          <w:p w14:paraId="02DD2D28">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应当为采购人提供技术援助电话，解答采购人在使用中遇到的问题，及时为采购人提出解决问题的建议。 </w:t>
            </w:r>
          </w:p>
          <w:p w14:paraId="599DF85F">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（2）服务响应时间 </w:t>
            </w:r>
          </w:p>
          <w:p w14:paraId="1762C866">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质保期内，采购人遇到使用或技术问题，电话咨询不能解决的，</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应在 8小时内到达现场进行处理，到达现场后 5 小时内排除故障，恢复正常使用。保证采购人正常使用，产生的一切费用由</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承担。 </w:t>
            </w:r>
          </w:p>
          <w:p w14:paraId="3A3E01DE">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（3）技术升级 </w:t>
            </w:r>
          </w:p>
          <w:p w14:paraId="167B150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lang w:bidi="ar"/>
              </w:rPr>
            </w:pPr>
            <w:r>
              <w:rPr>
                <w:rFonts w:hint="eastAsia" w:ascii="宋体" w:hAnsi="宋体" w:cs="宋体"/>
                <w:color w:val="auto"/>
                <w:kern w:val="0"/>
                <w:szCs w:val="21"/>
                <w:lang w:bidi="ar"/>
              </w:rPr>
              <w:t>在质保期内，如果</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的产品或服务升级，</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应及时通知采购人，如采购人有相应要求，</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应对采购人购买的产品或服务进行升级。</w:t>
            </w:r>
          </w:p>
          <w:p w14:paraId="115D02FD">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6.质保期外服务要求质量保证期过后，采购人需要继续由原</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提供售后服务的，</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应提供电话咨询服务，并应承诺提供产品或服务上门维护，</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和制造商应以优惠价格提供售后服务。 </w:t>
            </w:r>
          </w:p>
          <w:p w14:paraId="3F947B38">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7.备品备件及易损件 </w:t>
            </w:r>
          </w:p>
          <w:p w14:paraId="10C9296D">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售后服务中，维修使用的备品备件及易损件应为原厂配件，未经采购人同意不得使用非原厂配件。 </w:t>
            </w:r>
          </w:p>
          <w:p w14:paraId="13DE367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kern w:val="0"/>
                <w:szCs w:val="21"/>
                <w:lang w:bidi="ar"/>
              </w:rPr>
              <w:t>8.培训要求：</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对其提供产品或服务的使用和操作应尽培训义务。</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应提供对本项目的使用单位进行培训服务，涉及的相关费用应计算在项目报价内，并使使用人员能独立、熟练操作系统。</w:t>
            </w:r>
          </w:p>
        </w:tc>
      </w:tr>
      <w:tr w14:paraId="74FD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785" w:type="dxa"/>
            <w:gridSpan w:val="2"/>
            <w:noWrap w:val="0"/>
            <w:vAlign w:val="center"/>
          </w:tcPr>
          <w:p w14:paraId="6628892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lang w:bidi="ar"/>
              </w:rPr>
              <w:t>付款方式</w:t>
            </w:r>
          </w:p>
        </w:tc>
        <w:tc>
          <w:tcPr>
            <w:tcW w:w="8091" w:type="dxa"/>
            <w:gridSpan w:val="5"/>
            <w:noWrap w:val="0"/>
            <w:vAlign w:val="center"/>
          </w:tcPr>
          <w:p w14:paraId="0C365D1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Cs w:val="21"/>
                <w:highlight w:val="none"/>
              </w:rPr>
              <w:t>付款方式:</w:t>
            </w:r>
            <w:r>
              <w:rPr>
                <w:rFonts w:hint="eastAsia" w:ascii="宋体" w:hAnsi="宋体" w:cs="宋体"/>
                <w:color w:val="auto"/>
                <w:szCs w:val="21"/>
                <w:highlight w:val="none"/>
                <w:lang w:eastAsia="zh-CN"/>
              </w:rPr>
              <w:t>本项目全部完成后</w:t>
            </w:r>
            <w:r>
              <w:rPr>
                <w:rFonts w:hint="eastAsia" w:ascii="宋体" w:hAnsi="宋体" w:cs="宋体"/>
                <w:color w:val="auto"/>
                <w:szCs w:val="21"/>
                <w:highlight w:val="none"/>
              </w:rPr>
              <w:t>,</w:t>
            </w:r>
            <w:r>
              <w:rPr>
                <w:rFonts w:hint="eastAsia" w:ascii="宋体" w:hAnsi="宋体" w:cs="宋体"/>
                <w:color w:val="auto"/>
                <w:szCs w:val="21"/>
                <w:highlight w:val="none"/>
                <w:lang w:eastAsia="zh-CN"/>
              </w:rPr>
              <w:t>并验收后</w:t>
            </w:r>
            <w:r>
              <w:rPr>
                <w:rFonts w:hint="eastAsia" w:ascii="宋体" w:hAnsi="宋体" w:cs="宋体"/>
                <w:color w:val="auto"/>
                <w:szCs w:val="21"/>
                <w:highlight w:val="none"/>
                <w:lang w:val="en-US" w:eastAsia="zh-CN"/>
              </w:rPr>
              <w:t>30日内</w:t>
            </w:r>
            <w:r>
              <w:rPr>
                <w:rFonts w:hint="eastAsia" w:ascii="宋体" w:hAnsi="宋体" w:cs="宋体"/>
                <w:color w:val="auto"/>
                <w:szCs w:val="21"/>
                <w:highlight w:val="none"/>
                <w:lang w:eastAsia="zh-CN"/>
              </w:rPr>
              <w:t>交付</w:t>
            </w:r>
            <w:r>
              <w:rPr>
                <w:rFonts w:hint="eastAsia" w:ascii="宋体" w:hAnsi="宋体" w:cs="宋体"/>
                <w:color w:val="auto"/>
                <w:szCs w:val="21"/>
                <w:highlight w:val="none"/>
                <w:lang w:val="en-US" w:eastAsia="zh-CN"/>
              </w:rPr>
              <w:t>全部合同</w:t>
            </w:r>
            <w:r>
              <w:rPr>
                <w:rFonts w:hint="eastAsia" w:ascii="宋体" w:hAnsi="宋体" w:cs="宋体"/>
                <w:color w:val="auto"/>
                <w:szCs w:val="21"/>
                <w:highlight w:val="none"/>
                <w:lang w:eastAsia="zh-CN"/>
              </w:rPr>
              <w:t>款项。</w:t>
            </w:r>
          </w:p>
        </w:tc>
      </w:tr>
      <w:tr w14:paraId="5044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gridSpan w:val="2"/>
            <w:noWrap w:val="0"/>
            <w:vAlign w:val="center"/>
          </w:tcPr>
          <w:p w14:paraId="30E66972">
            <w:pPr>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rPr>
            </w:pPr>
            <w:r>
              <w:rPr>
                <w:rFonts w:hint="eastAsia" w:ascii="宋体" w:hAnsi="宋体" w:cs="宋体"/>
                <w:color w:val="auto"/>
                <w:kern w:val="0"/>
                <w:szCs w:val="21"/>
                <w:lang w:bidi="ar"/>
              </w:rPr>
              <w:t>报价要求</w:t>
            </w:r>
          </w:p>
          <w:p w14:paraId="0C31E4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8091" w:type="dxa"/>
            <w:gridSpan w:val="5"/>
            <w:noWrap w:val="0"/>
            <w:vAlign w:val="center"/>
          </w:tcPr>
          <w:p w14:paraId="6BE673A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kern w:val="0"/>
                <w:szCs w:val="21"/>
                <w:lang w:bidi="ar"/>
              </w:rPr>
              <w:t>投标报价为采购人指定地点的现场交货价，包括但不限于：投标报价包含货物采购、备品备件、工具、运抵指定交货地点、装卸费、现场安装、调试及验收的各种费用和售后服务、保险、税金、培训及其他所有成本费用的总和。项目实施过程中产生的所有费用均由</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承担。</w:t>
            </w:r>
          </w:p>
        </w:tc>
      </w:tr>
      <w:tr w14:paraId="658F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gridSpan w:val="2"/>
            <w:noWrap w:val="0"/>
            <w:vAlign w:val="center"/>
          </w:tcPr>
          <w:p w14:paraId="1C1072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lang w:bidi="ar"/>
              </w:rPr>
              <w:t>规范标准</w:t>
            </w:r>
          </w:p>
        </w:tc>
        <w:tc>
          <w:tcPr>
            <w:tcW w:w="8091" w:type="dxa"/>
            <w:gridSpan w:val="5"/>
            <w:noWrap w:val="0"/>
            <w:vAlign w:val="center"/>
          </w:tcPr>
          <w:p w14:paraId="4E12FE0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kern w:val="0"/>
                <w:szCs w:val="21"/>
                <w:lang w:bidi="ar"/>
              </w:rPr>
              <w:t>采购标的需执行的国家标准、行业标准、地方标准或者其他标准、规范。多项标准的，按最新标准或较高标准执行。</w:t>
            </w:r>
          </w:p>
        </w:tc>
      </w:tr>
      <w:tr w14:paraId="10AE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gridSpan w:val="2"/>
            <w:noWrap w:val="0"/>
            <w:vAlign w:val="center"/>
          </w:tcPr>
          <w:p w14:paraId="1A8A4E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lang w:bidi="ar"/>
              </w:rPr>
              <w:t>验收标准及要求</w:t>
            </w:r>
          </w:p>
        </w:tc>
        <w:tc>
          <w:tcPr>
            <w:tcW w:w="8091" w:type="dxa"/>
            <w:gridSpan w:val="5"/>
            <w:noWrap w:val="0"/>
            <w:vAlign w:val="top"/>
          </w:tcPr>
          <w:p w14:paraId="79DFA29B">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1.验收依据 </w:t>
            </w:r>
          </w:p>
          <w:p w14:paraId="56D9B4EB">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按合同要求及国家标准进行验收。 </w:t>
            </w:r>
          </w:p>
          <w:p w14:paraId="7BFCB72A">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2.验收标准 </w:t>
            </w:r>
          </w:p>
          <w:p w14:paraId="4AFBBD57">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（1）所供产品的规格、数量、功能、材质、颜色等符合</w:t>
            </w:r>
            <w:r>
              <w:rPr>
                <w:rFonts w:hint="eastAsia" w:ascii="宋体" w:hAnsi="宋体" w:cs="宋体"/>
                <w:color w:val="auto"/>
                <w:kern w:val="0"/>
                <w:szCs w:val="21"/>
                <w:lang w:val="en-US" w:eastAsia="zh-CN" w:bidi="ar"/>
              </w:rPr>
              <w:t>采购</w:t>
            </w:r>
            <w:r>
              <w:rPr>
                <w:rFonts w:hint="eastAsia" w:ascii="宋体" w:hAnsi="宋体" w:cs="宋体"/>
                <w:color w:val="auto"/>
                <w:kern w:val="0"/>
                <w:szCs w:val="21"/>
                <w:lang w:bidi="ar"/>
              </w:rPr>
              <w:t xml:space="preserve">文件采购需求及采购合同约定的要求。 </w:t>
            </w:r>
          </w:p>
          <w:p w14:paraId="544C7BD0">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（2）所供产品的外观完好，无严重碰撞、表皮脱落、五金件生锈等明显瑕疵。 </w:t>
            </w:r>
          </w:p>
          <w:p w14:paraId="3FED85AE">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（3）所供产品结构牢固，无安全隐患。 </w:t>
            </w:r>
          </w:p>
          <w:p w14:paraId="3EA3D410">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（4）如有抽检要求的，检测结果符合</w:t>
            </w:r>
            <w:r>
              <w:rPr>
                <w:rFonts w:hint="eastAsia" w:ascii="宋体" w:hAnsi="宋体" w:cs="宋体"/>
                <w:color w:val="auto"/>
                <w:kern w:val="0"/>
                <w:szCs w:val="21"/>
                <w:lang w:val="en-US" w:eastAsia="zh-CN" w:bidi="ar"/>
              </w:rPr>
              <w:t>采购</w:t>
            </w:r>
            <w:r>
              <w:rPr>
                <w:rFonts w:hint="eastAsia" w:ascii="宋体" w:hAnsi="宋体" w:cs="宋体"/>
                <w:color w:val="auto"/>
                <w:kern w:val="0"/>
                <w:szCs w:val="21"/>
                <w:lang w:bidi="ar"/>
              </w:rPr>
              <w:t xml:space="preserve">文件采购需求及采购合同约定的要求。 </w:t>
            </w:r>
          </w:p>
          <w:p w14:paraId="064F2FC4">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（5）所有产品均已运输至指定地点，并安装调试完毕。 </w:t>
            </w:r>
          </w:p>
          <w:p w14:paraId="181CED0F">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（6）</w:t>
            </w:r>
            <w:r>
              <w:rPr>
                <w:rFonts w:hint="eastAsia" w:ascii="宋体" w:hAnsi="宋体" w:cs="宋体"/>
                <w:color w:val="auto"/>
                <w:kern w:val="0"/>
                <w:szCs w:val="21"/>
                <w:lang w:val="en-US" w:eastAsia="zh-CN" w:bidi="ar"/>
              </w:rPr>
              <w:t>采购</w:t>
            </w:r>
            <w:r>
              <w:rPr>
                <w:rFonts w:hint="eastAsia" w:ascii="宋体" w:hAnsi="宋体" w:cs="宋体"/>
                <w:color w:val="auto"/>
                <w:kern w:val="0"/>
                <w:szCs w:val="21"/>
                <w:lang w:bidi="ar"/>
              </w:rPr>
              <w:t xml:space="preserve">文件采购需求及采购合同约定的附件、工具、技术资料等齐全；提供产品使用说明书、合格证。 </w:t>
            </w:r>
          </w:p>
          <w:p w14:paraId="3084D01B">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3.验收要求 </w:t>
            </w:r>
          </w:p>
          <w:p w14:paraId="05E3E1A6">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（1）采购人可以根据采购项目具体情况自行组织验收，或者委托第三方机构或部门开展采购项目履约验收工作，验收过程中所产生的一切费用均由</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承担，报价时应考虑相关费用。 </w:t>
            </w:r>
          </w:p>
          <w:p w14:paraId="69264629">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 xml:space="preserve">（2）本项目验收如委托第三方机构组织实施的，由验收小组对照招标文件的技术参数要求核对检验，如不符合招标文件的技术参数要求的，按合同约定执行， </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承担所有责任和费用。采购人保留进一步追究责任的权利。 </w:t>
            </w:r>
          </w:p>
          <w:p w14:paraId="31D62826">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①验收活动开始前，</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应对货物作出全面检查和对验收文件进行整理，并列出清单，作为采购人收货验收和使用的技术条件依据。 </w:t>
            </w:r>
          </w:p>
          <w:p w14:paraId="7574F194">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②因验收不合格的，需要再次组织验收的，由此产生相关成本费用由</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承担。 </w:t>
            </w:r>
          </w:p>
          <w:p w14:paraId="61BD7562">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rPr>
            </w:pPr>
            <w:r>
              <w:rPr>
                <w:rFonts w:hint="eastAsia" w:ascii="宋体" w:hAnsi="宋体" w:cs="宋体"/>
                <w:color w:val="auto"/>
                <w:kern w:val="0"/>
                <w:szCs w:val="21"/>
                <w:lang w:bidi="ar"/>
              </w:rPr>
              <w:t>（3）验收时</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提供验收文档，具体如下：技术方案、实施方案、售后服务方案、培训方案、系统部署文档、测试文档、使用说明书、电子文档等。 </w:t>
            </w:r>
          </w:p>
          <w:p w14:paraId="1EB29D4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lang w:bidi="ar"/>
              </w:rPr>
            </w:pPr>
            <w:r>
              <w:rPr>
                <w:rFonts w:hint="eastAsia" w:ascii="宋体" w:hAnsi="宋体" w:cs="宋体"/>
                <w:color w:val="auto"/>
                <w:kern w:val="0"/>
                <w:szCs w:val="21"/>
                <w:highlight w:val="none"/>
                <w:lang w:bidi="ar"/>
              </w:rPr>
              <w:t>（4）对所有要求出具的证明文件的原件进行核查，如不符</w:t>
            </w:r>
            <w:r>
              <w:rPr>
                <w:rFonts w:hint="eastAsia" w:ascii="宋体" w:hAnsi="宋体" w:cs="宋体"/>
                <w:color w:val="auto"/>
                <w:kern w:val="0"/>
                <w:szCs w:val="21"/>
                <w:lang w:bidi="ar"/>
              </w:rPr>
              <w:t>合</w:t>
            </w:r>
            <w:r>
              <w:rPr>
                <w:rFonts w:hint="eastAsia" w:ascii="宋体" w:hAnsi="宋体" w:cs="宋体"/>
                <w:color w:val="auto"/>
                <w:kern w:val="0"/>
                <w:szCs w:val="21"/>
                <w:lang w:val="en-US" w:eastAsia="zh-CN" w:bidi="ar"/>
              </w:rPr>
              <w:t>采购</w:t>
            </w:r>
            <w:r>
              <w:rPr>
                <w:rFonts w:hint="eastAsia" w:ascii="宋体" w:hAnsi="宋体" w:cs="宋体"/>
                <w:color w:val="auto"/>
                <w:kern w:val="0"/>
                <w:szCs w:val="21"/>
                <w:lang w:bidi="ar"/>
              </w:rPr>
              <w:t>文件的技术需求及要求，以及提供虚假承诺的，按相关规定做退货处理及违约处理，</w:t>
            </w:r>
            <w:r>
              <w:rPr>
                <w:rFonts w:hint="eastAsia" w:ascii="宋体" w:hAnsi="宋体" w:cs="宋体"/>
                <w:color w:val="auto"/>
                <w:kern w:val="0"/>
                <w:szCs w:val="21"/>
                <w:lang w:eastAsia="zh-CN" w:bidi="ar"/>
              </w:rPr>
              <w:t>成交人</w:t>
            </w:r>
            <w:r>
              <w:rPr>
                <w:rFonts w:hint="eastAsia" w:ascii="宋体" w:hAnsi="宋体" w:cs="宋体"/>
                <w:color w:val="auto"/>
                <w:kern w:val="0"/>
                <w:szCs w:val="21"/>
                <w:lang w:bidi="ar"/>
              </w:rPr>
              <w:t xml:space="preserve">承担所有责任和费用，采购人保留进一步追究责任的权利。 </w:t>
            </w:r>
          </w:p>
          <w:p w14:paraId="12EBFAF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lang w:val="en-US" w:eastAsia="zh-CN" w:bidi="ar"/>
              </w:rPr>
            </w:pPr>
            <w:r>
              <w:rPr>
                <w:rFonts w:hint="eastAsia" w:ascii="宋体" w:hAnsi="宋体" w:cs="宋体"/>
                <w:color w:val="auto"/>
                <w:kern w:val="0"/>
                <w:szCs w:val="21"/>
                <w:lang w:eastAsia="zh-CN" w:bidi="ar"/>
              </w:rPr>
              <w:t>（</w:t>
            </w:r>
            <w:r>
              <w:rPr>
                <w:rFonts w:hint="eastAsia" w:ascii="宋体" w:hAnsi="宋体" w:cs="宋体"/>
                <w:color w:val="auto"/>
                <w:kern w:val="0"/>
                <w:szCs w:val="21"/>
                <w:lang w:val="en-US" w:eastAsia="zh-CN" w:bidi="ar"/>
              </w:rPr>
              <w:t>5）设备初检通过后，中标人应尽快安排技术人员进行设备的安装与调试。初步验收应有中标人和采购人代表在场，中标人应确保货物名称2.1项“数控车床智能升级改造”中“七、综合管理系统（数控车铣）与“1+X”数控车铣加工职业技能等级证书评价组织系统实现联网上传数据并现场演示。初步验收应有双方签字确认的现场记录。如无法实现货物名称2.1项“数控车床智能升级改造”中“七、综合管理系统（数控车铣）”与“1+X”数控车铣加工职业技能等级证书评价组织系统进行联网上传数据，中标人必须在5个工作日内</w:t>
            </w:r>
            <w:bookmarkStart w:id="133" w:name="_GoBack"/>
            <w:bookmarkEnd w:id="133"/>
            <w:r>
              <w:rPr>
                <w:rFonts w:hint="eastAsia" w:ascii="宋体" w:hAnsi="宋体" w:cs="宋体"/>
                <w:color w:val="auto"/>
                <w:kern w:val="0"/>
                <w:szCs w:val="21"/>
                <w:lang w:val="en-US" w:eastAsia="zh-CN" w:bidi="ar"/>
              </w:rPr>
              <w:t>解决，否则视为违约。</w:t>
            </w:r>
          </w:p>
          <w:p w14:paraId="6E662A8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cs="宋体"/>
                <w:color w:val="auto"/>
                <w:kern w:val="0"/>
                <w:szCs w:val="21"/>
                <w:lang w:val="en-US" w:eastAsia="zh-CN" w:bidi="ar"/>
              </w:rPr>
            </w:pPr>
            <w:r>
              <w:rPr>
                <w:rFonts w:hint="eastAsia" w:ascii="宋体" w:hAnsi="宋体"/>
                <w:color w:val="auto"/>
                <w:lang w:val="en-US" w:eastAsia="zh-CN"/>
              </w:rPr>
              <w:t>（6）</w:t>
            </w:r>
            <w:r>
              <w:rPr>
                <w:rFonts w:hint="eastAsia" w:ascii="宋体" w:hAnsi="宋体"/>
                <w:color w:val="auto"/>
              </w:rPr>
              <w:t>对于实行生产许可证制度或者实行强制性产品认证但采购文件中未明确要求竞标时必须提交相关证书资料、并且成交供应商在竞标时也未提供相关证书资料的产品，在</w:t>
            </w:r>
            <w:r>
              <w:rPr>
                <w:rFonts w:hint="eastAsia" w:ascii="宋体" w:hAnsi="宋体"/>
                <w:color w:val="auto"/>
                <w:lang w:val="en-US" w:eastAsia="zh-CN"/>
              </w:rPr>
              <w:t>供货</w:t>
            </w:r>
            <w:r>
              <w:rPr>
                <w:rFonts w:hint="eastAsia" w:ascii="宋体" w:hAnsi="宋体"/>
                <w:color w:val="auto"/>
              </w:rPr>
              <w:t>时必须向采购单位出示相关证书资料（含CCC认证）</w:t>
            </w:r>
            <w:r>
              <w:rPr>
                <w:rFonts w:hint="eastAsia" w:ascii="宋体" w:hAnsi="宋体"/>
                <w:color w:val="auto"/>
                <w:lang w:eastAsia="zh-CN"/>
              </w:rPr>
              <w:t>。</w:t>
            </w:r>
          </w:p>
        </w:tc>
      </w:tr>
      <w:tr w14:paraId="1681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6" w:type="dxa"/>
            <w:gridSpan w:val="7"/>
            <w:noWrap w:val="0"/>
            <w:vAlign w:val="center"/>
          </w:tcPr>
          <w:p w14:paraId="6FFBD6C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cs="宋体"/>
                <w:b/>
                <w:bCs/>
                <w:color w:val="auto"/>
                <w:kern w:val="0"/>
                <w:szCs w:val="21"/>
                <w:lang w:val="en-US" w:eastAsia="zh-CN" w:bidi="ar"/>
              </w:rPr>
              <w:t>三</w:t>
            </w:r>
            <w:r>
              <w:rPr>
                <w:rFonts w:hint="eastAsia" w:ascii="宋体" w:hAnsi="宋体" w:cs="宋体"/>
                <w:b/>
                <w:bCs/>
                <w:color w:val="auto"/>
                <w:kern w:val="0"/>
                <w:szCs w:val="21"/>
                <w:lang w:bidi="ar"/>
              </w:rPr>
              <w:t>、</w:t>
            </w:r>
            <w:r>
              <w:rPr>
                <w:rFonts w:hint="eastAsia" w:ascii="宋体" w:hAnsi="宋体" w:cs="宋体"/>
                <w:b/>
                <w:bCs/>
                <w:color w:val="auto"/>
                <w:kern w:val="0"/>
                <w:szCs w:val="21"/>
                <w:lang w:val="en-US" w:eastAsia="zh-CN" w:bidi="ar"/>
              </w:rPr>
              <w:t>其他</w:t>
            </w:r>
            <w:r>
              <w:rPr>
                <w:rFonts w:hint="eastAsia" w:ascii="宋体" w:hAnsi="宋体" w:cs="宋体"/>
                <w:b/>
                <w:bCs/>
                <w:color w:val="auto"/>
                <w:kern w:val="0"/>
                <w:szCs w:val="21"/>
                <w:lang w:bidi="ar"/>
              </w:rPr>
              <w:t>要求</w:t>
            </w:r>
          </w:p>
        </w:tc>
      </w:tr>
      <w:tr w14:paraId="0C8F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gridSpan w:val="3"/>
            <w:noWrap w:val="0"/>
            <w:vAlign w:val="center"/>
          </w:tcPr>
          <w:p w14:paraId="4488330F">
            <w:pPr>
              <w:spacing w:line="360" w:lineRule="auto"/>
              <w:jc w:val="center"/>
              <w:rPr>
                <w:rFonts w:hint="eastAsia" w:ascii="宋体" w:hAnsi="宋体" w:eastAsia="宋体" w:cs="宋体"/>
                <w:color w:val="auto"/>
                <w:sz w:val="21"/>
                <w:szCs w:val="21"/>
                <w:highlight w:val="none"/>
              </w:rPr>
            </w:pPr>
            <w:r>
              <w:rPr>
                <w:rFonts w:hint="eastAsia" w:hAnsi="宋体"/>
                <w:color w:val="auto"/>
                <w:szCs w:val="21"/>
              </w:rPr>
              <w:t>竞标说明</w:t>
            </w:r>
          </w:p>
        </w:tc>
        <w:tc>
          <w:tcPr>
            <w:tcW w:w="6899" w:type="dxa"/>
            <w:gridSpan w:val="4"/>
            <w:noWrap w:val="0"/>
            <w:vAlign w:val="center"/>
          </w:tcPr>
          <w:p w14:paraId="72FF1BAD">
            <w:pPr>
              <w:widowControl/>
              <w:spacing w:line="40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color w:val="auto"/>
                <w:kern w:val="0"/>
              </w:rPr>
              <w:t>谈判结束后，谈判小组要求所有继续参加谈判的供应商在规定时间内在线提交最后报价。继续参加谈判的供应商作最后报价（</w:t>
            </w:r>
            <w:r>
              <w:rPr>
                <w:rFonts w:hint="eastAsia" w:ascii="宋体" w:hAnsi="宋体"/>
                <w:b/>
                <w:bCs/>
                <w:color w:val="auto"/>
                <w:kern w:val="0"/>
              </w:rPr>
              <w:t>报价明细表作为附件，请供应商提前做好准备</w:t>
            </w:r>
            <w:r>
              <w:rPr>
                <w:rFonts w:hint="eastAsia" w:ascii="宋体" w:hAnsi="宋体"/>
                <w:color w:val="auto"/>
                <w:kern w:val="0"/>
              </w:rPr>
              <w:t>），由其法定代表人或授权代</w:t>
            </w:r>
            <w:r>
              <w:rPr>
                <w:rFonts w:hint="eastAsia" w:ascii="宋体" w:hAnsi="宋体" w:eastAsia="宋体"/>
                <w:color w:val="auto"/>
                <w:kern w:val="0"/>
              </w:rPr>
              <w:t>表签名或者加盖公章后提交</w:t>
            </w:r>
            <w:r>
              <w:rPr>
                <w:rFonts w:hint="eastAsia" w:ascii="宋体" w:hAnsi="宋体"/>
                <w:color w:val="auto"/>
                <w:kern w:val="0"/>
              </w:rPr>
              <w:t>。</w:t>
            </w:r>
          </w:p>
        </w:tc>
      </w:tr>
      <w:tr w14:paraId="305A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6" w:type="dxa"/>
            <w:gridSpan w:val="7"/>
            <w:noWrap w:val="0"/>
            <w:vAlign w:val="center"/>
          </w:tcPr>
          <w:p w14:paraId="0759F1B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color w:val="auto"/>
                <w:kern w:val="0"/>
                <w:lang w:val="en-US"/>
              </w:rPr>
            </w:pPr>
            <w:r>
              <w:rPr>
                <w:rFonts w:hint="eastAsia" w:ascii="宋体" w:hAnsi="宋体" w:cs="宋体"/>
                <w:b/>
                <w:bCs/>
                <w:color w:val="auto"/>
                <w:kern w:val="0"/>
                <w:szCs w:val="21"/>
                <w:lang w:val="en-US" w:eastAsia="zh-CN" w:bidi="ar"/>
              </w:rPr>
              <w:t>四、现场踏勘</w:t>
            </w:r>
          </w:p>
        </w:tc>
      </w:tr>
      <w:tr w14:paraId="4EA6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gridSpan w:val="3"/>
            <w:noWrap w:val="0"/>
            <w:vAlign w:val="center"/>
          </w:tcPr>
          <w:p w14:paraId="44FCB3B3">
            <w:pPr>
              <w:spacing w:line="360" w:lineRule="auto"/>
              <w:jc w:val="center"/>
              <w:rPr>
                <w:rFonts w:hint="default" w:hAnsi="宋体"/>
                <w:color w:val="auto"/>
                <w:szCs w:val="21"/>
                <w:lang w:val="en-US" w:eastAsia="zh-CN"/>
              </w:rPr>
            </w:pPr>
            <w:r>
              <w:rPr>
                <w:rFonts w:hint="eastAsia" w:hAnsi="宋体"/>
                <w:color w:val="auto"/>
                <w:szCs w:val="21"/>
                <w:lang w:val="en-US" w:eastAsia="zh-CN"/>
              </w:rPr>
              <w:t>现场踏勘</w:t>
            </w:r>
          </w:p>
        </w:tc>
        <w:tc>
          <w:tcPr>
            <w:tcW w:w="6899" w:type="dxa"/>
            <w:gridSpan w:val="4"/>
            <w:noWrap w:val="0"/>
            <w:vAlign w:val="center"/>
          </w:tcPr>
          <w:p w14:paraId="6F565E1E">
            <w:pPr>
              <w:spacing w:line="440" w:lineRule="exact"/>
              <w:ind w:firstLine="420" w:firstLineChars="200"/>
              <w:rPr>
                <w:rFonts w:ascii="宋体" w:hAnsi="宋体" w:cs="宋体"/>
                <w:color w:val="auto"/>
                <w:szCs w:val="21"/>
              </w:rPr>
            </w:pPr>
            <w:r>
              <w:rPr>
                <w:rFonts w:hint="eastAsia" w:ascii="宋体" w:hAnsi="宋体" w:cs="宋体"/>
                <w:color w:val="auto"/>
                <w:szCs w:val="21"/>
              </w:rPr>
              <w:t>为确保本项报价真实合理，供应商可在规定时间参加采购人组织的统一勘察，以确保供应商明确了解真实的现场情况和项目实际需求，保证项目按时按质按量完成。</w:t>
            </w:r>
          </w:p>
          <w:p w14:paraId="2453F672">
            <w:pPr>
              <w:spacing w:line="440" w:lineRule="exact"/>
              <w:ind w:firstLine="420" w:firstLineChars="200"/>
              <w:rPr>
                <w:rFonts w:ascii="宋体" w:hAnsi="宋体" w:cs="宋体"/>
                <w:color w:val="auto"/>
                <w:szCs w:val="21"/>
              </w:rPr>
            </w:pPr>
            <w:r>
              <w:rPr>
                <w:rFonts w:hint="eastAsia" w:ascii="宋体" w:hAnsi="宋体" w:cs="宋体"/>
                <w:color w:val="auto"/>
                <w:szCs w:val="21"/>
              </w:rPr>
              <w:t>现场勘查须携带的资料：委托代理人需持获取采购文件回执函和单位介绍信原件或授权委托书、个人有效身份证原件前往。</w:t>
            </w:r>
          </w:p>
          <w:p w14:paraId="069E5547">
            <w:pPr>
              <w:spacing w:line="440" w:lineRule="exact"/>
              <w:ind w:firstLine="420" w:firstLineChars="200"/>
              <w:rPr>
                <w:rFonts w:ascii="宋体" w:hAnsi="宋体" w:cs="宋体"/>
                <w:color w:val="auto"/>
                <w:szCs w:val="21"/>
              </w:rPr>
            </w:pPr>
            <w:r>
              <w:rPr>
                <w:rFonts w:hint="eastAsia" w:ascii="宋体" w:hAnsi="宋体" w:cs="宋体"/>
                <w:color w:val="auto"/>
                <w:szCs w:val="21"/>
              </w:rPr>
              <w:t>现场踏勘集中时间：</w:t>
            </w: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22</w:t>
            </w:r>
            <w:r>
              <w:rPr>
                <w:rFonts w:hint="eastAsia" w:ascii="宋体" w:hAnsi="宋体"/>
                <w:bCs/>
                <w:color w:val="auto"/>
                <w:szCs w:val="21"/>
              </w:rPr>
              <w:t>日</w:t>
            </w:r>
            <w:r>
              <w:rPr>
                <w:rFonts w:hint="eastAsia" w:ascii="宋体" w:hAnsi="宋体" w:cs="宋体"/>
                <w:color w:val="auto"/>
                <w:szCs w:val="21"/>
                <w:lang w:val="en-US" w:eastAsia="zh-CN"/>
              </w:rPr>
              <w:t>上</w:t>
            </w:r>
            <w:r>
              <w:rPr>
                <w:rFonts w:hint="eastAsia" w:ascii="宋体" w:hAnsi="宋体" w:cs="宋体"/>
                <w:color w:val="auto"/>
                <w:szCs w:val="21"/>
              </w:rPr>
              <w:t>午</w:t>
            </w:r>
            <w:r>
              <w:rPr>
                <w:rFonts w:hint="eastAsia" w:ascii="宋体" w:hAnsi="宋体" w:cs="宋体"/>
                <w:color w:val="auto"/>
                <w:szCs w:val="21"/>
                <w:lang w:val="en-US" w:eastAsia="zh-CN"/>
              </w:rPr>
              <w:t>10</w:t>
            </w:r>
            <w:r>
              <w:rPr>
                <w:rFonts w:hint="eastAsia" w:ascii="宋体" w:hAnsi="宋体" w:cs="宋体"/>
                <w:color w:val="auto"/>
                <w:szCs w:val="21"/>
              </w:rPr>
              <w:t>时</w:t>
            </w:r>
            <w:r>
              <w:rPr>
                <w:rFonts w:hint="eastAsia" w:ascii="宋体" w:hAnsi="宋体" w:cs="宋体"/>
                <w:color w:val="auto"/>
                <w:szCs w:val="21"/>
                <w:lang w:val="en-US" w:eastAsia="zh-CN"/>
              </w:rPr>
              <w:t>3</w:t>
            </w:r>
            <w:r>
              <w:rPr>
                <w:rFonts w:hint="eastAsia" w:ascii="宋体" w:hAnsi="宋体" w:cs="宋体"/>
                <w:color w:val="auto"/>
                <w:szCs w:val="21"/>
              </w:rPr>
              <w:t>0分，过期不候。</w:t>
            </w:r>
          </w:p>
          <w:p w14:paraId="4DB020F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集中地点：</w:t>
            </w:r>
            <w:r>
              <w:rPr>
                <w:rFonts w:hint="eastAsia" w:ascii="宋体" w:hAnsi="宋体" w:cs="宋体"/>
                <w:color w:val="auto"/>
                <w:szCs w:val="21"/>
                <w:lang w:eastAsia="zh-CN"/>
              </w:rPr>
              <w:t>浦北县第一职业技术学校（浦北县江城街道科园路111号）</w:t>
            </w:r>
            <w:r>
              <w:rPr>
                <w:rFonts w:hint="eastAsia" w:ascii="宋体" w:hAnsi="宋体" w:cs="宋体"/>
                <w:color w:val="auto"/>
                <w:szCs w:val="21"/>
              </w:rPr>
              <w:t>。</w:t>
            </w:r>
          </w:p>
          <w:p w14:paraId="08A35D3B">
            <w:pPr>
              <w:spacing w:line="440" w:lineRule="exact"/>
              <w:ind w:firstLine="420" w:firstLineChars="200"/>
              <w:rPr>
                <w:rFonts w:hint="eastAsia" w:ascii="宋体" w:hAnsi="宋体"/>
                <w:color w:val="auto"/>
                <w:kern w:val="0"/>
              </w:rPr>
            </w:pPr>
            <w:r>
              <w:rPr>
                <w:rFonts w:hint="eastAsia" w:ascii="宋体" w:hAnsi="宋体" w:cs="宋体"/>
                <w:color w:val="auto"/>
                <w:szCs w:val="21"/>
              </w:rPr>
              <w:t>联系人电话：吴斌136 1777 0074</w:t>
            </w:r>
          </w:p>
        </w:tc>
      </w:tr>
    </w:tbl>
    <w:p w14:paraId="2B176EBF">
      <w:pPr>
        <w:pStyle w:val="46"/>
        <w:ind w:firstLine="353"/>
        <w:rPr>
          <w:color w:val="auto"/>
        </w:rPr>
      </w:pPr>
    </w:p>
    <w:p w14:paraId="34D20856">
      <w:pPr>
        <w:pStyle w:val="46"/>
        <w:ind w:firstLine="353"/>
        <w:rPr>
          <w:color w:val="auto"/>
        </w:rPr>
      </w:pPr>
    </w:p>
    <w:p w14:paraId="751C3CD5">
      <w:pPr>
        <w:pStyle w:val="17"/>
      </w:pPr>
    </w:p>
    <w:p w14:paraId="0203A80E"/>
    <w:p w14:paraId="00B7E722">
      <w:pPr>
        <w:pStyle w:val="17"/>
      </w:pPr>
    </w:p>
    <w:p w14:paraId="60B14465"/>
    <w:p w14:paraId="53030F4B">
      <w:pPr>
        <w:pStyle w:val="17"/>
      </w:pPr>
    </w:p>
    <w:p w14:paraId="5C5D435B">
      <w:pPr>
        <w:rPr>
          <w:color w:val="auto"/>
        </w:rPr>
      </w:pPr>
    </w:p>
    <w:p w14:paraId="4F8BCE36">
      <w:pPr>
        <w:pStyle w:val="17"/>
        <w:rPr>
          <w:color w:val="auto"/>
        </w:rPr>
      </w:pPr>
    </w:p>
    <w:p w14:paraId="2BF34FBF">
      <w:pPr>
        <w:rPr>
          <w:color w:val="auto"/>
        </w:rPr>
      </w:pPr>
    </w:p>
    <w:p w14:paraId="61B4F6D7">
      <w:pPr>
        <w:pStyle w:val="17"/>
        <w:rPr>
          <w:color w:val="auto"/>
        </w:rPr>
      </w:pPr>
    </w:p>
    <w:p w14:paraId="6DDBA9EA">
      <w:pPr>
        <w:rPr>
          <w:color w:val="auto"/>
        </w:rPr>
      </w:pPr>
    </w:p>
    <w:p w14:paraId="7B1ADFBC">
      <w:pPr>
        <w:pStyle w:val="2"/>
        <w:spacing w:line="400" w:lineRule="exact"/>
        <w:rPr>
          <w:rFonts w:ascii="方正小标宋简体" w:eastAsia="方正小标宋简体"/>
          <w:color w:val="auto"/>
        </w:rPr>
      </w:pPr>
      <w:bookmarkStart w:id="40" w:name="_Toc92355025"/>
      <w:r>
        <w:rPr>
          <w:rFonts w:hint="eastAsia" w:ascii="方正小标宋简体" w:eastAsia="方正小标宋简体"/>
          <w:color w:val="auto"/>
        </w:rPr>
        <w:t>第三章  供应商须知</w:t>
      </w:r>
      <w:bookmarkEnd w:id="38"/>
      <w:bookmarkEnd w:id="39"/>
      <w:bookmarkEnd w:id="40"/>
    </w:p>
    <w:p w14:paraId="58536A07">
      <w:pPr>
        <w:jc w:val="center"/>
        <w:rPr>
          <w:color w:val="auto"/>
        </w:rPr>
      </w:pPr>
      <w:bookmarkStart w:id="41" w:name="_Toc358477281"/>
      <w:bookmarkStart w:id="42" w:name="_Toc357157408"/>
      <w:bookmarkStart w:id="43" w:name="_Toc354479499"/>
      <w:bookmarkStart w:id="44" w:name="_Toc350325671"/>
      <w:r>
        <w:rPr>
          <w:rFonts w:ascii="仿宋_GB2312" w:hAnsi="宋体" w:eastAsia="仿宋_GB2312"/>
          <w:b/>
          <w:color w:val="auto"/>
          <w:sz w:val="32"/>
          <w:szCs w:val="32"/>
        </w:rPr>
        <w:br w:type="page"/>
      </w:r>
    </w:p>
    <w:p w14:paraId="329D4BAD">
      <w:pPr>
        <w:jc w:val="center"/>
        <w:rPr>
          <w:rFonts w:hint="eastAsia" w:ascii="黑体" w:hAnsi="黑体" w:eastAsia="黑体"/>
          <w:b/>
          <w:color w:val="auto"/>
          <w:sz w:val="32"/>
          <w:szCs w:val="32"/>
        </w:rPr>
      </w:pPr>
      <w:r>
        <w:rPr>
          <w:rFonts w:hint="eastAsia" w:ascii="黑体" w:hAnsi="黑体" w:eastAsia="黑体"/>
          <w:b/>
          <w:color w:val="auto"/>
          <w:sz w:val="32"/>
          <w:szCs w:val="32"/>
        </w:rPr>
        <w:t>一、供应商须知前附表</w:t>
      </w:r>
    </w:p>
    <w:tbl>
      <w:tblPr>
        <w:tblStyle w:val="37"/>
        <w:tblW w:w="9351" w:type="dxa"/>
        <w:jc w:val="center"/>
        <w:tblLayout w:type="fixed"/>
        <w:tblCellMar>
          <w:top w:w="0" w:type="dxa"/>
          <w:left w:w="108" w:type="dxa"/>
          <w:bottom w:w="0" w:type="dxa"/>
          <w:right w:w="108" w:type="dxa"/>
        </w:tblCellMar>
      </w:tblPr>
      <w:tblGrid>
        <w:gridCol w:w="704"/>
        <w:gridCol w:w="8647"/>
      </w:tblGrid>
      <w:tr w14:paraId="247F186B">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D3CF37D">
            <w:pPr>
              <w:widowControl/>
              <w:spacing w:line="320" w:lineRule="exact"/>
              <w:jc w:val="center"/>
              <w:rPr>
                <w:rFonts w:hint="eastAsia" w:ascii="宋体" w:hAnsi="宋体" w:cs="宋体"/>
                <w:color w:val="auto"/>
                <w:kern w:val="0"/>
                <w:szCs w:val="21"/>
              </w:rPr>
            </w:pPr>
            <w:r>
              <w:rPr>
                <w:rFonts w:hint="eastAsia" w:ascii="宋体" w:hAnsi="宋体" w:cs="宋体"/>
                <w:color w:val="auto"/>
                <w:kern w:val="0"/>
                <w:szCs w:val="21"/>
              </w:rPr>
              <w:t>序号</w:t>
            </w:r>
          </w:p>
        </w:tc>
        <w:tc>
          <w:tcPr>
            <w:tcW w:w="8647" w:type="dxa"/>
            <w:tcBorders>
              <w:top w:val="single" w:color="000000" w:sz="4" w:space="0"/>
              <w:left w:val="nil"/>
              <w:bottom w:val="single" w:color="000000" w:sz="4" w:space="0"/>
              <w:right w:val="single" w:color="000000" w:sz="4" w:space="0"/>
            </w:tcBorders>
            <w:vAlign w:val="center"/>
          </w:tcPr>
          <w:p w14:paraId="20E54738">
            <w:pPr>
              <w:widowControl/>
              <w:spacing w:line="320" w:lineRule="exact"/>
              <w:jc w:val="center"/>
              <w:rPr>
                <w:rFonts w:hint="eastAsia" w:ascii="宋体" w:hAnsi="宋体" w:cs="宋体"/>
                <w:color w:val="auto"/>
                <w:kern w:val="0"/>
                <w:szCs w:val="21"/>
              </w:rPr>
            </w:pPr>
            <w:r>
              <w:rPr>
                <w:rFonts w:hint="eastAsia" w:ascii="宋体" w:hAnsi="宋体" w:cs="宋体"/>
                <w:color w:val="auto"/>
                <w:kern w:val="0"/>
                <w:szCs w:val="21"/>
              </w:rPr>
              <w:t>内    容</w:t>
            </w:r>
          </w:p>
        </w:tc>
      </w:tr>
      <w:tr w14:paraId="2F0ACEF5">
        <w:tblPrEx>
          <w:tblCellMar>
            <w:top w:w="0" w:type="dxa"/>
            <w:left w:w="108" w:type="dxa"/>
            <w:bottom w:w="0" w:type="dxa"/>
            <w:right w:w="108" w:type="dxa"/>
          </w:tblCellMar>
        </w:tblPrEx>
        <w:trPr>
          <w:trHeight w:val="9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4EAECFE">
            <w:pPr>
              <w:widowControl/>
              <w:spacing w:line="440" w:lineRule="exact"/>
              <w:jc w:val="center"/>
              <w:rPr>
                <w:rFonts w:hint="eastAsia" w:ascii="宋体" w:hAnsi="宋体" w:cs="宋体"/>
                <w:color w:val="auto"/>
                <w:kern w:val="0"/>
                <w:szCs w:val="21"/>
              </w:rPr>
            </w:pPr>
            <w:r>
              <w:rPr>
                <w:rFonts w:hint="eastAsia" w:ascii="宋体" w:hAnsi="宋体" w:cs="宋体"/>
                <w:color w:val="auto"/>
                <w:kern w:val="0"/>
                <w:szCs w:val="21"/>
              </w:rPr>
              <w:t>1</w:t>
            </w:r>
          </w:p>
        </w:tc>
        <w:tc>
          <w:tcPr>
            <w:tcW w:w="8647" w:type="dxa"/>
            <w:tcBorders>
              <w:top w:val="single" w:color="000000" w:sz="4" w:space="0"/>
              <w:left w:val="nil"/>
              <w:bottom w:val="single" w:color="000000" w:sz="4" w:space="0"/>
              <w:right w:val="single" w:color="000000" w:sz="4" w:space="0"/>
            </w:tcBorders>
            <w:vAlign w:val="center"/>
          </w:tcPr>
          <w:p w14:paraId="385CA354">
            <w:pPr>
              <w:spacing w:line="440" w:lineRule="exact"/>
              <w:ind w:right="-334" w:rightChars="-159"/>
              <w:rPr>
                <w:rStyle w:val="44"/>
                <w:rFonts w:hint="eastAsia" w:eastAsia="宋体"/>
                <w:color w:val="auto"/>
                <w:szCs w:val="21"/>
                <w:u w:val="none"/>
                <w:lang w:eastAsia="zh-CN"/>
              </w:rPr>
            </w:pPr>
            <w:r>
              <w:rPr>
                <w:rFonts w:ascii="宋体" w:hAnsi="宋体" w:cs="宋体"/>
                <w:color w:val="auto"/>
                <w:kern w:val="0"/>
                <w:szCs w:val="21"/>
              </w:rPr>
              <w:fldChar w:fldCharType="begin"/>
            </w:r>
            <w:r>
              <w:rPr>
                <w:rFonts w:ascii="宋体" w:hAnsi="宋体" w:cs="宋体"/>
                <w:color w:val="auto"/>
                <w:kern w:val="0"/>
                <w:szCs w:val="21"/>
              </w:rPr>
              <w:instrText xml:space="preserve"> </w:instrText>
            </w:r>
            <w:r>
              <w:rPr>
                <w:rFonts w:hint="eastAsia" w:ascii="宋体" w:hAnsi="宋体" w:cs="宋体"/>
                <w:color w:val="auto"/>
                <w:kern w:val="0"/>
                <w:szCs w:val="21"/>
              </w:rPr>
              <w:instrText xml:space="preserve">HYPERLINK </w:instrText>
            </w:r>
            <w:r>
              <w:rPr>
                <w:rFonts w:ascii="宋体" w:hAnsi="宋体" w:cs="宋体"/>
                <w:color w:val="auto"/>
                <w:kern w:val="0"/>
                <w:szCs w:val="21"/>
              </w:rPr>
              <w:instrText xml:space="preserve"> \l "_一、总_则" </w:instrText>
            </w:r>
            <w:r>
              <w:rPr>
                <w:rFonts w:ascii="宋体" w:hAnsi="宋体" w:cs="宋体"/>
                <w:color w:val="auto"/>
                <w:kern w:val="0"/>
                <w:szCs w:val="21"/>
              </w:rPr>
              <w:fldChar w:fldCharType="separate"/>
            </w:r>
            <w:r>
              <w:rPr>
                <w:rStyle w:val="44"/>
                <w:rFonts w:hint="eastAsia" w:ascii="宋体" w:hAnsi="宋体" w:cs="宋体"/>
                <w:color w:val="auto"/>
                <w:kern w:val="0"/>
                <w:szCs w:val="21"/>
                <w:u w:val="none"/>
              </w:rPr>
              <w:t>项目名称：</w:t>
            </w:r>
            <w:r>
              <w:rPr>
                <w:rFonts w:hint="eastAsia"/>
                <w:color w:val="auto"/>
                <w:lang w:eastAsia="zh-CN"/>
              </w:rPr>
              <w:t>浦北县第一职业技术学校2024年双优建设项目</w:t>
            </w:r>
          </w:p>
          <w:p w14:paraId="31D64041">
            <w:pPr>
              <w:widowControl/>
              <w:spacing w:line="440" w:lineRule="exact"/>
              <w:rPr>
                <w:rFonts w:hint="eastAsia" w:ascii="宋体" w:hAnsi="宋体" w:eastAsia="宋体"/>
                <w:color w:val="auto"/>
                <w:szCs w:val="21"/>
                <w:lang w:eastAsia="zh-CN"/>
              </w:rPr>
            </w:pPr>
            <w:r>
              <w:rPr>
                <w:rStyle w:val="44"/>
                <w:rFonts w:hint="eastAsia" w:ascii="宋体" w:hAnsi="宋体"/>
                <w:color w:val="auto"/>
                <w:szCs w:val="21"/>
                <w:u w:val="none"/>
              </w:rPr>
              <w:t>项目编号：</w:t>
            </w:r>
            <w:r>
              <w:rPr>
                <w:rFonts w:ascii="宋体" w:hAnsi="宋体" w:cs="宋体"/>
                <w:color w:val="auto"/>
                <w:kern w:val="0"/>
                <w:szCs w:val="21"/>
              </w:rPr>
              <w:fldChar w:fldCharType="end"/>
            </w:r>
            <w:r>
              <w:rPr>
                <w:rFonts w:hint="eastAsia"/>
                <w:color w:val="auto"/>
                <w:lang w:eastAsia="zh-CN"/>
              </w:rPr>
              <w:t xml:space="preserve">  QZZC2025-J1-220217-QZSZ</w:t>
            </w:r>
          </w:p>
        </w:tc>
      </w:tr>
      <w:tr w14:paraId="7D06BB45">
        <w:tblPrEx>
          <w:tblCellMar>
            <w:top w:w="0" w:type="dxa"/>
            <w:left w:w="108" w:type="dxa"/>
            <w:bottom w:w="0" w:type="dxa"/>
            <w:right w:w="108" w:type="dxa"/>
          </w:tblCellMar>
        </w:tblPrEx>
        <w:trPr>
          <w:trHeight w:val="133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B33D65B">
            <w:pPr>
              <w:widowControl/>
              <w:spacing w:line="440" w:lineRule="exact"/>
              <w:jc w:val="center"/>
              <w:rPr>
                <w:rFonts w:hint="eastAsia" w:ascii="宋体" w:hAnsi="宋体" w:cs="宋体"/>
                <w:color w:val="auto"/>
                <w:kern w:val="0"/>
                <w:szCs w:val="21"/>
              </w:rPr>
            </w:pPr>
            <w:r>
              <w:rPr>
                <w:rFonts w:hint="eastAsia" w:ascii="宋体" w:hAnsi="宋体" w:cs="宋体"/>
                <w:color w:val="auto"/>
                <w:kern w:val="0"/>
                <w:szCs w:val="21"/>
              </w:rPr>
              <w:t>2</w:t>
            </w:r>
          </w:p>
        </w:tc>
        <w:tc>
          <w:tcPr>
            <w:tcW w:w="8647" w:type="dxa"/>
            <w:tcBorders>
              <w:top w:val="single" w:color="000000" w:sz="4" w:space="0"/>
              <w:left w:val="nil"/>
              <w:bottom w:val="single" w:color="000000" w:sz="4" w:space="0"/>
              <w:right w:val="single" w:color="000000" w:sz="4" w:space="0"/>
            </w:tcBorders>
            <w:vAlign w:val="center"/>
          </w:tcPr>
          <w:p w14:paraId="5E0BCF6A">
            <w:pPr>
              <w:spacing w:line="440" w:lineRule="exact"/>
              <w:rPr>
                <w:rStyle w:val="44"/>
                <w:rFonts w:hint="eastAsia" w:ascii="宋体" w:hAnsi="宋体"/>
                <w:color w:val="auto"/>
                <w:u w:val="none"/>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HYPERLINK </w:instrText>
            </w:r>
            <w:r>
              <w:rPr>
                <w:rFonts w:ascii="宋体" w:hAnsi="宋体"/>
                <w:color w:val="auto"/>
              </w:rPr>
              <w:instrText xml:space="preserve"> \l "_一、总_则" </w:instrText>
            </w:r>
            <w:r>
              <w:rPr>
                <w:rFonts w:ascii="宋体" w:hAnsi="宋体"/>
                <w:color w:val="auto"/>
              </w:rPr>
              <w:fldChar w:fldCharType="separate"/>
            </w:r>
            <w:r>
              <w:rPr>
                <w:rStyle w:val="44"/>
                <w:rFonts w:hint="eastAsia" w:ascii="宋体" w:hAnsi="宋体"/>
                <w:color w:val="auto"/>
                <w:u w:val="none"/>
              </w:rPr>
              <w:t>供应商资格：</w:t>
            </w:r>
          </w:p>
          <w:p w14:paraId="0EE2BE7F">
            <w:pPr>
              <w:spacing w:line="400" w:lineRule="exact"/>
              <w:ind w:firstLine="420"/>
              <w:rPr>
                <w:b/>
                <w:color w:val="auto"/>
              </w:rPr>
            </w:pPr>
            <w:r>
              <w:rPr>
                <w:rFonts w:ascii="宋体" w:hAnsi="宋体"/>
                <w:color w:val="auto"/>
              </w:rPr>
              <w:fldChar w:fldCharType="end"/>
            </w:r>
            <w:r>
              <w:rPr>
                <w:rFonts w:hint="eastAsia"/>
                <w:color w:val="auto"/>
              </w:rPr>
              <w:t>1.满足《中华人民共和国政府采购法》第二十二条规定</w:t>
            </w:r>
          </w:p>
          <w:p w14:paraId="35F50F15">
            <w:pPr>
              <w:spacing w:line="400" w:lineRule="exact"/>
              <w:ind w:firstLine="420"/>
              <w:rPr>
                <w:color w:val="auto"/>
              </w:rPr>
            </w:pPr>
            <w:r>
              <w:rPr>
                <w:rFonts w:hint="eastAsia"/>
                <w:color w:val="auto"/>
              </w:rPr>
              <w:t>2.落实政府采购政策需满足的资格要求：</w:t>
            </w:r>
            <w:r>
              <w:rPr>
                <w:rFonts w:hint="eastAsia"/>
                <w:color w:val="auto"/>
                <w:lang w:val="en-US" w:eastAsia="zh-CN"/>
              </w:rPr>
              <w:t>无</w:t>
            </w:r>
            <w:r>
              <w:rPr>
                <w:rFonts w:hint="eastAsia"/>
                <w:color w:val="auto"/>
              </w:rPr>
              <w:t> </w:t>
            </w:r>
          </w:p>
          <w:p w14:paraId="78765BD5">
            <w:pPr>
              <w:spacing w:line="400" w:lineRule="exact"/>
              <w:ind w:firstLine="435"/>
              <w:rPr>
                <w:rFonts w:hint="eastAsia" w:ascii="宋体" w:hAnsi="宋体"/>
                <w:color w:val="auto"/>
              </w:rPr>
            </w:pPr>
            <w:r>
              <w:rPr>
                <w:rFonts w:hint="eastAsia"/>
                <w:color w:val="auto"/>
              </w:rPr>
              <w:t>3.本项目的特定资格要求：无</w:t>
            </w:r>
          </w:p>
        </w:tc>
      </w:tr>
      <w:tr w14:paraId="284E1340">
        <w:tblPrEx>
          <w:tblCellMar>
            <w:top w:w="0" w:type="dxa"/>
            <w:left w:w="108" w:type="dxa"/>
            <w:bottom w:w="0" w:type="dxa"/>
            <w:right w:w="108" w:type="dxa"/>
          </w:tblCellMar>
        </w:tblPrEx>
        <w:trPr>
          <w:trHeight w:val="9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C845682">
            <w:pPr>
              <w:widowControl/>
              <w:spacing w:line="440" w:lineRule="exact"/>
              <w:jc w:val="center"/>
              <w:rPr>
                <w:rFonts w:hint="eastAsia" w:ascii="宋体" w:hAnsi="宋体" w:cs="宋体"/>
                <w:color w:val="auto"/>
                <w:kern w:val="0"/>
                <w:szCs w:val="21"/>
              </w:rPr>
            </w:pPr>
            <w:r>
              <w:rPr>
                <w:rFonts w:ascii="宋体" w:hAnsi="宋体" w:cs="宋体"/>
                <w:color w:val="auto"/>
                <w:kern w:val="0"/>
                <w:szCs w:val="21"/>
              </w:rPr>
              <w:t>3</w:t>
            </w:r>
          </w:p>
        </w:tc>
        <w:tc>
          <w:tcPr>
            <w:tcW w:w="8647" w:type="dxa"/>
            <w:tcBorders>
              <w:top w:val="single" w:color="000000" w:sz="4" w:space="0"/>
              <w:left w:val="nil"/>
              <w:bottom w:val="single" w:color="000000" w:sz="4" w:space="0"/>
              <w:right w:val="single" w:color="000000" w:sz="4" w:space="0"/>
            </w:tcBorders>
            <w:vAlign w:val="center"/>
          </w:tcPr>
          <w:p w14:paraId="5FC486DA">
            <w:pPr>
              <w:spacing w:line="440" w:lineRule="exact"/>
              <w:rPr>
                <w:rFonts w:hint="eastAsia" w:ascii="宋体" w:hAnsi="宋体"/>
                <w:color w:val="auto"/>
              </w:rPr>
            </w:pPr>
            <w:r>
              <w:rPr>
                <w:color w:val="auto"/>
              </w:rPr>
              <w:fldChar w:fldCharType="begin"/>
            </w:r>
            <w:r>
              <w:rPr>
                <w:color w:val="auto"/>
              </w:rPr>
              <w:instrText xml:space="preserve"> HYPERLINK \l "_（五）报价" </w:instrText>
            </w:r>
            <w:r>
              <w:rPr>
                <w:color w:val="auto"/>
              </w:rPr>
              <w:fldChar w:fldCharType="separate"/>
            </w:r>
            <w:r>
              <w:rPr>
                <w:rStyle w:val="44"/>
                <w:rFonts w:hint="eastAsia" w:ascii="宋体" w:hAnsi="宋体" w:cs="宋体"/>
                <w:color w:val="auto"/>
                <w:kern w:val="0"/>
                <w:szCs w:val="21"/>
                <w:u w:val="none"/>
              </w:rPr>
              <w:t>报价：供应商的报价必须按采购文件或广西政府采购云平台规定的格式填写，并在规定时间内提交最后报价。</w:t>
            </w:r>
            <w:r>
              <w:rPr>
                <w:rStyle w:val="44"/>
                <w:rFonts w:hint="eastAsia" w:ascii="宋体" w:hAnsi="宋体" w:cs="宋体"/>
                <w:color w:val="auto"/>
                <w:kern w:val="0"/>
                <w:szCs w:val="21"/>
                <w:u w:val="none"/>
              </w:rPr>
              <w:fldChar w:fldCharType="end"/>
            </w:r>
          </w:p>
        </w:tc>
      </w:tr>
      <w:tr w14:paraId="041B427B">
        <w:tblPrEx>
          <w:tblCellMar>
            <w:top w:w="0" w:type="dxa"/>
            <w:left w:w="108" w:type="dxa"/>
            <w:bottom w:w="0" w:type="dxa"/>
            <w:right w:w="108" w:type="dxa"/>
          </w:tblCellMar>
        </w:tblPrEx>
        <w:trPr>
          <w:trHeight w:val="196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B035943">
            <w:pPr>
              <w:widowControl/>
              <w:spacing w:line="440" w:lineRule="exact"/>
              <w:jc w:val="center"/>
              <w:rPr>
                <w:rFonts w:hint="eastAsia" w:ascii="宋体" w:hAnsi="宋体" w:cs="宋体"/>
                <w:color w:val="auto"/>
                <w:kern w:val="0"/>
                <w:szCs w:val="21"/>
              </w:rPr>
            </w:pPr>
            <w:r>
              <w:rPr>
                <w:rFonts w:hint="eastAsia" w:ascii="宋体" w:hAnsi="宋体" w:cs="宋体"/>
                <w:color w:val="auto"/>
                <w:kern w:val="0"/>
                <w:szCs w:val="21"/>
              </w:rPr>
              <w:t>4</w:t>
            </w:r>
          </w:p>
        </w:tc>
        <w:tc>
          <w:tcPr>
            <w:tcW w:w="8647" w:type="dxa"/>
            <w:tcBorders>
              <w:top w:val="single" w:color="000000" w:sz="4" w:space="0"/>
              <w:left w:val="nil"/>
              <w:bottom w:val="single" w:color="000000" w:sz="4" w:space="0"/>
              <w:right w:val="single" w:color="000000" w:sz="4" w:space="0"/>
            </w:tcBorders>
            <w:vAlign w:val="center"/>
          </w:tcPr>
          <w:p w14:paraId="13C835AB">
            <w:pPr>
              <w:widowControl/>
              <w:spacing w:line="440" w:lineRule="exact"/>
              <w:rPr>
                <w:rStyle w:val="44"/>
                <w:rFonts w:hint="eastAsia" w:ascii="宋体" w:hAnsi="宋体"/>
                <w:color w:val="auto"/>
                <w:szCs w:val="21"/>
                <w:u w:val="none"/>
              </w:rPr>
            </w:pPr>
            <w:r>
              <w:rPr>
                <w:rFonts w:ascii="宋体" w:hAnsi="宋体" w:cs="宋体"/>
                <w:color w:val="auto"/>
                <w:kern w:val="0"/>
                <w:szCs w:val="21"/>
              </w:rPr>
              <w:fldChar w:fldCharType="begin"/>
            </w:r>
            <w:r>
              <w:rPr>
                <w:rFonts w:ascii="宋体" w:hAnsi="宋体" w:cs="宋体"/>
                <w:color w:val="auto"/>
                <w:kern w:val="0"/>
                <w:szCs w:val="21"/>
              </w:rPr>
              <w:instrText xml:space="preserve"> </w:instrText>
            </w:r>
            <w:r>
              <w:rPr>
                <w:rFonts w:hint="eastAsia" w:ascii="宋体" w:hAnsi="宋体" w:cs="宋体"/>
                <w:color w:val="auto"/>
                <w:kern w:val="0"/>
                <w:szCs w:val="21"/>
              </w:rPr>
              <w:instrText xml:space="preserve">HYPERLINK </w:instrText>
            </w:r>
            <w:r>
              <w:rPr>
                <w:rFonts w:ascii="宋体" w:hAnsi="宋体" w:cs="宋体"/>
                <w:color w:val="auto"/>
                <w:kern w:val="0"/>
                <w:szCs w:val="21"/>
              </w:rPr>
              <w:instrText xml:space="preserve"> \l "_四、响应文件开启" </w:instrText>
            </w:r>
            <w:r>
              <w:rPr>
                <w:rFonts w:ascii="宋体" w:hAnsi="宋体" w:cs="宋体"/>
                <w:color w:val="auto"/>
                <w:kern w:val="0"/>
                <w:szCs w:val="21"/>
              </w:rPr>
              <w:fldChar w:fldCharType="separate"/>
            </w:r>
            <w:r>
              <w:rPr>
                <w:rStyle w:val="44"/>
                <w:rFonts w:hint="eastAsia" w:ascii="宋体" w:hAnsi="宋体" w:cs="宋体"/>
                <w:color w:val="auto"/>
                <w:kern w:val="0"/>
                <w:szCs w:val="21"/>
                <w:u w:val="none"/>
              </w:rPr>
              <w:t>响应文件提交截止时间及开启时间：</w:t>
            </w: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23</w:t>
            </w:r>
            <w:r>
              <w:rPr>
                <w:rFonts w:hint="eastAsia" w:ascii="宋体" w:hAnsi="宋体"/>
                <w:bCs/>
                <w:color w:val="auto"/>
                <w:szCs w:val="21"/>
              </w:rPr>
              <w:t>日</w:t>
            </w:r>
            <w:r>
              <w:rPr>
                <w:rFonts w:hint="eastAsia"/>
                <w:color w:val="auto"/>
                <w:lang w:val="en-US" w:eastAsia="zh-CN"/>
              </w:rPr>
              <w:t>9</w:t>
            </w:r>
            <w:r>
              <w:rPr>
                <w:color w:val="auto"/>
              </w:rPr>
              <w:t>:</w:t>
            </w:r>
            <w:r>
              <w:rPr>
                <w:rFonts w:hint="eastAsia"/>
                <w:color w:val="auto"/>
                <w:lang w:val="en-US" w:eastAsia="zh-CN"/>
              </w:rPr>
              <w:t>30</w:t>
            </w:r>
            <w:r>
              <w:rPr>
                <w:rFonts w:hint="eastAsia"/>
                <w:color w:val="auto"/>
              </w:rPr>
              <w:t>（北京时间）</w:t>
            </w:r>
          </w:p>
          <w:p w14:paraId="1302E258">
            <w:pPr>
              <w:widowControl/>
              <w:spacing w:line="440" w:lineRule="exact"/>
              <w:rPr>
                <w:color w:val="auto"/>
              </w:rPr>
            </w:pPr>
            <w:r>
              <w:rPr>
                <w:rStyle w:val="44"/>
                <w:rFonts w:hint="eastAsia"/>
                <w:b/>
                <w:color w:val="auto"/>
                <w:szCs w:val="21"/>
                <w:u w:val="none"/>
              </w:rPr>
              <w:t>注意事项：</w:t>
            </w:r>
            <w:r>
              <w:rPr>
                <w:rStyle w:val="44"/>
                <w:rFonts w:hint="eastAsia"/>
                <w:bCs/>
                <w:color w:val="auto"/>
                <w:u w:val="none"/>
              </w:rPr>
              <w:t>供应商法定代表人或委托代理人须按时登录广西政采云远程开标大厅，保持全程在线并关注评审谈判进度，评审期间谈判小组提出澄清等要求时，供应商须在规定时间内进行在线应答，否则按采购文件或广西政采云平台的相关规定执行。</w:t>
            </w:r>
            <w:r>
              <w:rPr>
                <w:rFonts w:ascii="宋体" w:hAnsi="宋体" w:cs="宋体"/>
                <w:color w:val="auto"/>
                <w:kern w:val="0"/>
                <w:szCs w:val="21"/>
              </w:rPr>
              <w:fldChar w:fldCharType="end"/>
            </w:r>
          </w:p>
        </w:tc>
      </w:tr>
      <w:tr w14:paraId="39149A0A">
        <w:tblPrEx>
          <w:tblCellMar>
            <w:top w:w="0" w:type="dxa"/>
            <w:left w:w="108" w:type="dxa"/>
            <w:bottom w:w="0" w:type="dxa"/>
            <w:right w:w="108" w:type="dxa"/>
          </w:tblCellMar>
        </w:tblPrEx>
        <w:trPr>
          <w:trHeight w:val="14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C78C67D">
            <w:pPr>
              <w:widowControl/>
              <w:spacing w:line="440" w:lineRule="exact"/>
              <w:jc w:val="center"/>
              <w:rPr>
                <w:rFonts w:hint="eastAsia" w:ascii="宋体" w:hAnsi="宋体" w:cs="宋体"/>
                <w:color w:val="auto"/>
                <w:kern w:val="0"/>
                <w:szCs w:val="21"/>
              </w:rPr>
            </w:pPr>
            <w:r>
              <w:rPr>
                <w:rFonts w:hint="eastAsia" w:ascii="宋体" w:hAnsi="宋体" w:cs="宋体"/>
                <w:color w:val="auto"/>
                <w:kern w:val="0"/>
                <w:szCs w:val="21"/>
              </w:rPr>
              <w:t>5</w:t>
            </w:r>
          </w:p>
        </w:tc>
        <w:tc>
          <w:tcPr>
            <w:tcW w:w="8647" w:type="dxa"/>
            <w:tcBorders>
              <w:top w:val="single" w:color="000000" w:sz="4" w:space="0"/>
              <w:left w:val="nil"/>
              <w:bottom w:val="single" w:color="000000" w:sz="4" w:space="0"/>
              <w:right w:val="single" w:color="000000" w:sz="4" w:space="0"/>
            </w:tcBorders>
            <w:vAlign w:val="center"/>
          </w:tcPr>
          <w:p w14:paraId="465C29DC">
            <w:pPr>
              <w:spacing w:line="440" w:lineRule="exact"/>
              <w:rPr>
                <w:rStyle w:val="44"/>
                <w:color w:val="auto"/>
                <w:u w:val="none"/>
              </w:rPr>
            </w:pPr>
            <w:r>
              <w:rPr>
                <w:color w:val="auto"/>
              </w:rPr>
              <w:fldChar w:fldCharType="begin"/>
            </w:r>
            <w:r>
              <w:rPr>
                <w:color w:val="auto"/>
              </w:rPr>
              <w:instrText xml:space="preserve"> </w:instrText>
            </w:r>
            <w:r>
              <w:rPr>
                <w:rFonts w:hint="eastAsia"/>
                <w:color w:val="auto"/>
              </w:rPr>
              <w:instrText xml:space="preserve">HYPERLINK </w:instrText>
            </w:r>
            <w:r>
              <w:rPr>
                <w:color w:val="auto"/>
              </w:rPr>
              <w:instrText xml:space="preserve"> \l "</w:instrText>
            </w:r>
            <w:r>
              <w:rPr>
                <w:rFonts w:hint="eastAsia"/>
                <w:color w:val="auto"/>
              </w:rPr>
              <w:instrText xml:space="preserve">_五、评审与谈判</w:instrText>
            </w:r>
            <w:r>
              <w:rPr>
                <w:color w:val="auto"/>
              </w:rPr>
              <w:instrText xml:space="preserve">" </w:instrText>
            </w:r>
            <w:r>
              <w:rPr>
                <w:color w:val="auto"/>
              </w:rPr>
              <w:fldChar w:fldCharType="separate"/>
            </w:r>
            <w:r>
              <w:rPr>
                <w:rStyle w:val="44"/>
                <w:color w:val="auto"/>
                <w:u w:val="none"/>
              </w:rPr>
              <w:t>评审及谈判：</w:t>
            </w:r>
          </w:p>
          <w:p w14:paraId="41BC6B77">
            <w:pPr>
              <w:spacing w:line="440" w:lineRule="exact"/>
              <w:rPr>
                <w:color w:val="auto"/>
              </w:rPr>
            </w:pPr>
            <w:r>
              <w:rPr>
                <w:rStyle w:val="44"/>
                <w:rFonts w:hint="eastAsia"/>
                <w:color w:val="auto"/>
                <w:u w:val="none"/>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w:t>
            </w:r>
            <w:r>
              <w:rPr>
                <w:color w:val="auto"/>
              </w:rPr>
              <w:fldChar w:fldCharType="end"/>
            </w:r>
          </w:p>
        </w:tc>
      </w:tr>
      <w:tr w14:paraId="18119071">
        <w:tblPrEx>
          <w:tblCellMar>
            <w:top w:w="0" w:type="dxa"/>
            <w:left w:w="108" w:type="dxa"/>
            <w:bottom w:w="0" w:type="dxa"/>
            <w:right w:w="108" w:type="dxa"/>
          </w:tblCellMar>
        </w:tblPrEx>
        <w:trPr>
          <w:trHeight w:val="74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5EB145D">
            <w:pPr>
              <w:widowControl/>
              <w:spacing w:line="440" w:lineRule="exact"/>
              <w:jc w:val="center"/>
              <w:rPr>
                <w:rFonts w:hint="eastAsia" w:ascii="宋体" w:hAnsi="宋体" w:cs="宋体"/>
                <w:color w:val="auto"/>
                <w:kern w:val="0"/>
                <w:szCs w:val="21"/>
              </w:rPr>
            </w:pPr>
            <w:r>
              <w:rPr>
                <w:rFonts w:hint="eastAsia" w:ascii="宋体" w:hAnsi="宋体" w:cs="宋体"/>
                <w:color w:val="auto"/>
                <w:kern w:val="0"/>
                <w:szCs w:val="21"/>
              </w:rPr>
              <w:t>6</w:t>
            </w:r>
          </w:p>
        </w:tc>
        <w:tc>
          <w:tcPr>
            <w:tcW w:w="8647" w:type="dxa"/>
            <w:tcBorders>
              <w:top w:val="single" w:color="000000" w:sz="4" w:space="0"/>
              <w:left w:val="nil"/>
              <w:bottom w:val="single" w:color="000000" w:sz="4" w:space="0"/>
              <w:right w:val="single" w:color="000000" w:sz="4" w:space="0"/>
            </w:tcBorders>
            <w:vAlign w:val="center"/>
          </w:tcPr>
          <w:p w14:paraId="3F611DB9">
            <w:pPr>
              <w:widowControl/>
              <w:spacing w:line="440" w:lineRule="exact"/>
              <w:rPr>
                <w:rFonts w:hint="eastAsia" w:ascii="宋体" w:hAnsi="宋体" w:cs="宋体"/>
                <w:color w:val="auto"/>
                <w:kern w:val="0"/>
                <w:szCs w:val="21"/>
              </w:rPr>
            </w:pPr>
            <w:r>
              <w:rPr>
                <w:color w:val="auto"/>
              </w:rPr>
              <w:fldChar w:fldCharType="begin"/>
            </w:r>
            <w:r>
              <w:rPr>
                <w:color w:val="auto"/>
              </w:rPr>
              <w:instrText xml:space="preserve"> HYPERLINK \l "_第四章__评定标准及推荐原则" </w:instrText>
            </w:r>
            <w:r>
              <w:rPr>
                <w:color w:val="auto"/>
              </w:rPr>
              <w:fldChar w:fldCharType="separate"/>
            </w:r>
            <w:r>
              <w:rPr>
                <w:rStyle w:val="44"/>
                <w:rFonts w:hint="eastAsia" w:ascii="宋体" w:hAnsi="宋体" w:cs="宋体"/>
                <w:color w:val="auto"/>
                <w:kern w:val="0"/>
                <w:szCs w:val="21"/>
                <w:u w:val="none"/>
              </w:rPr>
              <w:t>评定方法：</w:t>
            </w:r>
            <w:r>
              <w:rPr>
                <w:rStyle w:val="44"/>
                <w:rFonts w:hint="eastAsia"/>
                <w:color w:val="auto"/>
                <w:u w:val="none"/>
              </w:rPr>
              <w:t>详见第四章《评定标准及推荐原则》。</w:t>
            </w:r>
            <w:r>
              <w:rPr>
                <w:rStyle w:val="44"/>
                <w:rFonts w:hint="eastAsia"/>
                <w:color w:val="auto"/>
                <w:u w:val="none"/>
              </w:rPr>
              <w:fldChar w:fldCharType="end"/>
            </w:r>
          </w:p>
        </w:tc>
      </w:tr>
      <w:tr w14:paraId="13D92D75">
        <w:tblPrEx>
          <w:tblCellMar>
            <w:top w:w="0" w:type="dxa"/>
            <w:left w:w="108" w:type="dxa"/>
            <w:bottom w:w="0" w:type="dxa"/>
            <w:right w:w="108" w:type="dxa"/>
          </w:tblCellMar>
        </w:tblPrEx>
        <w:trPr>
          <w:trHeight w:val="10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88891A0">
            <w:pPr>
              <w:widowControl/>
              <w:spacing w:line="440" w:lineRule="exact"/>
              <w:jc w:val="center"/>
              <w:rPr>
                <w:rFonts w:hint="eastAsia" w:ascii="宋体" w:hAnsi="宋体" w:cs="宋体"/>
                <w:color w:val="auto"/>
                <w:kern w:val="0"/>
                <w:szCs w:val="21"/>
              </w:rPr>
            </w:pPr>
            <w:r>
              <w:rPr>
                <w:rFonts w:hint="eastAsia" w:ascii="宋体" w:hAnsi="宋体" w:cs="宋体"/>
                <w:color w:val="auto"/>
                <w:kern w:val="0"/>
                <w:szCs w:val="21"/>
              </w:rPr>
              <w:t>7</w:t>
            </w:r>
          </w:p>
        </w:tc>
        <w:tc>
          <w:tcPr>
            <w:tcW w:w="8647" w:type="dxa"/>
            <w:tcBorders>
              <w:top w:val="single" w:color="000000" w:sz="4" w:space="0"/>
              <w:left w:val="nil"/>
              <w:bottom w:val="single" w:color="000000" w:sz="4" w:space="0"/>
              <w:right w:val="single" w:color="000000" w:sz="4" w:space="0"/>
            </w:tcBorders>
            <w:vAlign w:val="center"/>
          </w:tcPr>
          <w:p w14:paraId="34769F36">
            <w:pPr>
              <w:widowControl/>
              <w:spacing w:line="440" w:lineRule="exact"/>
              <w:rPr>
                <w:rFonts w:hint="eastAsia" w:ascii="宋体" w:hAnsi="宋体" w:cs="宋体"/>
                <w:color w:val="auto"/>
                <w:kern w:val="0"/>
                <w:szCs w:val="21"/>
              </w:rPr>
            </w:pPr>
            <w:r>
              <w:rPr>
                <w:color w:val="auto"/>
              </w:rPr>
              <w:fldChar w:fldCharType="begin"/>
            </w:r>
            <w:r>
              <w:rPr>
                <w:color w:val="auto"/>
              </w:rPr>
              <w:instrText xml:space="preserve"> HYPERLINK \l "_十、其他事项" </w:instrText>
            </w:r>
            <w:r>
              <w:rPr>
                <w:color w:val="auto"/>
              </w:rPr>
              <w:fldChar w:fldCharType="separate"/>
            </w:r>
            <w:r>
              <w:rPr>
                <w:rStyle w:val="44"/>
                <w:rFonts w:hint="eastAsia" w:ascii="宋体" w:hAnsi="宋体" w:cs="宋体"/>
                <w:color w:val="auto"/>
                <w:kern w:val="0"/>
                <w:szCs w:val="21"/>
                <w:u w:val="none"/>
              </w:rPr>
              <w:t>代理服务费：按钦州市物价局“钦市价费﹝2013﹞4号”文件，以差额定率累进法计算。成交供应商须按成交金额缴纳相应的代理服务费。</w:t>
            </w:r>
            <w:r>
              <w:rPr>
                <w:rStyle w:val="44"/>
                <w:rFonts w:hint="eastAsia" w:ascii="宋体" w:hAnsi="宋体" w:cs="宋体"/>
                <w:color w:val="auto"/>
                <w:kern w:val="0"/>
                <w:szCs w:val="21"/>
                <w:u w:val="none"/>
              </w:rPr>
              <w:fldChar w:fldCharType="end"/>
            </w:r>
          </w:p>
        </w:tc>
      </w:tr>
    </w:tbl>
    <w:p w14:paraId="42CD7FC2">
      <w:pPr>
        <w:pStyle w:val="3"/>
        <w:jc w:val="center"/>
        <w:rPr>
          <w:color w:val="auto"/>
        </w:rPr>
      </w:pPr>
      <w:bookmarkStart w:id="45" w:name="_Toc420505403"/>
      <w:r>
        <w:rPr>
          <w:color w:val="auto"/>
        </w:rPr>
        <w:br w:type="page"/>
      </w:r>
    </w:p>
    <w:p w14:paraId="5904EC2E">
      <w:pPr>
        <w:jc w:val="center"/>
        <w:rPr>
          <w:rFonts w:hint="eastAsia" w:ascii="黑体" w:hAnsi="黑体" w:eastAsia="黑体"/>
          <w:b/>
          <w:bCs/>
          <w:color w:val="auto"/>
          <w:sz w:val="32"/>
          <w:szCs w:val="32"/>
        </w:rPr>
      </w:pPr>
      <w:r>
        <w:rPr>
          <w:rFonts w:hint="eastAsia" w:ascii="黑体" w:hAnsi="黑体" w:eastAsia="黑体"/>
          <w:b/>
          <w:bCs/>
          <w:color w:val="auto"/>
          <w:sz w:val="32"/>
          <w:szCs w:val="32"/>
        </w:rPr>
        <w:t>二、供应商须知</w:t>
      </w:r>
      <w:bookmarkEnd w:id="45"/>
    </w:p>
    <w:p w14:paraId="6D647280">
      <w:pPr>
        <w:pStyle w:val="3"/>
        <w:spacing w:line="420" w:lineRule="exact"/>
        <w:rPr>
          <w:color w:val="auto"/>
        </w:rPr>
      </w:pPr>
      <w:bookmarkStart w:id="46" w:name="_一、总_则"/>
      <w:bookmarkEnd w:id="46"/>
      <w:r>
        <w:rPr>
          <w:rFonts w:hint="eastAsia"/>
          <w:color w:val="auto"/>
        </w:rPr>
        <w:t>一、总　则</w:t>
      </w:r>
    </w:p>
    <w:p w14:paraId="5CE2E73C">
      <w:pPr>
        <w:spacing w:line="420" w:lineRule="exact"/>
        <w:ind w:firstLine="210" w:firstLineChars="100"/>
        <w:rPr>
          <w:rFonts w:hint="eastAsia" w:ascii="宋体" w:hAnsi="宋体"/>
          <w:color w:val="auto"/>
          <w:szCs w:val="21"/>
        </w:rPr>
      </w:pPr>
      <w:r>
        <w:rPr>
          <w:rFonts w:hint="eastAsia" w:ascii="宋体" w:hAnsi="宋体"/>
          <w:color w:val="auto"/>
          <w:szCs w:val="21"/>
        </w:rPr>
        <w:t>（一）适用范围</w:t>
      </w:r>
    </w:p>
    <w:p w14:paraId="2784F444">
      <w:pPr>
        <w:spacing w:line="420" w:lineRule="exact"/>
        <w:ind w:right="-334" w:rightChars="-159" w:firstLine="420"/>
        <w:rPr>
          <w:rFonts w:hint="eastAsia" w:hAnsi="宋体" w:eastAsia="宋体"/>
          <w:color w:val="auto"/>
          <w:lang w:eastAsia="zh-CN"/>
        </w:rPr>
      </w:pPr>
      <w:r>
        <w:rPr>
          <w:rFonts w:hAnsi="宋体"/>
          <w:color w:val="auto"/>
        </w:rPr>
        <w:t>1.</w:t>
      </w:r>
      <w:r>
        <w:rPr>
          <w:rFonts w:hint="eastAsia" w:hAnsi="宋体"/>
          <w:color w:val="auto"/>
        </w:rPr>
        <w:t>项目名称：</w:t>
      </w:r>
      <w:r>
        <w:rPr>
          <w:rFonts w:hint="eastAsia"/>
          <w:color w:val="auto"/>
          <w:lang w:eastAsia="zh-CN"/>
        </w:rPr>
        <w:t>浦北县第一职业技术学校2024年双优建设项目</w:t>
      </w:r>
    </w:p>
    <w:p w14:paraId="69BC0013">
      <w:pPr>
        <w:spacing w:line="420" w:lineRule="exact"/>
        <w:ind w:right="-334" w:rightChars="-159" w:firstLine="420"/>
        <w:rPr>
          <w:rFonts w:hint="eastAsia" w:hAnsi="宋体" w:eastAsia="宋体"/>
          <w:color w:val="auto"/>
          <w:lang w:eastAsia="zh-CN"/>
        </w:rPr>
      </w:pPr>
      <w:r>
        <w:rPr>
          <w:rFonts w:hAnsi="宋体"/>
          <w:color w:val="auto"/>
        </w:rPr>
        <w:t>2</w:t>
      </w:r>
      <w:r>
        <w:rPr>
          <w:rFonts w:hint="eastAsia" w:hAnsi="宋体"/>
          <w:color w:val="auto"/>
        </w:rPr>
        <w:t>.项目编号：</w:t>
      </w:r>
      <w:r>
        <w:rPr>
          <w:rFonts w:hint="eastAsia" w:hAnsi="宋体"/>
          <w:color w:val="auto"/>
          <w:lang w:eastAsia="zh-CN"/>
        </w:rPr>
        <w:t xml:space="preserve">  QZZC2025-J1-220217-QZSZ</w:t>
      </w:r>
    </w:p>
    <w:p w14:paraId="6DAA39BB">
      <w:pPr>
        <w:spacing w:line="420" w:lineRule="exact"/>
        <w:ind w:right="-334" w:rightChars="-159" w:firstLine="420"/>
        <w:rPr>
          <w:color w:val="auto"/>
          <w:szCs w:val="21"/>
        </w:rPr>
      </w:pPr>
      <w:r>
        <w:rPr>
          <w:rFonts w:hint="eastAsia" w:hAnsi="宋体"/>
          <w:color w:val="auto"/>
        </w:rPr>
        <w:t>本文件仅适用于本文件中所叙述的货物、服务类政府采购项目。</w:t>
      </w:r>
    </w:p>
    <w:p w14:paraId="4F0AA294">
      <w:pPr>
        <w:spacing w:line="420" w:lineRule="exact"/>
        <w:ind w:firstLine="210" w:firstLineChars="100"/>
        <w:rPr>
          <w:rFonts w:hint="eastAsia" w:ascii="宋体" w:hAnsi="宋体"/>
          <w:color w:val="auto"/>
          <w:szCs w:val="21"/>
        </w:rPr>
      </w:pPr>
      <w:r>
        <w:rPr>
          <w:rFonts w:hint="eastAsia" w:ascii="宋体" w:hAnsi="宋体"/>
          <w:color w:val="auto"/>
          <w:szCs w:val="21"/>
        </w:rPr>
        <w:t>（二）定义</w:t>
      </w:r>
    </w:p>
    <w:p w14:paraId="0F75ABD6">
      <w:pPr>
        <w:spacing w:line="420" w:lineRule="exact"/>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采购人</w:t>
      </w:r>
      <w:r>
        <w:rPr>
          <w:rFonts w:hint="eastAsia" w:ascii="宋体" w:hAnsi="宋体"/>
          <w:color w:val="auto"/>
          <w:szCs w:val="21"/>
        </w:rPr>
        <w:t>”</w:t>
      </w:r>
      <w:r>
        <w:rPr>
          <w:rFonts w:ascii="宋体" w:hAnsi="宋体"/>
          <w:color w:val="auto"/>
          <w:szCs w:val="21"/>
        </w:rPr>
        <w:t>是指依法进行政府采购的国家机关、事业单位、团体组织。</w:t>
      </w:r>
    </w:p>
    <w:p w14:paraId="5C5C51CB">
      <w:pPr>
        <w:spacing w:line="420" w:lineRule="exact"/>
        <w:ind w:firstLine="420" w:firstLineChars="200"/>
        <w:rPr>
          <w:rFonts w:hint="eastAsia" w:ascii="宋体" w:hAnsi="宋体"/>
          <w:color w:val="auto"/>
          <w:szCs w:val="21"/>
        </w:rPr>
      </w:pPr>
      <w:r>
        <w:rPr>
          <w:rFonts w:hint="eastAsia" w:ascii="宋体" w:hAnsi="宋体"/>
          <w:color w:val="auto"/>
          <w:szCs w:val="21"/>
        </w:rPr>
        <w:t>2.“供应商”是指响应本文件要求，参加谈判的法人或其他组织。如果该供应商在本次采购项目中成交,即成为“成交供应商”。</w:t>
      </w:r>
    </w:p>
    <w:p w14:paraId="1A2B6A9A">
      <w:pPr>
        <w:spacing w:line="420" w:lineRule="exact"/>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“采购代理机构”是指</w:t>
      </w:r>
      <w:r>
        <w:rPr>
          <w:rFonts w:hint="eastAsia" w:ascii="宋体" w:hAnsi="宋体"/>
          <w:color w:val="auto"/>
        </w:rPr>
        <w:t>钦州市政府采购中心。</w:t>
      </w:r>
    </w:p>
    <w:p w14:paraId="29554F0A">
      <w:pPr>
        <w:spacing w:line="420" w:lineRule="exact"/>
        <w:ind w:firstLine="420" w:firstLineChars="200"/>
        <w:rPr>
          <w:rFonts w:hint="eastAsia" w:ascii="宋体" w:hAnsi="宋体"/>
          <w:color w:val="auto"/>
          <w:szCs w:val="21"/>
        </w:rPr>
      </w:pPr>
      <w:r>
        <w:rPr>
          <w:rFonts w:hint="eastAsia" w:ascii="宋体" w:hAnsi="宋体"/>
          <w:color w:val="auto"/>
          <w:szCs w:val="21"/>
        </w:rPr>
        <w:t>4</w:t>
      </w:r>
      <w:r>
        <w:rPr>
          <w:rFonts w:ascii="宋体" w:hAnsi="宋体"/>
          <w:color w:val="auto"/>
          <w:szCs w:val="21"/>
        </w:rPr>
        <w:t>.</w:t>
      </w:r>
      <w:r>
        <w:rPr>
          <w:rFonts w:hint="eastAsia" w:ascii="宋体" w:hAnsi="宋体"/>
          <w:color w:val="auto"/>
          <w:szCs w:val="21"/>
        </w:rPr>
        <w:t>“货物和服务”是指本次采购文件中所采购的各种形态和种类的产品以及其提供的服务。</w:t>
      </w:r>
    </w:p>
    <w:p w14:paraId="26C42BEC">
      <w:pPr>
        <w:spacing w:line="420" w:lineRule="exact"/>
        <w:ind w:firstLine="420" w:firstLineChars="200"/>
        <w:rPr>
          <w:rFonts w:hint="eastAsia" w:ascii="宋体" w:hAnsi="宋体"/>
          <w:color w:val="auto"/>
          <w:szCs w:val="21"/>
        </w:rPr>
      </w:pPr>
      <w:r>
        <w:rPr>
          <w:rFonts w:hint="eastAsia" w:ascii="宋体" w:hAnsi="宋体"/>
          <w:color w:val="auto"/>
          <w:szCs w:val="21"/>
        </w:rPr>
        <w:t>5</w:t>
      </w:r>
      <w:r>
        <w:rPr>
          <w:rFonts w:ascii="宋体" w:hAnsi="宋体"/>
          <w:color w:val="auto"/>
          <w:szCs w:val="21"/>
        </w:rPr>
        <w:t>.</w:t>
      </w:r>
      <w:r>
        <w:rPr>
          <w:rFonts w:hint="eastAsia" w:ascii="宋体" w:hAnsi="宋体"/>
          <w:color w:val="auto"/>
          <w:szCs w:val="21"/>
        </w:rPr>
        <w:t>“竞争性谈判采购文件”是指采用竞争性谈判方式进行政府采购的指导文件，简称“谈判文件”或“采购文件”。</w:t>
      </w:r>
    </w:p>
    <w:p w14:paraId="5ECD8C3C">
      <w:pPr>
        <w:spacing w:line="420" w:lineRule="exact"/>
        <w:ind w:firstLine="420" w:firstLineChars="200"/>
        <w:rPr>
          <w:rFonts w:hint="eastAsia" w:ascii="宋体" w:hAnsi="宋体"/>
          <w:color w:val="auto"/>
          <w:szCs w:val="21"/>
        </w:rPr>
      </w:pPr>
      <w:r>
        <w:rPr>
          <w:rFonts w:ascii="宋体" w:hAnsi="宋体"/>
          <w:color w:val="auto"/>
          <w:szCs w:val="21"/>
        </w:rPr>
        <w:t>6.</w:t>
      </w:r>
      <w:r>
        <w:rPr>
          <w:rFonts w:hint="eastAsia" w:ascii="宋体" w:hAnsi="宋体"/>
          <w:color w:val="auto"/>
          <w:szCs w:val="21"/>
        </w:rPr>
        <w:t>“响应文件”是指供应商根据采购文件要求，编制包含技术、服务和报价等所有内容的响应文件。</w:t>
      </w:r>
    </w:p>
    <w:p w14:paraId="1F0775DA">
      <w:pPr>
        <w:spacing w:line="420" w:lineRule="exact"/>
        <w:ind w:firstLine="420" w:firstLineChars="200"/>
        <w:rPr>
          <w:rFonts w:hint="eastAsia" w:ascii="宋体" w:hAnsi="宋体"/>
          <w:color w:val="auto"/>
          <w:szCs w:val="21"/>
        </w:rPr>
      </w:pPr>
      <w:r>
        <w:rPr>
          <w:rFonts w:ascii="宋体" w:hAnsi="宋体"/>
          <w:color w:val="auto"/>
          <w:szCs w:val="21"/>
        </w:rPr>
        <w:t>7.</w:t>
      </w:r>
      <w:r>
        <w:rPr>
          <w:rFonts w:hint="eastAsia" w:ascii="宋体" w:hAnsi="宋体"/>
          <w:color w:val="auto"/>
          <w:szCs w:val="21"/>
        </w:rPr>
        <w:t>“书面形式”</w:t>
      </w:r>
      <w:r>
        <w:rPr>
          <w:rFonts w:ascii="Helvetica" w:hAnsi="Helvetica"/>
          <w:color w:val="auto"/>
          <w:szCs w:val="21"/>
          <w:shd w:val="clear" w:color="auto" w:fill="FFFFFF"/>
        </w:rPr>
        <w:t>是</w:t>
      </w:r>
      <w:r>
        <w:rPr>
          <w:rFonts w:hint="eastAsia" w:ascii="Helvetica" w:hAnsi="Helvetica"/>
          <w:color w:val="auto"/>
          <w:szCs w:val="21"/>
          <w:shd w:val="clear" w:color="auto" w:fill="FFFFFF"/>
        </w:rPr>
        <w:t>指</w:t>
      </w:r>
      <w:r>
        <w:rPr>
          <w:rFonts w:ascii="Helvetica" w:hAnsi="Helvetica"/>
          <w:color w:val="auto"/>
          <w:szCs w:val="21"/>
          <w:shd w:val="clear" w:color="auto" w:fill="FFFFFF"/>
        </w:rPr>
        <w:t>合同书、信件、电报、电传、传真等可以有形地表现所载内容的形式。</w:t>
      </w:r>
    </w:p>
    <w:p w14:paraId="7B15A3C0">
      <w:pPr>
        <w:spacing w:line="420" w:lineRule="exact"/>
        <w:ind w:firstLine="211" w:firstLineChars="100"/>
        <w:rPr>
          <w:rFonts w:hint="eastAsia" w:ascii="宋体" w:hAnsi="宋体"/>
          <w:b/>
          <w:color w:val="auto"/>
          <w:szCs w:val="21"/>
        </w:rPr>
      </w:pPr>
      <w:r>
        <w:rPr>
          <w:rFonts w:hint="eastAsia" w:ascii="宋体" w:hAnsi="宋体"/>
          <w:b/>
          <w:color w:val="auto"/>
          <w:szCs w:val="21"/>
        </w:rPr>
        <w:t>（三）供应商资格</w:t>
      </w:r>
    </w:p>
    <w:p w14:paraId="134E0F68">
      <w:pPr>
        <w:spacing w:line="420" w:lineRule="exact"/>
        <w:ind w:firstLine="420" w:firstLineChars="200"/>
        <w:rPr>
          <w:color w:val="auto"/>
        </w:rPr>
      </w:pPr>
      <w:r>
        <w:rPr>
          <w:rFonts w:hint="eastAsia"/>
          <w:color w:val="auto"/>
        </w:rPr>
        <w:t>供应商的资格要求详见“供应商须知前附表”。</w:t>
      </w:r>
    </w:p>
    <w:p w14:paraId="17FAC038">
      <w:pPr>
        <w:spacing w:line="420" w:lineRule="exact"/>
        <w:ind w:firstLine="422" w:firstLineChars="200"/>
        <w:rPr>
          <w:b/>
          <w:bCs/>
          <w:color w:val="auto"/>
        </w:rPr>
      </w:pPr>
      <w:r>
        <w:rPr>
          <w:rFonts w:hint="eastAsia"/>
          <w:b/>
          <w:bCs/>
          <w:color w:val="auto"/>
        </w:rPr>
        <w:t>（四）采购方式</w:t>
      </w:r>
    </w:p>
    <w:p w14:paraId="65B2A95A">
      <w:pPr>
        <w:snapToGrid w:val="0"/>
        <w:spacing w:line="420" w:lineRule="exact"/>
        <w:ind w:firstLine="420" w:firstLineChars="200"/>
        <w:rPr>
          <w:rFonts w:hint="eastAsia" w:ascii="宋体" w:hAnsi="宋体"/>
          <w:color w:val="auto"/>
          <w:szCs w:val="21"/>
        </w:rPr>
      </w:pPr>
      <w:r>
        <w:rPr>
          <w:rFonts w:hint="eastAsia" w:ascii="宋体" w:hAnsi="宋体"/>
          <w:color w:val="auto"/>
          <w:szCs w:val="21"/>
        </w:rPr>
        <w:t>竞争性谈判</w:t>
      </w:r>
    </w:p>
    <w:p w14:paraId="1656DE2A">
      <w:pPr>
        <w:spacing w:line="420" w:lineRule="exact"/>
        <w:ind w:firstLine="211" w:firstLineChars="100"/>
        <w:rPr>
          <w:b/>
          <w:bCs/>
          <w:color w:val="auto"/>
        </w:rPr>
      </w:pPr>
      <w:bookmarkStart w:id="47" w:name="_Toc254970530"/>
      <w:bookmarkStart w:id="48" w:name="_Toc352700410"/>
      <w:bookmarkStart w:id="49" w:name="_Toc254970671"/>
      <w:bookmarkStart w:id="50" w:name="_Toc353785281"/>
      <w:r>
        <w:rPr>
          <w:rFonts w:hint="eastAsia"/>
          <w:b/>
          <w:bCs/>
          <w:color w:val="auto"/>
        </w:rPr>
        <w:t>（五）代理委托</w:t>
      </w:r>
      <w:bookmarkEnd w:id="47"/>
      <w:bookmarkEnd w:id="48"/>
      <w:bookmarkEnd w:id="49"/>
      <w:bookmarkEnd w:id="50"/>
    </w:p>
    <w:p w14:paraId="5D40D94A">
      <w:pPr>
        <w:snapToGrid w:val="0"/>
        <w:spacing w:line="420" w:lineRule="exact"/>
        <w:ind w:firstLine="420" w:firstLineChars="200"/>
        <w:rPr>
          <w:rFonts w:hint="eastAsia" w:ascii="宋体" w:hAnsi="宋体" w:cs="Courier New"/>
          <w:bCs/>
          <w:color w:val="auto"/>
          <w:szCs w:val="21"/>
        </w:rPr>
      </w:pPr>
      <w:r>
        <w:rPr>
          <w:rFonts w:hint="eastAsia" w:ascii="宋体" w:hAnsi="宋体" w:cs="Courier New"/>
          <w:bCs/>
          <w:color w:val="auto"/>
          <w:szCs w:val="21"/>
        </w:rPr>
        <w:t>委托谈判的供应商须提供授权委托书（格式见第六章）。</w:t>
      </w:r>
    </w:p>
    <w:p w14:paraId="5CC10DF8">
      <w:pPr>
        <w:spacing w:line="420" w:lineRule="exact"/>
        <w:ind w:firstLine="211" w:firstLineChars="100"/>
        <w:rPr>
          <w:b/>
          <w:bCs/>
          <w:color w:val="auto"/>
        </w:rPr>
      </w:pPr>
      <w:bookmarkStart w:id="51" w:name="_Toc353785282"/>
      <w:bookmarkStart w:id="52" w:name="_Toc254970672"/>
      <w:bookmarkStart w:id="53" w:name="_Toc352700411"/>
      <w:bookmarkStart w:id="54" w:name="_Toc254970531"/>
      <w:r>
        <w:rPr>
          <w:rFonts w:hint="eastAsia"/>
          <w:b/>
          <w:bCs/>
          <w:color w:val="auto"/>
        </w:rPr>
        <w:t>（六）谈判费用</w:t>
      </w:r>
      <w:bookmarkEnd w:id="51"/>
      <w:bookmarkEnd w:id="52"/>
      <w:bookmarkEnd w:id="53"/>
      <w:bookmarkEnd w:id="54"/>
    </w:p>
    <w:p w14:paraId="28BA5F59">
      <w:pPr>
        <w:snapToGrid w:val="0"/>
        <w:spacing w:line="420" w:lineRule="exact"/>
        <w:ind w:firstLine="420" w:firstLineChars="200"/>
        <w:rPr>
          <w:rFonts w:hint="eastAsia" w:ascii="宋体" w:hAnsi="宋体"/>
          <w:color w:val="auto"/>
          <w:szCs w:val="21"/>
        </w:rPr>
      </w:pPr>
      <w:r>
        <w:rPr>
          <w:rFonts w:hint="eastAsia" w:ascii="宋体" w:hAnsi="宋体"/>
          <w:color w:val="auto"/>
          <w:szCs w:val="21"/>
        </w:rPr>
        <w:t>供应商自行承担所有与谈判有关的全部费用。</w:t>
      </w:r>
    </w:p>
    <w:p w14:paraId="5CF5461C">
      <w:pPr>
        <w:spacing w:line="420" w:lineRule="exact"/>
        <w:ind w:firstLine="211" w:firstLineChars="100"/>
        <w:rPr>
          <w:b/>
          <w:bCs/>
          <w:color w:val="auto"/>
        </w:rPr>
      </w:pPr>
      <w:bookmarkStart w:id="55" w:name="_Toc353785283"/>
      <w:bookmarkStart w:id="56" w:name="_Toc352700413"/>
      <w:r>
        <w:rPr>
          <w:rFonts w:hint="eastAsia"/>
          <w:b/>
          <w:bCs/>
          <w:color w:val="auto"/>
        </w:rPr>
        <w:t>（七）转包与分包</w:t>
      </w:r>
      <w:bookmarkEnd w:id="55"/>
      <w:bookmarkEnd w:id="56"/>
    </w:p>
    <w:p w14:paraId="0BE18E73">
      <w:pPr>
        <w:snapToGrid w:val="0"/>
        <w:spacing w:line="420" w:lineRule="exact"/>
        <w:ind w:firstLine="420" w:firstLineChars="200"/>
        <w:rPr>
          <w:rFonts w:hint="eastAsia"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本项目不允许转包。</w:t>
      </w:r>
    </w:p>
    <w:p w14:paraId="7F24BE93">
      <w:pPr>
        <w:snapToGrid w:val="0"/>
        <w:spacing w:line="420" w:lineRule="exact"/>
        <w:ind w:firstLine="420" w:firstLineChars="200"/>
        <w:rPr>
          <w:rFonts w:hint="eastAsia"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采购人允许采用分包方式履行合同的，应当在采购文件中明确可以分包履行的具体内容、金额或者比例。</w:t>
      </w:r>
    </w:p>
    <w:p w14:paraId="110ED40F">
      <w:pPr>
        <w:snapToGrid w:val="0"/>
        <w:spacing w:line="420" w:lineRule="exact"/>
        <w:ind w:firstLine="420" w:firstLineChars="200"/>
        <w:rPr>
          <w:rFonts w:hint="eastAsia"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依据《政府采购促进中小企业发展管理办法》规定享受扶持政策获得政府采购合同的，小微企业不得将合同分包给大中型企业，中型企业不得将合同分包给大型企业。</w:t>
      </w:r>
    </w:p>
    <w:p w14:paraId="64CA3E16">
      <w:pPr>
        <w:spacing w:line="420" w:lineRule="exact"/>
        <w:ind w:firstLine="211" w:firstLineChars="100"/>
        <w:rPr>
          <w:b/>
          <w:bCs/>
          <w:color w:val="auto"/>
        </w:rPr>
      </w:pPr>
      <w:bookmarkStart w:id="57" w:name="_Toc352700414"/>
      <w:bookmarkStart w:id="58" w:name="_Toc254970673"/>
      <w:bookmarkStart w:id="59" w:name="_Toc353785284"/>
      <w:bookmarkStart w:id="60" w:name="_Toc254970532"/>
      <w:r>
        <w:rPr>
          <w:rFonts w:hint="eastAsia"/>
          <w:b/>
          <w:bCs/>
          <w:color w:val="auto"/>
        </w:rPr>
        <w:t>（八）特别说明</w:t>
      </w:r>
      <w:bookmarkEnd w:id="57"/>
      <w:bookmarkEnd w:id="58"/>
      <w:bookmarkEnd w:id="59"/>
      <w:bookmarkEnd w:id="60"/>
    </w:p>
    <w:p w14:paraId="31DEBFC4">
      <w:pPr>
        <w:pStyle w:val="21"/>
        <w:snapToGrid w:val="0"/>
        <w:spacing w:line="420" w:lineRule="exact"/>
        <w:ind w:firstLine="420"/>
        <w:rPr>
          <w:rFonts w:hint="eastAsia" w:hAnsi="宋体"/>
          <w:color w:val="auto"/>
        </w:rPr>
      </w:pPr>
      <w:r>
        <w:rPr>
          <w:rFonts w:hAnsi="宋体"/>
          <w:color w:val="auto"/>
        </w:rPr>
        <w:t>1.</w:t>
      </w:r>
      <w:r>
        <w:rPr>
          <w:rFonts w:hint="eastAsia" w:hAnsi="宋体"/>
          <w:color w:val="auto"/>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14:paraId="44AA274D">
      <w:pPr>
        <w:pStyle w:val="21"/>
        <w:snapToGrid w:val="0"/>
        <w:spacing w:line="420" w:lineRule="exact"/>
        <w:ind w:firstLine="420"/>
        <w:rPr>
          <w:rFonts w:hint="eastAsia" w:hAnsi="宋体"/>
          <w:color w:val="auto"/>
        </w:rPr>
      </w:pPr>
      <w:r>
        <w:rPr>
          <w:rFonts w:hAnsi="宋体"/>
          <w:color w:val="auto"/>
        </w:rPr>
        <w:t>2.</w:t>
      </w:r>
      <w:r>
        <w:rPr>
          <w:rFonts w:hint="eastAsia" w:hAnsi="宋体"/>
          <w:color w:val="auto"/>
        </w:rPr>
        <w:t>公开招标的货物、服务采购项目，招标过程中提交投标文件或者经评审实质性响应招标文件要求的供应商只有两家时，采购人、采购代理机构按照规定经本级财政部门批准后可以与该两家供应商进行竞争性谈判采购。符合本款情形的，供应商最低数量可以为两家。</w:t>
      </w:r>
    </w:p>
    <w:p w14:paraId="162D572C">
      <w:pPr>
        <w:spacing w:line="420" w:lineRule="exact"/>
        <w:ind w:firstLine="211" w:firstLineChars="100"/>
        <w:rPr>
          <w:b/>
          <w:bCs/>
          <w:color w:val="auto"/>
        </w:rPr>
      </w:pPr>
      <w:bookmarkStart w:id="61" w:name="_Toc352700415"/>
      <w:bookmarkStart w:id="62" w:name="_Toc353785285"/>
      <w:bookmarkStart w:id="63" w:name="_Toc254970674"/>
      <w:bookmarkStart w:id="64" w:name="_Toc254970533"/>
      <w:r>
        <w:rPr>
          <w:rFonts w:hint="eastAsia"/>
          <w:b/>
          <w:bCs/>
          <w:color w:val="auto"/>
        </w:rPr>
        <w:t>（九）询问、质疑和投诉</w:t>
      </w:r>
      <w:bookmarkEnd w:id="61"/>
      <w:bookmarkEnd w:id="62"/>
      <w:bookmarkEnd w:id="63"/>
      <w:bookmarkEnd w:id="64"/>
    </w:p>
    <w:p w14:paraId="00F51A71">
      <w:pPr>
        <w:pStyle w:val="21"/>
        <w:snapToGrid w:val="0"/>
        <w:spacing w:line="420" w:lineRule="exact"/>
        <w:ind w:firstLine="420"/>
        <w:rPr>
          <w:rFonts w:hint="eastAsia" w:hAnsi="宋体"/>
          <w:bCs/>
          <w:color w:val="auto"/>
        </w:rPr>
      </w:pPr>
      <w:r>
        <w:rPr>
          <w:rFonts w:hAnsi="宋体"/>
          <w:bCs/>
          <w:color w:val="auto"/>
        </w:rPr>
        <w:t>1.</w:t>
      </w:r>
      <w:r>
        <w:rPr>
          <w:rFonts w:hint="eastAsia" w:ascii="Arial" w:hAnsi="Arial" w:cs="Arial"/>
          <w:color w:val="auto"/>
          <w:kern w:val="0"/>
        </w:rPr>
        <w:t>供应商</w:t>
      </w:r>
      <w:r>
        <w:rPr>
          <w:rFonts w:ascii="Arial" w:hAnsi="Arial" w:cs="Arial"/>
          <w:color w:val="auto"/>
          <w:kern w:val="0"/>
        </w:rPr>
        <w:t>对政府采购活动事项有疑问的，可以向采购人提出询问，采购人</w:t>
      </w:r>
      <w:r>
        <w:rPr>
          <w:rFonts w:hint="eastAsia" w:ascii="Arial" w:hAnsi="Arial" w:cs="Arial"/>
          <w:color w:val="auto"/>
          <w:kern w:val="0"/>
          <w:lang w:val="en-US" w:eastAsia="zh-CN"/>
        </w:rPr>
        <w:t>应</w:t>
      </w:r>
      <w:r>
        <w:rPr>
          <w:rFonts w:hint="eastAsia" w:ascii="Arial" w:hAnsi="Arial" w:cs="Arial"/>
          <w:color w:val="auto"/>
          <w:kern w:val="0"/>
        </w:rPr>
        <w:t>当在3个工作日内对供应商依法提出的询问作出答复</w:t>
      </w:r>
      <w:r>
        <w:rPr>
          <w:rFonts w:ascii="Arial" w:hAnsi="Arial" w:cs="Arial"/>
          <w:color w:val="auto"/>
          <w:kern w:val="0"/>
        </w:rPr>
        <w:t>，但答复的内容不得涉及商业秘密。</w:t>
      </w:r>
    </w:p>
    <w:p w14:paraId="324BD11D">
      <w:pPr>
        <w:pStyle w:val="21"/>
        <w:snapToGrid w:val="0"/>
        <w:spacing w:line="420" w:lineRule="exact"/>
        <w:ind w:firstLine="420"/>
        <w:rPr>
          <w:rFonts w:hint="eastAsia" w:hAnsi="宋体"/>
          <w:bCs/>
          <w:color w:val="auto"/>
        </w:rPr>
      </w:pPr>
      <w:r>
        <w:rPr>
          <w:rFonts w:hAnsi="宋体"/>
          <w:bCs/>
          <w:color w:val="auto"/>
        </w:rPr>
        <w:t>2.</w:t>
      </w:r>
      <w:r>
        <w:rPr>
          <w:rFonts w:hint="eastAsia" w:hAnsi="宋体"/>
          <w:bCs/>
          <w:color w:val="auto"/>
        </w:rPr>
        <w:t>供应商认为采购文件、采购过程或成交结果使自己的合法权益受到损害的，</w:t>
      </w:r>
      <w:r>
        <w:rPr>
          <w:rFonts w:hAnsi="宋体"/>
          <w:bCs/>
          <w:color w:val="auto"/>
        </w:rPr>
        <w:t>可以在知道或者应知其权益受到损害之日起7个工作日内</w:t>
      </w:r>
      <w:r>
        <w:rPr>
          <w:rFonts w:hint="eastAsia" w:hAnsi="宋体"/>
          <w:bCs/>
          <w:color w:val="auto"/>
        </w:rPr>
        <w:t>，</w:t>
      </w:r>
      <w:r>
        <w:rPr>
          <w:rFonts w:cs="Arial"/>
          <w:color w:val="auto"/>
        </w:rPr>
        <w:t>以书面形式向采购人提出质疑。</w:t>
      </w:r>
      <w:r>
        <w:rPr>
          <w:rFonts w:hint="eastAsia" w:hAnsi="宋体"/>
          <w:bCs/>
          <w:color w:val="auto"/>
        </w:rPr>
        <w:t>供应商必须在法定质疑期内一次性提出针对同一采购程序环节的质疑。</w:t>
      </w:r>
      <w:r>
        <w:rPr>
          <w:rFonts w:hint="eastAsia" w:hAnsi="宋体" w:cs="宋体"/>
          <w:color w:val="auto"/>
        </w:rPr>
        <w:t>供应商应知其权益受到损害之日，是指：</w:t>
      </w:r>
    </w:p>
    <w:p w14:paraId="50B35666">
      <w:pPr>
        <w:pStyle w:val="21"/>
        <w:adjustRightInd w:val="0"/>
        <w:snapToGrid w:val="0"/>
        <w:spacing w:line="420" w:lineRule="exact"/>
        <w:ind w:firstLine="308" w:firstLineChars="147"/>
        <w:rPr>
          <w:rFonts w:hint="eastAsia" w:hAnsi="宋体"/>
          <w:bCs/>
          <w:color w:val="auto"/>
        </w:rPr>
      </w:pPr>
      <w:r>
        <w:rPr>
          <w:rFonts w:hint="eastAsia" w:hAnsi="宋体"/>
          <w:bCs/>
          <w:color w:val="auto"/>
        </w:rPr>
        <w:t>(</w:t>
      </w:r>
      <w:r>
        <w:rPr>
          <w:rFonts w:hAnsi="宋体"/>
          <w:bCs/>
          <w:color w:val="auto"/>
        </w:rPr>
        <w:t>1)</w:t>
      </w:r>
      <w:r>
        <w:rPr>
          <w:rFonts w:hint="eastAsia" w:hAnsi="宋体"/>
          <w:bCs/>
          <w:color w:val="auto"/>
        </w:rPr>
        <w:t>对采购文件提出质疑的，为获取采购文件之日；</w:t>
      </w:r>
    </w:p>
    <w:p w14:paraId="461CB2D3">
      <w:pPr>
        <w:pStyle w:val="21"/>
        <w:adjustRightInd w:val="0"/>
        <w:snapToGrid w:val="0"/>
        <w:spacing w:line="420" w:lineRule="exact"/>
        <w:ind w:firstLine="308" w:firstLineChars="147"/>
        <w:rPr>
          <w:rFonts w:hint="eastAsia" w:hAnsi="宋体"/>
          <w:bCs/>
          <w:color w:val="auto"/>
        </w:rPr>
      </w:pPr>
      <w:r>
        <w:rPr>
          <w:rFonts w:hint="eastAsia" w:hAnsi="宋体"/>
          <w:bCs/>
          <w:color w:val="auto"/>
        </w:rPr>
        <w:t>(</w:t>
      </w:r>
      <w:r>
        <w:rPr>
          <w:rFonts w:hAnsi="宋体"/>
          <w:bCs/>
          <w:color w:val="auto"/>
        </w:rPr>
        <w:t>2)</w:t>
      </w:r>
      <w:r>
        <w:rPr>
          <w:rFonts w:hint="eastAsia" w:hAnsi="宋体"/>
          <w:bCs/>
          <w:color w:val="auto"/>
        </w:rPr>
        <w:t>对采购过程提出质疑的，为各采购程序环节结束之日；</w:t>
      </w:r>
    </w:p>
    <w:p w14:paraId="232D1577">
      <w:pPr>
        <w:widowControl/>
        <w:adjustRightInd w:val="0"/>
        <w:snapToGrid w:val="0"/>
        <w:spacing w:line="420" w:lineRule="exact"/>
        <w:ind w:firstLine="102" w:firstLineChars="49"/>
        <w:jc w:val="left"/>
        <w:rPr>
          <w:rFonts w:hint="eastAsia" w:ascii="宋体" w:hAnsi="宋体" w:cs="Courier New"/>
          <w:bCs/>
          <w:color w:val="auto"/>
          <w:szCs w:val="21"/>
        </w:rPr>
      </w:pPr>
      <w:r>
        <w:rPr>
          <w:rFonts w:hint="eastAsia" w:ascii="宋体" w:hAnsi="宋体" w:cs="Courier New"/>
          <w:bCs/>
          <w:color w:val="auto"/>
          <w:szCs w:val="21"/>
        </w:rPr>
        <w:t xml:space="preserve">  (</w:t>
      </w:r>
      <w:r>
        <w:rPr>
          <w:rFonts w:ascii="宋体" w:hAnsi="宋体" w:cs="Courier New"/>
          <w:bCs/>
          <w:color w:val="auto"/>
          <w:szCs w:val="21"/>
        </w:rPr>
        <w:t>3)</w:t>
      </w:r>
      <w:r>
        <w:rPr>
          <w:rFonts w:hint="eastAsia" w:ascii="宋体" w:hAnsi="宋体" w:cs="Courier New"/>
          <w:bCs/>
          <w:color w:val="auto"/>
          <w:szCs w:val="21"/>
        </w:rPr>
        <w:t>对成交结果提出质疑的，为成交结果公告期限届满之日。</w:t>
      </w:r>
    </w:p>
    <w:p w14:paraId="1043BF7A">
      <w:pPr>
        <w:widowControl/>
        <w:adjustRightInd w:val="0"/>
        <w:snapToGrid w:val="0"/>
        <w:spacing w:line="420" w:lineRule="exact"/>
        <w:ind w:firstLine="420"/>
        <w:jc w:val="left"/>
        <w:rPr>
          <w:rFonts w:hint="eastAsia" w:ascii="宋体" w:hAnsi="宋体" w:cs="Courier New"/>
          <w:bCs/>
          <w:color w:val="auto"/>
          <w:szCs w:val="21"/>
        </w:rPr>
      </w:pPr>
      <w:r>
        <w:rPr>
          <w:rFonts w:ascii="宋体" w:hAnsi="宋体" w:cs="Courier New"/>
          <w:bCs/>
          <w:color w:val="auto"/>
          <w:szCs w:val="21"/>
        </w:rPr>
        <w:t>3.</w:t>
      </w:r>
      <w:r>
        <w:rPr>
          <w:rFonts w:hint="eastAsia" w:hAnsi="宋体"/>
          <w:color w:val="auto"/>
        </w:rPr>
        <w:t>供应商对采购人质疑答复不满意或者采购人未在规定时间内作出答复的，可以在答复期满后十五个工作日内向同级采购监管部门投诉。</w:t>
      </w:r>
    </w:p>
    <w:p w14:paraId="308416BB">
      <w:pPr>
        <w:pStyle w:val="21"/>
        <w:snapToGrid w:val="0"/>
        <w:spacing w:line="420" w:lineRule="exact"/>
        <w:ind w:firstLine="420"/>
        <w:rPr>
          <w:rFonts w:hint="eastAsia" w:hAnsi="宋体"/>
          <w:bCs/>
          <w:color w:val="auto"/>
        </w:rPr>
      </w:pPr>
      <w:r>
        <w:rPr>
          <w:rFonts w:hAnsi="宋体"/>
          <w:bCs/>
          <w:color w:val="auto"/>
        </w:rPr>
        <w:t>4.</w:t>
      </w:r>
      <w:r>
        <w:rPr>
          <w:rFonts w:hint="eastAsia" w:hAnsi="宋体"/>
          <w:bCs/>
          <w:color w:val="auto"/>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14:paraId="2D391ACE">
      <w:pPr>
        <w:pStyle w:val="21"/>
        <w:snapToGrid w:val="0"/>
        <w:spacing w:line="420" w:lineRule="exact"/>
        <w:ind w:firstLine="420"/>
        <w:rPr>
          <w:rFonts w:hint="eastAsia" w:hAnsi="宋体"/>
          <w:bCs/>
          <w:color w:val="auto"/>
        </w:rPr>
      </w:pPr>
      <w:r>
        <w:rPr>
          <w:rFonts w:hint="eastAsia" w:hAnsi="宋体"/>
          <w:bCs/>
          <w:color w:val="auto"/>
        </w:rPr>
        <w:t>质疑部门联系方式：钦州市政府采购中心    0777-2886002</w:t>
      </w:r>
    </w:p>
    <w:p w14:paraId="04C5EBCE">
      <w:pPr>
        <w:pStyle w:val="21"/>
        <w:snapToGrid w:val="0"/>
        <w:spacing w:line="420" w:lineRule="exact"/>
        <w:ind w:firstLine="420"/>
        <w:rPr>
          <w:rFonts w:hint="eastAsia" w:hAnsi="宋体"/>
          <w:bCs/>
          <w:color w:val="auto"/>
        </w:rPr>
      </w:pPr>
      <w:r>
        <w:rPr>
          <w:rFonts w:hint="eastAsia" w:hAnsi="宋体"/>
          <w:bCs/>
          <w:color w:val="auto"/>
        </w:rPr>
        <w:t>采购监管部门联系方式：浦北县财政局   0777-8314622</w:t>
      </w:r>
    </w:p>
    <w:p w14:paraId="68A750E6">
      <w:pPr>
        <w:spacing w:line="400" w:lineRule="exact"/>
        <w:ind w:firstLine="211" w:firstLineChars="100"/>
        <w:rPr>
          <w:b/>
          <w:bCs/>
          <w:color w:val="auto"/>
        </w:rPr>
      </w:pPr>
      <w:r>
        <w:rPr>
          <w:rFonts w:hint="eastAsia"/>
          <w:b/>
          <w:bCs/>
          <w:color w:val="auto"/>
        </w:rPr>
        <w:t xml:space="preserve">（十）查询媒体 </w:t>
      </w:r>
      <w:r>
        <w:rPr>
          <w:rFonts w:hint="eastAsia" w:hAnsi="宋体"/>
          <w:color w:val="auto"/>
        </w:rPr>
        <w:t>中国政府采购网、</w:t>
      </w:r>
      <w:r>
        <w:rPr>
          <w:color w:val="auto"/>
        </w:rPr>
        <w:fldChar w:fldCharType="begin"/>
      </w:r>
      <w:r>
        <w:rPr>
          <w:color w:val="auto"/>
        </w:rPr>
        <w:instrText xml:space="preserve"> HYPERLINK "http://zfcg.gxzf.gov.cn/" </w:instrText>
      </w:r>
      <w:r>
        <w:rPr>
          <w:color w:val="auto"/>
        </w:rPr>
        <w:fldChar w:fldCharType="separate"/>
      </w:r>
      <w:r>
        <w:rPr>
          <w:rStyle w:val="44"/>
          <w:rFonts w:hint="eastAsia" w:hAnsi="宋体"/>
          <w:color w:val="auto"/>
          <w:u w:val="none"/>
        </w:rPr>
        <w:t>广西政府采购网</w:t>
      </w:r>
      <w:r>
        <w:rPr>
          <w:rStyle w:val="44"/>
          <w:rFonts w:hint="eastAsia" w:hAnsi="宋体"/>
          <w:color w:val="auto"/>
          <w:u w:val="none"/>
        </w:rPr>
        <w:fldChar w:fldCharType="end"/>
      </w:r>
      <w:r>
        <w:rPr>
          <w:rFonts w:hint="eastAsia" w:hAnsi="宋体"/>
          <w:color w:val="auto"/>
        </w:rPr>
        <w:t>。</w:t>
      </w:r>
    </w:p>
    <w:p w14:paraId="22B6F2ED">
      <w:pPr>
        <w:pStyle w:val="3"/>
        <w:spacing w:line="420" w:lineRule="exact"/>
        <w:rPr>
          <w:color w:val="auto"/>
        </w:rPr>
      </w:pPr>
      <w:bookmarkStart w:id="65" w:name="_Toc352700416"/>
      <w:bookmarkStart w:id="66" w:name="_Toc353785286"/>
      <w:r>
        <w:rPr>
          <w:rFonts w:hint="eastAsia"/>
          <w:color w:val="auto"/>
        </w:rPr>
        <w:t>二、竞争性谈判采购文件</w:t>
      </w:r>
      <w:bookmarkEnd w:id="65"/>
      <w:bookmarkEnd w:id="66"/>
    </w:p>
    <w:p w14:paraId="7C457C6E">
      <w:pPr>
        <w:spacing w:line="420" w:lineRule="exact"/>
        <w:ind w:firstLine="211" w:firstLineChars="100"/>
        <w:rPr>
          <w:b/>
          <w:bCs/>
          <w:color w:val="auto"/>
        </w:rPr>
      </w:pPr>
      <w:bookmarkStart w:id="67" w:name="_Toc353785287"/>
      <w:bookmarkStart w:id="68" w:name="_Toc352700417"/>
      <w:r>
        <w:rPr>
          <w:rFonts w:hint="eastAsia"/>
          <w:b/>
          <w:bCs/>
          <w:color w:val="auto"/>
        </w:rPr>
        <w:t>（一）竞争性谈判采购文件的组成</w:t>
      </w:r>
      <w:bookmarkEnd w:id="67"/>
      <w:bookmarkEnd w:id="68"/>
    </w:p>
    <w:p w14:paraId="1D688281">
      <w:pPr>
        <w:pStyle w:val="21"/>
        <w:snapToGrid w:val="0"/>
        <w:spacing w:line="420" w:lineRule="exact"/>
        <w:ind w:firstLine="420" w:firstLineChars="200"/>
        <w:rPr>
          <w:rFonts w:hint="eastAsia" w:hAnsi="宋体"/>
          <w:color w:val="auto"/>
        </w:rPr>
      </w:pPr>
      <w:r>
        <w:rPr>
          <w:rFonts w:hint="eastAsia" w:hAnsi="宋体"/>
          <w:color w:val="auto"/>
        </w:rPr>
        <w:t>第一章 竞争性谈判公告</w:t>
      </w:r>
    </w:p>
    <w:p w14:paraId="06C06C50">
      <w:pPr>
        <w:pStyle w:val="21"/>
        <w:snapToGrid w:val="0"/>
        <w:spacing w:line="420" w:lineRule="exact"/>
        <w:ind w:firstLine="420" w:firstLineChars="200"/>
        <w:rPr>
          <w:rFonts w:hint="eastAsia" w:hAnsi="宋体"/>
          <w:color w:val="auto"/>
        </w:rPr>
      </w:pPr>
      <w:r>
        <w:rPr>
          <w:rFonts w:hint="eastAsia" w:hAnsi="宋体"/>
          <w:color w:val="auto"/>
        </w:rPr>
        <w:t>第二章 项目需求</w:t>
      </w:r>
    </w:p>
    <w:p w14:paraId="496EFC2C">
      <w:pPr>
        <w:pStyle w:val="21"/>
        <w:snapToGrid w:val="0"/>
        <w:spacing w:line="420" w:lineRule="exact"/>
        <w:ind w:firstLine="420" w:firstLineChars="200"/>
        <w:rPr>
          <w:rFonts w:hint="eastAsia" w:hAnsi="宋体"/>
          <w:color w:val="auto"/>
        </w:rPr>
      </w:pPr>
      <w:r>
        <w:rPr>
          <w:rFonts w:hint="eastAsia" w:hAnsi="宋体"/>
          <w:color w:val="auto"/>
        </w:rPr>
        <w:t>第三章 供应商须知</w:t>
      </w:r>
    </w:p>
    <w:p w14:paraId="223A2A21">
      <w:pPr>
        <w:pStyle w:val="21"/>
        <w:snapToGrid w:val="0"/>
        <w:spacing w:line="420" w:lineRule="exact"/>
        <w:ind w:firstLine="420" w:firstLineChars="200"/>
        <w:rPr>
          <w:rFonts w:hint="eastAsia" w:hAnsi="宋体"/>
          <w:color w:val="auto"/>
        </w:rPr>
      </w:pPr>
      <w:r>
        <w:rPr>
          <w:rFonts w:hint="eastAsia" w:hAnsi="宋体"/>
          <w:color w:val="auto"/>
        </w:rPr>
        <w:t>第四章 评定标准及推荐原则</w:t>
      </w:r>
    </w:p>
    <w:p w14:paraId="1667FFB6">
      <w:pPr>
        <w:pStyle w:val="21"/>
        <w:snapToGrid w:val="0"/>
        <w:spacing w:line="420" w:lineRule="exact"/>
        <w:ind w:firstLine="420" w:firstLineChars="200"/>
        <w:rPr>
          <w:rFonts w:hint="eastAsia" w:hAnsi="宋体"/>
          <w:color w:val="auto"/>
        </w:rPr>
      </w:pPr>
      <w:r>
        <w:rPr>
          <w:rFonts w:hint="eastAsia" w:hAnsi="宋体"/>
          <w:color w:val="auto"/>
        </w:rPr>
        <w:t>第五章 合同文本</w:t>
      </w:r>
    </w:p>
    <w:p w14:paraId="1923800B">
      <w:pPr>
        <w:pStyle w:val="21"/>
        <w:snapToGrid w:val="0"/>
        <w:spacing w:line="420" w:lineRule="exact"/>
        <w:ind w:firstLine="420" w:firstLineChars="200"/>
        <w:rPr>
          <w:rFonts w:hint="eastAsia" w:hAnsi="宋体"/>
          <w:color w:val="auto"/>
        </w:rPr>
      </w:pPr>
      <w:r>
        <w:rPr>
          <w:rFonts w:hint="eastAsia" w:hAnsi="宋体"/>
          <w:color w:val="auto"/>
        </w:rPr>
        <w:t>第六章 响应文件格式</w:t>
      </w:r>
    </w:p>
    <w:p w14:paraId="6143A1FF">
      <w:pPr>
        <w:spacing w:line="420" w:lineRule="exact"/>
        <w:ind w:firstLine="211" w:firstLineChars="100"/>
        <w:rPr>
          <w:b/>
          <w:bCs/>
          <w:color w:val="auto"/>
        </w:rPr>
      </w:pPr>
      <w:bookmarkStart w:id="69" w:name="_Toc352700419"/>
      <w:bookmarkStart w:id="70" w:name="_Toc353785289"/>
      <w:r>
        <w:rPr>
          <w:rFonts w:hint="eastAsia"/>
          <w:b/>
          <w:bCs/>
          <w:color w:val="auto"/>
        </w:rPr>
        <w:t>（二）竞争性谈判采购文件的澄清与修改</w:t>
      </w:r>
      <w:bookmarkEnd w:id="69"/>
      <w:bookmarkEnd w:id="70"/>
    </w:p>
    <w:p w14:paraId="520603A2">
      <w:pPr>
        <w:pStyle w:val="21"/>
        <w:snapToGrid w:val="0"/>
        <w:spacing w:line="420" w:lineRule="exact"/>
        <w:ind w:firstLine="420"/>
        <w:jc w:val="left"/>
        <w:rPr>
          <w:rFonts w:hint="eastAsia" w:hAnsi="宋体"/>
          <w:color w:val="auto"/>
        </w:rPr>
      </w:pPr>
      <w:r>
        <w:rPr>
          <w:rFonts w:hint="eastAsia" w:hAnsi="宋体"/>
          <w:color w:val="auto"/>
        </w:rPr>
        <w:t>1</w:t>
      </w:r>
      <w:r>
        <w:rPr>
          <w:rFonts w:hAnsi="宋体"/>
          <w:color w:val="auto"/>
        </w:rPr>
        <w:t>.</w:t>
      </w:r>
      <w:r>
        <w:rPr>
          <w:rFonts w:hint="eastAsia" w:hAnsi="宋体"/>
          <w:color w:val="auto"/>
        </w:rPr>
        <w:t>提交首次响应文件截止之日前，采购人、本中心或者谈判小组可以对已发出的谈判文件进行必要的澄清或者修改，澄清或者修改的内容作为谈判文件的组成部分。澄清或者修改应当在原公告发布媒体上发布澄清公告。澄清或者修改的内容可能影响响应文件编制的，采购人、本中心或者谈判小组应当在提交首次响应文件截止之日3个工作日前，以书面形式通知所有依法接收谈判文件的供应商，不足3个工作日的，应当顺延提交首次响应文件截止之日。</w:t>
      </w:r>
    </w:p>
    <w:p w14:paraId="5184CEE6">
      <w:pPr>
        <w:pStyle w:val="21"/>
        <w:snapToGrid w:val="0"/>
        <w:spacing w:line="420" w:lineRule="exact"/>
        <w:ind w:firstLine="420"/>
        <w:jc w:val="left"/>
        <w:rPr>
          <w:rFonts w:hint="eastAsia" w:hAnsi="宋体"/>
          <w:color w:val="auto"/>
        </w:rPr>
      </w:pPr>
      <w:r>
        <w:rPr>
          <w:rFonts w:hint="eastAsia" w:hAnsi="宋体"/>
          <w:color w:val="auto"/>
        </w:rPr>
        <w:t>2</w:t>
      </w:r>
      <w:r>
        <w:rPr>
          <w:rFonts w:hAnsi="宋体"/>
          <w:color w:val="auto"/>
        </w:rPr>
        <w:t>.</w:t>
      </w:r>
      <w:r>
        <w:rPr>
          <w:rFonts w:hint="eastAsia" w:hAnsi="宋体"/>
          <w:color w:val="auto"/>
        </w:rPr>
        <w:t>提供期限届满后，获取谈判文件的供应商不足3家的，本中心可以顺延提供期限，并予公告。</w:t>
      </w:r>
    </w:p>
    <w:p w14:paraId="0D82C514">
      <w:pPr>
        <w:pStyle w:val="3"/>
        <w:spacing w:line="420" w:lineRule="exact"/>
        <w:rPr>
          <w:color w:val="auto"/>
        </w:rPr>
      </w:pPr>
      <w:r>
        <w:rPr>
          <w:rFonts w:hint="eastAsia"/>
          <w:color w:val="auto"/>
        </w:rPr>
        <w:t>三、响应文件</w:t>
      </w:r>
    </w:p>
    <w:p w14:paraId="4FC16F96">
      <w:pPr>
        <w:spacing w:line="420" w:lineRule="exact"/>
        <w:ind w:firstLine="211" w:firstLineChars="100"/>
        <w:rPr>
          <w:rFonts w:hint="eastAsia" w:hAnsi="宋体"/>
          <w:b/>
          <w:bCs/>
          <w:color w:val="auto"/>
        </w:rPr>
      </w:pPr>
      <w:r>
        <w:rPr>
          <w:rFonts w:hint="eastAsia" w:hAnsi="宋体"/>
          <w:b/>
          <w:bCs/>
          <w:color w:val="auto"/>
        </w:rPr>
        <w:t>（一）供应商的风险</w:t>
      </w:r>
    </w:p>
    <w:p w14:paraId="3D6A2499">
      <w:pPr>
        <w:spacing w:line="420" w:lineRule="exact"/>
        <w:ind w:firstLine="420"/>
        <w:rPr>
          <w:rFonts w:hint="eastAsia" w:hAnsi="宋体"/>
          <w:color w:val="auto"/>
        </w:rPr>
      </w:pPr>
      <w:r>
        <w:rPr>
          <w:rFonts w:hAnsi="宋体"/>
          <w:color w:val="auto"/>
        </w:rPr>
        <w:t>1.</w:t>
      </w:r>
      <w:r>
        <w:rPr>
          <w:rFonts w:hint="eastAsia" w:hAnsi="宋体"/>
          <w:color w:val="auto"/>
        </w:rPr>
        <w:t>供应商应当按照谈判文件的要求编制响应文件，并对其提交的响应文件的真实性、合法性承担法律责任。</w:t>
      </w:r>
    </w:p>
    <w:p w14:paraId="63CA0999">
      <w:pPr>
        <w:spacing w:line="420" w:lineRule="exact"/>
        <w:ind w:firstLine="420"/>
        <w:rPr>
          <w:rFonts w:hint="eastAsia" w:hAnsi="宋体"/>
          <w:color w:val="auto"/>
        </w:rPr>
      </w:pPr>
      <w:r>
        <w:rPr>
          <w:rFonts w:hAnsi="宋体"/>
          <w:color w:val="auto"/>
        </w:rPr>
        <w:t>2.</w:t>
      </w:r>
      <w:r>
        <w:rPr>
          <w:rFonts w:hint="eastAsia" w:hAnsi="宋体"/>
          <w:color w:val="auto"/>
        </w:rPr>
        <w:t>供应商在采购活动中提供任何虚假材料的，谈判小组将报财政部门查处。</w:t>
      </w:r>
    </w:p>
    <w:p w14:paraId="7E149AC9">
      <w:pPr>
        <w:snapToGrid w:val="0"/>
        <w:spacing w:line="420" w:lineRule="exact"/>
        <w:ind w:firstLine="211" w:firstLineChars="100"/>
        <w:rPr>
          <w:rFonts w:hint="eastAsia" w:ascii="宋体" w:hAnsi="宋体"/>
          <w:b/>
          <w:color w:val="auto"/>
          <w:szCs w:val="21"/>
        </w:rPr>
      </w:pPr>
      <w:r>
        <w:rPr>
          <w:rFonts w:hint="eastAsia" w:hAnsi="宋体"/>
          <w:b/>
          <w:bCs/>
          <w:color w:val="auto"/>
        </w:rPr>
        <w:t>（二）</w:t>
      </w:r>
      <w:r>
        <w:rPr>
          <w:rFonts w:hint="eastAsia" w:ascii="宋体" w:hAnsi="宋体"/>
          <w:b/>
          <w:color w:val="auto"/>
          <w:szCs w:val="21"/>
        </w:rPr>
        <w:t>响应文件的组成</w:t>
      </w:r>
    </w:p>
    <w:p w14:paraId="488309BA">
      <w:pPr>
        <w:snapToGrid w:val="0"/>
        <w:spacing w:line="420" w:lineRule="exact"/>
        <w:ind w:firstLine="422"/>
        <w:rPr>
          <w:rFonts w:hint="eastAsia" w:ascii="宋体" w:hAnsi="宋体"/>
          <w:b/>
          <w:color w:val="auto"/>
          <w:szCs w:val="21"/>
        </w:rPr>
      </w:pPr>
      <w:bookmarkStart w:id="71" w:name="_Hlk92285760"/>
      <w:r>
        <w:rPr>
          <w:rFonts w:ascii="宋体" w:hAnsi="宋体"/>
          <w:b/>
          <w:color w:val="auto"/>
          <w:szCs w:val="21"/>
        </w:rPr>
        <w:t>1.</w:t>
      </w:r>
      <w:r>
        <w:rPr>
          <w:rFonts w:hint="eastAsia" w:ascii="宋体" w:hAnsi="宋体"/>
          <w:b/>
          <w:color w:val="auto"/>
          <w:szCs w:val="21"/>
        </w:rPr>
        <w:t>资格文件：</w:t>
      </w:r>
    </w:p>
    <w:p w14:paraId="402B24A5">
      <w:pPr>
        <w:tabs>
          <w:tab w:val="left" w:pos="3870"/>
          <w:tab w:val="left" w:pos="4085"/>
        </w:tabs>
        <w:snapToGrid w:val="0"/>
        <w:spacing w:line="420" w:lineRule="exact"/>
        <w:ind w:firstLine="420"/>
        <w:rPr>
          <w:rFonts w:hint="eastAsia" w:ascii="宋体" w:hAnsi="宋体"/>
          <w:color w:val="auto"/>
          <w:szCs w:val="21"/>
        </w:rPr>
      </w:pPr>
      <w:r>
        <w:rPr>
          <w:rFonts w:hint="eastAsia" w:ascii="宋体" w:hAnsi="宋体" w:cs="宋体"/>
          <w:bCs/>
          <w:color w:val="auto"/>
          <w:kern w:val="0"/>
          <w:szCs w:val="21"/>
        </w:rPr>
        <w:t>★</w:t>
      </w:r>
      <w:bookmarkStart w:id="72" w:name="_Hlk90369149"/>
      <w:r>
        <w:rPr>
          <w:rFonts w:hint="eastAsia" w:ascii="宋体" w:hAnsi="宋体"/>
          <w:color w:val="auto"/>
          <w:szCs w:val="21"/>
        </w:rPr>
        <w:t>(</w:t>
      </w:r>
      <w:r>
        <w:rPr>
          <w:rFonts w:ascii="宋体" w:hAnsi="宋体"/>
          <w:color w:val="auto"/>
          <w:szCs w:val="21"/>
        </w:rPr>
        <w:t>1)</w:t>
      </w:r>
      <w:r>
        <w:rPr>
          <w:rFonts w:hint="eastAsia" w:ascii="宋体" w:hAnsi="宋体"/>
          <w:color w:val="auto"/>
          <w:szCs w:val="21"/>
        </w:rPr>
        <w:t>法人或者其他组织的营业执照等证明文件</w:t>
      </w:r>
    </w:p>
    <w:bookmarkEnd w:id="72"/>
    <w:p w14:paraId="3AC09939">
      <w:pPr>
        <w:tabs>
          <w:tab w:val="left" w:pos="3870"/>
          <w:tab w:val="left" w:pos="4085"/>
        </w:tabs>
        <w:snapToGrid w:val="0"/>
        <w:spacing w:line="420" w:lineRule="exact"/>
        <w:ind w:firstLine="420"/>
        <w:rPr>
          <w:rFonts w:hint="eastAsia" w:ascii="宋体" w:hAnsi="宋体" w:cs="宋体"/>
          <w:color w:val="auto"/>
          <w:szCs w:val="21"/>
        </w:rPr>
      </w:pPr>
      <w:r>
        <w:rPr>
          <w:rFonts w:hint="eastAsia" w:ascii="宋体" w:hAnsi="宋体" w:cs="宋体"/>
          <w:bCs/>
          <w:color w:val="auto"/>
          <w:kern w:val="0"/>
          <w:szCs w:val="21"/>
        </w:rPr>
        <w:t>★(</w:t>
      </w:r>
      <w:r>
        <w:rPr>
          <w:rFonts w:ascii="宋体" w:hAnsi="宋体" w:cs="宋体"/>
          <w:bCs/>
          <w:color w:val="auto"/>
          <w:kern w:val="0"/>
          <w:szCs w:val="21"/>
        </w:rPr>
        <w:t>2)</w:t>
      </w:r>
      <w:bookmarkStart w:id="73" w:name="_Hlk147761368"/>
      <w:r>
        <w:rPr>
          <w:rFonts w:hint="eastAsia" w:ascii="宋体" w:hAnsi="宋体"/>
          <w:color w:val="auto"/>
          <w:szCs w:val="21"/>
        </w:rPr>
        <w:t>供应商具备参加政府采购活动条件的承诺书</w:t>
      </w:r>
      <w:r>
        <w:rPr>
          <w:rFonts w:hint="eastAsia" w:ascii="宋体" w:hAnsi="宋体" w:cs="宋体"/>
          <w:color w:val="auto"/>
          <w:szCs w:val="21"/>
        </w:rPr>
        <w:t>(格式见第六章</w:t>
      </w:r>
      <w:r>
        <w:rPr>
          <w:rFonts w:ascii="宋体" w:hAnsi="宋体" w:cs="宋体"/>
          <w:color w:val="auto"/>
          <w:szCs w:val="21"/>
        </w:rPr>
        <w:t>）</w:t>
      </w:r>
      <w:bookmarkEnd w:id="73"/>
    </w:p>
    <w:p w14:paraId="0EF8A289">
      <w:pPr>
        <w:tabs>
          <w:tab w:val="left" w:pos="3870"/>
          <w:tab w:val="left" w:pos="4085"/>
        </w:tabs>
        <w:snapToGrid w:val="0"/>
        <w:spacing w:line="420" w:lineRule="exact"/>
        <w:ind w:firstLine="420"/>
        <w:rPr>
          <w:rFonts w:hint="eastAsia" w:hAnsi="宋体"/>
          <w:color w:val="auto"/>
          <w:spacing w:val="-4"/>
        </w:rPr>
      </w:pPr>
      <w:r>
        <w:rPr>
          <w:rFonts w:hint="eastAsia" w:ascii="宋体" w:hAnsi="宋体" w:cs="宋体"/>
          <w:bCs/>
          <w:color w:val="auto"/>
          <w:kern w:val="0"/>
          <w:szCs w:val="21"/>
        </w:rPr>
        <w:t>★(</w:t>
      </w:r>
      <w:r>
        <w:rPr>
          <w:rFonts w:ascii="宋体" w:hAnsi="宋体" w:cs="宋体"/>
          <w:bCs/>
          <w:color w:val="auto"/>
          <w:kern w:val="0"/>
          <w:szCs w:val="21"/>
        </w:rPr>
        <w:t>3)</w:t>
      </w:r>
      <w:r>
        <w:rPr>
          <w:rFonts w:hint="eastAsia" w:hAnsi="宋体"/>
          <w:color w:val="auto"/>
          <w:spacing w:val="-4"/>
        </w:rPr>
        <w:t>参加政府采购活动前3年内在经营活动中没有重大违法记录的书面声明(格式见第六章)</w:t>
      </w:r>
    </w:p>
    <w:p w14:paraId="12A8AEF9">
      <w:pPr>
        <w:pStyle w:val="17"/>
        <w:rPr>
          <w:rFonts w:hint="eastAsia"/>
        </w:rPr>
      </w:pPr>
    </w:p>
    <w:p w14:paraId="0FC9F894">
      <w:pPr>
        <w:snapToGrid w:val="0"/>
        <w:spacing w:line="420" w:lineRule="exact"/>
        <w:ind w:firstLine="422"/>
        <w:rPr>
          <w:rFonts w:hint="eastAsia" w:ascii="宋体" w:hAnsi="宋体"/>
          <w:color w:val="auto"/>
          <w:szCs w:val="21"/>
        </w:rPr>
      </w:pPr>
      <w:r>
        <w:rPr>
          <w:rFonts w:ascii="宋体" w:hAnsi="宋体"/>
          <w:b/>
          <w:color w:val="auto"/>
          <w:szCs w:val="21"/>
        </w:rPr>
        <w:t>2.</w:t>
      </w:r>
      <w:r>
        <w:rPr>
          <w:rFonts w:hint="eastAsia" w:ascii="宋体" w:hAnsi="宋体"/>
          <w:b/>
          <w:color w:val="auto"/>
          <w:szCs w:val="21"/>
        </w:rPr>
        <w:t>商务技术文件：</w:t>
      </w:r>
    </w:p>
    <w:p w14:paraId="0D9ED63F">
      <w:pPr>
        <w:tabs>
          <w:tab w:val="left" w:pos="3870"/>
          <w:tab w:val="left" w:pos="4085"/>
        </w:tabs>
        <w:snapToGrid w:val="0"/>
        <w:spacing w:line="420" w:lineRule="exact"/>
        <w:ind w:firstLine="420" w:firstLineChars="200"/>
        <w:rPr>
          <w:rFonts w:hint="eastAsia" w:ascii="宋体" w:hAnsi="宋体"/>
          <w:color w:val="auto"/>
          <w:szCs w:val="21"/>
        </w:rPr>
      </w:pPr>
      <w:r>
        <w:rPr>
          <w:rFonts w:hint="eastAsia" w:ascii="宋体" w:hAnsi="宋体" w:cs="宋体"/>
          <w:bCs/>
          <w:color w:val="auto"/>
          <w:kern w:val="0"/>
          <w:szCs w:val="21"/>
        </w:rPr>
        <w:t>★</w:t>
      </w:r>
      <w:r>
        <w:rPr>
          <w:rFonts w:hint="eastAsia" w:ascii="宋体" w:hAnsi="宋体"/>
          <w:color w:val="auto"/>
          <w:szCs w:val="21"/>
        </w:rPr>
        <w:t>(1</w:t>
      </w:r>
      <w:r>
        <w:rPr>
          <w:rFonts w:ascii="宋体" w:hAnsi="宋体"/>
          <w:color w:val="auto"/>
          <w:szCs w:val="21"/>
        </w:rPr>
        <w:t>)</w:t>
      </w:r>
      <w:r>
        <w:rPr>
          <w:rFonts w:hint="eastAsia" w:ascii="宋体" w:hAnsi="宋体"/>
          <w:color w:val="auto"/>
          <w:szCs w:val="21"/>
        </w:rPr>
        <w:t>谈判函（格式见第六章）</w:t>
      </w:r>
    </w:p>
    <w:p w14:paraId="4F0C7676">
      <w:pPr>
        <w:tabs>
          <w:tab w:val="left" w:pos="3870"/>
          <w:tab w:val="left" w:pos="4085"/>
        </w:tabs>
        <w:snapToGrid w:val="0"/>
        <w:spacing w:line="420" w:lineRule="exact"/>
        <w:ind w:firstLine="420" w:firstLineChars="200"/>
        <w:rPr>
          <w:rFonts w:hint="eastAsia" w:ascii="宋体" w:hAnsi="宋体"/>
          <w:color w:val="auto"/>
          <w:szCs w:val="21"/>
        </w:rPr>
      </w:pPr>
      <w:r>
        <w:rPr>
          <w:rFonts w:hint="eastAsia" w:ascii="宋体" w:hAnsi="宋体" w:cs="宋体"/>
          <w:bCs/>
          <w:color w:val="auto"/>
          <w:kern w:val="0"/>
          <w:szCs w:val="21"/>
        </w:rPr>
        <w:t>★</w:t>
      </w:r>
      <w:r>
        <w:rPr>
          <w:rFonts w:hint="eastAsia" w:ascii="宋体" w:hAnsi="宋体"/>
          <w:color w:val="auto"/>
          <w:szCs w:val="21"/>
        </w:rPr>
        <w:t>(2</w:t>
      </w:r>
      <w:r>
        <w:rPr>
          <w:rFonts w:ascii="宋体" w:hAnsi="宋体"/>
          <w:color w:val="auto"/>
          <w:szCs w:val="21"/>
        </w:rPr>
        <w:t>)</w:t>
      </w:r>
      <w:r>
        <w:rPr>
          <w:rFonts w:hint="eastAsia" w:ascii="宋体" w:hAnsi="宋体"/>
          <w:color w:val="auto"/>
          <w:szCs w:val="21"/>
        </w:rPr>
        <w:t>法定代表人身份证</w:t>
      </w:r>
    </w:p>
    <w:p w14:paraId="2AAB1931">
      <w:pPr>
        <w:snapToGrid w:val="0"/>
        <w:spacing w:line="420" w:lineRule="exact"/>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法定代表人授权委托书和代理人身份证（委托代理时必须提供，格式见第六章）</w:t>
      </w:r>
    </w:p>
    <w:p w14:paraId="1C48F9E1">
      <w:pPr>
        <w:snapToGrid w:val="0"/>
        <w:spacing w:line="420" w:lineRule="exact"/>
        <w:ind w:firstLine="422" w:firstLineChars="200"/>
        <w:rPr>
          <w:rFonts w:hint="eastAsia" w:ascii="宋体" w:hAnsi="宋体"/>
          <w:color w:val="auto"/>
          <w:szCs w:val="21"/>
        </w:rPr>
      </w:pPr>
      <w:r>
        <w:rPr>
          <w:rFonts w:hint="eastAsia" w:ascii="宋体" w:hAnsi="宋体"/>
          <w:b/>
          <w:color w:val="auto"/>
          <w:szCs w:val="21"/>
        </w:rPr>
        <w:t>★</w:t>
      </w:r>
      <w:r>
        <w:rPr>
          <w:rFonts w:hint="eastAsia" w:ascii="宋体" w:hAnsi="宋体"/>
          <w:color w:val="auto"/>
          <w:szCs w:val="21"/>
        </w:rPr>
        <w:t>(4</w:t>
      </w:r>
      <w:r>
        <w:rPr>
          <w:rFonts w:ascii="宋体" w:hAnsi="宋体"/>
          <w:color w:val="auto"/>
          <w:szCs w:val="21"/>
        </w:rPr>
        <w:t>)</w:t>
      </w:r>
      <w:r>
        <w:rPr>
          <w:rFonts w:ascii="宋体" w:hAnsi="宋体"/>
          <w:color w:val="auto"/>
        </w:rPr>
        <w:t>商务响应表(格式见第六章)</w:t>
      </w:r>
    </w:p>
    <w:p w14:paraId="34D993A3">
      <w:pPr>
        <w:snapToGrid w:val="0"/>
        <w:spacing w:line="420" w:lineRule="exact"/>
        <w:ind w:firstLine="422" w:firstLineChars="200"/>
        <w:rPr>
          <w:rFonts w:hint="eastAsia" w:ascii="宋体" w:hAnsi="宋体"/>
          <w:color w:val="auto"/>
        </w:rPr>
      </w:pPr>
      <w:bookmarkStart w:id="74" w:name="_Hlk111707698"/>
      <w:r>
        <w:rPr>
          <w:rFonts w:hint="eastAsia" w:ascii="宋体" w:hAnsi="宋体"/>
          <w:b/>
          <w:color w:val="auto"/>
          <w:szCs w:val="21"/>
        </w:rPr>
        <w:t>★</w:t>
      </w:r>
      <w:r>
        <w:rPr>
          <w:rFonts w:hint="eastAsia" w:ascii="宋体" w:hAnsi="宋体"/>
          <w:color w:val="auto"/>
        </w:rPr>
        <w:t>(5</w:t>
      </w:r>
      <w:r>
        <w:rPr>
          <w:rFonts w:ascii="宋体" w:hAnsi="宋体"/>
          <w:color w:val="auto"/>
        </w:rPr>
        <w:t>)</w:t>
      </w:r>
      <w:r>
        <w:rPr>
          <w:rFonts w:hint="eastAsia" w:ascii="宋体" w:hAnsi="宋体"/>
          <w:color w:val="auto"/>
          <w:szCs w:val="21"/>
        </w:rPr>
        <w:t>技术响应表</w:t>
      </w:r>
      <w:bookmarkStart w:id="75" w:name="_Hlk92285954"/>
      <w:r>
        <w:rPr>
          <w:rFonts w:ascii="宋体" w:hAnsi="宋体"/>
          <w:color w:val="auto"/>
        </w:rPr>
        <w:t>(格式见第六章)</w:t>
      </w:r>
      <w:bookmarkEnd w:id="75"/>
    </w:p>
    <w:p w14:paraId="5A7746BC">
      <w:pPr>
        <w:snapToGrid w:val="0"/>
        <w:spacing w:line="420" w:lineRule="exact"/>
        <w:ind w:firstLine="422" w:firstLineChars="200"/>
        <w:rPr>
          <w:rFonts w:hint="eastAsia" w:ascii="宋体" w:cs="宋体"/>
          <w:bCs/>
          <w:color w:val="auto"/>
          <w:kern w:val="0"/>
          <w:szCs w:val="21"/>
        </w:rPr>
      </w:pPr>
      <w:r>
        <w:rPr>
          <w:rFonts w:hint="eastAsia" w:ascii="宋体" w:hAnsi="宋体"/>
          <w:b/>
          <w:color w:val="auto"/>
          <w:szCs w:val="21"/>
        </w:rPr>
        <w:t>★</w:t>
      </w:r>
      <w:r>
        <w:rPr>
          <w:rFonts w:hint="eastAsia" w:ascii="宋体" w:cs="宋体"/>
          <w:bCs/>
          <w:color w:val="auto"/>
          <w:kern w:val="0"/>
          <w:szCs w:val="21"/>
        </w:rPr>
        <w:t>(6</w:t>
      </w:r>
      <w:r>
        <w:rPr>
          <w:rFonts w:ascii="宋体" w:cs="宋体"/>
          <w:bCs/>
          <w:color w:val="auto"/>
          <w:kern w:val="0"/>
          <w:szCs w:val="21"/>
        </w:rPr>
        <w:t>)</w:t>
      </w:r>
      <w:r>
        <w:rPr>
          <w:rFonts w:hint="eastAsia" w:ascii="宋体" w:cs="宋体"/>
          <w:color w:val="auto"/>
          <w:kern w:val="0"/>
          <w:szCs w:val="21"/>
        </w:rPr>
        <w:t>售后服务承诺书</w:t>
      </w:r>
      <w:r>
        <w:rPr>
          <w:rFonts w:hint="eastAsia" w:ascii="宋体" w:cs="宋体"/>
          <w:bCs/>
          <w:color w:val="auto"/>
          <w:kern w:val="0"/>
          <w:szCs w:val="21"/>
        </w:rPr>
        <w:t>（根据项目需求要求提供，格式自拟）</w:t>
      </w:r>
    </w:p>
    <w:p w14:paraId="6F9BEDB0">
      <w:pPr>
        <w:snapToGrid w:val="0"/>
        <w:spacing w:line="420" w:lineRule="exact"/>
        <w:ind w:firstLine="422" w:firstLineChars="200"/>
        <w:rPr>
          <w:rFonts w:hint="eastAsia"/>
          <w:color w:val="auto"/>
        </w:rPr>
      </w:pPr>
      <w:r>
        <w:rPr>
          <w:rFonts w:hint="eastAsia" w:ascii="宋体" w:hAnsi="宋体"/>
          <w:b/>
          <w:color w:val="auto"/>
          <w:szCs w:val="21"/>
        </w:rPr>
        <w:t>★</w:t>
      </w:r>
      <w:r>
        <w:rPr>
          <w:rFonts w:hint="eastAsia" w:ascii="宋体" w:cs="宋体"/>
          <w:bCs/>
          <w:color w:val="auto"/>
          <w:kern w:val="0"/>
          <w:szCs w:val="21"/>
        </w:rPr>
        <w:t>(</w:t>
      </w:r>
      <w:r>
        <w:rPr>
          <w:rFonts w:hint="eastAsia" w:ascii="宋体" w:cs="宋体"/>
          <w:bCs/>
          <w:color w:val="auto"/>
          <w:kern w:val="0"/>
          <w:szCs w:val="21"/>
          <w:lang w:val="en-US" w:eastAsia="zh-CN"/>
        </w:rPr>
        <w:t>7</w:t>
      </w:r>
      <w:r>
        <w:rPr>
          <w:rFonts w:ascii="宋体" w:cs="宋体"/>
          <w:bCs/>
          <w:color w:val="auto"/>
          <w:kern w:val="0"/>
          <w:szCs w:val="21"/>
        </w:rPr>
        <w:t>)</w:t>
      </w:r>
      <w:r>
        <w:rPr>
          <w:rFonts w:hint="eastAsia" w:ascii="宋体" w:hAnsi="宋体"/>
          <w:color w:val="auto"/>
          <w:szCs w:val="21"/>
        </w:rPr>
        <w:t>《项目需求》中要求必须提供的材料（如有，必须提供）</w:t>
      </w:r>
    </w:p>
    <w:bookmarkEnd w:id="74"/>
    <w:p w14:paraId="455B1BF5">
      <w:pPr>
        <w:snapToGrid w:val="0"/>
        <w:spacing w:line="420" w:lineRule="exact"/>
        <w:ind w:firstLine="422"/>
        <w:rPr>
          <w:rFonts w:hint="eastAsia" w:ascii="宋体" w:hAnsi="宋体"/>
          <w:b/>
          <w:color w:val="auto"/>
          <w:szCs w:val="21"/>
        </w:rPr>
      </w:pPr>
      <w:r>
        <w:rPr>
          <w:rFonts w:ascii="宋体" w:hAnsi="宋体"/>
          <w:b/>
          <w:color w:val="auto"/>
          <w:szCs w:val="21"/>
        </w:rPr>
        <w:t>3.</w:t>
      </w:r>
      <w:r>
        <w:rPr>
          <w:rFonts w:hint="eastAsia" w:ascii="宋体" w:hAnsi="宋体"/>
          <w:b/>
          <w:color w:val="auto"/>
          <w:szCs w:val="21"/>
        </w:rPr>
        <w:t>报价文件</w:t>
      </w:r>
    </w:p>
    <w:p w14:paraId="29D7F113">
      <w:pPr>
        <w:snapToGrid w:val="0"/>
        <w:spacing w:line="420" w:lineRule="exact"/>
        <w:rPr>
          <w:rFonts w:hint="eastAsia" w:ascii="宋体" w:hAnsi="宋体"/>
          <w:bCs/>
          <w:color w:val="auto"/>
          <w:szCs w:val="21"/>
        </w:rPr>
      </w:pPr>
      <w:bookmarkStart w:id="76" w:name="_Hlk92265738"/>
      <w:r>
        <w:rPr>
          <w:rFonts w:hint="eastAsia" w:ascii="宋体" w:hAnsi="宋体"/>
          <w:b/>
          <w:color w:val="auto"/>
          <w:szCs w:val="21"/>
        </w:rPr>
        <w:t xml:space="preserve"> </w:t>
      </w:r>
      <w:r>
        <w:rPr>
          <w:rFonts w:ascii="宋体" w:hAnsi="宋体"/>
          <w:b/>
          <w:color w:val="auto"/>
          <w:szCs w:val="21"/>
        </w:rPr>
        <w:t xml:space="preserve">   </w:t>
      </w:r>
      <w:r>
        <w:rPr>
          <w:rFonts w:hint="eastAsia" w:ascii="宋体" w:hAnsi="宋体"/>
          <w:b/>
          <w:color w:val="auto"/>
          <w:szCs w:val="21"/>
        </w:rPr>
        <w:t>★</w:t>
      </w:r>
      <w:r>
        <w:rPr>
          <w:rFonts w:hint="eastAsia" w:ascii="宋体" w:hAnsi="宋体"/>
          <w:bCs/>
          <w:color w:val="auto"/>
          <w:szCs w:val="21"/>
        </w:rPr>
        <w:t>报价明细表</w:t>
      </w:r>
      <w:bookmarkEnd w:id="76"/>
      <w:r>
        <w:rPr>
          <w:rFonts w:hint="eastAsia" w:ascii="宋体" w:hAnsi="宋体"/>
          <w:bCs/>
          <w:color w:val="auto"/>
          <w:szCs w:val="21"/>
        </w:rPr>
        <w:t>(格式见第六章)。</w:t>
      </w:r>
    </w:p>
    <w:bookmarkEnd w:id="71"/>
    <w:p w14:paraId="59327995">
      <w:pPr>
        <w:snapToGrid w:val="0"/>
        <w:spacing w:line="420" w:lineRule="exact"/>
        <w:ind w:firstLine="422"/>
        <w:rPr>
          <w:rFonts w:hint="eastAsia" w:ascii="宋体" w:hAnsi="宋体"/>
          <w:color w:val="auto"/>
          <w:szCs w:val="21"/>
        </w:rPr>
      </w:pPr>
      <w:r>
        <w:rPr>
          <w:rFonts w:hint="eastAsia" w:ascii="宋体" w:hAnsi="宋体"/>
          <w:color w:val="auto"/>
          <w:szCs w:val="21"/>
        </w:rPr>
        <w:t>注：标注★号的材料均为必须提供的材料须由供应商加盖公章，授权委托书必须由法定代表人签名，否则视为无效响应文件。</w:t>
      </w:r>
    </w:p>
    <w:p w14:paraId="1C62CA0D">
      <w:pPr>
        <w:spacing w:line="420" w:lineRule="exact"/>
        <w:ind w:firstLine="211" w:firstLineChars="100"/>
        <w:rPr>
          <w:rFonts w:hint="eastAsia" w:ascii="宋体" w:hAnsi="宋体"/>
          <w:b/>
          <w:bCs/>
          <w:color w:val="auto"/>
          <w:szCs w:val="21"/>
        </w:rPr>
      </w:pPr>
      <w:bookmarkStart w:id="77" w:name="_Hlk90906323"/>
      <w:r>
        <w:rPr>
          <w:rFonts w:hint="eastAsia" w:ascii="宋体" w:hAnsi="宋体"/>
          <w:b/>
          <w:color w:val="auto"/>
          <w:szCs w:val="21"/>
        </w:rPr>
        <w:t>（三）</w:t>
      </w:r>
      <w:bookmarkStart w:id="78" w:name="_Toc254970678"/>
      <w:bookmarkStart w:id="79" w:name="_Toc254970537"/>
      <w:bookmarkStart w:id="80" w:name="_Toc352700422"/>
      <w:bookmarkStart w:id="81" w:name="_Toc353785292"/>
      <w:r>
        <w:rPr>
          <w:rFonts w:hint="eastAsia" w:ascii="宋体" w:hAnsi="宋体"/>
          <w:b/>
          <w:bCs/>
          <w:color w:val="auto"/>
          <w:szCs w:val="21"/>
        </w:rPr>
        <w:t>响应文件的编制、签署及加密</w:t>
      </w:r>
    </w:p>
    <w:p w14:paraId="145BBC66">
      <w:pPr>
        <w:spacing w:line="420" w:lineRule="exact"/>
        <w:ind w:firstLine="420"/>
        <w:rPr>
          <w:rFonts w:hint="eastAsia" w:ascii="宋体" w:hAnsi="宋体"/>
          <w:color w:val="auto"/>
          <w:szCs w:val="21"/>
        </w:rPr>
      </w:pPr>
      <w:r>
        <w:rPr>
          <w:rFonts w:ascii="宋体" w:hAnsi="宋体"/>
          <w:color w:val="auto"/>
          <w:szCs w:val="21"/>
        </w:rPr>
        <w:t>1.</w:t>
      </w:r>
      <w:r>
        <w:rPr>
          <w:rFonts w:hint="eastAsia" w:ascii="宋体" w:hAnsi="宋体"/>
          <w:color w:val="auto"/>
          <w:szCs w:val="21"/>
        </w:rPr>
        <w:t>供应商应认真阅读、并充分理解招标文件的全部内容(包括所有的补充、修改内容)，承诺履行其各项条款的规定并按要求编制，响应文件应为电子文件或扫描件(样品除外)。</w:t>
      </w:r>
    </w:p>
    <w:p w14:paraId="3DA0A349">
      <w:pPr>
        <w:spacing w:line="420" w:lineRule="exact"/>
        <w:ind w:firstLine="420"/>
        <w:rPr>
          <w:rFonts w:hint="eastAsia" w:ascii="宋体" w:hAnsi="宋体"/>
          <w:color w:val="auto"/>
          <w:szCs w:val="21"/>
        </w:rPr>
      </w:pPr>
      <w:r>
        <w:rPr>
          <w:rFonts w:ascii="宋体" w:hAnsi="宋体"/>
          <w:color w:val="auto"/>
          <w:szCs w:val="21"/>
        </w:rPr>
        <w:t>2.</w:t>
      </w:r>
      <w:r>
        <w:rPr>
          <w:rFonts w:hint="eastAsia" w:ascii="宋体" w:hAnsi="宋体"/>
          <w:color w:val="auto"/>
          <w:szCs w:val="21"/>
        </w:rPr>
        <w:t>供应商应通过广西政采云投标客户端编制加密响应文件。</w:t>
      </w:r>
    </w:p>
    <w:p w14:paraId="1CB8458E">
      <w:pPr>
        <w:spacing w:line="420" w:lineRule="exact"/>
        <w:ind w:firstLine="420"/>
        <w:rPr>
          <w:rFonts w:hint="eastAsia" w:ascii="宋体" w:hAnsi="宋体"/>
          <w:color w:val="auto"/>
          <w:szCs w:val="21"/>
        </w:rPr>
      </w:pPr>
      <w:r>
        <w:rPr>
          <w:rFonts w:ascii="宋体" w:hAnsi="宋体"/>
          <w:color w:val="auto"/>
          <w:szCs w:val="21"/>
        </w:rPr>
        <w:t>3.</w:t>
      </w:r>
      <w:r>
        <w:rPr>
          <w:rFonts w:hint="eastAsia" w:ascii="宋体" w:hAnsi="宋体"/>
          <w:color w:val="auto"/>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14:paraId="2340645E">
      <w:pPr>
        <w:spacing w:line="420" w:lineRule="exact"/>
        <w:rPr>
          <w:rFonts w:hint="eastAsia" w:ascii="宋体" w:hAnsi="宋体"/>
          <w:b/>
          <w:bCs/>
          <w:color w:val="auto"/>
          <w:szCs w:val="21"/>
        </w:rPr>
      </w:pPr>
      <w:r>
        <w:rPr>
          <w:rFonts w:ascii="宋体" w:hAnsi="宋体"/>
          <w:color w:val="auto"/>
          <w:szCs w:val="21"/>
        </w:rPr>
        <w:tab/>
      </w:r>
      <w:r>
        <w:rPr>
          <w:rFonts w:ascii="宋体" w:hAnsi="宋体"/>
          <w:b/>
          <w:bCs/>
          <w:color w:val="auto"/>
          <w:szCs w:val="21"/>
        </w:rPr>
        <w:t>4.</w:t>
      </w:r>
      <w:bookmarkStart w:id="82" w:name="_Hlk112311085"/>
      <w:r>
        <w:rPr>
          <w:rFonts w:hint="eastAsia" w:ascii="宋体" w:hAnsi="宋体"/>
          <w:b/>
          <w:bCs/>
          <w:color w:val="auto"/>
          <w:szCs w:val="21"/>
        </w:rPr>
        <w:t>响应文件由供应商在规定位置由法定代表人或授权委托人签名（可为电子签名）、填写供应商名称并加盖公章(简称“盖章”，可为电子公章)，供应商名称应写全称。</w:t>
      </w:r>
      <w:bookmarkEnd w:id="82"/>
    </w:p>
    <w:p w14:paraId="0A3A6C95">
      <w:pPr>
        <w:snapToGrid w:val="0"/>
        <w:spacing w:line="420" w:lineRule="exact"/>
        <w:ind w:firstLine="210" w:firstLineChars="100"/>
        <w:rPr>
          <w:rFonts w:hint="eastAsia" w:ascii="宋体" w:hAnsi="宋体"/>
          <w:b/>
          <w:bCs/>
          <w:color w:val="auto"/>
          <w:szCs w:val="21"/>
        </w:rPr>
      </w:pPr>
      <w:r>
        <w:rPr>
          <w:rFonts w:ascii="宋体" w:hAnsi="宋体"/>
          <w:color w:val="auto"/>
          <w:szCs w:val="21"/>
        </w:rPr>
        <w:tab/>
      </w:r>
      <w:r>
        <w:rPr>
          <w:rFonts w:ascii="宋体" w:hAnsi="宋体"/>
          <w:color w:val="auto"/>
          <w:szCs w:val="21"/>
        </w:rPr>
        <w:t>5.</w:t>
      </w:r>
      <w:r>
        <w:rPr>
          <w:rFonts w:hint="eastAsia" w:ascii="宋体" w:hAnsi="宋体"/>
          <w:color w:val="auto"/>
          <w:szCs w:val="21"/>
        </w:rPr>
        <w:t>响应文件内容不完整、编排混乱、不清晰等原因导致被误读或漏读的责任和后果由供应商承担。</w:t>
      </w:r>
    </w:p>
    <w:bookmarkEnd w:id="77"/>
    <w:p w14:paraId="07EC4FA9">
      <w:pPr>
        <w:spacing w:line="420" w:lineRule="exact"/>
        <w:ind w:firstLine="211" w:firstLineChars="100"/>
        <w:rPr>
          <w:color w:val="auto"/>
        </w:rPr>
      </w:pPr>
      <w:r>
        <w:rPr>
          <w:rFonts w:hint="eastAsia"/>
          <w:b/>
          <w:bCs/>
          <w:color w:val="auto"/>
        </w:rPr>
        <w:t>（四）响应文件的语言及计量</w:t>
      </w:r>
      <w:bookmarkEnd w:id="78"/>
      <w:bookmarkEnd w:id="79"/>
      <w:bookmarkEnd w:id="80"/>
      <w:bookmarkEnd w:id="81"/>
    </w:p>
    <w:p w14:paraId="64E05A94">
      <w:pPr>
        <w:snapToGrid w:val="0"/>
        <w:spacing w:line="420" w:lineRule="exact"/>
        <w:ind w:firstLine="420"/>
        <w:rPr>
          <w:rFonts w:hint="eastAsia" w:ascii="宋体" w:hAnsi="宋体"/>
          <w:color w:val="auto"/>
          <w:szCs w:val="21"/>
        </w:rPr>
      </w:pPr>
      <w:r>
        <w:rPr>
          <w:rFonts w:ascii="宋体" w:hAnsi="宋体"/>
          <w:color w:val="auto"/>
          <w:szCs w:val="21"/>
        </w:rPr>
        <w:t>1.</w:t>
      </w:r>
      <w:r>
        <w:rPr>
          <w:rFonts w:hint="eastAsia" w:ascii="宋体" w:hAnsi="宋体"/>
          <w:color w:val="auto"/>
          <w:szCs w:val="21"/>
        </w:rPr>
        <w:t>响应文件以及供应商与采购人、本中心就有关事宜的所有来往函电，均应以中文汉语书写。除签名、盖章、专用名称等特殊情形外，以中文汉语以外的文字表述的视为无效文件。</w:t>
      </w:r>
    </w:p>
    <w:p w14:paraId="2FF9A426">
      <w:pPr>
        <w:snapToGrid w:val="0"/>
        <w:spacing w:line="420" w:lineRule="exact"/>
        <w:ind w:firstLine="420"/>
        <w:rPr>
          <w:rFonts w:hint="eastAsia" w:ascii="宋体" w:hAnsi="宋体"/>
          <w:color w:val="auto"/>
          <w:szCs w:val="21"/>
        </w:rPr>
      </w:pPr>
      <w:r>
        <w:rPr>
          <w:rFonts w:ascii="宋体" w:hAnsi="宋体"/>
          <w:color w:val="auto"/>
          <w:szCs w:val="21"/>
        </w:rPr>
        <w:t>2.响应</w:t>
      </w:r>
      <w:r>
        <w:rPr>
          <w:rFonts w:hint="eastAsia" w:ascii="宋体" w:hAnsi="宋体"/>
          <w:color w:val="auto"/>
          <w:szCs w:val="21"/>
        </w:rPr>
        <w:t>文件的计量单位，采购文件已有明确规定的，使用采购文件规定的计量单位；采购文件没有规定的，应采用中华人民共和国法定计量单位（货币单位：人民币元），否则视为无效响应文件。</w:t>
      </w:r>
    </w:p>
    <w:p w14:paraId="533B4E36">
      <w:pPr>
        <w:pStyle w:val="3"/>
        <w:spacing w:before="0" w:after="0" w:line="440" w:lineRule="exact"/>
        <w:ind w:firstLine="211" w:firstLineChars="100"/>
        <w:rPr>
          <w:rFonts w:hint="eastAsia" w:ascii="宋体" w:hAnsi="宋体" w:eastAsia="宋体"/>
          <w:color w:val="auto"/>
          <w:sz w:val="21"/>
          <w:szCs w:val="21"/>
        </w:rPr>
      </w:pPr>
      <w:bookmarkStart w:id="83" w:name="_（五）报价"/>
      <w:bookmarkEnd w:id="83"/>
      <w:bookmarkStart w:id="84" w:name="_Toc254970679"/>
      <w:bookmarkStart w:id="85" w:name="_Toc353785293"/>
      <w:bookmarkStart w:id="86" w:name="_Toc352700423"/>
      <w:bookmarkStart w:id="87" w:name="_Toc254970538"/>
      <w:r>
        <w:rPr>
          <w:rFonts w:hint="eastAsia" w:ascii="宋体" w:hAnsi="宋体" w:eastAsia="宋体"/>
          <w:color w:val="auto"/>
          <w:sz w:val="21"/>
          <w:szCs w:val="21"/>
        </w:rPr>
        <w:t>（五）报价</w:t>
      </w:r>
      <w:bookmarkEnd w:id="84"/>
      <w:bookmarkEnd w:id="85"/>
      <w:bookmarkEnd w:id="86"/>
      <w:bookmarkEnd w:id="87"/>
    </w:p>
    <w:p w14:paraId="1BB24DF7">
      <w:pPr>
        <w:pStyle w:val="21"/>
        <w:snapToGrid w:val="0"/>
        <w:spacing w:line="420" w:lineRule="exact"/>
        <w:ind w:firstLine="420"/>
        <w:rPr>
          <w:rFonts w:hint="eastAsia" w:hAnsi="宋体"/>
          <w:color w:val="auto"/>
        </w:rPr>
      </w:pPr>
      <w:r>
        <w:rPr>
          <w:rFonts w:hAnsi="宋体"/>
          <w:color w:val="auto"/>
        </w:rPr>
        <w:t>1.</w:t>
      </w:r>
      <w:r>
        <w:rPr>
          <w:rFonts w:hint="eastAsia" w:hAnsi="宋体"/>
          <w:color w:val="auto"/>
        </w:rPr>
        <w:t>采购文件中未列明，而供应商认为必需的费用也须列入总报价。在合同实施时，采购人将不予支付成交供应商没有列入总报价的项目费用，并认为此项费用已包含在总报价中。</w:t>
      </w:r>
    </w:p>
    <w:p w14:paraId="61F942E6">
      <w:pPr>
        <w:pStyle w:val="21"/>
        <w:snapToGrid w:val="0"/>
        <w:spacing w:line="420" w:lineRule="exact"/>
        <w:ind w:firstLine="420"/>
        <w:rPr>
          <w:color w:val="auto"/>
        </w:rPr>
      </w:pPr>
      <w:r>
        <w:rPr>
          <w:rFonts w:hAnsi="宋体"/>
          <w:color w:val="auto"/>
        </w:rPr>
        <w:t>2</w:t>
      </w:r>
      <w:r>
        <w:rPr>
          <w:rFonts w:hint="eastAsia" w:hAnsi="宋体"/>
          <w:color w:val="auto"/>
        </w:rPr>
        <w:t>供应商</w:t>
      </w:r>
      <w:r>
        <w:rPr>
          <w:rFonts w:hint="eastAsia"/>
          <w:color w:val="auto"/>
        </w:rPr>
        <w:t>必须就《项目需求》货物和服务的内容作完整唯一报价</w:t>
      </w:r>
      <w:r>
        <w:rPr>
          <w:rFonts w:hint="eastAsia" w:hAnsi="宋体"/>
          <w:color w:val="auto"/>
        </w:rPr>
        <w:t>，有选择的或有条件的报价视为无效响应文件。</w:t>
      </w:r>
    </w:p>
    <w:p w14:paraId="1C779261">
      <w:pPr>
        <w:tabs>
          <w:tab w:val="left" w:pos="525"/>
        </w:tabs>
        <w:snapToGrid w:val="0"/>
        <w:spacing w:line="420" w:lineRule="exact"/>
        <w:ind w:firstLine="420"/>
        <w:rPr>
          <w:rFonts w:hint="eastAsia" w:ascii="宋体" w:hAnsi="宋体"/>
          <w:color w:val="auto"/>
          <w:szCs w:val="21"/>
        </w:rPr>
      </w:pPr>
      <w:r>
        <w:rPr>
          <w:rFonts w:ascii="宋体" w:hAnsi="宋体"/>
          <w:color w:val="auto"/>
          <w:szCs w:val="21"/>
        </w:rPr>
        <w:t>3.</w:t>
      </w:r>
      <w:r>
        <w:rPr>
          <w:rFonts w:hint="eastAsia" w:ascii="宋体" w:hAnsi="宋体"/>
          <w:color w:val="auto"/>
          <w:szCs w:val="21"/>
        </w:rPr>
        <w:t>供应商的报价必须按采购文件或广西政府采购云平台规定的格式填写，并在规定时间内提交最后报价。</w:t>
      </w:r>
    </w:p>
    <w:p w14:paraId="67B9C3DA">
      <w:pPr>
        <w:tabs>
          <w:tab w:val="left" w:pos="525"/>
        </w:tabs>
        <w:snapToGrid w:val="0"/>
        <w:spacing w:line="420" w:lineRule="exact"/>
        <w:ind w:firstLine="420"/>
        <w:rPr>
          <w:rFonts w:hint="eastAsia" w:ascii="宋体" w:hAnsi="宋体"/>
          <w:color w:val="auto"/>
          <w:szCs w:val="21"/>
        </w:rPr>
      </w:pPr>
      <w:r>
        <w:rPr>
          <w:rFonts w:ascii="宋体" w:hAnsi="宋体"/>
          <w:color w:val="auto"/>
          <w:szCs w:val="21"/>
        </w:rPr>
        <w:t>4.</w:t>
      </w:r>
      <w:r>
        <w:rPr>
          <w:rFonts w:hint="eastAsia" w:ascii="宋体" w:hAnsi="宋体"/>
          <w:color w:val="auto"/>
          <w:szCs w:val="21"/>
        </w:rPr>
        <w:t>最后报价是供应商响应文件的有效组成部分。</w:t>
      </w:r>
    </w:p>
    <w:p w14:paraId="3BE1D08B">
      <w:pPr>
        <w:spacing w:line="420" w:lineRule="exact"/>
        <w:ind w:firstLine="211" w:firstLineChars="100"/>
        <w:rPr>
          <w:b/>
          <w:bCs/>
          <w:color w:val="auto"/>
        </w:rPr>
      </w:pPr>
      <w:bookmarkStart w:id="88" w:name="_（六）谈判保证金"/>
      <w:bookmarkEnd w:id="88"/>
      <w:r>
        <w:rPr>
          <w:rFonts w:hint="eastAsia"/>
          <w:b/>
          <w:bCs/>
          <w:color w:val="auto"/>
        </w:rPr>
        <w:t>（六）响应文件的上传、提交、修改、撤回</w:t>
      </w:r>
    </w:p>
    <w:p w14:paraId="7FB97595">
      <w:pPr>
        <w:snapToGrid w:val="0"/>
        <w:spacing w:line="420" w:lineRule="exact"/>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响应文件的上传和提交:供应商须将编制好的加密响应文件上传至广西政府采购云平台，并在响应文件提交截止时间前提交，否则广西政府采购云平台将予以拒收。</w:t>
      </w:r>
    </w:p>
    <w:p w14:paraId="5734C556">
      <w:pPr>
        <w:snapToGrid w:val="0"/>
        <w:spacing w:line="420" w:lineRule="exact"/>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响应文件的修改和撤回：</w:t>
      </w:r>
      <w:r>
        <w:rPr>
          <w:rFonts w:hint="eastAsia"/>
          <w:color w:val="auto"/>
          <w:szCs w:val="21"/>
        </w:rPr>
        <w:t>供应商在提交响应文件截止时间前，可以对所提交的响应文件进行补充、修改或者撤回</w:t>
      </w:r>
      <w:r>
        <w:rPr>
          <w:rFonts w:hint="eastAsia" w:ascii="宋体" w:hAnsi="宋体"/>
          <w:color w:val="auto"/>
          <w:szCs w:val="21"/>
        </w:rPr>
        <w:t>。补充或者修改响应文件的，应当先行撤回原响应文件，补充、修改后重新上传、提交。响应文件提交截止时间前未完成重新提交的，视为撤回响应文件，响应文件提交截止时间后提交响应文件的，广西政府采购云平台将予以拒收。响应文件提交截止时间后，供应商不得撤回响应文件。</w:t>
      </w:r>
      <w:r>
        <w:rPr>
          <w:rFonts w:hint="eastAsia"/>
          <w:color w:val="auto"/>
          <w:szCs w:val="21"/>
        </w:rPr>
        <w:t>补充、修改的内容作为响应文件的组成部分。补充、修改的内容与响应文件不一致的，以补充、修改的内容为准。</w:t>
      </w:r>
    </w:p>
    <w:p w14:paraId="51E61E05">
      <w:pPr>
        <w:pStyle w:val="3"/>
        <w:spacing w:line="420" w:lineRule="exact"/>
        <w:rPr>
          <w:color w:val="auto"/>
        </w:rPr>
      </w:pPr>
      <w:bookmarkStart w:id="89" w:name="_四、响应文件开启"/>
      <w:bookmarkEnd w:id="89"/>
      <w:r>
        <w:rPr>
          <w:rFonts w:hint="eastAsia"/>
          <w:color w:val="auto"/>
        </w:rPr>
        <w:t>四、</w:t>
      </w:r>
      <w:bookmarkStart w:id="90" w:name="_Toc352700430"/>
      <w:bookmarkStart w:id="91" w:name="_Toc353785300"/>
      <w:r>
        <w:rPr>
          <w:rFonts w:hint="eastAsia"/>
          <w:color w:val="auto"/>
        </w:rPr>
        <w:t>响应文件开启</w:t>
      </w:r>
    </w:p>
    <w:bookmarkEnd w:id="90"/>
    <w:bookmarkEnd w:id="91"/>
    <w:p w14:paraId="3DE00DF7">
      <w:pPr>
        <w:spacing w:line="420" w:lineRule="exact"/>
        <w:ind w:firstLine="210" w:firstLineChars="100"/>
        <w:rPr>
          <w:rFonts w:ascii="方正小标宋_GBK" w:hAnsi="Arial" w:eastAsia="方正小标宋_GBK"/>
          <w:bCs/>
          <w:color w:val="auto"/>
          <w:sz w:val="24"/>
        </w:rPr>
      </w:pPr>
      <w:r>
        <w:rPr>
          <w:rFonts w:hint="eastAsia"/>
          <w:color w:val="auto"/>
        </w:rPr>
        <w:t>（一）本中心将在响应文件提交截止时间后在</w:t>
      </w:r>
      <w:bookmarkStart w:id="92" w:name="_Hlk90300735"/>
      <w:r>
        <w:rPr>
          <w:rFonts w:hint="eastAsia"/>
          <w:color w:val="auto"/>
        </w:rPr>
        <w:t>广西政采云远程开标大厅</w:t>
      </w:r>
      <w:bookmarkEnd w:id="92"/>
      <w:r>
        <w:rPr>
          <w:rFonts w:hint="eastAsia"/>
          <w:color w:val="auto"/>
        </w:rPr>
        <w:t>进行响应文件开启，供应商法定代表人或委托代理人须按时登录</w:t>
      </w:r>
      <w:bookmarkStart w:id="93" w:name="_Hlk90300780"/>
      <w:r>
        <w:rPr>
          <w:rFonts w:hint="eastAsia"/>
          <w:color w:val="auto"/>
        </w:rPr>
        <w:t>广西政采云远程开标大厅</w:t>
      </w:r>
      <w:bookmarkEnd w:id="93"/>
      <w:r>
        <w:rPr>
          <w:rFonts w:hint="eastAsia"/>
          <w:color w:val="auto"/>
        </w:rPr>
        <w:t>（广西政府采购云平台-应用中心-项目采购-开标评标），保持全程在线并关注评审、谈判进度，评审期间谈判小组提出澄清等要求时，供应商须在规定时间内进行应答，否则按采购文件或广西政采云平台的相关规定执行。</w:t>
      </w:r>
      <w:bookmarkStart w:id="94" w:name="_Toc352700431"/>
      <w:bookmarkStart w:id="95" w:name="_Toc353785301"/>
    </w:p>
    <w:p w14:paraId="3865ED30">
      <w:pPr>
        <w:spacing w:line="420" w:lineRule="exact"/>
        <w:ind w:firstLine="210" w:firstLineChars="100"/>
        <w:rPr>
          <w:rFonts w:ascii="方正小标宋_GBK" w:hAnsi="Arial" w:eastAsia="方正小标宋_GBK"/>
          <w:bCs/>
          <w:color w:val="auto"/>
          <w:sz w:val="24"/>
        </w:rPr>
      </w:pPr>
      <w:r>
        <w:rPr>
          <w:rFonts w:hint="eastAsia"/>
          <w:color w:val="auto"/>
        </w:rPr>
        <w:t>（二）</w:t>
      </w:r>
      <w:bookmarkEnd w:id="94"/>
      <w:bookmarkEnd w:id="95"/>
      <w:r>
        <w:rPr>
          <w:rFonts w:hint="eastAsia"/>
          <w:color w:val="auto"/>
        </w:rPr>
        <w:t>解密</w:t>
      </w:r>
    </w:p>
    <w:p w14:paraId="79914927">
      <w:pPr>
        <w:spacing w:line="420" w:lineRule="exact"/>
        <w:ind w:firstLine="420" w:firstLineChars="200"/>
        <w:rPr>
          <w:color w:val="auto"/>
        </w:rPr>
      </w:pPr>
      <w:r>
        <w:rPr>
          <w:rFonts w:hint="eastAsia"/>
          <w:color w:val="auto"/>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广西政府采购云平台视为供应商自主放弃谈判。</w:t>
      </w:r>
    </w:p>
    <w:p w14:paraId="238244D1">
      <w:pPr>
        <w:spacing w:line="420" w:lineRule="exact"/>
        <w:ind w:firstLine="211" w:firstLineChars="100"/>
        <w:rPr>
          <w:b/>
          <w:bCs/>
          <w:color w:val="auto"/>
        </w:rPr>
      </w:pPr>
      <w:r>
        <w:rPr>
          <w:rFonts w:hint="eastAsia"/>
          <w:b/>
          <w:bCs/>
          <w:color w:val="auto"/>
        </w:rPr>
        <w:t>（三）资格审查</w:t>
      </w:r>
    </w:p>
    <w:p w14:paraId="6D1C8D2D">
      <w:pPr>
        <w:spacing w:line="420" w:lineRule="exact"/>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采购人依法对供应商的资格进行审查，资格性审查时，如发现下列情形之一的，响应文件将被视为无效：</w:t>
      </w:r>
    </w:p>
    <w:p w14:paraId="195FDE88">
      <w:pPr>
        <w:spacing w:line="420" w:lineRule="exact"/>
        <w:ind w:firstLine="420" w:firstLineChars="200"/>
        <w:rPr>
          <w:rFonts w:hint="eastAsia" w:ascii="宋体" w:hAnsi="宋体"/>
          <w:color w:val="auto"/>
          <w:szCs w:val="21"/>
        </w:rPr>
      </w:pPr>
      <w:r>
        <w:rPr>
          <w:rFonts w:hint="eastAsia" w:ascii="宋体" w:hAnsi="宋体"/>
          <w:color w:val="auto"/>
          <w:szCs w:val="21"/>
        </w:rPr>
        <w:t>(1)超越了按照法律法规规定必须获得行政许可或者行政审批的经营范围的；</w:t>
      </w:r>
    </w:p>
    <w:p w14:paraId="7EB8293B">
      <w:pPr>
        <w:spacing w:line="420" w:lineRule="exact"/>
        <w:ind w:firstLine="420" w:firstLineChars="200"/>
        <w:rPr>
          <w:rFonts w:hint="eastAsia" w:ascii="宋体" w:hAnsi="宋体"/>
          <w:color w:val="auto"/>
          <w:szCs w:val="21"/>
        </w:rPr>
      </w:pPr>
      <w:r>
        <w:rPr>
          <w:rFonts w:hint="eastAsia" w:ascii="宋体" w:hAnsi="宋体"/>
          <w:color w:val="auto"/>
          <w:szCs w:val="21"/>
        </w:rPr>
        <w:t>(2)资格证明文件不全的，或者不符合采购文件标明的资格要求的；</w:t>
      </w:r>
    </w:p>
    <w:p w14:paraId="713D31C8">
      <w:pPr>
        <w:snapToGrid w:val="0"/>
        <w:spacing w:line="420" w:lineRule="exact"/>
        <w:ind w:firstLine="420" w:firstLineChars="200"/>
        <w:jc w:val="left"/>
        <w:rPr>
          <w:rFonts w:hint="eastAsia" w:ascii="宋体" w:hAnsi="宋体"/>
          <w:color w:val="auto"/>
          <w:szCs w:val="21"/>
        </w:rPr>
      </w:pPr>
      <w:r>
        <w:rPr>
          <w:rFonts w:ascii="宋体" w:hAnsi="宋体"/>
          <w:color w:val="auto"/>
          <w:szCs w:val="21"/>
        </w:rPr>
        <w:t>2.</w:t>
      </w:r>
      <w:r>
        <w:rPr>
          <w:rFonts w:hint="eastAsia" w:ascii="宋体" w:hAnsi="宋体"/>
          <w:color w:val="auto"/>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14:paraId="6A4BA53B">
      <w:pPr>
        <w:pStyle w:val="3"/>
        <w:spacing w:line="420" w:lineRule="exact"/>
        <w:rPr>
          <w:rFonts w:hint="eastAsia" w:ascii="宋体" w:hAnsi="宋体"/>
          <w:color w:val="auto"/>
          <w:szCs w:val="21"/>
        </w:rPr>
      </w:pPr>
      <w:bookmarkStart w:id="96" w:name="_五、评审与谈判"/>
      <w:bookmarkEnd w:id="96"/>
      <w:bookmarkStart w:id="97" w:name="_Toc353785302"/>
      <w:bookmarkStart w:id="98" w:name="_Toc352700432"/>
      <w:bookmarkStart w:id="99" w:name="_Toc254970545"/>
      <w:bookmarkStart w:id="100" w:name="_Toc254970686"/>
      <w:r>
        <w:rPr>
          <w:rFonts w:hint="eastAsia"/>
          <w:color w:val="auto"/>
        </w:rPr>
        <w:t>五、</w:t>
      </w:r>
      <w:bookmarkEnd w:id="97"/>
      <w:bookmarkEnd w:id="98"/>
      <w:bookmarkEnd w:id="99"/>
      <w:bookmarkEnd w:id="100"/>
      <w:r>
        <w:rPr>
          <w:rFonts w:hint="eastAsia" w:ascii="宋体" w:hAnsi="宋体"/>
          <w:color w:val="auto"/>
          <w:szCs w:val="21"/>
        </w:rPr>
        <w:t>评审与谈判</w:t>
      </w:r>
    </w:p>
    <w:p w14:paraId="694D65CE">
      <w:pPr>
        <w:snapToGrid w:val="0"/>
        <w:spacing w:line="420" w:lineRule="exact"/>
        <w:ind w:firstLine="211" w:firstLineChars="100"/>
        <w:rPr>
          <w:rFonts w:hint="eastAsia" w:ascii="宋体" w:hAnsi="宋体"/>
          <w:b/>
          <w:bCs/>
          <w:color w:val="auto"/>
          <w:szCs w:val="21"/>
        </w:rPr>
      </w:pPr>
      <w:bookmarkStart w:id="101" w:name="_Toc353785303"/>
      <w:bookmarkStart w:id="102" w:name="_Toc352700433"/>
      <w:r>
        <w:rPr>
          <w:rFonts w:hint="eastAsia" w:ascii="宋体" w:hAnsi="宋体"/>
          <w:b/>
          <w:bCs/>
          <w:color w:val="auto"/>
          <w:szCs w:val="21"/>
        </w:rPr>
        <w:t>（一）评审原则：</w:t>
      </w:r>
    </w:p>
    <w:p w14:paraId="3F05ED7D">
      <w:pPr>
        <w:snapToGrid w:val="0"/>
        <w:spacing w:line="420" w:lineRule="exact"/>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谈判小组必须公平、公正、客观，不带任何倾向性和启发性；不得向外界透露任何与评审有关的内容；任何单位和个人不得干扰、影响评审的正常进行；谈判小组及有关工作人员不得私下接触供应商。</w:t>
      </w:r>
    </w:p>
    <w:p w14:paraId="77DAB427">
      <w:pPr>
        <w:snapToGrid w:val="0"/>
        <w:spacing w:line="420" w:lineRule="exact"/>
        <w:ind w:firstLine="420" w:firstLineChars="200"/>
        <w:rPr>
          <w:rFonts w:hint="eastAsia" w:ascii="宋体" w:hAnsi="宋体"/>
          <w:color w:val="auto"/>
          <w:szCs w:val="21"/>
        </w:rPr>
      </w:pPr>
      <w:r>
        <w:rPr>
          <w:rFonts w:ascii="宋体" w:hAnsi="宋体"/>
          <w:color w:val="auto"/>
          <w:szCs w:val="21"/>
        </w:rPr>
        <w:t>2.</w:t>
      </w:r>
      <w:r>
        <w:rPr>
          <w:rFonts w:hint="eastAsia" w:ascii="宋体" w:hAnsi="宋体" w:cs="Courier New"/>
          <w:color w:val="auto"/>
          <w:szCs w:val="21"/>
        </w:rPr>
        <w:t>本项目采用不公开方式评审，评审的依据为采购文件和响应文件。</w:t>
      </w:r>
    </w:p>
    <w:p w14:paraId="4D5CE3BC">
      <w:pPr>
        <w:snapToGrid w:val="0"/>
        <w:spacing w:line="420" w:lineRule="exact"/>
        <w:ind w:firstLine="211" w:firstLineChars="100"/>
        <w:rPr>
          <w:rFonts w:hint="eastAsia" w:ascii="宋体" w:hAnsi="宋体"/>
          <w:b/>
          <w:bCs/>
          <w:color w:val="auto"/>
          <w:szCs w:val="21"/>
        </w:rPr>
      </w:pPr>
      <w:r>
        <w:rPr>
          <w:rFonts w:hint="eastAsia"/>
          <w:b/>
          <w:bCs/>
          <w:color w:val="auto"/>
        </w:rPr>
        <w:t>（二）成立谈判小组</w:t>
      </w:r>
    </w:p>
    <w:p w14:paraId="2710C718">
      <w:pPr>
        <w:snapToGrid w:val="0"/>
        <w:spacing w:line="420" w:lineRule="exact"/>
        <w:ind w:firstLine="420" w:firstLineChars="200"/>
        <w:rPr>
          <w:rFonts w:hint="eastAsia" w:ascii="宋体" w:hAnsi="宋体"/>
          <w:color w:val="auto"/>
          <w:szCs w:val="21"/>
        </w:rPr>
      </w:pPr>
      <w:r>
        <w:rPr>
          <w:rFonts w:hint="eastAsia" w:ascii="宋体" w:hAnsi="宋体" w:cs="Courier New"/>
          <w:bCs/>
          <w:color w:val="auto"/>
          <w:szCs w:val="21"/>
        </w:rPr>
        <w:t>谈判小组</w:t>
      </w:r>
      <w:bookmarkEnd w:id="101"/>
      <w:bookmarkEnd w:id="102"/>
      <w:r>
        <w:rPr>
          <w:rFonts w:hint="eastAsia" w:ascii="宋体" w:hAnsi="宋体" w:cs="Courier New"/>
          <w:bCs/>
          <w:color w:val="auto"/>
          <w:szCs w:val="21"/>
        </w:rPr>
        <w:t>由采购人代表和评审专家共3人以上单数组成，其中评审专家人数不得少于谈判小组成员总数的2/3。</w:t>
      </w:r>
    </w:p>
    <w:p w14:paraId="2846AF43">
      <w:pPr>
        <w:spacing w:line="420" w:lineRule="exact"/>
        <w:ind w:firstLine="211" w:firstLineChars="100"/>
        <w:rPr>
          <w:rFonts w:hint="eastAsia" w:ascii="宋体" w:hAnsi="宋体"/>
          <w:b/>
          <w:bCs/>
          <w:color w:val="auto"/>
          <w:szCs w:val="21"/>
        </w:rPr>
      </w:pPr>
      <w:r>
        <w:rPr>
          <w:rFonts w:hint="eastAsia" w:ascii="宋体" w:hAnsi="宋体"/>
          <w:b/>
          <w:bCs/>
          <w:color w:val="auto"/>
          <w:szCs w:val="21"/>
        </w:rPr>
        <w:t>（三）确认谈判文件</w:t>
      </w:r>
    </w:p>
    <w:p w14:paraId="4FB4F622">
      <w:pPr>
        <w:spacing w:line="420" w:lineRule="exact"/>
        <w:ind w:firstLine="420" w:firstLineChars="200"/>
        <w:rPr>
          <w:rFonts w:hint="eastAsia" w:ascii="宋体" w:hAnsi="宋体"/>
          <w:b/>
          <w:bCs/>
          <w:color w:val="auto"/>
          <w:szCs w:val="21"/>
        </w:rPr>
      </w:pPr>
      <w:r>
        <w:rPr>
          <w:rFonts w:hint="eastAsia" w:hAnsi="宋体"/>
          <w:color w:val="auto"/>
        </w:rPr>
        <w:t>谈判小组对谈判文件进行确认，认可谈判文件的内容，符合法律法规的规定、不存在歧视性或排他性内容。</w:t>
      </w:r>
    </w:p>
    <w:p w14:paraId="5A1A4EF0">
      <w:pPr>
        <w:spacing w:line="420" w:lineRule="exact"/>
        <w:ind w:firstLine="211" w:firstLineChars="100"/>
        <w:rPr>
          <w:rFonts w:hint="eastAsia" w:ascii="宋体" w:hAnsi="宋体" w:cs="Courier New"/>
          <w:color w:val="auto"/>
          <w:szCs w:val="21"/>
        </w:rPr>
      </w:pPr>
      <w:r>
        <w:rPr>
          <w:rFonts w:hint="eastAsia" w:ascii="宋体" w:hAnsi="宋体"/>
          <w:b/>
          <w:bCs/>
          <w:color w:val="auto"/>
          <w:szCs w:val="21"/>
        </w:rPr>
        <w:t>（四）实质性审查</w:t>
      </w:r>
    </w:p>
    <w:p w14:paraId="78578A74">
      <w:pPr>
        <w:snapToGrid w:val="0"/>
        <w:spacing w:line="420" w:lineRule="exact"/>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14:paraId="4D56DD10">
      <w:pPr>
        <w:snapToGrid w:val="0"/>
        <w:spacing w:line="420" w:lineRule="exact"/>
        <w:ind w:firstLine="422" w:firstLineChars="200"/>
        <w:rPr>
          <w:rFonts w:hint="eastAsia" w:ascii="宋体" w:hAnsi="宋体"/>
          <w:b/>
          <w:bCs/>
          <w:color w:val="auto"/>
          <w:szCs w:val="21"/>
        </w:rPr>
      </w:pPr>
      <w:r>
        <w:rPr>
          <w:rFonts w:hint="eastAsia" w:ascii="宋体" w:hAnsi="宋体"/>
          <w:b/>
          <w:bCs/>
          <w:color w:val="auto"/>
          <w:szCs w:val="21"/>
        </w:rPr>
        <w:t>2</w:t>
      </w:r>
      <w:r>
        <w:rPr>
          <w:rFonts w:ascii="宋体" w:hAnsi="宋体"/>
          <w:b/>
          <w:bCs/>
          <w:color w:val="auto"/>
          <w:szCs w:val="21"/>
        </w:rPr>
        <w:t>.</w:t>
      </w:r>
      <w:r>
        <w:rPr>
          <w:rFonts w:hint="eastAsia" w:ascii="宋体" w:hAnsi="宋体"/>
          <w:b/>
          <w:bCs/>
          <w:color w:val="auto"/>
          <w:szCs w:val="21"/>
        </w:rPr>
        <w:t>实质性审查时，如发现下列情形之一的，响应文件将被视为无效：</w:t>
      </w:r>
    </w:p>
    <w:p w14:paraId="354112E5">
      <w:pPr>
        <w:snapToGrid w:val="0"/>
        <w:spacing w:line="420" w:lineRule="exact"/>
        <w:ind w:firstLine="525" w:firstLineChars="250"/>
        <w:rPr>
          <w:rFonts w:hint="eastAsia" w:ascii="宋体" w:hAnsi="宋体"/>
          <w:color w:val="auto"/>
          <w:szCs w:val="21"/>
        </w:rPr>
      </w:pPr>
      <w:bookmarkStart w:id="103" w:name="_Hlk112311783"/>
      <w:r>
        <w:rPr>
          <w:rFonts w:hint="eastAsia" w:ascii="宋体" w:hAnsi="宋体"/>
          <w:color w:val="auto"/>
          <w:szCs w:val="21"/>
        </w:rPr>
        <w:t>①应交未交谈判保证金的；</w:t>
      </w:r>
    </w:p>
    <w:p w14:paraId="2BBBC453">
      <w:pPr>
        <w:snapToGrid w:val="0"/>
        <w:spacing w:line="420" w:lineRule="exact"/>
        <w:ind w:firstLine="525" w:firstLineChars="250"/>
        <w:rPr>
          <w:rFonts w:hint="eastAsia" w:ascii="宋体" w:hAnsi="宋体"/>
          <w:color w:val="auto"/>
          <w:szCs w:val="21"/>
        </w:rPr>
      </w:pPr>
      <w:r>
        <w:rPr>
          <w:rFonts w:hint="eastAsia" w:ascii="宋体" w:hAnsi="宋体"/>
          <w:color w:val="auto"/>
          <w:szCs w:val="21"/>
        </w:rPr>
        <w:t>②响应文件未按响应文件编制要求提供或内容虚假的；</w:t>
      </w:r>
    </w:p>
    <w:p w14:paraId="66FBB82B">
      <w:pPr>
        <w:snapToGrid w:val="0"/>
        <w:spacing w:line="420" w:lineRule="exact"/>
        <w:ind w:firstLine="525" w:firstLineChars="250"/>
        <w:rPr>
          <w:rFonts w:hint="eastAsia" w:ascii="宋体" w:hAnsi="宋体"/>
          <w:color w:val="auto"/>
          <w:szCs w:val="21"/>
        </w:rPr>
      </w:pPr>
      <w:r>
        <w:rPr>
          <w:rFonts w:hint="eastAsia" w:ascii="宋体" w:hAnsi="宋体"/>
          <w:color w:val="auto"/>
          <w:szCs w:val="21"/>
        </w:rPr>
        <w:t>③响应文件无法定代表人或其委托代理人签署、未提供授权委托书，或未按规定盖章的；</w:t>
      </w:r>
    </w:p>
    <w:p w14:paraId="1EAEFCAC">
      <w:pPr>
        <w:snapToGrid w:val="0"/>
        <w:spacing w:line="420" w:lineRule="exact"/>
        <w:ind w:firstLine="525" w:firstLineChars="250"/>
        <w:rPr>
          <w:rFonts w:hint="eastAsia" w:ascii="宋体" w:hAnsi="宋体"/>
          <w:color w:val="auto"/>
          <w:szCs w:val="21"/>
        </w:rPr>
      </w:pPr>
      <w:r>
        <w:rPr>
          <w:rFonts w:hint="eastAsia" w:ascii="宋体" w:hAnsi="宋体"/>
          <w:color w:val="auto"/>
          <w:szCs w:val="21"/>
        </w:rPr>
        <w:t>④供应商代表未能出具身份证明或与法定代表人委托代理人身份不符的；</w:t>
      </w:r>
    </w:p>
    <w:p w14:paraId="332BCC85">
      <w:pPr>
        <w:snapToGrid w:val="0"/>
        <w:spacing w:line="420" w:lineRule="exact"/>
        <w:ind w:firstLine="525" w:firstLineChars="250"/>
        <w:rPr>
          <w:rFonts w:hint="eastAsia" w:ascii="宋体" w:hAnsi="宋体"/>
          <w:color w:val="auto"/>
          <w:szCs w:val="21"/>
        </w:rPr>
      </w:pPr>
      <w:r>
        <w:rPr>
          <w:rFonts w:hint="eastAsia" w:ascii="宋体" w:hAnsi="宋体"/>
          <w:color w:val="auto"/>
          <w:szCs w:val="21"/>
        </w:rPr>
        <w:t>⑤未实质性响应采购文件采购需求的技术、服务要求的；</w:t>
      </w:r>
    </w:p>
    <w:p w14:paraId="667D5FE7">
      <w:pPr>
        <w:snapToGrid w:val="0"/>
        <w:spacing w:line="420" w:lineRule="exact"/>
        <w:ind w:firstLine="525" w:firstLineChars="250"/>
        <w:rPr>
          <w:rFonts w:hint="eastAsia" w:ascii="宋体" w:hAnsi="宋体"/>
          <w:color w:val="auto"/>
          <w:szCs w:val="21"/>
        </w:rPr>
      </w:pPr>
      <w:r>
        <w:rPr>
          <w:rFonts w:hint="eastAsia" w:ascii="宋体" w:hAnsi="宋体"/>
          <w:color w:val="auto"/>
          <w:szCs w:val="21"/>
        </w:rPr>
        <w:t>⑥</w:t>
      </w:r>
      <w:r>
        <w:rPr>
          <w:rFonts w:hint="eastAsia" w:ascii="宋体" w:hAnsi="宋体"/>
          <w:color w:val="auto"/>
          <w:spacing w:val="-4"/>
          <w:szCs w:val="21"/>
        </w:rPr>
        <w:t>不符合采购文件要求的质量标准，或者与采购文件中的技术指标、功能、服务事项发生较大偏离，已不符合采购人需求的；</w:t>
      </w:r>
    </w:p>
    <w:p w14:paraId="60EDB8D7">
      <w:pPr>
        <w:snapToGrid w:val="0"/>
        <w:spacing w:line="420" w:lineRule="exact"/>
        <w:ind w:firstLine="505" w:firstLineChars="250"/>
        <w:rPr>
          <w:rFonts w:hint="eastAsia" w:ascii="宋体" w:hAnsi="宋体"/>
          <w:color w:val="auto"/>
          <w:szCs w:val="21"/>
        </w:rPr>
      </w:pPr>
      <w:r>
        <w:rPr>
          <w:rFonts w:hint="eastAsia" w:ascii="宋体" w:hAnsi="宋体"/>
          <w:color w:val="auto"/>
          <w:spacing w:val="-4"/>
          <w:szCs w:val="21"/>
        </w:rPr>
        <w:t>⑦</w:t>
      </w:r>
      <w:r>
        <w:rPr>
          <w:rFonts w:hint="eastAsia" w:ascii="宋体" w:hAnsi="宋体"/>
          <w:color w:val="auto"/>
          <w:szCs w:val="21"/>
        </w:rPr>
        <w:t>响应文件有采购人不能接受的附加条件的。</w:t>
      </w:r>
    </w:p>
    <w:p w14:paraId="6A7EFC04">
      <w:pPr>
        <w:snapToGrid w:val="0"/>
        <w:spacing w:line="420" w:lineRule="exact"/>
        <w:ind w:firstLine="525" w:firstLineChars="250"/>
        <w:rPr>
          <w:rFonts w:hint="eastAsia" w:ascii="宋体" w:hAnsi="宋体"/>
          <w:color w:val="auto"/>
          <w:spacing w:val="-4"/>
          <w:szCs w:val="21"/>
        </w:rPr>
      </w:pPr>
      <w:r>
        <w:rPr>
          <w:rFonts w:hint="eastAsia" w:ascii="宋体" w:hAnsi="宋体"/>
          <w:color w:val="auto"/>
          <w:szCs w:val="21"/>
        </w:rPr>
        <w:t>⑧</w:t>
      </w:r>
      <w:r>
        <w:rPr>
          <w:rFonts w:hint="eastAsia" w:ascii="宋体" w:hAnsi="宋体"/>
          <w:color w:val="auto"/>
          <w:spacing w:val="-4"/>
          <w:szCs w:val="21"/>
        </w:rPr>
        <w:t>响应文件技术方案不明确，存在一个或一个以上备选(替代)响应方案的；</w:t>
      </w:r>
    </w:p>
    <w:p w14:paraId="0BAA6807">
      <w:pPr>
        <w:snapToGrid w:val="0"/>
        <w:spacing w:line="420" w:lineRule="exact"/>
        <w:ind w:firstLine="505" w:firstLineChars="250"/>
        <w:rPr>
          <w:rFonts w:hint="eastAsia" w:ascii="宋体" w:hAnsi="宋体"/>
          <w:color w:val="auto"/>
          <w:szCs w:val="21"/>
        </w:rPr>
      </w:pPr>
      <w:r>
        <w:rPr>
          <w:rFonts w:hint="eastAsia" w:ascii="宋体" w:hAnsi="宋体"/>
          <w:color w:val="auto"/>
          <w:spacing w:val="-4"/>
          <w:szCs w:val="21"/>
        </w:rPr>
        <w:t>⑨</w:t>
      </w:r>
      <w:r>
        <w:rPr>
          <w:rFonts w:hint="eastAsia" w:ascii="宋体" w:hAnsi="宋体"/>
          <w:color w:val="auto"/>
          <w:szCs w:val="21"/>
        </w:rPr>
        <w:t>响应文件的实质性内容未使用中文表述、意思表述不明确、前后矛盾或者使用计量单位不符合采购文件要求的。</w:t>
      </w:r>
    </w:p>
    <w:bookmarkEnd w:id="103"/>
    <w:p w14:paraId="4E07D199">
      <w:pPr>
        <w:spacing w:line="420" w:lineRule="exact"/>
        <w:ind w:firstLine="211" w:firstLineChars="100"/>
        <w:rPr>
          <w:b/>
          <w:bCs/>
          <w:color w:val="auto"/>
        </w:rPr>
      </w:pPr>
      <w:r>
        <w:rPr>
          <w:rFonts w:hint="eastAsia"/>
          <w:b/>
          <w:bCs/>
          <w:color w:val="auto"/>
        </w:rPr>
        <w:t>（五）谈判</w:t>
      </w:r>
    </w:p>
    <w:p w14:paraId="74C54245">
      <w:pPr>
        <w:pStyle w:val="21"/>
        <w:spacing w:line="420" w:lineRule="exact"/>
        <w:ind w:firstLine="420" w:firstLineChars="200"/>
        <w:rPr>
          <w:color w:val="auto"/>
        </w:rPr>
      </w:pPr>
      <w:r>
        <w:rPr>
          <w:rFonts w:hint="eastAsia" w:hAnsi="宋体"/>
          <w:bCs/>
          <w:color w:val="auto"/>
        </w:rPr>
        <w:t>1</w:t>
      </w:r>
      <w:r>
        <w:rPr>
          <w:rFonts w:hAnsi="宋体"/>
          <w:bCs/>
          <w:color w:val="auto"/>
        </w:rPr>
        <w:t>.</w:t>
      </w:r>
      <w:r>
        <w:rPr>
          <w:rFonts w:hint="eastAsia"/>
          <w:color w:val="auto"/>
        </w:rPr>
        <w:t>谈判小组所有成员应当集中与单一供应商分别进行谈判，并给予所有参加谈判的供应商平等的谈判机会。</w:t>
      </w:r>
    </w:p>
    <w:p w14:paraId="47F83CA5">
      <w:pPr>
        <w:pStyle w:val="21"/>
        <w:spacing w:line="420" w:lineRule="exact"/>
        <w:ind w:firstLine="420" w:firstLineChars="200"/>
        <w:rPr>
          <w:rFonts w:hint="eastAsia" w:hAnsi="宋体"/>
          <w:bCs/>
          <w:color w:val="auto"/>
        </w:rPr>
      </w:pPr>
      <w:r>
        <w:rPr>
          <w:rFonts w:hint="eastAsia" w:hAnsi="宋体"/>
          <w:bCs/>
          <w:color w:val="auto"/>
        </w:rPr>
        <w:t>2</w:t>
      </w:r>
      <w:r>
        <w:rPr>
          <w:rFonts w:hAnsi="宋体"/>
          <w:bCs/>
          <w:color w:val="auto"/>
        </w:rPr>
        <w:t>.</w:t>
      </w:r>
      <w:r>
        <w:rPr>
          <w:rFonts w:hint="eastAsia" w:hAnsi="宋体"/>
          <w:bCs/>
          <w:color w:val="auto"/>
        </w:rPr>
        <w:t>谈判小组可以根据谈判文件和谈判情况实质性变动采购需求中的技术、服务要求以及合同草案条款，但不得变动谈判文件中的其他内容。实质性变动的内容，须经采购人代表确认。</w:t>
      </w:r>
    </w:p>
    <w:p w14:paraId="017B34FB">
      <w:pPr>
        <w:pStyle w:val="21"/>
        <w:spacing w:line="420" w:lineRule="exact"/>
        <w:ind w:firstLine="420" w:firstLineChars="200"/>
        <w:rPr>
          <w:rFonts w:hint="eastAsia" w:hAnsi="宋体"/>
          <w:bCs/>
          <w:color w:val="auto"/>
        </w:rPr>
      </w:pPr>
      <w:r>
        <w:rPr>
          <w:rFonts w:hAnsi="宋体"/>
          <w:bCs/>
          <w:color w:val="auto"/>
        </w:rPr>
        <w:t>3.</w:t>
      </w:r>
      <w:r>
        <w:rPr>
          <w:rFonts w:hint="eastAsia" w:hAnsi="宋体"/>
          <w:bCs/>
          <w:color w:val="auto"/>
        </w:rPr>
        <w:t>对谈判文件作出的实质性变动是谈判文件的有效组成部分，谈判小组应当及时以书面形式同时通知所有参加谈判的供应商。</w:t>
      </w:r>
    </w:p>
    <w:p w14:paraId="26F132CC">
      <w:pPr>
        <w:pStyle w:val="21"/>
        <w:spacing w:line="420" w:lineRule="exact"/>
        <w:ind w:firstLine="420" w:firstLineChars="200"/>
        <w:rPr>
          <w:rFonts w:hint="eastAsia" w:hAnsi="宋体"/>
          <w:bCs/>
          <w:color w:val="auto"/>
        </w:rPr>
      </w:pPr>
      <w:r>
        <w:rPr>
          <w:rFonts w:hint="eastAsia" w:hAnsi="宋体"/>
          <w:bCs/>
          <w:color w:val="auto"/>
        </w:rPr>
        <w:t>4</w:t>
      </w:r>
      <w:r>
        <w:rPr>
          <w:rFonts w:hAnsi="宋体"/>
          <w:bCs/>
          <w:color w:val="auto"/>
        </w:rPr>
        <w:t>.</w:t>
      </w:r>
      <w:r>
        <w:rPr>
          <w:rFonts w:hint="eastAsia" w:hAnsi="宋体"/>
          <w:bCs/>
          <w:color w:val="auto"/>
        </w:rPr>
        <w:t>供应商应当按照谈判文件的变动情况和谈判小组的要求重新提交响应文件，并由其法定代表人或授权代表签名或者加盖公章。由授权代表签名的，应当附法定代表人授权书。</w:t>
      </w:r>
      <w:bookmarkStart w:id="104" w:name="_Hlk92985140"/>
      <w:r>
        <w:rPr>
          <w:rFonts w:hint="eastAsia" w:hAnsi="宋体"/>
          <w:bCs/>
          <w:color w:val="auto"/>
        </w:rPr>
        <w:t>供应商为自然人的，应当由本人签名并附身份证明。</w:t>
      </w:r>
      <w:bookmarkEnd w:id="104"/>
      <w:r>
        <w:rPr>
          <w:rFonts w:hint="eastAsia" w:hAnsi="宋体"/>
          <w:bCs/>
          <w:color w:val="auto"/>
        </w:rPr>
        <w:t>逾时不提交的，视同放弃谈判。</w:t>
      </w:r>
    </w:p>
    <w:p w14:paraId="1DD475A7">
      <w:pPr>
        <w:pStyle w:val="21"/>
        <w:spacing w:line="420" w:lineRule="exact"/>
        <w:ind w:firstLine="420" w:firstLineChars="200"/>
        <w:rPr>
          <w:rFonts w:hint="eastAsia" w:hAnsi="宋体"/>
          <w:bCs/>
          <w:color w:val="auto"/>
        </w:rPr>
      </w:pPr>
      <w:r>
        <w:rPr>
          <w:rFonts w:hint="eastAsia" w:hAnsi="宋体"/>
          <w:bCs/>
          <w:color w:val="auto"/>
        </w:rPr>
        <w:t>5</w:t>
      </w:r>
      <w:r>
        <w:rPr>
          <w:rFonts w:hAnsi="宋体"/>
          <w:bCs/>
          <w:color w:val="auto"/>
        </w:rPr>
        <w:t>.</w:t>
      </w:r>
      <w:r>
        <w:rPr>
          <w:rFonts w:hint="eastAsia"/>
          <w:color w:val="auto"/>
        </w:rPr>
        <w:t>已提交响应文件的供应商，在提交最后报价之前，可以根据谈判情况退出谈判。</w:t>
      </w:r>
    </w:p>
    <w:p w14:paraId="03595272">
      <w:pPr>
        <w:spacing w:line="420" w:lineRule="exact"/>
        <w:ind w:firstLine="211" w:firstLineChars="100"/>
        <w:rPr>
          <w:b/>
          <w:bCs/>
          <w:color w:val="auto"/>
        </w:rPr>
      </w:pPr>
      <w:r>
        <w:rPr>
          <w:rFonts w:hint="eastAsia"/>
          <w:b/>
          <w:bCs/>
          <w:color w:val="auto"/>
        </w:rPr>
        <w:t>（六）最后报价</w:t>
      </w:r>
    </w:p>
    <w:p w14:paraId="39DB5508">
      <w:pPr>
        <w:spacing w:line="420" w:lineRule="exact"/>
        <w:ind w:firstLine="420" w:firstLineChars="200"/>
        <w:rPr>
          <w:color w:val="auto"/>
        </w:rPr>
      </w:pPr>
      <w:r>
        <w:rPr>
          <w:color w:val="auto"/>
        </w:rPr>
        <w:t>1.</w:t>
      </w:r>
      <w:r>
        <w:rPr>
          <w:rFonts w:hint="eastAsia"/>
          <w:color w:val="auto"/>
        </w:rPr>
        <w:t>谈判文件能够详细列明采购标的的技术、服务要求的，谈判结束后，谈判小组应当要求所有继续参加谈判的供应商在规定时间内提交最后报价，提交最后报价的供应商不得少于3家。</w:t>
      </w:r>
    </w:p>
    <w:p w14:paraId="5203832A">
      <w:pPr>
        <w:spacing w:line="420" w:lineRule="exact"/>
        <w:ind w:firstLine="420" w:firstLineChars="200"/>
        <w:rPr>
          <w:color w:val="auto"/>
        </w:rPr>
      </w:pPr>
      <w:r>
        <w:rPr>
          <w:rFonts w:hint="eastAsia"/>
          <w:color w:val="auto"/>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4F802D5B">
      <w:pPr>
        <w:spacing w:line="420" w:lineRule="exact"/>
        <w:ind w:firstLine="420" w:firstLineChars="200"/>
        <w:rPr>
          <w:color w:val="auto"/>
        </w:rPr>
      </w:pPr>
      <w:r>
        <w:rPr>
          <w:color w:val="auto"/>
        </w:rPr>
        <w:t>2.</w:t>
      </w:r>
      <w:r>
        <w:rPr>
          <w:rFonts w:hint="eastAsia"/>
          <w:color w:val="auto"/>
        </w:rPr>
        <w:t>最后报价应由其法定代表人或授权代表签名或者加盖公章，最后报价即系供应商响应报价。</w:t>
      </w:r>
    </w:p>
    <w:p w14:paraId="7EDC3F11">
      <w:pPr>
        <w:spacing w:line="420" w:lineRule="exact"/>
        <w:ind w:firstLine="422" w:firstLineChars="200"/>
        <w:rPr>
          <w:color w:val="auto"/>
        </w:rPr>
      </w:pPr>
      <w:r>
        <w:rPr>
          <w:rFonts w:hint="eastAsia"/>
          <w:b/>
          <w:bCs/>
          <w:color w:val="auto"/>
        </w:rPr>
        <w:t>3</w:t>
      </w:r>
      <w:r>
        <w:rPr>
          <w:rFonts w:hint="eastAsia" w:ascii="宋体" w:hAnsi="宋体" w:cs="Courier New"/>
          <w:b/>
          <w:color w:val="auto"/>
          <w:szCs w:val="21"/>
        </w:rPr>
        <w:t>.在报价评审时，如发现下列情形之一的，响应文件将被视为无效：</w:t>
      </w:r>
    </w:p>
    <w:p w14:paraId="1FB7B644">
      <w:pPr>
        <w:snapToGrid w:val="0"/>
        <w:spacing w:line="420" w:lineRule="exact"/>
        <w:ind w:firstLine="420" w:firstLineChars="200"/>
        <w:rPr>
          <w:rFonts w:hint="eastAsia" w:ascii="宋体" w:hAnsi="宋体"/>
          <w:color w:val="auto"/>
          <w:szCs w:val="21"/>
        </w:rPr>
      </w:pPr>
      <w:bookmarkStart w:id="105" w:name="_Hlk112312387"/>
      <w:r>
        <w:rPr>
          <w:rFonts w:hint="eastAsia" w:ascii="宋体" w:hAnsi="宋体"/>
          <w:color w:val="auto"/>
          <w:szCs w:val="21"/>
        </w:rPr>
        <w:t>(</w:t>
      </w:r>
      <w:r>
        <w:rPr>
          <w:rFonts w:ascii="宋体" w:hAnsi="宋体"/>
          <w:color w:val="auto"/>
          <w:szCs w:val="21"/>
        </w:rPr>
        <w:t>1)</w:t>
      </w:r>
      <w:r>
        <w:rPr>
          <w:rFonts w:hint="eastAsia" w:ascii="宋体" w:hAnsi="宋体"/>
          <w:color w:val="auto"/>
          <w:szCs w:val="21"/>
        </w:rPr>
        <w:t>报价未采用人民币或者未按照采购文件标明的币种报价的；</w:t>
      </w:r>
    </w:p>
    <w:p w14:paraId="311FA819">
      <w:pPr>
        <w:snapToGrid w:val="0"/>
        <w:spacing w:line="420" w:lineRule="exact"/>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报价明细表中货物品牌、规格、型号、服务事项未明确或与响应文件中相应内容不一致的；</w:t>
      </w:r>
    </w:p>
    <w:p w14:paraId="6D5B33BC">
      <w:pPr>
        <w:snapToGrid w:val="0"/>
        <w:spacing w:line="420" w:lineRule="exact"/>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报价具有选择性的；</w:t>
      </w:r>
    </w:p>
    <w:p w14:paraId="7C153410">
      <w:pPr>
        <w:snapToGrid w:val="0"/>
        <w:spacing w:line="420" w:lineRule="exact"/>
        <w:ind w:firstLine="420" w:firstLineChars="200"/>
        <w:rPr>
          <w:rFonts w:hint="eastAsia" w:ascii="宋体" w:hAnsi="宋体"/>
          <w:color w:val="auto"/>
          <w:szCs w:val="21"/>
        </w:rPr>
      </w:pPr>
      <w:r>
        <w:rPr>
          <w:rFonts w:ascii="宋体" w:hAnsi="宋体"/>
          <w:color w:val="auto"/>
          <w:szCs w:val="21"/>
        </w:rPr>
        <w:t>(4)</w:t>
      </w:r>
      <w:r>
        <w:rPr>
          <w:rFonts w:hint="eastAsia" w:ascii="宋体" w:hAnsi="宋体"/>
          <w:color w:val="auto"/>
          <w:szCs w:val="21"/>
        </w:rPr>
        <w:t>报价未按采购文件或广西政府采购云平台规定的格式填写，或未在规定时间内提交最后报价的。</w:t>
      </w:r>
    </w:p>
    <w:bookmarkEnd w:id="105"/>
    <w:p w14:paraId="16B4153C">
      <w:pPr>
        <w:spacing w:line="420" w:lineRule="exact"/>
        <w:ind w:firstLine="211" w:firstLineChars="100"/>
        <w:rPr>
          <w:b/>
          <w:bCs/>
          <w:color w:val="auto"/>
        </w:rPr>
      </w:pPr>
      <w:r>
        <w:rPr>
          <w:rFonts w:hint="eastAsia"/>
          <w:b/>
          <w:bCs/>
          <w:color w:val="auto"/>
        </w:rPr>
        <w:t>（八）澄清、说明或者更正的形式</w:t>
      </w:r>
    </w:p>
    <w:p w14:paraId="7CD5B5F6">
      <w:pPr>
        <w:pStyle w:val="21"/>
        <w:spacing w:line="420" w:lineRule="exact"/>
        <w:ind w:firstLine="420"/>
        <w:rPr>
          <w:rFonts w:hint="eastAsia" w:hAnsi="宋体"/>
          <w:bCs/>
          <w:color w:val="auto"/>
        </w:rPr>
      </w:pPr>
      <w:r>
        <w:rPr>
          <w:rFonts w:hint="eastAsia" w:hAnsi="宋体"/>
          <w:bCs/>
          <w:color w:val="auto"/>
        </w:rPr>
        <w:t>1</w:t>
      </w:r>
      <w:r>
        <w:rPr>
          <w:rFonts w:hAnsi="宋体"/>
          <w:bCs/>
          <w:color w:val="auto"/>
        </w:rPr>
        <w:t>.</w:t>
      </w:r>
      <w:r>
        <w:rPr>
          <w:rFonts w:hint="eastAsia" w:hAnsi="宋体"/>
          <w:bCs/>
          <w:color w:val="auto"/>
        </w:rPr>
        <w:t>谈判小组在对响应文件的有效性、完整性和响应程度进行审查时，可以要求供应商对响应文件中含义不明确、同类问题表述不一致或者有明显文字和计算错误的内容等作出必要的</w:t>
      </w:r>
      <w:bookmarkStart w:id="106" w:name="_Hlk92462362"/>
      <w:r>
        <w:rPr>
          <w:rFonts w:hint="eastAsia" w:hAnsi="宋体"/>
          <w:bCs/>
          <w:color w:val="auto"/>
        </w:rPr>
        <w:t>澄清、说明或者更正</w:t>
      </w:r>
      <w:bookmarkEnd w:id="106"/>
      <w:r>
        <w:rPr>
          <w:rFonts w:hint="eastAsia" w:hAnsi="宋体"/>
          <w:bCs/>
          <w:color w:val="auto"/>
        </w:rPr>
        <w:t>。供应商的澄清、说明或者更正不得超出响应文件的范围或者改变响应文件的实质性内容。</w:t>
      </w:r>
    </w:p>
    <w:p w14:paraId="72EA607F">
      <w:pPr>
        <w:pStyle w:val="21"/>
        <w:spacing w:line="420" w:lineRule="exact"/>
        <w:ind w:firstLine="420"/>
        <w:rPr>
          <w:rFonts w:hint="eastAsia" w:hAnsi="宋体"/>
          <w:bCs/>
          <w:color w:val="auto"/>
        </w:rPr>
      </w:pPr>
      <w:r>
        <w:rPr>
          <w:rFonts w:hint="eastAsia" w:hAnsi="宋体"/>
          <w:bCs/>
          <w:color w:val="auto"/>
        </w:rPr>
        <w:t>2</w:t>
      </w:r>
      <w:r>
        <w:rPr>
          <w:rFonts w:hAnsi="宋体"/>
          <w:bCs/>
          <w:color w:val="auto"/>
        </w:rPr>
        <w:t>.</w:t>
      </w:r>
      <w:r>
        <w:rPr>
          <w:rFonts w:hint="eastAsia" w:hAnsi="宋体"/>
          <w:bCs/>
          <w:color w:val="auto"/>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14:paraId="2EB76A29">
      <w:pPr>
        <w:spacing w:line="420" w:lineRule="exact"/>
        <w:ind w:firstLine="211" w:firstLineChars="100"/>
        <w:rPr>
          <w:b/>
          <w:bCs/>
          <w:color w:val="auto"/>
        </w:rPr>
      </w:pPr>
      <w:r>
        <w:rPr>
          <w:rFonts w:hint="eastAsia"/>
          <w:b/>
          <w:bCs/>
          <w:color w:val="auto"/>
        </w:rPr>
        <w:t>（九）评定标准及推荐原则</w:t>
      </w:r>
    </w:p>
    <w:p w14:paraId="55B33031">
      <w:pPr>
        <w:spacing w:line="420" w:lineRule="exact"/>
        <w:ind w:firstLine="420" w:firstLineChars="200"/>
        <w:rPr>
          <w:color w:val="auto"/>
        </w:rPr>
      </w:pPr>
      <w:r>
        <w:rPr>
          <w:rFonts w:hint="eastAsia" w:ascii="宋体" w:hAnsi="Courier New" w:cs="Courier New"/>
          <w:color w:val="auto"/>
          <w:szCs w:val="21"/>
        </w:rPr>
        <w:t>详见第四章《评定标准及推荐原则》。</w:t>
      </w:r>
    </w:p>
    <w:p w14:paraId="7C8B9553">
      <w:pPr>
        <w:pStyle w:val="21"/>
        <w:spacing w:line="420" w:lineRule="exact"/>
        <w:ind w:firstLine="211" w:firstLineChars="100"/>
        <w:rPr>
          <w:rFonts w:hint="eastAsia" w:hAnsi="宋体"/>
          <w:b/>
          <w:color w:val="auto"/>
        </w:rPr>
      </w:pPr>
      <w:r>
        <w:rPr>
          <w:rFonts w:hint="eastAsia" w:hAnsi="宋体"/>
          <w:b/>
          <w:color w:val="auto"/>
        </w:rPr>
        <w:t>（十）供应商有下列情形之一的，属于恶意串通：</w:t>
      </w:r>
    </w:p>
    <w:p w14:paraId="00C9BC14">
      <w:pPr>
        <w:pStyle w:val="21"/>
        <w:spacing w:line="420" w:lineRule="exact"/>
        <w:ind w:firstLine="420" w:firstLineChars="200"/>
        <w:rPr>
          <w:rFonts w:hint="eastAsia" w:hAnsi="宋体" w:cs="Times New Roman"/>
          <w:color w:val="auto"/>
        </w:rPr>
      </w:pPr>
      <w:r>
        <w:rPr>
          <w:rFonts w:hint="eastAsia" w:hAnsi="宋体" w:cs="Times New Roman"/>
          <w:color w:val="auto"/>
        </w:rPr>
        <w:t>1</w:t>
      </w:r>
      <w:r>
        <w:rPr>
          <w:rFonts w:hAnsi="宋体" w:cs="Times New Roman"/>
          <w:color w:val="auto"/>
        </w:rPr>
        <w:t>.</w:t>
      </w:r>
      <w:r>
        <w:rPr>
          <w:rFonts w:hint="eastAsia" w:hAnsi="宋体" w:cs="Times New Roman"/>
          <w:color w:val="auto"/>
        </w:rPr>
        <w:t>供应商直接或者间接从采购人或者采购代理机构处获得其他供应商的相关情况并修改其响应文件；</w:t>
      </w:r>
    </w:p>
    <w:p w14:paraId="22370835">
      <w:pPr>
        <w:pStyle w:val="21"/>
        <w:spacing w:line="420" w:lineRule="exact"/>
        <w:ind w:firstLine="420" w:firstLineChars="200"/>
        <w:rPr>
          <w:rFonts w:hint="eastAsia" w:hAnsi="宋体" w:cs="Times New Roman"/>
          <w:color w:val="auto"/>
        </w:rPr>
      </w:pPr>
      <w:r>
        <w:rPr>
          <w:rFonts w:hint="eastAsia" w:hAnsi="宋体" w:cs="Times New Roman"/>
          <w:color w:val="auto"/>
        </w:rPr>
        <w:t>2</w:t>
      </w:r>
      <w:r>
        <w:rPr>
          <w:rFonts w:hAnsi="宋体" w:cs="Times New Roman"/>
          <w:color w:val="auto"/>
        </w:rPr>
        <w:t>.</w:t>
      </w:r>
      <w:r>
        <w:rPr>
          <w:rFonts w:hint="eastAsia" w:hAnsi="宋体" w:cs="Times New Roman"/>
          <w:color w:val="auto"/>
        </w:rPr>
        <w:t>供应商按照采购人或者采购代理机构的授意撤换、修改响应文件；</w:t>
      </w:r>
    </w:p>
    <w:p w14:paraId="5FB81613">
      <w:pPr>
        <w:pStyle w:val="21"/>
        <w:spacing w:line="420" w:lineRule="exact"/>
        <w:ind w:firstLine="420" w:firstLineChars="200"/>
        <w:rPr>
          <w:rFonts w:hint="eastAsia" w:hAnsi="宋体" w:cs="Times New Roman"/>
          <w:color w:val="auto"/>
        </w:rPr>
      </w:pPr>
      <w:r>
        <w:rPr>
          <w:rFonts w:hint="eastAsia" w:hAnsi="宋体" w:cs="Times New Roman"/>
          <w:color w:val="auto"/>
        </w:rPr>
        <w:t>3</w:t>
      </w:r>
      <w:r>
        <w:rPr>
          <w:rFonts w:hAnsi="宋体" w:cs="Times New Roman"/>
          <w:color w:val="auto"/>
        </w:rPr>
        <w:t>.</w:t>
      </w:r>
      <w:r>
        <w:rPr>
          <w:rFonts w:hint="eastAsia" w:hAnsi="宋体" w:cs="Times New Roman"/>
          <w:color w:val="auto"/>
        </w:rPr>
        <w:t>供应商之间协商报价、技术方案等响应文件的实质性内容；</w:t>
      </w:r>
    </w:p>
    <w:p w14:paraId="0C18A3B5">
      <w:pPr>
        <w:pStyle w:val="21"/>
        <w:spacing w:line="420" w:lineRule="exact"/>
        <w:ind w:firstLine="420" w:firstLineChars="200"/>
        <w:rPr>
          <w:rFonts w:hint="eastAsia" w:hAnsi="宋体" w:cs="Times New Roman"/>
          <w:color w:val="auto"/>
        </w:rPr>
      </w:pPr>
      <w:r>
        <w:rPr>
          <w:rFonts w:hint="eastAsia" w:hAnsi="宋体" w:cs="Times New Roman"/>
          <w:color w:val="auto"/>
        </w:rPr>
        <w:t>4</w:t>
      </w:r>
      <w:r>
        <w:rPr>
          <w:rFonts w:hAnsi="宋体" w:cs="Times New Roman"/>
          <w:color w:val="auto"/>
        </w:rPr>
        <w:t>.</w:t>
      </w:r>
      <w:r>
        <w:rPr>
          <w:rFonts w:hint="eastAsia" w:hAnsi="宋体" w:cs="Times New Roman"/>
          <w:color w:val="auto"/>
        </w:rPr>
        <w:t>属于同一集团、协会、商会等组织成员的供应商按照该组织要求协同参加政府采购活动；</w:t>
      </w:r>
    </w:p>
    <w:p w14:paraId="4AACDB08">
      <w:pPr>
        <w:pStyle w:val="21"/>
        <w:spacing w:line="420" w:lineRule="exact"/>
        <w:ind w:firstLine="420" w:firstLineChars="200"/>
        <w:rPr>
          <w:rFonts w:hint="eastAsia" w:hAnsi="宋体" w:cs="Times New Roman"/>
          <w:color w:val="auto"/>
        </w:rPr>
      </w:pPr>
      <w:r>
        <w:rPr>
          <w:rFonts w:hint="eastAsia" w:hAnsi="宋体" w:cs="Times New Roman"/>
          <w:color w:val="auto"/>
        </w:rPr>
        <w:t>5</w:t>
      </w:r>
      <w:r>
        <w:rPr>
          <w:rFonts w:hAnsi="宋体" w:cs="Times New Roman"/>
          <w:color w:val="auto"/>
        </w:rPr>
        <w:t>.</w:t>
      </w:r>
      <w:r>
        <w:rPr>
          <w:rFonts w:hint="eastAsia" w:hAnsi="宋体" w:cs="Times New Roman"/>
          <w:color w:val="auto"/>
        </w:rPr>
        <w:t>供应商之间事先约定由某一特定供应商成交；</w:t>
      </w:r>
    </w:p>
    <w:p w14:paraId="5A636C03">
      <w:pPr>
        <w:pStyle w:val="21"/>
        <w:spacing w:line="420" w:lineRule="exact"/>
        <w:ind w:firstLine="420" w:firstLineChars="200"/>
        <w:rPr>
          <w:rFonts w:hint="eastAsia" w:hAnsi="宋体" w:cs="Times New Roman"/>
          <w:color w:val="auto"/>
        </w:rPr>
      </w:pPr>
      <w:r>
        <w:rPr>
          <w:rFonts w:hint="eastAsia" w:hAnsi="宋体" w:cs="Times New Roman"/>
          <w:color w:val="auto"/>
        </w:rPr>
        <w:t>6</w:t>
      </w:r>
      <w:r>
        <w:rPr>
          <w:rFonts w:hAnsi="宋体" w:cs="Times New Roman"/>
          <w:color w:val="auto"/>
        </w:rPr>
        <w:t>.</w:t>
      </w:r>
      <w:r>
        <w:rPr>
          <w:rFonts w:hint="eastAsia" w:hAnsi="宋体" w:cs="Times New Roman"/>
          <w:color w:val="auto"/>
        </w:rPr>
        <w:t>供应商之间商定部分供应商放弃参加政府采购活动或者放弃成交；</w:t>
      </w:r>
    </w:p>
    <w:p w14:paraId="38002683">
      <w:pPr>
        <w:pStyle w:val="21"/>
        <w:spacing w:line="420" w:lineRule="exact"/>
        <w:ind w:firstLine="420" w:firstLineChars="200"/>
        <w:rPr>
          <w:rFonts w:hint="eastAsia" w:hAnsi="宋体" w:cs="Times New Roman"/>
          <w:color w:val="auto"/>
        </w:rPr>
      </w:pPr>
      <w:r>
        <w:rPr>
          <w:rFonts w:hint="eastAsia" w:hAnsi="宋体" w:cs="Times New Roman"/>
          <w:color w:val="auto"/>
        </w:rPr>
        <w:t>7</w:t>
      </w:r>
      <w:r>
        <w:rPr>
          <w:rFonts w:hAnsi="宋体" w:cs="Times New Roman"/>
          <w:color w:val="auto"/>
        </w:rPr>
        <w:t>.</w:t>
      </w:r>
      <w:r>
        <w:rPr>
          <w:rFonts w:hint="eastAsia" w:hAnsi="宋体" w:cs="Times New Roman"/>
          <w:color w:val="auto"/>
        </w:rPr>
        <w:t>供应商与采购人或者采购代理机构之间、供应商相互之间，为谋求特定供应商成交或者排斥其他供应商的其他串通行为。</w:t>
      </w:r>
    </w:p>
    <w:p w14:paraId="25B1687B">
      <w:pPr>
        <w:pStyle w:val="21"/>
        <w:spacing w:line="420" w:lineRule="exact"/>
        <w:ind w:firstLine="211" w:firstLineChars="100"/>
        <w:rPr>
          <w:rFonts w:hint="eastAsia" w:hAnsi="宋体"/>
          <w:b/>
          <w:color w:val="auto"/>
        </w:rPr>
      </w:pPr>
      <w:r>
        <w:rPr>
          <w:rFonts w:hint="eastAsia" w:hAnsi="宋体"/>
          <w:b/>
          <w:color w:val="auto"/>
        </w:rPr>
        <w:t>（十一）评审报告</w:t>
      </w:r>
    </w:p>
    <w:p w14:paraId="50D7BDF4">
      <w:pPr>
        <w:widowControl/>
        <w:tabs>
          <w:tab w:val="left" w:pos="540"/>
        </w:tabs>
        <w:spacing w:line="420" w:lineRule="exact"/>
        <w:ind w:firstLine="420" w:firstLineChars="200"/>
        <w:jc w:val="left"/>
        <w:rPr>
          <w:color w:val="auto"/>
          <w:szCs w:val="21"/>
        </w:rPr>
      </w:pPr>
      <w:r>
        <w:rPr>
          <w:rFonts w:hint="eastAsia"/>
          <w:color w:val="auto"/>
          <w:szCs w:val="21"/>
        </w:rPr>
        <w:t>1</w:t>
      </w:r>
      <w:r>
        <w:rPr>
          <w:color w:val="auto"/>
          <w:szCs w:val="21"/>
        </w:rPr>
        <w:t>.</w:t>
      </w:r>
      <w:r>
        <w:rPr>
          <w:rFonts w:hint="eastAsia"/>
          <w:color w:val="auto"/>
          <w:szCs w:val="21"/>
        </w:rPr>
        <w:t>谈判小组应当根据评审记录和评审结果编写评审报告，主要内容包括：</w:t>
      </w:r>
    </w:p>
    <w:p w14:paraId="17F4B2E5">
      <w:pPr>
        <w:widowControl/>
        <w:tabs>
          <w:tab w:val="left" w:pos="540"/>
        </w:tabs>
        <w:spacing w:line="420" w:lineRule="exact"/>
        <w:ind w:firstLine="420" w:firstLineChars="200"/>
        <w:jc w:val="left"/>
        <w:rPr>
          <w:color w:val="auto"/>
          <w:szCs w:val="21"/>
        </w:rPr>
      </w:pPr>
      <w:r>
        <w:rPr>
          <w:rFonts w:hint="eastAsia"/>
          <w:color w:val="auto"/>
          <w:szCs w:val="21"/>
        </w:rPr>
        <w:t>(</w:t>
      </w:r>
      <w:r>
        <w:rPr>
          <w:color w:val="auto"/>
          <w:szCs w:val="21"/>
        </w:rPr>
        <w:t>1)</w:t>
      </w:r>
      <w:r>
        <w:rPr>
          <w:rFonts w:hint="eastAsia"/>
          <w:color w:val="auto"/>
          <w:szCs w:val="21"/>
        </w:rPr>
        <w:t>邀请供应商参加采购活动的具体方式和相关情况，以及参加采购活动的供应商名单；</w:t>
      </w:r>
    </w:p>
    <w:p w14:paraId="4B11CA93">
      <w:pPr>
        <w:widowControl/>
        <w:tabs>
          <w:tab w:val="left" w:pos="540"/>
        </w:tabs>
        <w:spacing w:line="420" w:lineRule="exact"/>
        <w:ind w:firstLine="420" w:firstLineChars="200"/>
        <w:jc w:val="left"/>
        <w:rPr>
          <w:color w:val="auto"/>
          <w:szCs w:val="21"/>
        </w:rPr>
      </w:pPr>
      <w:r>
        <w:rPr>
          <w:rFonts w:hint="eastAsia"/>
          <w:color w:val="auto"/>
          <w:szCs w:val="21"/>
        </w:rPr>
        <w:t>(</w:t>
      </w:r>
      <w:r>
        <w:rPr>
          <w:color w:val="auto"/>
          <w:szCs w:val="21"/>
        </w:rPr>
        <w:t>2)</w:t>
      </w:r>
      <w:r>
        <w:rPr>
          <w:rFonts w:hint="eastAsia"/>
          <w:color w:val="auto"/>
          <w:szCs w:val="21"/>
        </w:rPr>
        <w:t>评审日期和地点，谈判小组成员名单；</w:t>
      </w:r>
    </w:p>
    <w:p w14:paraId="6EF681B3">
      <w:pPr>
        <w:widowControl/>
        <w:tabs>
          <w:tab w:val="left" w:pos="540"/>
        </w:tabs>
        <w:spacing w:line="420" w:lineRule="exact"/>
        <w:ind w:firstLine="420" w:firstLineChars="200"/>
        <w:jc w:val="left"/>
        <w:rPr>
          <w:color w:val="auto"/>
          <w:szCs w:val="21"/>
        </w:rPr>
      </w:pPr>
      <w:r>
        <w:rPr>
          <w:rFonts w:hint="eastAsia"/>
          <w:color w:val="auto"/>
          <w:szCs w:val="21"/>
        </w:rPr>
        <w:t>(</w:t>
      </w:r>
      <w:r>
        <w:rPr>
          <w:color w:val="auto"/>
          <w:szCs w:val="21"/>
        </w:rPr>
        <w:t>3)</w:t>
      </w:r>
      <w:r>
        <w:rPr>
          <w:rFonts w:hint="eastAsia"/>
          <w:color w:val="auto"/>
          <w:szCs w:val="21"/>
        </w:rPr>
        <w:t>评审情况记录和说明，包括对供应商的资格审查情况、供应商响应文件评审情况、谈判情况、报价情况等；</w:t>
      </w:r>
    </w:p>
    <w:p w14:paraId="3749C27F">
      <w:pPr>
        <w:widowControl/>
        <w:tabs>
          <w:tab w:val="left" w:pos="540"/>
        </w:tabs>
        <w:spacing w:line="420" w:lineRule="exact"/>
        <w:ind w:firstLine="420" w:firstLineChars="200"/>
        <w:jc w:val="left"/>
        <w:rPr>
          <w:rFonts w:hint="eastAsia" w:eastAsia="宋体"/>
          <w:color w:val="auto"/>
          <w:lang w:eastAsia="zh-CN"/>
        </w:rPr>
      </w:pPr>
      <w:r>
        <w:rPr>
          <w:rFonts w:hint="eastAsia"/>
          <w:color w:val="auto"/>
        </w:rPr>
        <w:t>(</w:t>
      </w:r>
      <w:r>
        <w:rPr>
          <w:color w:val="auto"/>
        </w:rPr>
        <w:t>4)</w:t>
      </w:r>
      <w:r>
        <w:rPr>
          <w:rFonts w:hint="eastAsia"/>
          <w:color w:val="auto"/>
        </w:rPr>
        <w:t>提出的成交候选人的名单及理由。</w:t>
      </w:r>
    </w:p>
    <w:p w14:paraId="76FA57F3">
      <w:pPr>
        <w:widowControl/>
        <w:tabs>
          <w:tab w:val="left" w:pos="540"/>
        </w:tabs>
        <w:spacing w:line="420" w:lineRule="exact"/>
        <w:ind w:firstLine="420" w:firstLineChars="200"/>
        <w:jc w:val="left"/>
        <w:rPr>
          <w:color w:val="auto"/>
          <w:szCs w:val="21"/>
        </w:rPr>
      </w:pPr>
      <w:r>
        <w:rPr>
          <w:rFonts w:hint="eastAsia"/>
          <w:color w:val="auto"/>
        </w:rPr>
        <w:t>　　2</w:t>
      </w:r>
      <w:r>
        <w:rPr>
          <w:color w:val="auto"/>
        </w:rPr>
        <w:t>.</w:t>
      </w:r>
      <w:r>
        <w:rPr>
          <w:rFonts w:hint="eastAsia"/>
          <w:color w:val="auto"/>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14:paraId="7A9F99EB">
      <w:pPr>
        <w:pStyle w:val="21"/>
        <w:spacing w:line="420" w:lineRule="exact"/>
        <w:ind w:firstLine="211" w:firstLineChars="100"/>
        <w:rPr>
          <w:rFonts w:hint="eastAsia" w:hAnsi="宋体"/>
          <w:color w:val="auto"/>
        </w:rPr>
      </w:pPr>
      <w:r>
        <w:rPr>
          <w:rFonts w:hint="eastAsia" w:hAnsi="宋体"/>
          <w:b/>
          <w:bCs/>
          <w:color w:val="auto"/>
        </w:rPr>
        <w:t>（十二）</w:t>
      </w:r>
      <w:r>
        <w:rPr>
          <w:rFonts w:hint="eastAsia" w:hAnsi="宋体"/>
          <w:b/>
          <w:color w:val="auto"/>
        </w:rPr>
        <w:t>出现下列情形之一的，本中心将终止竞争性谈判采购活动：</w:t>
      </w:r>
    </w:p>
    <w:p w14:paraId="41E03ED6">
      <w:pPr>
        <w:pStyle w:val="21"/>
        <w:spacing w:line="420" w:lineRule="exact"/>
        <w:ind w:firstLine="420" w:firstLineChars="200"/>
        <w:rPr>
          <w:rFonts w:hint="eastAsia" w:hAnsi="宋体"/>
          <w:color w:val="auto"/>
        </w:rPr>
      </w:pPr>
      <w:r>
        <w:rPr>
          <w:rFonts w:hint="eastAsia" w:hAnsi="宋体"/>
          <w:color w:val="auto"/>
        </w:rPr>
        <w:t>1</w:t>
      </w:r>
      <w:r>
        <w:rPr>
          <w:rFonts w:hAnsi="宋体"/>
          <w:color w:val="auto"/>
        </w:rPr>
        <w:t>.</w:t>
      </w:r>
      <w:r>
        <w:rPr>
          <w:rFonts w:hint="eastAsia" w:hAnsi="宋体"/>
          <w:color w:val="auto"/>
        </w:rPr>
        <w:t>因情况变化，不再符合规定的竞争性谈判采购方式适用情形的；</w:t>
      </w:r>
    </w:p>
    <w:p w14:paraId="4A3952AE">
      <w:pPr>
        <w:pStyle w:val="21"/>
        <w:spacing w:line="420" w:lineRule="exact"/>
        <w:ind w:firstLine="420" w:firstLineChars="200"/>
        <w:rPr>
          <w:rFonts w:hint="eastAsia" w:hAnsi="宋体"/>
          <w:color w:val="auto"/>
        </w:rPr>
      </w:pPr>
      <w:r>
        <w:rPr>
          <w:rFonts w:hint="eastAsia" w:hAnsi="宋体"/>
          <w:color w:val="auto"/>
        </w:rPr>
        <w:t>2</w:t>
      </w:r>
      <w:r>
        <w:rPr>
          <w:rFonts w:hAnsi="宋体"/>
          <w:color w:val="auto"/>
        </w:rPr>
        <w:t>.</w:t>
      </w:r>
      <w:r>
        <w:rPr>
          <w:rFonts w:hint="eastAsia" w:hAnsi="宋体"/>
          <w:color w:val="auto"/>
        </w:rPr>
        <w:t>出现影响采购公正的违法、违规行为的；</w:t>
      </w:r>
    </w:p>
    <w:p w14:paraId="56A91C50">
      <w:pPr>
        <w:pStyle w:val="21"/>
        <w:spacing w:line="420" w:lineRule="exact"/>
        <w:ind w:firstLine="420" w:firstLineChars="200"/>
        <w:rPr>
          <w:rFonts w:hint="eastAsia" w:hAnsi="宋体"/>
          <w:color w:val="auto"/>
        </w:rPr>
      </w:pPr>
      <w:r>
        <w:rPr>
          <w:rFonts w:hint="eastAsia" w:hAnsi="宋体"/>
          <w:color w:val="auto"/>
        </w:rPr>
        <w:t>3</w:t>
      </w:r>
      <w:r>
        <w:rPr>
          <w:rFonts w:hAnsi="宋体"/>
          <w:color w:val="auto"/>
        </w:rPr>
        <w:t>.</w:t>
      </w:r>
      <w:r>
        <w:rPr>
          <w:rFonts w:hint="eastAsia" w:hAnsi="宋体"/>
          <w:color w:val="auto"/>
        </w:rPr>
        <w:t>在采购过程中符合竞争要求的供应商或者报价未超过采购预算的供应商不足3家的。</w:t>
      </w:r>
    </w:p>
    <w:p w14:paraId="7BAABBD4">
      <w:pPr>
        <w:pStyle w:val="3"/>
        <w:spacing w:line="420" w:lineRule="exact"/>
        <w:rPr>
          <w:color w:val="auto"/>
        </w:rPr>
      </w:pPr>
      <w:r>
        <w:rPr>
          <w:rFonts w:hint="eastAsia"/>
          <w:color w:val="auto"/>
        </w:rPr>
        <w:t>六、确定成交供应商</w:t>
      </w:r>
    </w:p>
    <w:p w14:paraId="2C6FF657">
      <w:pPr>
        <w:pStyle w:val="21"/>
        <w:spacing w:line="420" w:lineRule="exact"/>
        <w:ind w:firstLine="420"/>
        <w:rPr>
          <w:rFonts w:hint="eastAsia" w:hAnsi="宋体"/>
          <w:color w:val="auto"/>
        </w:rPr>
      </w:pPr>
      <w:r>
        <w:rPr>
          <w:rFonts w:hint="eastAsia" w:hAnsi="宋体"/>
          <w:color w:val="auto"/>
        </w:rPr>
        <w:t>1</w:t>
      </w:r>
      <w:r>
        <w:rPr>
          <w:rFonts w:hAnsi="宋体"/>
          <w:color w:val="auto"/>
        </w:rPr>
        <w:t>.</w:t>
      </w:r>
      <w:r>
        <w:rPr>
          <w:rFonts w:hint="eastAsia" w:hAnsi="宋体"/>
          <w:color w:val="auto"/>
        </w:rPr>
        <w:t>本中心应当在评审结束后2个工作日内将评审报告送采购人确认。</w:t>
      </w:r>
    </w:p>
    <w:p w14:paraId="5FE19D5A">
      <w:pPr>
        <w:pStyle w:val="21"/>
        <w:spacing w:line="420" w:lineRule="exact"/>
        <w:ind w:firstLine="420"/>
        <w:rPr>
          <w:rFonts w:hint="eastAsia" w:hAnsi="宋体"/>
          <w:color w:val="auto"/>
        </w:rPr>
      </w:pPr>
      <w:r>
        <w:rPr>
          <w:rFonts w:hAnsi="宋体"/>
          <w:color w:val="auto"/>
        </w:rPr>
        <w:t>2.</w:t>
      </w:r>
      <w:r>
        <w:rPr>
          <w:rFonts w:hint="eastAsia" w:hAnsi="宋体"/>
          <w:color w:val="auto"/>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60837008">
      <w:pPr>
        <w:pStyle w:val="3"/>
        <w:spacing w:line="420" w:lineRule="exact"/>
        <w:rPr>
          <w:color w:val="auto"/>
        </w:rPr>
      </w:pPr>
      <w:r>
        <w:rPr>
          <w:rFonts w:hint="eastAsia"/>
          <w:color w:val="auto"/>
        </w:rPr>
        <w:t>七、结果公告</w:t>
      </w:r>
    </w:p>
    <w:p w14:paraId="62FEF6A1">
      <w:pPr>
        <w:pStyle w:val="21"/>
        <w:spacing w:line="420" w:lineRule="exact"/>
        <w:ind w:firstLine="420" w:firstLineChars="200"/>
        <w:rPr>
          <w:rFonts w:hint="eastAsia" w:hAnsi="宋体"/>
          <w:color w:val="auto"/>
        </w:rPr>
      </w:pPr>
      <w:r>
        <w:rPr>
          <w:rFonts w:hint="eastAsia" w:hAnsi="宋体"/>
          <w:color w:val="auto"/>
        </w:rPr>
        <w:t>本中心在成交供应商确定后2个工作日内，</w:t>
      </w:r>
      <w:r>
        <w:rPr>
          <w:rFonts w:hint="eastAsia"/>
          <w:color w:val="auto"/>
        </w:rPr>
        <w:t>在省级以上财政部门指定的媒体上公告</w:t>
      </w:r>
      <w:r>
        <w:rPr>
          <w:rFonts w:hint="eastAsia" w:hAnsi="宋体"/>
          <w:color w:val="auto"/>
        </w:rPr>
        <w:t>成交结果，同时向成交供应商发出成交通知书。</w:t>
      </w:r>
    </w:p>
    <w:p w14:paraId="09EC1934">
      <w:pPr>
        <w:pStyle w:val="3"/>
        <w:spacing w:line="420" w:lineRule="exact"/>
        <w:rPr>
          <w:color w:val="auto"/>
        </w:rPr>
      </w:pPr>
      <w:r>
        <w:rPr>
          <w:rFonts w:hint="eastAsia"/>
          <w:color w:val="auto"/>
        </w:rPr>
        <w:t>八、签订合同</w:t>
      </w:r>
    </w:p>
    <w:p w14:paraId="14022157">
      <w:pPr>
        <w:spacing w:line="420" w:lineRule="exact"/>
        <w:ind w:firstLine="210" w:firstLineChars="100"/>
        <w:rPr>
          <w:rFonts w:hint="eastAsia" w:ascii="宋体" w:hAnsi="宋体" w:cs="Courier New"/>
          <w:color w:val="auto"/>
          <w:szCs w:val="21"/>
        </w:rPr>
      </w:pPr>
      <w:r>
        <w:rPr>
          <w:rFonts w:hint="eastAsia" w:ascii="宋体" w:hAnsi="宋体"/>
          <w:color w:val="auto"/>
          <w:szCs w:val="21"/>
        </w:rPr>
        <w:t>（一）</w:t>
      </w:r>
      <w:r>
        <w:rPr>
          <w:rFonts w:hint="eastAsia" w:ascii="宋体" w:hAnsi="宋体" w:cs="Courier New"/>
          <w:color w:val="auto"/>
          <w:szCs w:val="21"/>
        </w:rPr>
        <w:t>采购人与成交供应商应当在成交通知书发出之日起</w:t>
      </w:r>
      <w:r>
        <w:rPr>
          <w:rFonts w:ascii="宋体" w:hAnsi="宋体" w:cs="Courier New"/>
          <w:color w:val="auto"/>
          <w:szCs w:val="21"/>
        </w:rPr>
        <w:t>15</w:t>
      </w:r>
      <w:r>
        <w:rPr>
          <w:rFonts w:hint="eastAsia" w:ascii="宋体" w:hAnsi="宋体" w:cs="Courier New"/>
          <w:color w:val="auto"/>
          <w:szCs w:val="21"/>
        </w:rPr>
        <w:t>日内，按照谈判文件确定的合同文本以及采购标的、规格型号、采购金额、采购数量、技术和服务要求等确定的事项签订政府采购合同。</w:t>
      </w:r>
    </w:p>
    <w:p w14:paraId="597EA9AA">
      <w:pPr>
        <w:widowControl/>
        <w:spacing w:line="420" w:lineRule="exact"/>
        <w:ind w:firstLine="210" w:firstLineChars="100"/>
        <w:jc w:val="left"/>
        <w:rPr>
          <w:rFonts w:hint="eastAsia" w:ascii="宋体" w:hAnsi="宋体" w:cs="宋体"/>
          <w:color w:val="auto"/>
          <w:kern w:val="0"/>
          <w:szCs w:val="21"/>
        </w:rPr>
      </w:pPr>
      <w:r>
        <w:rPr>
          <w:rFonts w:hint="eastAsia" w:ascii="宋体" w:hAnsi="宋体" w:cs="Courier New"/>
          <w:color w:val="auto"/>
          <w:szCs w:val="21"/>
        </w:rPr>
        <w:t>（二）</w:t>
      </w:r>
      <w:r>
        <w:rPr>
          <w:rFonts w:hint="eastAsia" w:ascii="宋体" w:hAnsi="宋体" w:cs="宋体"/>
          <w:color w:val="auto"/>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59FDC6F5">
      <w:pPr>
        <w:widowControl/>
        <w:spacing w:line="420" w:lineRule="exact"/>
        <w:ind w:firstLine="210" w:firstLineChars="100"/>
        <w:jc w:val="left"/>
        <w:rPr>
          <w:rFonts w:hint="eastAsia" w:ascii="宋体" w:hAnsi="宋体" w:cs="宋体"/>
          <w:color w:val="auto"/>
          <w:kern w:val="0"/>
          <w:szCs w:val="21"/>
        </w:rPr>
      </w:pPr>
      <w:r>
        <w:rPr>
          <w:rFonts w:hint="eastAsia" w:ascii="宋体" w:hAnsi="宋体" w:cs="宋体"/>
          <w:color w:val="auto"/>
          <w:kern w:val="0"/>
          <w:szCs w:val="21"/>
        </w:rPr>
        <w:t>（三）供应商可凭成交通知书或政府采购合同等在内的相关材料、信息，通过中征应收账款融资服务平台向银行业金融机构在线申请“政采贷”融资。</w:t>
      </w:r>
    </w:p>
    <w:p w14:paraId="55556C12">
      <w:pPr>
        <w:widowControl/>
        <w:spacing w:line="420" w:lineRule="exact"/>
        <w:ind w:firstLine="210" w:firstLineChars="100"/>
        <w:jc w:val="left"/>
        <w:rPr>
          <w:rFonts w:hint="eastAsia" w:ascii="宋体" w:hAnsi="宋体" w:cs="宋体"/>
          <w:color w:val="auto"/>
          <w:kern w:val="0"/>
          <w:szCs w:val="21"/>
        </w:rPr>
      </w:pPr>
      <w:r>
        <w:rPr>
          <w:rFonts w:hint="eastAsia" w:ascii="宋体" w:hAnsi="宋体" w:cs="宋体"/>
          <w:color w:val="auto"/>
          <w:kern w:val="0"/>
          <w:szCs w:val="21"/>
        </w:rPr>
        <w:t>（四）除不可抗力等因素外，成交通知书发出后，采购人改变成交结果，或者成交供应商拒绝签订政府采购合同的，应当承担相应的法律责任。</w:t>
      </w:r>
    </w:p>
    <w:p w14:paraId="7CDC971C">
      <w:pPr>
        <w:widowControl/>
        <w:spacing w:line="420" w:lineRule="exact"/>
        <w:ind w:firstLine="210" w:firstLineChars="100"/>
        <w:jc w:val="left"/>
        <w:rPr>
          <w:rFonts w:hint="eastAsia" w:ascii="宋体" w:hAnsi="宋体" w:cs="宋体"/>
          <w:color w:val="auto"/>
          <w:kern w:val="0"/>
          <w:szCs w:val="21"/>
        </w:rPr>
      </w:pPr>
      <w:r>
        <w:rPr>
          <w:rFonts w:hint="eastAsia" w:ascii="宋体" w:hAnsi="宋体" w:cs="宋体"/>
          <w:color w:val="auto"/>
          <w:kern w:val="0"/>
          <w:szCs w:val="21"/>
        </w:rPr>
        <w:t>（五）</w:t>
      </w:r>
      <w:r>
        <w:rPr>
          <w:rFonts w:ascii="Arial" w:hAnsi="Arial" w:cs="Arial"/>
          <w:color w:val="auto"/>
          <w:kern w:val="0"/>
          <w:szCs w:val="21"/>
        </w:rPr>
        <w:t>政府采购合同</w:t>
      </w:r>
      <w:r>
        <w:rPr>
          <w:rFonts w:hint="eastAsia" w:ascii="Arial" w:hAnsi="Arial" w:cs="Arial"/>
          <w:color w:val="auto"/>
          <w:kern w:val="0"/>
          <w:szCs w:val="21"/>
        </w:rPr>
        <w:t>适用《中华人民共和国民法典》</w:t>
      </w:r>
      <w:r>
        <w:rPr>
          <w:rFonts w:ascii="Arial" w:hAnsi="Arial" w:cs="Arial"/>
          <w:color w:val="auto"/>
          <w:kern w:val="0"/>
          <w:szCs w:val="21"/>
        </w:rPr>
        <w:t>。</w:t>
      </w:r>
    </w:p>
    <w:p w14:paraId="4BF749D9">
      <w:pPr>
        <w:widowControl/>
        <w:spacing w:line="420" w:lineRule="exact"/>
        <w:ind w:firstLine="210" w:firstLineChars="100"/>
        <w:jc w:val="left"/>
        <w:rPr>
          <w:rFonts w:hint="eastAsia" w:ascii="宋体" w:hAnsi="宋体" w:cs="宋体"/>
          <w:color w:val="auto"/>
          <w:kern w:val="0"/>
          <w:szCs w:val="21"/>
        </w:rPr>
      </w:pPr>
      <w:r>
        <w:rPr>
          <w:rFonts w:hint="eastAsia" w:ascii="宋体" w:hAnsi="宋体" w:cs="宋体"/>
          <w:color w:val="auto"/>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14:paraId="19C44AE9">
      <w:pPr>
        <w:pStyle w:val="3"/>
        <w:spacing w:line="420" w:lineRule="exact"/>
        <w:rPr>
          <w:color w:val="auto"/>
        </w:rPr>
      </w:pPr>
      <w:r>
        <w:rPr>
          <w:rFonts w:hint="eastAsia"/>
          <w:color w:val="auto"/>
        </w:rPr>
        <w:t>九、适用法律</w:t>
      </w:r>
    </w:p>
    <w:p w14:paraId="0D8A6587">
      <w:pPr>
        <w:spacing w:line="420" w:lineRule="exact"/>
        <w:ind w:firstLine="420" w:firstLineChars="200"/>
        <w:rPr>
          <w:rFonts w:hint="eastAsia" w:ascii="宋体" w:hAnsi="宋体"/>
          <w:color w:val="auto"/>
          <w:szCs w:val="21"/>
        </w:rPr>
      </w:pPr>
      <w:bookmarkStart w:id="107" w:name="_Hlk92794186"/>
      <w:r>
        <w:rPr>
          <w:rFonts w:hint="eastAsia" w:ascii="宋体" w:hAnsi="宋体"/>
          <w:color w:val="auto"/>
          <w:szCs w:val="21"/>
        </w:rPr>
        <w:t>本项目采购活动适用于《中华人民共和国政府采购法》及其实施条例、《政府采购非招标采购方式管理办法》等规定。</w:t>
      </w:r>
    </w:p>
    <w:bookmarkEnd w:id="107"/>
    <w:p w14:paraId="700297AC">
      <w:pPr>
        <w:pStyle w:val="3"/>
        <w:spacing w:line="420" w:lineRule="exact"/>
        <w:rPr>
          <w:color w:val="auto"/>
        </w:rPr>
      </w:pPr>
      <w:bookmarkStart w:id="108" w:name="_十、其他事项"/>
      <w:bookmarkEnd w:id="108"/>
      <w:r>
        <w:rPr>
          <w:rFonts w:hint="eastAsia"/>
          <w:color w:val="auto"/>
        </w:rPr>
        <w:t>十、其他事项</w:t>
      </w:r>
    </w:p>
    <w:p w14:paraId="663B0DB3">
      <w:pPr>
        <w:spacing w:line="420" w:lineRule="exact"/>
        <w:ind w:firstLine="210" w:firstLineChars="100"/>
        <w:rPr>
          <w:rFonts w:hint="eastAsia" w:hAnsi="宋体"/>
          <w:color w:val="auto"/>
        </w:rPr>
      </w:pPr>
      <w:r>
        <w:rPr>
          <w:rFonts w:hint="eastAsia" w:hAnsi="宋体"/>
          <w:color w:val="auto"/>
        </w:rPr>
        <w:t>（一）代理服务费</w:t>
      </w:r>
    </w:p>
    <w:p w14:paraId="254DD635">
      <w:pPr>
        <w:spacing w:line="420" w:lineRule="exact"/>
        <w:ind w:firstLine="420" w:firstLineChars="200"/>
        <w:rPr>
          <w:rFonts w:hint="eastAsia" w:hAnsi="宋体"/>
          <w:color w:val="auto"/>
        </w:rPr>
      </w:pPr>
      <w:r>
        <w:rPr>
          <w:rFonts w:hint="eastAsia" w:hAnsi="宋体"/>
          <w:color w:val="auto"/>
        </w:rPr>
        <w:t>1</w:t>
      </w:r>
      <w:r>
        <w:rPr>
          <w:rFonts w:hAnsi="宋体"/>
          <w:color w:val="auto"/>
        </w:rPr>
        <w:t>.</w:t>
      </w:r>
      <w:r>
        <w:rPr>
          <w:rFonts w:hint="eastAsia" w:hAnsi="宋体"/>
          <w:color w:val="auto"/>
        </w:rPr>
        <w:t>本中心按钦州市物价局“钦市价费﹝2013﹞4号”文件规定向成交供应商收取代理服务费，成交供应商须向本中心一次付清代理服务费。</w:t>
      </w:r>
    </w:p>
    <w:p w14:paraId="2FEB3825">
      <w:pPr>
        <w:spacing w:line="420" w:lineRule="exact"/>
        <w:ind w:firstLine="420" w:firstLineChars="200"/>
        <w:rPr>
          <w:rFonts w:hint="eastAsia" w:hAnsi="宋体"/>
          <w:bCs/>
          <w:color w:val="auto"/>
        </w:rPr>
      </w:pPr>
      <w:r>
        <w:rPr>
          <w:rFonts w:hint="eastAsia" w:hAnsi="宋体"/>
          <w:color w:val="auto"/>
        </w:rPr>
        <w:t>2</w:t>
      </w:r>
      <w:r>
        <w:rPr>
          <w:rFonts w:hAnsi="宋体"/>
          <w:color w:val="auto"/>
        </w:rPr>
        <w:t>.</w:t>
      </w:r>
      <w:r>
        <w:rPr>
          <w:rFonts w:hint="eastAsia" w:hAnsi="宋体"/>
          <w:bCs/>
          <w:color w:val="auto"/>
        </w:rPr>
        <w:t>代理服务收费标准：</w:t>
      </w:r>
    </w:p>
    <w:p w14:paraId="6D68D9DC">
      <w:pPr>
        <w:spacing w:line="420" w:lineRule="exact"/>
        <w:ind w:firstLine="420" w:firstLineChars="200"/>
        <w:rPr>
          <w:rFonts w:hint="eastAsia" w:hAnsi="宋体"/>
          <w:bCs/>
          <w:color w:val="auto"/>
        </w:rPr>
      </w:pPr>
    </w:p>
    <w:p w14:paraId="7DEE0177">
      <w:pPr>
        <w:pStyle w:val="17"/>
        <w:rPr>
          <w:rFonts w:hint="eastAsia" w:hAnsi="宋体"/>
          <w:bCs/>
          <w:color w:val="auto"/>
        </w:rPr>
      </w:pPr>
    </w:p>
    <w:p w14:paraId="42654203">
      <w:pPr>
        <w:rPr>
          <w:rFonts w:hint="eastAsia" w:hAnsi="宋体"/>
          <w:bCs/>
          <w:color w:val="auto"/>
        </w:rPr>
      </w:pPr>
    </w:p>
    <w:p w14:paraId="6D0F26C0">
      <w:pPr>
        <w:pStyle w:val="17"/>
        <w:rPr>
          <w:rFonts w:hint="eastAsia"/>
          <w:color w:val="auto"/>
        </w:rPr>
      </w:pPr>
    </w:p>
    <w:tbl>
      <w:tblPr>
        <w:tblStyle w:val="3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14:paraId="1838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14:paraId="04504098">
            <w:pPr>
              <w:spacing w:line="330" w:lineRule="exact"/>
              <w:ind w:firstLine="2310" w:firstLineChars="1100"/>
              <w:rPr>
                <w:rFonts w:hint="eastAsia" w:hAnsi="宋体"/>
                <w:color w:val="auto"/>
              </w:rPr>
            </w:pPr>
            <w:r>
              <w:rPr>
                <w:rFonts w:hAnsi="宋体"/>
                <w:color w:val="auto"/>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color w:val="auto"/>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color w:val="auto"/>
              </w:rPr>
              <w:t>采购类型</w:t>
            </w:r>
          </w:p>
          <w:p w14:paraId="2A5D22C8">
            <w:pPr>
              <w:spacing w:line="330" w:lineRule="exact"/>
              <w:rPr>
                <w:rFonts w:hint="eastAsia" w:hAnsi="宋体"/>
                <w:color w:val="auto"/>
              </w:rPr>
            </w:pPr>
          </w:p>
          <w:p w14:paraId="5875D28B">
            <w:pPr>
              <w:spacing w:line="330" w:lineRule="exact"/>
              <w:ind w:firstLine="1575" w:firstLineChars="750"/>
              <w:jc w:val="left"/>
              <w:rPr>
                <w:rFonts w:hint="eastAsia" w:hAnsi="宋体"/>
                <w:color w:val="auto"/>
              </w:rPr>
            </w:pPr>
            <w:r>
              <w:rPr>
                <w:rFonts w:hint="eastAsia" w:hAnsi="宋体"/>
                <w:color w:val="auto"/>
              </w:rPr>
              <w:t>费率</w:t>
            </w:r>
          </w:p>
          <w:p w14:paraId="27FDD3FD">
            <w:pPr>
              <w:spacing w:line="330" w:lineRule="exact"/>
              <w:ind w:leftChars="-1" w:hanging="2" w:hangingChars="1"/>
              <w:jc w:val="left"/>
              <w:rPr>
                <w:rFonts w:hint="eastAsia" w:hAnsi="宋体"/>
                <w:color w:val="auto"/>
              </w:rPr>
            </w:pPr>
          </w:p>
          <w:p w14:paraId="3621B06C">
            <w:pPr>
              <w:spacing w:line="330" w:lineRule="exact"/>
              <w:ind w:leftChars="-1" w:hanging="2" w:hangingChars="1"/>
              <w:jc w:val="left"/>
              <w:rPr>
                <w:rFonts w:hint="eastAsia" w:hAnsi="宋体"/>
                <w:color w:val="auto"/>
              </w:rPr>
            </w:pPr>
          </w:p>
          <w:p w14:paraId="02279F1E">
            <w:pPr>
              <w:spacing w:line="330" w:lineRule="exact"/>
              <w:jc w:val="left"/>
              <w:rPr>
                <w:rFonts w:hint="eastAsia" w:hAnsi="宋体"/>
                <w:color w:val="auto"/>
              </w:rPr>
            </w:pPr>
            <w:r>
              <w:rPr>
                <w:rFonts w:hint="eastAsia" w:hAnsi="宋体"/>
                <w:color w:val="auto"/>
              </w:rPr>
              <w:t>成交金额（万元）</w:t>
            </w:r>
          </w:p>
        </w:tc>
        <w:tc>
          <w:tcPr>
            <w:tcW w:w="5708" w:type="dxa"/>
            <w:gridSpan w:val="3"/>
            <w:vAlign w:val="center"/>
          </w:tcPr>
          <w:p w14:paraId="4A237B96">
            <w:pPr>
              <w:spacing w:line="330" w:lineRule="exact"/>
              <w:rPr>
                <w:rFonts w:hint="eastAsia" w:hAnsi="宋体"/>
                <w:color w:val="auto"/>
              </w:rPr>
            </w:pPr>
            <w:r>
              <w:rPr>
                <w:rFonts w:hint="eastAsia" w:hAnsi="宋体"/>
                <w:color w:val="auto"/>
              </w:rPr>
              <w:t>公开招标、邀请招标、竞争性谈判方式采购代理</w:t>
            </w:r>
          </w:p>
        </w:tc>
      </w:tr>
      <w:tr w14:paraId="4BA8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14:paraId="4E0052DF">
            <w:pPr>
              <w:spacing w:line="330" w:lineRule="exact"/>
              <w:ind w:firstLine="2620" w:firstLineChars="1248"/>
              <w:rPr>
                <w:rFonts w:hint="eastAsia" w:hAnsi="宋体"/>
                <w:color w:val="auto"/>
              </w:rPr>
            </w:pPr>
          </w:p>
        </w:tc>
        <w:tc>
          <w:tcPr>
            <w:tcW w:w="1932" w:type="dxa"/>
            <w:vAlign w:val="center"/>
          </w:tcPr>
          <w:p w14:paraId="282C76B3">
            <w:pPr>
              <w:spacing w:line="330" w:lineRule="exact"/>
              <w:jc w:val="center"/>
              <w:rPr>
                <w:rFonts w:hint="eastAsia" w:hAnsi="宋体"/>
                <w:color w:val="auto"/>
              </w:rPr>
            </w:pPr>
            <w:r>
              <w:rPr>
                <w:rFonts w:hint="eastAsia" w:hAnsi="宋体"/>
                <w:color w:val="auto"/>
              </w:rPr>
              <w:t>货物类</w:t>
            </w:r>
          </w:p>
        </w:tc>
        <w:tc>
          <w:tcPr>
            <w:tcW w:w="1800" w:type="dxa"/>
            <w:vAlign w:val="center"/>
          </w:tcPr>
          <w:p w14:paraId="384B7167">
            <w:pPr>
              <w:spacing w:line="330" w:lineRule="exact"/>
              <w:jc w:val="center"/>
              <w:rPr>
                <w:rFonts w:hint="eastAsia" w:hAnsi="宋体"/>
                <w:color w:val="auto"/>
              </w:rPr>
            </w:pPr>
            <w:r>
              <w:rPr>
                <w:rFonts w:hint="eastAsia" w:hAnsi="宋体"/>
                <w:color w:val="auto"/>
              </w:rPr>
              <w:t>服务类</w:t>
            </w:r>
          </w:p>
        </w:tc>
        <w:tc>
          <w:tcPr>
            <w:tcW w:w="1976" w:type="dxa"/>
            <w:vAlign w:val="center"/>
          </w:tcPr>
          <w:p w14:paraId="20C61B00">
            <w:pPr>
              <w:widowControl/>
              <w:spacing w:line="330" w:lineRule="exact"/>
              <w:jc w:val="center"/>
              <w:rPr>
                <w:rFonts w:hint="eastAsia" w:hAnsi="宋体"/>
                <w:color w:val="auto"/>
              </w:rPr>
            </w:pPr>
            <w:r>
              <w:rPr>
                <w:rFonts w:hint="eastAsia" w:hAnsi="宋体"/>
                <w:color w:val="auto"/>
              </w:rPr>
              <w:t>工程类</w:t>
            </w:r>
          </w:p>
        </w:tc>
      </w:tr>
      <w:tr w14:paraId="1817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14:paraId="591C91A9">
            <w:pPr>
              <w:spacing w:line="330" w:lineRule="exact"/>
              <w:jc w:val="center"/>
              <w:rPr>
                <w:rFonts w:hint="eastAsia" w:hAnsi="宋体"/>
                <w:color w:val="auto"/>
              </w:rPr>
            </w:pPr>
            <w:r>
              <w:rPr>
                <w:rFonts w:hint="eastAsia" w:hAnsi="宋体"/>
                <w:color w:val="auto"/>
              </w:rPr>
              <w:t>100以下</w:t>
            </w:r>
          </w:p>
        </w:tc>
        <w:tc>
          <w:tcPr>
            <w:tcW w:w="1932" w:type="dxa"/>
            <w:vAlign w:val="center"/>
          </w:tcPr>
          <w:p w14:paraId="4C5CB4E8">
            <w:pPr>
              <w:spacing w:line="330" w:lineRule="exact"/>
              <w:jc w:val="center"/>
              <w:rPr>
                <w:rFonts w:hint="eastAsia" w:hAnsi="宋体"/>
                <w:color w:val="auto"/>
              </w:rPr>
            </w:pPr>
            <w:r>
              <w:rPr>
                <w:rFonts w:hint="eastAsia" w:hAnsi="宋体"/>
                <w:color w:val="auto"/>
              </w:rPr>
              <w:t>1.2%</w:t>
            </w:r>
          </w:p>
        </w:tc>
        <w:tc>
          <w:tcPr>
            <w:tcW w:w="1800" w:type="dxa"/>
            <w:vAlign w:val="center"/>
          </w:tcPr>
          <w:p w14:paraId="4699294F">
            <w:pPr>
              <w:spacing w:line="330" w:lineRule="exact"/>
              <w:jc w:val="center"/>
              <w:rPr>
                <w:rFonts w:hint="eastAsia" w:hAnsi="宋体"/>
                <w:color w:val="auto"/>
              </w:rPr>
            </w:pPr>
            <w:r>
              <w:rPr>
                <w:rFonts w:hint="eastAsia" w:hAnsi="宋体"/>
                <w:color w:val="auto"/>
              </w:rPr>
              <w:t>1.2%</w:t>
            </w:r>
          </w:p>
        </w:tc>
        <w:tc>
          <w:tcPr>
            <w:tcW w:w="1976" w:type="dxa"/>
            <w:vAlign w:val="center"/>
          </w:tcPr>
          <w:p w14:paraId="095C7AF8">
            <w:pPr>
              <w:spacing w:line="330" w:lineRule="exact"/>
              <w:jc w:val="center"/>
              <w:rPr>
                <w:rFonts w:hint="eastAsia" w:hAnsi="宋体"/>
                <w:color w:val="auto"/>
              </w:rPr>
            </w:pPr>
            <w:r>
              <w:rPr>
                <w:rFonts w:hint="eastAsia" w:hAnsi="宋体"/>
                <w:color w:val="auto"/>
              </w:rPr>
              <w:t>0.8%</w:t>
            </w:r>
          </w:p>
        </w:tc>
      </w:tr>
      <w:tr w14:paraId="245D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14:paraId="26698127">
            <w:pPr>
              <w:spacing w:line="330" w:lineRule="exact"/>
              <w:jc w:val="center"/>
              <w:rPr>
                <w:rFonts w:hint="eastAsia" w:hAnsi="宋体"/>
                <w:color w:val="auto"/>
              </w:rPr>
            </w:pPr>
            <w:r>
              <w:rPr>
                <w:rFonts w:hint="eastAsia" w:hAnsi="宋体"/>
                <w:color w:val="auto"/>
              </w:rPr>
              <w:t>100-500</w:t>
            </w:r>
          </w:p>
        </w:tc>
        <w:tc>
          <w:tcPr>
            <w:tcW w:w="1932" w:type="dxa"/>
            <w:vAlign w:val="center"/>
          </w:tcPr>
          <w:p w14:paraId="44ED8D9B">
            <w:pPr>
              <w:spacing w:line="330" w:lineRule="exact"/>
              <w:jc w:val="center"/>
              <w:rPr>
                <w:rFonts w:hint="eastAsia" w:hAnsi="宋体"/>
                <w:color w:val="auto"/>
              </w:rPr>
            </w:pPr>
            <w:r>
              <w:rPr>
                <w:rFonts w:hint="eastAsia" w:hAnsi="宋体"/>
                <w:color w:val="auto"/>
              </w:rPr>
              <w:t>0.88%</w:t>
            </w:r>
          </w:p>
        </w:tc>
        <w:tc>
          <w:tcPr>
            <w:tcW w:w="1800" w:type="dxa"/>
            <w:vAlign w:val="center"/>
          </w:tcPr>
          <w:p w14:paraId="4238A6B9">
            <w:pPr>
              <w:spacing w:line="330" w:lineRule="exact"/>
              <w:jc w:val="center"/>
              <w:rPr>
                <w:rFonts w:hint="eastAsia" w:hAnsi="宋体"/>
                <w:color w:val="auto"/>
              </w:rPr>
            </w:pPr>
            <w:r>
              <w:rPr>
                <w:rFonts w:hint="eastAsia" w:hAnsi="宋体"/>
                <w:color w:val="auto"/>
              </w:rPr>
              <w:t>0.64%</w:t>
            </w:r>
          </w:p>
        </w:tc>
        <w:tc>
          <w:tcPr>
            <w:tcW w:w="1976" w:type="dxa"/>
            <w:vAlign w:val="center"/>
          </w:tcPr>
          <w:p w14:paraId="017B9A0B">
            <w:pPr>
              <w:spacing w:line="330" w:lineRule="exact"/>
              <w:jc w:val="center"/>
              <w:rPr>
                <w:rFonts w:hint="eastAsia" w:hAnsi="宋体"/>
                <w:color w:val="auto"/>
              </w:rPr>
            </w:pPr>
            <w:r>
              <w:rPr>
                <w:rFonts w:hint="eastAsia" w:hAnsi="宋体"/>
                <w:color w:val="auto"/>
              </w:rPr>
              <w:t>0.56%</w:t>
            </w:r>
          </w:p>
        </w:tc>
      </w:tr>
      <w:tr w14:paraId="75A0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14:paraId="2DB14CC5">
            <w:pPr>
              <w:spacing w:line="330" w:lineRule="exact"/>
              <w:jc w:val="center"/>
              <w:rPr>
                <w:rFonts w:hint="eastAsia" w:hAnsi="宋体"/>
                <w:color w:val="auto"/>
              </w:rPr>
            </w:pPr>
            <w:r>
              <w:rPr>
                <w:rFonts w:hint="eastAsia" w:hAnsi="宋体"/>
                <w:color w:val="auto"/>
              </w:rPr>
              <w:t>500-1000</w:t>
            </w:r>
          </w:p>
        </w:tc>
        <w:tc>
          <w:tcPr>
            <w:tcW w:w="1932" w:type="dxa"/>
            <w:vAlign w:val="center"/>
          </w:tcPr>
          <w:p w14:paraId="756BDF9F">
            <w:pPr>
              <w:spacing w:line="330" w:lineRule="exact"/>
              <w:jc w:val="center"/>
              <w:rPr>
                <w:rFonts w:hint="eastAsia" w:hAnsi="宋体"/>
                <w:color w:val="auto"/>
              </w:rPr>
            </w:pPr>
            <w:r>
              <w:rPr>
                <w:rFonts w:hint="eastAsia" w:hAnsi="宋体"/>
                <w:color w:val="auto"/>
              </w:rPr>
              <w:t>0.64%</w:t>
            </w:r>
          </w:p>
        </w:tc>
        <w:tc>
          <w:tcPr>
            <w:tcW w:w="1800" w:type="dxa"/>
            <w:vAlign w:val="center"/>
          </w:tcPr>
          <w:p w14:paraId="0049DCF9">
            <w:pPr>
              <w:spacing w:line="330" w:lineRule="exact"/>
              <w:jc w:val="center"/>
              <w:rPr>
                <w:rFonts w:hint="eastAsia" w:hAnsi="宋体"/>
                <w:color w:val="auto"/>
              </w:rPr>
            </w:pPr>
            <w:r>
              <w:rPr>
                <w:rFonts w:hint="eastAsia" w:hAnsi="宋体"/>
                <w:color w:val="auto"/>
              </w:rPr>
              <w:t>0.36%</w:t>
            </w:r>
          </w:p>
        </w:tc>
        <w:tc>
          <w:tcPr>
            <w:tcW w:w="1976" w:type="dxa"/>
            <w:vAlign w:val="center"/>
          </w:tcPr>
          <w:p w14:paraId="015DA87F">
            <w:pPr>
              <w:spacing w:line="330" w:lineRule="exact"/>
              <w:jc w:val="center"/>
              <w:rPr>
                <w:rFonts w:hint="eastAsia" w:hAnsi="宋体"/>
                <w:color w:val="auto"/>
              </w:rPr>
            </w:pPr>
            <w:r>
              <w:rPr>
                <w:rFonts w:hint="eastAsia" w:hAnsi="宋体"/>
                <w:color w:val="auto"/>
              </w:rPr>
              <w:t>0.44%</w:t>
            </w:r>
          </w:p>
        </w:tc>
      </w:tr>
      <w:tr w14:paraId="4AA5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14:paraId="37EEEB4F">
            <w:pPr>
              <w:spacing w:line="330" w:lineRule="exact"/>
              <w:jc w:val="center"/>
              <w:rPr>
                <w:rFonts w:hint="eastAsia" w:hAnsi="宋体"/>
                <w:color w:val="auto"/>
              </w:rPr>
            </w:pPr>
            <w:r>
              <w:rPr>
                <w:rFonts w:hint="eastAsia" w:hAnsi="宋体"/>
                <w:color w:val="auto"/>
              </w:rPr>
              <w:t>1000-5000</w:t>
            </w:r>
          </w:p>
        </w:tc>
        <w:tc>
          <w:tcPr>
            <w:tcW w:w="1932" w:type="dxa"/>
            <w:vAlign w:val="center"/>
          </w:tcPr>
          <w:p w14:paraId="0466730C">
            <w:pPr>
              <w:spacing w:line="330" w:lineRule="exact"/>
              <w:jc w:val="center"/>
              <w:rPr>
                <w:rFonts w:hint="eastAsia" w:hAnsi="宋体"/>
                <w:color w:val="auto"/>
              </w:rPr>
            </w:pPr>
            <w:r>
              <w:rPr>
                <w:rFonts w:hint="eastAsia" w:hAnsi="宋体"/>
                <w:color w:val="auto"/>
              </w:rPr>
              <w:t>0.4%</w:t>
            </w:r>
          </w:p>
        </w:tc>
        <w:tc>
          <w:tcPr>
            <w:tcW w:w="1800" w:type="dxa"/>
            <w:vAlign w:val="center"/>
          </w:tcPr>
          <w:p w14:paraId="4893A4EC">
            <w:pPr>
              <w:spacing w:line="330" w:lineRule="exact"/>
              <w:jc w:val="center"/>
              <w:rPr>
                <w:rFonts w:hint="eastAsia" w:hAnsi="宋体"/>
                <w:color w:val="auto"/>
              </w:rPr>
            </w:pPr>
            <w:r>
              <w:rPr>
                <w:rFonts w:hint="eastAsia" w:hAnsi="宋体"/>
                <w:color w:val="auto"/>
              </w:rPr>
              <w:t>0.2%</w:t>
            </w:r>
          </w:p>
        </w:tc>
        <w:tc>
          <w:tcPr>
            <w:tcW w:w="1976" w:type="dxa"/>
            <w:vAlign w:val="center"/>
          </w:tcPr>
          <w:p w14:paraId="12463289">
            <w:pPr>
              <w:spacing w:line="330" w:lineRule="exact"/>
              <w:jc w:val="center"/>
              <w:rPr>
                <w:rFonts w:hint="eastAsia" w:hAnsi="宋体"/>
                <w:color w:val="auto"/>
              </w:rPr>
            </w:pPr>
            <w:r>
              <w:rPr>
                <w:rFonts w:hint="eastAsia" w:hAnsi="宋体"/>
                <w:color w:val="auto"/>
              </w:rPr>
              <w:t>0.28%</w:t>
            </w:r>
          </w:p>
        </w:tc>
      </w:tr>
      <w:tr w14:paraId="2FAB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14:paraId="6B921E9A">
            <w:pPr>
              <w:spacing w:line="330" w:lineRule="exact"/>
              <w:jc w:val="center"/>
              <w:rPr>
                <w:rFonts w:hint="eastAsia" w:hAnsi="宋体"/>
                <w:color w:val="auto"/>
              </w:rPr>
            </w:pPr>
            <w:r>
              <w:rPr>
                <w:rFonts w:hint="eastAsia" w:hAnsi="宋体"/>
                <w:color w:val="auto"/>
              </w:rPr>
              <w:t>5000-10000</w:t>
            </w:r>
          </w:p>
        </w:tc>
        <w:tc>
          <w:tcPr>
            <w:tcW w:w="1932" w:type="dxa"/>
            <w:vAlign w:val="center"/>
          </w:tcPr>
          <w:p w14:paraId="5E3CB798">
            <w:pPr>
              <w:spacing w:line="330" w:lineRule="exact"/>
              <w:jc w:val="center"/>
              <w:rPr>
                <w:rFonts w:hint="eastAsia" w:hAnsi="宋体"/>
                <w:color w:val="auto"/>
              </w:rPr>
            </w:pPr>
            <w:r>
              <w:rPr>
                <w:rFonts w:hint="eastAsia" w:hAnsi="宋体"/>
                <w:color w:val="auto"/>
              </w:rPr>
              <w:t>0.2%</w:t>
            </w:r>
          </w:p>
        </w:tc>
        <w:tc>
          <w:tcPr>
            <w:tcW w:w="1800" w:type="dxa"/>
            <w:vAlign w:val="center"/>
          </w:tcPr>
          <w:p w14:paraId="671CCF56">
            <w:pPr>
              <w:spacing w:line="330" w:lineRule="exact"/>
              <w:jc w:val="center"/>
              <w:rPr>
                <w:rFonts w:hint="eastAsia" w:hAnsi="宋体"/>
                <w:color w:val="auto"/>
              </w:rPr>
            </w:pPr>
            <w:r>
              <w:rPr>
                <w:rFonts w:hint="eastAsia" w:hAnsi="宋体"/>
                <w:color w:val="auto"/>
              </w:rPr>
              <w:t>0.08%</w:t>
            </w:r>
          </w:p>
        </w:tc>
        <w:tc>
          <w:tcPr>
            <w:tcW w:w="1976" w:type="dxa"/>
            <w:vAlign w:val="center"/>
          </w:tcPr>
          <w:p w14:paraId="2AC474CF">
            <w:pPr>
              <w:spacing w:line="330" w:lineRule="exact"/>
              <w:jc w:val="center"/>
              <w:rPr>
                <w:rFonts w:hint="eastAsia" w:hAnsi="宋体"/>
                <w:color w:val="auto"/>
              </w:rPr>
            </w:pPr>
            <w:r>
              <w:rPr>
                <w:rFonts w:hint="eastAsia" w:hAnsi="宋体"/>
                <w:color w:val="auto"/>
              </w:rPr>
              <w:t>0.16%</w:t>
            </w:r>
          </w:p>
        </w:tc>
      </w:tr>
      <w:tr w14:paraId="11EC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14:paraId="1F64F8F8">
            <w:pPr>
              <w:spacing w:line="330" w:lineRule="exact"/>
              <w:jc w:val="center"/>
              <w:rPr>
                <w:rFonts w:hint="eastAsia" w:hAnsi="宋体"/>
                <w:color w:val="auto"/>
              </w:rPr>
            </w:pPr>
            <w:r>
              <w:rPr>
                <w:rFonts w:hint="eastAsia" w:hAnsi="宋体"/>
                <w:color w:val="auto"/>
              </w:rPr>
              <w:t>10000-100000</w:t>
            </w:r>
          </w:p>
        </w:tc>
        <w:tc>
          <w:tcPr>
            <w:tcW w:w="1932" w:type="dxa"/>
            <w:vAlign w:val="center"/>
          </w:tcPr>
          <w:p w14:paraId="7E87E62F">
            <w:pPr>
              <w:spacing w:line="330" w:lineRule="exact"/>
              <w:jc w:val="center"/>
              <w:rPr>
                <w:rFonts w:hint="eastAsia" w:hAnsi="宋体"/>
                <w:color w:val="auto"/>
              </w:rPr>
            </w:pPr>
            <w:r>
              <w:rPr>
                <w:rFonts w:hint="eastAsia" w:hAnsi="宋体"/>
                <w:color w:val="auto"/>
              </w:rPr>
              <w:t>0.04%</w:t>
            </w:r>
          </w:p>
        </w:tc>
        <w:tc>
          <w:tcPr>
            <w:tcW w:w="1800" w:type="dxa"/>
            <w:vAlign w:val="center"/>
          </w:tcPr>
          <w:p w14:paraId="1E2D5D8C">
            <w:pPr>
              <w:spacing w:line="330" w:lineRule="exact"/>
              <w:jc w:val="center"/>
              <w:rPr>
                <w:rFonts w:hint="eastAsia" w:hAnsi="宋体"/>
                <w:color w:val="auto"/>
              </w:rPr>
            </w:pPr>
            <w:r>
              <w:rPr>
                <w:rFonts w:hint="eastAsia" w:hAnsi="宋体"/>
                <w:color w:val="auto"/>
              </w:rPr>
              <w:t>0.04%</w:t>
            </w:r>
          </w:p>
        </w:tc>
        <w:tc>
          <w:tcPr>
            <w:tcW w:w="1976" w:type="dxa"/>
            <w:vAlign w:val="center"/>
          </w:tcPr>
          <w:p w14:paraId="746544B5">
            <w:pPr>
              <w:spacing w:line="330" w:lineRule="exact"/>
              <w:jc w:val="center"/>
              <w:rPr>
                <w:rFonts w:hint="eastAsia" w:hAnsi="宋体"/>
                <w:color w:val="auto"/>
              </w:rPr>
            </w:pPr>
            <w:r>
              <w:rPr>
                <w:rFonts w:hint="eastAsia" w:hAnsi="宋体"/>
                <w:color w:val="auto"/>
              </w:rPr>
              <w:t>0.04%</w:t>
            </w:r>
          </w:p>
        </w:tc>
      </w:tr>
      <w:tr w14:paraId="63C2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14:paraId="740AFAFC">
            <w:pPr>
              <w:spacing w:line="330" w:lineRule="exact"/>
              <w:jc w:val="center"/>
              <w:rPr>
                <w:rFonts w:hint="eastAsia" w:hAnsi="宋体"/>
                <w:color w:val="auto"/>
              </w:rPr>
            </w:pPr>
            <w:r>
              <w:rPr>
                <w:rFonts w:hint="eastAsia" w:hAnsi="宋体"/>
                <w:color w:val="auto"/>
              </w:rPr>
              <w:t>100000以上</w:t>
            </w:r>
          </w:p>
        </w:tc>
        <w:tc>
          <w:tcPr>
            <w:tcW w:w="1932" w:type="dxa"/>
            <w:vAlign w:val="center"/>
          </w:tcPr>
          <w:p w14:paraId="28AD3475">
            <w:pPr>
              <w:spacing w:line="330" w:lineRule="exact"/>
              <w:jc w:val="center"/>
              <w:rPr>
                <w:rFonts w:hint="eastAsia" w:hAnsi="宋体"/>
                <w:color w:val="auto"/>
              </w:rPr>
            </w:pPr>
            <w:r>
              <w:rPr>
                <w:rFonts w:hint="eastAsia" w:hAnsi="宋体"/>
                <w:color w:val="auto"/>
              </w:rPr>
              <w:t>0.008%</w:t>
            </w:r>
          </w:p>
        </w:tc>
        <w:tc>
          <w:tcPr>
            <w:tcW w:w="1800" w:type="dxa"/>
            <w:vAlign w:val="center"/>
          </w:tcPr>
          <w:p w14:paraId="3E8AD101">
            <w:pPr>
              <w:spacing w:line="330" w:lineRule="exact"/>
              <w:jc w:val="center"/>
              <w:rPr>
                <w:rFonts w:hint="eastAsia" w:hAnsi="宋体"/>
                <w:color w:val="auto"/>
              </w:rPr>
            </w:pPr>
            <w:r>
              <w:rPr>
                <w:rFonts w:hint="eastAsia" w:hAnsi="宋体"/>
                <w:color w:val="auto"/>
              </w:rPr>
              <w:t>0.008%</w:t>
            </w:r>
          </w:p>
        </w:tc>
        <w:tc>
          <w:tcPr>
            <w:tcW w:w="1976" w:type="dxa"/>
            <w:vAlign w:val="center"/>
          </w:tcPr>
          <w:p w14:paraId="11E60A43">
            <w:pPr>
              <w:spacing w:line="330" w:lineRule="exact"/>
              <w:jc w:val="center"/>
              <w:rPr>
                <w:rFonts w:hint="eastAsia" w:hAnsi="宋体"/>
                <w:color w:val="auto"/>
              </w:rPr>
            </w:pPr>
            <w:r>
              <w:rPr>
                <w:rFonts w:hint="eastAsia" w:hAnsi="宋体"/>
                <w:color w:val="auto"/>
              </w:rPr>
              <w:t>0.008%</w:t>
            </w:r>
          </w:p>
        </w:tc>
      </w:tr>
    </w:tbl>
    <w:p w14:paraId="613B7EB5">
      <w:pPr>
        <w:pStyle w:val="21"/>
        <w:spacing w:line="400" w:lineRule="exact"/>
        <w:ind w:firstLine="420" w:firstLineChars="200"/>
        <w:rPr>
          <w:rFonts w:hint="eastAsia" w:hAnsi="宋体"/>
          <w:color w:val="auto"/>
        </w:rPr>
      </w:pPr>
      <w:r>
        <w:rPr>
          <w:rFonts w:hint="eastAsia" w:hAnsi="宋体"/>
          <w:color w:val="auto"/>
        </w:rPr>
        <w:t>注：代理服务收费按差额定率累进法计算</w:t>
      </w:r>
    </w:p>
    <w:p w14:paraId="16304A5F">
      <w:pPr>
        <w:pStyle w:val="21"/>
        <w:spacing w:line="400" w:lineRule="exact"/>
        <w:ind w:firstLine="420" w:firstLineChars="200"/>
        <w:rPr>
          <w:rFonts w:hint="eastAsia" w:hAnsi="宋体"/>
          <w:bCs/>
          <w:color w:val="auto"/>
        </w:rPr>
      </w:pPr>
      <w:r>
        <w:rPr>
          <w:rFonts w:hint="eastAsia" w:hAnsi="宋体"/>
          <w:bCs/>
          <w:color w:val="auto"/>
        </w:rPr>
        <w:t>3.缴纳代理服务费银行账户信息：</w:t>
      </w:r>
    </w:p>
    <w:p w14:paraId="19DB7077">
      <w:pPr>
        <w:pStyle w:val="21"/>
        <w:spacing w:line="400" w:lineRule="exact"/>
        <w:ind w:firstLine="420" w:firstLineChars="200"/>
        <w:rPr>
          <w:rFonts w:hint="eastAsia" w:hAnsi="宋体"/>
          <w:bCs/>
          <w:color w:val="auto"/>
        </w:rPr>
      </w:pPr>
      <w:r>
        <w:rPr>
          <w:rFonts w:hint="eastAsia" w:hAnsi="宋体"/>
          <w:bCs/>
          <w:color w:val="auto"/>
        </w:rPr>
        <w:t>开户名称:钦州市政府采购中心</w:t>
      </w:r>
    </w:p>
    <w:p w14:paraId="6C1950AC">
      <w:pPr>
        <w:pStyle w:val="21"/>
        <w:spacing w:line="400" w:lineRule="exact"/>
        <w:ind w:firstLine="420" w:firstLineChars="200"/>
        <w:rPr>
          <w:rFonts w:hint="eastAsia" w:hAnsi="宋体"/>
          <w:bCs/>
          <w:color w:val="auto"/>
        </w:rPr>
      </w:pPr>
      <w:r>
        <w:rPr>
          <w:rFonts w:hint="eastAsia" w:hAnsi="宋体"/>
          <w:bCs/>
          <w:color w:val="auto"/>
        </w:rPr>
        <w:t>开户银行:兴业银行钦州支行</w:t>
      </w:r>
    </w:p>
    <w:p w14:paraId="56A27D8A">
      <w:pPr>
        <w:pStyle w:val="21"/>
        <w:spacing w:line="400" w:lineRule="exact"/>
        <w:ind w:firstLine="420" w:firstLineChars="200"/>
        <w:rPr>
          <w:rFonts w:hint="eastAsia" w:hAnsi="宋体"/>
          <w:color w:val="auto"/>
        </w:rPr>
      </w:pPr>
      <w:r>
        <w:rPr>
          <w:rFonts w:hint="eastAsia" w:hAnsi="宋体"/>
          <w:bCs/>
          <w:color w:val="auto"/>
        </w:rPr>
        <w:t>银行账号:554010100100129709</w:t>
      </w:r>
    </w:p>
    <w:p w14:paraId="04B8949F">
      <w:pPr>
        <w:pStyle w:val="21"/>
        <w:spacing w:line="400" w:lineRule="exact"/>
        <w:ind w:firstLine="210" w:firstLineChars="100"/>
        <w:rPr>
          <w:rFonts w:hint="eastAsia" w:hAnsi="宋体"/>
          <w:color w:val="auto"/>
          <w:spacing w:val="-4"/>
        </w:rPr>
      </w:pPr>
      <w:r>
        <w:rPr>
          <w:rFonts w:hint="eastAsia" w:hAnsi="宋体"/>
          <w:bCs/>
          <w:color w:val="auto"/>
        </w:rPr>
        <w:t>（二）解释权：</w:t>
      </w:r>
      <w:r>
        <w:rPr>
          <w:rFonts w:hint="eastAsia" w:hAnsi="宋体"/>
          <w:color w:val="auto"/>
          <w:spacing w:val="-4"/>
        </w:rPr>
        <w:t>本采购文件解释权属本中心。</w:t>
      </w:r>
    </w:p>
    <w:p w14:paraId="21A4D2F6">
      <w:pPr>
        <w:pStyle w:val="21"/>
        <w:spacing w:line="400" w:lineRule="exact"/>
        <w:ind w:firstLine="210" w:firstLineChars="100"/>
        <w:rPr>
          <w:rFonts w:hint="eastAsia" w:hAnsi="宋体"/>
          <w:color w:val="auto"/>
          <w:spacing w:val="-4"/>
        </w:rPr>
      </w:pPr>
      <w:r>
        <w:rPr>
          <w:rFonts w:hint="eastAsia" w:hAnsi="宋体"/>
          <w:bCs/>
          <w:color w:val="auto"/>
        </w:rPr>
        <w:t>（三）有关事宜</w:t>
      </w:r>
    </w:p>
    <w:p w14:paraId="2A8674DE">
      <w:pPr>
        <w:spacing w:line="400" w:lineRule="exact"/>
        <w:ind w:firstLine="420" w:firstLineChars="200"/>
        <w:rPr>
          <w:color w:val="auto"/>
        </w:rPr>
      </w:pPr>
      <w:r>
        <w:rPr>
          <w:rFonts w:hint="eastAsia"/>
          <w:color w:val="auto"/>
        </w:rPr>
        <w:t>所有与采购文件有关的函件请按下列通讯地址联系：</w:t>
      </w:r>
    </w:p>
    <w:p w14:paraId="2F7652EF">
      <w:pPr>
        <w:widowControl/>
        <w:spacing w:line="400" w:lineRule="exact"/>
        <w:ind w:firstLine="420" w:firstLineChars="200"/>
        <w:jc w:val="left"/>
        <w:rPr>
          <w:color w:val="auto"/>
        </w:rPr>
      </w:pPr>
      <w:r>
        <w:rPr>
          <w:rFonts w:hint="eastAsia"/>
          <w:color w:val="auto"/>
        </w:rPr>
        <w:t>钦州市政府采购中心</w:t>
      </w:r>
    </w:p>
    <w:p w14:paraId="417794B1">
      <w:pPr>
        <w:widowControl/>
        <w:spacing w:line="400" w:lineRule="exact"/>
        <w:ind w:firstLine="420" w:firstLineChars="200"/>
        <w:jc w:val="left"/>
        <w:rPr>
          <w:color w:val="auto"/>
        </w:rPr>
      </w:pPr>
      <w:r>
        <w:rPr>
          <w:rFonts w:hint="eastAsia"/>
          <w:color w:val="auto"/>
        </w:rPr>
        <w:t>通讯地址：钦州市金海湾东大街8号</w:t>
      </w:r>
    </w:p>
    <w:p w14:paraId="1789427C">
      <w:pPr>
        <w:widowControl/>
        <w:spacing w:line="400" w:lineRule="exact"/>
        <w:ind w:firstLine="420" w:firstLineChars="200"/>
        <w:jc w:val="left"/>
        <w:rPr>
          <w:color w:val="auto"/>
        </w:rPr>
      </w:pPr>
      <w:r>
        <w:rPr>
          <w:rFonts w:hint="eastAsia"/>
          <w:color w:val="auto"/>
        </w:rPr>
        <w:t>邮政编码：535000</w:t>
      </w:r>
    </w:p>
    <w:p w14:paraId="0C897E9E">
      <w:pPr>
        <w:widowControl/>
        <w:spacing w:line="400" w:lineRule="exact"/>
        <w:ind w:firstLine="420" w:firstLineChars="200"/>
        <w:jc w:val="left"/>
        <w:rPr>
          <w:color w:val="auto"/>
        </w:rPr>
      </w:pPr>
      <w:r>
        <w:rPr>
          <w:rFonts w:hint="eastAsia"/>
          <w:color w:val="auto"/>
        </w:rPr>
        <w:t>钦州市政府采购中心联系方式：</w:t>
      </w:r>
    </w:p>
    <w:p w14:paraId="7E60ABE6">
      <w:pPr>
        <w:widowControl/>
        <w:spacing w:line="400" w:lineRule="exact"/>
        <w:ind w:firstLine="420" w:firstLineChars="200"/>
        <w:jc w:val="left"/>
        <w:rPr>
          <w:color w:val="auto"/>
        </w:rPr>
      </w:pPr>
      <w:r>
        <w:rPr>
          <w:rFonts w:hint="eastAsia"/>
          <w:color w:val="auto"/>
        </w:rPr>
        <w:t>(1)采购部(采购文件)</w:t>
      </w:r>
    </w:p>
    <w:p w14:paraId="59273D48">
      <w:pPr>
        <w:widowControl/>
        <w:spacing w:line="400" w:lineRule="exact"/>
        <w:ind w:firstLine="420" w:firstLineChars="200"/>
        <w:jc w:val="left"/>
        <w:rPr>
          <w:color w:val="auto"/>
        </w:rPr>
      </w:pPr>
      <w:r>
        <w:rPr>
          <w:rFonts w:hint="eastAsia"/>
          <w:color w:val="auto"/>
        </w:rPr>
        <w:t xml:space="preserve">联系人：苏晓婷 </w:t>
      </w:r>
      <w:r>
        <w:rPr>
          <w:color w:val="auto"/>
        </w:rPr>
        <w:t xml:space="preserve"> </w:t>
      </w:r>
      <w:r>
        <w:rPr>
          <w:rFonts w:hint="eastAsia"/>
          <w:color w:val="auto"/>
        </w:rPr>
        <w:t xml:space="preserve"> 联系方式：0777-2886022</w:t>
      </w:r>
    </w:p>
    <w:p w14:paraId="573CA771">
      <w:pPr>
        <w:widowControl/>
        <w:spacing w:line="400" w:lineRule="exact"/>
        <w:ind w:firstLine="420" w:firstLineChars="200"/>
        <w:jc w:val="left"/>
        <w:rPr>
          <w:color w:val="auto"/>
        </w:rPr>
      </w:pPr>
      <w:r>
        <w:rPr>
          <w:rFonts w:hint="eastAsia"/>
          <w:color w:val="auto"/>
        </w:rPr>
        <w:t>(2)综合二部(评审、谈判、成交及合同管理)</w:t>
      </w:r>
    </w:p>
    <w:p w14:paraId="2DB0C386">
      <w:pPr>
        <w:widowControl/>
        <w:spacing w:line="400" w:lineRule="exact"/>
        <w:ind w:firstLine="420" w:firstLineChars="200"/>
        <w:jc w:val="left"/>
        <w:rPr>
          <w:color w:val="auto"/>
        </w:rPr>
      </w:pPr>
      <w:r>
        <w:rPr>
          <w:rFonts w:hint="eastAsia"/>
          <w:color w:val="auto"/>
        </w:rPr>
        <w:t>联系人：陈侃</w:t>
      </w:r>
      <w:r>
        <w:rPr>
          <w:rFonts w:hint="eastAsia"/>
          <w:color w:val="auto"/>
          <w:lang w:eastAsia="zh-CN"/>
        </w:rPr>
        <w:t>、</w:t>
      </w:r>
      <w:r>
        <w:rPr>
          <w:rFonts w:hint="eastAsia"/>
          <w:color w:val="auto"/>
        </w:rPr>
        <w:t xml:space="preserve">陈启梅 </w:t>
      </w:r>
      <w:r>
        <w:rPr>
          <w:color w:val="auto"/>
        </w:rPr>
        <w:t xml:space="preserve">  </w:t>
      </w:r>
      <w:r>
        <w:rPr>
          <w:rFonts w:hint="eastAsia"/>
          <w:color w:val="auto"/>
        </w:rPr>
        <w:t>联系方式：0777-2886006</w:t>
      </w:r>
    </w:p>
    <w:p w14:paraId="01BC7412">
      <w:pPr>
        <w:widowControl/>
        <w:spacing w:line="400" w:lineRule="exact"/>
        <w:ind w:firstLine="420" w:firstLineChars="200"/>
        <w:jc w:val="left"/>
        <w:rPr>
          <w:color w:val="auto"/>
        </w:rPr>
      </w:pPr>
      <w:r>
        <w:rPr>
          <w:color w:val="auto"/>
        </w:rPr>
        <w:t>(</w:t>
      </w:r>
      <w:r>
        <w:rPr>
          <w:rFonts w:hint="eastAsia"/>
          <w:color w:val="auto"/>
          <w:lang w:val="en-US" w:eastAsia="zh-CN"/>
        </w:rPr>
        <w:t>3</w:t>
      </w:r>
      <w:r>
        <w:rPr>
          <w:color w:val="auto"/>
        </w:rPr>
        <w:t>)</w:t>
      </w:r>
      <w:r>
        <w:rPr>
          <w:rFonts w:hint="eastAsia"/>
          <w:color w:val="auto"/>
        </w:rPr>
        <w:t>广西政采云技术支持热线：</w:t>
      </w:r>
      <w:r>
        <w:rPr>
          <w:rFonts w:hAnsi="宋体"/>
          <w:color w:val="auto"/>
        </w:rPr>
        <w:t>95763</w:t>
      </w:r>
    </w:p>
    <w:p w14:paraId="72BCF212">
      <w:pPr>
        <w:widowControl/>
        <w:spacing w:line="400" w:lineRule="exact"/>
        <w:jc w:val="left"/>
        <w:rPr>
          <w:color w:val="auto"/>
        </w:rPr>
      </w:pPr>
    </w:p>
    <w:p w14:paraId="66AAC814">
      <w:pPr>
        <w:rPr>
          <w:color w:val="auto"/>
        </w:rPr>
      </w:pPr>
    </w:p>
    <w:p w14:paraId="058B91C8">
      <w:pPr>
        <w:rPr>
          <w:color w:val="auto"/>
        </w:rPr>
      </w:pPr>
    </w:p>
    <w:p w14:paraId="6A81FD76">
      <w:pPr>
        <w:rPr>
          <w:color w:val="auto"/>
        </w:rPr>
      </w:pPr>
    </w:p>
    <w:p w14:paraId="479D34E2">
      <w:pPr>
        <w:rPr>
          <w:color w:val="auto"/>
        </w:rPr>
      </w:pPr>
    </w:p>
    <w:p w14:paraId="1191A4BE">
      <w:pPr>
        <w:rPr>
          <w:color w:val="auto"/>
        </w:rPr>
      </w:pPr>
    </w:p>
    <w:p w14:paraId="750F2207">
      <w:pPr>
        <w:rPr>
          <w:color w:val="auto"/>
        </w:rPr>
      </w:pPr>
    </w:p>
    <w:p w14:paraId="26DA5A37">
      <w:pPr>
        <w:rPr>
          <w:color w:val="auto"/>
        </w:rPr>
      </w:pPr>
    </w:p>
    <w:p w14:paraId="1AF584FB">
      <w:pPr>
        <w:rPr>
          <w:color w:val="auto"/>
        </w:rPr>
      </w:pPr>
    </w:p>
    <w:p w14:paraId="58114421">
      <w:pPr>
        <w:rPr>
          <w:color w:val="auto"/>
        </w:rPr>
      </w:pPr>
    </w:p>
    <w:p w14:paraId="78292B0B">
      <w:pPr>
        <w:rPr>
          <w:color w:val="auto"/>
        </w:rPr>
      </w:pPr>
    </w:p>
    <w:p w14:paraId="2D6D9242">
      <w:pPr>
        <w:rPr>
          <w:color w:val="auto"/>
        </w:rPr>
      </w:pPr>
    </w:p>
    <w:p w14:paraId="01E302A2">
      <w:pPr>
        <w:rPr>
          <w:color w:val="auto"/>
        </w:rPr>
      </w:pPr>
    </w:p>
    <w:p w14:paraId="59A60850">
      <w:pPr>
        <w:pStyle w:val="5"/>
        <w:rPr>
          <w:color w:val="auto"/>
        </w:rPr>
      </w:pPr>
    </w:p>
    <w:p w14:paraId="68DEB91A">
      <w:pPr>
        <w:rPr>
          <w:color w:val="auto"/>
        </w:rPr>
      </w:pPr>
    </w:p>
    <w:p w14:paraId="35C30A15">
      <w:pPr>
        <w:pStyle w:val="5"/>
        <w:rPr>
          <w:color w:val="auto"/>
        </w:rPr>
      </w:pPr>
    </w:p>
    <w:p w14:paraId="126EB027">
      <w:pPr>
        <w:rPr>
          <w:color w:val="auto"/>
        </w:rPr>
      </w:pPr>
    </w:p>
    <w:p w14:paraId="5F161830">
      <w:pPr>
        <w:rPr>
          <w:color w:val="auto"/>
        </w:rPr>
      </w:pPr>
    </w:p>
    <w:p w14:paraId="6D28864C">
      <w:pPr>
        <w:pStyle w:val="2"/>
        <w:spacing w:line="400" w:lineRule="exact"/>
        <w:rPr>
          <w:rFonts w:hint="eastAsia" w:ascii="方正小标宋_GBK" w:hAnsi="宋体" w:eastAsia="方正小标宋_GBK"/>
          <w:color w:val="auto"/>
        </w:rPr>
      </w:pPr>
      <w:bookmarkStart w:id="109" w:name="_第四章__评定标准及推荐原则"/>
      <w:bookmarkEnd w:id="109"/>
      <w:bookmarkStart w:id="110" w:name="_Toc92355026"/>
      <w:r>
        <w:rPr>
          <w:rFonts w:hint="eastAsia" w:ascii="方正小标宋_GBK" w:hAnsi="宋体" w:eastAsia="方正小标宋_GBK"/>
          <w:color w:val="auto"/>
        </w:rPr>
        <w:t>第四章  评定标准及推荐原则</w:t>
      </w:r>
      <w:bookmarkEnd w:id="110"/>
    </w:p>
    <w:p w14:paraId="1B0C27FC">
      <w:pPr>
        <w:pStyle w:val="21"/>
        <w:spacing w:line="280" w:lineRule="exact"/>
        <w:jc w:val="center"/>
        <w:rPr>
          <w:color w:val="auto"/>
        </w:rPr>
      </w:pPr>
      <w:r>
        <w:rPr>
          <w:rFonts w:hAnsi="宋体"/>
          <w:b/>
          <w:bCs/>
          <w:color w:val="auto"/>
        </w:rPr>
        <w:br w:type="page"/>
      </w:r>
    </w:p>
    <w:p w14:paraId="71D75386">
      <w:pPr>
        <w:pStyle w:val="21"/>
        <w:spacing w:line="500" w:lineRule="exact"/>
        <w:jc w:val="center"/>
        <w:rPr>
          <w:rFonts w:hAnsi="宋体"/>
          <w:b/>
          <w:bCs/>
          <w:sz w:val="44"/>
          <w:szCs w:val="44"/>
        </w:rPr>
      </w:pPr>
      <w:bookmarkStart w:id="111" w:name="_Hlk92463826"/>
      <w:r>
        <w:rPr>
          <w:rFonts w:hint="eastAsia" w:hAnsi="宋体"/>
          <w:b/>
          <w:bCs/>
          <w:sz w:val="44"/>
          <w:szCs w:val="44"/>
        </w:rPr>
        <w:t>评定标准及推荐原则</w:t>
      </w:r>
    </w:p>
    <w:bookmarkEnd w:id="111"/>
    <w:p w14:paraId="3ED394EF"/>
    <w:p w14:paraId="0CA18318">
      <w:pPr>
        <w:pStyle w:val="21"/>
        <w:keepNext w:val="0"/>
        <w:keepLines w:val="0"/>
        <w:pageBreakBefore w:val="0"/>
        <w:widowControl w:val="0"/>
        <w:kinsoku/>
        <w:wordWrap/>
        <w:overflowPunct/>
        <w:topLinePunct w:val="0"/>
        <w:autoSpaceDE/>
        <w:autoSpaceDN/>
        <w:bidi w:val="0"/>
        <w:adjustRightInd/>
        <w:snapToGrid/>
        <w:spacing w:line="520" w:lineRule="exact"/>
        <w:textAlignment w:val="auto"/>
        <w:rPr>
          <w:rFonts w:hAnsi="宋体"/>
          <w:b/>
          <w:bCs/>
        </w:rPr>
      </w:pPr>
      <w:r>
        <w:rPr>
          <w:rFonts w:hint="eastAsia" w:hAnsi="宋体"/>
          <w:b/>
          <w:bCs/>
        </w:rPr>
        <w:t>一、评审原则</w:t>
      </w:r>
    </w:p>
    <w:p w14:paraId="43AFA060">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Ansi="宋体"/>
          <w:bCs/>
        </w:rPr>
      </w:pPr>
      <w:r>
        <w:rPr>
          <w:rFonts w:hint="eastAsia" w:hAnsi="宋体"/>
          <w:bCs/>
        </w:rPr>
        <w:t>(一)谈判小组组成：</w:t>
      </w:r>
      <w:bookmarkStart w:id="112" w:name="_Hlk89353643"/>
      <w:r>
        <w:rPr>
          <w:rFonts w:hint="eastAsia" w:hAnsi="宋体"/>
          <w:bCs/>
        </w:rPr>
        <w:t>谈判小组由采购人代表和评审专家共3人以上单数组成，其中评审专家人数不得少于谈判小组成员总数的2/3。</w:t>
      </w:r>
      <w:bookmarkEnd w:id="112"/>
    </w:p>
    <w:p w14:paraId="793E64EB">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Ansi="宋体"/>
          <w:b/>
          <w:bCs/>
        </w:rPr>
      </w:pPr>
      <w:r>
        <w:rPr>
          <w:rFonts w:hint="eastAsia" w:hAnsi="宋体"/>
          <w:bCs/>
        </w:rPr>
        <w:t>(二)评审依据：以竞争性谈判采购文件和响应文件为评定依据。</w:t>
      </w:r>
    </w:p>
    <w:p w14:paraId="6F9AAD93">
      <w:pPr>
        <w:pStyle w:val="21"/>
        <w:keepNext w:val="0"/>
        <w:keepLines w:val="0"/>
        <w:pageBreakBefore w:val="0"/>
        <w:widowControl w:val="0"/>
        <w:kinsoku/>
        <w:wordWrap/>
        <w:overflowPunct/>
        <w:topLinePunct w:val="0"/>
        <w:autoSpaceDE/>
        <w:autoSpaceDN/>
        <w:bidi w:val="0"/>
        <w:adjustRightInd/>
        <w:snapToGrid/>
        <w:spacing w:line="520" w:lineRule="exact"/>
        <w:textAlignment w:val="auto"/>
        <w:rPr>
          <w:rFonts w:hAnsi="宋体"/>
          <w:b/>
          <w:bCs/>
        </w:rPr>
      </w:pPr>
      <w:r>
        <w:rPr>
          <w:rFonts w:hint="eastAsia" w:hAnsi="宋体"/>
          <w:b/>
          <w:bCs/>
        </w:rPr>
        <w:t>二、评定标准</w:t>
      </w:r>
    </w:p>
    <w:p w14:paraId="5023B9DA">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（一）成交候选人的推荐原则：</w:t>
      </w:r>
    </w:p>
    <w:p w14:paraId="16EA7432">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谈判小组从质量和服务均能满足采购文件实质性响应要求的供应商中，按照最后报价由低到高的顺序提出3名以上成交候选人（最后报价相同的，由谈判小组集体讨论确定排序）。</w:t>
      </w:r>
    </w:p>
    <w:p w14:paraId="3E5625C6">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（二）落实政府采购政策：</w:t>
      </w:r>
    </w:p>
    <w:p w14:paraId="79D06392">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1.供应商提供的全部货物或服务符合《政府采购促进中小企业发展管理办法》（财库﹝2020﹞46 号）规定，并在响应文件中提供《中小企业声明函》（格式见第六章，供应商须对声明内容的真实性负责）。评审中将对小微型企业报价给予20%的扣除，用扣除后的价格参加评审。</w:t>
      </w:r>
    </w:p>
    <w:p w14:paraId="74305C82">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t>2.</w:t>
      </w:r>
      <w:r>
        <w:rPr>
          <w:rFonts w:hint="eastAsia"/>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04D422C">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t>3</w:t>
      </w:r>
      <w:r>
        <w:rPr>
          <w:rFonts w:hint="eastAsia"/>
        </w:rPr>
        <w:t>.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供应商须对声明内容的真实性负责）。</w:t>
      </w:r>
    </w:p>
    <w:p w14:paraId="72117FF6">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t>4</w:t>
      </w:r>
      <w:r>
        <w:rPr>
          <w:rFonts w:hint="eastAsia"/>
        </w:rPr>
        <w:t>.采购人采购的产品属于节能产品政府采购品目清单内非标注“</w:t>
      </w:r>
      <w:r>
        <w:rPr>
          <w:rFonts w:hint="eastAsia" w:hAnsi="宋体" w:cs="宋体"/>
          <w:bCs/>
        </w:rPr>
        <w:t>★</w:t>
      </w:r>
      <w:r>
        <w:rPr>
          <w:rFonts w:hint="eastAsia"/>
        </w:rPr>
        <w:t>”的产品时，在性能、技术、服务等指标同等条件下，应当依据国家确定的认证机构出具的、处于有效期之内的节能产品、环境标志产品认证证书，对获得证书的产品实施政府优先采购。</w:t>
      </w:r>
    </w:p>
    <w:p w14:paraId="10A0D341">
      <w:pPr>
        <w:rPr>
          <w:color w:val="auto"/>
        </w:rPr>
      </w:pPr>
    </w:p>
    <w:p w14:paraId="68D40787">
      <w:pPr>
        <w:rPr>
          <w:color w:val="auto"/>
        </w:rPr>
      </w:pPr>
    </w:p>
    <w:p w14:paraId="5C91B1F2">
      <w:pPr>
        <w:rPr>
          <w:color w:val="auto"/>
        </w:rPr>
      </w:pPr>
    </w:p>
    <w:p w14:paraId="688C0AE8">
      <w:pPr>
        <w:rPr>
          <w:color w:val="auto"/>
        </w:rPr>
      </w:pPr>
    </w:p>
    <w:p w14:paraId="492D7BFB">
      <w:pPr>
        <w:rPr>
          <w:color w:val="auto"/>
        </w:rPr>
      </w:pPr>
    </w:p>
    <w:p w14:paraId="3D5611A7">
      <w:pPr>
        <w:rPr>
          <w:color w:val="auto"/>
        </w:rPr>
      </w:pPr>
    </w:p>
    <w:p w14:paraId="6EA996E5">
      <w:pPr>
        <w:rPr>
          <w:color w:val="auto"/>
        </w:rPr>
      </w:pPr>
    </w:p>
    <w:p w14:paraId="564F3B15">
      <w:pPr>
        <w:rPr>
          <w:color w:val="auto"/>
        </w:rPr>
      </w:pPr>
    </w:p>
    <w:p w14:paraId="4F26846D">
      <w:pPr>
        <w:rPr>
          <w:color w:val="auto"/>
        </w:rPr>
      </w:pPr>
    </w:p>
    <w:p w14:paraId="283CF83E">
      <w:pPr>
        <w:rPr>
          <w:color w:val="auto"/>
        </w:rPr>
      </w:pPr>
    </w:p>
    <w:p w14:paraId="475DB8F7">
      <w:pPr>
        <w:rPr>
          <w:color w:val="auto"/>
        </w:rPr>
      </w:pPr>
    </w:p>
    <w:p w14:paraId="467F245E">
      <w:pPr>
        <w:rPr>
          <w:color w:val="auto"/>
        </w:rPr>
      </w:pPr>
    </w:p>
    <w:p w14:paraId="0DEB481A">
      <w:pPr>
        <w:pStyle w:val="2"/>
        <w:spacing w:line="400" w:lineRule="exact"/>
        <w:rPr>
          <w:rFonts w:ascii="方正小标宋_GBK" w:eastAsia="方正小标宋_GBK"/>
          <w:color w:val="auto"/>
        </w:rPr>
      </w:pPr>
      <w:bookmarkStart w:id="113" w:name="_Toc92355027"/>
      <w:r>
        <w:rPr>
          <w:rFonts w:hint="eastAsia" w:ascii="方正小标宋_GBK" w:eastAsia="方正小标宋_GBK"/>
          <w:color w:val="auto"/>
        </w:rPr>
        <w:t>第五章  合同文本</w:t>
      </w:r>
      <w:bookmarkEnd w:id="113"/>
    </w:p>
    <w:p w14:paraId="60D8FAE8">
      <w:pPr>
        <w:pStyle w:val="21"/>
        <w:jc w:val="center"/>
        <w:rPr>
          <w:rFonts w:hint="eastAsia" w:ascii="Times New Roman" w:hAnsi="宋体"/>
          <w:b/>
          <w:bCs/>
          <w:color w:val="auto"/>
          <w:sz w:val="28"/>
          <w:szCs w:val="28"/>
        </w:rPr>
      </w:pPr>
      <w:r>
        <w:rPr>
          <w:rFonts w:hint="eastAsia" w:ascii="Times New Roman" w:hAnsi="宋体"/>
          <w:b/>
          <w:bCs/>
          <w:color w:val="auto"/>
          <w:sz w:val="28"/>
          <w:szCs w:val="28"/>
        </w:rPr>
        <w:t>（参考格式）</w:t>
      </w:r>
    </w:p>
    <w:p w14:paraId="22594214">
      <w:pPr>
        <w:pStyle w:val="21"/>
        <w:spacing w:line="500" w:lineRule="exact"/>
        <w:rPr>
          <w:rFonts w:hint="eastAsia" w:hAnsi="宋体" w:cs="宋体"/>
          <w:b/>
          <w:bCs/>
          <w:color w:val="auto"/>
          <w:spacing w:val="-20"/>
          <w:kern w:val="44"/>
          <w:sz w:val="48"/>
          <w:szCs w:val="48"/>
        </w:rPr>
      </w:pPr>
      <w:r>
        <w:rPr>
          <w:color w:val="auto"/>
        </w:rPr>
        <w:br w:type="page"/>
      </w:r>
      <w:bookmarkStart w:id="114" w:name="_Toc3995"/>
    </w:p>
    <w:p w14:paraId="43DF427D">
      <w:pPr>
        <w:pStyle w:val="17"/>
        <w:jc w:val="center"/>
        <w:rPr>
          <w:rFonts w:hint="eastAsia" w:ascii="宋体" w:hAnsi="宋体" w:cs="宋体"/>
          <w:b/>
          <w:bCs/>
          <w:color w:val="auto"/>
          <w:spacing w:val="-20"/>
          <w:kern w:val="44"/>
          <w:sz w:val="48"/>
          <w:szCs w:val="48"/>
        </w:rPr>
      </w:pPr>
    </w:p>
    <w:p w14:paraId="2A2AD50E">
      <w:pPr>
        <w:pStyle w:val="17"/>
        <w:jc w:val="center"/>
        <w:rPr>
          <w:rFonts w:hint="eastAsia" w:ascii="宋体" w:hAnsi="宋体" w:cs="宋体"/>
          <w:b/>
          <w:bCs/>
          <w:color w:val="auto"/>
          <w:spacing w:val="-20"/>
          <w:kern w:val="44"/>
          <w:sz w:val="48"/>
          <w:szCs w:val="48"/>
        </w:rPr>
      </w:pPr>
    </w:p>
    <w:p w14:paraId="690F0D8E">
      <w:pPr>
        <w:pStyle w:val="17"/>
        <w:jc w:val="center"/>
        <w:rPr>
          <w:rFonts w:hint="eastAsia" w:ascii="宋体" w:hAnsi="宋体" w:cs="宋体"/>
          <w:b/>
          <w:bCs/>
          <w:color w:val="auto"/>
          <w:spacing w:val="-20"/>
          <w:kern w:val="44"/>
          <w:sz w:val="48"/>
          <w:szCs w:val="48"/>
        </w:rPr>
      </w:pPr>
    </w:p>
    <w:p w14:paraId="7892C8EB">
      <w:pPr>
        <w:pStyle w:val="17"/>
        <w:spacing w:line="500" w:lineRule="exact"/>
        <w:jc w:val="center"/>
        <w:rPr>
          <w:rFonts w:hint="eastAsia" w:ascii="宋体" w:hAnsi="宋体" w:cs="宋体"/>
          <w:b/>
          <w:bCs/>
          <w:color w:val="auto"/>
          <w:spacing w:val="-20"/>
          <w:kern w:val="44"/>
          <w:sz w:val="48"/>
          <w:szCs w:val="48"/>
        </w:rPr>
      </w:pPr>
    </w:p>
    <w:p w14:paraId="36317E6E">
      <w:pPr>
        <w:pStyle w:val="17"/>
        <w:spacing w:line="500" w:lineRule="exact"/>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193D4D31">
      <w:pPr>
        <w:pStyle w:val="17"/>
        <w:spacing w:line="500" w:lineRule="exact"/>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（试行）</w:t>
      </w:r>
    </w:p>
    <w:p w14:paraId="17AC6220">
      <w:pPr>
        <w:rPr>
          <w:rFonts w:hint="eastAsia" w:ascii="宋体" w:hAnsi="宋体" w:cs="宋体"/>
          <w:b/>
          <w:bCs/>
          <w:color w:val="auto"/>
          <w:spacing w:val="-20"/>
          <w:kern w:val="44"/>
          <w:sz w:val="40"/>
          <w:szCs w:val="40"/>
        </w:rPr>
      </w:pPr>
    </w:p>
    <w:p w14:paraId="277D6EDB">
      <w:pPr>
        <w:rPr>
          <w:rFonts w:hint="eastAsia" w:ascii="宋体" w:hAnsi="宋体" w:cs="宋体"/>
          <w:b/>
          <w:bCs/>
          <w:color w:val="auto"/>
          <w:spacing w:val="-20"/>
          <w:kern w:val="44"/>
          <w:sz w:val="40"/>
          <w:szCs w:val="40"/>
        </w:rPr>
      </w:pPr>
    </w:p>
    <w:p w14:paraId="7DB406F6">
      <w:pPr>
        <w:rPr>
          <w:rFonts w:hint="eastAsia" w:ascii="宋体" w:hAnsi="宋体" w:cs="宋体"/>
          <w:b/>
          <w:bCs/>
          <w:color w:val="auto"/>
          <w:spacing w:val="-20"/>
          <w:kern w:val="44"/>
          <w:sz w:val="40"/>
          <w:szCs w:val="40"/>
        </w:rPr>
      </w:pPr>
    </w:p>
    <w:p w14:paraId="03BCC7FC">
      <w:pPr>
        <w:spacing w:line="360" w:lineRule="auto"/>
        <w:ind w:left="420"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20A625A9">
      <w:pPr>
        <w:spacing w:line="360" w:lineRule="auto"/>
        <w:ind w:left="420"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492C0398">
      <w:pPr>
        <w:spacing w:line="360" w:lineRule="auto"/>
        <w:ind w:left="420"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11DD6F2F">
      <w:pPr>
        <w:spacing w:line="360" w:lineRule="auto"/>
        <w:ind w:left="420"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63852B0F">
      <w:pPr>
        <w:spacing w:line="360" w:lineRule="auto"/>
        <w:ind w:left="420"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48495273">
      <w:pPr>
        <w:rPr>
          <w:color w:val="auto"/>
        </w:rPr>
      </w:pPr>
    </w:p>
    <w:p w14:paraId="4E51BB04">
      <w:pPr>
        <w:rPr>
          <w:rFonts w:eastAsia="黑体"/>
          <w:color w:val="auto"/>
          <w:sz w:val="44"/>
          <w:szCs w:val="44"/>
        </w:rPr>
      </w:pPr>
      <w:r>
        <w:rPr>
          <w:rFonts w:eastAsia="黑体"/>
          <w:color w:val="auto"/>
          <w:sz w:val="44"/>
          <w:szCs w:val="44"/>
        </w:rPr>
        <w:br w:type="page"/>
      </w:r>
    </w:p>
    <w:p w14:paraId="1D38AB92">
      <w:pPr>
        <w:rPr>
          <w:rFonts w:eastAsia="黑体"/>
          <w:color w:val="auto"/>
          <w:sz w:val="44"/>
          <w:szCs w:val="44"/>
        </w:rPr>
      </w:pPr>
    </w:p>
    <w:p w14:paraId="432188A9">
      <w:pPr>
        <w:rPr>
          <w:rFonts w:eastAsia="黑体"/>
          <w:color w:val="auto"/>
          <w:sz w:val="44"/>
          <w:szCs w:val="44"/>
        </w:rPr>
      </w:pPr>
    </w:p>
    <w:p w14:paraId="7EC44EA3">
      <w:pPr>
        <w:jc w:val="center"/>
        <w:rPr>
          <w:rFonts w:eastAsia="黑体"/>
          <w:color w:val="auto"/>
          <w:sz w:val="44"/>
          <w:szCs w:val="44"/>
        </w:rPr>
      </w:pPr>
      <w:r>
        <w:rPr>
          <w:rFonts w:hint="eastAsia" w:eastAsia="黑体"/>
          <w:color w:val="auto"/>
          <w:sz w:val="44"/>
          <w:szCs w:val="44"/>
        </w:rPr>
        <w:t>使 用 说 明</w:t>
      </w:r>
    </w:p>
    <w:p w14:paraId="60FE0E29">
      <w:pPr>
        <w:ind w:firstLine="640" w:firstLineChars="200"/>
        <w:rPr>
          <w:rFonts w:hint="eastAsia" w:ascii="仿宋_GB2312" w:hAnsi="仿宋_GB2312" w:eastAsia="仿宋_GB2312" w:cs="仿宋_GB2312"/>
          <w:color w:val="auto"/>
          <w:sz w:val="32"/>
          <w:szCs w:val="32"/>
        </w:rPr>
      </w:pPr>
    </w:p>
    <w:p w14:paraId="30F22AA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1.本合同标准文本适用于购买现成货物的采购项目，不包括需要供应商定制开发、创新研发的货物采购项目。</w:t>
      </w:r>
    </w:p>
    <w:p w14:paraId="7CF58D98">
      <w:pPr>
        <w:rPr>
          <w:rFonts w:eastAsia="黑体"/>
          <w:color w:val="auto"/>
          <w:sz w:val="44"/>
          <w:szCs w:val="44"/>
        </w:rPr>
      </w:pPr>
      <w:r>
        <w:rPr>
          <w:rFonts w:hint="eastAsia" w:eastAsia="黑体"/>
          <w:color w:val="auto"/>
          <w:sz w:val="44"/>
          <w:szCs w:val="44"/>
        </w:rPr>
        <w:t xml:space="preserve">   </w:t>
      </w:r>
      <w:r>
        <w:rPr>
          <w:rFonts w:hint="eastAsia" w:ascii="仿宋_GB2312" w:hAnsi="仿宋_GB2312" w:eastAsia="仿宋_GB2312" w:cs="仿宋_GB2312"/>
          <w:color w:val="auto"/>
          <w:sz w:val="32"/>
          <w:szCs w:val="32"/>
        </w:rPr>
        <w:t>2.本合同标准文本为政府采购货物买卖合同编制提供参考，可以结合采购项目具体情况，对文本作必要的调整修订后使用。</w:t>
      </w:r>
    </w:p>
    <w:p w14:paraId="74690F1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3.本合同标准文本各条款中，如涉及填写多家供应商、制造商，多种采购标的、分包主要内容等信息的，可根据采购项目具体情况添加信息项。</w:t>
      </w:r>
    </w:p>
    <w:p w14:paraId="6247341C">
      <w:pPr>
        <w:ind w:firstLine="880" w:firstLineChars="200"/>
        <w:rPr>
          <w:rFonts w:eastAsia="黑体"/>
          <w:color w:val="auto"/>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bookmarkEnd w:id="114"/>
    <w:p w14:paraId="52A11F71">
      <w:pPr>
        <w:pStyle w:val="3"/>
        <w:adjustRightInd w:val="0"/>
        <w:snapToGrid w:val="0"/>
        <w:jc w:val="center"/>
        <w:rPr>
          <w:rFonts w:hint="eastAsia" w:ascii="黑体" w:hAnsi="黑体"/>
          <w:color w:val="auto"/>
          <w:sz w:val="28"/>
          <w:szCs w:val="28"/>
        </w:rPr>
      </w:pPr>
      <w:bookmarkStart w:id="115" w:name="_Toc22209"/>
    </w:p>
    <w:p w14:paraId="47571490">
      <w:pPr>
        <w:pStyle w:val="3"/>
        <w:adjustRightInd w:val="0"/>
        <w:snapToGrid w:val="0"/>
        <w:jc w:val="center"/>
        <w:rPr>
          <w:rFonts w:hint="eastAsia" w:ascii="黑体" w:hAnsi="华文中宋"/>
          <w:b w:val="0"/>
          <w:bCs w:val="0"/>
          <w:color w:val="auto"/>
          <w:sz w:val="28"/>
          <w:szCs w:val="28"/>
        </w:rPr>
      </w:pPr>
      <w:r>
        <w:rPr>
          <w:rFonts w:hint="eastAsia" w:ascii="黑体" w:hAnsi="黑体"/>
          <w:b w:val="0"/>
          <w:bCs w:val="0"/>
          <w:color w:val="auto"/>
          <w:sz w:val="28"/>
          <w:szCs w:val="28"/>
        </w:rPr>
        <w:t xml:space="preserve">第一节 </w:t>
      </w:r>
      <w:r>
        <w:rPr>
          <w:rFonts w:hint="eastAsia" w:ascii="黑体" w:hAnsi="华文中宋"/>
          <w:b w:val="0"/>
          <w:bCs w:val="0"/>
          <w:color w:val="auto"/>
          <w:sz w:val="28"/>
          <w:szCs w:val="28"/>
        </w:rPr>
        <w:t>政府采购合同协议书</w:t>
      </w:r>
      <w:bookmarkEnd w:id="115"/>
    </w:p>
    <w:p w14:paraId="12161EF8">
      <w:pPr>
        <w:pStyle w:val="3"/>
        <w:adjustRightInd w:val="0"/>
        <w:snapToGrid w:val="0"/>
        <w:jc w:val="center"/>
        <w:rPr>
          <w:rFonts w:hint="eastAsia" w:ascii="黑体" w:hAnsi="华文中宋"/>
          <w:b w:val="0"/>
          <w:bCs w:val="0"/>
          <w:color w:val="auto"/>
          <w:sz w:val="28"/>
          <w:szCs w:val="28"/>
        </w:rPr>
      </w:pPr>
    </w:p>
    <w:p w14:paraId="0CEBCB86">
      <w:pPr>
        <w:adjustRightInd w:val="0"/>
        <w:snapToGrid w:val="0"/>
        <w:spacing w:line="400" w:lineRule="exact"/>
        <w:rPr>
          <w:rFonts w:hint="eastAsia"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1108CE78">
      <w:pPr>
        <w:adjustRightInd w:val="0"/>
        <w:snapToGrid w:val="0"/>
        <w:spacing w:line="400" w:lineRule="exact"/>
        <w:rPr>
          <w:rFonts w:hint="eastAsia" w:ascii="宋体" w:hAnsi="宋体"/>
          <w:color w:val="auto"/>
          <w:szCs w:val="21"/>
        </w:rPr>
      </w:pPr>
      <w:r>
        <w:rPr>
          <w:rFonts w:hint="eastAsia" w:ascii="宋体" w:hAnsi="宋体"/>
          <w:color w:val="auto"/>
          <w:szCs w:val="21"/>
        </w:rPr>
        <w:t>乙方1（全称）：</w:t>
      </w:r>
      <w:r>
        <w:rPr>
          <w:rFonts w:hint="eastAsia" w:ascii="宋体" w:hAnsi="宋体"/>
          <w:color w:val="auto"/>
          <w:szCs w:val="21"/>
          <w:u w:val="single"/>
        </w:rPr>
        <w:t xml:space="preserve">                       </w:t>
      </w:r>
      <w:r>
        <w:rPr>
          <w:rFonts w:hint="eastAsia" w:ascii="宋体" w:hAnsi="宋体"/>
          <w:color w:val="auto"/>
          <w:szCs w:val="21"/>
        </w:rPr>
        <w:t>（供应商）</w:t>
      </w:r>
    </w:p>
    <w:p w14:paraId="54D8E7DE">
      <w:pPr>
        <w:adjustRightInd w:val="0"/>
        <w:snapToGrid w:val="0"/>
        <w:spacing w:line="400" w:lineRule="exact"/>
        <w:rPr>
          <w:rFonts w:hint="eastAsia"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2CA2AEB3">
      <w:pPr>
        <w:adjustRightInd w:val="0"/>
        <w:snapToGrid w:val="0"/>
        <w:spacing w:line="400" w:lineRule="exact"/>
        <w:rPr>
          <w:rFonts w:hint="eastAsia"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08203FC0">
      <w:pPr>
        <w:spacing w:line="400" w:lineRule="exact"/>
        <w:rPr>
          <w:rFonts w:hint="eastAsia" w:ascii="宋体" w:hAnsi="宋体" w:cs="宋体"/>
          <w:color w:val="auto"/>
          <w:szCs w:val="21"/>
        </w:rPr>
      </w:pPr>
    </w:p>
    <w:p w14:paraId="32BB9A83">
      <w:pPr>
        <w:pStyle w:val="18"/>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2F97849">
      <w:pPr>
        <w:numPr>
          <w:ilvl w:val="0"/>
          <w:numId w:val="4"/>
        </w:numPr>
        <w:adjustRightInd w:val="0"/>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项目信息</w:t>
      </w:r>
    </w:p>
    <w:p w14:paraId="6F963C92">
      <w:pPr>
        <w:pStyle w:val="18"/>
        <w:numPr>
          <w:ilvl w:val="0"/>
          <w:numId w:val="5"/>
        </w:numPr>
        <w:adjustRightInd w:val="0"/>
        <w:snapToGrid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采购项目名称：</w:t>
      </w:r>
      <w:r>
        <w:rPr>
          <w:rFonts w:hint="eastAsia" w:ascii="宋体" w:hAnsi="宋体" w:eastAsia="宋体" w:cs="宋体"/>
          <w:color w:val="auto"/>
          <w:sz w:val="21"/>
          <w:szCs w:val="21"/>
          <w:u w:val="single"/>
        </w:rPr>
        <w:t xml:space="preserve">                                          </w:t>
      </w:r>
    </w:p>
    <w:p w14:paraId="006690A5">
      <w:pPr>
        <w:pStyle w:val="18"/>
        <w:numPr>
          <w:ilvl w:val="255"/>
          <w:numId w:val="0"/>
        </w:numPr>
        <w:tabs>
          <w:tab w:val="left" w:pos="999"/>
        </w:tabs>
        <w:adjustRightInd w:val="0"/>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采购项目编号：</w:t>
      </w:r>
      <w:r>
        <w:rPr>
          <w:rFonts w:hint="eastAsia" w:ascii="宋体" w:hAnsi="宋体" w:eastAsia="宋体" w:cs="宋体"/>
          <w:color w:val="auto"/>
          <w:sz w:val="21"/>
          <w:szCs w:val="21"/>
          <w:u w:val="single"/>
        </w:rPr>
        <w:t xml:space="preserve">                                          </w:t>
      </w:r>
    </w:p>
    <w:p w14:paraId="2AE854F1">
      <w:pPr>
        <w:pStyle w:val="18"/>
        <w:adjustRightInd w:val="0"/>
        <w:snapToGrid w:val="0"/>
        <w:spacing w:line="400" w:lineRule="exact"/>
        <w:ind w:firstLine="420" w:firstLineChars="200"/>
        <w:rPr>
          <w:rFonts w:hint="eastAsia" w:ascii="宋体" w:hAnsi="宋体"/>
          <w:color w:val="auto"/>
          <w:szCs w:val="21"/>
        </w:rPr>
      </w:pPr>
      <w:r>
        <w:rPr>
          <w:rFonts w:hint="eastAsia" w:ascii="宋体" w:hAnsi="宋体" w:eastAsia="宋体" w:cs="宋体"/>
          <w:color w:val="auto"/>
          <w:sz w:val="21"/>
          <w:szCs w:val="21"/>
        </w:rPr>
        <w:t>（2）采购计划编号：</w:t>
      </w:r>
      <w:r>
        <w:rPr>
          <w:rFonts w:hint="eastAsia" w:ascii="宋体" w:hAnsi="宋体" w:eastAsia="宋体" w:cs="宋体"/>
          <w:color w:val="auto"/>
          <w:sz w:val="21"/>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 xml:space="preserve"> </w:t>
      </w:r>
    </w:p>
    <w:p w14:paraId="74C7EB7D">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（3）项目内容：</w:t>
      </w:r>
    </w:p>
    <w:p w14:paraId="0EECDCDD">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 xml:space="preserve">     采购标的及数量（台/套</w:t>
      </w:r>
      <w:r>
        <w:rPr>
          <w:rFonts w:ascii="宋体" w:hAnsi="宋体"/>
          <w:color w:val="auto"/>
          <w:szCs w:val="21"/>
          <w:lang w:val="en"/>
        </w:rPr>
        <w:t>/</w:t>
      </w:r>
      <w:r>
        <w:rPr>
          <w:rFonts w:hint="eastAsia" w:ascii="宋体" w:hAnsi="宋体"/>
          <w:color w:val="auto"/>
          <w:szCs w:val="21"/>
          <w:lang w:val="en"/>
        </w:rPr>
        <w:t>个</w:t>
      </w:r>
      <w:r>
        <w:rPr>
          <w:rFonts w:ascii="宋体" w:hAnsi="宋体"/>
          <w:color w:val="auto"/>
          <w:szCs w:val="21"/>
          <w:lang w:val="en"/>
        </w:rPr>
        <w:t>/</w:t>
      </w:r>
      <w:r>
        <w:rPr>
          <w:rFonts w:hint="eastAsia" w:ascii="宋体" w:hAnsi="宋体"/>
          <w:color w:val="auto"/>
          <w:szCs w:val="21"/>
          <w:lang w:val="en"/>
        </w:rPr>
        <w:t>架</w:t>
      </w:r>
      <w:r>
        <w:rPr>
          <w:rFonts w:ascii="宋体" w:hAnsi="宋体"/>
          <w:color w:val="auto"/>
          <w:szCs w:val="21"/>
          <w:lang w:val="en"/>
        </w:rPr>
        <w:t>/</w:t>
      </w:r>
      <w:r>
        <w:rPr>
          <w:rFonts w:hint="eastAsia" w:ascii="宋体" w:hAnsi="宋体"/>
          <w:color w:val="auto"/>
          <w:szCs w:val="21"/>
          <w:lang w:val="en"/>
        </w:rPr>
        <w:t>组等</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p>
    <w:p w14:paraId="622CEF8C">
      <w:pPr>
        <w:numPr>
          <w:ilvl w:val="255"/>
          <w:numId w:val="0"/>
        </w:numPr>
        <w:adjustRightInd w:val="0"/>
        <w:snapToGrid w:val="0"/>
        <w:spacing w:line="400" w:lineRule="exact"/>
        <w:ind w:firstLine="420" w:firstLineChars="200"/>
        <w:rPr>
          <w:rFonts w:hint="eastAsia" w:ascii="宋体" w:hAnsi="宋体" w:cs="宋体"/>
          <w:color w:val="auto"/>
          <w:szCs w:val="21"/>
          <w:lang w:val="en"/>
        </w:rPr>
      </w:pPr>
      <w:r>
        <w:rPr>
          <w:rFonts w:hint="eastAsia" w:ascii="宋体" w:hAnsi="宋体"/>
          <w:color w:val="auto"/>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lang w:val="en"/>
        </w:rPr>
        <w:t xml:space="preserve">     </w:t>
      </w:r>
      <w:r>
        <w:rPr>
          <w:rFonts w:hint="eastAsia" w:ascii="宋体" w:hAnsi="宋体" w:cs="宋体"/>
          <w:color w:val="auto"/>
          <w:szCs w:val="21"/>
        </w:rPr>
        <w:t>规格型号：</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p>
    <w:p w14:paraId="6B157DD2">
      <w:pPr>
        <w:adjustRightInd w:val="0"/>
        <w:snapToGrid w:val="0"/>
        <w:spacing w:line="400" w:lineRule="exact"/>
        <w:ind w:firstLine="945" w:firstLineChars="450"/>
        <w:rPr>
          <w:rFonts w:hint="eastAsia" w:ascii="宋体" w:hAnsi="宋体"/>
          <w:color w:val="auto"/>
          <w:szCs w:val="21"/>
          <w:u w:val="single"/>
        </w:rPr>
      </w:pPr>
      <w:r>
        <w:rPr>
          <w:rFonts w:hint="eastAsia" w:ascii="宋体" w:hAnsi="宋体"/>
          <w:color w:val="auto"/>
          <w:szCs w:val="21"/>
        </w:rPr>
        <w:t>采购标的的技术要求、商务要求具体见附件。</w:t>
      </w:r>
    </w:p>
    <w:p w14:paraId="7535B43B">
      <w:pPr>
        <w:numPr>
          <w:ilvl w:val="255"/>
          <w:numId w:val="0"/>
        </w:numPr>
        <w:adjustRightInd w:val="0"/>
        <w:snapToGrid w:val="0"/>
        <w:spacing w:line="400" w:lineRule="exact"/>
        <w:ind w:firstLine="945" w:firstLineChars="450"/>
        <w:rPr>
          <w:rFonts w:hint="eastAsia"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5F5B85F1">
      <w:pPr>
        <w:numPr>
          <w:ilvl w:val="255"/>
          <w:numId w:val="0"/>
        </w:numPr>
        <w:adjustRightInd w:val="0"/>
        <w:snapToGrid w:val="0"/>
        <w:spacing w:line="400" w:lineRule="exact"/>
        <w:ind w:firstLine="420" w:firstLineChars="200"/>
        <w:rPr>
          <w:rFonts w:hint="eastAsia" w:ascii="宋体" w:hAnsi="宋体" w:cs="宋体"/>
          <w:color w:val="auto"/>
          <w:kern w:val="0"/>
          <w:szCs w:val="21"/>
          <w:u w:val="single"/>
        </w:rPr>
      </w:pPr>
      <w:r>
        <w:rPr>
          <w:rFonts w:hint="eastAsia" w:ascii="宋体" w:hAnsi="宋体" w:cs="宋体"/>
          <w:color w:val="auto"/>
          <w:szCs w:val="21"/>
        </w:rPr>
        <w:t xml:space="preserve">     标的名称：</w:t>
      </w:r>
      <w:r>
        <w:rPr>
          <w:rFonts w:hint="eastAsia" w:ascii="宋体" w:hAnsi="宋体" w:cs="宋体"/>
          <w:color w:val="auto"/>
          <w:kern w:val="0"/>
          <w:szCs w:val="21"/>
          <w:u w:val="single"/>
        </w:rPr>
        <w:t xml:space="preserve">      </w:t>
      </w:r>
      <w:r>
        <w:rPr>
          <w:rFonts w:ascii="宋体" w:hAnsi="宋体" w:cs="宋体"/>
          <w:color w:val="auto"/>
          <w:kern w:val="0"/>
          <w:szCs w:val="21"/>
          <w:u w:val="single"/>
          <w:lang w:val="en"/>
        </w:rPr>
        <w:t xml:space="preserve">               </w:t>
      </w:r>
      <w:r>
        <w:rPr>
          <w:rFonts w:hint="eastAsia" w:ascii="宋体" w:hAnsi="宋体" w:cs="宋体"/>
          <w:color w:val="auto"/>
          <w:kern w:val="0"/>
          <w:szCs w:val="21"/>
          <w:u w:val="single"/>
        </w:rPr>
        <w:t xml:space="preserve">    </w:t>
      </w:r>
    </w:p>
    <w:p w14:paraId="1AB6763B">
      <w:pPr>
        <w:numPr>
          <w:ilvl w:val="255"/>
          <w:numId w:val="0"/>
        </w:num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 xml:space="preserve">     关键部件：</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hint="eastAsia" w:ascii="宋体" w:hAnsi="宋体" w:cs="宋体"/>
          <w:color w:val="auto"/>
          <w:szCs w:val="21"/>
        </w:rPr>
        <w:t xml:space="preserve"> 型号：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36732E66">
      <w:pPr>
        <w:pStyle w:val="141"/>
        <w:ind w:firstLine="420"/>
        <w:rPr>
          <w:rFonts w:hint="eastAsia" w:ascii="宋体" w:hAnsi="宋体" w:eastAsia="宋体" w:cs="宋体"/>
          <w:color w:val="auto"/>
          <w:sz w:val="21"/>
        </w:rPr>
      </w:pPr>
      <w:r>
        <w:rPr>
          <w:rFonts w:hint="eastAsia" w:ascii="宋体" w:hAnsi="宋体" w:eastAsia="宋体" w:cs="宋体"/>
          <w:color w:val="auto"/>
          <w:sz w:val="21"/>
        </w:rPr>
        <w:t xml:space="preserve">     </w:t>
      </w:r>
      <w:r>
        <w:rPr>
          <w:rFonts w:hint="eastAsia" w:ascii="宋体" w:hAnsi="宋体" w:eastAsia="宋体" w:cs="宋体"/>
          <w:color w:val="auto"/>
          <w:kern w:val="2"/>
          <w:sz w:val="21"/>
        </w:rPr>
        <w:t>关键部件</w:t>
      </w:r>
      <w:r>
        <w:rPr>
          <w:rFonts w:hint="eastAsia" w:ascii="宋体" w:hAnsi="宋体" w:eastAsia="宋体" w:cs="宋体"/>
          <w:color w:val="auto"/>
          <w:sz w:val="21"/>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w:t>
      </w:r>
    </w:p>
    <w:p w14:paraId="536E07A2">
      <w:pPr>
        <w:pStyle w:val="141"/>
        <w:ind w:firstLine="420"/>
        <w:rPr>
          <w:rFonts w:hint="eastAsia" w:ascii="宋体" w:hAnsi="宋体" w:eastAsia="宋体" w:cs="宋体"/>
          <w:color w:val="auto"/>
          <w:sz w:val="21"/>
        </w:rPr>
      </w:pPr>
      <w:r>
        <w:rPr>
          <w:rFonts w:hint="eastAsia" w:ascii="宋体" w:hAnsi="宋体" w:eastAsia="宋体" w:cs="宋体"/>
          <w:color w:val="auto"/>
          <w:sz w:val="21"/>
        </w:rPr>
        <w:t xml:space="preserve">     关键部件：</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p>
    <w:p w14:paraId="22CCCA89">
      <w:pPr>
        <w:pStyle w:val="141"/>
        <w:numPr>
          <w:ilvl w:val="255"/>
          <w:numId w:val="0"/>
        </w:numPr>
        <w:snapToGrid w:val="0"/>
        <w:rPr>
          <w:rFonts w:hint="eastAsia"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11E59FAD">
      <w:pPr>
        <w:pStyle w:val="141"/>
        <w:numPr>
          <w:ilvl w:val="255"/>
          <w:numId w:val="0"/>
        </w:numPr>
        <w:snapToGrid w:val="0"/>
        <w:rPr>
          <w:rFonts w:hint="eastAsia" w:ascii="宋体" w:hAnsi="宋体" w:eastAsia="宋体" w:cs="宋体"/>
          <w:color w:val="auto"/>
          <w:sz w:val="21"/>
        </w:rPr>
      </w:pPr>
      <w:r>
        <w:rPr>
          <w:rFonts w:hint="eastAsia" w:ascii="宋体" w:hAnsi="宋体" w:eastAsia="宋体" w:cs="宋体"/>
          <w:color w:val="auto"/>
          <w:sz w:val="21"/>
        </w:rPr>
        <w:t xml:space="preserve">         </w:t>
      </w: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421969FE">
      <w:pPr>
        <w:pStyle w:val="141"/>
        <w:numPr>
          <w:ilvl w:val="255"/>
          <w:numId w:val="0"/>
        </w:numPr>
        <w:snapToGrid w:val="0"/>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是，《政府采购品目分类目录》底级品目名称：</w:t>
      </w:r>
      <w:r>
        <w:rPr>
          <w:rFonts w:hint="eastAsia" w:ascii="宋体" w:hAnsi="宋体" w:eastAsia="宋体" w:cs="宋体"/>
          <w:color w:val="auto"/>
          <w:sz w:val="21"/>
          <w:u w:val="single"/>
        </w:rPr>
        <w:t xml:space="preserve">     </w:t>
      </w:r>
      <w:r>
        <w:rPr>
          <w:rFonts w:hint="eastAsia" w:asciiTheme="minorEastAsia" w:hAnsiTheme="minorEastAsia" w:eastAsiaTheme="minorEastAsia" w:cstheme="minorEastAsia"/>
          <w:color w:val="auto"/>
          <w:sz w:val="21"/>
        </w:rPr>
        <w:t xml:space="preserve"> 数量：</w:t>
      </w:r>
      <w:r>
        <w:rPr>
          <w:rFonts w:hint="eastAsia" w:asciiTheme="minorEastAsia" w:hAnsiTheme="minorEastAsia" w:eastAsiaTheme="minorEastAsia" w:cstheme="minorEastAsia"/>
          <w:color w:val="auto"/>
          <w:sz w:val="21"/>
          <w:u w:val="single"/>
        </w:rPr>
        <w:t xml:space="preserve"> </w:t>
      </w:r>
      <w:r>
        <w:rPr>
          <w:rFonts w:hint="eastAsia" w:ascii="宋体" w:hAnsi="宋体" w:eastAsia="宋体" w:cs="宋体"/>
          <w:color w:val="auto"/>
          <w:sz w:val="21"/>
          <w:u w:val="single"/>
        </w:rPr>
        <w:t xml:space="preserve">   </w:t>
      </w:r>
      <w:r>
        <w:rPr>
          <w:rFonts w:hint="eastAsia" w:asciiTheme="minorEastAsia" w:hAnsiTheme="minorEastAsia" w:eastAsiaTheme="minorEastAsia" w:cstheme="minorEastAsia"/>
          <w:color w:val="auto"/>
          <w:sz w:val="21"/>
        </w:rPr>
        <w:t xml:space="preserve"> 金额：</w:t>
      </w:r>
      <w:r>
        <w:rPr>
          <w:rFonts w:hint="eastAsia" w:ascii="宋体" w:hAnsi="宋体" w:eastAsia="宋体" w:cs="宋体"/>
          <w:color w:val="auto"/>
          <w:sz w:val="21"/>
          <w:u w:val="single"/>
        </w:rPr>
        <w:t xml:space="preserve">     </w:t>
      </w:r>
      <w:r>
        <w:rPr>
          <w:rFonts w:hint="eastAsia" w:asciiTheme="minorEastAsia" w:hAnsiTheme="minorEastAsia" w:eastAsiaTheme="minorEastAsia" w:cstheme="minorEastAsia"/>
          <w:color w:val="auto"/>
          <w:sz w:val="21"/>
        </w:rPr>
        <w:t xml:space="preserve"> </w:t>
      </w:r>
    </w:p>
    <w:p w14:paraId="1AAB3694">
      <w:pPr>
        <w:pStyle w:val="141"/>
        <w:numPr>
          <w:ilvl w:val="255"/>
          <w:numId w:val="0"/>
        </w:numPr>
        <w:snapToGrid w:val="0"/>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否</w:t>
      </w:r>
    </w:p>
    <w:p w14:paraId="4425B2A9">
      <w:pPr>
        <w:pStyle w:val="141"/>
        <w:numPr>
          <w:ilvl w:val="255"/>
          <w:numId w:val="0"/>
        </w:numPr>
        <w:snapToGrid w:val="0"/>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    （</w:t>
      </w:r>
      <w:r>
        <w:rPr>
          <w:rFonts w:asciiTheme="minorEastAsia" w:hAnsiTheme="minorEastAsia" w:eastAsiaTheme="minorEastAsia" w:cstheme="minorEastAsia"/>
          <w:color w:val="auto"/>
          <w:sz w:val="21"/>
          <w:lang w:val="en"/>
        </w:rPr>
        <w:t>4</w:t>
      </w:r>
      <w:r>
        <w:rPr>
          <w:rFonts w:hint="eastAsia" w:asciiTheme="minorEastAsia" w:hAnsiTheme="minorEastAsia" w:eastAsiaTheme="minorEastAsia" w:cstheme="minorEastAsia"/>
          <w:color w:val="auto"/>
          <w:sz w:val="21"/>
        </w:rPr>
        <w:t>）政府采购组织形式：</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政府集中采购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部门集中采购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分散采购</w:t>
      </w:r>
    </w:p>
    <w:p w14:paraId="07FA940E">
      <w:pPr>
        <w:pStyle w:val="141"/>
        <w:numPr>
          <w:ilvl w:val="255"/>
          <w:numId w:val="0"/>
        </w:numPr>
        <w:snapToGrid w:val="0"/>
        <w:ind w:firstLine="420"/>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w:t>
      </w:r>
      <w:r>
        <w:rPr>
          <w:rFonts w:asciiTheme="minorEastAsia" w:hAnsiTheme="minorEastAsia" w:eastAsiaTheme="minorEastAsia" w:cstheme="minorEastAsia"/>
          <w:color w:val="auto"/>
          <w:sz w:val="21"/>
          <w:lang w:val="en"/>
        </w:rPr>
        <w:t>5</w:t>
      </w:r>
      <w:r>
        <w:rPr>
          <w:rFonts w:hint="eastAsia" w:asciiTheme="minorEastAsia" w:hAnsiTheme="minorEastAsia" w:eastAsiaTheme="minorEastAsia" w:cstheme="minorEastAsia"/>
          <w:color w:val="auto"/>
          <w:sz w:val="21"/>
        </w:rPr>
        <w:t>）政府采购方式：</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公开招标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邀请招标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竞争性谈判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竞争性磋商</w:t>
      </w:r>
    </w:p>
    <w:p w14:paraId="68D5DA29">
      <w:pPr>
        <w:pStyle w:val="141"/>
        <w:numPr>
          <w:ilvl w:val="255"/>
          <w:numId w:val="0"/>
        </w:numPr>
        <w:snapToGrid w:val="0"/>
        <w:ind w:firstLine="420"/>
        <w:rPr>
          <w:rFonts w:hint="eastAsia" w:ascii="宋体" w:hAnsi="宋体" w:eastAsia="宋体" w:cs="宋体"/>
          <w:color w:val="auto"/>
          <w:sz w:val="21"/>
          <w:u w:val="single"/>
        </w:rPr>
      </w:pPr>
      <w:r>
        <w:rPr>
          <w:rFonts w:hint="eastAsia" w:ascii="宋体" w:hAnsi="宋体" w:cs="宋体"/>
          <w:color w:val="auto"/>
        </w:rPr>
        <w:t xml:space="preserve">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询价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单一来源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框架协议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其他：</w:t>
      </w:r>
      <w:r>
        <w:rPr>
          <w:rFonts w:hint="eastAsia" w:ascii="宋体" w:hAnsi="宋体" w:eastAsia="宋体" w:cs="宋体"/>
          <w:color w:val="auto"/>
          <w:sz w:val="21"/>
          <w:u w:val="single"/>
        </w:rPr>
        <w:t xml:space="preserve">          </w:t>
      </w:r>
    </w:p>
    <w:p w14:paraId="5145CE50">
      <w:pPr>
        <w:pStyle w:val="141"/>
        <w:numPr>
          <w:ilvl w:val="255"/>
          <w:numId w:val="0"/>
        </w:numPr>
        <w:snapToGrid w:val="0"/>
        <w:ind w:firstLine="420"/>
        <w:rPr>
          <w:rFonts w:hint="eastAsia" w:ascii="宋体" w:hAnsi="宋体" w:eastAsia="宋体" w:cs="宋体"/>
          <w:color w:val="auto"/>
          <w:sz w:val="21"/>
        </w:rPr>
      </w:pPr>
      <w:r>
        <w:rPr>
          <w:rFonts w:hint="eastAsia" w:ascii="宋体" w:hAnsi="宋体" w:eastAsia="宋体" w:cs="宋体"/>
          <w:color w:val="auto"/>
          <w:sz w:val="21"/>
        </w:rPr>
        <w:t>（注：在框架协议采购的第二阶段，可选择使用该合同文本）</w:t>
      </w:r>
    </w:p>
    <w:p w14:paraId="5FEDB3EC">
      <w:pPr>
        <w:pStyle w:val="141"/>
        <w:numPr>
          <w:ilvl w:val="255"/>
          <w:numId w:val="0"/>
        </w:numPr>
        <w:snapToGrid w:val="0"/>
        <w:ind w:firstLine="220" w:firstLineChars="100"/>
        <w:rPr>
          <w:rFonts w:hint="eastAsia" w:ascii="宋体" w:hAnsi="宋体" w:eastAsia="宋体" w:cs="Times New Roman"/>
          <w:color w:val="auto"/>
          <w:kern w:val="2"/>
          <w:sz w:val="21"/>
        </w:rPr>
      </w:pPr>
      <w:r>
        <w:rPr>
          <w:rFonts w:hint="eastAsia" w:ascii="宋体" w:hAnsi="宋体"/>
          <w:color w:val="auto"/>
        </w:rPr>
        <w:t xml:space="preserve"> （</w:t>
      </w:r>
      <w:r>
        <w:rPr>
          <w:rFonts w:ascii="宋体" w:hAnsi="宋体"/>
          <w:color w:val="auto"/>
          <w:lang w:val="en"/>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 xml:space="preserve">是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689D81D8">
      <w:pPr>
        <w:numPr>
          <w:ilvl w:val="255"/>
          <w:numId w:val="0"/>
        </w:numPr>
        <w:adjustRightInd w:val="0"/>
        <w:snapToGrid w:val="0"/>
        <w:spacing w:line="400" w:lineRule="exact"/>
        <w:rPr>
          <w:rFonts w:hint="eastAsia"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54361CBB">
      <w:pPr>
        <w:numPr>
          <w:ilvl w:val="255"/>
          <w:numId w:val="0"/>
        </w:numPr>
        <w:adjustRightInd w:val="0"/>
        <w:snapToGrid w:val="0"/>
        <w:spacing w:line="400" w:lineRule="exact"/>
        <w:rPr>
          <w:rFonts w:hint="eastAsia"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12C16277">
      <w:pPr>
        <w:numPr>
          <w:ilvl w:val="255"/>
          <w:numId w:val="0"/>
        </w:numPr>
        <w:adjustRightInd w:val="0"/>
        <w:snapToGrid w:val="0"/>
        <w:spacing w:line="400" w:lineRule="exact"/>
        <w:rPr>
          <w:rFonts w:hint="eastAsia"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7FA228EF">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339DC7B7">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lang w:val="en"/>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17AEC9DF">
      <w:pPr>
        <w:adjustRightInd w:val="0"/>
        <w:snapToGrid w:val="0"/>
        <w:spacing w:line="400" w:lineRule="exact"/>
        <w:ind w:firstLine="840" w:firstLineChars="400"/>
        <w:rPr>
          <w:rFonts w:hint="eastAsia" w:ascii="宋体" w:hAnsi="宋体"/>
          <w:color w:val="auto"/>
          <w:szCs w:val="21"/>
          <w:u w:val="single"/>
        </w:rPr>
      </w:pPr>
      <w:r>
        <w:rPr>
          <w:rFonts w:hint="eastAsia" w:ascii="宋体" w:hAnsi="宋体"/>
          <w:color w:val="auto"/>
          <w:szCs w:val="21"/>
        </w:rPr>
        <w:t xml:space="preserve"> 分包主要内容：</w:t>
      </w:r>
      <w:r>
        <w:rPr>
          <w:rFonts w:hint="eastAsia" w:ascii="宋体" w:hAnsi="宋体"/>
          <w:color w:val="auto"/>
          <w:szCs w:val="21"/>
          <w:u w:val="single"/>
        </w:rPr>
        <w:t xml:space="preserve">                                            </w:t>
      </w:r>
    </w:p>
    <w:p w14:paraId="486F5899">
      <w:pPr>
        <w:adjustRightInd w:val="0"/>
        <w:snapToGrid w:val="0"/>
        <w:spacing w:line="400" w:lineRule="exact"/>
        <w:ind w:firstLine="840" w:firstLineChars="400"/>
        <w:rPr>
          <w:rFonts w:hint="eastAsia" w:ascii="宋体" w:hAnsi="宋体"/>
          <w:color w:val="auto"/>
          <w:szCs w:val="21"/>
        </w:rPr>
      </w:pPr>
      <w:r>
        <w:rPr>
          <w:rFonts w:hint="eastAsia" w:ascii="宋体" w:hAnsi="宋体"/>
          <w:color w:val="auto"/>
          <w:szCs w:val="21"/>
        </w:rPr>
        <w:t xml:space="preserve"> 分包供应商/制造商名称（如供应商和制造商不同，请分别填写）：</w:t>
      </w:r>
    </w:p>
    <w:p w14:paraId="1F29AD48">
      <w:pPr>
        <w:adjustRightInd w:val="0"/>
        <w:snapToGrid w:val="0"/>
        <w:spacing w:line="400" w:lineRule="exact"/>
        <w:ind w:firstLine="840" w:firstLineChars="400"/>
        <w:rPr>
          <w:rFonts w:hint="eastAsia"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u w:val="single"/>
        </w:rPr>
        <w:t xml:space="preserve">                                                          </w:t>
      </w:r>
    </w:p>
    <w:p w14:paraId="43374179">
      <w:pPr>
        <w:adjustRightInd w:val="0"/>
        <w:snapToGrid w:val="0"/>
        <w:spacing w:line="400" w:lineRule="exact"/>
        <w:ind w:firstLine="840" w:firstLineChars="400"/>
        <w:rPr>
          <w:rFonts w:hint="eastAsia"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1A155652">
      <w:pPr>
        <w:adjustRightInd w:val="0"/>
        <w:snapToGrid w:val="0"/>
        <w:spacing w:line="400" w:lineRule="exact"/>
        <w:ind w:firstLine="840" w:firstLineChars="400"/>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 xml:space="preserve">小微型企业  </w:t>
      </w:r>
    </w:p>
    <w:p w14:paraId="47DA8EC1">
      <w:pPr>
        <w:adjustRightInd w:val="0"/>
        <w:snapToGrid w:val="0"/>
        <w:spacing w:line="400" w:lineRule="exact"/>
        <w:ind w:firstLine="840" w:firstLineChars="400"/>
        <w:rPr>
          <w:rFonts w:eastAsia="华文楷体"/>
          <w:color w:val="auto"/>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41103B8B">
      <w:pPr>
        <w:numPr>
          <w:ilvl w:val="255"/>
          <w:numId w:val="0"/>
        </w:numPr>
        <w:adjustRightInd w:val="0"/>
        <w:snapToGrid w:val="0"/>
        <w:spacing w:line="400" w:lineRule="exact"/>
        <w:rPr>
          <w:rFonts w:hint="eastAsia" w:ascii="宋体" w:hAnsi="宋体" w:cs="宋体"/>
          <w:iCs/>
          <w:color w:val="auto"/>
          <w:szCs w:val="21"/>
        </w:rPr>
      </w:pPr>
      <w:r>
        <w:rPr>
          <w:rFonts w:hint="eastAsia" w:ascii="宋体" w:hAnsi="宋体"/>
          <w:color w:val="auto"/>
          <w:szCs w:val="21"/>
        </w:rPr>
        <w:t xml:space="preserve">    </w:t>
      </w:r>
      <w:r>
        <w:rPr>
          <w:rFonts w:hint="eastAsia" w:ascii="宋体" w:hAnsi="宋体" w:cs="宋体"/>
          <w:color w:val="auto"/>
          <w:szCs w:val="21"/>
        </w:rPr>
        <w:t>（</w:t>
      </w:r>
      <w:r>
        <w:rPr>
          <w:rFonts w:ascii="宋体" w:hAnsi="宋体" w:cs="宋体"/>
          <w:color w:val="auto"/>
          <w:szCs w:val="21"/>
          <w:lang w:val="en"/>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18154C1F">
      <w:pPr>
        <w:pStyle w:val="141"/>
        <w:tabs>
          <w:tab w:val="left" w:pos="1340"/>
        </w:tabs>
        <w:ind w:firstLine="420"/>
        <w:rPr>
          <w:rFonts w:hint="eastAsia"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 xml:space="preserve">全部由外国投资者投资  </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06A3F8A7">
      <w:pPr>
        <w:numPr>
          <w:ilvl w:val="255"/>
          <w:numId w:val="0"/>
        </w:num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lang w:val="en"/>
        </w:rPr>
        <w:t>9</w:t>
      </w:r>
      <w:r>
        <w:rPr>
          <w:rFonts w:hint="eastAsia" w:ascii="宋体" w:hAnsi="宋体" w:cs="宋体"/>
          <w:color w:val="auto"/>
          <w:szCs w:val="21"/>
        </w:rPr>
        <w:t>）是否涉及进口产品：</w:t>
      </w:r>
    </w:p>
    <w:p w14:paraId="5888F738">
      <w:pPr>
        <w:numPr>
          <w:ilvl w:val="255"/>
          <w:numId w:val="0"/>
        </w:numPr>
        <w:adjustRightInd w:val="0"/>
        <w:snapToGrid w:val="0"/>
        <w:spacing w:line="400" w:lineRule="exact"/>
        <w:ind w:firstLine="840" w:firstLineChars="400"/>
        <w:rPr>
          <w:rFonts w:hint="eastAsia"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w:t>
      </w:r>
      <w:r>
        <w:rPr>
          <w:rFonts w:hint="eastAsia" w:ascii="宋体" w:hAnsi="宋体" w:cs="宋体"/>
          <w:color w:val="auto"/>
          <w:szCs w:val="21"/>
          <w:u w:val="single"/>
        </w:rPr>
        <w:t xml:space="preserve">         </w:t>
      </w:r>
      <w:r>
        <w:rPr>
          <w:rFonts w:hint="eastAsia" w:ascii="宋体" w:hAnsi="宋体" w:cs="宋体"/>
          <w:color w:val="auto"/>
          <w:szCs w:val="21"/>
        </w:rPr>
        <w:t xml:space="preserve"> 金额：</w:t>
      </w:r>
      <w:r>
        <w:rPr>
          <w:rFonts w:hint="eastAsia" w:ascii="宋体" w:hAnsi="宋体" w:cs="宋体"/>
          <w:color w:val="auto"/>
          <w:szCs w:val="21"/>
          <w:u w:val="single"/>
        </w:rPr>
        <w:t xml:space="preserve">        </w:t>
      </w:r>
    </w:p>
    <w:p w14:paraId="24DE52FD">
      <w:pPr>
        <w:numPr>
          <w:ilvl w:val="255"/>
          <w:numId w:val="0"/>
        </w:numPr>
        <w:adjustRightInd w:val="0"/>
        <w:snapToGrid w:val="0"/>
        <w:spacing w:line="400" w:lineRule="exact"/>
        <w:ind w:firstLine="840" w:firstLineChars="400"/>
        <w:rPr>
          <w:rFonts w:hint="eastAsia" w:ascii="宋体" w:hAnsi="宋体"/>
          <w:color w:val="auto"/>
          <w:szCs w:val="21"/>
        </w:rPr>
      </w:pPr>
      <w:r>
        <w:rPr>
          <w:rFonts w:hint="eastAsia" w:ascii="宋体" w:hAnsi="宋体" w:cs="宋体"/>
          <w:color w:val="auto"/>
          <w:szCs w:val="21"/>
        </w:rPr>
        <w:t xml:space="preserve">        国别：</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rPr>
        <w:t xml:space="preserve"> 规格型号：</w:t>
      </w:r>
      <w:r>
        <w:rPr>
          <w:rFonts w:hint="eastAsia" w:ascii="宋体" w:hAnsi="宋体" w:cs="宋体"/>
          <w:color w:val="auto"/>
          <w:szCs w:val="21"/>
          <w:u w:val="single"/>
        </w:rPr>
        <w:t xml:space="preserve">        </w:t>
      </w:r>
      <w:r>
        <w:rPr>
          <w:rFonts w:hint="eastAsia" w:ascii="宋体" w:hAnsi="宋体"/>
          <w:color w:val="auto"/>
          <w:szCs w:val="21"/>
        </w:rPr>
        <w:t xml:space="preserve">      </w:t>
      </w:r>
    </w:p>
    <w:p w14:paraId="0C469FE6">
      <w:pPr>
        <w:adjustRightInd w:val="0"/>
        <w:snapToGrid w:val="0"/>
        <w:spacing w:line="400" w:lineRule="exact"/>
        <w:ind w:firstLine="840" w:firstLineChars="400"/>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452959A3">
      <w:pPr>
        <w:numPr>
          <w:ilvl w:val="255"/>
          <w:numId w:val="0"/>
        </w:num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（1</w:t>
      </w:r>
      <w:r>
        <w:rPr>
          <w:rFonts w:ascii="宋体" w:hAnsi="宋体"/>
          <w:color w:val="auto"/>
          <w:szCs w:val="21"/>
          <w:lang w:val="en"/>
        </w:rPr>
        <w:t>0</w:t>
      </w:r>
      <w:r>
        <w:rPr>
          <w:rFonts w:hint="eastAsia" w:ascii="宋体" w:hAnsi="宋体"/>
          <w:color w:val="auto"/>
          <w:szCs w:val="21"/>
        </w:rPr>
        <w:t>）是否涉及节能产品：</w:t>
      </w:r>
    </w:p>
    <w:p w14:paraId="3FF186E2">
      <w:pPr>
        <w:numPr>
          <w:ilvl w:val="255"/>
          <w:numId w:val="0"/>
        </w:numPr>
        <w:tabs>
          <w:tab w:val="left" w:pos="740"/>
        </w:tabs>
        <w:adjustRightInd w:val="0"/>
        <w:snapToGrid w:val="0"/>
        <w:spacing w:line="400" w:lineRule="exact"/>
        <w:rPr>
          <w:rFonts w:hint="eastAsia" w:ascii="宋体" w:hAnsi="宋体"/>
          <w:iCs/>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5EEB4BAB">
      <w:pPr>
        <w:numPr>
          <w:ilvl w:val="255"/>
          <w:numId w:val="0"/>
        </w:num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4506F916">
      <w:pPr>
        <w:numPr>
          <w:ilvl w:val="255"/>
          <w:numId w:val="0"/>
        </w:numPr>
        <w:tabs>
          <w:tab w:val="left" w:pos="740"/>
        </w:tabs>
        <w:adjustRightInd w:val="0"/>
        <w:snapToGrid w:val="0"/>
        <w:spacing w:line="400" w:lineRule="exact"/>
        <w:rPr>
          <w:rFonts w:hint="eastAsia"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2CF6D432">
      <w:pPr>
        <w:numPr>
          <w:ilvl w:val="255"/>
          <w:numId w:val="0"/>
        </w:num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是否涉及环境标志产品：</w:t>
      </w:r>
    </w:p>
    <w:p w14:paraId="068F36AB">
      <w:pPr>
        <w:numPr>
          <w:ilvl w:val="255"/>
          <w:numId w:val="0"/>
        </w:num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66962D3E">
      <w:pPr>
        <w:numPr>
          <w:ilvl w:val="255"/>
          <w:numId w:val="0"/>
        </w:num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4DDA9694">
      <w:pPr>
        <w:numPr>
          <w:ilvl w:val="255"/>
          <w:numId w:val="0"/>
        </w:numPr>
        <w:tabs>
          <w:tab w:val="left" w:pos="740"/>
        </w:tabs>
        <w:adjustRightInd w:val="0"/>
        <w:snapToGrid w:val="0"/>
        <w:spacing w:line="400" w:lineRule="exact"/>
        <w:rPr>
          <w:rFonts w:hint="eastAsia"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3010DAC0">
      <w:pPr>
        <w:pStyle w:val="141"/>
        <w:numPr>
          <w:ilvl w:val="255"/>
          <w:numId w:val="0"/>
        </w:numPr>
        <w:snapToGrid w:val="0"/>
        <w:rPr>
          <w:rFonts w:hint="eastAsia" w:ascii="宋体" w:hAnsi="宋体" w:eastAsia="宋体" w:cs="Times New Roman"/>
          <w:color w:val="auto"/>
          <w:kern w:val="2"/>
          <w:sz w:val="21"/>
        </w:rPr>
      </w:pPr>
      <w:r>
        <w:rPr>
          <w:rFonts w:hint="eastAsia" w:ascii="宋体" w:hAnsi="宋体"/>
          <w:color w:val="auto"/>
          <w:sz w:val="21"/>
        </w:rPr>
        <w:t xml:space="preserve">          </w:t>
      </w:r>
      <w:r>
        <w:rPr>
          <w:rFonts w:hint="eastAsia" w:ascii="宋体" w:hAnsi="宋体" w:eastAsia="宋体" w:cs="Times New Roman"/>
          <w:color w:val="auto"/>
          <w:kern w:val="2"/>
          <w:sz w:val="21"/>
        </w:rPr>
        <w:t xml:space="preserve">是否涉及绿色产品： </w:t>
      </w:r>
    </w:p>
    <w:p w14:paraId="15C16AC2">
      <w:pPr>
        <w:pStyle w:val="141"/>
        <w:ind w:firstLine="420" w:firstLineChars="0"/>
        <w:rPr>
          <w:rFonts w:hint="eastAsia" w:ascii="宋体" w:hAnsi="宋体" w:eastAsia="宋体"/>
          <w:color w:val="auto"/>
          <w:u w:val="single"/>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r>
        <w:rPr>
          <w:rFonts w:hint="eastAsia" w:ascii="宋体" w:hAnsi="宋体" w:eastAsia="宋体"/>
          <w:color w:val="auto"/>
          <w:u w:val="single"/>
        </w:rPr>
        <w:t xml:space="preserve">         </w:t>
      </w:r>
    </w:p>
    <w:p w14:paraId="1ADC50A7">
      <w:pPr>
        <w:numPr>
          <w:ilvl w:val="255"/>
          <w:numId w:val="0"/>
        </w:num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65B6C912">
      <w:pPr>
        <w:pStyle w:val="141"/>
        <w:ind w:firstLine="420" w:firstLineChars="0"/>
        <w:rPr>
          <w:rFonts w:hint="eastAsia" w:ascii="宋体" w:hAnsi="宋体"/>
          <w:color w:val="auto"/>
          <w:sz w:val="21"/>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3F922894">
      <w:pPr>
        <w:numPr>
          <w:ilvl w:val="255"/>
          <w:numId w:val="0"/>
        </w:numPr>
        <w:adjustRightInd w:val="0"/>
        <w:snapToGrid w:val="0"/>
        <w:spacing w:line="400" w:lineRule="exact"/>
        <w:rPr>
          <w:rFonts w:hint="eastAsia" w:ascii="宋体" w:hAnsi="宋体"/>
          <w:color w:val="auto"/>
          <w:szCs w:val="21"/>
        </w:rPr>
      </w:pPr>
      <w:r>
        <w:rPr>
          <w:rFonts w:hint="eastAsia" w:ascii="宋体" w:hAnsi="宋体"/>
          <w:color w:val="auto"/>
          <w:szCs w:val="21"/>
        </w:rPr>
        <w:t xml:space="preserve">    （1</w:t>
      </w:r>
      <w:r>
        <w:rPr>
          <w:rFonts w:ascii="宋体" w:hAnsi="宋体"/>
          <w:color w:val="auto"/>
          <w:szCs w:val="21"/>
          <w:lang w:val="en"/>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5ABF2B2A">
      <w:pPr>
        <w:numPr>
          <w:ilvl w:val="255"/>
          <w:numId w:val="0"/>
        </w:numPr>
        <w:adjustRightInd w:val="0"/>
        <w:snapToGrid w:val="0"/>
        <w:spacing w:line="400" w:lineRule="exact"/>
        <w:ind w:firstLine="840" w:firstLineChars="400"/>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 xml:space="preserve">否      </w:t>
      </w:r>
      <w:r>
        <w:rPr>
          <w:rFonts w:hint="eastAsia" w:ascii="宋体" w:hAnsi="宋体"/>
          <w:color w:val="auto"/>
          <w:szCs w:val="21"/>
        </w:rPr>
        <w:sym w:font="Wingdings" w:char="00A8"/>
      </w:r>
      <w:r>
        <w:rPr>
          <w:rFonts w:hint="eastAsia" w:ascii="宋体" w:hAnsi="宋体"/>
          <w:color w:val="auto"/>
          <w:szCs w:val="21"/>
        </w:rPr>
        <w:t>不涉及</w:t>
      </w:r>
    </w:p>
    <w:p w14:paraId="0D001AAF">
      <w:pPr>
        <w:numPr>
          <w:ilvl w:val="0"/>
          <w:numId w:val="4"/>
        </w:numPr>
        <w:adjustRightInd w:val="0"/>
        <w:snapToGrid w:val="0"/>
        <w:spacing w:line="400" w:lineRule="exact"/>
        <w:ind w:firstLine="422" w:firstLineChars="200"/>
        <w:rPr>
          <w:rFonts w:hint="eastAsia" w:ascii="宋体" w:hAnsi="宋体"/>
          <w:b/>
          <w:color w:val="auto"/>
          <w:szCs w:val="21"/>
        </w:rPr>
      </w:pPr>
      <w:r>
        <w:rPr>
          <w:rFonts w:hint="eastAsia" w:ascii="宋体" w:hAnsi="宋体"/>
          <w:b/>
          <w:color w:val="auto"/>
          <w:szCs w:val="21"/>
        </w:rPr>
        <w:t>合同金额</w:t>
      </w:r>
    </w:p>
    <w:p w14:paraId="3D070386">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070E8AD5">
      <w:pPr>
        <w:adjustRightInd w:val="0"/>
        <w:snapToGrid w:val="0"/>
        <w:spacing w:line="400" w:lineRule="exact"/>
        <w:rPr>
          <w:rFonts w:hint="eastAsia"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09E2486F">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分包金额（如有）小写：</w:t>
      </w:r>
      <w:r>
        <w:rPr>
          <w:rFonts w:hint="eastAsia" w:ascii="宋体" w:hAnsi="宋体"/>
          <w:color w:val="auto"/>
          <w:szCs w:val="21"/>
          <w:u w:val="single"/>
        </w:rPr>
        <w:t xml:space="preserve">                   </w:t>
      </w:r>
    </w:p>
    <w:p w14:paraId="52C5DEF7">
      <w:pPr>
        <w:adjustRightInd w:val="0"/>
        <w:snapToGrid w:val="0"/>
        <w:spacing w:line="400" w:lineRule="exact"/>
        <w:rPr>
          <w:rFonts w:hint="eastAsia"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0121301E">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（注：固定单价合同应填写单价和最高限价）</w:t>
      </w:r>
    </w:p>
    <w:p w14:paraId="1276F23E">
      <w:pPr>
        <w:numPr>
          <w:ilvl w:val="255"/>
          <w:numId w:val="0"/>
        </w:numPr>
        <w:adjustRightInd w:val="0"/>
        <w:snapToGrid w:val="0"/>
        <w:spacing w:line="400" w:lineRule="exact"/>
        <w:rPr>
          <w:rFonts w:hint="eastAsia" w:ascii="宋体" w:hAnsi="宋体"/>
          <w:color w:val="auto"/>
          <w:szCs w:val="21"/>
        </w:rPr>
      </w:pPr>
      <w:r>
        <w:rPr>
          <w:rFonts w:hint="eastAsia" w:ascii="宋体" w:hAnsi="宋体"/>
          <w:color w:val="auto"/>
          <w:szCs w:val="21"/>
        </w:rPr>
        <w:t xml:space="preserve">    （2）合同定价方式（采用组合定价方式的，可以勾选多项）：</w:t>
      </w:r>
    </w:p>
    <w:p w14:paraId="1AF07F84">
      <w:pPr>
        <w:adjustRightInd w:val="0"/>
        <w:snapToGrid w:val="0"/>
        <w:spacing w:line="400" w:lineRule="exact"/>
        <w:ind w:firstLine="420" w:firstLineChars="200"/>
        <w:rPr>
          <w:rFonts w:hint="eastAsia" w:ascii="宋体" w:hAnsi="宋体"/>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固定总价 </w:t>
      </w:r>
      <w:r>
        <w:rPr>
          <w:rFonts w:hint="eastAsia" w:ascii="宋体" w:hAnsi="宋体"/>
          <w:iCs/>
          <w:color w:val="auto"/>
          <w:szCs w:val="21"/>
        </w:rPr>
        <w:sym w:font="Wingdings" w:char="00A8"/>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r>
        <w:rPr>
          <w:rFonts w:hint="eastAsia" w:ascii="宋体" w:hAnsi="宋体"/>
          <w:color w:val="auto"/>
          <w:szCs w:val="21"/>
          <w:u w:val="single"/>
        </w:rPr>
        <w:t xml:space="preserve">       </w:t>
      </w:r>
    </w:p>
    <w:p w14:paraId="697463DE">
      <w:pPr>
        <w:pStyle w:val="91"/>
        <w:spacing w:line="400" w:lineRule="exact"/>
        <w:rPr>
          <w:color w:val="auto"/>
        </w:rPr>
      </w:pPr>
      <w:r>
        <w:rPr>
          <w:rFonts w:hint="eastAsia" w:ascii="宋体" w:hAnsi="宋体"/>
          <w:color w:val="auto"/>
        </w:rPr>
        <w:t>（3）付款方式（按项目实际勾选填写）：</w:t>
      </w:r>
    </w:p>
    <w:p w14:paraId="0E2421D6">
      <w:pPr>
        <w:adjustRightInd w:val="0"/>
        <w:snapToGrid w:val="0"/>
        <w:spacing w:line="400" w:lineRule="exact"/>
        <w:ind w:firstLine="630" w:firstLineChars="300"/>
        <w:rPr>
          <w:rFonts w:hint="eastAsia"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                    </w:t>
      </w:r>
    </w:p>
    <w:p w14:paraId="7A4A91DF">
      <w:pPr>
        <w:snapToGrid w:val="0"/>
        <w:spacing w:line="400" w:lineRule="exact"/>
        <w:ind w:firstLine="630" w:firstLineChars="300"/>
        <w:rPr>
          <w:color w:val="auto"/>
        </w:rPr>
      </w:pPr>
      <w:r>
        <w:rPr>
          <w:rFonts w:hint="eastAsia" w:ascii="宋体" w:hAnsi="宋体"/>
          <w:color w:val="auto"/>
          <w:szCs w:val="21"/>
        </w:rPr>
        <w:sym w:font="Wingdings" w:char="00A8"/>
      </w:r>
      <w:r>
        <w:rPr>
          <w:rFonts w:hint="eastAsia" w:ascii="宋体" w:hAnsi="宋体"/>
          <w:color w:val="auto"/>
          <w:szCs w:val="21"/>
        </w:rPr>
        <w:t>分期付款：</w:t>
      </w:r>
      <w:r>
        <w:rPr>
          <w:rFonts w:hint="eastAsia" w:ascii="宋体" w:hAnsi="宋体"/>
          <w:color w:val="auto"/>
          <w:szCs w:val="21"/>
          <w:u w:val="single"/>
        </w:rPr>
        <w:t xml:space="preserve">  （应明确分期支付合同款项的各期比例和支付条件，各期支付条件应与分期履约验收情况挂钩） </w:t>
      </w:r>
      <w:r>
        <w:rPr>
          <w:rFonts w:hint="eastAsia" w:ascii="宋体" w:hAnsi="宋体"/>
          <w:color w:val="auto"/>
          <w:szCs w:val="21"/>
        </w:rPr>
        <w:t>，其中涉及预付款的：</w:t>
      </w:r>
      <w:r>
        <w:rPr>
          <w:rFonts w:hint="eastAsia" w:ascii="宋体" w:hAnsi="宋体"/>
          <w:color w:val="auto"/>
          <w:szCs w:val="21"/>
          <w:u w:val="single"/>
        </w:rPr>
        <w:t xml:space="preserve"> （应明确预付款的支付比例和支付条件） </w:t>
      </w:r>
    </w:p>
    <w:p w14:paraId="2CB4CE62">
      <w:pPr>
        <w:adjustRightInd w:val="0"/>
        <w:snapToGrid w:val="0"/>
        <w:spacing w:line="400" w:lineRule="exact"/>
        <w:ind w:firstLine="630" w:firstLineChars="300"/>
        <w:rPr>
          <w:rFonts w:hint="eastAsia"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61C24D6D">
      <w:pPr>
        <w:adjustRightInd w:val="0"/>
        <w:snapToGrid w:val="0"/>
        <w:spacing w:line="400" w:lineRule="exact"/>
        <w:ind w:firstLine="630" w:firstLineChars="300"/>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1CD58AD7">
      <w:pPr>
        <w:numPr>
          <w:ilvl w:val="0"/>
          <w:numId w:val="4"/>
        </w:numPr>
        <w:adjustRightInd w:val="0"/>
        <w:snapToGrid w:val="0"/>
        <w:spacing w:line="400" w:lineRule="exact"/>
        <w:ind w:firstLine="422" w:firstLineChars="200"/>
        <w:rPr>
          <w:rFonts w:hint="eastAsia" w:ascii="宋体" w:hAnsi="宋体"/>
          <w:b/>
          <w:color w:val="auto"/>
          <w:szCs w:val="21"/>
          <w:u w:val="single"/>
        </w:rPr>
      </w:pPr>
      <w:r>
        <w:rPr>
          <w:rFonts w:hint="eastAsia" w:ascii="宋体" w:hAnsi="宋体"/>
          <w:b/>
          <w:color w:val="auto"/>
          <w:szCs w:val="21"/>
        </w:rPr>
        <w:t>合同履行</w:t>
      </w:r>
    </w:p>
    <w:p w14:paraId="20D3582C">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4726F395">
      <w:pPr>
        <w:adjustRightInd w:val="0"/>
        <w:snapToGrid w:val="0"/>
        <w:spacing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7A122A5E">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4DA3B679">
      <w:pPr>
        <w:pStyle w:val="141"/>
        <w:rPr>
          <w:rFonts w:hint="eastAsia" w:ascii="宋体" w:hAnsi="宋体" w:eastAsia="宋体" w:cs="宋体"/>
          <w:color w:val="auto"/>
          <w:sz w:val="21"/>
        </w:rPr>
      </w:pPr>
      <w:r>
        <w:rPr>
          <w:rFonts w:hint="eastAsia" w:ascii="宋体" w:hAnsi="宋体" w:cs="宋体"/>
          <w:bCs/>
          <w:color w:val="auto"/>
        </w:rPr>
        <w:t xml:space="preserve">  </w:t>
      </w:r>
      <w:r>
        <w:rPr>
          <w:rFonts w:hint="eastAsia" w:ascii="宋体" w:hAnsi="宋体" w:eastAsia="宋体" w:cs="宋体"/>
          <w:color w:val="auto"/>
          <w:sz w:val="21"/>
        </w:rPr>
        <w:t xml:space="preserve">  收取履约保证金形式：</w:t>
      </w:r>
      <w:r>
        <w:rPr>
          <w:rFonts w:hint="eastAsia" w:ascii="宋体" w:hAnsi="宋体" w:eastAsia="宋体" w:cs="宋体"/>
          <w:bCs/>
          <w:color w:val="auto"/>
          <w:sz w:val="21"/>
          <w:u w:val="single"/>
        </w:rPr>
        <w:t xml:space="preserve">                            </w:t>
      </w:r>
    </w:p>
    <w:p w14:paraId="653CC1CE">
      <w:pPr>
        <w:pStyle w:val="141"/>
        <w:ind w:firstLine="420"/>
        <w:rPr>
          <w:rFonts w:hint="eastAsia" w:ascii="宋体" w:hAnsi="宋体" w:eastAsia="宋体" w:cs="宋体"/>
          <w:color w:val="auto"/>
          <w:sz w:val="21"/>
        </w:rPr>
      </w:pPr>
      <w:r>
        <w:rPr>
          <w:rFonts w:hint="eastAsia" w:ascii="宋体" w:hAnsi="宋体" w:eastAsia="宋体" w:cs="宋体"/>
          <w:color w:val="auto"/>
          <w:sz w:val="21"/>
        </w:rPr>
        <w:t xml:space="preserve">    收取履约保证金金额：</w:t>
      </w:r>
      <w:r>
        <w:rPr>
          <w:rFonts w:hint="eastAsia" w:ascii="宋体" w:hAnsi="宋体" w:eastAsia="宋体" w:cs="宋体"/>
          <w:bCs/>
          <w:color w:val="auto"/>
          <w:sz w:val="21"/>
          <w:u w:val="single"/>
        </w:rPr>
        <w:t xml:space="preserve">                            </w:t>
      </w:r>
    </w:p>
    <w:p w14:paraId="0EA19FA0">
      <w:pPr>
        <w:snapToGrid w:val="0"/>
        <w:spacing w:line="400" w:lineRule="exact"/>
        <w:ind w:firstLine="420" w:firstLineChars="200"/>
        <w:rPr>
          <w:rFonts w:hint="eastAsia" w:ascii="宋体" w:hAnsi="宋体" w:cs="宋体"/>
          <w:color w:val="auto"/>
        </w:rPr>
      </w:pPr>
      <w:r>
        <w:rPr>
          <w:rFonts w:hint="eastAsia" w:ascii="宋体" w:hAnsi="宋体" w:cs="宋体"/>
          <w:bCs/>
          <w:color w:val="auto"/>
          <w:szCs w:val="21"/>
        </w:rPr>
        <w:t xml:space="preserve">    履约担保期限：</w:t>
      </w:r>
      <w:r>
        <w:rPr>
          <w:rFonts w:hint="eastAsia" w:ascii="宋体" w:hAnsi="宋体" w:cs="宋体"/>
          <w:bCs/>
          <w:color w:val="auto"/>
          <w:szCs w:val="21"/>
          <w:u w:val="single"/>
        </w:rPr>
        <w:t xml:space="preserve">                                  </w:t>
      </w:r>
    </w:p>
    <w:p w14:paraId="6196F489">
      <w:p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p>
    <w:p w14:paraId="4420F819">
      <w:pPr>
        <w:adjustRightInd w:val="0"/>
        <w:snapToGrid w:val="0"/>
        <w:spacing w:line="400" w:lineRule="exact"/>
        <w:ind w:firstLine="420" w:firstLineChars="200"/>
        <w:rPr>
          <w:rFonts w:hint="eastAsia"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62C03FDD">
      <w:pPr>
        <w:numPr>
          <w:ilvl w:val="0"/>
          <w:numId w:val="4"/>
        </w:numPr>
        <w:adjustRightInd w:val="0"/>
        <w:snapToGrid w:val="0"/>
        <w:spacing w:line="400" w:lineRule="exact"/>
        <w:ind w:firstLine="422" w:firstLineChars="200"/>
        <w:rPr>
          <w:rFonts w:hint="eastAsia" w:ascii="宋体" w:hAnsi="宋体"/>
          <w:b/>
          <w:color w:val="auto"/>
          <w:szCs w:val="21"/>
        </w:rPr>
      </w:pPr>
      <w:r>
        <w:rPr>
          <w:rFonts w:hint="eastAsia" w:ascii="宋体" w:hAnsi="宋体"/>
          <w:b/>
          <w:color w:val="auto"/>
          <w:szCs w:val="21"/>
        </w:rPr>
        <w:t>合同验收</w:t>
      </w:r>
    </w:p>
    <w:p w14:paraId="054E42C1">
      <w:pPr>
        <w:numPr>
          <w:ilvl w:val="0"/>
          <w:numId w:val="6"/>
        </w:numPr>
        <w:adjustRightInd w:val="0"/>
        <w:snapToGrid w:val="0"/>
        <w:spacing w:line="400" w:lineRule="exact"/>
        <w:ind w:firstLine="420" w:firstLineChars="200"/>
        <w:rPr>
          <w:rFonts w:hint="eastAsia"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4FA5CE23">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验收主体：</w:t>
      </w:r>
      <w:r>
        <w:rPr>
          <w:rFonts w:hint="eastAsia" w:ascii="宋体" w:hAnsi="宋体"/>
          <w:bCs/>
          <w:color w:val="auto"/>
          <w:szCs w:val="21"/>
          <w:u w:val="single"/>
        </w:rPr>
        <w:t xml:space="preserve">                  </w:t>
      </w:r>
    </w:p>
    <w:p w14:paraId="603D681B">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636F2248">
      <w:pPr>
        <w:adjustRightInd w:val="0"/>
        <w:snapToGrid w:val="0"/>
        <w:spacing w:line="400" w:lineRule="exact"/>
        <w:ind w:firstLine="840" w:firstLineChars="400"/>
        <w:rPr>
          <w:rFonts w:hint="eastAsia"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5F124F7B">
      <w:pPr>
        <w:adjustRightInd w:val="0"/>
        <w:snapToGrid w:val="0"/>
        <w:spacing w:line="400" w:lineRule="exact"/>
        <w:ind w:firstLine="840" w:firstLineChars="400"/>
        <w:rPr>
          <w:rFonts w:hint="eastAsia"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53F8CAFB">
      <w:pPr>
        <w:adjustRightInd w:val="0"/>
        <w:snapToGrid w:val="0"/>
        <w:spacing w:line="400" w:lineRule="exact"/>
        <w:ind w:firstLine="840" w:firstLineChars="400"/>
        <w:rPr>
          <w:rFonts w:hint="eastAsia"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50B6334C">
      <w:pPr>
        <w:adjustRightInd w:val="0"/>
        <w:snapToGrid w:val="0"/>
        <w:spacing w:line="400" w:lineRule="exact"/>
        <w:ind w:firstLine="840" w:firstLineChars="400"/>
        <w:rPr>
          <w:rFonts w:hint="eastAsia"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bCs/>
          <w:color w:val="auto"/>
          <w:szCs w:val="21"/>
          <w:u w:val="single"/>
        </w:rPr>
        <w:t xml:space="preserve">        </w:t>
      </w: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2113E430">
      <w:pPr>
        <w:adjustRightInd w:val="0"/>
        <w:snapToGrid w:val="0"/>
        <w:spacing w:line="400" w:lineRule="exact"/>
        <w:ind w:firstLine="840" w:firstLineChars="400"/>
        <w:rPr>
          <w:rFonts w:hint="eastAsia"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3FFED593">
      <w:pPr>
        <w:adjustRightInd w:val="0"/>
        <w:snapToGrid w:val="0"/>
        <w:spacing w:line="400" w:lineRule="exact"/>
        <w:ind w:firstLine="840" w:firstLineChars="400"/>
        <w:rPr>
          <w:rFonts w:hint="eastAsia"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31CF0CE5">
      <w:pPr>
        <w:adjustRightInd w:val="0"/>
        <w:snapToGrid w:val="0"/>
        <w:spacing w:line="400" w:lineRule="exact"/>
        <w:ind w:firstLine="840" w:firstLineChars="400"/>
        <w:rPr>
          <w:rFonts w:hint="eastAsia"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39D9F205">
      <w:pPr>
        <w:adjustRightInd w:val="0"/>
        <w:snapToGrid w:val="0"/>
        <w:spacing w:line="400" w:lineRule="exact"/>
        <w:ind w:firstLine="420" w:firstLineChars="200"/>
        <w:rPr>
          <w:rFonts w:hint="eastAsia"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77CB820E">
      <w:pPr>
        <w:adjustRightInd w:val="0"/>
        <w:snapToGrid w:val="0"/>
        <w:spacing w:line="400" w:lineRule="exact"/>
        <w:ind w:firstLine="420" w:firstLineChars="200"/>
        <w:rPr>
          <w:rFonts w:hint="eastAsia"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A8"/>
      </w:r>
      <w:r>
        <w:rPr>
          <w:rFonts w:hint="eastAsia" w:ascii="宋体" w:hAnsi="宋体"/>
          <w:bCs/>
          <w:color w:val="auto"/>
          <w:szCs w:val="21"/>
        </w:rPr>
        <w:t xml:space="preserve">一次性验收         </w:t>
      </w:r>
    </w:p>
    <w:p w14:paraId="43F2C8DB">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lang w:val="en"/>
        </w:rPr>
        <w:t>/</w:t>
      </w:r>
      <w:r>
        <w:rPr>
          <w:rFonts w:hint="eastAsia" w:ascii="宋体" w:hAnsi="宋体"/>
          <w:bCs/>
          <w:color w:val="auto"/>
          <w:szCs w:val="21"/>
          <w:u w:val="single"/>
          <w:lang w:val="en"/>
        </w:rPr>
        <w:t>分项验收的工作安排</w:t>
      </w:r>
      <w:r>
        <w:rPr>
          <w:rFonts w:hint="eastAsia" w:ascii="宋体" w:hAnsi="宋体"/>
          <w:bCs/>
          <w:color w:val="auto"/>
          <w:szCs w:val="21"/>
          <w:u w:val="single"/>
        </w:rPr>
        <w:t xml:space="preserve">）  </w:t>
      </w:r>
    </w:p>
    <w:p w14:paraId="4EE7D867">
      <w:pPr>
        <w:adjustRightInd w:val="0"/>
        <w:snapToGrid w:val="0"/>
        <w:spacing w:line="400" w:lineRule="exact"/>
        <w:ind w:firstLine="420" w:firstLineChars="200"/>
        <w:rPr>
          <w:rFonts w:hint="eastAsia"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62D5B780">
      <w:pPr>
        <w:adjustRightInd w:val="0"/>
        <w:snapToGrid w:val="0"/>
        <w:spacing w:line="400" w:lineRule="exact"/>
        <w:ind w:firstLine="420" w:firstLineChars="200"/>
        <w:rPr>
          <w:rFonts w:hint="eastAsia"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35636EE0">
      <w:pPr>
        <w:adjustRightInd w:val="0"/>
        <w:snapToGrid w:val="0"/>
        <w:spacing w:line="400" w:lineRule="exact"/>
        <w:ind w:firstLine="420" w:firstLineChars="200"/>
        <w:rPr>
          <w:rFonts w:hint="eastAsia"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0D6F9B20">
      <w:pPr>
        <w:pStyle w:val="141"/>
        <w:ind w:firstLine="420"/>
        <w:rPr>
          <w:rFonts w:hint="eastAsia"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A8"/>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5BB3EC16">
      <w:pPr>
        <w:adjustRightInd w:val="0"/>
        <w:snapToGrid w:val="0"/>
        <w:spacing w:line="400" w:lineRule="exact"/>
        <w:ind w:firstLine="420" w:firstLineChars="200"/>
        <w:rPr>
          <w:rFonts w:hint="eastAsia"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62C4A8B9">
      <w:pPr>
        <w:numPr>
          <w:ilvl w:val="0"/>
          <w:numId w:val="4"/>
        </w:numPr>
        <w:adjustRightInd w:val="0"/>
        <w:snapToGrid w:val="0"/>
        <w:spacing w:line="400" w:lineRule="exact"/>
        <w:ind w:firstLine="422" w:firstLineChars="200"/>
        <w:rPr>
          <w:rFonts w:hint="eastAsia" w:ascii="宋体" w:hAnsi="宋体"/>
          <w:b/>
          <w:color w:val="auto"/>
          <w:szCs w:val="21"/>
        </w:rPr>
      </w:pPr>
      <w:r>
        <w:rPr>
          <w:rFonts w:hint="eastAsia" w:ascii="宋体" w:hAnsi="宋体"/>
          <w:b/>
          <w:color w:val="auto"/>
          <w:szCs w:val="21"/>
        </w:rPr>
        <w:t>组成合同的文件</w:t>
      </w:r>
    </w:p>
    <w:p w14:paraId="15B62656">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7BDE2498">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（1）政府采购合同协议书及其变更、补充协议</w:t>
      </w:r>
    </w:p>
    <w:p w14:paraId="4D7EBA1F">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（2）政府采购合同专用条款</w:t>
      </w:r>
    </w:p>
    <w:p w14:paraId="1E4136F7">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（3）政府采购合同通用条款</w:t>
      </w:r>
    </w:p>
    <w:p w14:paraId="7998EAE7">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（4）中标（成交）通知书</w:t>
      </w:r>
    </w:p>
    <w:p w14:paraId="4DF2B574">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（5）投标（响应）文件</w:t>
      </w:r>
    </w:p>
    <w:p w14:paraId="304D1107">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（6）采购文件</w:t>
      </w:r>
    </w:p>
    <w:p w14:paraId="593382B1">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（7）有关技术文件，图纸</w:t>
      </w:r>
    </w:p>
    <w:p w14:paraId="4B29572B">
      <w:pPr>
        <w:pStyle w:val="141"/>
        <w:ind w:firstLine="420"/>
        <w:rPr>
          <w:rFonts w:hint="eastAsia"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3542F2C5">
      <w:pPr>
        <w:numPr>
          <w:ilvl w:val="0"/>
          <w:numId w:val="4"/>
        </w:numPr>
        <w:adjustRightInd w:val="0"/>
        <w:snapToGrid w:val="0"/>
        <w:spacing w:line="400" w:lineRule="exact"/>
        <w:ind w:firstLine="422" w:firstLineChars="200"/>
        <w:rPr>
          <w:rFonts w:hint="eastAsia" w:ascii="宋体" w:hAnsi="宋体"/>
          <w:b/>
          <w:color w:val="auto"/>
          <w:szCs w:val="21"/>
        </w:rPr>
      </w:pPr>
      <w:r>
        <w:rPr>
          <w:rFonts w:hint="eastAsia" w:ascii="宋体" w:hAnsi="宋体"/>
          <w:b/>
          <w:color w:val="auto"/>
          <w:szCs w:val="21"/>
        </w:rPr>
        <w:t>合同生效</w:t>
      </w:r>
    </w:p>
    <w:p w14:paraId="2F94F908">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79BD8F6F">
      <w:pPr>
        <w:numPr>
          <w:ilvl w:val="0"/>
          <w:numId w:val="4"/>
        </w:numPr>
        <w:adjustRightInd w:val="0"/>
        <w:snapToGrid w:val="0"/>
        <w:spacing w:line="400" w:lineRule="exact"/>
        <w:ind w:firstLine="422" w:firstLineChars="200"/>
        <w:rPr>
          <w:rFonts w:hint="eastAsia" w:ascii="宋体" w:hAnsi="宋体"/>
          <w:b/>
          <w:color w:val="auto"/>
          <w:szCs w:val="21"/>
        </w:rPr>
      </w:pPr>
      <w:r>
        <w:rPr>
          <w:rFonts w:hint="eastAsia" w:ascii="宋体" w:hAnsi="宋体"/>
          <w:b/>
          <w:color w:val="auto"/>
          <w:szCs w:val="21"/>
        </w:rPr>
        <w:t>合同份数</w:t>
      </w:r>
    </w:p>
    <w:p w14:paraId="76D5F9BE">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份，甲方执</w:t>
      </w:r>
      <w:r>
        <w:rPr>
          <w:rFonts w:hint="eastAsia" w:ascii="宋体" w:hAnsi="宋体"/>
          <w:color w:val="auto"/>
          <w:szCs w:val="21"/>
          <w:u w:val="single"/>
        </w:rPr>
        <w:t xml:space="preserve">    </w:t>
      </w:r>
      <w:r>
        <w:rPr>
          <w:rFonts w:hint="eastAsia" w:ascii="宋体" w:hAnsi="宋体"/>
          <w:color w:val="auto"/>
          <w:szCs w:val="21"/>
        </w:rPr>
        <w:t>份，乙方执</w:t>
      </w:r>
      <w:r>
        <w:rPr>
          <w:rFonts w:hint="eastAsia" w:ascii="宋体" w:hAnsi="宋体"/>
          <w:color w:val="auto"/>
          <w:szCs w:val="21"/>
          <w:u w:val="single"/>
        </w:rPr>
        <w:t xml:space="preserve">    </w:t>
      </w:r>
      <w:r>
        <w:rPr>
          <w:rFonts w:hint="eastAsia" w:ascii="宋体" w:hAnsi="宋体"/>
          <w:color w:val="auto"/>
          <w:szCs w:val="21"/>
        </w:rPr>
        <w:t>份，均具有同等法律效力。</w:t>
      </w:r>
    </w:p>
    <w:p w14:paraId="583390DA">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3845C049">
      <w:pPr>
        <w:adjustRightInd w:val="0"/>
        <w:snapToGrid w:val="0"/>
        <w:spacing w:line="400" w:lineRule="exact"/>
        <w:ind w:firstLine="420" w:firstLineChars="200"/>
        <w:rPr>
          <w:rFonts w:hint="eastAsia"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58DE1334">
      <w:pPr>
        <w:adjustRightInd w:val="0"/>
        <w:snapToGrid w:val="0"/>
        <w:spacing w:line="400" w:lineRule="exact"/>
        <w:ind w:firstLine="420" w:firstLineChars="200"/>
        <w:rPr>
          <w:color w:val="auto"/>
        </w:rPr>
      </w:pPr>
      <w:r>
        <w:rPr>
          <w:rFonts w:hint="eastAsia" w:ascii="宋体" w:hAnsi="宋体"/>
          <w:color w:val="auto"/>
          <w:szCs w:val="21"/>
        </w:rPr>
        <w:t>附件：具体标的及其技术要求和商务要求、联合协议、分包意向协议等。</w:t>
      </w:r>
    </w:p>
    <w:p w14:paraId="5D0F2D66">
      <w:pPr>
        <w:pStyle w:val="91"/>
        <w:spacing w:line="400" w:lineRule="exact"/>
        <w:rPr>
          <w:color w:val="auto"/>
        </w:rPr>
      </w:pPr>
    </w:p>
    <w:p w14:paraId="096D4357">
      <w:pPr>
        <w:pStyle w:val="3"/>
        <w:rPr>
          <w:rFonts w:hint="eastAsia" w:ascii="宋体" w:hAnsi="宋体"/>
          <w:b w:val="0"/>
          <w:bCs w:val="0"/>
          <w:color w:val="auto"/>
          <w:sz w:val="21"/>
          <w:szCs w:val="21"/>
        </w:rPr>
      </w:pPr>
      <w:r>
        <w:rPr>
          <w:color w:val="auto"/>
          <w:lang w:val="en"/>
        </w:rPr>
        <w:t xml:space="preserve">   </w:t>
      </w:r>
    </w:p>
    <w:p w14:paraId="64073C71">
      <w:pPr>
        <w:rPr>
          <w:color w:val="auto"/>
        </w:rPr>
      </w:pPr>
      <w:r>
        <w:rPr>
          <w:rFonts w:hint="eastAsia"/>
          <w:color w:val="auto"/>
        </w:rPr>
        <w:br w:type="page"/>
      </w:r>
    </w:p>
    <w:p w14:paraId="6A6161CB">
      <w:pPr>
        <w:pStyle w:val="91"/>
        <w:rPr>
          <w:color w:val="auto"/>
        </w:rPr>
      </w:pPr>
    </w:p>
    <w:tbl>
      <w:tblPr>
        <w:tblStyle w:val="3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50"/>
        <w:gridCol w:w="2869"/>
        <w:gridCol w:w="2354"/>
        <w:gridCol w:w="2517"/>
      </w:tblGrid>
      <w:tr w14:paraId="61FF6F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A693844">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17A5E10F">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4E5B89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4676491">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B7C826C">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9A44096">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259" w:type="pct"/>
            <w:tcBorders>
              <w:top w:val="single" w:color="auto" w:sz="2" w:space="0"/>
              <w:left w:val="single" w:color="auto" w:sz="2" w:space="0"/>
              <w:bottom w:val="single" w:color="auto" w:sz="2" w:space="0"/>
            </w:tcBorders>
            <w:vAlign w:val="center"/>
          </w:tcPr>
          <w:p w14:paraId="3F8CC1E8">
            <w:pPr>
              <w:adjustRightInd w:val="0"/>
              <w:snapToGrid w:val="0"/>
              <w:spacing w:line="300" w:lineRule="exact"/>
              <w:jc w:val="center"/>
              <w:rPr>
                <w:color w:val="auto"/>
                <w:spacing w:val="20"/>
                <w:szCs w:val="21"/>
              </w:rPr>
            </w:pPr>
          </w:p>
        </w:tc>
      </w:tr>
      <w:tr w14:paraId="049473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C6AAEB9">
            <w:pPr>
              <w:adjustRightInd w:val="0"/>
              <w:snapToGrid w:val="0"/>
              <w:spacing w:line="300" w:lineRule="exact"/>
              <w:jc w:val="center"/>
              <w:rPr>
                <w:color w:val="auto"/>
                <w:szCs w:val="21"/>
              </w:rPr>
            </w:pPr>
            <w:r>
              <w:rPr>
                <w:color w:val="auto"/>
                <w:szCs w:val="21"/>
              </w:rPr>
              <w:t>法定代表人</w:t>
            </w:r>
          </w:p>
          <w:p w14:paraId="7B0FE000">
            <w:pPr>
              <w:adjustRightInd w:val="0"/>
              <w:snapToGrid w:val="0"/>
              <w:spacing w:line="300" w:lineRule="exact"/>
              <w:ind w:firstLine="100"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541D3E85">
            <w:pPr>
              <w:adjustRightInd w:val="0"/>
              <w:snapToGrid w:val="0"/>
              <w:spacing w:line="300" w:lineRule="exact"/>
              <w:jc w:val="center"/>
              <w:rPr>
                <w:color w:val="auto"/>
                <w:szCs w:val="21"/>
              </w:rPr>
            </w:pPr>
          </w:p>
        </w:tc>
        <w:tc>
          <w:tcPr>
            <w:tcW w:w="1178" w:type="pct"/>
            <w:tcBorders>
              <w:top w:val="single" w:color="auto" w:sz="2" w:space="0"/>
              <w:left w:val="single" w:color="auto" w:sz="2" w:space="0"/>
              <w:right w:val="single" w:color="auto" w:sz="2" w:space="0"/>
            </w:tcBorders>
            <w:vAlign w:val="center"/>
          </w:tcPr>
          <w:p w14:paraId="2B89F0B9">
            <w:pPr>
              <w:adjustRightInd w:val="0"/>
              <w:snapToGrid w:val="0"/>
              <w:spacing w:line="300" w:lineRule="exact"/>
              <w:jc w:val="center"/>
              <w:rPr>
                <w:color w:val="auto"/>
                <w:szCs w:val="21"/>
              </w:rPr>
            </w:pPr>
            <w:r>
              <w:rPr>
                <w:color w:val="auto"/>
                <w:szCs w:val="21"/>
              </w:rPr>
              <w:t>法定代表人</w:t>
            </w:r>
          </w:p>
          <w:p w14:paraId="40B09CF1">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2F8DB5D4">
            <w:pPr>
              <w:adjustRightInd w:val="0"/>
              <w:snapToGrid w:val="0"/>
              <w:spacing w:line="300" w:lineRule="exact"/>
              <w:jc w:val="center"/>
              <w:rPr>
                <w:color w:val="auto"/>
                <w:szCs w:val="21"/>
              </w:rPr>
            </w:pPr>
          </w:p>
        </w:tc>
      </w:tr>
      <w:tr w14:paraId="7AF962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C6C94D1">
            <w:pPr>
              <w:adjustRightInd w:val="0"/>
              <w:snapToGrid w:val="0"/>
              <w:spacing w:line="300" w:lineRule="exact"/>
              <w:jc w:val="center"/>
              <w:rPr>
                <w:color w:val="auto"/>
                <w:szCs w:val="21"/>
              </w:rPr>
            </w:pPr>
          </w:p>
        </w:tc>
        <w:tc>
          <w:tcPr>
            <w:tcW w:w="1436" w:type="pct"/>
            <w:vMerge w:val="continue"/>
            <w:tcBorders>
              <w:left w:val="single" w:color="auto" w:sz="2" w:space="0"/>
              <w:bottom w:val="single" w:color="auto" w:sz="2" w:space="0"/>
              <w:right w:val="single" w:color="auto" w:sz="2" w:space="0"/>
            </w:tcBorders>
            <w:vAlign w:val="center"/>
          </w:tcPr>
          <w:p w14:paraId="39A2E227">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F76C20F">
            <w:pPr>
              <w:adjustRightInd w:val="0"/>
              <w:snapToGrid w:val="0"/>
              <w:spacing w:line="300" w:lineRule="exact"/>
              <w:jc w:val="center"/>
              <w:rPr>
                <w:color w:val="auto"/>
                <w:szCs w:val="21"/>
              </w:rPr>
            </w:pPr>
            <w:r>
              <w:rPr>
                <w:rFonts w:hint="eastAsia"/>
                <w:color w:val="auto"/>
                <w:szCs w:val="21"/>
              </w:rPr>
              <w:t>拥有者性别</w:t>
            </w:r>
          </w:p>
        </w:tc>
        <w:tc>
          <w:tcPr>
            <w:tcW w:w="1259" w:type="pct"/>
            <w:tcBorders>
              <w:top w:val="single" w:color="auto" w:sz="2" w:space="0"/>
              <w:left w:val="single" w:color="auto" w:sz="2" w:space="0"/>
              <w:bottom w:val="single" w:color="auto" w:sz="2" w:space="0"/>
            </w:tcBorders>
            <w:vAlign w:val="center"/>
          </w:tcPr>
          <w:p w14:paraId="6EF6FCC7">
            <w:pPr>
              <w:adjustRightInd w:val="0"/>
              <w:snapToGrid w:val="0"/>
              <w:spacing w:line="300" w:lineRule="exact"/>
              <w:jc w:val="center"/>
              <w:rPr>
                <w:color w:val="auto"/>
                <w:spacing w:val="20"/>
                <w:szCs w:val="21"/>
              </w:rPr>
            </w:pPr>
          </w:p>
        </w:tc>
      </w:tr>
      <w:tr w14:paraId="4031CC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F44BEC9">
            <w:pPr>
              <w:adjustRightInd w:val="0"/>
              <w:snapToGrid w:val="0"/>
              <w:spacing w:line="300" w:lineRule="exact"/>
              <w:jc w:val="center"/>
              <w:rPr>
                <w:color w:val="auto"/>
                <w:szCs w:val="21"/>
              </w:rPr>
            </w:pPr>
            <w:r>
              <w:rPr>
                <w:rFonts w:hint="eastAsia"/>
                <w:color w:val="auto"/>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22950E99">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E832A57">
            <w:pPr>
              <w:adjustRightInd w:val="0"/>
              <w:snapToGrid w:val="0"/>
              <w:spacing w:line="300" w:lineRule="exact"/>
              <w:jc w:val="center"/>
              <w:rPr>
                <w:color w:val="auto"/>
                <w:szCs w:val="21"/>
              </w:rPr>
            </w:pPr>
            <w:r>
              <w:rPr>
                <w:rFonts w:hint="eastAsia"/>
                <w:color w:val="auto"/>
                <w:szCs w:val="21"/>
              </w:rPr>
              <w:t>住  所</w:t>
            </w:r>
          </w:p>
        </w:tc>
        <w:tc>
          <w:tcPr>
            <w:tcW w:w="1259" w:type="pct"/>
            <w:tcBorders>
              <w:top w:val="single" w:color="auto" w:sz="2" w:space="0"/>
              <w:left w:val="single" w:color="auto" w:sz="2" w:space="0"/>
              <w:bottom w:val="single" w:color="auto" w:sz="2" w:space="0"/>
            </w:tcBorders>
            <w:vAlign w:val="center"/>
          </w:tcPr>
          <w:p w14:paraId="167A8434">
            <w:pPr>
              <w:adjustRightInd w:val="0"/>
              <w:snapToGrid w:val="0"/>
              <w:spacing w:line="300" w:lineRule="exact"/>
              <w:jc w:val="center"/>
              <w:rPr>
                <w:color w:val="auto"/>
                <w:spacing w:val="20"/>
                <w:szCs w:val="21"/>
              </w:rPr>
            </w:pPr>
          </w:p>
        </w:tc>
      </w:tr>
      <w:tr w14:paraId="2C9B30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7F04F6">
            <w:pPr>
              <w:adjustRightInd w:val="0"/>
              <w:snapToGrid w:val="0"/>
              <w:spacing w:line="300" w:lineRule="exact"/>
              <w:jc w:val="center"/>
              <w:rPr>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A15A52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19F131F">
            <w:pPr>
              <w:adjustRightInd w:val="0"/>
              <w:snapToGrid w:val="0"/>
              <w:spacing w:line="300" w:lineRule="exact"/>
              <w:jc w:val="center"/>
              <w:rPr>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3A1D598E">
            <w:pPr>
              <w:adjustRightInd w:val="0"/>
              <w:snapToGrid w:val="0"/>
              <w:spacing w:line="300" w:lineRule="exact"/>
              <w:jc w:val="center"/>
              <w:rPr>
                <w:color w:val="auto"/>
                <w:spacing w:val="20"/>
                <w:szCs w:val="21"/>
              </w:rPr>
            </w:pPr>
          </w:p>
        </w:tc>
      </w:tr>
      <w:tr w14:paraId="799C50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F5BA4B">
            <w:pPr>
              <w:adjustRightInd w:val="0"/>
              <w:snapToGrid w:val="0"/>
              <w:spacing w:line="300" w:lineRule="exact"/>
              <w:jc w:val="center"/>
              <w:rPr>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6D9C739">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117D150">
            <w:pPr>
              <w:adjustRightInd w:val="0"/>
              <w:snapToGrid w:val="0"/>
              <w:spacing w:line="300" w:lineRule="exact"/>
              <w:jc w:val="center"/>
              <w:rPr>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357FAB0F">
            <w:pPr>
              <w:adjustRightInd w:val="0"/>
              <w:snapToGrid w:val="0"/>
              <w:spacing w:line="300" w:lineRule="exact"/>
              <w:jc w:val="center"/>
              <w:rPr>
                <w:color w:val="auto"/>
                <w:spacing w:val="20"/>
                <w:szCs w:val="21"/>
              </w:rPr>
            </w:pPr>
          </w:p>
        </w:tc>
      </w:tr>
      <w:tr w14:paraId="4A2F21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CA991B1">
            <w:pPr>
              <w:adjustRightInd w:val="0"/>
              <w:snapToGrid w:val="0"/>
              <w:spacing w:line="300" w:lineRule="exact"/>
              <w:jc w:val="center"/>
              <w:rPr>
                <w:color w:val="auto"/>
                <w:szCs w:val="21"/>
              </w:rPr>
            </w:pPr>
            <w:r>
              <w:rPr>
                <w:rFonts w:hint="eastAsia"/>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E20463D">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A142216">
            <w:pPr>
              <w:adjustRightInd w:val="0"/>
              <w:snapToGrid w:val="0"/>
              <w:spacing w:line="300" w:lineRule="exact"/>
              <w:jc w:val="center"/>
              <w:rPr>
                <w:color w:val="auto"/>
                <w:szCs w:val="21"/>
              </w:rPr>
            </w:pPr>
            <w:r>
              <w:rPr>
                <w:rFonts w:hint="eastAsia"/>
                <w:color w:val="auto"/>
                <w:szCs w:val="21"/>
              </w:rPr>
              <w:t>通信地址</w:t>
            </w:r>
          </w:p>
        </w:tc>
        <w:tc>
          <w:tcPr>
            <w:tcW w:w="1259" w:type="pct"/>
            <w:tcBorders>
              <w:top w:val="single" w:color="auto" w:sz="2" w:space="0"/>
              <w:left w:val="single" w:color="auto" w:sz="2" w:space="0"/>
              <w:bottom w:val="single" w:color="auto" w:sz="2" w:space="0"/>
            </w:tcBorders>
            <w:vAlign w:val="center"/>
          </w:tcPr>
          <w:p w14:paraId="25B95667">
            <w:pPr>
              <w:adjustRightInd w:val="0"/>
              <w:snapToGrid w:val="0"/>
              <w:spacing w:line="300" w:lineRule="exact"/>
              <w:jc w:val="center"/>
              <w:rPr>
                <w:color w:val="auto"/>
                <w:spacing w:val="20"/>
                <w:szCs w:val="21"/>
              </w:rPr>
            </w:pPr>
          </w:p>
        </w:tc>
      </w:tr>
      <w:tr w14:paraId="1DC526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E28028">
            <w:pPr>
              <w:adjustRightInd w:val="0"/>
              <w:snapToGrid w:val="0"/>
              <w:spacing w:line="300" w:lineRule="exact"/>
              <w:jc w:val="center"/>
              <w:rPr>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76511A7">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5377D47">
            <w:pPr>
              <w:adjustRightInd w:val="0"/>
              <w:snapToGrid w:val="0"/>
              <w:spacing w:line="300" w:lineRule="exact"/>
              <w:jc w:val="center"/>
              <w:rPr>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0CD1E447">
            <w:pPr>
              <w:adjustRightInd w:val="0"/>
              <w:snapToGrid w:val="0"/>
              <w:spacing w:line="300" w:lineRule="exact"/>
              <w:jc w:val="center"/>
              <w:rPr>
                <w:color w:val="auto"/>
                <w:spacing w:val="20"/>
                <w:szCs w:val="21"/>
              </w:rPr>
            </w:pPr>
          </w:p>
        </w:tc>
      </w:tr>
      <w:tr w14:paraId="13C9F1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4D2242">
            <w:pPr>
              <w:adjustRightInd w:val="0"/>
              <w:snapToGrid w:val="0"/>
              <w:spacing w:line="300" w:lineRule="exact"/>
              <w:jc w:val="center"/>
              <w:rPr>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1A9E9FD">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A396DA7">
            <w:pPr>
              <w:adjustRightInd w:val="0"/>
              <w:snapToGrid w:val="0"/>
              <w:spacing w:line="300" w:lineRule="exact"/>
              <w:jc w:val="center"/>
              <w:rPr>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0E1A80DE">
            <w:pPr>
              <w:adjustRightInd w:val="0"/>
              <w:snapToGrid w:val="0"/>
              <w:spacing w:line="300" w:lineRule="exact"/>
              <w:jc w:val="center"/>
              <w:rPr>
                <w:color w:val="auto"/>
                <w:spacing w:val="20"/>
                <w:szCs w:val="21"/>
              </w:rPr>
            </w:pPr>
          </w:p>
        </w:tc>
      </w:tr>
      <w:tr w14:paraId="34AA1B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2E5F31">
            <w:pPr>
              <w:adjustRightInd w:val="0"/>
              <w:snapToGrid w:val="0"/>
              <w:spacing w:line="300" w:lineRule="exact"/>
              <w:jc w:val="center"/>
              <w:rPr>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7556736">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BCFFEF">
            <w:pPr>
              <w:adjustRightInd w:val="0"/>
              <w:snapToGrid w:val="0"/>
              <w:spacing w:line="300" w:lineRule="exact"/>
              <w:jc w:val="center"/>
              <w:rPr>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2D6EAE5A">
            <w:pPr>
              <w:adjustRightInd w:val="0"/>
              <w:snapToGrid w:val="0"/>
              <w:spacing w:line="300" w:lineRule="exact"/>
              <w:jc w:val="center"/>
              <w:rPr>
                <w:color w:val="auto"/>
                <w:spacing w:val="20"/>
                <w:szCs w:val="21"/>
              </w:rPr>
            </w:pPr>
          </w:p>
        </w:tc>
      </w:tr>
      <w:tr w14:paraId="3E52FA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276847F">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AD16ECE">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2A3EC10">
            <w:pPr>
              <w:adjustRightInd w:val="0"/>
              <w:snapToGrid w:val="0"/>
              <w:spacing w:line="300" w:lineRule="exact"/>
              <w:jc w:val="center"/>
              <w:rPr>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036C75C9">
            <w:pPr>
              <w:adjustRightInd w:val="0"/>
              <w:snapToGrid w:val="0"/>
              <w:spacing w:line="300" w:lineRule="exact"/>
              <w:jc w:val="center"/>
              <w:rPr>
                <w:color w:val="auto"/>
                <w:spacing w:val="20"/>
                <w:szCs w:val="21"/>
              </w:rPr>
            </w:pPr>
          </w:p>
        </w:tc>
      </w:tr>
      <w:tr w14:paraId="67BF1F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360BA8">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45648CD">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F57110A">
            <w:pPr>
              <w:adjustRightInd w:val="0"/>
              <w:snapToGrid w:val="0"/>
              <w:spacing w:line="300" w:lineRule="exact"/>
              <w:jc w:val="center"/>
              <w:rPr>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03C0B383">
            <w:pPr>
              <w:adjustRightInd w:val="0"/>
              <w:snapToGrid w:val="0"/>
              <w:spacing w:line="300" w:lineRule="exact"/>
              <w:jc w:val="center"/>
              <w:rPr>
                <w:color w:val="auto"/>
                <w:spacing w:val="20"/>
                <w:szCs w:val="21"/>
              </w:rPr>
            </w:pPr>
          </w:p>
        </w:tc>
      </w:tr>
      <w:tr w14:paraId="749474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7D502BC">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C58435D">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F730969">
            <w:pPr>
              <w:adjustRightInd w:val="0"/>
              <w:snapToGrid w:val="0"/>
              <w:spacing w:line="300" w:lineRule="exact"/>
              <w:jc w:val="center"/>
              <w:rPr>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1BA9DC63">
            <w:pPr>
              <w:adjustRightInd w:val="0"/>
              <w:snapToGrid w:val="0"/>
              <w:spacing w:line="300" w:lineRule="exact"/>
              <w:jc w:val="center"/>
              <w:rPr>
                <w:color w:val="auto"/>
                <w:spacing w:val="20"/>
                <w:szCs w:val="21"/>
              </w:rPr>
            </w:pPr>
          </w:p>
        </w:tc>
      </w:tr>
      <w:tr w14:paraId="22FEF9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7C0DCE4">
            <w:pPr>
              <w:pStyle w:val="18"/>
              <w:adjustRightInd w:val="0"/>
              <w:snapToGrid w:val="0"/>
              <w:spacing w:before="156" w:beforeLines="50" w:line="360" w:lineRule="auto"/>
              <w:ind w:firstLine="1126"/>
              <w:jc w:val="left"/>
              <w:rPr>
                <w:color w:val="auto"/>
                <w:spacing w:val="20"/>
                <w:szCs w:val="21"/>
              </w:rPr>
            </w:pPr>
            <w:r>
              <w:rPr>
                <w:rFonts w:hint="eastAsia" w:ascii="宋体" w:hAnsi="宋体"/>
                <w:color w:val="auto"/>
                <w:szCs w:val="21"/>
              </w:rPr>
              <w:t>注：涉及联合体或其他合同主体的信息应按上表格式加列。</w:t>
            </w:r>
          </w:p>
        </w:tc>
      </w:tr>
    </w:tbl>
    <w:p w14:paraId="7FFAEC86">
      <w:pPr>
        <w:pStyle w:val="3"/>
        <w:adjustRightInd w:val="0"/>
        <w:snapToGrid w:val="0"/>
        <w:spacing w:before="156" w:beforeLines="50"/>
        <w:jc w:val="center"/>
        <w:rPr>
          <w:rFonts w:hint="eastAsia" w:ascii="黑体" w:hAnsi="黑体"/>
          <w:color w:val="auto"/>
          <w:sz w:val="28"/>
          <w:szCs w:val="28"/>
        </w:rPr>
      </w:pPr>
      <w:r>
        <w:rPr>
          <w:rFonts w:ascii="宋体" w:hAnsi="宋体"/>
          <w:color w:val="auto"/>
          <w:sz w:val="21"/>
          <w:szCs w:val="21"/>
          <w:u w:val="single"/>
        </w:rPr>
        <w:br w:type="page"/>
      </w:r>
      <w:bookmarkStart w:id="116" w:name="_Toc27624"/>
      <w:r>
        <w:rPr>
          <w:rFonts w:hint="eastAsia" w:ascii="黑体" w:hAnsi="黑体"/>
          <w:b w:val="0"/>
          <w:bCs w:val="0"/>
          <w:color w:val="auto"/>
          <w:sz w:val="28"/>
          <w:szCs w:val="28"/>
        </w:rPr>
        <w:t>第二节 政府采购合同通用条款</w:t>
      </w:r>
      <w:bookmarkEnd w:id="116"/>
    </w:p>
    <w:p w14:paraId="484093D7">
      <w:pPr>
        <w:tabs>
          <w:tab w:val="left" w:pos="8820"/>
          <w:tab w:val="left" w:pos="9345"/>
          <w:tab w:val="left" w:pos="9765"/>
        </w:tabs>
        <w:adjustRightInd w:val="0"/>
        <w:snapToGrid w:val="0"/>
        <w:spacing w:line="400" w:lineRule="exact"/>
        <w:jc w:val="left"/>
        <w:rPr>
          <w:rFonts w:hint="eastAsia"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368AD00C">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1.1合同当事人</w:t>
      </w:r>
    </w:p>
    <w:p w14:paraId="017317D3">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6D6C380F">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772D27DE">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75E6CB95">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1.2本合同下列术语应解释为：</w:t>
      </w:r>
    </w:p>
    <w:p w14:paraId="3E4DE6C1">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00D4FFFA">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6098E095">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lang w:val="en"/>
        </w:rPr>
        <w:t>其他</w:t>
      </w:r>
      <w:r>
        <w:rPr>
          <w:rFonts w:hint="eastAsia" w:ascii="宋体" w:hAnsi="宋体"/>
          <w:color w:val="auto"/>
          <w:szCs w:val="21"/>
        </w:rPr>
        <w:t>技术资料和材料等。</w:t>
      </w:r>
    </w:p>
    <w:p w14:paraId="74345EC7">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lang w:val="en"/>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lang w:val="en"/>
        </w:rPr>
        <w:t>其他</w:t>
      </w:r>
      <w:r>
        <w:rPr>
          <w:rFonts w:hint="eastAsia" w:ascii="宋体" w:hAnsi="宋体"/>
          <w:color w:val="auto"/>
          <w:szCs w:val="21"/>
        </w:rPr>
        <w:t>义务。</w:t>
      </w:r>
    </w:p>
    <w:p w14:paraId="134C2C81">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4467705B">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5CFD4451">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3E52A1B8">
      <w:pPr>
        <w:numPr>
          <w:ilvl w:val="0"/>
          <w:numId w:val="7"/>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color w:val="auto"/>
          <w:sz w:val="24"/>
        </w:rPr>
        <w:t>合同标的及金额</w:t>
      </w:r>
    </w:p>
    <w:p w14:paraId="41328158">
      <w:pPr>
        <w:autoSpaceDE w:val="0"/>
        <w:autoSpaceDN w:val="0"/>
        <w:adjustRightInd w:val="0"/>
        <w:snapToGrid w:val="0"/>
        <w:spacing w:line="400" w:lineRule="exact"/>
        <w:ind w:firstLine="420" w:firstLineChars="200"/>
        <w:jc w:val="left"/>
        <w:rPr>
          <w:rFonts w:hint="eastAsia"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lang w:val="en"/>
        </w:rPr>
        <w:t>其他</w:t>
      </w:r>
      <w:r>
        <w:rPr>
          <w:rFonts w:hint="eastAsia" w:ascii="宋体" w:hAnsi="宋体"/>
          <w:color w:val="auto"/>
          <w:szCs w:val="21"/>
        </w:rPr>
        <w:t>任何费用。</w:t>
      </w:r>
    </w:p>
    <w:p w14:paraId="1C282058">
      <w:pPr>
        <w:adjustRightInd w:val="0"/>
        <w:snapToGrid w:val="0"/>
        <w:spacing w:line="400" w:lineRule="exact"/>
        <w:jc w:val="left"/>
        <w:rPr>
          <w:rFonts w:hint="eastAsia" w:ascii="宋体" w:hAnsi="宋体"/>
          <w:b/>
          <w:color w:val="auto"/>
          <w:sz w:val="24"/>
        </w:rPr>
      </w:pPr>
      <w:r>
        <w:rPr>
          <w:rFonts w:hint="eastAsia" w:ascii="宋体" w:hAnsi="宋体"/>
          <w:b/>
          <w:color w:val="auto"/>
          <w:sz w:val="24"/>
        </w:rPr>
        <w:t>3. 履行合同的时间、地点和方式</w:t>
      </w:r>
    </w:p>
    <w:p w14:paraId="07222E9C">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00C8AAAD">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4. 甲方的权利和义务</w:t>
      </w:r>
    </w:p>
    <w:p w14:paraId="03958B0C">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141EC89D">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7C881660">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4.</w:t>
      </w: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甲方</w:t>
      </w:r>
      <w:r>
        <w:rPr>
          <w:rFonts w:hint="eastAsia" w:ascii="宋体" w:hAnsi="宋体"/>
          <w:color w:val="auto"/>
          <w:szCs w:val="21"/>
        </w:rPr>
        <w:t>有权要求乙方对缺陷部分予以修复，并按合同约定享有货物保修及其他合同约定的权利。</w:t>
      </w:r>
    </w:p>
    <w:p w14:paraId="48C15A02">
      <w:pPr>
        <w:snapToGrid w:val="0"/>
        <w:spacing w:line="400" w:lineRule="exact"/>
        <w:ind w:firstLine="420"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473A387A">
      <w:pPr>
        <w:autoSpaceDE w:val="0"/>
        <w:autoSpaceDN w:val="0"/>
        <w:adjustRightInd w:val="0"/>
        <w:snapToGrid w:val="0"/>
        <w:spacing w:line="400" w:lineRule="exact"/>
        <w:ind w:firstLine="420" w:firstLineChars="200"/>
        <w:jc w:val="left"/>
        <w:rPr>
          <w:rFonts w:hint="eastAsia"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602635E2">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4.6</w:t>
      </w:r>
      <w:r>
        <w:rPr>
          <w:rFonts w:ascii="宋体" w:hAnsi="宋体"/>
          <w:color w:val="auto"/>
          <w:szCs w:val="21"/>
        </w:rPr>
        <w:t xml:space="preserve">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348E2B7B">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5. 乙方的权利和义务</w:t>
      </w:r>
    </w:p>
    <w:p w14:paraId="2B196D47">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0EBA6555">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5F3F243C">
      <w:pPr>
        <w:pStyle w:val="17"/>
        <w:spacing w:line="400" w:lineRule="exact"/>
        <w:ind w:firstLine="422" w:firstLineChars="176"/>
        <w:rPr>
          <w:rFonts w:hint="eastAsia"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56A347DF">
      <w:pPr>
        <w:pStyle w:val="17"/>
        <w:spacing w:line="400" w:lineRule="exact"/>
        <w:ind w:firstLine="422" w:firstLineChars="176"/>
        <w:rPr>
          <w:rFonts w:hint="eastAsia"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06D54B34">
      <w:pPr>
        <w:numPr>
          <w:ilvl w:val="0"/>
          <w:numId w:val="8"/>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合同履行</w:t>
      </w:r>
    </w:p>
    <w:p w14:paraId="31F5825D">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5E9705B2">
      <w:pPr>
        <w:autoSpaceDE w:val="0"/>
        <w:autoSpaceDN w:val="0"/>
        <w:adjustRightInd w:val="0"/>
        <w:snapToGrid w:val="0"/>
        <w:spacing w:line="400" w:lineRule="exact"/>
        <w:ind w:firstLine="420"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340290C7">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7. 货物包装、运输、保险和交付要求</w:t>
      </w:r>
    </w:p>
    <w:p w14:paraId="23D1A338">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62DFD632">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7CA1C1A2">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543F2B87">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08B575F">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6B173E59">
      <w:pPr>
        <w:pStyle w:val="141"/>
        <w:ind w:firstLine="420"/>
        <w:rPr>
          <w:rFonts w:hint="eastAsia"/>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33986B9C">
      <w:pPr>
        <w:adjustRightInd w:val="0"/>
        <w:snapToGrid w:val="0"/>
        <w:spacing w:line="400" w:lineRule="exact"/>
        <w:jc w:val="left"/>
        <w:rPr>
          <w:rFonts w:hint="eastAsia" w:ascii="宋体" w:hAnsi="宋体"/>
          <w:b/>
          <w:color w:val="auto"/>
          <w:sz w:val="24"/>
        </w:rPr>
      </w:pPr>
      <w:r>
        <w:rPr>
          <w:rFonts w:hint="eastAsia" w:ascii="宋体" w:hAnsi="宋体"/>
          <w:b/>
          <w:color w:val="auto"/>
          <w:sz w:val="24"/>
        </w:rPr>
        <w:t>8. 质量标准和保证</w:t>
      </w:r>
    </w:p>
    <w:p w14:paraId="2D451E0B">
      <w:pPr>
        <w:pStyle w:val="21"/>
        <w:adjustRightInd w:val="0"/>
        <w:snapToGrid w:val="0"/>
        <w:spacing w:line="400" w:lineRule="exact"/>
        <w:ind w:firstLine="420" w:firstLineChars="200"/>
        <w:jc w:val="left"/>
        <w:rPr>
          <w:rFonts w:hint="eastAsia" w:hAnsi="宋体"/>
          <w:b/>
          <w:color w:val="auto"/>
        </w:rPr>
      </w:pPr>
      <w:r>
        <w:rPr>
          <w:rFonts w:hint="eastAsia" w:hAnsi="宋体"/>
          <w:color w:val="auto"/>
        </w:rPr>
        <w:t>8.1 质量标准</w:t>
      </w:r>
    </w:p>
    <w:p w14:paraId="10E8B416">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23A2788">
      <w:pPr>
        <w:pStyle w:val="21"/>
        <w:adjustRightInd w:val="0"/>
        <w:snapToGrid w:val="0"/>
        <w:spacing w:line="400" w:lineRule="exact"/>
        <w:ind w:firstLine="420" w:firstLineChars="200"/>
        <w:jc w:val="left"/>
        <w:rPr>
          <w:rFonts w:hint="eastAsia" w:hAnsi="宋体"/>
          <w:color w:val="auto"/>
        </w:rPr>
      </w:pPr>
      <w:r>
        <w:rPr>
          <w:rFonts w:hint="eastAsia" w:hAnsi="宋体"/>
          <w:color w:val="auto"/>
        </w:rPr>
        <w:t>（2）采用中华人民共和国法定计量单位。</w:t>
      </w:r>
    </w:p>
    <w:p w14:paraId="2D83D98B">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（3）乙方所提供的货物应符合国家有关安全、环保、卫生的规定。</w:t>
      </w:r>
    </w:p>
    <w:p w14:paraId="2C5A846C">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5924A58B">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8.2 保证</w:t>
      </w:r>
    </w:p>
    <w:p w14:paraId="0507640C">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3094F97E">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（2）在质量保证期内所发现的缺陷，甲方应尽快以书面形式通知乙方。</w:t>
      </w:r>
    </w:p>
    <w:p w14:paraId="1CA4E1FB">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64ED7C6A">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4FAB2745">
      <w:pPr>
        <w:adjustRightInd w:val="0"/>
        <w:snapToGrid w:val="0"/>
        <w:spacing w:line="400" w:lineRule="exact"/>
        <w:ind w:firstLine="420"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543324B9">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9. 权利瑕疵担保</w:t>
      </w:r>
    </w:p>
    <w:p w14:paraId="34803685">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9.1 乙方保证对其出售的货物享有合法的权利。</w:t>
      </w:r>
    </w:p>
    <w:p w14:paraId="5AEEFFB5">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6D7B92C3">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9.3 如甲方使用上述货物构成对第三人侵权的，则由乙方承担全部责任。</w:t>
      </w:r>
    </w:p>
    <w:p w14:paraId="6CF78824">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10. 知识产权保护</w:t>
      </w:r>
    </w:p>
    <w:p w14:paraId="52704B18">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117"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117"/>
      <w:r>
        <w:rPr>
          <w:rFonts w:hint="eastAsia" w:ascii="宋体" w:hAnsi="宋体"/>
          <w:color w:val="auto"/>
          <w:szCs w:val="21"/>
        </w:rPr>
        <w:t>。</w:t>
      </w:r>
    </w:p>
    <w:p w14:paraId="2CD6FF56">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11. 保密义务</w:t>
      </w:r>
    </w:p>
    <w:p w14:paraId="686364CA">
      <w:pPr>
        <w:autoSpaceDE w:val="0"/>
        <w:autoSpaceDN w:val="0"/>
        <w:adjustRightInd w:val="0"/>
        <w:snapToGrid w:val="0"/>
        <w:spacing w:line="400" w:lineRule="exact"/>
        <w:ind w:firstLine="420" w:firstLineChars="200"/>
        <w:jc w:val="left"/>
        <w:rPr>
          <w:rFonts w:hint="eastAsia"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2500376F">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12. 合同价款支付</w:t>
      </w:r>
    </w:p>
    <w:p w14:paraId="5A03671D">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12.1 合同价款支付按照国库集中支付制度及财政管理相关规定执行。</w:t>
      </w:r>
    </w:p>
    <w:p w14:paraId="0281889D">
      <w:pPr>
        <w:pStyle w:val="3"/>
        <w:ind w:firstLine="420" w:firstLineChars="200"/>
        <w:rPr>
          <w:rFonts w:eastAsia="宋体"/>
          <w:color w:val="auto"/>
        </w:rPr>
      </w:pPr>
      <w:r>
        <w:rPr>
          <w:rFonts w:hint="eastAsia" w:ascii="宋体" w:hAnsi="宋体"/>
          <w:b w:val="0"/>
          <w:bCs w:val="0"/>
          <w:color w:val="auto"/>
          <w:sz w:val="21"/>
          <w:szCs w:val="21"/>
        </w:rPr>
        <w:t xml:space="preserve">12.2 </w:t>
      </w:r>
      <w:r>
        <w:rPr>
          <w:rFonts w:hint="eastAsia" w:ascii="宋体" w:hAnsi="宋体" w:eastAsia="宋体"/>
          <w:b w:val="0"/>
          <w:bCs w:val="0"/>
          <w:color w:val="auto"/>
          <w:sz w:val="21"/>
          <w:szCs w:val="21"/>
        </w:rPr>
        <w:t>对于满足合同约定支付条件的，甲方原则上应当自收到发票后10个工作日内将资金支付到合同约定的</w:t>
      </w:r>
      <w:r>
        <w:rPr>
          <w:rFonts w:hint="eastAsia" w:ascii="宋体" w:hAnsi="宋体"/>
          <w:b w:val="0"/>
          <w:bCs w:val="0"/>
          <w:color w:val="auto"/>
          <w:sz w:val="21"/>
          <w:szCs w:val="21"/>
        </w:rPr>
        <w:t>乙方</w:t>
      </w:r>
      <w:r>
        <w:rPr>
          <w:rFonts w:hint="eastAsia" w:ascii="宋体" w:hAnsi="宋体" w:eastAsia="宋体"/>
          <w:b w:val="0"/>
          <w:bCs w:val="0"/>
          <w:color w:val="auto"/>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sz w:val="21"/>
          <w:szCs w:val="21"/>
        </w:rPr>
        <w:t>政府采购合同专用条款</w:t>
      </w:r>
      <w:r>
        <w:rPr>
          <w:rFonts w:hint="eastAsia" w:ascii="宋体" w:hAnsi="宋体" w:eastAsia="宋体"/>
          <w:b w:val="0"/>
          <w:bCs w:val="0"/>
          <w:color w:val="auto"/>
          <w:sz w:val="21"/>
          <w:szCs w:val="21"/>
        </w:rPr>
        <w:t>】中</w:t>
      </w:r>
      <w:r>
        <w:rPr>
          <w:rFonts w:hint="eastAsia" w:ascii="宋体" w:hAnsi="宋体"/>
          <w:b w:val="0"/>
          <w:bCs w:val="0"/>
          <w:color w:val="auto"/>
          <w:sz w:val="21"/>
          <w:szCs w:val="21"/>
        </w:rPr>
        <w:t>约</w:t>
      </w:r>
      <w:r>
        <w:rPr>
          <w:rFonts w:hint="eastAsia" w:ascii="宋体" w:hAnsi="宋体" w:eastAsia="宋体"/>
          <w:b w:val="0"/>
          <w:bCs w:val="0"/>
          <w:color w:val="auto"/>
          <w:sz w:val="21"/>
          <w:szCs w:val="21"/>
        </w:rPr>
        <w:t>定。</w:t>
      </w:r>
    </w:p>
    <w:p w14:paraId="660AAB80">
      <w:pPr>
        <w:pStyle w:val="17"/>
        <w:spacing w:line="400" w:lineRule="exact"/>
        <w:rPr>
          <w:rFonts w:hint="eastAsia" w:ascii="宋体" w:hAnsi="宋体"/>
          <w:b/>
          <w:bCs/>
          <w:color w:val="auto"/>
        </w:rPr>
      </w:pPr>
      <w:r>
        <w:rPr>
          <w:rFonts w:hint="eastAsia" w:ascii="宋体" w:hAnsi="宋体"/>
          <w:b/>
          <w:bCs/>
          <w:color w:val="auto"/>
        </w:rPr>
        <w:t>13. 履约保证金</w:t>
      </w:r>
    </w:p>
    <w:p w14:paraId="05645921">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3516E706">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6254AECF">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5A2EDDF1">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2F188ED0">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14.1 除项目不涉及或采购活动中明确约定无须承担外，乙方还应提供下列服务：</w:t>
      </w:r>
    </w:p>
    <w:p w14:paraId="0FF16C99">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（1）货物的现场移动、安装、调试、启动监督及技术支持；</w:t>
      </w:r>
    </w:p>
    <w:p w14:paraId="111E665F">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（2）提供货物组装和维修所需的专用工具和辅助材料；</w:t>
      </w:r>
    </w:p>
    <w:p w14:paraId="11EDE9E1">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715F8280">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74588008">
      <w:pPr>
        <w:pStyle w:val="141"/>
        <w:ind w:firstLine="420"/>
        <w:rPr>
          <w:rFonts w:hint="eastAsia"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147DB809">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06DE4234">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14.2 乙方提供的售后服务的费用已包含在合同价款中，甲方不再另行支付。</w:t>
      </w:r>
    </w:p>
    <w:p w14:paraId="46A2A49F">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15. 违约责任</w:t>
      </w:r>
    </w:p>
    <w:p w14:paraId="292AE6A5">
      <w:pPr>
        <w:adjustRightInd w:val="0"/>
        <w:snapToGrid w:val="0"/>
        <w:spacing w:line="400" w:lineRule="exact"/>
        <w:ind w:firstLine="420" w:firstLineChars="200"/>
        <w:jc w:val="left"/>
        <w:rPr>
          <w:rFonts w:hint="eastAsia" w:ascii="宋体" w:hAnsi="宋体"/>
          <w:bCs/>
          <w:color w:val="auto"/>
          <w:szCs w:val="21"/>
        </w:rPr>
      </w:pPr>
      <w:r>
        <w:rPr>
          <w:rFonts w:hint="eastAsia" w:ascii="宋体" w:hAnsi="宋体"/>
          <w:bCs/>
          <w:color w:val="auto"/>
          <w:szCs w:val="21"/>
        </w:rPr>
        <w:t>15.1质量瑕疵的违约责任</w:t>
      </w:r>
    </w:p>
    <w:p w14:paraId="1B83F5A5">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325AC908">
      <w:pPr>
        <w:autoSpaceDE w:val="0"/>
        <w:autoSpaceDN w:val="0"/>
        <w:adjustRightInd w:val="0"/>
        <w:snapToGrid w:val="0"/>
        <w:spacing w:line="400" w:lineRule="exact"/>
        <w:ind w:firstLine="420" w:firstLineChars="200"/>
        <w:jc w:val="left"/>
        <w:rPr>
          <w:rFonts w:hint="eastAsia" w:ascii="宋体" w:hAnsi="宋体"/>
          <w:bCs/>
          <w:color w:val="auto"/>
          <w:szCs w:val="21"/>
        </w:rPr>
      </w:pPr>
      <w:r>
        <w:rPr>
          <w:rFonts w:hint="eastAsia" w:ascii="宋体" w:hAnsi="宋体"/>
          <w:bCs/>
          <w:color w:val="auto"/>
          <w:szCs w:val="21"/>
        </w:rPr>
        <w:t>15.2 迟延交货的违约责任</w:t>
      </w:r>
    </w:p>
    <w:p w14:paraId="429A07CC">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CBA7294">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6F5DF53F">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15.3 迟延支付的违约责任</w:t>
      </w:r>
    </w:p>
    <w:p w14:paraId="3DCA22C0">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183FE495">
      <w:pPr>
        <w:adjustRightInd w:val="0"/>
        <w:snapToGrid w:val="0"/>
        <w:spacing w:line="400" w:lineRule="exact"/>
        <w:ind w:firstLine="420" w:firstLineChars="200"/>
        <w:jc w:val="left"/>
        <w:rPr>
          <w:rFonts w:hint="eastAsia"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7E66BD36">
      <w:pPr>
        <w:numPr>
          <w:ilvl w:val="0"/>
          <w:numId w:val="9"/>
        </w:num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合同变更、中止与终止</w:t>
      </w:r>
    </w:p>
    <w:p w14:paraId="798002DD">
      <w:pPr>
        <w:adjustRightInd w:val="0"/>
        <w:snapToGrid w:val="0"/>
        <w:spacing w:line="400" w:lineRule="exact"/>
        <w:jc w:val="left"/>
        <w:rPr>
          <w:rFonts w:hint="eastAsia" w:ascii="宋体" w:hAnsi="宋体"/>
          <w:color w:val="auto"/>
          <w:szCs w:val="21"/>
        </w:rPr>
      </w:pPr>
      <w:r>
        <w:rPr>
          <w:rFonts w:hint="eastAsia" w:ascii="宋体" w:hAnsi="宋体"/>
          <w:color w:val="auto"/>
          <w:szCs w:val="21"/>
        </w:rPr>
        <w:t xml:space="preserve">    16.1合同的变更</w:t>
      </w:r>
    </w:p>
    <w:p w14:paraId="0C33ED1A">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2ED4EE01">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16.2合同的中止</w:t>
      </w:r>
    </w:p>
    <w:p w14:paraId="6A69504B">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2AE41EF9">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D747BAA">
      <w:pPr>
        <w:pStyle w:val="141"/>
        <w:ind w:firstLine="420"/>
        <w:jc w:val="both"/>
        <w:rPr>
          <w:rFonts w:hint="eastAsia"/>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0C966C61">
      <w:pPr>
        <w:snapToGrid w:val="0"/>
        <w:spacing w:line="400" w:lineRule="exact"/>
        <w:ind w:firstLine="420"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3401A7CD">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16.3合同的终止</w:t>
      </w:r>
    </w:p>
    <w:p w14:paraId="063B9491">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（1）合同因有效期限届满而终止；</w:t>
      </w:r>
    </w:p>
    <w:p w14:paraId="2CC0C7FC">
      <w:pPr>
        <w:snapToGrid w:val="0"/>
        <w:spacing w:line="400" w:lineRule="exact"/>
        <w:ind w:firstLine="420" w:firstLineChars="200"/>
        <w:rPr>
          <w:rFonts w:hint="eastAsia"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659BBB62">
      <w:pPr>
        <w:pStyle w:val="141"/>
        <w:rPr>
          <w:rFonts w:hint="eastAsia"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2D09F019">
      <w:pPr>
        <w:pStyle w:val="141"/>
        <w:ind w:firstLine="420"/>
        <w:jc w:val="both"/>
        <w:rPr>
          <w:rFonts w:hint="eastAsia"/>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72081D6A">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17. 合同分包</w:t>
      </w:r>
    </w:p>
    <w:p w14:paraId="5F12E412">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5F0F4599">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10F44E74">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18. 不可抗力</w:t>
      </w:r>
    </w:p>
    <w:p w14:paraId="25EF7DAA">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18.1 不可抗力是指合同双方不能预见、不能避免且不能克服的客观情况。</w:t>
      </w:r>
    </w:p>
    <w:p w14:paraId="1D0175A5">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2786E73F">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0BC67CD">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19. 解决争议的方法</w:t>
      </w:r>
    </w:p>
    <w:p w14:paraId="7F1D6388">
      <w:pPr>
        <w:pStyle w:val="141"/>
        <w:ind w:firstLine="420"/>
        <w:jc w:val="both"/>
        <w:rPr>
          <w:rFonts w:hint="eastAsia"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764B5F46">
      <w:pPr>
        <w:pStyle w:val="141"/>
        <w:ind w:firstLine="420"/>
        <w:jc w:val="both"/>
        <w:rPr>
          <w:rFonts w:hint="eastAsia"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316C7AE4">
      <w:pPr>
        <w:pStyle w:val="141"/>
        <w:ind w:firstLine="420"/>
        <w:jc w:val="both"/>
        <w:rPr>
          <w:rFonts w:hint="eastAsia"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55D6A5EA">
      <w:pPr>
        <w:autoSpaceDE w:val="0"/>
        <w:autoSpaceDN w:val="0"/>
        <w:adjustRightInd w:val="0"/>
        <w:snapToGrid w:val="0"/>
        <w:spacing w:line="400" w:lineRule="exact"/>
        <w:jc w:val="left"/>
        <w:rPr>
          <w:rFonts w:hint="eastAsia" w:ascii="宋体" w:hAnsi="宋体"/>
          <w:color w:val="auto"/>
          <w:sz w:val="24"/>
        </w:rPr>
      </w:pPr>
      <w:r>
        <w:rPr>
          <w:rFonts w:hint="eastAsia" w:ascii="宋体" w:hAnsi="宋体"/>
          <w:b/>
          <w:color w:val="auto"/>
          <w:sz w:val="24"/>
        </w:rPr>
        <w:t>20. 政府采购政策</w:t>
      </w:r>
    </w:p>
    <w:p w14:paraId="11FD37C7">
      <w:pPr>
        <w:autoSpaceDE w:val="0"/>
        <w:autoSpaceDN w:val="0"/>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6B58B0A8">
      <w:pPr>
        <w:autoSpaceDE w:val="0"/>
        <w:autoSpaceDN w:val="0"/>
        <w:adjustRightInd w:val="0"/>
        <w:snapToGrid w:val="0"/>
        <w:spacing w:line="400" w:lineRule="exact"/>
        <w:ind w:firstLine="420" w:firstLineChars="200"/>
        <w:jc w:val="left"/>
        <w:rPr>
          <w:rFonts w:hint="eastAsia"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33E98D72">
      <w:pPr>
        <w:pStyle w:val="17"/>
        <w:spacing w:line="400" w:lineRule="exact"/>
        <w:ind w:firstLine="480" w:firstLineChars="200"/>
        <w:rPr>
          <w:color w:val="auto"/>
        </w:rPr>
      </w:pPr>
      <w:r>
        <w:rPr>
          <w:rFonts w:ascii="宋体" w:hAnsi="宋体"/>
          <w:color w:val="auto"/>
          <w:szCs w:val="21"/>
        </w:rPr>
        <w:t>2</w:t>
      </w:r>
      <w:r>
        <w:rPr>
          <w:rFonts w:hint="eastAsia" w:ascii="宋体" w:hAnsi="宋体"/>
          <w:color w:val="auto"/>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8C06BD9">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21. 法律适用</w:t>
      </w:r>
    </w:p>
    <w:p w14:paraId="6F12229F">
      <w:pPr>
        <w:pStyle w:val="141"/>
        <w:ind w:firstLine="420"/>
        <w:jc w:val="both"/>
        <w:rPr>
          <w:rFonts w:hint="eastAsia"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27039C64">
      <w:pPr>
        <w:pStyle w:val="141"/>
        <w:ind w:firstLine="420"/>
        <w:jc w:val="both"/>
        <w:rPr>
          <w:rFonts w:hint="eastAsia"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7877DEA4">
      <w:pPr>
        <w:numPr>
          <w:ilvl w:val="255"/>
          <w:numId w:val="0"/>
        </w:num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22. 通知</w:t>
      </w:r>
    </w:p>
    <w:p w14:paraId="5CB24CCB">
      <w:pPr>
        <w:pStyle w:val="141"/>
        <w:ind w:firstLine="420"/>
        <w:jc w:val="both"/>
        <w:rPr>
          <w:rFonts w:hint="eastAsia"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32040F5B">
      <w:pPr>
        <w:pStyle w:val="141"/>
        <w:ind w:firstLine="0" w:firstLineChars="0"/>
        <w:jc w:val="both"/>
        <w:rPr>
          <w:rFonts w:hint="eastAsia"/>
          <w:color w:val="auto"/>
          <w:sz w:val="21"/>
        </w:rPr>
      </w:pPr>
      <w:r>
        <w:rPr>
          <w:rFonts w:hint="eastAsia"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1DACDC06">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3912651A">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22.4通知以送达之日或通知书中规定的生效之日起生效，两者中以较迟之日为准。</w:t>
      </w:r>
    </w:p>
    <w:p w14:paraId="30C5DDD4">
      <w:pPr>
        <w:numPr>
          <w:ilvl w:val="0"/>
          <w:numId w:val="10"/>
        </w:num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合同未尽事项</w:t>
      </w:r>
    </w:p>
    <w:p w14:paraId="1304F898">
      <w:pPr>
        <w:adjustRightInd w:val="0"/>
        <w:snapToGrid w:val="0"/>
        <w:spacing w:line="400" w:lineRule="exact"/>
        <w:ind w:firstLine="420" w:firstLineChars="200"/>
        <w:jc w:val="left"/>
        <w:rPr>
          <w:rFonts w:hint="eastAsia"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0472D106">
      <w:pPr>
        <w:adjustRightInd w:val="0"/>
        <w:snapToGrid w:val="0"/>
        <w:spacing w:line="400" w:lineRule="exact"/>
        <w:jc w:val="left"/>
        <w:rPr>
          <w:rFonts w:hint="eastAsia" w:ascii="黑体" w:hAnsi="华文中宋" w:eastAsia="黑体"/>
          <w:color w:val="auto"/>
          <w:sz w:val="28"/>
          <w:szCs w:val="28"/>
        </w:rPr>
      </w:pPr>
      <w:r>
        <w:rPr>
          <w:rFonts w:hint="eastAsia" w:ascii="宋体" w:hAnsi="宋体"/>
          <w:bCs/>
          <w:color w:val="auto"/>
          <w:szCs w:val="21"/>
        </w:rPr>
        <w:t xml:space="preserve">    23.2 合同附件与合同正文具有同等的法律效力。</w:t>
      </w:r>
      <w:bookmarkStart w:id="118" w:name="_Toc20313"/>
    </w:p>
    <w:p w14:paraId="244B8D44">
      <w:pPr>
        <w:adjustRightInd w:val="0"/>
        <w:snapToGrid w:val="0"/>
        <w:jc w:val="center"/>
        <w:rPr>
          <w:rFonts w:hint="eastAsia" w:ascii="黑体" w:hAnsi="华文中宋" w:eastAsia="黑体"/>
          <w:color w:val="auto"/>
          <w:sz w:val="28"/>
          <w:szCs w:val="28"/>
        </w:rPr>
      </w:pPr>
      <w:r>
        <w:rPr>
          <w:rFonts w:hint="eastAsia" w:ascii="黑体" w:hAnsi="华文中宋" w:eastAsia="黑体"/>
          <w:color w:val="auto"/>
          <w:sz w:val="28"/>
          <w:szCs w:val="28"/>
        </w:rPr>
        <w:br w:type="page"/>
      </w:r>
    </w:p>
    <w:p w14:paraId="08EFAC86">
      <w:pPr>
        <w:pStyle w:val="3"/>
        <w:adjustRightInd w:val="0"/>
        <w:snapToGrid w:val="0"/>
        <w:jc w:val="center"/>
        <w:rPr>
          <w:rFonts w:hint="eastAsia" w:ascii="黑体" w:hAnsi="华文中宋"/>
          <w:b w:val="0"/>
          <w:bCs w:val="0"/>
          <w:color w:val="auto"/>
          <w:sz w:val="28"/>
          <w:szCs w:val="28"/>
        </w:rPr>
      </w:pPr>
      <w:r>
        <w:rPr>
          <w:rFonts w:hint="eastAsia" w:ascii="黑体" w:hAnsi="华文中宋"/>
          <w:b w:val="0"/>
          <w:bCs w:val="0"/>
          <w:color w:val="auto"/>
          <w:sz w:val="28"/>
          <w:szCs w:val="28"/>
        </w:rPr>
        <w:t>第三节 政府采购合同专用条款</w:t>
      </w:r>
      <w:bookmarkEnd w:id="118"/>
    </w:p>
    <w:tbl>
      <w:tblPr>
        <w:tblStyle w:val="3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1EE97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D32DAB">
            <w:pPr>
              <w:adjustRightInd w:val="0"/>
              <w:snapToGrid w:val="0"/>
              <w:jc w:val="center"/>
              <w:rPr>
                <w:rFonts w:hint="eastAsia" w:ascii="宋体" w:hAnsi="宋体"/>
                <w:color w:val="auto"/>
                <w:szCs w:val="21"/>
              </w:rPr>
            </w:pPr>
            <w:r>
              <w:rPr>
                <w:rFonts w:hint="eastAsia" w:ascii="宋体" w:hAnsi="宋体"/>
                <w:color w:val="auto"/>
                <w:szCs w:val="21"/>
              </w:rPr>
              <w:t>第二节</w:t>
            </w:r>
          </w:p>
          <w:p w14:paraId="692591F6">
            <w:pPr>
              <w:adjustRightInd w:val="0"/>
              <w:snapToGrid w:val="0"/>
              <w:jc w:val="center"/>
              <w:rPr>
                <w:rFonts w:hint="eastAsia" w:ascii="宋体" w:hAnsi="宋体"/>
                <w:color w:val="auto"/>
                <w:szCs w:val="21"/>
              </w:rPr>
            </w:pPr>
            <w:r>
              <w:rPr>
                <w:rFonts w:hint="eastAsia" w:ascii="宋体" w:hAnsi="宋体"/>
                <w:color w:val="auto"/>
                <w:szCs w:val="21"/>
              </w:rPr>
              <w:t>第1.2（6）项</w:t>
            </w:r>
          </w:p>
        </w:tc>
        <w:tc>
          <w:tcPr>
            <w:tcW w:w="1742" w:type="dxa"/>
            <w:vAlign w:val="center"/>
          </w:tcPr>
          <w:p w14:paraId="10C0C725">
            <w:pPr>
              <w:adjustRightInd w:val="0"/>
              <w:snapToGrid w:val="0"/>
              <w:jc w:val="left"/>
              <w:rPr>
                <w:rFonts w:hint="eastAsia" w:ascii="宋体" w:hAnsi="宋体"/>
                <w:color w:val="auto"/>
                <w:szCs w:val="21"/>
              </w:rPr>
            </w:pPr>
            <w:r>
              <w:rPr>
                <w:rFonts w:hint="eastAsia" w:ascii="宋体" w:hAnsi="宋体"/>
                <w:color w:val="auto"/>
                <w:szCs w:val="21"/>
              </w:rPr>
              <w:t>联合体具体要求</w:t>
            </w:r>
          </w:p>
        </w:tc>
        <w:tc>
          <w:tcPr>
            <w:tcW w:w="5170" w:type="dxa"/>
            <w:vAlign w:val="center"/>
          </w:tcPr>
          <w:p w14:paraId="7EA6E778">
            <w:pPr>
              <w:adjustRightInd w:val="0"/>
              <w:snapToGrid w:val="0"/>
              <w:jc w:val="left"/>
              <w:rPr>
                <w:rFonts w:hint="eastAsia" w:ascii="宋体" w:hAnsi="宋体"/>
                <w:color w:val="auto"/>
                <w:szCs w:val="21"/>
              </w:rPr>
            </w:pPr>
          </w:p>
        </w:tc>
      </w:tr>
      <w:tr w14:paraId="14EADF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35598C3">
            <w:pPr>
              <w:adjustRightInd w:val="0"/>
              <w:snapToGrid w:val="0"/>
              <w:jc w:val="center"/>
              <w:rPr>
                <w:rFonts w:hint="eastAsia" w:ascii="宋体" w:hAnsi="宋体"/>
                <w:color w:val="auto"/>
                <w:szCs w:val="21"/>
              </w:rPr>
            </w:pPr>
            <w:r>
              <w:rPr>
                <w:rFonts w:hint="eastAsia" w:ascii="宋体" w:hAnsi="宋体"/>
                <w:color w:val="auto"/>
                <w:szCs w:val="21"/>
              </w:rPr>
              <w:t>第二节</w:t>
            </w:r>
          </w:p>
          <w:p w14:paraId="45BE67FA">
            <w:pPr>
              <w:adjustRightInd w:val="0"/>
              <w:snapToGrid w:val="0"/>
              <w:jc w:val="center"/>
              <w:rPr>
                <w:rFonts w:hint="eastAsia" w:ascii="宋体" w:hAnsi="宋体"/>
                <w:color w:val="auto"/>
                <w:szCs w:val="21"/>
              </w:rPr>
            </w:pPr>
            <w:r>
              <w:rPr>
                <w:rFonts w:hint="eastAsia" w:ascii="宋体" w:hAnsi="宋体"/>
                <w:color w:val="auto"/>
                <w:szCs w:val="21"/>
              </w:rPr>
              <w:t>第1.2（7）项</w:t>
            </w:r>
          </w:p>
        </w:tc>
        <w:tc>
          <w:tcPr>
            <w:tcW w:w="1742" w:type="dxa"/>
            <w:vAlign w:val="center"/>
          </w:tcPr>
          <w:p w14:paraId="3043C359">
            <w:pPr>
              <w:adjustRightInd w:val="0"/>
              <w:snapToGrid w:val="0"/>
              <w:jc w:val="left"/>
              <w:rPr>
                <w:rFonts w:hint="eastAsia" w:ascii="宋体" w:hAnsi="宋体"/>
                <w:color w:val="auto"/>
                <w:szCs w:val="21"/>
              </w:rPr>
            </w:pPr>
            <w:r>
              <w:rPr>
                <w:rFonts w:hint="eastAsia" w:ascii="宋体" w:hAnsi="宋体"/>
                <w:color w:val="auto"/>
                <w:szCs w:val="21"/>
              </w:rPr>
              <w:t>其他术语解释</w:t>
            </w:r>
          </w:p>
        </w:tc>
        <w:tc>
          <w:tcPr>
            <w:tcW w:w="5170" w:type="dxa"/>
            <w:vAlign w:val="center"/>
          </w:tcPr>
          <w:p w14:paraId="3E609136">
            <w:pPr>
              <w:adjustRightInd w:val="0"/>
              <w:snapToGrid w:val="0"/>
              <w:jc w:val="left"/>
              <w:rPr>
                <w:rFonts w:hint="eastAsia" w:ascii="宋体" w:hAnsi="宋体"/>
                <w:color w:val="auto"/>
                <w:szCs w:val="21"/>
              </w:rPr>
            </w:pPr>
          </w:p>
        </w:tc>
      </w:tr>
      <w:tr w14:paraId="05BF7B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F976E0">
            <w:pPr>
              <w:adjustRightInd w:val="0"/>
              <w:snapToGrid w:val="0"/>
              <w:jc w:val="center"/>
              <w:rPr>
                <w:rFonts w:hint="eastAsia" w:ascii="宋体" w:hAnsi="宋体"/>
                <w:color w:val="auto"/>
                <w:szCs w:val="21"/>
              </w:rPr>
            </w:pPr>
            <w:r>
              <w:rPr>
                <w:rFonts w:hint="eastAsia" w:ascii="宋体" w:hAnsi="宋体"/>
                <w:color w:val="auto"/>
                <w:szCs w:val="21"/>
              </w:rPr>
              <w:t>第二节</w:t>
            </w:r>
          </w:p>
          <w:p w14:paraId="1BE0B0C6">
            <w:pPr>
              <w:adjustRightInd w:val="0"/>
              <w:snapToGrid w:val="0"/>
              <w:jc w:val="center"/>
              <w:rPr>
                <w:rFonts w:hint="eastAsia" w:ascii="宋体" w:hAnsi="宋体"/>
                <w:color w:val="auto"/>
                <w:szCs w:val="21"/>
              </w:rPr>
            </w:pPr>
            <w:r>
              <w:rPr>
                <w:rFonts w:hint="eastAsia" w:ascii="宋体" w:hAnsi="宋体"/>
                <w:color w:val="auto"/>
                <w:szCs w:val="21"/>
              </w:rPr>
              <w:t>第4.4款</w:t>
            </w:r>
          </w:p>
        </w:tc>
        <w:tc>
          <w:tcPr>
            <w:tcW w:w="1742" w:type="dxa"/>
            <w:vAlign w:val="center"/>
          </w:tcPr>
          <w:p w14:paraId="78E971C7">
            <w:pPr>
              <w:adjustRightInd w:val="0"/>
              <w:snapToGrid w:val="0"/>
              <w:jc w:val="left"/>
              <w:rPr>
                <w:rFonts w:hint="eastAsia" w:ascii="宋体" w:hAnsi="宋体"/>
                <w:color w:val="auto"/>
                <w:szCs w:val="21"/>
              </w:rPr>
            </w:pPr>
            <w:r>
              <w:rPr>
                <w:rFonts w:hint="eastAsia" w:ascii="宋体" w:hAnsi="宋体"/>
                <w:color w:val="auto"/>
                <w:szCs w:val="21"/>
              </w:rPr>
              <w:t>履约验收中甲方提出异议或作出说明的期限</w:t>
            </w:r>
          </w:p>
        </w:tc>
        <w:tc>
          <w:tcPr>
            <w:tcW w:w="5170" w:type="dxa"/>
            <w:vAlign w:val="center"/>
          </w:tcPr>
          <w:p w14:paraId="41DEF0AE">
            <w:pPr>
              <w:adjustRightInd w:val="0"/>
              <w:snapToGrid w:val="0"/>
              <w:jc w:val="left"/>
              <w:rPr>
                <w:rFonts w:hint="eastAsia" w:ascii="宋体" w:hAnsi="宋体"/>
                <w:color w:val="auto"/>
                <w:szCs w:val="21"/>
              </w:rPr>
            </w:pPr>
          </w:p>
        </w:tc>
      </w:tr>
      <w:tr w14:paraId="7C543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2EC26D">
            <w:pPr>
              <w:adjustRightInd w:val="0"/>
              <w:snapToGrid w:val="0"/>
              <w:jc w:val="center"/>
              <w:rPr>
                <w:rFonts w:hint="eastAsia" w:ascii="宋体" w:hAnsi="宋体"/>
                <w:color w:val="auto"/>
                <w:szCs w:val="21"/>
              </w:rPr>
            </w:pPr>
            <w:r>
              <w:rPr>
                <w:rFonts w:hint="eastAsia" w:ascii="宋体" w:hAnsi="宋体"/>
                <w:color w:val="auto"/>
                <w:szCs w:val="21"/>
              </w:rPr>
              <w:t>第二节</w:t>
            </w:r>
          </w:p>
          <w:p w14:paraId="7E4CA06D">
            <w:pPr>
              <w:adjustRightInd w:val="0"/>
              <w:snapToGrid w:val="0"/>
              <w:jc w:val="center"/>
              <w:rPr>
                <w:rFonts w:hint="eastAsia" w:ascii="宋体" w:hAnsi="宋体"/>
                <w:color w:val="auto"/>
                <w:szCs w:val="21"/>
              </w:rPr>
            </w:pPr>
            <w:r>
              <w:rPr>
                <w:rFonts w:hint="eastAsia" w:ascii="宋体" w:hAnsi="宋体"/>
                <w:color w:val="auto"/>
                <w:szCs w:val="21"/>
              </w:rPr>
              <w:t>第4.6款</w:t>
            </w:r>
          </w:p>
        </w:tc>
        <w:tc>
          <w:tcPr>
            <w:tcW w:w="1742" w:type="dxa"/>
            <w:vAlign w:val="center"/>
          </w:tcPr>
          <w:p w14:paraId="42753615">
            <w:pPr>
              <w:adjustRightInd w:val="0"/>
              <w:snapToGrid w:val="0"/>
              <w:jc w:val="left"/>
              <w:rPr>
                <w:rFonts w:hint="eastAsia" w:ascii="宋体" w:hAnsi="宋体"/>
                <w:color w:val="auto"/>
                <w:szCs w:val="21"/>
              </w:rPr>
            </w:pPr>
            <w:r>
              <w:rPr>
                <w:rFonts w:hint="eastAsia" w:ascii="宋体" w:hAnsi="宋体"/>
                <w:color w:val="auto"/>
                <w:szCs w:val="21"/>
              </w:rPr>
              <w:t>约定甲方承担的其他义务和责任</w:t>
            </w:r>
          </w:p>
        </w:tc>
        <w:tc>
          <w:tcPr>
            <w:tcW w:w="5170" w:type="dxa"/>
            <w:vAlign w:val="center"/>
          </w:tcPr>
          <w:p w14:paraId="75D765F7">
            <w:pPr>
              <w:adjustRightInd w:val="0"/>
              <w:snapToGrid w:val="0"/>
              <w:jc w:val="left"/>
              <w:rPr>
                <w:rFonts w:hint="eastAsia" w:ascii="宋体" w:hAnsi="宋体"/>
                <w:color w:val="auto"/>
                <w:szCs w:val="21"/>
              </w:rPr>
            </w:pPr>
          </w:p>
        </w:tc>
      </w:tr>
      <w:tr w14:paraId="7F3184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F76F79">
            <w:pPr>
              <w:adjustRightInd w:val="0"/>
              <w:snapToGrid w:val="0"/>
              <w:jc w:val="center"/>
              <w:rPr>
                <w:rFonts w:hint="eastAsia" w:ascii="宋体" w:hAnsi="宋体"/>
                <w:color w:val="auto"/>
                <w:szCs w:val="21"/>
              </w:rPr>
            </w:pPr>
            <w:r>
              <w:rPr>
                <w:rFonts w:hint="eastAsia" w:ascii="宋体" w:hAnsi="宋体"/>
                <w:color w:val="auto"/>
                <w:szCs w:val="21"/>
              </w:rPr>
              <w:t>第二节</w:t>
            </w:r>
          </w:p>
          <w:p w14:paraId="16B6478C">
            <w:pPr>
              <w:snapToGrid w:val="0"/>
              <w:jc w:val="center"/>
              <w:rPr>
                <w:color w:val="auto"/>
              </w:rPr>
            </w:pPr>
            <w:r>
              <w:rPr>
                <w:rFonts w:hint="eastAsia" w:ascii="宋体" w:hAnsi="宋体"/>
                <w:color w:val="auto"/>
                <w:szCs w:val="21"/>
              </w:rPr>
              <w:t>第5.4款</w:t>
            </w:r>
          </w:p>
        </w:tc>
        <w:tc>
          <w:tcPr>
            <w:tcW w:w="1742" w:type="dxa"/>
            <w:vAlign w:val="center"/>
          </w:tcPr>
          <w:p w14:paraId="42FF3CF0">
            <w:pPr>
              <w:adjustRightInd w:val="0"/>
              <w:snapToGrid w:val="0"/>
              <w:jc w:val="left"/>
              <w:rPr>
                <w:rFonts w:hint="eastAsia" w:ascii="宋体" w:hAnsi="宋体"/>
                <w:color w:val="auto"/>
                <w:szCs w:val="21"/>
              </w:rPr>
            </w:pPr>
            <w:r>
              <w:rPr>
                <w:rFonts w:hint="eastAsia" w:ascii="宋体" w:hAnsi="宋体"/>
                <w:color w:val="auto"/>
                <w:szCs w:val="21"/>
              </w:rPr>
              <w:t>约定乙方承担的其他义务和责任</w:t>
            </w:r>
          </w:p>
        </w:tc>
        <w:tc>
          <w:tcPr>
            <w:tcW w:w="5170" w:type="dxa"/>
            <w:vAlign w:val="center"/>
          </w:tcPr>
          <w:p w14:paraId="1B39A408">
            <w:pPr>
              <w:adjustRightInd w:val="0"/>
              <w:snapToGrid w:val="0"/>
              <w:jc w:val="left"/>
              <w:rPr>
                <w:rFonts w:hint="eastAsia" w:ascii="宋体" w:hAnsi="宋体"/>
                <w:color w:val="auto"/>
                <w:szCs w:val="21"/>
              </w:rPr>
            </w:pPr>
          </w:p>
        </w:tc>
      </w:tr>
      <w:tr w14:paraId="71DE60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3EB0B5">
            <w:pPr>
              <w:adjustRightInd w:val="0"/>
              <w:snapToGrid w:val="0"/>
              <w:jc w:val="center"/>
              <w:rPr>
                <w:rFonts w:hint="eastAsia" w:ascii="宋体" w:hAnsi="宋体"/>
                <w:color w:val="auto"/>
                <w:szCs w:val="21"/>
              </w:rPr>
            </w:pPr>
            <w:r>
              <w:rPr>
                <w:rFonts w:hint="eastAsia" w:ascii="宋体" w:hAnsi="宋体"/>
                <w:color w:val="auto"/>
                <w:szCs w:val="21"/>
              </w:rPr>
              <w:t>第二节</w:t>
            </w:r>
          </w:p>
          <w:p w14:paraId="1E3CEB99">
            <w:pPr>
              <w:snapToGrid w:val="0"/>
              <w:jc w:val="center"/>
              <w:rPr>
                <w:rFonts w:hint="eastAsia" w:ascii="宋体" w:hAnsi="宋体"/>
                <w:color w:val="auto"/>
                <w:szCs w:val="21"/>
              </w:rPr>
            </w:pPr>
            <w:r>
              <w:rPr>
                <w:rFonts w:hint="eastAsia" w:ascii="宋体" w:hAnsi="宋体"/>
                <w:color w:val="auto"/>
                <w:szCs w:val="21"/>
              </w:rPr>
              <w:t>第6.1款</w:t>
            </w:r>
          </w:p>
        </w:tc>
        <w:tc>
          <w:tcPr>
            <w:tcW w:w="1742" w:type="dxa"/>
            <w:vAlign w:val="center"/>
          </w:tcPr>
          <w:p w14:paraId="29F4B363">
            <w:pPr>
              <w:adjustRightInd w:val="0"/>
              <w:snapToGrid w:val="0"/>
              <w:jc w:val="left"/>
              <w:rPr>
                <w:rFonts w:hint="eastAsia" w:ascii="宋体" w:hAnsi="宋体"/>
                <w:color w:val="auto"/>
                <w:szCs w:val="21"/>
              </w:rPr>
            </w:pPr>
            <w:r>
              <w:rPr>
                <w:rFonts w:hint="eastAsia" w:ascii="宋体" w:hAnsi="宋体"/>
                <w:color w:val="auto"/>
                <w:szCs w:val="21"/>
              </w:rPr>
              <w:t>履行合同义务的顺序</w:t>
            </w:r>
          </w:p>
        </w:tc>
        <w:tc>
          <w:tcPr>
            <w:tcW w:w="5170" w:type="dxa"/>
            <w:vAlign w:val="center"/>
          </w:tcPr>
          <w:p w14:paraId="523320A6">
            <w:pPr>
              <w:adjustRightInd w:val="0"/>
              <w:snapToGrid w:val="0"/>
              <w:jc w:val="left"/>
              <w:rPr>
                <w:rFonts w:hint="eastAsia" w:ascii="宋体" w:hAnsi="宋体"/>
                <w:color w:val="auto"/>
                <w:szCs w:val="21"/>
              </w:rPr>
            </w:pPr>
          </w:p>
        </w:tc>
      </w:tr>
      <w:tr w14:paraId="631EF6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1DD5907">
            <w:pPr>
              <w:adjustRightInd w:val="0"/>
              <w:snapToGrid w:val="0"/>
              <w:jc w:val="center"/>
              <w:rPr>
                <w:rFonts w:hint="eastAsia" w:ascii="宋体" w:hAnsi="宋体"/>
                <w:color w:val="auto"/>
                <w:szCs w:val="21"/>
              </w:rPr>
            </w:pPr>
            <w:r>
              <w:rPr>
                <w:rFonts w:hint="eastAsia" w:ascii="宋体" w:hAnsi="宋体"/>
                <w:color w:val="auto"/>
                <w:szCs w:val="21"/>
              </w:rPr>
              <w:t>第二节</w:t>
            </w:r>
          </w:p>
          <w:p w14:paraId="156E363F">
            <w:pPr>
              <w:adjustRightInd w:val="0"/>
              <w:snapToGrid w:val="0"/>
              <w:jc w:val="center"/>
              <w:rPr>
                <w:rFonts w:hint="eastAsia" w:ascii="宋体" w:hAnsi="宋体"/>
                <w:color w:val="auto"/>
                <w:szCs w:val="21"/>
              </w:rPr>
            </w:pPr>
            <w:r>
              <w:rPr>
                <w:rFonts w:hint="eastAsia" w:ascii="宋体" w:hAnsi="宋体"/>
                <w:color w:val="auto"/>
                <w:szCs w:val="21"/>
              </w:rPr>
              <w:t>第7.1款</w:t>
            </w:r>
          </w:p>
        </w:tc>
        <w:tc>
          <w:tcPr>
            <w:tcW w:w="1742" w:type="dxa"/>
            <w:vAlign w:val="center"/>
          </w:tcPr>
          <w:p w14:paraId="2E027AD7">
            <w:pPr>
              <w:adjustRightInd w:val="0"/>
              <w:snapToGrid w:val="0"/>
              <w:jc w:val="left"/>
              <w:rPr>
                <w:rFonts w:hint="eastAsia" w:ascii="宋体" w:hAnsi="宋体"/>
                <w:color w:val="auto"/>
                <w:szCs w:val="21"/>
              </w:rPr>
            </w:pPr>
            <w:r>
              <w:rPr>
                <w:rFonts w:hint="eastAsia" w:ascii="宋体" w:hAnsi="宋体"/>
                <w:color w:val="auto"/>
                <w:szCs w:val="21"/>
              </w:rPr>
              <w:t>包装特殊要求</w:t>
            </w:r>
          </w:p>
        </w:tc>
        <w:tc>
          <w:tcPr>
            <w:tcW w:w="5170" w:type="dxa"/>
            <w:vAlign w:val="center"/>
          </w:tcPr>
          <w:p w14:paraId="06BD33CB">
            <w:pPr>
              <w:rPr>
                <w:color w:val="auto"/>
              </w:rPr>
            </w:pPr>
          </w:p>
        </w:tc>
      </w:tr>
      <w:tr w14:paraId="45E591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CE8C902">
            <w:pPr>
              <w:adjustRightInd w:val="0"/>
              <w:snapToGrid w:val="0"/>
              <w:jc w:val="center"/>
              <w:rPr>
                <w:rFonts w:hint="eastAsia" w:ascii="宋体" w:hAnsi="宋体"/>
                <w:color w:val="auto"/>
                <w:szCs w:val="21"/>
              </w:rPr>
            </w:pPr>
          </w:p>
        </w:tc>
        <w:tc>
          <w:tcPr>
            <w:tcW w:w="1742" w:type="dxa"/>
            <w:vAlign w:val="center"/>
          </w:tcPr>
          <w:p w14:paraId="2C55816E">
            <w:pPr>
              <w:adjustRightInd w:val="0"/>
              <w:snapToGrid w:val="0"/>
              <w:jc w:val="left"/>
              <w:rPr>
                <w:rFonts w:hint="eastAsia" w:ascii="宋体" w:hAnsi="宋体"/>
                <w:color w:val="auto"/>
                <w:szCs w:val="21"/>
              </w:rPr>
            </w:pPr>
            <w:r>
              <w:rPr>
                <w:rFonts w:hint="eastAsia" w:ascii="宋体" w:hAnsi="宋体"/>
                <w:color w:val="auto"/>
                <w:szCs w:val="21"/>
              </w:rPr>
              <w:t>指定现场</w:t>
            </w:r>
          </w:p>
        </w:tc>
        <w:tc>
          <w:tcPr>
            <w:tcW w:w="5170" w:type="dxa"/>
            <w:vAlign w:val="center"/>
          </w:tcPr>
          <w:p w14:paraId="5673413E">
            <w:pPr>
              <w:rPr>
                <w:color w:val="auto"/>
              </w:rPr>
            </w:pPr>
          </w:p>
        </w:tc>
      </w:tr>
      <w:tr w14:paraId="51C706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5A768F5">
            <w:pPr>
              <w:adjustRightInd w:val="0"/>
              <w:snapToGrid w:val="0"/>
              <w:jc w:val="center"/>
              <w:rPr>
                <w:rFonts w:hint="eastAsia" w:ascii="宋体" w:hAnsi="宋体"/>
                <w:color w:val="auto"/>
                <w:szCs w:val="21"/>
              </w:rPr>
            </w:pPr>
            <w:r>
              <w:rPr>
                <w:rFonts w:hint="eastAsia" w:ascii="宋体" w:hAnsi="宋体"/>
                <w:color w:val="auto"/>
                <w:szCs w:val="21"/>
              </w:rPr>
              <w:t>第二节</w:t>
            </w:r>
          </w:p>
          <w:p w14:paraId="0CC111D6">
            <w:pPr>
              <w:adjustRightInd w:val="0"/>
              <w:snapToGrid w:val="0"/>
              <w:jc w:val="center"/>
              <w:rPr>
                <w:rFonts w:hint="eastAsia" w:ascii="宋体" w:hAnsi="宋体"/>
                <w:color w:val="auto"/>
                <w:szCs w:val="21"/>
              </w:rPr>
            </w:pPr>
            <w:r>
              <w:rPr>
                <w:rFonts w:hint="eastAsia" w:ascii="宋体" w:hAnsi="宋体"/>
                <w:color w:val="auto"/>
                <w:szCs w:val="21"/>
              </w:rPr>
              <w:t>第7.2款</w:t>
            </w:r>
          </w:p>
        </w:tc>
        <w:tc>
          <w:tcPr>
            <w:tcW w:w="1742" w:type="dxa"/>
            <w:vAlign w:val="center"/>
          </w:tcPr>
          <w:p w14:paraId="7114E254">
            <w:pPr>
              <w:adjustRightInd w:val="0"/>
              <w:snapToGrid w:val="0"/>
              <w:jc w:val="left"/>
              <w:rPr>
                <w:rFonts w:hint="eastAsia" w:ascii="宋体" w:hAnsi="宋体"/>
                <w:color w:val="auto"/>
                <w:szCs w:val="21"/>
              </w:rPr>
            </w:pPr>
            <w:r>
              <w:rPr>
                <w:rFonts w:hint="eastAsia" w:ascii="宋体" w:hAnsi="宋体"/>
                <w:color w:val="auto"/>
                <w:szCs w:val="21"/>
              </w:rPr>
              <w:t>运输特殊要求</w:t>
            </w:r>
          </w:p>
        </w:tc>
        <w:tc>
          <w:tcPr>
            <w:tcW w:w="5170" w:type="dxa"/>
            <w:vAlign w:val="center"/>
          </w:tcPr>
          <w:p w14:paraId="2AE366DB">
            <w:pPr>
              <w:rPr>
                <w:color w:val="auto"/>
              </w:rPr>
            </w:pPr>
          </w:p>
        </w:tc>
      </w:tr>
      <w:tr w14:paraId="374388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F9C1BF1">
            <w:pPr>
              <w:adjustRightInd w:val="0"/>
              <w:snapToGrid w:val="0"/>
              <w:jc w:val="center"/>
              <w:rPr>
                <w:rFonts w:hint="eastAsia" w:ascii="宋体" w:hAnsi="宋体"/>
                <w:color w:val="auto"/>
                <w:szCs w:val="21"/>
              </w:rPr>
            </w:pPr>
            <w:r>
              <w:rPr>
                <w:rFonts w:hint="eastAsia" w:ascii="宋体" w:hAnsi="宋体"/>
                <w:color w:val="auto"/>
                <w:szCs w:val="21"/>
              </w:rPr>
              <w:t>第二节</w:t>
            </w:r>
          </w:p>
          <w:p w14:paraId="2F08AF9F">
            <w:pPr>
              <w:adjustRightInd w:val="0"/>
              <w:snapToGrid w:val="0"/>
              <w:jc w:val="center"/>
              <w:rPr>
                <w:rFonts w:hint="eastAsia" w:ascii="宋体" w:hAnsi="宋体"/>
                <w:color w:val="auto"/>
                <w:szCs w:val="21"/>
              </w:rPr>
            </w:pPr>
            <w:r>
              <w:rPr>
                <w:rFonts w:hint="eastAsia" w:ascii="宋体" w:hAnsi="宋体"/>
                <w:color w:val="auto"/>
                <w:szCs w:val="21"/>
              </w:rPr>
              <w:t>第7.3款</w:t>
            </w:r>
          </w:p>
        </w:tc>
        <w:tc>
          <w:tcPr>
            <w:tcW w:w="1742" w:type="dxa"/>
            <w:vAlign w:val="center"/>
          </w:tcPr>
          <w:p w14:paraId="629EAC2B">
            <w:pPr>
              <w:adjustRightInd w:val="0"/>
              <w:snapToGrid w:val="0"/>
              <w:jc w:val="left"/>
              <w:rPr>
                <w:rFonts w:hint="eastAsia" w:ascii="宋体" w:hAnsi="宋体"/>
                <w:color w:val="auto"/>
                <w:szCs w:val="21"/>
              </w:rPr>
            </w:pPr>
            <w:r>
              <w:rPr>
                <w:rFonts w:hint="eastAsia" w:ascii="宋体" w:hAnsi="宋体"/>
                <w:color w:val="auto"/>
                <w:szCs w:val="21"/>
              </w:rPr>
              <w:t>保险要求</w:t>
            </w:r>
          </w:p>
        </w:tc>
        <w:tc>
          <w:tcPr>
            <w:tcW w:w="5170" w:type="dxa"/>
            <w:vAlign w:val="center"/>
          </w:tcPr>
          <w:p w14:paraId="11B45C47">
            <w:pPr>
              <w:rPr>
                <w:color w:val="auto"/>
              </w:rPr>
            </w:pPr>
          </w:p>
        </w:tc>
      </w:tr>
      <w:tr w14:paraId="6936E2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D83899">
            <w:pPr>
              <w:adjustRightInd w:val="0"/>
              <w:snapToGrid w:val="0"/>
              <w:jc w:val="center"/>
              <w:rPr>
                <w:rFonts w:hint="eastAsia" w:ascii="宋体" w:hAnsi="宋体"/>
                <w:color w:val="auto"/>
                <w:szCs w:val="21"/>
              </w:rPr>
            </w:pPr>
            <w:r>
              <w:rPr>
                <w:rFonts w:hint="eastAsia" w:ascii="宋体" w:hAnsi="宋体"/>
                <w:color w:val="auto"/>
                <w:szCs w:val="21"/>
              </w:rPr>
              <w:t>第二节</w:t>
            </w:r>
          </w:p>
          <w:p w14:paraId="30FF6EF0">
            <w:pPr>
              <w:adjustRightInd w:val="0"/>
              <w:snapToGrid w:val="0"/>
              <w:jc w:val="center"/>
              <w:rPr>
                <w:rFonts w:hint="eastAsia" w:ascii="宋体" w:hAnsi="宋体"/>
                <w:color w:val="auto"/>
                <w:szCs w:val="21"/>
              </w:rPr>
            </w:pPr>
            <w:r>
              <w:rPr>
                <w:rFonts w:hint="eastAsia" w:ascii="宋体" w:hAnsi="宋体"/>
                <w:color w:val="auto"/>
                <w:szCs w:val="21"/>
              </w:rPr>
              <w:t>第8.2（1）项</w:t>
            </w:r>
          </w:p>
        </w:tc>
        <w:tc>
          <w:tcPr>
            <w:tcW w:w="1742" w:type="dxa"/>
            <w:vAlign w:val="center"/>
          </w:tcPr>
          <w:p w14:paraId="4A3A317B">
            <w:pPr>
              <w:adjustRightInd w:val="0"/>
              <w:snapToGrid w:val="0"/>
              <w:jc w:val="left"/>
              <w:rPr>
                <w:rFonts w:hint="eastAsia" w:ascii="宋体" w:hAnsi="宋体"/>
                <w:color w:val="auto"/>
                <w:szCs w:val="21"/>
              </w:rPr>
            </w:pPr>
            <w:r>
              <w:rPr>
                <w:rFonts w:hint="eastAsia" w:ascii="宋体" w:hAnsi="宋体"/>
                <w:color w:val="auto"/>
                <w:szCs w:val="21"/>
              </w:rPr>
              <w:t>质量保证期</w:t>
            </w:r>
          </w:p>
        </w:tc>
        <w:tc>
          <w:tcPr>
            <w:tcW w:w="5170" w:type="dxa"/>
            <w:vAlign w:val="center"/>
          </w:tcPr>
          <w:p w14:paraId="05EE0771">
            <w:pPr>
              <w:autoSpaceDE w:val="0"/>
              <w:autoSpaceDN w:val="0"/>
              <w:adjustRightInd w:val="0"/>
              <w:snapToGrid w:val="0"/>
              <w:ind w:firstLine="420" w:firstLineChars="200"/>
              <w:jc w:val="left"/>
              <w:rPr>
                <w:rFonts w:hint="eastAsia" w:ascii="宋体" w:hAnsi="宋体"/>
                <w:color w:val="auto"/>
                <w:szCs w:val="21"/>
              </w:rPr>
            </w:pPr>
          </w:p>
        </w:tc>
      </w:tr>
      <w:tr w14:paraId="37E4E1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44B9BD">
            <w:pPr>
              <w:adjustRightInd w:val="0"/>
              <w:snapToGrid w:val="0"/>
              <w:jc w:val="center"/>
              <w:rPr>
                <w:rFonts w:hint="eastAsia" w:ascii="宋体" w:hAnsi="宋体"/>
                <w:color w:val="auto"/>
                <w:szCs w:val="21"/>
              </w:rPr>
            </w:pPr>
            <w:r>
              <w:rPr>
                <w:rFonts w:hint="eastAsia" w:ascii="宋体" w:hAnsi="宋体"/>
                <w:color w:val="auto"/>
                <w:szCs w:val="21"/>
              </w:rPr>
              <w:t>第二节</w:t>
            </w:r>
          </w:p>
          <w:p w14:paraId="01F72BAA">
            <w:pPr>
              <w:adjustRightInd w:val="0"/>
              <w:snapToGrid w:val="0"/>
              <w:jc w:val="center"/>
              <w:rPr>
                <w:rFonts w:hint="eastAsia" w:ascii="宋体" w:hAnsi="宋体"/>
                <w:color w:val="auto"/>
                <w:szCs w:val="21"/>
              </w:rPr>
            </w:pPr>
            <w:r>
              <w:rPr>
                <w:rFonts w:hint="eastAsia" w:ascii="宋体" w:hAnsi="宋体"/>
                <w:color w:val="auto"/>
                <w:szCs w:val="21"/>
              </w:rPr>
              <w:t>第8.2（3）项</w:t>
            </w:r>
          </w:p>
        </w:tc>
        <w:tc>
          <w:tcPr>
            <w:tcW w:w="1742" w:type="dxa"/>
            <w:vAlign w:val="center"/>
          </w:tcPr>
          <w:p w14:paraId="50F3D35D">
            <w:pPr>
              <w:adjustRightInd w:val="0"/>
              <w:snapToGrid w:val="0"/>
              <w:jc w:val="left"/>
              <w:rPr>
                <w:rFonts w:hint="eastAsia" w:ascii="宋体" w:hAnsi="宋体"/>
                <w:color w:val="auto"/>
                <w:szCs w:val="21"/>
              </w:rPr>
            </w:pPr>
            <w:r>
              <w:rPr>
                <w:rFonts w:hint="eastAsia" w:ascii="宋体" w:hAnsi="宋体"/>
                <w:color w:val="auto"/>
                <w:szCs w:val="21"/>
              </w:rPr>
              <w:t>货物质量缺陷</w:t>
            </w:r>
          </w:p>
          <w:p w14:paraId="5B899FDD">
            <w:pPr>
              <w:adjustRightInd w:val="0"/>
              <w:snapToGrid w:val="0"/>
              <w:jc w:val="left"/>
              <w:rPr>
                <w:rFonts w:hint="eastAsia" w:ascii="宋体" w:hAnsi="宋体"/>
                <w:color w:val="auto"/>
                <w:szCs w:val="21"/>
              </w:rPr>
            </w:pPr>
            <w:r>
              <w:rPr>
                <w:rFonts w:hint="eastAsia" w:ascii="宋体" w:hAnsi="宋体"/>
                <w:color w:val="auto"/>
                <w:szCs w:val="21"/>
              </w:rPr>
              <w:t>响应时间</w:t>
            </w:r>
          </w:p>
        </w:tc>
        <w:tc>
          <w:tcPr>
            <w:tcW w:w="5170" w:type="dxa"/>
            <w:vAlign w:val="center"/>
          </w:tcPr>
          <w:p w14:paraId="4092F4F2">
            <w:pPr>
              <w:adjustRightInd w:val="0"/>
              <w:snapToGrid w:val="0"/>
              <w:jc w:val="left"/>
              <w:rPr>
                <w:rFonts w:hint="eastAsia" w:ascii="宋体" w:hAnsi="宋体"/>
                <w:color w:val="auto"/>
                <w:szCs w:val="21"/>
              </w:rPr>
            </w:pPr>
          </w:p>
        </w:tc>
      </w:tr>
      <w:tr w14:paraId="02A844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3B9132">
            <w:pPr>
              <w:snapToGrid w:val="0"/>
              <w:jc w:val="center"/>
              <w:rPr>
                <w:rFonts w:hint="eastAsia" w:ascii="宋体" w:hAnsi="宋体" w:cs="宋体"/>
                <w:color w:val="auto"/>
                <w:szCs w:val="21"/>
              </w:rPr>
            </w:pPr>
            <w:r>
              <w:rPr>
                <w:rFonts w:hint="eastAsia" w:ascii="宋体" w:hAnsi="宋体" w:cs="宋体"/>
                <w:color w:val="auto"/>
                <w:szCs w:val="21"/>
              </w:rPr>
              <w:t>第二节</w:t>
            </w:r>
          </w:p>
          <w:p w14:paraId="6B6456B3">
            <w:pPr>
              <w:pStyle w:val="141"/>
              <w:ind w:firstLine="0" w:firstLineChars="0"/>
              <w:jc w:val="center"/>
              <w:rPr>
                <w:rFonts w:hint="eastAsia"/>
                <w:color w:val="auto"/>
              </w:rPr>
            </w:pPr>
            <w:r>
              <w:rPr>
                <w:rFonts w:hint="eastAsia" w:ascii="宋体" w:hAnsi="宋体" w:eastAsia="宋体" w:cs="宋体"/>
                <w:color w:val="auto"/>
              </w:rPr>
              <w:t>第11.1款</w:t>
            </w:r>
          </w:p>
        </w:tc>
        <w:tc>
          <w:tcPr>
            <w:tcW w:w="1742" w:type="dxa"/>
            <w:vAlign w:val="center"/>
          </w:tcPr>
          <w:p w14:paraId="3EAF579F">
            <w:pPr>
              <w:adjustRightInd w:val="0"/>
              <w:snapToGrid w:val="0"/>
              <w:rPr>
                <w:rFonts w:hint="eastAsia" w:ascii="宋体" w:hAnsi="宋体"/>
                <w:color w:val="auto"/>
                <w:szCs w:val="21"/>
              </w:rPr>
            </w:pPr>
            <w:r>
              <w:rPr>
                <w:rFonts w:hint="eastAsia" w:ascii="宋体" w:hAnsi="宋体"/>
                <w:color w:val="auto"/>
                <w:szCs w:val="21"/>
              </w:rPr>
              <w:t>其他应当保密的信息</w:t>
            </w:r>
          </w:p>
        </w:tc>
        <w:tc>
          <w:tcPr>
            <w:tcW w:w="5170" w:type="dxa"/>
            <w:vAlign w:val="center"/>
          </w:tcPr>
          <w:p w14:paraId="078CC818">
            <w:pPr>
              <w:adjustRightInd w:val="0"/>
              <w:snapToGrid w:val="0"/>
              <w:jc w:val="left"/>
              <w:rPr>
                <w:rFonts w:hint="eastAsia" w:ascii="宋体" w:hAnsi="宋体"/>
                <w:color w:val="auto"/>
                <w:szCs w:val="21"/>
              </w:rPr>
            </w:pPr>
          </w:p>
        </w:tc>
      </w:tr>
      <w:tr w14:paraId="3DE4C6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8B559AC">
            <w:pPr>
              <w:adjustRightInd w:val="0"/>
              <w:snapToGrid w:val="0"/>
              <w:jc w:val="center"/>
              <w:rPr>
                <w:rFonts w:hint="eastAsia" w:ascii="宋体" w:hAnsi="宋体"/>
                <w:color w:val="auto"/>
                <w:szCs w:val="21"/>
              </w:rPr>
            </w:pPr>
            <w:r>
              <w:rPr>
                <w:rFonts w:hint="eastAsia" w:ascii="宋体" w:hAnsi="宋体"/>
                <w:color w:val="auto"/>
                <w:szCs w:val="21"/>
              </w:rPr>
              <w:t>第二节</w:t>
            </w:r>
          </w:p>
          <w:p w14:paraId="036E2742">
            <w:pPr>
              <w:adjustRightInd w:val="0"/>
              <w:snapToGrid w:val="0"/>
              <w:jc w:val="center"/>
              <w:rPr>
                <w:rFonts w:hint="eastAsia" w:ascii="宋体" w:hAnsi="宋体"/>
                <w:color w:val="auto"/>
                <w:szCs w:val="21"/>
              </w:rPr>
            </w:pPr>
            <w:r>
              <w:rPr>
                <w:rFonts w:hint="eastAsia" w:ascii="宋体" w:hAnsi="宋体"/>
                <w:color w:val="auto"/>
                <w:szCs w:val="21"/>
              </w:rPr>
              <w:t>第12.2款</w:t>
            </w:r>
          </w:p>
        </w:tc>
        <w:tc>
          <w:tcPr>
            <w:tcW w:w="1742" w:type="dxa"/>
            <w:vAlign w:val="center"/>
          </w:tcPr>
          <w:p w14:paraId="095E4E3D">
            <w:pPr>
              <w:adjustRightInd w:val="0"/>
              <w:snapToGrid w:val="0"/>
              <w:jc w:val="left"/>
              <w:rPr>
                <w:rFonts w:hint="eastAsia" w:ascii="宋体" w:hAnsi="宋体"/>
                <w:color w:val="auto"/>
                <w:szCs w:val="21"/>
              </w:rPr>
            </w:pPr>
            <w:r>
              <w:rPr>
                <w:rFonts w:hint="eastAsia" w:ascii="宋体" w:hAnsi="宋体"/>
                <w:color w:val="auto"/>
                <w:szCs w:val="21"/>
              </w:rPr>
              <w:t>合同价款支付时间</w:t>
            </w:r>
          </w:p>
        </w:tc>
        <w:tc>
          <w:tcPr>
            <w:tcW w:w="5170" w:type="dxa"/>
            <w:vAlign w:val="center"/>
          </w:tcPr>
          <w:p w14:paraId="74C167F9">
            <w:pPr>
              <w:adjustRightInd w:val="0"/>
              <w:snapToGrid w:val="0"/>
              <w:jc w:val="left"/>
              <w:rPr>
                <w:rFonts w:hint="eastAsia" w:ascii="宋体" w:hAnsi="宋体"/>
                <w:color w:val="auto"/>
                <w:szCs w:val="21"/>
              </w:rPr>
            </w:pPr>
          </w:p>
        </w:tc>
      </w:tr>
      <w:tr w14:paraId="4FDB23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48631F">
            <w:pPr>
              <w:adjustRightInd w:val="0"/>
              <w:snapToGrid w:val="0"/>
              <w:jc w:val="center"/>
              <w:rPr>
                <w:rFonts w:hint="eastAsia" w:ascii="宋体" w:hAnsi="宋体"/>
                <w:color w:val="auto"/>
                <w:szCs w:val="21"/>
              </w:rPr>
            </w:pPr>
            <w:r>
              <w:rPr>
                <w:rFonts w:hint="eastAsia" w:ascii="宋体" w:hAnsi="宋体"/>
                <w:color w:val="auto"/>
                <w:szCs w:val="21"/>
              </w:rPr>
              <w:t>第二节</w:t>
            </w:r>
          </w:p>
          <w:p w14:paraId="6BC41FF9">
            <w:pPr>
              <w:adjustRightInd w:val="0"/>
              <w:snapToGrid w:val="0"/>
              <w:jc w:val="center"/>
              <w:rPr>
                <w:rFonts w:hint="eastAsia" w:ascii="宋体" w:hAnsi="宋体"/>
                <w:color w:val="auto"/>
                <w:szCs w:val="21"/>
              </w:rPr>
            </w:pPr>
            <w:r>
              <w:rPr>
                <w:rFonts w:hint="eastAsia" w:ascii="宋体" w:hAnsi="宋体"/>
                <w:color w:val="auto"/>
                <w:szCs w:val="21"/>
              </w:rPr>
              <w:t>第13.2款</w:t>
            </w:r>
          </w:p>
        </w:tc>
        <w:tc>
          <w:tcPr>
            <w:tcW w:w="1742" w:type="dxa"/>
            <w:vAlign w:val="center"/>
          </w:tcPr>
          <w:p w14:paraId="1BCF3B1F">
            <w:pPr>
              <w:adjustRightInd w:val="0"/>
              <w:snapToGrid w:val="0"/>
              <w:jc w:val="left"/>
              <w:rPr>
                <w:rFonts w:hint="eastAsia" w:ascii="宋体" w:hAnsi="宋体"/>
                <w:color w:val="auto"/>
                <w:szCs w:val="21"/>
              </w:rPr>
            </w:pPr>
            <w:r>
              <w:rPr>
                <w:rFonts w:hint="eastAsia" w:ascii="宋体" w:hAnsi="宋体"/>
                <w:color w:val="auto"/>
                <w:szCs w:val="21"/>
              </w:rPr>
              <w:t>履约保证金不予退还的情形</w:t>
            </w:r>
          </w:p>
        </w:tc>
        <w:tc>
          <w:tcPr>
            <w:tcW w:w="5170" w:type="dxa"/>
            <w:vAlign w:val="center"/>
          </w:tcPr>
          <w:p w14:paraId="39E4EB1F">
            <w:pPr>
              <w:adjustRightInd w:val="0"/>
              <w:snapToGrid w:val="0"/>
              <w:jc w:val="left"/>
              <w:rPr>
                <w:rFonts w:hint="eastAsia" w:ascii="宋体" w:hAnsi="宋体"/>
                <w:color w:val="auto"/>
                <w:szCs w:val="21"/>
              </w:rPr>
            </w:pPr>
          </w:p>
        </w:tc>
      </w:tr>
      <w:tr w14:paraId="69E5AD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5E58D0">
            <w:pPr>
              <w:adjustRightInd w:val="0"/>
              <w:snapToGrid w:val="0"/>
              <w:jc w:val="center"/>
              <w:rPr>
                <w:rFonts w:hint="eastAsia" w:ascii="宋体" w:hAnsi="宋体"/>
                <w:color w:val="auto"/>
                <w:szCs w:val="21"/>
              </w:rPr>
            </w:pPr>
            <w:r>
              <w:rPr>
                <w:rFonts w:hint="eastAsia" w:ascii="宋体" w:hAnsi="宋体"/>
                <w:color w:val="auto"/>
                <w:szCs w:val="21"/>
              </w:rPr>
              <w:t>第二节</w:t>
            </w:r>
          </w:p>
          <w:p w14:paraId="1D3D6B9D">
            <w:pPr>
              <w:adjustRightInd w:val="0"/>
              <w:snapToGrid w:val="0"/>
              <w:jc w:val="center"/>
              <w:rPr>
                <w:rFonts w:hint="eastAsia" w:ascii="宋体" w:hAnsi="宋体"/>
                <w:color w:val="auto"/>
                <w:szCs w:val="21"/>
              </w:rPr>
            </w:pPr>
            <w:r>
              <w:rPr>
                <w:rFonts w:hint="eastAsia" w:ascii="宋体" w:hAnsi="宋体"/>
                <w:color w:val="auto"/>
                <w:szCs w:val="21"/>
              </w:rPr>
              <w:t>第13.3款</w:t>
            </w:r>
          </w:p>
        </w:tc>
        <w:tc>
          <w:tcPr>
            <w:tcW w:w="1742" w:type="dxa"/>
            <w:vAlign w:val="center"/>
          </w:tcPr>
          <w:p w14:paraId="3A831D1B">
            <w:pPr>
              <w:adjustRightInd w:val="0"/>
              <w:snapToGrid w:val="0"/>
              <w:jc w:val="left"/>
              <w:rPr>
                <w:rFonts w:hint="eastAsia" w:ascii="宋体" w:hAnsi="宋体"/>
                <w:color w:val="auto"/>
                <w:szCs w:val="21"/>
              </w:rPr>
            </w:pPr>
            <w:r>
              <w:rPr>
                <w:rFonts w:hint="eastAsia" w:ascii="宋体" w:hAnsi="宋体"/>
                <w:color w:val="auto"/>
                <w:szCs w:val="21"/>
              </w:rPr>
              <w:t>履约保证金退还时间及逾期退还的违约金</w:t>
            </w:r>
          </w:p>
        </w:tc>
        <w:tc>
          <w:tcPr>
            <w:tcW w:w="5170" w:type="dxa"/>
            <w:vAlign w:val="center"/>
          </w:tcPr>
          <w:p w14:paraId="56926A3D">
            <w:pPr>
              <w:adjustRightInd w:val="0"/>
              <w:snapToGrid w:val="0"/>
              <w:jc w:val="left"/>
              <w:rPr>
                <w:rFonts w:hint="eastAsia" w:ascii="宋体" w:hAnsi="宋体"/>
                <w:color w:val="auto"/>
                <w:szCs w:val="21"/>
              </w:rPr>
            </w:pPr>
          </w:p>
        </w:tc>
      </w:tr>
      <w:tr w14:paraId="0DE1A8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25669D6">
            <w:pPr>
              <w:adjustRightInd w:val="0"/>
              <w:snapToGrid w:val="0"/>
              <w:jc w:val="center"/>
              <w:rPr>
                <w:rFonts w:hint="eastAsia" w:ascii="宋体" w:hAnsi="宋体"/>
                <w:color w:val="auto"/>
                <w:szCs w:val="21"/>
              </w:rPr>
            </w:pPr>
            <w:r>
              <w:rPr>
                <w:rFonts w:hint="eastAsia" w:ascii="宋体" w:hAnsi="宋体"/>
                <w:color w:val="auto"/>
                <w:szCs w:val="21"/>
              </w:rPr>
              <w:t>第二节</w:t>
            </w:r>
          </w:p>
          <w:p w14:paraId="2D2FBDEA">
            <w:pPr>
              <w:adjustRightInd w:val="0"/>
              <w:snapToGrid w:val="0"/>
              <w:jc w:val="center"/>
              <w:rPr>
                <w:rFonts w:hint="eastAsia" w:ascii="宋体" w:hAnsi="宋体"/>
                <w:color w:val="auto"/>
                <w:szCs w:val="21"/>
              </w:rPr>
            </w:pPr>
            <w:r>
              <w:rPr>
                <w:rFonts w:hint="eastAsia" w:ascii="宋体" w:hAnsi="宋体"/>
                <w:color w:val="auto"/>
                <w:szCs w:val="21"/>
              </w:rPr>
              <w:t>第14.1（3）项</w:t>
            </w:r>
          </w:p>
        </w:tc>
        <w:tc>
          <w:tcPr>
            <w:tcW w:w="1742" w:type="dxa"/>
            <w:vAlign w:val="center"/>
          </w:tcPr>
          <w:p w14:paraId="5A17E96C">
            <w:pPr>
              <w:adjustRightInd w:val="0"/>
              <w:snapToGrid w:val="0"/>
              <w:jc w:val="left"/>
              <w:rPr>
                <w:rFonts w:hint="eastAsia" w:ascii="宋体" w:hAnsi="宋体"/>
                <w:color w:val="auto"/>
                <w:szCs w:val="21"/>
              </w:rPr>
            </w:pPr>
            <w:r>
              <w:rPr>
                <w:rFonts w:hint="eastAsia" w:ascii="宋体" w:hAnsi="宋体"/>
                <w:color w:val="auto"/>
                <w:szCs w:val="21"/>
              </w:rPr>
              <w:t>运行监督、维修期限</w:t>
            </w:r>
          </w:p>
        </w:tc>
        <w:tc>
          <w:tcPr>
            <w:tcW w:w="5170" w:type="dxa"/>
            <w:vAlign w:val="center"/>
          </w:tcPr>
          <w:p w14:paraId="35669716">
            <w:pPr>
              <w:adjustRightInd w:val="0"/>
              <w:snapToGrid w:val="0"/>
              <w:jc w:val="left"/>
              <w:rPr>
                <w:rFonts w:hint="eastAsia" w:ascii="宋体" w:hAnsi="宋体"/>
                <w:color w:val="auto"/>
                <w:szCs w:val="21"/>
              </w:rPr>
            </w:pPr>
          </w:p>
        </w:tc>
      </w:tr>
      <w:tr w14:paraId="5150E4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D26D774">
            <w:pPr>
              <w:adjustRightInd w:val="0"/>
              <w:snapToGrid w:val="0"/>
              <w:jc w:val="center"/>
              <w:rPr>
                <w:rFonts w:hint="eastAsia" w:ascii="宋体" w:hAnsi="宋体"/>
                <w:color w:val="auto"/>
                <w:szCs w:val="21"/>
              </w:rPr>
            </w:pPr>
            <w:r>
              <w:rPr>
                <w:rFonts w:hint="eastAsia" w:ascii="宋体" w:hAnsi="宋体"/>
                <w:color w:val="auto"/>
                <w:szCs w:val="21"/>
              </w:rPr>
              <w:t>第二节</w:t>
            </w:r>
          </w:p>
          <w:p w14:paraId="0E16791A">
            <w:pPr>
              <w:adjustRightInd w:val="0"/>
              <w:snapToGrid w:val="0"/>
              <w:jc w:val="center"/>
              <w:rPr>
                <w:rFonts w:hint="eastAsia" w:ascii="宋体" w:hAnsi="宋体"/>
                <w:color w:val="auto"/>
                <w:szCs w:val="21"/>
              </w:rPr>
            </w:pPr>
            <w:r>
              <w:rPr>
                <w:rFonts w:hint="eastAsia" w:ascii="宋体" w:hAnsi="宋体"/>
                <w:color w:val="auto"/>
                <w:szCs w:val="21"/>
              </w:rPr>
              <w:t>第14.1（5）项</w:t>
            </w:r>
          </w:p>
        </w:tc>
        <w:tc>
          <w:tcPr>
            <w:tcW w:w="1742" w:type="dxa"/>
            <w:vAlign w:val="center"/>
          </w:tcPr>
          <w:p w14:paraId="512BA3C1">
            <w:pPr>
              <w:adjustRightInd w:val="0"/>
              <w:snapToGrid w:val="0"/>
              <w:jc w:val="left"/>
              <w:rPr>
                <w:rFonts w:hint="eastAsia" w:ascii="宋体" w:hAnsi="宋体"/>
                <w:color w:val="auto"/>
                <w:szCs w:val="21"/>
              </w:rPr>
            </w:pPr>
            <w:r>
              <w:rPr>
                <w:rFonts w:hint="eastAsia" w:ascii="宋体" w:hAnsi="宋体"/>
                <w:color w:val="auto"/>
                <w:szCs w:val="21"/>
              </w:rPr>
              <w:t>货物回收的约定</w:t>
            </w:r>
          </w:p>
        </w:tc>
        <w:tc>
          <w:tcPr>
            <w:tcW w:w="5170" w:type="dxa"/>
            <w:vAlign w:val="center"/>
          </w:tcPr>
          <w:p w14:paraId="2A8E39ED">
            <w:pPr>
              <w:adjustRightInd w:val="0"/>
              <w:snapToGrid w:val="0"/>
              <w:jc w:val="left"/>
              <w:rPr>
                <w:rFonts w:hint="eastAsia" w:ascii="宋体" w:hAnsi="宋体"/>
                <w:color w:val="auto"/>
                <w:szCs w:val="21"/>
              </w:rPr>
            </w:pPr>
          </w:p>
        </w:tc>
      </w:tr>
      <w:tr w14:paraId="5ADE2C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96CCEB">
            <w:pPr>
              <w:adjustRightInd w:val="0"/>
              <w:snapToGrid w:val="0"/>
              <w:jc w:val="center"/>
              <w:rPr>
                <w:rFonts w:hint="eastAsia" w:ascii="宋体" w:hAnsi="宋体"/>
                <w:color w:val="auto"/>
                <w:szCs w:val="21"/>
              </w:rPr>
            </w:pPr>
            <w:r>
              <w:rPr>
                <w:rFonts w:hint="eastAsia" w:ascii="宋体" w:hAnsi="宋体"/>
                <w:color w:val="auto"/>
                <w:szCs w:val="21"/>
              </w:rPr>
              <w:t>第二节</w:t>
            </w:r>
          </w:p>
          <w:p w14:paraId="466A53DE">
            <w:pPr>
              <w:adjustRightInd w:val="0"/>
              <w:snapToGrid w:val="0"/>
              <w:jc w:val="center"/>
              <w:rPr>
                <w:rFonts w:hint="eastAsia" w:ascii="宋体" w:hAnsi="宋体"/>
                <w:color w:val="auto"/>
                <w:szCs w:val="21"/>
              </w:rPr>
            </w:pPr>
            <w:r>
              <w:rPr>
                <w:rFonts w:hint="eastAsia" w:ascii="宋体" w:hAnsi="宋体"/>
                <w:color w:val="auto"/>
                <w:szCs w:val="21"/>
              </w:rPr>
              <w:t>第14.1（6）项</w:t>
            </w:r>
          </w:p>
        </w:tc>
        <w:tc>
          <w:tcPr>
            <w:tcW w:w="1742" w:type="dxa"/>
            <w:vAlign w:val="center"/>
          </w:tcPr>
          <w:p w14:paraId="10E2DD3B">
            <w:pPr>
              <w:adjustRightInd w:val="0"/>
              <w:snapToGrid w:val="0"/>
              <w:jc w:val="left"/>
              <w:rPr>
                <w:rFonts w:hint="eastAsia" w:ascii="宋体" w:hAnsi="宋体"/>
                <w:color w:val="auto"/>
                <w:szCs w:val="21"/>
              </w:rPr>
            </w:pPr>
            <w:r>
              <w:rPr>
                <w:rFonts w:hint="eastAsia" w:ascii="宋体" w:hAnsi="宋体"/>
                <w:color w:val="auto"/>
                <w:szCs w:val="21"/>
              </w:rPr>
              <w:t>乙方提供的其他服务</w:t>
            </w:r>
          </w:p>
        </w:tc>
        <w:tc>
          <w:tcPr>
            <w:tcW w:w="5170" w:type="dxa"/>
            <w:vAlign w:val="center"/>
          </w:tcPr>
          <w:p w14:paraId="3E5EBADE">
            <w:pPr>
              <w:adjustRightInd w:val="0"/>
              <w:snapToGrid w:val="0"/>
              <w:jc w:val="left"/>
              <w:rPr>
                <w:rFonts w:hint="eastAsia" w:ascii="宋体" w:hAnsi="宋体"/>
                <w:color w:val="auto"/>
                <w:szCs w:val="21"/>
              </w:rPr>
            </w:pPr>
          </w:p>
        </w:tc>
      </w:tr>
      <w:tr w14:paraId="1BA44B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9BCE30">
            <w:pPr>
              <w:adjustRightInd w:val="0"/>
              <w:snapToGrid w:val="0"/>
              <w:jc w:val="center"/>
              <w:rPr>
                <w:rFonts w:hint="eastAsia" w:ascii="宋体" w:hAnsi="宋体"/>
                <w:color w:val="auto"/>
                <w:szCs w:val="21"/>
              </w:rPr>
            </w:pPr>
            <w:r>
              <w:rPr>
                <w:rFonts w:hint="eastAsia" w:ascii="宋体" w:hAnsi="宋体"/>
                <w:color w:val="auto"/>
                <w:szCs w:val="21"/>
              </w:rPr>
              <w:t>第二节</w:t>
            </w:r>
          </w:p>
          <w:p w14:paraId="7E703433">
            <w:pPr>
              <w:adjustRightInd w:val="0"/>
              <w:snapToGrid w:val="0"/>
              <w:jc w:val="center"/>
              <w:rPr>
                <w:rFonts w:hint="eastAsia" w:ascii="宋体" w:hAnsi="宋体"/>
                <w:color w:val="auto"/>
                <w:szCs w:val="21"/>
              </w:rPr>
            </w:pPr>
            <w:r>
              <w:rPr>
                <w:rFonts w:hint="eastAsia" w:ascii="宋体" w:hAnsi="宋体"/>
                <w:color w:val="auto"/>
                <w:szCs w:val="21"/>
              </w:rPr>
              <w:t>第15.1款</w:t>
            </w:r>
          </w:p>
        </w:tc>
        <w:tc>
          <w:tcPr>
            <w:tcW w:w="1742" w:type="dxa"/>
            <w:vAlign w:val="center"/>
          </w:tcPr>
          <w:p w14:paraId="3B42535D">
            <w:pPr>
              <w:adjustRightInd w:val="0"/>
              <w:snapToGrid w:val="0"/>
              <w:jc w:val="left"/>
              <w:rPr>
                <w:rFonts w:hint="eastAsia" w:ascii="宋体" w:hAnsi="宋体"/>
                <w:color w:val="auto"/>
                <w:szCs w:val="21"/>
              </w:rPr>
            </w:pPr>
            <w:r>
              <w:rPr>
                <w:rFonts w:hint="eastAsia" w:ascii="宋体" w:hAnsi="宋体"/>
                <w:color w:val="auto"/>
                <w:szCs w:val="21"/>
              </w:rPr>
              <w:t>修理、重作、更换相关具体规定</w:t>
            </w:r>
          </w:p>
        </w:tc>
        <w:tc>
          <w:tcPr>
            <w:tcW w:w="5170" w:type="dxa"/>
            <w:vAlign w:val="center"/>
          </w:tcPr>
          <w:p w14:paraId="5D2991F4">
            <w:pPr>
              <w:adjustRightInd w:val="0"/>
              <w:snapToGrid w:val="0"/>
              <w:jc w:val="left"/>
              <w:rPr>
                <w:rFonts w:hint="eastAsia" w:ascii="宋体" w:hAnsi="宋体"/>
                <w:color w:val="auto"/>
                <w:szCs w:val="21"/>
              </w:rPr>
            </w:pPr>
          </w:p>
        </w:tc>
      </w:tr>
      <w:tr w14:paraId="57C201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C6CAB8">
            <w:pPr>
              <w:adjustRightInd w:val="0"/>
              <w:snapToGrid w:val="0"/>
              <w:jc w:val="center"/>
              <w:rPr>
                <w:rFonts w:hint="eastAsia" w:ascii="宋体" w:hAnsi="宋体"/>
                <w:color w:val="auto"/>
                <w:szCs w:val="21"/>
              </w:rPr>
            </w:pPr>
            <w:r>
              <w:rPr>
                <w:rFonts w:hint="eastAsia" w:ascii="宋体" w:hAnsi="宋体"/>
                <w:color w:val="auto"/>
                <w:szCs w:val="21"/>
              </w:rPr>
              <w:t>第二节</w:t>
            </w:r>
          </w:p>
          <w:p w14:paraId="1362628B">
            <w:pPr>
              <w:adjustRightInd w:val="0"/>
              <w:snapToGrid w:val="0"/>
              <w:jc w:val="center"/>
              <w:rPr>
                <w:rFonts w:hint="eastAsia" w:ascii="宋体" w:hAnsi="宋体"/>
                <w:color w:val="auto"/>
                <w:szCs w:val="21"/>
              </w:rPr>
            </w:pPr>
            <w:r>
              <w:rPr>
                <w:rFonts w:hint="eastAsia" w:ascii="宋体" w:hAnsi="宋体"/>
                <w:color w:val="auto"/>
                <w:szCs w:val="21"/>
              </w:rPr>
              <w:t>第15.2（2）项</w:t>
            </w:r>
          </w:p>
        </w:tc>
        <w:tc>
          <w:tcPr>
            <w:tcW w:w="1742" w:type="dxa"/>
            <w:vAlign w:val="center"/>
          </w:tcPr>
          <w:p w14:paraId="05C3AE19">
            <w:pPr>
              <w:adjustRightInd w:val="0"/>
              <w:snapToGrid w:val="0"/>
              <w:jc w:val="left"/>
              <w:rPr>
                <w:rFonts w:hint="eastAsia" w:ascii="宋体" w:hAnsi="宋体"/>
                <w:color w:val="auto"/>
                <w:szCs w:val="21"/>
              </w:rPr>
            </w:pPr>
            <w:r>
              <w:rPr>
                <w:rFonts w:hint="eastAsia" w:ascii="宋体" w:hAnsi="宋体"/>
                <w:color w:val="auto"/>
                <w:szCs w:val="21"/>
              </w:rPr>
              <w:t>迟延交货赔偿费</w:t>
            </w:r>
          </w:p>
        </w:tc>
        <w:tc>
          <w:tcPr>
            <w:tcW w:w="5170" w:type="dxa"/>
            <w:vAlign w:val="center"/>
          </w:tcPr>
          <w:p w14:paraId="0F32FA00">
            <w:pPr>
              <w:adjustRightInd w:val="0"/>
              <w:snapToGrid w:val="0"/>
              <w:jc w:val="left"/>
              <w:rPr>
                <w:rFonts w:hint="eastAsia" w:ascii="宋体" w:hAnsi="宋体"/>
                <w:color w:val="auto"/>
                <w:szCs w:val="21"/>
                <w:u w:val="single"/>
              </w:rPr>
            </w:pPr>
          </w:p>
        </w:tc>
      </w:tr>
      <w:tr w14:paraId="29B082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88D0AF">
            <w:pPr>
              <w:adjustRightInd w:val="0"/>
              <w:snapToGrid w:val="0"/>
              <w:jc w:val="center"/>
              <w:rPr>
                <w:rFonts w:hint="eastAsia" w:ascii="宋体" w:hAnsi="宋体"/>
                <w:color w:val="auto"/>
                <w:szCs w:val="21"/>
              </w:rPr>
            </w:pPr>
            <w:r>
              <w:rPr>
                <w:rFonts w:hint="eastAsia" w:ascii="宋体" w:hAnsi="宋体"/>
                <w:color w:val="auto"/>
                <w:szCs w:val="21"/>
              </w:rPr>
              <w:t>第二节</w:t>
            </w:r>
          </w:p>
          <w:p w14:paraId="12060E0F">
            <w:pPr>
              <w:adjustRightInd w:val="0"/>
              <w:snapToGrid w:val="0"/>
              <w:jc w:val="center"/>
              <w:rPr>
                <w:rFonts w:hint="eastAsia" w:ascii="宋体" w:hAnsi="宋体"/>
                <w:color w:val="auto"/>
                <w:szCs w:val="21"/>
              </w:rPr>
            </w:pPr>
            <w:r>
              <w:rPr>
                <w:rFonts w:hint="eastAsia" w:ascii="宋体" w:hAnsi="宋体"/>
                <w:color w:val="auto"/>
                <w:szCs w:val="21"/>
              </w:rPr>
              <w:t>第15.3款</w:t>
            </w:r>
          </w:p>
        </w:tc>
        <w:tc>
          <w:tcPr>
            <w:tcW w:w="1742" w:type="dxa"/>
            <w:vAlign w:val="center"/>
          </w:tcPr>
          <w:p w14:paraId="629461F4">
            <w:pPr>
              <w:adjustRightInd w:val="0"/>
              <w:snapToGrid w:val="0"/>
              <w:jc w:val="left"/>
              <w:rPr>
                <w:rFonts w:hint="eastAsia" w:ascii="宋体" w:hAnsi="宋体"/>
                <w:color w:val="auto"/>
                <w:szCs w:val="21"/>
              </w:rPr>
            </w:pPr>
            <w:r>
              <w:rPr>
                <w:rFonts w:hint="eastAsia" w:ascii="宋体" w:hAnsi="宋体"/>
                <w:color w:val="auto"/>
                <w:szCs w:val="21"/>
              </w:rPr>
              <w:t>逾期付款利息</w:t>
            </w:r>
          </w:p>
        </w:tc>
        <w:tc>
          <w:tcPr>
            <w:tcW w:w="5170" w:type="dxa"/>
            <w:vAlign w:val="center"/>
          </w:tcPr>
          <w:p w14:paraId="51102298">
            <w:pPr>
              <w:adjustRightInd w:val="0"/>
              <w:snapToGrid w:val="0"/>
              <w:jc w:val="left"/>
              <w:rPr>
                <w:rFonts w:hint="eastAsia" w:ascii="宋体" w:hAnsi="宋体"/>
                <w:color w:val="auto"/>
                <w:szCs w:val="21"/>
                <w:u w:val="single"/>
              </w:rPr>
            </w:pPr>
          </w:p>
        </w:tc>
      </w:tr>
      <w:tr w14:paraId="600DB6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27A4BA3">
            <w:pPr>
              <w:adjustRightInd w:val="0"/>
              <w:snapToGrid w:val="0"/>
              <w:jc w:val="center"/>
              <w:rPr>
                <w:rFonts w:hint="eastAsia" w:ascii="宋体" w:hAnsi="宋体"/>
                <w:color w:val="auto"/>
                <w:szCs w:val="21"/>
              </w:rPr>
            </w:pPr>
            <w:r>
              <w:rPr>
                <w:rFonts w:hint="eastAsia" w:ascii="宋体" w:hAnsi="宋体"/>
                <w:color w:val="auto"/>
                <w:szCs w:val="21"/>
              </w:rPr>
              <w:t>第二节</w:t>
            </w:r>
          </w:p>
          <w:p w14:paraId="3423CAE7">
            <w:pPr>
              <w:adjustRightInd w:val="0"/>
              <w:snapToGrid w:val="0"/>
              <w:jc w:val="center"/>
              <w:rPr>
                <w:rFonts w:hint="eastAsia"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39BED375">
            <w:pPr>
              <w:adjustRightInd w:val="0"/>
              <w:snapToGrid w:val="0"/>
              <w:jc w:val="left"/>
              <w:rPr>
                <w:rFonts w:hint="eastAsia"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774610E1">
            <w:pPr>
              <w:adjustRightInd w:val="0"/>
              <w:snapToGrid w:val="0"/>
              <w:jc w:val="left"/>
              <w:rPr>
                <w:rFonts w:hint="eastAsia" w:ascii="宋体" w:hAnsi="宋体"/>
                <w:color w:val="auto"/>
                <w:szCs w:val="21"/>
                <w:u w:val="single"/>
              </w:rPr>
            </w:pPr>
          </w:p>
        </w:tc>
      </w:tr>
      <w:tr w14:paraId="31CBED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D57147A">
            <w:pPr>
              <w:adjustRightInd w:val="0"/>
              <w:snapToGrid w:val="0"/>
              <w:jc w:val="center"/>
              <w:rPr>
                <w:rFonts w:hint="eastAsia" w:ascii="宋体" w:hAnsi="宋体"/>
                <w:color w:val="auto"/>
                <w:szCs w:val="21"/>
              </w:rPr>
            </w:pPr>
            <w:r>
              <w:rPr>
                <w:rFonts w:hint="eastAsia" w:ascii="宋体" w:hAnsi="宋体"/>
                <w:color w:val="auto"/>
                <w:szCs w:val="21"/>
              </w:rPr>
              <w:t>第二节</w:t>
            </w:r>
          </w:p>
          <w:p w14:paraId="2B0EF5BB">
            <w:pPr>
              <w:adjustRightInd w:val="0"/>
              <w:snapToGrid w:val="0"/>
              <w:jc w:val="center"/>
              <w:rPr>
                <w:rFonts w:hint="eastAsia"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7401EC6C">
            <w:pPr>
              <w:adjustRightInd w:val="0"/>
              <w:snapToGrid w:val="0"/>
              <w:jc w:val="left"/>
              <w:rPr>
                <w:rFonts w:hint="eastAsia"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236D4649">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w:t>
            </w:r>
            <w:r>
              <w:rPr>
                <w:rFonts w:hint="eastAsia" w:ascii="宋体" w:hAnsi="宋体" w:cs="宋体"/>
                <w:iCs/>
                <w:color w:val="auto"/>
                <w:szCs w:val="21"/>
              </w:rPr>
              <w:t>种方式解决：</w:t>
            </w:r>
          </w:p>
          <w:p w14:paraId="7DB48519">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w:t>
            </w:r>
            <w:r>
              <w:rPr>
                <w:rFonts w:hint="eastAsia" w:ascii="宋体" w:hAnsi="宋体" w:cs="宋体"/>
                <w:iCs/>
                <w:color w:val="auto"/>
                <w:szCs w:val="21"/>
              </w:rPr>
              <w:t>；</w:t>
            </w:r>
          </w:p>
          <w:p w14:paraId="2BBE4A2B">
            <w:pPr>
              <w:adjustRightInd w:val="0"/>
              <w:snapToGrid w:val="0"/>
              <w:jc w:val="left"/>
              <w:rPr>
                <w:rFonts w:hint="eastAsia"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w:t>
            </w:r>
            <w:r>
              <w:rPr>
                <w:rFonts w:hint="eastAsia" w:ascii="宋体" w:hAnsi="宋体" w:cs="宋体"/>
                <w:iCs/>
                <w:color w:val="auto"/>
                <w:szCs w:val="21"/>
              </w:rPr>
              <w:t>人民法院起诉。</w:t>
            </w:r>
          </w:p>
        </w:tc>
      </w:tr>
      <w:tr w14:paraId="22FDFD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72B04C8">
            <w:pPr>
              <w:adjustRightInd w:val="0"/>
              <w:snapToGrid w:val="0"/>
              <w:jc w:val="center"/>
              <w:rPr>
                <w:rFonts w:hint="eastAsia" w:ascii="宋体" w:hAnsi="宋体"/>
                <w:color w:val="auto"/>
                <w:szCs w:val="21"/>
              </w:rPr>
            </w:pPr>
            <w:r>
              <w:rPr>
                <w:rFonts w:hint="eastAsia" w:ascii="宋体" w:hAnsi="宋体"/>
                <w:color w:val="auto"/>
                <w:szCs w:val="21"/>
              </w:rPr>
              <w:t>第二节</w:t>
            </w:r>
          </w:p>
          <w:p w14:paraId="4405BE8D">
            <w:pPr>
              <w:adjustRightInd w:val="0"/>
              <w:snapToGrid w:val="0"/>
              <w:jc w:val="center"/>
              <w:rPr>
                <w:rFonts w:hint="eastAsia" w:ascii="宋体" w:hAnsi="宋体"/>
                <w:color w:val="auto"/>
                <w:szCs w:val="21"/>
              </w:rPr>
            </w:pPr>
            <w:r>
              <w:rPr>
                <w:rFonts w:hint="eastAsia" w:ascii="宋体" w:hAnsi="宋体"/>
                <w:color w:val="auto"/>
                <w:szCs w:val="21"/>
              </w:rPr>
              <w:t>第23.1款</w:t>
            </w:r>
          </w:p>
        </w:tc>
        <w:tc>
          <w:tcPr>
            <w:tcW w:w="1742" w:type="dxa"/>
            <w:vAlign w:val="center"/>
          </w:tcPr>
          <w:p w14:paraId="6C4D4D6B">
            <w:pPr>
              <w:adjustRightInd w:val="0"/>
              <w:snapToGrid w:val="0"/>
              <w:jc w:val="left"/>
              <w:rPr>
                <w:rFonts w:hint="eastAsia" w:ascii="宋体" w:hAnsi="宋体"/>
                <w:color w:val="auto"/>
                <w:szCs w:val="21"/>
              </w:rPr>
            </w:pPr>
            <w:r>
              <w:rPr>
                <w:rFonts w:hint="eastAsia" w:ascii="宋体" w:hAnsi="宋体"/>
                <w:bCs/>
                <w:color w:val="auto"/>
                <w:szCs w:val="21"/>
              </w:rPr>
              <w:t>其他专用条款</w:t>
            </w:r>
          </w:p>
        </w:tc>
        <w:tc>
          <w:tcPr>
            <w:tcW w:w="5170" w:type="dxa"/>
            <w:vAlign w:val="center"/>
          </w:tcPr>
          <w:p w14:paraId="356BBA84">
            <w:pPr>
              <w:adjustRightInd w:val="0"/>
              <w:snapToGrid w:val="0"/>
              <w:jc w:val="left"/>
              <w:rPr>
                <w:rFonts w:hint="eastAsia" w:ascii="宋体" w:hAnsi="宋体"/>
                <w:color w:val="auto"/>
                <w:szCs w:val="21"/>
              </w:rPr>
            </w:pPr>
          </w:p>
        </w:tc>
      </w:tr>
    </w:tbl>
    <w:p w14:paraId="3464D80D">
      <w:pPr>
        <w:rPr>
          <w:color w:val="auto"/>
        </w:rPr>
      </w:pPr>
    </w:p>
    <w:p w14:paraId="5FD0ABA9">
      <w:pPr>
        <w:rPr>
          <w:color w:val="auto"/>
        </w:rPr>
      </w:pPr>
    </w:p>
    <w:p w14:paraId="64D9D70B">
      <w:pPr>
        <w:rPr>
          <w:color w:val="auto"/>
        </w:rPr>
      </w:pPr>
    </w:p>
    <w:p w14:paraId="6AD57D04">
      <w:pPr>
        <w:pStyle w:val="21"/>
        <w:jc w:val="left"/>
        <w:rPr>
          <w:color w:val="auto"/>
        </w:rPr>
      </w:pPr>
    </w:p>
    <w:p w14:paraId="523AB334">
      <w:pPr>
        <w:rPr>
          <w:color w:val="auto"/>
        </w:rPr>
      </w:pPr>
    </w:p>
    <w:p w14:paraId="619D8BE8">
      <w:pPr>
        <w:rPr>
          <w:color w:val="auto"/>
        </w:rPr>
      </w:pPr>
    </w:p>
    <w:p w14:paraId="5A0CCCD4">
      <w:pPr>
        <w:rPr>
          <w:color w:val="auto"/>
        </w:rPr>
      </w:pPr>
    </w:p>
    <w:p w14:paraId="00F850AB">
      <w:pPr>
        <w:rPr>
          <w:color w:val="auto"/>
        </w:rPr>
      </w:pPr>
    </w:p>
    <w:p w14:paraId="6063B2DA">
      <w:pPr>
        <w:rPr>
          <w:color w:val="auto"/>
        </w:rPr>
      </w:pPr>
    </w:p>
    <w:p w14:paraId="030B8ED5">
      <w:pPr>
        <w:rPr>
          <w:color w:val="auto"/>
        </w:rPr>
      </w:pPr>
    </w:p>
    <w:p w14:paraId="36E9FBE9">
      <w:pPr>
        <w:rPr>
          <w:color w:val="auto"/>
        </w:rPr>
      </w:pPr>
    </w:p>
    <w:p w14:paraId="2F650FF9">
      <w:pPr>
        <w:rPr>
          <w:color w:val="auto"/>
        </w:rPr>
      </w:pPr>
    </w:p>
    <w:p w14:paraId="55AC7953">
      <w:pPr>
        <w:rPr>
          <w:color w:val="auto"/>
        </w:rPr>
      </w:pPr>
    </w:p>
    <w:p w14:paraId="49AF7FB3">
      <w:pPr>
        <w:pStyle w:val="141"/>
        <w:rPr>
          <w:rFonts w:hint="eastAsia"/>
          <w:color w:val="auto"/>
        </w:rPr>
      </w:pPr>
    </w:p>
    <w:p w14:paraId="2E5F74B8">
      <w:pPr>
        <w:pStyle w:val="141"/>
        <w:rPr>
          <w:rFonts w:hint="eastAsia"/>
          <w:color w:val="auto"/>
        </w:rPr>
      </w:pPr>
    </w:p>
    <w:p w14:paraId="08E2EF30">
      <w:pPr>
        <w:pStyle w:val="141"/>
        <w:rPr>
          <w:rFonts w:hint="eastAsia"/>
          <w:color w:val="auto"/>
        </w:rPr>
      </w:pPr>
    </w:p>
    <w:p w14:paraId="0D11AA8F">
      <w:pPr>
        <w:pStyle w:val="141"/>
        <w:rPr>
          <w:rFonts w:hint="eastAsia"/>
          <w:color w:val="auto"/>
        </w:rPr>
      </w:pPr>
    </w:p>
    <w:p w14:paraId="3E6D8D8B">
      <w:pPr>
        <w:pStyle w:val="141"/>
        <w:rPr>
          <w:rFonts w:hint="eastAsia"/>
          <w:color w:val="auto"/>
        </w:rPr>
      </w:pPr>
    </w:p>
    <w:p w14:paraId="0D1F5E57">
      <w:pPr>
        <w:pStyle w:val="141"/>
        <w:rPr>
          <w:rFonts w:hint="eastAsia"/>
          <w:color w:val="auto"/>
        </w:rPr>
      </w:pPr>
    </w:p>
    <w:p w14:paraId="58877A74">
      <w:pPr>
        <w:pStyle w:val="141"/>
        <w:rPr>
          <w:rFonts w:hint="eastAsia"/>
          <w:color w:val="auto"/>
        </w:rPr>
      </w:pPr>
    </w:p>
    <w:p w14:paraId="54773BDB">
      <w:pPr>
        <w:pStyle w:val="141"/>
        <w:rPr>
          <w:rFonts w:hint="eastAsia"/>
          <w:color w:val="auto"/>
        </w:rPr>
      </w:pPr>
    </w:p>
    <w:p w14:paraId="35046823">
      <w:pPr>
        <w:pStyle w:val="141"/>
        <w:rPr>
          <w:rFonts w:hint="eastAsia"/>
          <w:color w:val="auto"/>
        </w:rPr>
      </w:pPr>
    </w:p>
    <w:p w14:paraId="2D986A9E">
      <w:pPr>
        <w:pStyle w:val="141"/>
        <w:rPr>
          <w:rFonts w:hint="eastAsia"/>
          <w:color w:val="auto"/>
        </w:rPr>
      </w:pPr>
    </w:p>
    <w:p w14:paraId="33F8A79A">
      <w:pPr>
        <w:pStyle w:val="141"/>
        <w:rPr>
          <w:rFonts w:hint="eastAsia"/>
          <w:color w:val="auto"/>
        </w:rPr>
      </w:pPr>
    </w:p>
    <w:p w14:paraId="5D3CD0A5">
      <w:pPr>
        <w:pStyle w:val="141"/>
        <w:rPr>
          <w:rFonts w:hint="eastAsia"/>
          <w:color w:val="auto"/>
        </w:rPr>
      </w:pPr>
    </w:p>
    <w:p w14:paraId="1AB665E6">
      <w:pPr>
        <w:pStyle w:val="141"/>
        <w:rPr>
          <w:rFonts w:hint="eastAsia"/>
          <w:color w:val="auto"/>
        </w:rPr>
      </w:pPr>
    </w:p>
    <w:p w14:paraId="389B40A7">
      <w:pPr>
        <w:pStyle w:val="141"/>
        <w:rPr>
          <w:rFonts w:hint="eastAsia"/>
          <w:color w:val="auto"/>
        </w:rPr>
      </w:pPr>
    </w:p>
    <w:p w14:paraId="365A0545">
      <w:pPr>
        <w:pStyle w:val="141"/>
        <w:rPr>
          <w:rFonts w:hint="eastAsia"/>
          <w:color w:val="auto"/>
        </w:rPr>
      </w:pPr>
    </w:p>
    <w:p w14:paraId="5CE17A3F">
      <w:pPr>
        <w:pStyle w:val="141"/>
        <w:rPr>
          <w:rFonts w:hint="eastAsia"/>
          <w:color w:val="auto"/>
        </w:rPr>
      </w:pPr>
    </w:p>
    <w:p w14:paraId="79C5A73D">
      <w:pPr>
        <w:pStyle w:val="141"/>
        <w:rPr>
          <w:rFonts w:hint="eastAsia"/>
          <w:color w:val="auto"/>
        </w:rPr>
      </w:pPr>
    </w:p>
    <w:p w14:paraId="0DFB4C81">
      <w:pPr>
        <w:pStyle w:val="141"/>
        <w:rPr>
          <w:rFonts w:hint="eastAsia"/>
          <w:color w:val="auto"/>
        </w:rPr>
      </w:pPr>
    </w:p>
    <w:p w14:paraId="71182023">
      <w:pPr>
        <w:pStyle w:val="141"/>
        <w:rPr>
          <w:rFonts w:hint="eastAsia"/>
          <w:color w:val="auto"/>
        </w:rPr>
      </w:pPr>
    </w:p>
    <w:p w14:paraId="670F43FC">
      <w:pPr>
        <w:rPr>
          <w:color w:val="auto"/>
        </w:rPr>
      </w:pPr>
    </w:p>
    <w:p w14:paraId="10431E8B">
      <w:pPr>
        <w:rPr>
          <w:color w:val="auto"/>
        </w:rPr>
      </w:pPr>
    </w:p>
    <w:p w14:paraId="014BE32A">
      <w:pPr>
        <w:rPr>
          <w:color w:val="auto"/>
        </w:rPr>
      </w:pPr>
    </w:p>
    <w:p w14:paraId="676771A7">
      <w:pPr>
        <w:rPr>
          <w:color w:val="auto"/>
        </w:rPr>
      </w:pPr>
    </w:p>
    <w:p w14:paraId="4670F751">
      <w:pPr>
        <w:pStyle w:val="2"/>
        <w:spacing w:line="400" w:lineRule="exact"/>
        <w:rPr>
          <w:rFonts w:hint="eastAsia" w:ascii="方正小标宋_GBK" w:hAnsi="方正小标宋_GBK" w:eastAsia="方正小标宋_GBK"/>
          <w:color w:val="auto"/>
        </w:rPr>
      </w:pPr>
      <w:bookmarkStart w:id="119" w:name="_Toc397585460"/>
      <w:bookmarkStart w:id="120" w:name="_Toc92355028"/>
      <w:r>
        <w:rPr>
          <w:rFonts w:hint="eastAsia" w:ascii="方正小标宋_GBK" w:hAnsi="方正小标宋_GBK" w:eastAsia="方正小标宋_GBK"/>
          <w:color w:val="auto"/>
        </w:rPr>
        <w:t>第六章  响应文件格式</w:t>
      </w:r>
      <w:bookmarkEnd w:id="119"/>
      <w:bookmarkEnd w:id="120"/>
    </w:p>
    <w:p w14:paraId="6CA06B8A">
      <w:pPr>
        <w:jc w:val="left"/>
        <w:rPr>
          <w:rFonts w:hint="eastAsia" w:hAnsi="宋体"/>
          <w:color w:val="auto"/>
          <w:sz w:val="36"/>
          <w:szCs w:val="36"/>
        </w:rPr>
      </w:pPr>
      <w:r>
        <w:rPr>
          <w:b/>
          <w:color w:val="auto"/>
          <w:sz w:val="30"/>
          <w:szCs w:val="30"/>
        </w:rPr>
        <w:br w:type="page"/>
      </w:r>
      <w:r>
        <w:rPr>
          <w:rFonts w:hint="eastAsia" w:ascii="仿宋_GB2312"/>
          <w:b/>
          <w:bCs/>
          <w:color w:val="auto"/>
          <w:sz w:val="36"/>
          <w:szCs w:val="36"/>
        </w:rPr>
        <w:t>一、供应商资格文件</w:t>
      </w:r>
    </w:p>
    <w:p w14:paraId="5A039781">
      <w:pPr>
        <w:tabs>
          <w:tab w:val="left" w:pos="3402"/>
        </w:tabs>
        <w:ind w:firstLine="602"/>
        <w:jc w:val="center"/>
        <w:rPr>
          <w:rFonts w:hint="eastAsia" w:ascii="仿宋_GB2312" w:hAnsi="Adobe 仿宋 Std R" w:eastAsia="仿宋_GB2312"/>
          <w:b/>
          <w:color w:val="auto"/>
          <w:spacing w:val="10"/>
          <w:sz w:val="32"/>
          <w:szCs w:val="32"/>
        </w:rPr>
      </w:pPr>
      <w:bookmarkStart w:id="121" w:name="_Hlk111728366"/>
      <w:r>
        <w:rPr>
          <w:rFonts w:hint="eastAsia" w:ascii="仿宋_GB2312" w:hAnsi="Adobe 仿宋 Std R" w:eastAsia="仿宋_GB2312"/>
          <w:b/>
          <w:color w:val="auto"/>
          <w:spacing w:val="10"/>
          <w:sz w:val="32"/>
          <w:szCs w:val="32"/>
        </w:rPr>
        <w:t>供应商具备参加政府采购活动条件的承诺书</w:t>
      </w:r>
      <w:r>
        <w:rPr>
          <w:rFonts w:hint="eastAsia" w:ascii="仿宋_GB2312" w:hAnsi="Adobe 仿宋 Std R" w:eastAsia="仿宋_GB2312" w:cs="黑体"/>
          <w:bCs/>
          <w:color w:val="auto"/>
          <w:sz w:val="24"/>
        </w:rPr>
        <w:t>(格式)</w:t>
      </w:r>
    </w:p>
    <w:p w14:paraId="484B9BFF">
      <w:pPr>
        <w:tabs>
          <w:tab w:val="left" w:pos="3402"/>
        </w:tabs>
        <w:jc w:val="left"/>
        <w:rPr>
          <w:rFonts w:hint="eastAsia" w:ascii="仿宋_GB2312" w:hAnsi="仿宋" w:eastAsia="仿宋_GB2312"/>
          <w:b/>
          <w:color w:val="auto"/>
          <w:spacing w:val="10"/>
          <w:szCs w:val="21"/>
        </w:rPr>
      </w:pPr>
    </w:p>
    <w:p w14:paraId="266F725D">
      <w:pPr>
        <w:spacing w:line="520" w:lineRule="exact"/>
        <w:rPr>
          <w:rFonts w:hint="eastAsia" w:ascii="宋体" w:hAnsi="宋体"/>
          <w:bCs/>
          <w:color w:val="auto"/>
          <w:szCs w:val="22"/>
        </w:rPr>
      </w:pPr>
      <w:r>
        <w:rPr>
          <w:rFonts w:hint="eastAsia" w:ascii="宋体" w:hAnsi="宋体"/>
          <w:bCs/>
          <w:color w:val="auto"/>
          <w:szCs w:val="22"/>
        </w:rPr>
        <w:t>钦州市政府采购中心：</w:t>
      </w:r>
    </w:p>
    <w:p w14:paraId="3AAEB58C">
      <w:pPr>
        <w:spacing w:line="520" w:lineRule="exact"/>
        <w:ind w:firstLine="420"/>
        <w:rPr>
          <w:rFonts w:hint="eastAsia" w:ascii="宋体" w:hAnsi="宋体"/>
          <w:bCs/>
          <w:color w:val="auto"/>
          <w:szCs w:val="22"/>
        </w:rPr>
      </w:pPr>
      <w:r>
        <w:rPr>
          <w:rFonts w:hint="eastAsia" w:ascii="宋体" w:hAnsi="宋体"/>
          <w:bCs/>
          <w:color w:val="auto"/>
          <w:szCs w:val="22"/>
        </w:rPr>
        <w:t>根据《中华人民共和国政府采购法》实施条例第十七条的规定，现郑重承诺：</w:t>
      </w:r>
    </w:p>
    <w:p w14:paraId="696F4480">
      <w:pPr>
        <w:spacing w:line="520" w:lineRule="exact"/>
        <w:ind w:firstLine="420"/>
        <w:rPr>
          <w:rFonts w:hint="eastAsia" w:ascii="宋体" w:hAnsi="宋体"/>
          <w:bCs/>
          <w:color w:val="auto"/>
          <w:szCs w:val="22"/>
        </w:rPr>
      </w:pPr>
      <w:r>
        <w:rPr>
          <w:rFonts w:ascii="宋体" w:hAnsi="宋体"/>
          <w:bCs/>
          <w:color w:val="auto"/>
          <w:szCs w:val="22"/>
          <w:u w:val="single"/>
        </w:rPr>
        <w:t>(</w:t>
      </w:r>
      <w:r>
        <w:rPr>
          <w:rFonts w:hint="eastAsia" w:ascii="宋体" w:hAnsi="宋体"/>
          <w:bCs/>
          <w:color w:val="auto"/>
          <w:szCs w:val="22"/>
          <w:u w:val="single"/>
        </w:rPr>
        <w:t>供应商名称)</w:t>
      </w:r>
      <w:r>
        <w:rPr>
          <w:rFonts w:hint="eastAsia" w:ascii="宋体" w:hAnsi="宋体"/>
          <w:bCs/>
          <w:color w:val="auto"/>
          <w:szCs w:val="22"/>
        </w:rPr>
        <w:t>具有良好的商业信誉和健全的财务会计制度，具有履行合同所必需的设备和专业技术能力，有依法缴纳税收和社会保障资金的良好记录。</w:t>
      </w:r>
    </w:p>
    <w:p w14:paraId="11F2A836">
      <w:pPr>
        <w:spacing w:line="520" w:lineRule="exact"/>
        <w:ind w:firstLine="420"/>
        <w:rPr>
          <w:rFonts w:hint="eastAsia" w:ascii="宋体" w:hAnsi="宋体"/>
          <w:bCs/>
          <w:color w:val="auto"/>
          <w:szCs w:val="22"/>
        </w:rPr>
      </w:pPr>
      <w:r>
        <w:rPr>
          <w:rFonts w:hint="eastAsia" w:ascii="宋体" w:hAnsi="宋体"/>
          <w:bCs/>
          <w:color w:val="auto"/>
          <w:szCs w:val="22"/>
        </w:rPr>
        <w:t>本单位对上述承诺内容事项真实性负责，如有虚假，由我单位承担相关法律责任。</w:t>
      </w:r>
    </w:p>
    <w:p w14:paraId="07178378">
      <w:pPr>
        <w:spacing w:line="520" w:lineRule="exact"/>
        <w:ind w:firstLine="420"/>
        <w:rPr>
          <w:rFonts w:hint="eastAsia" w:ascii="宋体" w:hAnsi="宋体"/>
          <w:bCs/>
          <w:color w:val="auto"/>
          <w:szCs w:val="22"/>
        </w:rPr>
      </w:pPr>
      <w:r>
        <w:rPr>
          <w:rFonts w:hint="eastAsia" w:ascii="宋体" w:hAnsi="宋体"/>
          <w:bCs/>
          <w:color w:val="auto"/>
          <w:szCs w:val="22"/>
        </w:rPr>
        <w:t>特此承诺。</w:t>
      </w:r>
    </w:p>
    <w:p w14:paraId="4645DB51">
      <w:pPr>
        <w:ind w:firstLine="420"/>
        <w:rPr>
          <w:rFonts w:hint="eastAsia" w:ascii="宋体" w:hAnsi="宋体"/>
          <w:bCs/>
          <w:color w:val="auto"/>
          <w:szCs w:val="22"/>
        </w:rPr>
      </w:pPr>
    </w:p>
    <w:p w14:paraId="47CD7E86">
      <w:pPr>
        <w:ind w:firstLine="420"/>
        <w:rPr>
          <w:rFonts w:hint="eastAsia" w:ascii="宋体" w:hAnsi="宋体"/>
          <w:bCs/>
          <w:color w:val="auto"/>
          <w:szCs w:val="22"/>
        </w:rPr>
      </w:pPr>
    </w:p>
    <w:p w14:paraId="4DD878AA">
      <w:pPr>
        <w:spacing w:line="440" w:lineRule="exact"/>
        <w:ind w:right="1050" w:rightChars="500" w:firstLine="5250" w:firstLineChars="2500"/>
        <w:jc w:val="left"/>
        <w:rPr>
          <w:rFonts w:hint="eastAsia" w:ascii="宋体" w:hAnsi="宋体"/>
          <w:bCs/>
          <w:color w:val="auto"/>
        </w:rPr>
      </w:pPr>
      <w:r>
        <w:rPr>
          <w:rFonts w:hint="eastAsia" w:ascii="宋体" w:hAnsi="宋体"/>
          <w:bCs/>
          <w:color w:val="auto"/>
          <w:szCs w:val="22"/>
        </w:rPr>
        <w:t xml:space="preserve"> </w:t>
      </w:r>
      <w:r>
        <w:rPr>
          <w:rFonts w:ascii="宋体" w:hAnsi="宋体"/>
          <w:bCs/>
          <w:color w:val="auto"/>
          <w:szCs w:val="22"/>
        </w:rPr>
        <w:t xml:space="preserve">   </w:t>
      </w:r>
      <w:r>
        <w:rPr>
          <w:rFonts w:hint="eastAsia" w:ascii="宋体" w:hAnsi="宋体"/>
          <w:bCs/>
          <w:color w:val="auto"/>
        </w:rPr>
        <w:t>供应商（盖章）：</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p>
    <w:p w14:paraId="25AF02F4">
      <w:pPr>
        <w:spacing w:line="440" w:lineRule="exact"/>
        <w:ind w:right="420"/>
        <w:jc w:val="center"/>
        <w:rPr>
          <w:rFonts w:hint="eastAsia" w:ascii="宋体" w:hAnsi="宋体"/>
          <w:bCs/>
          <w:color w:val="auto"/>
        </w:rPr>
      </w:pPr>
      <w:r>
        <w:rPr>
          <w:rFonts w:hint="eastAsia" w:ascii="宋体" w:hAnsi="宋体"/>
          <w:bCs/>
          <w:color w:val="auto"/>
        </w:rPr>
        <w:t xml:space="preserve"> </w:t>
      </w:r>
      <w:r>
        <w:rPr>
          <w:rFonts w:ascii="宋体" w:hAnsi="宋体"/>
          <w:bCs/>
          <w:color w:val="auto"/>
        </w:rPr>
        <w:t xml:space="preserve">                                                </w:t>
      </w:r>
      <w:r>
        <w:rPr>
          <w:rFonts w:hint="eastAsia" w:ascii="宋体" w:hAnsi="宋体"/>
          <w:bCs/>
          <w:color w:val="auto"/>
        </w:rPr>
        <w:t>日期：</w:t>
      </w:r>
      <w:r>
        <w:rPr>
          <w:rFonts w:hint="eastAsia" w:ascii="宋体" w:hAnsi="宋体"/>
          <w:bCs/>
          <w:color w:val="auto"/>
          <w:u w:val="single"/>
        </w:rPr>
        <w:t xml:space="preserve">      </w:t>
      </w:r>
      <w:r>
        <w:rPr>
          <w:rFonts w:hint="eastAsia" w:ascii="宋体" w:hAnsi="宋体"/>
          <w:bCs/>
          <w:color w:val="auto"/>
        </w:rPr>
        <w:t>年</w:t>
      </w:r>
      <w:r>
        <w:rPr>
          <w:rFonts w:hint="eastAsia" w:ascii="宋体" w:hAnsi="宋体"/>
          <w:bCs/>
          <w:color w:val="auto"/>
          <w:u w:val="single"/>
        </w:rPr>
        <w:t xml:space="preserve">    </w:t>
      </w:r>
      <w:r>
        <w:rPr>
          <w:rFonts w:hint="eastAsia" w:ascii="宋体" w:hAnsi="宋体"/>
          <w:bCs/>
          <w:color w:val="auto"/>
        </w:rPr>
        <w:t>月</w:t>
      </w:r>
      <w:r>
        <w:rPr>
          <w:rFonts w:hint="eastAsia" w:ascii="宋体" w:hAnsi="宋体"/>
          <w:bCs/>
          <w:color w:val="auto"/>
          <w:u w:val="single"/>
        </w:rPr>
        <w:t xml:space="preserve">    </w:t>
      </w:r>
      <w:r>
        <w:rPr>
          <w:rFonts w:hint="eastAsia" w:ascii="宋体" w:hAnsi="宋体"/>
          <w:bCs/>
          <w:color w:val="auto"/>
        </w:rPr>
        <w:t>日</w:t>
      </w:r>
    </w:p>
    <w:bookmarkEnd w:id="121"/>
    <w:p w14:paraId="371CA21D">
      <w:pPr>
        <w:rPr>
          <w:color w:val="auto"/>
        </w:rPr>
      </w:pPr>
    </w:p>
    <w:p w14:paraId="42CBE819">
      <w:pPr>
        <w:rPr>
          <w:color w:val="auto"/>
        </w:rPr>
      </w:pPr>
    </w:p>
    <w:p w14:paraId="0A71469C">
      <w:pPr>
        <w:rPr>
          <w:color w:val="auto"/>
        </w:rPr>
      </w:pPr>
    </w:p>
    <w:p w14:paraId="38B235AD">
      <w:pPr>
        <w:rPr>
          <w:color w:val="auto"/>
        </w:rPr>
      </w:pPr>
    </w:p>
    <w:p w14:paraId="70B4A01C">
      <w:pPr>
        <w:rPr>
          <w:color w:val="auto"/>
        </w:rPr>
      </w:pPr>
    </w:p>
    <w:p w14:paraId="23FE80A9">
      <w:pPr>
        <w:tabs>
          <w:tab w:val="left" w:pos="3402"/>
        </w:tabs>
        <w:spacing w:line="460" w:lineRule="exact"/>
        <w:jc w:val="center"/>
        <w:rPr>
          <w:rFonts w:hint="eastAsia" w:ascii="仿宋_GB2312" w:hAnsi="仿宋" w:eastAsia="仿宋_GB2312"/>
          <w:b/>
          <w:color w:val="auto"/>
          <w:spacing w:val="10"/>
          <w:sz w:val="32"/>
          <w:szCs w:val="32"/>
        </w:rPr>
      </w:pPr>
      <w:r>
        <w:rPr>
          <w:rFonts w:hint="eastAsia" w:ascii="仿宋_GB2312" w:hAnsi="仿宋" w:eastAsia="仿宋_GB2312"/>
          <w:b/>
          <w:color w:val="auto"/>
          <w:spacing w:val="10"/>
          <w:sz w:val="32"/>
          <w:szCs w:val="32"/>
        </w:rPr>
        <w:t>无重大违法记录的书面声明</w:t>
      </w:r>
      <w:r>
        <w:rPr>
          <w:rFonts w:hint="eastAsia" w:ascii="仿宋" w:hAnsi="仿宋" w:eastAsia="仿宋" w:cs="黑体"/>
          <w:bCs/>
          <w:color w:val="auto"/>
          <w:sz w:val="24"/>
        </w:rPr>
        <w:t>(格式</w:t>
      </w:r>
      <w:r>
        <w:rPr>
          <w:rFonts w:ascii="仿宋" w:hAnsi="仿宋" w:eastAsia="仿宋" w:cs="黑体"/>
          <w:bCs/>
          <w:color w:val="auto"/>
          <w:sz w:val="24"/>
        </w:rPr>
        <w:t>)</w:t>
      </w:r>
    </w:p>
    <w:p w14:paraId="6AADE6C6">
      <w:pPr>
        <w:spacing w:line="400" w:lineRule="exact"/>
        <w:rPr>
          <w:rFonts w:hint="eastAsia" w:ascii="宋体" w:hAnsi="宋体"/>
          <w:b/>
          <w:color w:val="auto"/>
        </w:rPr>
      </w:pPr>
    </w:p>
    <w:p w14:paraId="49C45B34">
      <w:pPr>
        <w:spacing w:line="520" w:lineRule="exact"/>
        <w:rPr>
          <w:rFonts w:hint="eastAsia" w:ascii="宋体" w:hAnsi="宋体"/>
          <w:bCs/>
          <w:color w:val="auto"/>
        </w:rPr>
      </w:pPr>
      <w:r>
        <w:rPr>
          <w:rFonts w:hint="eastAsia" w:ascii="宋体" w:hAnsi="宋体"/>
          <w:bCs/>
          <w:color w:val="auto"/>
        </w:rPr>
        <w:t>钦州市政府采购中心：</w:t>
      </w:r>
    </w:p>
    <w:p w14:paraId="560988A2">
      <w:pPr>
        <w:spacing w:line="520" w:lineRule="exact"/>
        <w:ind w:firstLine="420"/>
        <w:rPr>
          <w:rFonts w:hint="eastAsia" w:ascii="宋体" w:hAnsi="宋体"/>
          <w:bCs/>
          <w:color w:val="auto"/>
        </w:rPr>
      </w:pPr>
      <w:r>
        <w:rPr>
          <w:rFonts w:hint="eastAsia" w:ascii="宋体" w:hAnsi="宋体"/>
          <w:bCs/>
          <w:color w:val="auto"/>
        </w:rPr>
        <w:t>根据《中华人民共和国政府采购法实施条例》第十七条第一款第(四</w:t>
      </w:r>
      <w:r>
        <w:rPr>
          <w:rFonts w:ascii="宋体" w:hAnsi="宋体"/>
          <w:bCs/>
          <w:color w:val="auto"/>
        </w:rPr>
        <w:t>）</w:t>
      </w:r>
      <w:r>
        <w:rPr>
          <w:rFonts w:hint="eastAsia" w:ascii="宋体" w:hAnsi="宋体"/>
          <w:bCs/>
          <w:color w:val="auto"/>
        </w:rPr>
        <w:t>项的规定，现郑重声明：</w:t>
      </w:r>
    </w:p>
    <w:p w14:paraId="7424332B">
      <w:pPr>
        <w:spacing w:line="520" w:lineRule="exact"/>
        <w:ind w:firstLine="420"/>
        <w:rPr>
          <w:rFonts w:hint="eastAsia" w:ascii="宋体" w:hAnsi="宋体"/>
          <w:bCs/>
          <w:color w:val="auto"/>
        </w:rPr>
      </w:pPr>
      <w:r>
        <w:rPr>
          <w:rFonts w:ascii="宋体" w:hAnsi="宋体"/>
          <w:bCs/>
          <w:color w:val="auto"/>
          <w:u w:val="single"/>
        </w:rPr>
        <w:t>(</w:t>
      </w:r>
      <w:r>
        <w:rPr>
          <w:rFonts w:hint="eastAsia" w:ascii="宋体" w:hAnsi="宋体"/>
          <w:bCs/>
          <w:color w:val="auto"/>
          <w:u w:val="single"/>
        </w:rPr>
        <w:t>供应商名称)</w:t>
      </w:r>
      <w:r>
        <w:rPr>
          <w:rFonts w:hint="eastAsia" w:ascii="宋体" w:hAnsi="宋体"/>
          <w:bCs/>
          <w:color w:val="auto"/>
        </w:rPr>
        <w:t>在参加本次政府采购活动前3年内在经营活动中没有重大违法记录（</w:t>
      </w:r>
      <w:r>
        <w:rPr>
          <w:rFonts w:hint="eastAsia" w:ascii="宋体" w:hAnsi="宋体"/>
          <w:bCs/>
          <w:color w:val="auto"/>
          <w:u w:val="single"/>
        </w:rPr>
        <w:t>即因违法经营受到刑事处罚或者责令停产停业、吊销许可证或者执照、较大数额罚款等行政处罚的行为</w:t>
      </w:r>
      <w:r>
        <w:rPr>
          <w:rFonts w:hint="eastAsia" w:ascii="宋体" w:hAnsi="宋体"/>
          <w:bCs/>
          <w:color w:val="auto"/>
        </w:rPr>
        <w:t>）。</w:t>
      </w:r>
    </w:p>
    <w:p w14:paraId="6E576E3B">
      <w:pPr>
        <w:spacing w:line="520" w:lineRule="exact"/>
        <w:ind w:firstLine="420"/>
        <w:rPr>
          <w:rFonts w:hint="eastAsia" w:ascii="宋体" w:hAnsi="宋体"/>
          <w:bCs/>
          <w:color w:val="auto"/>
        </w:rPr>
      </w:pPr>
      <w:r>
        <w:rPr>
          <w:rFonts w:hint="eastAsia" w:ascii="宋体" w:hAnsi="宋体"/>
          <w:bCs/>
          <w:color w:val="auto"/>
        </w:rPr>
        <w:t>本单位对上述声明内容事项真实性负责，如有虚假，由我单位承担相关法律责任。</w:t>
      </w:r>
    </w:p>
    <w:p w14:paraId="7EC770DA">
      <w:pPr>
        <w:spacing w:line="520" w:lineRule="exact"/>
        <w:ind w:firstLine="420"/>
        <w:rPr>
          <w:rFonts w:hint="eastAsia" w:ascii="宋体" w:hAnsi="宋体"/>
          <w:bCs/>
          <w:color w:val="auto"/>
        </w:rPr>
      </w:pPr>
      <w:r>
        <w:rPr>
          <w:rFonts w:hint="eastAsia" w:ascii="宋体" w:hAnsi="宋体"/>
          <w:bCs/>
          <w:color w:val="auto"/>
        </w:rPr>
        <w:t>特此声明。</w:t>
      </w:r>
    </w:p>
    <w:p w14:paraId="79B75E52">
      <w:pPr>
        <w:rPr>
          <w:rFonts w:hint="eastAsia" w:ascii="宋体" w:hAnsi="宋体"/>
          <w:bCs/>
          <w:color w:val="auto"/>
          <w:szCs w:val="22"/>
        </w:rPr>
      </w:pPr>
    </w:p>
    <w:p w14:paraId="44F15C01">
      <w:pPr>
        <w:rPr>
          <w:rFonts w:hint="eastAsia" w:ascii="宋体" w:hAnsi="宋体"/>
          <w:bCs/>
          <w:color w:val="auto"/>
          <w:szCs w:val="22"/>
        </w:rPr>
      </w:pPr>
    </w:p>
    <w:p w14:paraId="7AACDDF9">
      <w:pPr>
        <w:spacing w:line="440" w:lineRule="exact"/>
        <w:ind w:right="1050" w:rightChars="500" w:firstLine="5670" w:firstLineChars="2700"/>
        <w:jc w:val="left"/>
        <w:rPr>
          <w:rFonts w:hint="eastAsia" w:ascii="宋体" w:hAnsi="宋体"/>
          <w:bCs/>
          <w:color w:val="auto"/>
        </w:rPr>
      </w:pPr>
      <w:r>
        <w:rPr>
          <w:rFonts w:hint="eastAsia" w:ascii="宋体" w:hAnsi="宋体"/>
          <w:bCs/>
          <w:color w:val="auto"/>
        </w:rPr>
        <w:t>供应商（盖章）：</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p>
    <w:p w14:paraId="26F609ED">
      <w:pPr>
        <w:spacing w:line="440" w:lineRule="exact"/>
        <w:ind w:right="420"/>
        <w:jc w:val="center"/>
        <w:rPr>
          <w:rFonts w:hint="eastAsia" w:ascii="宋体" w:hAnsi="宋体"/>
          <w:bCs/>
          <w:color w:val="auto"/>
        </w:rPr>
      </w:pPr>
      <w:r>
        <w:rPr>
          <w:rFonts w:hint="eastAsia" w:ascii="宋体" w:hAnsi="宋体"/>
          <w:bCs/>
          <w:color w:val="auto"/>
        </w:rPr>
        <w:t xml:space="preserve"> </w:t>
      </w:r>
      <w:r>
        <w:rPr>
          <w:rFonts w:ascii="宋体" w:hAnsi="宋体"/>
          <w:bCs/>
          <w:color w:val="auto"/>
        </w:rPr>
        <w:t xml:space="preserve">                                                </w:t>
      </w:r>
      <w:r>
        <w:rPr>
          <w:rFonts w:hint="eastAsia" w:ascii="宋体" w:hAnsi="宋体"/>
          <w:bCs/>
          <w:color w:val="auto"/>
        </w:rPr>
        <w:t>日期：</w:t>
      </w:r>
      <w:r>
        <w:rPr>
          <w:rFonts w:hint="eastAsia" w:ascii="宋体" w:hAnsi="宋体"/>
          <w:bCs/>
          <w:color w:val="auto"/>
          <w:u w:val="single"/>
        </w:rPr>
        <w:t xml:space="preserve">      </w:t>
      </w:r>
      <w:r>
        <w:rPr>
          <w:rFonts w:hint="eastAsia" w:ascii="宋体" w:hAnsi="宋体"/>
          <w:bCs/>
          <w:color w:val="auto"/>
        </w:rPr>
        <w:t>年</w:t>
      </w:r>
      <w:r>
        <w:rPr>
          <w:rFonts w:hint="eastAsia" w:ascii="宋体" w:hAnsi="宋体"/>
          <w:bCs/>
          <w:color w:val="auto"/>
          <w:u w:val="single"/>
        </w:rPr>
        <w:t xml:space="preserve">    </w:t>
      </w:r>
      <w:r>
        <w:rPr>
          <w:rFonts w:hint="eastAsia" w:ascii="宋体" w:hAnsi="宋体"/>
          <w:bCs/>
          <w:color w:val="auto"/>
        </w:rPr>
        <w:t>月</w:t>
      </w:r>
      <w:r>
        <w:rPr>
          <w:rFonts w:hint="eastAsia" w:ascii="宋体" w:hAnsi="宋体"/>
          <w:bCs/>
          <w:color w:val="auto"/>
          <w:u w:val="single"/>
        </w:rPr>
        <w:t xml:space="preserve">    </w:t>
      </w:r>
      <w:r>
        <w:rPr>
          <w:rFonts w:hint="eastAsia" w:ascii="宋体" w:hAnsi="宋体"/>
          <w:bCs/>
          <w:color w:val="auto"/>
        </w:rPr>
        <w:t>日</w:t>
      </w:r>
    </w:p>
    <w:p w14:paraId="5A5ACB8E">
      <w:pPr>
        <w:spacing w:line="400" w:lineRule="exact"/>
        <w:ind w:right="1050" w:rightChars="500"/>
        <w:jc w:val="right"/>
        <w:rPr>
          <w:rFonts w:hint="eastAsia" w:ascii="黑体" w:hAnsi="黑体" w:eastAsia="黑体" w:cs="黑体"/>
          <w:b/>
          <w:color w:val="auto"/>
          <w:sz w:val="32"/>
          <w:szCs w:val="32"/>
        </w:rPr>
      </w:pPr>
    </w:p>
    <w:p w14:paraId="78134953">
      <w:pPr>
        <w:widowControl/>
        <w:jc w:val="left"/>
        <w:rPr>
          <w:rFonts w:hint="eastAsia" w:ascii="黑体" w:hAnsi="黑体" w:eastAsia="黑体" w:cs="黑体"/>
          <w:b/>
          <w:color w:val="auto"/>
          <w:sz w:val="32"/>
          <w:szCs w:val="32"/>
        </w:rPr>
      </w:pPr>
      <w:r>
        <w:rPr>
          <w:rFonts w:ascii="黑体" w:hAnsi="黑体" w:eastAsia="黑体" w:cs="黑体"/>
          <w:b/>
          <w:color w:val="auto"/>
          <w:sz w:val="32"/>
          <w:szCs w:val="32"/>
        </w:rPr>
        <w:br w:type="page"/>
      </w:r>
      <w:r>
        <w:rPr>
          <w:rFonts w:hint="eastAsia" w:ascii="仿宋" w:hAnsi="仿宋" w:eastAsia="仿宋"/>
          <w:b/>
          <w:color w:val="auto"/>
          <w:sz w:val="36"/>
          <w:szCs w:val="36"/>
        </w:rPr>
        <w:t>二、商务技术文件</w:t>
      </w:r>
    </w:p>
    <w:p w14:paraId="3AD15AD2">
      <w:pPr>
        <w:widowControl/>
        <w:jc w:val="center"/>
        <w:rPr>
          <w:rFonts w:hint="eastAsia" w:ascii="仿宋" w:hAnsi="仿宋" w:eastAsia="仿宋" w:cs="黑体"/>
          <w:b/>
          <w:color w:val="auto"/>
          <w:sz w:val="32"/>
          <w:szCs w:val="32"/>
        </w:rPr>
      </w:pPr>
      <w:bookmarkStart w:id="122" w:name="_Hlk92702324"/>
      <w:r>
        <w:rPr>
          <w:rFonts w:hint="eastAsia" w:ascii="仿宋" w:hAnsi="仿宋" w:eastAsia="仿宋" w:cs="黑体"/>
          <w:b/>
          <w:color w:val="auto"/>
          <w:sz w:val="32"/>
          <w:szCs w:val="32"/>
        </w:rPr>
        <w:t>谈 判 函</w:t>
      </w:r>
      <w:bookmarkEnd w:id="122"/>
      <w:r>
        <w:rPr>
          <w:rFonts w:hint="eastAsia" w:ascii="仿宋" w:hAnsi="仿宋" w:eastAsia="仿宋" w:cs="黑体"/>
          <w:bCs/>
          <w:color w:val="auto"/>
          <w:sz w:val="24"/>
        </w:rPr>
        <w:t>(格式</w:t>
      </w:r>
      <w:r>
        <w:rPr>
          <w:rFonts w:ascii="仿宋" w:hAnsi="仿宋" w:eastAsia="仿宋" w:cs="黑体"/>
          <w:bCs/>
          <w:color w:val="auto"/>
          <w:sz w:val="24"/>
        </w:rPr>
        <w:t>)</w:t>
      </w:r>
    </w:p>
    <w:p w14:paraId="3336357B">
      <w:pPr>
        <w:spacing w:line="360" w:lineRule="exact"/>
        <w:jc w:val="center"/>
        <w:rPr>
          <w:rFonts w:hint="eastAsia" w:ascii="宋体" w:hAnsi="宋体"/>
          <w:b/>
          <w:color w:val="auto"/>
          <w:szCs w:val="21"/>
        </w:rPr>
      </w:pPr>
    </w:p>
    <w:p w14:paraId="17540D26">
      <w:pPr>
        <w:spacing w:line="400" w:lineRule="exact"/>
        <w:rPr>
          <w:rFonts w:hint="eastAsia" w:ascii="宋体" w:hAnsi="宋体"/>
          <w:color w:val="auto"/>
          <w:szCs w:val="21"/>
        </w:rPr>
      </w:pPr>
      <w:r>
        <w:rPr>
          <w:rFonts w:hint="eastAsia" w:ascii="宋体" w:hAnsi="宋体"/>
          <w:color w:val="auto"/>
          <w:szCs w:val="21"/>
        </w:rPr>
        <w:t>致：钦州市政府采购中心：</w:t>
      </w:r>
    </w:p>
    <w:p w14:paraId="30168758">
      <w:pPr>
        <w:pStyle w:val="21"/>
        <w:spacing w:line="480" w:lineRule="exact"/>
        <w:ind w:firstLine="420"/>
        <w:rPr>
          <w:rFonts w:hint="eastAsia" w:hAnsi="宋体"/>
          <w:color w:val="auto"/>
        </w:rPr>
      </w:pPr>
      <w:r>
        <w:rPr>
          <w:rFonts w:hint="eastAsia" w:hAnsi="宋体"/>
          <w:color w:val="auto"/>
        </w:rPr>
        <w:t>依据贵方</w:t>
      </w:r>
      <w:r>
        <w:rPr>
          <w:rFonts w:hint="eastAsia" w:hAnsi="宋体"/>
          <w:color w:val="auto"/>
          <w:u w:val="single"/>
        </w:rPr>
        <w:t>（项目名称/文件编号）</w:t>
      </w:r>
      <w:r>
        <w:rPr>
          <w:rFonts w:hint="eastAsia" w:hAnsi="宋体"/>
          <w:color w:val="auto"/>
        </w:rPr>
        <w:t>项目竞争性谈判采购文件，我方</w:t>
      </w:r>
      <w:r>
        <w:rPr>
          <w:rFonts w:hint="eastAsia" w:hAnsi="宋体"/>
          <w:color w:val="auto"/>
          <w:u w:val="single"/>
        </w:rPr>
        <w:t xml:space="preserve"> （供应商名称） </w:t>
      </w:r>
      <w:r>
        <w:rPr>
          <w:rFonts w:hint="eastAsia" w:hAnsi="宋体"/>
          <w:color w:val="auto"/>
        </w:rPr>
        <w:t>经正式授权代表</w:t>
      </w:r>
      <w:r>
        <w:rPr>
          <w:rFonts w:hint="eastAsia" w:hAnsi="宋体"/>
          <w:color w:val="auto"/>
          <w:u w:val="single"/>
        </w:rPr>
        <w:t xml:space="preserve">   （被授权人）</w:t>
      </w:r>
      <w:r>
        <w:rPr>
          <w:rFonts w:hint="eastAsia" w:hAnsi="宋体"/>
          <w:color w:val="auto"/>
        </w:rPr>
        <w:t>提交响应文件。</w:t>
      </w:r>
    </w:p>
    <w:p w14:paraId="03B33F2D">
      <w:pPr>
        <w:spacing w:line="400" w:lineRule="exact"/>
        <w:rPr>
          <w:rFonts w:hint="eastAsia" w:ascii="宋体" w:hAnsi="宋体"/>
          <w:color w:val="auto"/>
          <w:szCs w:val="21"/>
        </w:rPr>
      </w:pPr>
      <w:r>
        <w:rPr>
          <w:rFonts w:ascii="宋体" w:hAnsi="宋体"/>
          <w:color w:val="auto"/>
          <w:szCs w:val="21"/>
        </w:rPr>
        <w:tab/>
      </w:r>
      <w:r>
        <w:rPr>
          <w:rFonts w:hint="eastAsia" w:ascii="宋体" w:hAnsi="宋体"/>
          <w:color w:val="auto"/>
          <w:szCs w:val="21"/>
        </w:rPr>
        <w:t>据此函，我公司承诺：</w:t>
      </w:r>
    </w:p>
    <w:p w14:paraId="15A77E64">
      <w:pPr>
        <w:snapToGrid w:val="0"/>
        <w:spacing w:line="360" w:lineRule="exact"/>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我方已详细审阅采购文件（包括澄清或者修改文件），已经了解我方对于采购文件、采购过程、采购结果有依法进行询问、质疑、投诉的权利及相关渠道和要求。</w:t>
      </w:r>
    </w:p>
    <w:p w14:paraId="0262698C">
      <w:pPr>
        <w:snapToGrid w:val="0"/>
        <w:spacing w:line="360" w:lineRule="exact"/>
        <w:ind w:firstLine="420" w:firstLineChars="200"/>
        <w:rPr>
          <w:rFonts w:hint="eastAsia" w:ascii="宋体" w:hAnsi="宋体"/>
          <w:color w:val="auto"/>
          <w:szCs w:val="21"/>
        </w:rPr>
      </w:pPr>
      <w:r>
        <w:rPr>
          <w:rFonts w:hint="eastAsia" w:ascii="宋体" w:hAnsi="宋体"/>
          <w:color w:val="auto"/>
          <w:szCs w:val="21"/>
        </w:rPr>
        <w:t>2.我方不是采购人的附属机构；在获知本项目采购信息后，与采购人聘请的为此项目提供咨询服务的公司及其附属机构没有任何联系。</w:t>
      </w:r>
    </w:p>
    <w:p w14:paraId="19F6F452">
      <w:pPr>
        <w:snapToGrid w:val="0"/>
        <w:spacing w:line="360" w:lineRule="exact"/>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我方在谈判之前已经与贵方进行了充分的沟通，完全理解并接受采购文件的各项规定和要求，对采购文件的合理性、合法性不再有异议。</w:t>
      </w:r>
    </w:p>
    <w:p w14:paraId="32A0152E">
      <w:pPr>
        <w:spacing w:line="400" w:lineRule="exact"/>
        <w:rPr>
          <w:rFonts w:hint="eastAsia" w:ascii="宋体" w:hAnsi="宋体"/>
          <w:color w:val="auto"/>
          <w:szCs w:val="21"/>
        </w:rPr>
      </w:pPr>
      <w:r>
        <w:rPr>
          <w:rFonts w:ascii="宋体" w:hAnsi="宋体"/>
          <w:color w:val="auto"/>
          <w:szCs w:val="21"/>
        </w:rPr>
        <w:tab/>
      </w:r>
      <w:r>
        <w:rPr>
          <w:rFonts w:ascii="宋体" w:hAnsi="宋体"/>
          <w:color w:val="auto"/>
          <w:szCs w:val="21"/>
        </w:rPr>
        <w:t>4</w:t>
      </w:r>
      <w:r>
        <w:rPr>
          <w:rFonts w:hint="eastAsia" w:ascii="宋体" w:hAnsi="宋体"/>
          <w:color w:val="auto"/>
          <w:szCs w:val="21"/>
        </w:rPr>
        <w:t>.我方根据采购文件的规定，承担完成合同的责任和义务。</w:t>
      </w:r>
    </w:p>
    <w:p w14:paraId="2DF6B5BC">
      <w:pPr>
        <w:spacing w:line="400" w:lineRule="exact"/>
        <w:rPr>
          <w:rFonts w:hint="eastAsia" w:ascii="宋体" w:hAnsi="宋体"/>
          <w:color w:val="auto"/>
          <w:szCs w:val="21"/>
        </w:rPr>
      </w:pPr>
      <w:r>
        <w:rPr>
          <w:rFonts w:ascii="宋体" w:hAnsi="宋体"/>
          <w:color w:val="auto"/>
          <w:szCs w:val="21"/>
        </w:rPr>
        <w:tab/>
      </w:r>
      <w:r>
        <w:rPr>
          <w:rFonts w:ascii="宋体" w:hAnsi="宋体"/>
          <w:color w:val="auto"/>
          <w:szCs w:val="21"/>
        </w:rPr>
        <w:t>5</w:t>
      </w:r>
      <w:r>
        <w:rPr>
          <w:rFonts w:hint="eastAsia" w:ascii="宋体" w:hAnsi="宋体"/>
          <w:color w:val="auto"/>
          <w:szCs w:val="21"/>
        </w:rPr>
        <w:t>.同意向贵方提供贵方可能要求的与本项目采购有关的人员、数据和资料。</w:t>
      </w:r>
    </w:p>
    <w:p w14:paraId="15F56FD5">
      <w:pPr>
        <w:spacing w:line="400" w:lineRule="exact"/>
        <w:ind w:firstLine="424" w:firstLineChars="202"/>
        <w:rPr>
          <w:rFonts w:hint="eastAsia" w:ascii="宋体" w:hAnsi="宋体"/>
          <w:color w:val="auto"/>
          <w:szCs w:val="21"/>
        </w:rPr>
      </w:pPr>
      <w:r>
        <w:rPr>
          <w:rFonts w:ascii="宋体" w:hAnsi="宋体"/>
          <w:color w:val="auto"/>
          <w:szCs w:val="21"/>
        </w:rPr>
        <w:t>6.</w:t>
      </w:r>
      <w:r>
        <w:rPr>
          <w:rFonts w:hint="eastAsia" w:ascii="宋体" w:hAnsi="宋体"/>
          <w:color w:val="auto"/>
          <w:szCs w:val="21"/>
        </w:rPr>
        <w:t>我方向贵方提交的所有响应文件、资料都是准确的和真实的。</w:t>
      </w:r>
    </w:p>
    <w:p w14:paraId="546C0B40">
      <w:pPr>
        <w:spacing w:line="400" w:lineRule="exact"/>
        <w:rPr>
          <w:rFonts w:hint="eastAsia" w:ascii="宋体" w:hAnsi="宋体"/>
          <w:color w:val="auto"/>
          <w:szCs w:val="21"/>
        </w:rPr>
      </w:pPr>
    </w:p>
    <w:p w14:paraId="3005A57E">
      <w:pPr>
        <w:spacing w:line="400" w:lineRule="exact"/>
        <w:ind w:firstLine="426"/>
        <w:rPr>
          <w:rFonts w:hint="eastAsia" w:ascii="宋体" w:hAnsi="宋体"/>
          <w:color w:val="auto"/>
          <w:szCs w:val="21"/>
        </w:rPr>
      </w:pPr>
      <w:r>
        <w:rPr>
          <w:rFonts w:hint="eastAsia" w:ascii="宋体" w:hAnsi="宋体"/>
          <w:color w:val="auto"/>
          <w:szCs w:val="21"/>
        </w:rPr>
        <w:t>与我公司有关的正式通讯方式：</w:t>
      </w:r>
    </w:p>
    <w:p w14:paraId="62A92A4E">
      <w:pPr>
        <w:spacing w:line="400" w:lineRule="exact"/>
        <w:rPr>
          <w:rFonts w:hint="eastAsia" w:ascii="宋体" w:hAnsi="宋体"/>
          <w:color w:val="auto"/>
          <w:szCs w:val="21"/>
        </w:rPr>
      </w:pPr>
      <w:r>
        <w:rPr>
          <w:rFonts w:ascii="宋体" w:hAnsi="宋体"/>
          <w:color w:val="auto"/>
          <w:szCs w:val="21"/>
        </w:rPr>
        <w:tab/>
      </w:r>
      <w:r>
        <w:rPr>
          <w:rFonts w:hint="eastAsia" w:ascii="宋体" w:hAnsi="宋体"/>
          <w:color w:val="auto"/>
          <w:szCs w:val="21"/>
        </w:rPr>
        <w:t>地址：</w:t>
      </w:r>
      <w:r>
        <w:rPr>
          <w:rFonts w:hint="eastAsia" w:ascii="宋体" w:hAnsi="宋体"/>
          <w:color w:val="auto"/>
          <w:szCs w:val="21"/>
          <w:u w:val="single"/>
        </w:rPr>
        <w:t xml:space="preserve">                                   </w:t>
      </w:r>
    </w:p>
    <w:p w14:paraId="70A28087">
      <w:pPr>
        <w:spacing w:line="400" w:lineRule="exact"/>
        <w:rPr>
          <w:rFonts w:hint="eastAsia" w:ascii="宋体" w:hAnsi="宋体"/>
          <w:color w:val="auto"/>
          <w:szCs w:val="21"/>
        </w:rPr>
      </w:pPr>
      <w:r>
        <w:rPr>
          <w:rFonts w:ascii="宋体" w:hAnsi="宋体"/>
          <w:color w:val="auto"/>
          <w:szCs w:val="21"/>
        </w:rPr>
        <w:tab/>
      </w:r>
      <w:r>
        <w:rPr>
          <w:rFonts w:hint="eastAsia" w:ascii="宋体" w:hAnsi="宋体"/>
          <w:color w:val="auto"/>
          <w:szCs w:val="21"/>
        </w:rPr>
        <w:t>邮政编码：</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0E53BB89">
      <w:pPr>
        <w:spacing w:line="400" w:lineRule="exact"/>
        <w:rPr>
          <w:rFonts w:hint="eastAsia" w:ascii="宋体" w:hAnsi="宋体"/>
          <w:color w:val="auto"/>
          <w:szCs w:val="21"/>
        </w:rPr>
      </w:pPr>
      <w:r>
        <w:rPr>
          <w:rFonts w:ascii="宋体" w:hAnsi="宋体"/>
          <w:color w:val="auto"/>
          <w:szCs w:val="21"/>
        </w:rPr>
        <w:tab/>
      </w:r>
      <w:r>
        <w:rPr>
          <w:rFonts w:hint="eastAsia" w:ascii="宋体" w:hAnsi="宋体"/>
          <w:color w:val="auto"/>
          <w:szCs w:val="21"/>
        </w:rPr>
        <w:t>电话、电报、传真或电传：</w:t>
      </w:r>
      <w:r>
        <w:rPr>
          <w:rFonts w:hint="eastAsia" w:ascii="宋体" w:hAnsi="宋体"/>
          <w:color w:val="auto"/>
          <w:szCs w:val="21"/>
          <w:u w:val="single"/>
        </w:rPr>
        <w:t xml:space="preserve">                 </w:t>
      </w:r>
    </w:p>
    <w:p w14:paraId="46E4C4C8">
      <w:pPr>
        <w:spacing w:line="400" w:lineRule="exact"/>
        <w:rPr>
          <w:rFonts w:hint="eastAsia" w:ascii="宋体" w:hAnsi="宋体"/>
          <w:color w:val="auto"/>
          <w:szCs w:val="21"/>
        </w:rPr>
      </w:pPr>
      <w:r>
        <w:rPr>
          <w:rFonts w:ascii="宋体" w:hAnsi="宋体"/>
          <w:color w:val="auto"/>
          <w:szCs w:val="21"/>
        </w:rPr>
        <w:tab/>
      </w:r>
      <w:r>
        <w:rPr>
          <w:rFonts w:hint="eastAsia" w:ascii="宋体" w:hAnsi="宋体"/>
          <w:color w:val="auto"/>
          <w:szCs w:val="21"/>
        </w:rPr>
        <w:t>开户名称：</w:t>
      </w:r>
      <w:r>
        <w:rPr>
          <w:rFonts w:hint="eastAsia" w:ascii="宋体" w:hAnsi="宋体"/>
          <w:color w:val="auto"/>
          <w:szCs w:val="21"/>
          <w:u w:val="single"/>
        </w:rPr>
        <w:t xml:space="preserve">                               </w:t>
      </w:r>
    </w:p>
    <w:p w14:paraId="4D45174E">
      <w:pPr>
        <w:spacing w:line="400" w:lineRule="exact"/>
        <w:rPr>
          <w:rFonts w:hint="eastAsia" w:ascii="宋体" w:hAnsi="宋体"/>
          <w:color w:val="auto"/>
          <w:szCs w:val="21"/>
        </w:rPr>
      </w:pPr>
      <w:r>
        <w:rPr>
          <w:rFonts w:ascii="宋体" w:hAnsi="宋体"/>
          <w:color w:val="auto"/>
          <w:szCs w:val="21"/>
        </w:rPr>
        <w:tab/>
      </w:r>
      <w:r>
        <w:rPr>
          <w:rFonts w:hint="eastAsia" w:ascii="宋体" w:hAnsi="宋体"/>
          <w:color w:val="auto"/>
          <w:szCs w:val="21"/>
        </w:rPr>
        <w:t>开户银行：</w:t>
      </w:r>
      <w:r>
        <w:rPr>
          <w:rFonts w:hint="eastAsia" w:ascii="宋体" w:hAnsi="宋体"/>
          <w:color w:val="auto"/>
          <w:szCs w:val="21"/>
          <w:u w:val="single"/>
        </w:rPr>
        <w:t xml:space="preserve">                               </w:t>
      </w:r>
    </w:p>
    <w:p w14:paraId="07EC7723">
      <w:pPr>
        <w:spacing w:line="400" w:lineRule="exact"/>
        <w:rPr>
          <w:rFonts w:hint="eastAsia" w:ascii="宋体" w:hAnsi="宋体"/>
          <w:color w:val="auto"/>
          <w:szCs w:val="21"/>
          <w:u w:val="single"/>
        </w:rPr>
      </w:pPr>
      <w:r>
        <w:rPr>
          <w:rFonts w:ascii="宋体" w:hAnsi="宋体"/>
          <w:color w:val="auto"/>
          <w:szCs w:val="21"/>
        </w:rPr>
        <w:tab/>
      </w:r>
      <w:r>
        <w:rPr>
          <w:rFonts w:hint="eastAsia" w:ascii="宋体" w:hAnsi="宋体"/>
          <w:color w:val="auto"/>
          <w:szCs w:val="21"/>
        </w:rPr>
        <w:t>账    号：</w:t>
      </w:r>
      <w:r>
        <w:rPr>
          <w:rFonts w:hint="eastAsia" w:ascii="宋体" w:hAnsi="宋体"/>
          <w:color w:val="auto"/>
          <w:szCs w:val="21"/>
          <w:u w:val="single"/>
        </w:rPr>
        <w:t xml:space="preserve">                               </w:t>
      </w:r>
    </w:p>
    <w:p w14:paraId="2F5B743F">
      <w:pPr>
        <w:rPr>
          <w:color w:val="auto"/>
        </w:rPr>
      </w:pPr>
    </w:p>
    <w:p w14:paraId="42515475">
      <w:pPr>
        <w:rPr>
          <w:color w:val="auto"/>
        </w:rPr>
      </w:pPr>
    </w:p>
    <w:p w14:paraId="46AE4D72">
      <w:pPr>
        <w:rPr>
          <w:color w:val="auto"/>
        </w:rPr>
      </w:pPr>
    </w:p>
    <w:p w14:paraId="373C9343">
      <w:pPr>
        <w:rPr>
          <w:color w:val="auto"/>
        </w:rPr>
      </w:pPr>
    </w:p>
    <w:p w14:paraId="40F13DCF">
      <w:pPr>
        <w:rPr>
          <w:color w:val="auto"/>
        </w:rPr>
      </w:pPr>
    </w:p>
    <w:p w14:paraId="4D2B4521">
      <w:pPr>
        <w:spacing w:line="400" w:lineRule="exact"/>
        <w:rPr>
          <w:rFonts w:hint="eastAsia" w:ascii="宋体" w:hAnsi="宋体"/>
          <w:color w:val="auto"/>
          <w:szCs w:val="21"/>
        </w:rPr>
      </w:pPr>
      <w:r>
        <w:rPr>
          <w:rFonts w:ascii="宋体" w:hAnsi="宋体"/>
          <w:color w:val="auto"/>
          <w:szCs w:val="21"/>
        </w:rPr>
        <w:tab/>
      </w:r>
      <w:r>
        <w:rPr>
          <w:rFonts w:ascii="宋体" w:hAnsi="宋体"/>
          <w:color w:val="auto"/>
          <w:szCs w:val="21"/>
        </w:rPr>
        <w:t xml:space="preserve">                                           </w:t>
      </w:r>
      <w:r>
        <w:rPr>
          <w:rFonts w:hint="eastAsia" w:ascii="宋体" w:hAnsi="宋体"/>
          <w:color w:val="auto"/>
          <w:szCs w:val="21"/>
        </w:rPr>
        <w:t>供应商（盖章）：</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0EBDBD65">
      <w:pPr>
        <w:spacing w:line="400" w:lineRule="exact"/>
        <w:rPr>
          <w:rFonts w:hint="eastAsia" w:ascii="宋体" w:hAnsi="宋体"/>
          <w:color w:val="auto"/>
          <w:szCs w:val="21"/>
        </w:rPr>
      </w:pPr>
      <w:r>
        <w:rPr>
          <w:rFonts w:ascii="宋体" w:hAnsi="宋体"/>
          <w:color w:val="auto"/>
          <w:szCs w:val="21"/>
        </w:rPr>
        <w:tab/>
      </w:r>
      <w:r>
        <w:rPr>
          <w:rFonts w:ascii="宋体" w:hAnsi="宋体"/>
          <w:color w:val="auto"/>
          <w:szCs w:val="21"/>
        </w:rPr>
        <w:t xml:space="preserve">                                           </w:t>
      </w:r>
      <w:r>
        <w:rPr>
          <w:rFonts w:hint="eastAsia" w:ascii="宋体" w:hAnsi="宋体"/>
          <w:color w:val="auto"/>
          <w:szCs w:val="21"/>
        </w:rPr>
        <w:t>日期：</w:t>
      </w:r>
      <w:r>
        <w:rPr>
          <w:rFonts w:hint="eastAsia" w:ascii="宋体" w:hAnsi="宋体"/>
          <w:color w:val="auto"/>
          <w:szCs w:val="21"/>
          <w:u w:val="single"/>
        </w:rPr>
        <w:t xml:space="preserve">                    </w:t>
      </w:r>
      <w:r>
        <w:rPr>
          <w:rFonts w:ascii="宋体" w:hAnsi="宋体"/>
          <w:color w:val="auto"/>
          <w:szCs w:val="21"/>
          <w:u w:val="single"/>
        </w:rPr>
        <w:t xml:space="preserve">     </w:t>
      </w:r>
    </w:p>
    <w:p w14:paraId="4EA2F724">
      <w:pPr>
        <w:widowControl/>
        <w:jc w:val="left"/>
        <w:rPr>
          <w:color w:val="auto"/>
        </w:rPr>
      </w:pPr>
      <w:r>
        <w:rPr>
          <w:color w:val="auto"/>
        </w:rPr>
        <w:br w:type="page"/>
      </w:r>
    </w:p>
    <w:p w14:paraId="5510FE5F">
      <w:pPr>
        <w:rPr>
          <w:color w:val="auto"/>
        </w:rPr>
      </w:pPr>
    </w:p>
    <w:p w14:paraId="697064E5">
      <w:pPr>
        <w:jc w:val="center"/>
        <w:rPr>
          <w:rFonts w:hint="eastAsia" w:ascii="仿宋" w:hAnsi="仿宋" w:eastAsia="仿宋"/>
          <w:color w:val="auto"/>
          <w:sz w:val="32"/>
          <w:szCs w:val="32"/>
        </w:rPr>
      </w:pPr>
      <w:r>
        <w:rPr>
          <w:rFonts w:hint="eastAsia" w:ascii="仿宋" w:hAnsi="仿宋" w:eastAsia="仿宋"/>
          <w:b/>
          <w:color w:val="auto"/>
          <w:sz w:val="32"/>
          <w:szCs w:val="32"/>
        </w:rPr>
        <w:t>授权委托书</w:t>
      </w:r>
      <w:bookmarkStart w:id="123" w:name="_Hlk92703623"/>
      <w:r>
        <w:rPr>
          <w:rFonts w:hint="eastAsia" w:ascii="仿宋" w:hAnsi="仿宋" w:eastAsia="仿宋"/>
          <w:color w:val="auto"/>
          <w:sz w:val="24"/>
        </w:rPr>
        <w:t>(格式</w:t>
      </w:r>
      <w:r>
        <w:rPr>
          <w:rFonts w:ascii="仿宋" w:hAnsi="仿宋" w:eastAsia="仿宋"/>
          <w:color w:val="auto"/>
          <w:sz w:val="24"/>
        </w:rPr>
        <w:t>)</w:t>
      </w:r>
      <w:bookmarkEnd w:id="123"/>
    </w:p>
    <w:p w14:paraId="79875F7C">
      <w:pPr>
        <w:snapToGrid w:val="0"/>
        <w:spacing w:before="156" w:beforeLines="50" w:after="50" w:line="500" w:lineRule="exact"/>
        <w:rPr>
          <w:rFonts w:hint="eastAsia" w:ascii="宋体" w:hAnsi="宋体"/>
          <w:b/>
          <w:bCs/>
          <w:color w:val="auto"/>
          <w:szCs w:val="21"/>
        </w:rPr>
      </w:pPr>
      <w:r>
        <w:rPr>
          <w:rFonts w:hint="eastAsia" w:ascii="宋体" w:hAnsi="宋体"/>
          <w:bCs/>
          <w:color w:val="auto"/>
          <w:szCs w:val="21"/>
        </w:rPr>
        <w:t>致：</w:t>
      </w:r>
      <w:r>
        <w:rPr>
          <w:rFonts w:hint="eastAsia"/>
          <w:color w:val="auto"/>
        </w:rPr>
        <w:t>钦州市政府采购中心</w:t>
      </w:r>
    </w:p>
    <w:p w14:paraId="2E42D1A0">
      <w:pPr>
        <w:snapToGrid w:val="0"/>
        <w:spacing w:before="156" w:beforeLines="50" w:after="50" w:line="500" w:lineRule="exact"/>
        <w:ind w:firstLine="420" w:firstLineChars="200"/>
        <w:rPr>
          <w:rFonts w:hint="eastAsia" w:ascii="宋体" w:hAnsi="宋体"/>
          <w:color w:val="auto"/>
          <w:szCs w:val="21"/>
        </w:rPr>
      </w:pPr>
      <w:r>
        <w:rPr>
          <w:rFonts w:hint="eastAsia" w:ascii="宋体" w:hAnsi="宋体"/>
          <w:color w:val="auto"/>
          <w:szCs w:val="21"/>
        </w:rPr>
        <w:t>我</w:t>
      </w:r>
      <w:r>
        <w:rPr>
          <w:rFonts w:hint="eastAsia" w:ascii="宋体" w:hAnsi="宋体"/>
          <w:color w:val="auto"/>
          <w:szCs w:val="21"/>
          <w:u w:val="single"/>
        </w:rPr>
        <w:t>（姓名）</w:t>
      </w:r>
      <w:r>
        <w:rPr>
          <w:rFonts w:hint="eastAsia" w:ascii="宋体" w:hAnsi="宋体"/>
          <w:color w:val="auto"/>
          <w:szCs w:val="21"/>
        </w:rPr>
        <w:t>系</w:t>
      </w:r>
      <w:r>
        <w:rPr>
          <w:rFonts w:hint="eastAsia" w:ascii="宋体" w:hAnsi="宋体"/>
          <w:color w:val="auto"/>
          <w:szCs w:val="21"/>
          <w:u w:val="single"/>
        </w:rPr>
        <w:t>（供应商名称）</w:t>
      </w:r>
      <w:r>
        <w:rPr>
          <w:rFonts w:hint="eastAsia" w:ascii="宋体" w:hAnsi="宋体"/>
          <w:color w:val="auto"/>
          <w:szCs w:val="21"/>
        </w:rPr>
        <w:t>的法定代表人，现授权委托本单位在职职工</w:t>
      </w:r>
      <w:r>
        <w:rPr>
          <w:rFonts w:hint="eastAsia" w:ascii="宋体" w:hAnsi="宋体"/>
          <w:color w:val="auto"/>
          <w:szCs w:val="21"/>
          <w:u w:val="single"/>
        </w:rPr>
        <w:t>（姓名）</w:t>
      </w:r>
      <w:r>
        <w:rPr>
          <w:rFonts w:hint="eastAsia" w:ascii="宋体" w:hAnsi="宋体"/>
          <w:color w:val="auto"/>
          <w:szCs w:val="21"/>
        </w:rPr>
        <w:t>以我方的名义参加</w:t>
      </w:r>
      <w:r>
        <w:rPr>
          <w:rFonts w:hint="eastAsia" w:ascii="宋体" w:hAnsi="宋体"/>
          <w:color w:val="auto"/>
          <w:szCs w:val="21"/>
          <w:u w:val="single"/>
        </w:rPr>
        <w:t>（项目名称/项目编号）</w:t>
      </w:r>
      <w:r>
        <w:rPr>
          <w:rFonts w:hint="eastAsia" w:ascii="宋体" w:hAnsi="宋体"/>
          <w:color w:val="auto"/>
          <w:szCs w:val="21"/>
        </w:rPr>
        <w:t>的谈判活动，并代表我方全权办理针对上述项目的谈判、签约等具体事务和签署相关文件。</w:t>
      </w:r>
    </w:p>
    <w:p w14:paraId="3297209F">
      <w:pPr>
        <w:snapToGrid w:val="0"/>
        <w:spacing w:before="156" w:beforeLines="50" w:after="50" w:line="500" w:lineRule="exact"/>
        <w:ind w:firstLine="420" w:firstLineChars="200"/>
        <w:rPr>
          <w:rFonts w:hint="eastAsia" w:ascii="宋体" w:hAnsi="宋体"/>
          <w:color w:val="auto"/>
          <w:szCs w:val="21"/>
        </w:rPr>
      </w:pPr>
      <w:r>
        <w:rPr>
          <w:rFonts w:hint="eastAsia" w:ascii="宋体" w:hAnsi="宋体"/>
          <w:color w:val="auto"/>
          <w:szCs w:val="21"/>
        </w:rPr>
        <w:t>我方对被授权人的签名事项负全部责任。</w:t>
      </w:r>
    </w:p>
    <w:p w14:paraId="54189BAE">
      <w:pPr>
        <w:snapToGrid w:val="0"/>
        <w:spacing w:before="156" w:beforeLines="50" w:after="50" w:line="500" w:lineRule="exact"/>
        <w:ind w:firstLine="420" w:firstLineChars="200"/>
        <w:rPr>
          <w:rFonts w:hint="eastAsia" w:ascii="宋体" w:hAnsi="宋体"/>
          <w:color w:val="auto"/>
          <w:szCs w:val="21"/>
        </w:rPr>
      </w:pPr>
      <w:r>
        <w:rPr>
          <w:rFonts w:hint="eastAsia" w:ascii="宋体" w:hAnsi="宋体"/>
          <w:color w:val="auto"/>
          <w:szCs w:val="21"/>
          <w:u w:val="single"/>
        </w:rPr>
        <w:t>在撤销授权的书面通知以前，本授权书一直有效</w:t>
      </w:r>
      <w:r>
        <w:rPr>
          <w:rFonts w:hint="eastAsia" w:ascii="宋体" w:hAnsi="宋体"/>
          <w:color w:val="auto"/>
          <w:szCs w:val="21"/>
        </w:rPr>
        <w:t>。被授权人在授权书有效期内签署的所有文件不因授权的撤销而失效。</w:t>
      </w:r>
    </w:p>
    <w:p w14:paraId="214ED860">
      <w:pPr>
        <w:snapToGrid w:val="0"/>
        <w:spacing w:before="156" w:beforeLines="50" w:after="50" w:line="500" w:lineRule="exact"/>
        <w:ind w:firstLine="420" w:firstLineChars="200"/>
        <w:rPr>
          <w:rFonts w:hint="eastAsia" w:ascii="宋体" w:hAnsi="宋体"/>
          <w:color w:val="auto"/>
          <w:szCs w:val="21"/>
        </w:rPr>
      </w:pPr>
      <w:r>
        <w:rPr>
          <w:rFonts w:hint="eastAsia" w:ascii="宋体" w:hAnsi="宋体"/>
          <w:color w:val="auto"/>
          <w:szCs w:val="21"/>
        </w:rPr>
        <w:t>被授权人无转委托权，特此委托。</w:t>
      </w:r>
    </w:p>
    <w:p w14:paraId="18A1B757">
      <w:pPr>
        <w:snapToGrid w:val="0"/>
        <w:spacing w:before="156" w:beforeLines="50" w:after="50" w:line="300" w:lineRule="exact"/>
        <w:ind w:firstLine="525" w:firstLineChars="250"/>
        <w:rPr>
          <w:rFonts w:hint="eastAsia" w:ascii="宋体" w:hAnsi="宋体"/>
          <w:color w:val="auto"/>
          <w:szCs w:val="21"/>
        </w:rPr>
      </w:pPr>
    </w:p>
    <w:p w14:paraId="4395831F">
      <w:pPr>
        <w:snapToGrid w:val="0"/>
        <w:spacing w:before="156" w:beforeLines="50" w:after="50" w:line="300" w:lineRule="exact"/>
        <w:ind w:firstLine="420" w:firstLineChars="200"/>
        <w:rPr>
          <w:rFonts w:hint="eastAsia" w:ascii="宋体" w:hAnsi="宋体"/>
          <w:color w:val="auto"/>
          <w:szCs w:val="21"/>
        </w:rPr>
      </w:pPr>
      <w:r>
        <w:rPr>
          <w:rFonts w:hint="eastAsia" w:ascii="宋体" w:hAnsi="宋体"/>
          <w:color w:val="auto"/>
          <w:szCs w:val="21"/>
        </w:rPr>
        <w:t>所在部门职务：</w:t>
      </w:r>
      <w:r>
        <w:rPr>
          <w:rFonts w:hint="eastAsia" w:ascii="宋体" w:hAnsi="宋体"/>
          <w:color w:val="auto"/>
          <w:szCs w:val="21"/>
          <w:u w:val="single"/>
        </w:rPr>
        <w:t xml:space="preserve">                        </w:t>
      </w:r>
    </w:p>
    <w:p w14:paraId="2D886933">
      <w:pPr>
        <w:snapToGrid w:val="0"/>
        <w:spacing w:before="156" w:beforeLines="50" w:after="50" w:line="300" w:lineRule="exact"/>
        <w:ind w:firstLine="420" w:firstLineChars="200"/>
        <w:rPr>
          <w:rFonts w:hint="eastAsia" w:ascii="宋体" w:hAnsi="宋体"/>
          <w:color w:val="auto"/>
          <w:szCs w:val="21"/>
          <w:u w:val="single"/>
        </w:rPr>
      </w:pPr>
      <w:r>
        <w:rPr>
          <w:rFonts w:hint="eastAsia" w:ascii="宋体" w:hAnsi="宋体"/>
          <w:color w:val="auto"/>
          <w:szCs w:val="21"/>
        </w:rPr>
        <w:t>职务：</w:t>
      </w:r>
      <w:r>
        <w:rPr>
          <w:rFonts w:hint="eastAsia" w:ascii="宋体" w:hAnsi="宋体"/>
          <w:color w:val="auto"/>
          <w:szCs w:val="21"/>
          <w:u w:val="single"/>
        </w:rPr>
        <w:t xml:space="preserve">                                </w:t>
      </w:r>
    </w:p>
    <w:p w14:paraId="02A1FBEB">
      <w:pPr>
        <w:snapToGrid w:val="0"/>
        <w:spacing w:before="156" w:beforeLines="50" w:after="50" w:line="300" w:lineRule="exact"/>
        <w:ind w:firstLine="420" w:firstLineChars="200"/>
        <w:rPr>
          <w:rFonts w:hint="eastAsia" w:ascii="宋体" w:hAnsi="宋体"/>
          <w:color w:val="auto"/>
          <w:szCs w:val="21"/>
        </w:rPr>
      </w:pPr>
      <w:r>
        <w:rPr>
          <w:rFonts w:hint="eastAsia" w:ascii="宋体" w:hAnsi="宋体"/>
          <w:color w:val="auto"/>
          <w:szCs w:val="21"/>
        </w:rPr>
        <w:t>被授权人身份证号码：</w:t>
      </w:r>
      <w:r>
        <w:rPr>
          <w:rFonts w:hint="eastAsia" w:ascii="宋体" w:hAnsi="宋体"/>
          <w:color w:val="auto"/>
          <w:szCs w:val="21"/>
          <w:u w:val="single"/>
        </w:rPr>
        <w:t xml:space="preserve">                  </w:t>
      </w:r>
    </w:p>
    <w:p w14:paraId="62D234B0">
      <w:pPr>
        <w:snapToGrid w:val="0"/>
        <w:spacing w:before="156" w:beforeLines="50" w:after="50" w:line="300" w:lineRule="exact"/>
        <w:ind w:firstLine="420" w:firstLineChars="200"/>
        <w:rPr>
          <w:rFonts w:hint="eastAsia" w:hAnsi="宋体"/>
          <w:color w:val="auto"/>
        </w:rPr>
      </w:pPr>
      <w:r>
        <w:rPr>
          <w:rFonts w:hint="eastAsia" w:hAnsi="宋体"/>
          <w:color w:val="auto"/>
        </w:rPr>
        <w:t>附：委托代理人身份证(正反面</w:t>
      </w:r>
      <w:r>
        <w:rPr>
          <w:rFonts w:hAnsi="宋体"/>
          <w:color w:val="auto"/>
        </w:rPr>
        <w:t>)</w:t>
      </w:r>
    </w:p>
    <w:p w14:paraId="34616B81">
      <w:pPr>
        <w:rPr>
          <w:color w:val="auto"/>
        </w:rPr>
      </w:pPr>
    </w:p>
    <w:p w14:paraId="45F15F9F">
      <w:pPr>
        <w:rPr>
          <w:color w:val="auto"/>
        </w:rPr>
      </w:pPr>
    </w:p>
    <w:p w14:paraId="37508885">
      <w:pPr>
        <w:snapToGrid w:val="0"/>
        <w:spacing w:before="156" w:beforeLines="50" w:after="50" w:line="200" w:lineRule="exact"/>
        <w:ind w:firstLine="4620" w:firstLineChars="2200"/>
        <w:rPr>
          <w:rFonts w:hint="eastAsia" w:ascii="宋体" w:hAnsi="宋体"/>
          <w:color w:val="auto"/>
          <w:szCs w:val="21"/>
          <w:u w:val="single"/>
        </w:rPr>
      </w:pPr>
      <w:r>
        <w:rPr>
          <w:rFonts w:hint="eastAsia" w:ascii="宋体" w:hAnsi="宋体"/>
          <w:color w:val="auto"/>
          <w:szCs w:val="21"/>
        </w:rPr>
        <w:t xml:space="preserve">       供应商（盖章）：</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7BF25461">
      <w:pPr>
        <w:snapToGrid w:val="0"/>
        <w:spacing w:before="156" w:beforeLines="50" w:after="50" w:line="200" w:lineRule="exact"/>
        <w:ind w:firstLine="5355" w:firstLineChars="2550"/>
        <w:rPr>
          <w:rFonts w:hint="eastAsia" w:ascii="宋体" w:hAnsi="宋体"/>
          <w:color w:val="auto"/>
          <w:szCs w:val="21"/>
        </w:rPr>
      </w:pPr>
      <w:r>
        <w:rPr>
          <w:rFonts w:hint="eastAsia" w:ascii="宋体" w:hAnsi="宋体"/>
          <w:color w:val="auto"/>
          <w:szCs w:val="21"/>
        </w:rPr>
        <w:t>法定代表人签名：</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4DB6D2ED">
      <w:pPr>
        <w:snapToGrid w:val="0"/>
        <w:spacing w:before="156" w:beforeLines="50" w:after="50" w:line="200" w:lineRule="exact"/>
        <w:ind w:firstLine="5355" w:firstLineChars="2550"/>
        <w:rPr>
          <w:rFonts w:hint="eastAsia"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63D3829C">
      <w:pPr>
        <w:widowControl/>
        <w:jc w:val="left"/>
        <w:rPr>
          <w:rFonts w:ascii="宋体" w:hAnsi="Courier New" w:cs="Courier New"/>
          <w:b/>
          <w:bCs/>
          <w:color w:val="auto"/>
          <w:szCs w:val="21"/>
        </w:rPr>
      </w:pPr>
      <w:r>
        <w:rPr>
          <w:b/>
          <w:bCs/>
          <w:color w:val="auto"/>
        </w:rPr>
        <w:br w:type="page"/>
      </w:r>
    </w:p>
    <w:p w14:paraId="7A18FEC3">
      <w:pPr>
        <w:rPr>
          <w:color w:val="auto"/>
        </w:rPr>
      </w:pPr>
    </w:p>
    <w:p w14:paraId="2AFC1184">
      <w:pPr>
        <w:snapToGrid w:val="0"/>
        <w:spacing w:before="156" w:beforeLines="50" w:after="50" w:line="360" w:lineRule="exact"/>
        <w:jc w:val="center"/>
        <w:rPr>
          <w:rFonts w:ascii="仿宋" w:hAnsi="仿宋" w:eastAsia="仿宋"/>
          <w:color w:val="auto"/>
          <w:sz w:val="24"/>
        </w:rPr>
      </w:pPr>
      <w:r>
        <w:rPr>
          <w:rFonts w:hint="eastAsia" w:ascii="仿宋" w:hAnsi="仿宋" w:eastAsia="仿宋"/>
          <w:b/>
          <w:color w:val="auto"/>
          <w:sz w:val="32"/>
          <w:szCs w:val="32"/>
        </w:rPr>
        <w:t>商务响应表</w:t>
      </w:r>
      <w:r>
        <w:rPr>
          <w:rFonts w:hint="eastAsia" w:ascii="仿宋" w:hAnsi="仿宋" w:eastAsia="仿宋"/>
          <w:color w:val="auto"/>
          <w:sz w:val="24"/>
        </w:rPr>
        <w:t>(格式</w:t>
      </w:r>
      <w:r>
        <w:rPr>
          <w:rFonts w:ascii="仿宋" w:hAnsi="仿宋" w:eastAsia="仿宋"/>
          <w:color w:val="auto"/>
          <w:sz w:val="24"/>
        </w:rPr>
        <w:t>)</w:t>
      </w:r>
    </w:p>
    <w:p w14:paraId="32256730">
      <w:pPr>
        <w:rPr>
          <w:rFonts w:hint="eastAsia"/>
          <w:color w:val="auto"/>
        </w:rPr>
      </w:pPr>
    </w:p>
    <w:p w14:paraId="03C0B4D8">
      <w:pPr>
        <w:rPr>
          <w:rFonts w:hint="eastAsia"/>
          <w:color w:val="auto"/>
        </w:rPr>
      </w:pPr>
    </w:p>
    <w:p w14:paraId="20A798A8">
      <w:pPr>
        <w:rPr>
          <w:color w:val="auto"/>
        </w:rPr>
      </w:pPr>
      <w:r>
        <w:rPr>
          <w:rFonts w:hint="eastAsia"/>
          <w:color w:val="auto"/>
        </w:rPr>
        <w:t>采购项目编号：</w:t>
      </w:r>
      <w:r>
        <w:rPr>
          <w:rFonts w:hint="eastAsia"/>
          <w:color w:val="auto"/>
          <w:u w:val="single"/>
        </w:rPr>
        <w:t xml:space="preserve">                 </w:t>
      </w:r>
    </w:p>
    <w:p w14:paraId="1A67A047">
      <w:pPr>
        <w:rPr>
          <w:rFonts w:hint="eastAsia"/>
          <w:color w:val="auto"/>
          <w:u w:val="single"/>
        </w:rPr>
      </w:pPr>
      <w:r>
        <w:rPr>
          <w:rFonts w:hint="eastAsia"/>
          <w:color w:val="auto"/>
        </w:rPr>
        <w:t>采购项目名称：</w:t>
      </w:r>
      <w:r>
        <w:rPr>
          <w:rFonts w:hint="eastAsia"/>
          <w:color w:val="auto"/>
          <w:u w:val="single"/>
        </w:rPr>
        <w:t xml:space="preserve">                 </w:t>
      </w:r>
    </w:p>
    <w:tbl>
      <w:tblPr>
        <w:tblStyle w:val="3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049"/>
        <w:gridCol w:w="2976"/>
        <w:gridCol w:w="1535"/>
      </w:tblGrid>
      <w:tr w14:paraId="7C0CE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2D6E4502">
            <w:pPr>
              <w:snapToGrid w:val="0"/>
              <w:spacing w:before="156" w:beforeLines="50" w:line="360" w:lineRule="exact"/>
              <w:jc w:val="center"/>
              <w:rPr>
                <w:rFonts w:hint="eastAsia" w:ascii="宋体" w:hAnsi="宋体"/>
                <w:b/>
                <w:color w:val="auto"/>
                <w:szCs w:val="21"/>
              </w:rPr>
            </w:pPr>
            <w:r>
              <w:rPr>
                <w:rFonts w:hint="eastAsia" w:ascii="宋体" w:hAnsi="宋体"/>
                <w:b/>
                <w:color w:val="auto"/>
                <w:szCs w:val="21"/>
              </w:rPr>
              <w:t>项目</w:t>
            </w:r>
          </w:p>
        </w:tc>
        <w:tc>
          <w:tcPr>
            <w:tcW w:w="3049" w:type="dxa"/>
            <w:tcBorders>
              <w:top w:val="single" w:color="auto" w:sz="4" w:space="0"/>
              <w:left w:val="single" w:color="auto" w:sz="4" w:space="0"/>
              <w:bottom w:val="single" w:color="auto" w:sz="4" w:space="0"/>
              <w:right w:val="single" w:color="auto" w:sz="4" w:space="0"/>
            </w:tcBorders>
            <w:vAlign w:val="center"/>
          </w:tcPr>
          <w:p w14:paraId="344615ED">
            <w:pPr>
              <w:snapToGrid w:val="0"/>
              <w:spacing w:before="156" w:beforeLines="50" w:line="360" w:lineRule="exact"/>
              <w:jc w:val="center"/>
              <w:rPr>
                <w:rFonts w:hint="eastAsia" w:ascii="宋体" w:hAnsi="宋体"/>
                <w:b/>
                <w:color w:val="auto"/>
                <w:szCs w:val="21"/>
              </w:rPr>
            </w:pPr>
            <w:r>
              <w:rPr>
                <w:rFonts w:hint="eastAsia" w:ascii="宋体" w:hAnsi="宋体"/>
                <w:b/>
                <w:color w:val="auto"/>
                <w:szCs w:val="21"/>
              </w:rPr>
              <w:t>采购文件要求</w:t>
            </w:r>
          </w:p>
        </w:tc>
        <w:tc>
          <w:tcPr>
            <w:tcW w:w="2976" w:type="dxa"/>
            <w:tcBorders>
              <w:top w:val="single" w:color="auto" w:sz="4" w:space="0"/>
              <w:left w:val="single" w:color="auto" w:sz="4" w:space="0"/>
              <w:bottom w:val="single" w:color="auto" w:sz="4" w:space="0"/>
              <w:right w:val="single" w:color="auto" w:sz="4" w:space="0"/>
            </w:tcBorders>
            <w:vAlign w:val="center"/>
          </w:tcPr>
          <w:p w14:paraId="2964500E">
            <w:pPr>
              <w:snapToGrid w:val="0"/>
              <w:spacing w:before="156" w:beforeLines="50" w:line="360" w:lineRule="exact"/>
              <w:jc w:val="center"/>
              <w:rPr>
                <w:rFonts w:hint="eastAsia" w:ascii="宋体" w:hAnsi="宋体"/>
                <w:b/>
                <w:color w:val="auto"/>
                <w:szCs w:val="21"/>
              </w:rPr>
            </w:pPr>
            <w:r>
              <w:rPr>
                <w:rFonts w:hint="eastAsia" w:ascii="宋体" w:hAnsi="宋体"/>
                <w:b/>
                <w:color w:val="auto"/>
                <w:szCs w:val="21"/>
              </w:rPr>
              <w:t>供应商的承诺或说明</w:t>
            </w:r>
          </w:p>
        </w:tc>
        <w:tc>
          <w:tcPr>
            <w:tcW w:w="1535" w:type="dxa"/>
            <w:tcBorders>
              <w:top w:val="single" w:color="auto" w:sz="4" w:space="0"/>
              <w:left w:val="single" w:color="auto" w:sz="4" w:space="0"/>
              <w:bottom w:val="single" w:color="auto" w:sz="4" w:space="0"/>
              <w:right w:val="single" w:color="auto" w:sz="4" w:space="0"/>
            </w:tcBorders>
            <w:vAlign w:val="center"/>
          </w:tcPr>
          <w:p w14:paraId="504497E7">
            <w:pPr>
              <w:snapToGrid w:val="0"/>
              <w:spacing w:before="156" w:beforeLines="50" w:line="360" w:lineRule="exact"/>
              <w:jc w:val="center"/>
              <w:rPr>
                <w:rFonts w:hint="eastAsia" w:ascii="宋体" w:hAnsi="宋体"/>
                <w:b/>
                <w:color w:val="auto"/>
                <w:szCs w:val="21"/>
              </w:rPr>
            </w:pPr>
            <w:r>
              <w:rPr>
                <w:rFonts w:hint="eastAsia" w:ascii="宋体" w:hAnsi="宋体"/>
                <w:b/>
                <w:color w:val="auto"/>
                <w:szCs w:val="21"/>
              </w:rPr>
              <w:t>是否响应</w:t>
            </w:r>
          </w:p>
        </w:tc>
      </w:tr>
      <w:tr w14:paraId="7B779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04C83B8F">
            <w:pPr>
              <w:snapToGrid w:val="0"/>
              <w:spacing w:before="156" w:beforeLines="50" w:line="360" w:lineRule="exact"/>
              <w:jc w:val="center"/>
              <w:rPr>
                <w:rFonts w:hint="eastAsia" w:ascii="宋体" w:hAnsi="宋体"/>
                <w:color w:val="auto"/>
                <w:szCs w:val="21"/>
              </w:rPr>
            </w:pPr>
            <w:r>
              <w:rPr>
                <w:rFonts w:hint="eastAsia" w:ascii="宋体" w:hAnsi="宋体"/>
                <w:color w:val="auto"/>
                <w:szCs w:val="21"/>
              </w:rPr>
              <w:t>质保期</w:t>
            </w:r>
          </w:p>
        </w:tc>
        <w:tc>
          <w:tcPr>
            <w:tcW w:w="3049" w:type="dxa"/>
            <w:tcBorders>
              <w:top w:val="single" w:color="auto" w:sz="4" w:space="0"/>
              <w:left w:val="single" w:color="auto" w:sz="4" w:space="0"/>
              <w:bottom w:val="single" w:color="auto" w:sz="4" w:space="0"/>
              <w:right w:val="single" w:color="auto" w:sz="4" w:space="0"/>
            </w:tcBorders>
            <w:vAlign w:val="center"/>
          </w:tcPr>
          <w:p w14:paraId="47D3E8E5">
            <w:pPr>
              <w:snapToGrid w:val="0"/>
              <w:spacing w:before="156" w:beforeLines="50" w:line="360" w:lineRule="exact"/>
              <w:jc w:val="center"/>
              <w:rPr>
                <w:rFonts w:hint="eastAsia" w:ascii="宋体" w:hAnsi="宋体"/>
                <w:color w:val="auto"/>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39B24F33">
            <w:pPr>
              <w:snapToGrid w:val="0"/>
              <w:spacing w:before="156" w:beforeLines="50" w:line="360" w:lineRule="exact"/>
              <w:jc w:val="center"/>
              <w:rPr>
                <w:rFonts w:hint="eastAsia" w:ascii="宋体" w:hAnsi="宋体"/>
                <w:color w:val="auto"/>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425FBCFE">
            <w:pPr>
              <w:snapToGrid w:val="0"/>
              <w:spacing w:before="156" w:beforeLines="50" w:line="360" w:lineRule="exact"/>
              <w:jc w:val="center"/>
              <w:rPr>
                <w:rFonts w:hint="eastAsia" w:ascii="宋体" w:hAnsi="宋体"/>
                <w:color w:val="auto"/>
                <w:szCs w:val="21"/>
              </w:rPr>
            </w:pPr>
          </w:p>
        </w:tc>
      </w:tr>
      <w:tr w14:paraId="5E349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7210CE28">
            <w:pPr>
              <w:snapToGrid w:val="0"/>
              <w:spacing w:before="156" w:beforeLines="50" w:line="360" w:lineRule="exact"/>
              <w:jc w:val="center"/>
              <w:rPr>
                <w:rFonts w:hint="eastAsia" w:ascii="宋体" w:hAnsi="宋体"/>
                <w:color w:val="auto"/>
                <w:szCs w:val="21"/>
              </w:rPr>
            </w:pPr>
            <w:r>
              <w:rPr>
                <w:rFonts w:hint="eastAsia" w:ascii="宋体" w:hAnsi="宋体"/>
                <w:color w:val="auto"/>
                <w:szCs w:val="21"/>
              </w:rPr>
              <w:t>售后技术服务要求</w:t>
            </w:r>
          </w:p>
        </w:tc>
        <w:tc>
          <w:tcPr>
            <w:tcW w:w="3049" w:type="dxa"/>
            <w:tcBorders>
              <w:top w:val="single" w:color="auto" w:sz="4" w:space="0"/>
              <w:left w:val="single" w:color="auto" w:sz="4" w:space="0"/>
              <w:bottom w:val="single" w:color="auto" w:sz="4" w:space="0"/>
              <w:right w:val="single" w:color="auto" w:sz="4" w:space="0"/>
            </w:tcBorders>
            <w:vAlign w:val="center"/>
          </w:tcPr>
          <w:p w14:paraId="0A78DFA7">
            <w:pPr>
              <w:snapToGrid w:val="0"/>
              <w:spacing w:before="156" w:beforeLines="50" w:line="360" w:lineRule="exact"/>
              <w:jc w:val="center"/>
              <w:rPr>
                <w:rFonts w:hint="eastAsia" w:ascii="宋体" w:hAnsi="宋体"/>
                <w:color w:val="auto"/>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641453AB">
            <w:pPr>
              <w:snapToGrid w:val="0"/>
              <w:spacing w:before="156" w:beforeLines="50" w:line="360" w:lineRule="exact"/>
              <w:jc w:val="center"/>
              <w:rPr>
                <w:rFonts w:hint="eastAsia" w:ascii="宋体" w:hAnsi="宋体"/>
                <w:color w:val="auto"/>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671B3346">
            <w:pPr>
              <w:snapToGrid w:val="0"/>
              <w:spacing w:before="156" w:beforeLines="50" w:line="360" w:lineRule="exact"/>
              <w:jc w:val="center"/>
              <w:rPr>
                <w:rFonts w:hint="eastAsia" w:ascii="宋体" w:hAnsi="宋体"/>
                <w:color w:val="auto"/>
                <w:szCs w:val="21"/>
              </w:rPr>
            </w:pPr>
          </w:p>
        </w:tc>
      </w:tr>
      <w:tr w14:paraId="4BD3F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69881FD6">
            <w:pPr>
              <w:snapToGrid w:val="0"/>
              <w:spacing w:before="156" w:beforeLines="50" w:line="360" w:lineRule="exact"/>
              <w:jc w:val="center"/>
              <w:rPr>
                <w:rFonts w:hint="eastAsia" w:ascii="宋体" w:hAnsi="宋体"/>
                <w:color w:val="auto"/>
                <w:szCs w:val="21"/>
              </w:rPr>
            </w:pPr>
            <w:r>
              <w:rPr>
                <w:rFonts w:hint="eastAsia" w:ascii="宋体" w:hAnsi="宋体"/>
                <w:color w:val="auto"/>
                <w:szCs w:val="21"/>
              </w:rPr>
              <w:t>交货时间及地点</w:t>
            </w:r>
          </w:p>
        </w:tc>
        <w:tc>
          <w:tcPr>
            <w:tcW w:w="3049" w:type="dxa"/>
            <w:tcBorders>
              <w:top w:val="single" w:color="auto" w:sz="4" w:space="0"/>
              <w:left w:val="single" w:color="auto" w:sz="4" w:space="0"/>
              <w:bottom w:val="single" w:color="auto" w:sz="4" w:space="0"/>
              <w:right w:val="single" w:color="auto" w:sz="4" w:space="0"/>
            </w:tcBorders>
            <w:vAlign w:val="center"/>
          </w:tcPr>
          <w:p w14:paraId="30376DC5">
            <w:pPr>
              <w:snapToGrid w:val="0"/>
              <w:spacing w:before="156" w:beforeLines="50" w:line="360" w:lineRule="exact"/>
              <w:jc w:val="center"/>
              <w:rPr>
                <w:rFonts w:hint="eastAsia" w:ascii="宋体" w:hAnsi="宋体"/>
                <w:color w:val="auto"/>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7946B446">
            <w:pPr>
              <w:snapToGrid w:val="0"/>
              <w:spacing w:before="156" w:beforeLines="50" w:line="360" w:lineRule="exact"/>
              <w:ind w:left="43"/>
              <w:jc w:val="center"/>
              <w:rPr>
                <w:rFonts w:hint="eastAsia" w:ascii="宋体" w:hAnsi="宋体"/>
                <w:color w:val="auto"/>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4D06C2E3">
            <w:pPr>
              <w:snapToGrid w:val="0"/>
              <w:spacing w:before="156" w:beforeLines="50" w:line="360" w:lineRule="exact"/>
              <w:ind w:left="43"/>
              <w:jc w:val="center"/>
              <w:rPr>
                <w:rFonts w:hint="eastAsia" w:ascii="宋体" w:hAnsi="宋体"/>
                <w:color w:val="auto"/>
                <w:szCs w:val="21"/>
              </w:rPr>
            </w:pPr>
          </w:p>
        </w:tc>
      </w:tr>
      <w:tr w14:paraId="15B65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3C269A3F">
            <w:pPr>
              <w:snapToGrid w:val="0"/>
              <w:spacing w:before="156" w:beforeLines="50" w:line="360" w:lineRule="exact"/>
              <w:jc w:val="center"/>
              <w:rPr>
                <w:rFonts w:hint="eastAsia" w:ascii="宋体" w:hAnsi="宋体"/>
                <w:color w:val="auto"/>
                <w:szCs w:val="21"/>
              </w:rPr>
            </w:pPr>
            <w:r>
              <w:rPr>
                <w:rFonts w:hint="eastAsia" w:ascii="宋体" w:hAnsi="宋体"/>
                <w:color w:val="auto"/>
                <w:szCs w:val="21"/>
              </w:rPr>
              <w:t>付款条件</w:t>
            </w:r>
          </w:p>
        </w:tc>
        <w:tc>
          <w:tcPr>
            <w:tcW w:w="3049" w:type="dxa"/>
            <w:tcBorders>
              <w:top w:val="single" w:color="auto" w:sz="4" w:space="0"/>
              <w:left w:val="single" w:color="auto" w:sz="4" w:space="0"/>
              <w:bottom w:val="single" w:color="auto" w:sz="4" w:space="0"/>
              <w:right w:val="single" w:color="auto" w:sz="4" w:space="0"/>
            </w:tcBorders>
            <w:vAlign w:val="center"/>
          </w:tcPr>
          <w:p w14:paraId="354675C9">
            <w:pPr>
              <w:snapToGrid w:val="0"/>
              <w:spacing w:before="156" w:beforeLines="50" w:line="360" w:lineRule="exact"/>
              <w:jc w:val="center"/>
              <w:rPr>
                <w:rFonts w:hint="eastAsia" w:ascii="宋体" w:hAnsi="宋体"/>
                <w:color w:val="auto"/>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591E0E73">
            <w:pPr>
              <w:snapToGrid w:val="0"/>
              <w:spacing w:before="156" w:beforeLines="50" w:line="360" w:lineRule="exact"/>
              <w:jc w:val="center"/>
              <w:rPr>
                <w:rFonts w:hint="eastAsia" w:ascii="宋体" w:hAnsi="宋体"/>
                <w:color w:val="auto"/>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3E0F733B">
            <w:pPr>
              <w:snapToGrid w:val="0"/>
              <w:spacing w:before="156" w:beforeLines="50" w:line="360" w:lineRule="exact"/>
              <w:jc w:val="center"/>
              <w:rPr>
                <w:rFonts w:hint="eastAsia" w:ascii="宋体" w:hAnsi="宋体"/>
                <w:color w:val="auto"/>
                <w:szCs w:val="21"/>
              </w:rPr>
            </w:pPr>
          </w:p>
        </w:tc>
      </w:tr>
      <w:tr w14:paraId="36CA5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29C5268A">
            <w:pPr>
              <w:snapToGrid w:val="0"/>
              <w:spacing w:before="156" w:beforeLines="50" w:line="360" w:lineRule="exact"/>
              <w:jc w:val="center"/>
              <w:rPr>
                <w:rFonts w:hint="eastAsia" w:ascii="宋体" w:hAnsi="宋体"/>
                <w:color w:val="auto"/>
                <w:szCs w:val="21"/>
              </w:rPr>
            </w:pPr>
            <w:r>
              <w:rPr>
                <w:rFonts w:hint="eastAsia" w:ascii="宋体" w:hAnsi="宋体"/>
                <w:color w:val="auto"/>
                <w:szCs w:val="21"/>
              </w:rPr>
              <w:t>…</w:t>
            </w:r>
          </w:p>
        </w:tc>
        <w:tc>
          <w:tcPr>
            <w:tcW w:w="3049" w:type="dxa"/>
            <w:tcBorders>
              <w:top w:val="single" w:color="auto" w:sz="4" w:space="0"/>
              <w:left w:val="single" w:color="auto" w:sz="4" w:space="0"/>
              <w:bottom w:val="single" w:color="auto" w:sz="4" w:space="0"/>
              <w:right w:val="single" w:color="auto" w:sz="4" w:space="0"/>
            </w:tcBorders>
            <w:vAlign w:val="center"/>
          </w:tcPr>
          <w:p w14:paraId="4034B07A">
            <w:pPr>
              <w:snapToGrid w:val="0"/>
              <w:spacing w:before="156" w:beforeLines="50" w:line="360" w:lineRule="exact"/>
              <w:jc w:val="center"/>
              <w:rPr>
                <w:rFonts w:hint="eastAsia" w:ascii="宋体" w:hAnsi="宋体"/>
                <w:color w:val="auto"/>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2220194E">
            <w:pPr>
              <w:snapToGrid w:val="0"/>
              <w:spacing w:before="156" w:beforeLines="50" w:line="360" w:lineRule="exact"/>
              <w:jc w:val="center"/>
              <w:rPr>
                <w:rFonts w:hint="eastAsia" w:ascii="宋体" w:hAnsi="宋体"/>
                <w:color w:val="auto"/>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5F698EE3">
            <w:pPr>
              <w:snapToGrid w:val="0"/>
              <w:spacing w:before="156" w:beforeLines="50" w:line="360" w:lineRule="exact"/>
              <w:jc w:val="center"/>
              <w:rPr>
                <w:rFonts w:hint="eastAsia" w:ascii="宋体" w:hAnsi="宋体"/>
                <w:color w:val="auto"/>
                <w:szCs w:val="21"/>
              </w:rPr>
            </w:pPr>
          </w:p>
        </w:tc>
      </w:tr>
    </w:tbl>
    <w:p w14:paraId="60649D6B">
      <w:pPr>
        <w:tabs>
          <w:tab w:val="left" w:pos="3870"/>
          <w:tab w:val="left" w:pos="4085"/>
        </w:tabs>
        <w:snapToGrid w:val="0"/>
        <w:spacing w:line="400" w:lineRule="exact"/>
        <w:rPr>
          <w:rFonts w:hint="eastAsia" w:ascii="宋体" w:hAnsi="宋体"/>
          <w:b/>
          <w:color w:val="auto"/>
          <w:szCs w:val="21"/>
        </w:rPr>
      </w:pPr>
    </w:p>
    <w:p w14:paraId="194CD0DC">
      <w:pPr>
        <w:pStyle w:val="16"/>
        <w:spacing w:line="380" w:lineRule="exact"/>
        <w:rPr>
          <w:b w:val="0"/>
          <w:bCs w:val="0"/>
          <w:color w:val="auto"/>
          <w:sz w:val="21"/>
          <w:szCs w:val="21"/>
        </w:rPr>
      </w:pPr>
      <w:r>
        <w:rPr>
          <w:rFonts w:hint="eastAsia"/>
          <w:b w:val="0"/>
          <w:bCs w:val="0"/>
          <w:color w:val="auto"/>
          <w:sz w:val="21"/>
          <w:szCs w:val="21"/>
        </w:rPr>
        <w:t>注：应对照采购文件“第二章 项目需求”中的商务要求逐条作明确的竞标响应。</w:t>
      </w:r>
    </w:p>
    <w:p w14:paraId="794572CD">
      <w:pPr>
        <w:tabs>
          <w:tab w:val="left" w:pos="3870"/>
          <w:tab w:val="left" w:pos="4085"/>
        </w:tabs>
        <w:snapToGrid w:val="0"/>
        <w:spacing w:line="400" w:lineRule="exact"/>
        <w:rPr>
          <w:rFonts w:hint="eastAsia" w:ascii="宋体" w:hAnsi="宋体"/>
          <w:b/>
          <w:color w:val="auto"/>
          <w:szCs w:val="21"/>
        </w:rPr>
      </w:pPr>
    </w:p>
    <w:p w14:paraId="6E428F7D">
      <w:pPr>
        <w:snapToGrid w:val="0"/>
        <w:spacing w:before="50" w:after="50" w:line="350" w:lineRule="exact"/>
        <w:ind w:right="-817" w:rightChars="-389"/>
        <w:rPr>
          <w:rFonts w:hint="eastAsia"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供应商（盖章）：</w:t>
      </w:r>
      <w:r>
        <w:rPr>
          <w:rFonts w:hint="eastAsia" w:ascii="宋体" w:hAnsi="宋体"/>
          <w:color w:val="auto"/>
          <w:szCs w:val="21"/>
          <w:u w:val="single"/>
        </w:rPr>
        <w:t xml:space="preserve">         </w:t>
      </w:r>
    </w:p>
    <w:p w14:paraId="7A7A201D">
      <w:pPr>
        <w:snapToGrid w:val="0"/>
        <w:spacing w:before="50" w:after="50" w:line="350" w:lineRule="exact"/>
        <w:ind w:right="-817" w:rightChars="-389"/>
        <w:rPr>
          <w:rFonts w:hint="eastAsia"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日</w:t>
      </w:r>
    </w:p>
    <w:p w14:paraId="51987BDD">
      <w:pPr>
        <w:snapToGrid w:val="0"/>
        <w:spacing w:before="50" w:after="50" w:line="350" w:lineRule="exact"/>
        <w:ind w:right="-817" w:rightChars="-389"/>
        <w:rPr>
          <w:rFonts w:hint="eastAsia" w:ascii="宋体" w:hAnsi="宋体"/>
          <w:color w:val="auto"/>
          <w:szCs w:val="21"/>
        </w:rPr>
      </w:pPr>
    </w:p>
    <w:p w14:paraId="53E66B03">
      <w:pPr>
        <w:snapToGrid w:val="0"/>
        <w:spacing w:before="50" w:after="50" w:line="350" w:lineRule="exact"/>
        <w:ind w:right="-817" w:rightChars="-389"/>
        <w:rPr>
          <w:rFonts w:hint="eastAsia" w:ascii="宋体" w:hAnsi="宋体"/>
          <w:color w:val="auto"/>
          <w:szCs w:val="21"/>
        </w:rPr>
      </w:pPr>
    </w:p>
    <w:p w14:paraId="3C551844">
      <w:pPr>
        <w:snapToGrid w:val="0"/>
        <w:spacing w:before="50" w:after="50" w:line="350" w:lineRule="exact"/>
        <w:ind w:right="-817" w:rightChars="-389"/>
        <w:rPr>
          <w:rFonts w:hint="eastAsia" w:ascii="宋体" w:hAnsi="宋体"/>
          <w:color w:val="auto"/>
          <w:szCs w:val="21"/>
        </w:rPr>
      </w:pPr>
    </w:p>
    <w:p w14:paraId="3CA585B6">
      <w:pPr>
        <w:snapToGrid w:val="0"/>
        <w:spacing w:before="50" w:after="50" w:line="350" w:lineRule="exact"/>
        <w:ind w:right="-817" w:rightChars="-389"/>
        <w:rPr>
          <w:rFonts w:hint="eastAsia" w:ascii="宋体" w:hAnsi="宋体"/>
          <w:color w:val="auto"/>
          <w:szCs w:val="21"/>
        </w:rPr>
      </w:pPr>
    </w:p>
    <w:p w14:paraId="011CCF5D">
      <w:pPr>
        <w:snapToGrid w:val="0"/>
        <w:spacing w:before="50" w:after="50" w:line="350" w:lineRule="exact"/>
        <w:ind w:right="-817" w:rightChars="-389"/>
        <w:rPr>
          <w:rFonts w:hint="eastAsia" w:ascii="宋体" w:hAnsi="宋体"/>
          <w:color w:val="auto"/>
          <w:szCs w:val="21"/>
        </w:rPr>
      </w:pPr>
    </w:p>
    <w:p w14:paraId="27600494">
      <w:pPr>
        <w:snapToGrid w:val="0"/>
        <w:spacing w:before="50" w:after="50" w:line="350" w:lineRule="exact"/>
        <w:ind w:right="-817" w:rightChars="-389"/>
        <w:rPr>
          <w:rFonts w:hint="eastAsia" w:ascii="宋体" w:hAnsi="宋体"/>
          <w:color w:val="auto"/>
          <w:szCs w:val="21"/>
        </w:rPr>
      </w:pPr>
    </w:p>
    <w:p w14:paraId="6F711FB2">
      <w:pPr>
        <w:snapToGrid w:val="0"/>
        <w:spacing w:before="50" w:after="50" w:line="350" w:lineRule="exact"/>
        <w:ind w:right="-817" w:rightChars="-389"/>
        <w:rPr>
          <w:rFonts w:hint="eastAsia" w:ascii="宋体" w:hAnsi="宋体"/>
          <w:color w:val="auto"/>
          <w:szCs w:val="21"/>
        </w:rPr>
      </w:pPr>
    </w:p>
    <w:p w14:paraId="397EC156">
      <w:pPr>
        <w:snapToGrid w:val="0"/>
        <w:spacing w:before="50" w:after="50" w:line="350" w:lineRule="exact"/>
        <w:ind w:right="-817" w:rightChars="-389"/>
        <w:rPr>
          <w:rFonts w:hint="eastAsia" w:ascii="宋体" w:hAnsi="宋体"/>
          <w:color w:val="auto"/>
          <w:szCs w:val="21"/>
        </w:rPr>
      </w:pPr>
    </w:p>
    <w:p w14:paraId="65D84413">
      <w:pPr>
        <w:snapToGrid w:val="0"/>
        <w:spacing w:before="50" w:after="50" w:line="350" w:lineRule="exact"/>
        <w:ind w:right="-817" w:rightChars="-389"/>
        <w:rPr>
          <w:rFonts w:hint="eastAsia" w:ascii="宋体" w:hAnsi="宋体"/>
          <w:color w:val="auto"/>
          <w:szCs w:val="21"/>
        </w:rPr>
      </w:pPr>
    </w:p>
    <w:p w14:paraId="2DA4DB4A">
      <w:pPr>
        <w:snapToGrid w:val="0"/>
        <w:spacing w:before="50" w:after="50" w:line="350" w:lineRule="exact"/>
        <w:ind w:right="-817" w:rightChars="-389"/>
        <w:rPr>
          <w:rFonts w:hint="eastAsia" w:ascii="宋体" w:hAnsi="宋体"/>
          <w:color w:val="auto"/>
          <w:szCs w:val="21"/>
        </w:rPr>
      </w:pPr>
    </w:p>
    <w:p w14:paraId="10028D1A">
      <w:pPr>
        <w:snapToGrid w:val="0"/>
        <w:spacing w:before="50" w:after="50" w:line="350" w:lineRule="exact"/>
        <w:ind w:right="-817" w:rightChars="-389"/>
        <w:rPr>
          <w:rFonts w:hint="eastAsia" w:ascii="宋体" w:hAnsi="宋体"/>
          <w:color w:val="auto"/>
          <w:szCs w:val="21"/>
        </w:rPr>
      </w:pPr>
    </w:p>
    <w:p w14:paraId="19B19773">
      <w:pPr>
        <w:snapToGrid w:val="0"/>
        <w:spacing w:before="50" w:after="50" w:line="350" w:lineRule="exact"/>
        <w:ind w:right="-817" w:rightChars="-389"/>
        <w:rPr>
          <w:rFonts w:hint="eastAsia" w:ascii="宋体" w:hAnsi="宋体"/>
          <w:color w:val="auto"/>
          <w:szCs w:val="21"/>
        </w:rPr>
      </w:pPr>
    </w:p>
    <w:p w14:paraId="7D3BAAD8">
      <w:pPr>
        <w:snapToGrid w:val="0"/>
        <w:spacing w:before="50" w:after="50" w:line="350" w:lineRule="exact"/>
        <w:ind w:right="-817" w:rightChars="-389"/>
        <w:rPr>
          <w:rFonts w:hint="eastAsia" w:ascii="宋体" w:hAnsi="宋体"/>
          <w:color w:val="auto"/>
          <w:szCs w:val="21"/>
        </w:rPr>
      </w:pPr>
    </w:p>
    <w:p w14:paraId="12BED38B">
      <w:pPr>
        <w:snapToGrid w:val="0"/>
        <w:spacing w:before="50" w:after="50" w:line="350" w:lineRule="exact"/>
        <w:ind w:right="-817" w:rightChars="-389"/>
        <w:rPr>
          <w:rFonts w:hint="eastAsia" w:ascii="宋体" w:hAnsi="宋体"/>
          <w:color w:val="auto"/>
          <w:szCs w:val="21"/>
        </w:rPr>
      </w:pPr>
    </w:p>
    <w:p w14:paraId="56A90C09">
      <w:pPr>
        <w:snapToGrid w:val="0"/>
        <w:spacing w:before="50" w:after="50" w:line="350" w:lineRule="exact"/>
        <w:ind w:right="-817" w:rightChars="-389"/>
        <w:rPr>
          <w:rFonts w:hint="eastAsia" w:ascii="宋体" w:hAnsi="宋体"/>
          <w:color w:val="auto"/>
          <w:szCs w:val="21"/>
        </w:rPr>
      </w:pPr>
    </w:p>
    <w:p w14:paraId="5CD714B8">
      <w:pPr>
        <w:snapToGrid w:val="0"/>
        <w:spacing w:before="50" w:after="50" w:line="350" w:lineRule="exact"/>
        <w:ind w:right="-817" w:rightChars="-389"/>
        <w:rPr>
          <w:rFonts w:hint="eastAsia" w:ascii="宋体" w:hAnsi="宋体"/>
          <w:color w:val="auto"/>
          <w:szCs w:val="21"/>
        </w:rPr>
      </w:pPr>
    </w:p>
    <w:p w14:paraId="4ACE9F9D">
      <w:pPr>
        <w:snapToGrid w:val="0"/>
        <w:spacing w:before="50" w:after="50" w:line="350" w:lineRule="exact"/>
        <w:ind w:right="-817" w:rightChars="-389"/>
        <w:rPr>
          <w:rFonts w:hint="eastAsia" w:ascii="宋体" w:hAnsi="宋体"/>
          <w:color w:val="auto"/>
          <w:szCs w:val="21"/>
        </w:rPr>
      </w:pPr>
    </w:p>
    <w:p w14:paraId="0B5054C8">
      <w:pPr>
        <w:snapToGrid w:val="0"/>
        <w:spacing w:before="50" w:after="50" w:line="350" w:lineRule="exact"/>
        <w:ind w:right="-817" w:rightChars="-389"/>
        <w:rPr>
          <w:rFonts w:hint="eastAsia" w:ascii="宋体" w:hAnsi="宋体"/>
          <w:color w:val="auto"/>
          <w:szCs w:val="21"/>
        </w:rPr>
      </w:pPr>
    </w:p>
    <w:p w14:paraId="536CCDF0">
      <w:pPr>
        <w:pStyle w:val="21"/>
        <w:spacing w:line="440" w:lineRule="exact"/>
        <w:ind w:firstLine="840"/>
        <w:jc w:val="center"/>
        <w:rPr>
          <w:rFonts w:hint="eastAsia" w:ascii="仿宋" w:hAnsi="仿宋" w:eastAsia="仿宋"/>
          <w:color w:val="auto"/>
        </w:rPr>
      </w:pPr>
      <w:r>
        <w:rPr>
          <w:rFonts w:hint="eastAsia" w:ascii="仿宋" w:hAnsi="仿宋" w:eastAsia="仿宋" w:cs="黑体"/>
          <w:b/>
          <w:color w:val="auto"/>
          <w:sz w:val="32"/>
          <w:szCs w:val="32"/>
        </w:rPr>
        <w:t>技术响应表</w:t>
      </w:r>
      <w:r>
        <w:rPr>
          <w:rFonts w:hint="eastAsia" w:ascii="仿宋" w:hAnsi="仿宋" w:eastAsia="仿宋"/>
          <w:color w:val="auto"/>
          <w:sz w:val="24"/>
          <w:szCs w:val="24"/>
        </w:rPr>
        <w:t>(格式</w:t>
      </w:r>
      <w:r>
        <w:rPr>
          <w:rFonts w:ascii="仿宋" w:hAnsi="仿宋" w:eastAsia="仿宋"/>
          <w:color w:val="auto"/>
          <w:sz w:val="24"/>
          <w:szCs w:val="24"/>
        </w:rPr>
        <w:t>)</w:t>
      </w:r>
    </w:p>
    <w:p w14:paraId="06D5771F">
      <w:pPr>
        <w:rPr>
          <w:color w:val="auto"/>
        </w:rPr>
      </w:pPr>
    </w:p>
    <w:p w14:paraId="46F2257E">
      <w:pPr>
        <w:rPr>
          <w:color w:val="auto"/>
        </w:rPr>
      </w:pPr>
      <w:r>
        <w:rPr>
          <w:rFonts w:hint="eastAsia"/>
          <w:color w:val="auto"/>
        </w:rPr>
        <w:t>采购项目编号：</w:t>
      </w:r>
      <w:r>
        <w:rPr>
          <w:rFonts w:hint="eastAsia"/>
          <w:color w:val="auto"/>
          <w:u w:val="single"/>
        </w:rPr>
        <w:t xml:space="preserve">                 </w:t>
      </w:r>
    </w:p>
    <w:p w14:paraId="05E7E202">
      <w:pPr>
        <w:rPr>
          <w:rFonts w:hint="default" w:eastAsia="宋体"/>
          <w:color w:val="auto"/>
          <w:u w:val="single"/>
          <w:lang w:val="en-US" w:eastAsia="zh-CN"/>
        </w:rPr>
      </w:pPr>
      <w:r>
        <w:rPr>
          <w:rFonts w:hint="eastAsia"/>
          <w:color w:val="auto"/>
        </w:rPr>
        <w:t>采购项目名称：</w:t>
      </w:r>
      <w:r>
        <w:rPr>
          <w:rFonts w:hint="eastAsia"/>
          <w:color w:val="auto"/>
          <w:u w:val="single"/>
        </w:rPr>
        <w:t xml:space="preserve">                 </w:t>
      </w:r>
    </w:p>
    <w:p w14:paraId="783A142E">
      <w:pPr>
        <w:rPr>
          <w:rFonts w:hint="default" w:eastAsia="宋体"/>
          <w:color w:val="auto"/>
          <w:u w:val="single"/>
          <w:lang w:val="en-US" w:eastAsia="zh-CN"/>
        </w:rPr>
      </w:pPr>
    </w:p>
    <w:tbl>
      <w:tblPr>
        <w:tblStyle w:val="37"/>
        <w:tblW w:w="941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14:paraId="119DDD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vAlign w:val="center"/>
          </w:tcPr>
          <w:p w14:paraId="030AAAC8">
            <w:pPr>
              <w:jc w:val="center"/>
              <w:rPr>
                <w:color w:val="auto"/>
              </w:rPr>
            </w:pPr>
            <w:r>
              <w:rPr>
                <w:rFonts w:hint="eastAsia"/>
                <w:color w:val="auto"/>
              </w:rPr>
              <w:t>序号</w:t>
            </w:r>
          </w:p>
        </w:tc>
        <w:tc>
          <w:tcPr>
            <w:tcW w:w="1480" w:type="dxa"/>
            <w:vAlign w:val="center"/>
          </w:tcPr>
          <w:p w14:paraId="5341D5E0">
            <w:pPr>
              <w:jc w:val="center"/>
              <w:rPr>
                <w:color w:val="auto"/>
              </w:rPr>
            </w:pPr>
            <w:r>
              <w:rPr>
                <w:rFonts w:hint="eastAsia"/>
                <w:color w:val="auto"/>
              </w:rPr>
              <w:t>标的名称</w:t>
            </w:r>
          </w:p>
        </w:tc>
        <w:tc>
          <w:tcPr>
            <w:tcW w:w="2835" w:type="dxa"/>
            <w:vAlign w:val="center"/>
          </w:tcPr>
          <w:p w14:paraId="53F9708D">
            <w:pPr>
              <w:jc w:val="center"/>
              <w:rPr>
                <w:color w:val="auto"/>
              </w:rPr>
            </w:pPr>
            <w:r>
              <w:rPr>
                <w:rFonts w:hint="eastAsia"/>
                <w:color w:val="auto"/>
              </w:rPr>
              <w:t>竞争性谈判采购文件要求</w:t>
            </w:r>
          </w:p>
        </w:tc>
        <w:tc>
          <w:tcPr>
            <w:tcW w:w="2268" w:type="dxa"/>
            <w:vAlign w:val="center"/>
          </w:tcPr>
          <w:p w14:paraId="33BCB1F0">
            <w:pPr>
              <w:jc w:val="center"/>
              <w:rPr>
                <w:color w:val="auto"/>
              </w:rPr>
            </w:pPr>
            <w:r>
              <w:rPr>
                <w:rFonts w:hint="eastAsia"/>
                <w:color w:val="auto"/>
              </w:rPr>
              <w:t>响应文件具体响应</w:t>
            </w:r>
          </w:p>
        </w:tc>
        <w:tc>
          <w:tcPr>
            <w:tcW w:w="1418" w:type="dxa"/>
            <w:vAlign w:val="center"/>
          </w:tcPr>
          <w:p w14:paraId="6D938C3D">
            <w:pPr>
              <w:jc w:val="center"/>
              <w:rPr>
                <w:color w:val="auto"/>
              </w:rPr>
            </w:pPr>
            <w:r>
              <w:rPr>
                <w:rFonts w:hint="eastAsia"/>
                <w:color w:val="auto"/>
              </w:rPr>
              <w:t>响应/偏离</w:t>
            </w:r>
          </w:p>
        </w:tc>
        <w:tc>
          <w:tcPr>
            <w:tcW w:w="709" w:type="dxa"/>
            <w:vAlign w:val="center"/>
          </w:tcPr>
          <w:p w14:paraId="61E37847">
            <w:pPr>
              <w:jc w:val="center"/>
              <w:rPr>
                <w:color w:val="auto"/>
              </w:rPr>
            </w:pPr>
            <w:r>
              <w:rPr>
                <w:rFonts w:hint="eastAsia"/>
                <w:color w:val="auto"/>
              </w:rPr>
              <w:t>说明</w:t>
            </w:r>
          </w:p>
        </w:tc>
      </w:tr>
      <w:tr w14:paraId="760FA7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6373747E">
            <w:pPr>
              <w:jc w:val="center"/>
              <w:rPr>
                <w:color w:val="auto"/>
              </w:rPr>
            </w:pPr>
            <w:r>
              <w:rPr>
                <w:rFonts w:hint="eastAsia"/>
                <w:color w:val="auto"/>
              </w:rPr>
              <w:t>1</w:t>
            </w:r>
          </w:p>
        </w:tc>
        <w:tc>
          <w:tcPr>
            <w:tcW w:w="1480" w:type="dxa"/>
            <w:vAlign w:val="center"/>
          </w:tcPr>
          <w:p w14:paraId="1DAB651F">
            <w:pPr>
              <w:rPr>
                <w:color w:val="auto"/>
              </w:rPr>
            </w:pPr>
          </w:p>
        </w:tc>
        <w:tc>
          <w:tcPr>
            <w:tcW w:w="2835" w:type="dxa"/>
            <w:vAlign w:val="center"/>
          </w:tcPr>
          <w:p w14:paraId="586F4F59">
            <w:pPr>
              <w:rPr>
                <w:color w:val="auto"/>
              </w:rPr>
            </w:pPr>
          </w:p>
        </w:tc>
        <w:tc>
          <w:tcPr>
            <w:tcW w:w="2268" w:type="dxa"/>
            <w:vAlign w:val="center"/>
          </w:tcPr>
          <w:p w14:paraId="05E36031">
            <w:pPr>
              <w:rPr>
                <w:color w:val="auto"/>
              </w:rPr>
            </w:pPr>
          </w:p>
        </w:tc>
        <w:tc>
          <w:tcPr>
            <w:tcW w:w="1418" w:type="dxa"/>
            <w:vAlign w:val="center"/>
          </w:tcPr>
          <w:p w14:paraId="2421DF20">
            <w:pPr>
              <w:rPr>
                <w:color w:val="auto"/>
              </w:rPr>
            </w:pPr>
          </w:p>
        </w:tc>
        <w:tc>
          <w:tcPr>
            <w:tcW w:w="709" w:type="dxa"/>
            <w:vAlign w:val="center"/>
          </w:tcPr>
          <w:p w14:paraId="205A5CD2">
            <w:pPr>
              <w:rPr>
                <w:color w:val="auto"/>
              </w:rPr>
            </w:pPr>
          </w:p>
        </w:tc>
      </w:tr>
      <w:tr w14:paraId="7743F1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1042D2CF">
            <w:pPr>
              <w:jc w:val="center"/>
              <w:rPr>
                <w:color w:val="auto"/>
              </w:rPr>
            </w:pPr>
            <w:r>
              <w:rPr>
                <w:rFonts w:hint="eastAsia"/>
                <w:color w:val="auto"/>
              </w:rPr>
              <w:t>2</w:t>
            </w:r>
          </w:p>
        </w:tc>
        <w:tc>
          <w:tcPr>
            <w:tcW w:w="1480" w:type="dxa"/>
            <w:vAlign w:val="center"/>
          </w:tcPr>
          <w:p w14:paraId="672371AE">
            <w:pPr>
              <w:rPr>
                <w:color w:val="auto"/>
              </w:rPr>
            </w:pPr>
          </w:p>
        </w:tc>
        <w:tc>
          <w:tcPr>
            <w:tcW w:w="2835" w:type="dxa"/>
            <w:vAlign w:val="center"/>
          </w:tcPr>
          <w:p w14:paraId="6320FCA1">
            <w:pPr>
              <w:rPr>
                <w:color w:val="auto"/>
              </w:rPr>
            </w:pPr>
          </w:p>
        </w:tc>
        <w:tc>
          <w:tcPr>
            <w:tcW w:w="2268" w:type="dxa"/>
            <w:vAlign w:val="center"/>
          </w:tcPr>
          <w:p w14:paraId="3B14D918">
            <w:pPr>
              <w:rPr>
                <w:color w:val="auto"/>
              </w:rPr>
            </w:pPr>
          </w:p>
        </w:tc>
        <w:tc>
          <w:tcPr>
            <w:tcW w:w="1418" w:type="dxa"/>
            <w:vAlign w:val="center"/>
          </w:tcPr>
          <w:p w14:paraId="3869CF5A">
            <w:pPr>
              <w:rPr>
                <w:color w:val="auto"/>
              </w:rPr>
            </w:pPr>
          </w:p>
        </w:tc>
        <w:tc>
          <w:tcPr>
            <w:tcW w:w="709" w:type="dxa"/>
            <w:vAlign w:val="center"/>
          </w:tcPr>
          <w:p w14:paraId="39732E53">
            <w:pPr>
              <w:rPr>
                <w:color w:val="auto"/>
              </w:rPr>
            </w:pPr>
          </w:p>
        </w:tc>
      </w:tr>
      <w:tr w14:paraId="0DAAF7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0B77E5E2">
            <w:pPr>
              <w:jc w:val="center"/>
              <w:rPr>
                <w:color w:val="auto"/>
              </w:rPr>
            </w:pPr>
            <w:r>
              <w:rPr>
                <w:rFonts w:hint="eastAsia"/>
                <w:color w:val="auto"/>
              </w:rPr>
              <w:t>3</w:t>
            </w:r>
          </w:p>
        </w:tc>
        <w:tc>
          <w:tcPr>
            <w:tcW w:w="1480" w:type="dxa"/>
            <w:vAlign w:val="center"/>
          </w:tcPr>
          <w:p w14:paraId="12C29516">
            <w:pPr>
              <w:rPr>
                <w:color w:val="auto"/>
              </w:rPr>
            </w:pPr>
          </w:p>
        </w:tc>
        <w:tc>
          <w:tcPr>
            <w:tcW w:w="2835" w:type="dxa"/>
            <w:vAlign w:val="center"/>
          </w:tcPr>
          <w:p w14:paraId="46DF37E6">
            <w:pPr>
              <w:rPr>
                <w:color w:val="auto"/>
              </w:rPr>
            </w:pPr>
          </w:p>
        </w:tc>
        <w:tc>
          <w:tcPr>
            <w:tcW w:w="2268" w:type="dxa"/>
            <w:vAlign w:val="center"/>
          </w:tcPr>
          <w:p w14:paraId="43524DA1">
            <w:pPr>
              <w:rPr>
                <w:color w:val="auto"/>
              </w:rPr>
            </w:pPr>
          </w:p>
        </w:tc>
        <w:tc>
          <w:tcPr>
            <w:tcW w:w="1418" w:type="dxa"/>
            <w:vAlign w:val="center"/>
          </w:tcPr>
          <w:p w14:paraId="2AEB1ADE">
            <w:pPr>
              <w:rPr>
                <w:color w:val="auto"/>
              </w:rPr>
            </w:pPr>
          </w:p>
        </w:tc>
        <w:tc>
          <w:tcPr>
            <w:tcW w:w="709" w:type="dxa"/>
            <w:vAlign w:val="center"/>
          </w:tcPr>
          <w:p w14:paraId="057C62E6">
            <w:pPr>
              <w:rPr>
                <w:color w:val="auto"/>
              </w:rPr>
            </w:pPr>
          </w:p>
        </w:tc>
      </w:tr>
      <w:tr w14:paraId="36E002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1F1EBC8B">
            <w:pPr>
              <w:jc w:val="center"/>
              <w:rPr>
                <w:color w:val="auto"/>
              </w:rPr>
            </w:pPr>
            <w:r>
              <w:rPr>
                <w:rFonts w:hint="eastAsia"/>
                <w:color w:val="auto"/>
              </w:rPr>
              <w:t>4</w:t>
            </w:r>
          </w:p>
        </w:tc>
        <w:tc>
          <w:tcPr>
            <w:tcW w:w="1480" w:type="dxa"/>
            <w:vAlign w:val="center"/>
          </w:tcPr>
          <w:p w14:paraId="6D850639">
            <w:pPr>
              <w:rPr>
                <w:color w:val="auto"/>
              </w:rPr>
            </w:pPr>
          </w:p>
        </w:tc>
        <w:tc>
          <w:tcPr>
            <w:tcW w:w="2835" w:type="dxa"/>
            <w:vAlign w:val="center"/>
          </w:tcPr>
          <w:p w14:paraId="22A20A9C">
            <w:pPr>
              <w:rPr>
                <w:color w:val="auto"/>
              </w:rPr>
            </w:pPr>
          </w:p>
        </w:tc>
        <w:tc>
          <w:tcPr>
            <w:tcW w:w="2268" w:type="dxa"/>
            <w:vAlign w:val="center"/>
          </w:tcPr>
          <w:p w14:paraId="51687F65">
            <w:pPr>
              <w:rPr>
                <w:color w:val="auto"/>
              </w:rPr>
            </w:pPr>
          </w:p>
        </w:tc>
        <w:tc>
          <w:tcPr>
            <w:tcW w:w="1418" w:type="dxa"/>
            <w:vAlign w:val="center"/>
          </w:tcPr>
          <w:p w14:paraId="00D3C2F7">
            <w:pPr>
              <w:rPr>
                <w:color w:val="auto"/>
              </w:rPr>
            </w:pPr>
          </w:p>
        </w:tc>
        <w:tc>
          <w:tcPr>
            <w:tcW w:w="709" w:type="dxa"/>
            <w:vAlign w:val="center"/>
          </w:tcPr>
          <w:p w14:paraId="40E27110">
            <w:pPr>
              <w:rPr>
                <w:color w:val="auto"/>
              </w:rPr>
            </w:pPr>
          </w:p>
        </w:tc>
      </w:tr>
      <w:tr w14:paraId="7DF987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6F069B38">
            <w:pPr>
              <w:jc w:val="center"/>
              <w:rPr>
                <w:color w:val="auto"/>
              </w:rPr>
            </w:pPr>
            <w:r>
              <w:rPr>
                <w:rFonts w:hint="eastAsia"/>
                <w:color w:val="auto"/>
              </w:rPr>
              <w:t>5</w:t>
            </w:r>
          </w:p>
        </w:tc>
        <w:tc>
          <w:tcPr>
            <w:tcW w:w="1480" w:type="dxa"/>
            <w:vAlign w:val="center"/>
          </w:tcPr>
          <w:p w14:paraId="1E4D3D36">
            <w:pPr>
              <w:rPr>
                <w:color w:val="auto"/>
              </w:rPr>
            </w:pPr>
          </w:p>
        </w:tc>
        <w:tc>
          <w:tcPr>
            <w:tcW w:w="2835" w:type="dxa"/>
            <w:vAlign w:val="center"/>
          </w:tcPr>
          <w:p w14:paraId="6EBFA0D4">
            <w:pPr>
              <w:rPr>
                <w:color w:val="auto"/>
              </w:rPr>
            </w:pPr>
          </w:p>
        </w:tc>
        <w:tc>
          <w:tcPr>
            <w:tcW w:w="2268" w:type="dxa"/>
            <w:vAlign w:val="center"/>
          </w:tcPr>
          <w:p w14:paraId="1C9A5631">
            <w:pPr>
              <w:rPr>
                <w:color w:val="auto"/>
              </w:rPr>
            </w:pPr>
          </w:p>
        </w:tc>
        <w:tc>
          <w:tcPr>
            <w:tcW w:w="1418" w:type="dxa"/>
            <w:vAlign w:val="center"/>
          </w:tcPr>
          <w:p w14:paraId="3548A75D">
            <w:pPr>
              <w:rPr>
                <w:color w:val="auto"/>
              </w:rPr>
            </w:pPr>
          </w:p>
        </w:tc>
        <w:tc>
          <w:tcPr>
            <w:tcW w:w="709" w:type="dxa"/>
            <w:vAlign w:val="center"/>
          </w:tcPr>
          <w:p w14:paraId="146FFD10">
            <w:pPr>
              <w:rPr>
                <w:color w:val="auto"/>
              </w:rPr>
            </w:pPr>
          </w:p>
        </w:tc>
      </w:tr>
      <w:tr w14:paraId="24FE88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5A4CD91D">
            <w:pPr>
              <w:jc w:val="center"/>
              <w:rPr>
                <w:color w:val="auto"/>
              </w:rPr>
            </w:pPr>
            <w:r>
              <w:rPr>
                <w:rFonts w:hint="eastAsia"/>
                <w:color w:val="auto"/>
              </w:rPr>
              <w:t>…</w:t>
            </w:r>
          </w:p>
        </w:tc>
        <w:tc>
          <w:tcPr>
            <w:tcW w:w="1480" w:type="dxa"/>
            <w:vAlign w:val="center"/>
          </w:tcPr>
          <w:p w14:paraId="5615759F">
            <w:pPr>
              <w:rPr>
                <w:color w:val="auto"/>
              </w:rPr>
            </w:pPr>
          </w:p>
        </w:tc>
        <w:tc>
          <w:tcPr>
            <w:tcW w:w="2835" w:type="dxa"/>
            <w:vAlign w:val="center"/>
          </w:tcPr>
          <w:p w14:paraId="31D718B2">
            <w:pPr>
              <w:rPr>
                <w:color w:val="auto"/>
              </w:rPr>
            </w:pPr>
          </w:p>
        </w:tc>
        <w:tc>
          <w:tcPr>
            <w:tcW w:w="2268" w:type="dxa"/>
            <w:vAlign w:val="center"/>
          </w:tcPr>
          <w:p w14:paraId="1256B01B">
            <w:pPr>
              <w:rPr>
                <w:color w:val="auto"/>
              </w:rPr>
            </w:pPr>
          </w:p>
        </w:tc>
        <w:tc>
          <w:tcPr>
            <w:tcW w:w="1418" w:type="dxa"/>
            <w:tcBorders>
              <w:right w:val="single" w:color="auto" w:sz="4" w:space="0"/>
            </w:tcBorders>
            <w:vAlign w:val="center"/>
          </w:tcPr>
          <w:p w14:paraId="674E3654">
            <w:pPr>
              <w:rPr>
                <w:color w:val="auto"/>
              </w:rPr>
            </w:pPr>
          </w:p>
        </w:tc>
        <w:tc>
          <w:tcPr>
            <w:tcW w:w="709" w:type="dxa"/>
            <w:tcBorders>
              <w:left w:val="single" w:color="auto" w:sz="4" w:space="0"/>
            </w:tcBorders>
            <w:vAlign w:val="center"/>
          </w:tcPr>
          <w:p w14:paraId="1045BDF1">
            <w:pPr>
              <w:rPr>
                <w:color w:val="auto"/>
              </w:rPr>
            </w:pPr>
          </w:p>
        </w:tc>
      </w:tr>
    </w:tbl>
    <w:p w14:paraId="18F2F719">
      <w:pPr>
        <w:pStyle w:val="18"/>
        <w:spacing w:line="300" w:lineRule="auto"/>
        <w:ind w:firstLine="105" w:firstLineChars="50"/>
        <w:rPr>
          <w:rFonts w:hint="eastAsia" w:ascii="宋体" w:hAnsi="宋体" w:eastAsia="宋体"/>
          <w:color w:val="auto"/>
          <w:sz w:val="21"/>
          <w:szCs w:val="21"/>
        </w:rPr>
      </w:pPr>
      <w:r>
        <w:rPr>
          <w:rFonts w:hint="eastAsia" w:ascii="宋体" w:hAnsi="宋体" w:eastAsia="宋体"/>
          <w:color w:val="auto"/>
          <w:sz w:val="21"/>
          <w:szCs w:val="21"/>
        </w:rPr>
        <w:t>注：供应商须对照竞争性谈判采购文件第二章《项目需求》，逐条说明所提供货物和服务对项目需求中货物的</w:t>
      </w:r>
      <w:bookmarkStart w:id="124" w:name="_Hlk92703260"/>
      <w:r>
        <w:rPr>
          <w:rFonts w:hint="eastAsia" w:ascii="宋体" w:hAnsi="宋体" w:eastAsia="宋体"/>
          <w:color w:val="auto"/>
          <w:sz w:val="21"/>
          <w:szCs w:val="21"/>
        </w:rPr>
        <w:t>技术参数及其性能（规格）</w:t>
      </w:r>
      <w:bookmarkEnd w:id="124"/>
      <w:r>
        <w:rPr>
          <w:rFonts w:hint="eastAsia" w:ascii="宋体" w:hAnsi="宋体" w:eastAsia="宋体"/>
          <w:color w:val="auto"/>
          <w:sz w:val="21"/>
          <w:szCs w:val="21"/>
        </w:rPr>
        <w:t>及服务要求作出的响应，并申明偏离情况。对有具体参数要求的指标，供应商须提供所供设备的具体技术参数及其性能（规格）。</w:t>
      </w:r>
    </w:p>
    <w:p w14:paraId="091F2373">
      <w:pPr>
        <w:pStyle w:val="18"/>
        <w:spacing w:line="300" w:lineRule="auto"/>
        <w:ind w:firstLine="0" w:firstLineChars="0"/>
        <w:rPr>
          <w:rFonts w:hint="eastAsia" w:ascii="宋体" w:hAnsi="宋体" w:eastAsia="宋体"/>
          <w:color w:val="auto"/>
          <w:sz w:val="21"/>
          <w:szCs w:val="21"/>
        </w:rPr>
      </w:pPr>
    </w:p>
    <w:p w14:paraId="21B9B746">
      <w:pPr>
        <w:pStyle w:val="21"/>
        <w:spacing w:line="300" w:lineRule="auto"/>
        <w:rPr>
          <w:rFonts w:hint="eastAsia" w:hAnsi="宋体"/>
          <w:color w:val="auto"/>
        </w:rPr>
      </w:pPr>
    </w:p>
    <w:p w14:paraId="651198B3">
      <w:pPr>
        <w:pStyle w:val="21"/>
        <w:spacing w:line="300" w:lineRule="auto"/>
        <w:ind w:firstLine="5880" w:firstLineChars="2800"/>
        <w:rPr>
          <w:rFonts w:hint="eastAsia" w:hAnsi="宋体"/>
          <w:color w:val="auto"/>
        </w:rPr>
      </w:pPr>
      <w:r>
        <w:rPr>
          <w:rFonts w:hint="eastAsia" w:hAnsi="宋体"/>
          <w:color w:val="auto"/>
        </w:rPr>
        <w:t>供应商（盖章）：</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p>
    <w:p w14:paraId="7298B1E1">
      <w:pPr>
        <w:pStyle w:val="21"/>
        <w:spacing w:line="300" w:lineRule="auto"/>
        <w:ind w:firstLine="5880" w:firstLineChars="2800"/>
        <w:rPr>
          <w:rFonts w:hint="eastAsia" w:hAnsi="宋体"/>
          <w:color w:val="auto"/>
        </w:rPr>
      </w:pPr>
      <w:r>
        <w:rPr>
          <w:rFonts w:hint="eastAsia" w:hAnsi="宋体"/>
          <w:color w:val="auto"/>
        </w:rPr>
        <w:t>日期：</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bookmarkEnd w:id="41"/>
    <w:bookmarkEnd w:id="42"/>
    <w:bookmarkEnd w:id="43"/>
    <w:bookmarkEnd w:id="44"/>
    <w:p w14:paraId="700FD585">
      <w:pPr>
        <w:rPr>
          <w:color w:val="auto"/>
        </w:rPr>
      </w:pPr>
    </w:p>
    <w:p w14:paraId="1C870BDD">
      <w:pPr>
        <w:rPr>
          <w:color w:val="auto"/>
        </w:rPr>
      </w:pPr>
    </w:p>
    <w:p w14:paraId="66E53B2C">
      <w:pPr>
        <w:rPr>
          <w:color w:val="auto"/>
        </w:rPr>
      </w:pPr>
    </w:p>
    <w:p w14:paraId="75A0E0E9">
      <w:pPr>
        <w:rPr>
          <w:color w:val="auto"/>
        </w:rPr>
      </w:pPr>
    </w:p>
    <w:p w14:paraId="65D4CB42">
      <w:pPr>
        <w:rPr>
          <w:color w:val="auto"/>
        </w:rPr>
      </w:pPr>
    </w:p>
    <w:p w14:paraId="31C56CA7">
      <w:pPr>
        <w:rPr>
          <w:color w:val="auto"/>
        </w:rPr>
      </w:pPr>
    </w:p>
    <w:p w14:paraId="3EC73AAE">
      <w:pPr>
        <w:rPr>
          <w:color w:val="auto"/>
        </w:rPr>
      </w:pPr>
    </w:p>
    <w:p w14:paraId="2B939753">
      <w:pPr>
        <w:rPr>
          <w:color w:val="auto"/>
        </w:rPr>
      </w:pPr>
    </w:p>
    <w:p w14:paraId="0F0C4874">
      <w:pPr>
        <w:rPr>
          <w:color w:val="auto"/>
        </w:rPr>
      </w:pPr>
    </w:p>
    <w:p w14:paraId="4DB68055">
      <w:pPr>
        <w:rPr>
          <w:color w:val="auto"/>
        </w:rPr>
      </w:pPr>
    </w:p>
    <w:p w14:paraId="340C57D4">
      <w:pPr>
        <w:rPr>
          <w:color w:val="auto"/>
        </w:rPr>
      </w:pPr>
    </w:p>
    <w:p w14:paraId="17D37557">
      <w:pPr>
        <w:rPr>
          <w:color w:val="auto"/>
        </w:rPr>
      </w:pPr>
    </w:p>
    <w:p w14:paraId="62FA8BA2">
      <w:pPr>
        <w:rPr>
          <w:color w:val="auto"/>
        </w:rPr>
      </w:pPr>
    </w:p>
    <w:p w14:paraId="22A0C04F">
      <w:pPr>
        <w:rPr>
          <w:color w:val="auto"/>
        </w:rPr>
      </w:pPr>
    </w:p>
    <w:p w14:paraId="44E7FDF5">
      <w:pPr>
        <w:rPr>
          <w:color w:val="auto"/>
        </w:rPr>
      </w:pPr>
    </w:p>
    <w:p w14:paraId="31706746">
      <w:pPr>
        <w:rPr>
          <w:color w:val="auto"/>
        </w:rPr>
      </w:pPr>
    </w:p>
    <w:p w14:paraId="6255DF63">
      <w:pPr>
        <w:rPr>
          <w:color w:val="auto"/>
        </w:rPr>
      </w:pPr>
    </w:p>
    <w:p w14:paraId="150B470B">
      <w:pPr>
        <w:rPr>
          <w:color w:val="auto"/>
        </w:rPr>
      </w:pPr>
    </w:p>
    <w:p w14:paraId="62DC9E62">
      <w:pPr>
        <w:spacing w:line="440" w:lineRule="exact"/>
        <w:ind w:left="420" w:hanging="420"/>
        <w:jc w:val="center"/>
        <w:rPr>
          <w:rFonts w:hint="eastAsia" w:ascii="仿宋" w:hAnsi="仿宋" w:eastAsia="仿宋"/>
          <w:b/>
          <w:color w:val="auto"/>
          <w:sz w:val="32"/>
          <w:szCs w:val="32"/>
        </w:rPr>
      </w:pPr>
      <w:bookmarkStart w:id="125" w:name="_Hlk94194102"/>
      <w:r>
        <w:rPr>
          <w:rFonts w:hint="eastAsia" w:ascii="仿宋" w:hAnsi="仿宋" w:eastAsia="仿宋"/>
          <w:b/>
          <w:color w:val="auto"/>
          <w:sz w:val="32"/>
          <w:szCs w:val="32"/>
        </w:rPr>
        <w:t>中小企业声明函</w:t>
      </w:r>
      <w:r>
        <w:rPr>
          <w:rFonts w:hint="eastAsia" w:ascii="仿宋" w:hAnsi="仿宋" w:eastAsia="仿宋"/>
          <w:color w:val="auto"/>
          <w:sz w:val="24"/>
        </w:rPr>
        <w:t>(格式</w:t>
      </w:r>
      <w:r>
        <w:rPr>
          <w:rFonts w:ascii="仿宋" w:hAnsi="仿宋" w:eastAsia="仿宋"/>
          <w:color w:val="auto"/>
          <w:sz w:val="24"/>
        </w:rPr>
        <w:t>)</w:t>
      </w:r>
    </w:p>
    <w:p w14:paraId="7768B74A">
      <w:pPr>
        <w:rPr>
          <w:color w:val="auto"/>
        </w:rPr>
      </w:pPr>
    </w:p>
    <w:p w14:paraId="6449E47A">
      <w:pPr>
        <w:spacing w:line="600" w:lineRule="exact"/>
        <w:ind w:firstLine="294" w:firstLineChars="140"/>
        <w:jc w:val="left"/>
        <w:rPr>
          <w:rFonts w:hint="eastAsia" w:ascii="宋体" w:hAnsi="宋体"/>
          <w:bCs/>
          <w:color w:val="auto"/>
          <w:szCs w:val="21"/>
        </w:rPr>
      </w:pPr>
      <w:r>
        <w:rPr>
          <w:rFonts w:hint="eastAsia" w:ascii="宋体" w:hAnsi="宋体"/>
          <w:bCs/>
          <w:color w:val="auto"/>
          <w:szCs w:val="21"/>
        </w:rPr>
        <w:t>本公司郑重声明，根据</w:t>
      </w:r>
      <w:bookmarkStart w:id="126" w:name="_Hlk82091685"/>
      <w:r>
        <w:rPr>
          <w:rFonts w:ascii="宋体" w:hAnsi="宋体"/>
          <w:bCs/>
          <w:color w:val="auto"/>
          <w:szCs w:val="21"/>
        </w:rPr>
        <w:fldChar w:fldCharType="begin"/>
      </w:r>
      <w:r>
        <w:rPr>
          <w:rFonts w:ascii="宋体" w:hAnsi="宋体"/>
          <w:bCs/>
          <w:color w:val="auto"/>
          <w:szCs w:val="21"/>
        </w:rPr>
        <w:instrText xml:space="preserve"> </w:instrText>
      </w:r>
      <w:r>
        <w:rPr>
          <w:rFonts w:hint="eastAsia" w:ascii="宋体" w:hAnsi="宋体"/>
          <w:bCs/>
          <w:color w:val="auto"/>
          <w:szCs w:val="21"/>
        </w:rPr>
        <w:instrText xml:space="preserve">HYPERLINK "http://www.gov.cn/zhengce/zhengceku/2020-12/29/content_5574611.htm"</w:instrText>
      </w:r>
      <w:r>
        <w:rPr>
          <w:rFonts w:ascii="宋体" w:hAnsi="宋体"/>
          <w:bCs/>
          <w:color w:val="auto"/>
          <w:szCs w:val="21"/>
        </w:rPr>
        <w:instrText xml:space="preserve"> </w:instrText>
      </w:r>
      <w:r>
        <w:rPr>
          <w:rFonts w:ascii="宋体" w:hAnsi="宋体"/>
          <w:bCs/>
          <w:color w:val="auto"/>
          <w:szCs w:val="21"/>
        </w:rPr>
        <w:fldChar w:fldCharType="separate"/>
      </w:r>
      <w:r>
        <w:rPr>
          <w:rStyle w:val="44"/>
          <w:rFonts w:hint="eastAsia" w:ascii="宋体" w:hAnsi="宋体"/>
          <w:bCs/>
          <w:color w:val="auto"/>
          <w:szCs w:val="21"/>
          <w:u w:val="none"/>
        </w:rPr>
        <w:t>《政府采购促进中小企业发展管理办法》</w:t>
      </w:r>
      <w:bookmarkStart w:id="127" w:name="_Hlk60836554"/>
      <w:r>
        <w:rPr>
          <w:rStyle w:val="44"/>
          <w:rFonts w:hint="eastAsia" w:ascii="宋体" w:hAnsi="宋体"/>
          <w:bCs/>
          <w:color w:val="auto"/>
          <w:szCs w:val="21"/>
          <w:u w:val="none"/>
        </w:rPr>
        <w:t>（财库﹝2020﹞46号）</w:t>
      </w:r>
      <w:bookmarkEnd w:id="126"/>
      <w:bookmarkEnd w:id="127"/>
      <w:r>
        <w:rPr>
          <w:rFonts w:ascii="宋体" w:hAnsi="宋体"/>
          <w:bCs/>
          <w:color w:val="auto"/>
          <w:szCs w:val="21"/>
        </w:rPr>
        <w:fldChar w:fldCharType="end"/>
      </w:r>
      <w:r>
        <w:rPr>
          <w:rFonts w:hint="eastAsia" w:ascii="宋体" w:hAnsi="宋体"/>
          <w:bCs/>
          <w:color w:val="auto"/>
          <w:szCs w:val="21"/>
        </w:rPr>
        <w:t>的规定，本公司参加</w:t>
      </w:r>
      <w:bookmarkStart w:id="128" w:name="_Hlk82091228"/>
      <w:r>
        <w:rPr>
          <w:rFonts w:hint="eastAsia" w:ascii="宋体" w:hAnsi="宋体"/>
          <w:bCs/>
          <w:color w:val="auto"/>
          <w:szCs w:val="21"/>
        </w:rPr>
        <w:t>（</w:t>
      </w:r>
      <w:r>
        <w:rPr>
          <w:rFonts w:hint="eastAsia" w:ascii="宋体" w:hAnsi="宋体"/>
          <w:bCs/>
          <w:color w:val="auto"/>
          <w:szCs w:val="21"/>
          <w:u w:val="single"/>
        </w:rPr>
        <w:t>单位名称</w:t>
      </w:r>
      <w:r>
        <w:rPr>
          <w:rFonts w:hint="eastAsia" w:ascii="宋体" w:hAnsi="宋体"/>
          <w:bCs/>
          <w:color w:val="auto"/>
          <w:szCs w:val="21"/>
        </w:rPr>
        <w:t>）的（</w:t>
      </w:r>
      <w:r>
        <w:rPr>
          <w:rFonts w:hint="eastAsia" w:ascii="宋体" w:hAnsi="宋体"/>
          <w:bCs/>
          <w:color w:val="auto"/>
          <w:szCs w:val="21"/>
          <w:u w:val="single"/>
        </w:rPr>
        <w:t>项目名称</w:t>
      </w:r>
      <w:r>
        <w:rPr>
          <w:rFonts w:hint="eastAsia" w:ascii="宋体" w:hAnsi="宋体"/>
          <w:bCs/>
          <w:color w:val="auto"/>
          <w:szCs w:val="21"/>
        </w:rPr>
        <w:t>）</w:t>
      </w:r>
      <w:bookmarkEnd w:id="128"/>
      <w:r>
        <w:rPr>
          <w:rFonts w:hint="eastAsia" w:ascii="宋体" w:hAnsi="宋体"/>
          <w:bCs/>
          <w:color w:val="auto"/>
          <w:szCs w:val="21"/>
        </w:rPr>
        <w:t>采购活动，提供的货物全部由符合政策要求的中小企业制造。相关企业的具体情况如下：</w:t>
      </w:r>
    </w:p>
    <w:p w14:paraId="6AD9D124">
      <w:pPr>
        <w:spacing w:line="600" w:lineRule="exact"/>
        <w:ind w:firstLine="294" w:firstLineChars="140"/>
        <w:jc w:val="left"/>
        <w:rPr>
          <w:rFonts w:hint="eastAsia" w:ascii="宋体" w:hAnsi="宋体"/>
          <w:bCs/>
          <w:color w:val="auto"/>
          <w:szCs w:val="21"/>
        </w:rPr>
      </w:pPr>
      <w:r>
        <w:rPr>
          <w:rFonts w:hint="eastAsia" w:ascii="宋体" w:hAnsi="宋体"/>
          <w:bCs/>
          <w:color w:val="auto"/>
          <w:szCs w:val="21"/>
        </w:rPr>
        <w:t>1.</w:t>
      </w:r>
      <w:bookmarkStart w:id="129" w:name="_Hlk60836996"/>
      <w:r>
        <w:rPr>
          <w:rFonts w:hint="eastAsia" w:ascii="宋体" w:hAnsi="宋体"/>
          <w:bCs/>
          <w:color w:val="auto"/>
          <w:szCs w:val="21"/>
        </w:rPr>
        <w:t>（</w:t>
      </w:r>
      <w:r>
        <w:rPr>
          <w:rFonts w:hint="eastAsia" w:ascii="宋体" w:hAnsi="宋体"/>
          <w:bCs/>
          <w:color w:val="auto"/>
          <w:szCs w:val="21"/>
          <w:u w:val="single"/>
        </w:rPr>
        <w:t>标的名称</w:t>
      </w:r>
      <w:r>
        <w:rPr>
          <w:rFonts w:ascii="宋体" w:hAnsi="宋体"/>
          <w:bCs/>
          <w:color w:val="auto"/>
          <w:szCs w:val="21"/>
        </w:rPr>
        <w:t>）</w:t>
      </w:r>
      <w:r>
        <w:rPr>
          <w:rFonts w:hint="eastAsia" w:ascii="宋体" w:hAnsi="宋体"/>
          <w:bCs/>
          <w:color w:val="auto"/>
          <w:szCs w:val="21"/>
        </w:rPr>
        <w:t>，属于(</w:t>
      </w:r>
      <w:r>
        <w:rPr>
          <w:rFonts w:hint="eastAsia" w:ascii="宋体" w:hAnsi="宋体"/>
          <w:bCs/>
          <w:color w:val="auto"/>
          <w:szCs w:val="21"/>
          <w:u w:val="single"/>
        </w:rPr>
        <w:t>采购文件中明确的所属行业</w:t>
      </w:r>
      <w:r>
        <w:rPr>
          <w:rFonts w:ascii="宋体" w:hAnsi="宋体"/>
          <w:bCs/>
          <w:color w:val="auto"/>
          <w:szCs w:val="21"/>
        </w:rPr>
        <w:t>）</w:t>
      </w:r>
      <w:r>
        <w:rPr>
          <w:rFonts w:hint="eastAsia" w:ascii="宋体" w:hAnsi="宋体"/>
          <w:bCs/>
          <w:color w:val="auto"/>
          <w:szCs w:val="21"/>
        </w:rPr>
        <w:t>行业；制造商为(</w:t>
      </w:r>
      <w:r>
        <w:rPr>
          <w:rFonts w:hint="eastAsia" w:ascii="宋体" w:hAnsi="宋体"/>
          <w:bCs/>
          <w:color w:val="auto"/>
          <w:szCs w:val="21"/>
          <w:u w:val="single"/>
        </w:rPr>
        <w:t>企业名称</w:t>
      </w:r>
      <w:r>
        <w:rPr>
          <w:rFonts w:ascii="宋体" w:hAnsi="宋体"/>
          <w:bCs/>
          <w:color w:val="auto"/>
          <w:szCs w:val="21"/>
        </w:rPr>
        <w:t>）</w:t>
      </w:r>
      <w:r>
        <w:rPr>
          <w:rFonts w:hint="eastAsia" w:ascii="宋体" w:hAnsi="宋体"/>
          <w:bCs/>
          <w:color w:val="auto"/>
          <w:szCs w:val="21"/>
        </w:rPr>
        <w:t>，从业人员</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人，营业收入为</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万元，资产总额为</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万元，属于（</w:t>
      </w:r>
      <w:r>
        <w:rPr>
          <w:rFonts w:hint="eastAsia" w:ascii="宋体" w:hAnsi="宋体"/>
          <w:bCs/>
          <w:color w:val="auto"/>
          <w:szCs w:val="21"/>
          <w:u w:val="single"/>
        </w:rPr>
        <w:t>中型企业、小型企业、微型企业</w:t>
      </w:r>
      <w:r>
        <w:rPr>
          <w:rFonts w:hint="eastAsia" w:ascii="宋体" w:hAnsi="宋体"/>
          <w:bCs/>
          <w:color w:val="auto"/>
          <w:szCs w:val="21"/>
        </w:rPr>
        <w:t>）；</w:t>
      </w:r>
      <w:bookmarkEnd w:id="129"/>
    </w:p>
    <w:p w14:paraId="4F8FDAE9">
      <w:pPr>
        <w:spacing w:line="600" w:lineRule="exact"/>
        <w:ind w:firstLine="294" w:firstLineChars="140"/>
        <w:jc w:val="left"/>
        <w:rPr>
          <w:rFonts w:hint="eastAsia" w:ascii="宋体" w:hAnsi="宋体"/>
          <w:bCs/>
          <w:color w:val="auto"/>
          <w:szCs w:val="21"/>
        </w:rPr>
      </w:pPr>
      <w:r>
        <w:rPr>
          <w:rFonts w:hint="eastAsia" w:ascii="宋体" w:hAnsi="宋体"/>
          <w:bCs/>
          <w:color w:val="auto"/>
          <w:szCs w:val="21"/>
        </w:rPr>
        <w:t>2.（</w:t>
      </w:r>
      <w:r>
        <w:rPr>
          <w:rFonts w:hint="eastAsia" w:ascii="宋体" w:hAnsi="宋体"/>
          <w:bCs/>
          <w:color w:val="auto"/>
          <w:szCs w:val="21"/>
          <w:u w:val="single"/>
        </w:rPr>
        <w:t>标的名称</w:t>
      </w:r>
      <w:r>
        <w:rPr>
          <w:rFonts w:hint="eastAsia" w:ascii="宋体" w:hAnsi="宋体"/>
          <w:bCs/>
          <w:color w:val="auto"/>
          <w:szCs w:val="21"/>
        </w:rPr>
        <w:t>），属于(</w:t>
      </w:r>
      <w:r>
        <w:rPr>
          <w:rFonts w:hint="eastAsia" w:ascii="宋体" w:hAnsi="宋体"/>
          <w:bCs/>
          <w:color w:val="auto"/>
          <w:szCs w:val="21"/>
          <w:u w:val="single"/>
        </w:rPr>
        <w:t>采购文件中明确的所属行业</w:t>
      </w:r>
      <w:r>
        <w:rPr>
          <w:rFonts w:hint="eastAsia" w:ascii="宋体" w:hAnsi="宋体"/>
          <w:bCs/>
          <w:color w:val="auto"/>
          <w:szCs w:val="21"/>
        </w:rPr>
        <w:t>)行业；制造商为(</w:t>
      </w:r>
      <w:r>
        <w:rPr>
          <w:rFonts w:hint="eastAsia" w:ascii="宋体" w:hAnsi="宋体"/>
          <w:bCs/>
          <w:color w:val="auto"/>
          <w:szCs w:val="21"/>
          <w:u w:val="single"/>
        </w:rPr>
        <w:t>企业名称</w:t>
      </w:r>
      <w:r>
        <w:rPr>
          <w:rFonts w:hint="eastAsia" w:ascii="宋体" w:hAnsi="宋体"/>
          <w:bCs/>
          <w:color w:val="auto"/>
          <w:szCs w:val="21"/>
        </w:rPr>
        <w:t>)，从业人员</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人，营业收入为</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万元，资产总额为</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万元，属于（</w:t>
      </w:r>
      <w:r>
        <w:rPr>
          <w:rFonts w:hint="eastAsia" w:ascii="宋体" w:hAnsi="宋体"/>
          <w:bCs/>
          <w:color w:val="auto"/>
          <w:szCs w:val="21"/>
          <w:u w:val="single"/>
        </w:rPr>
        <w:t>中型企业、小型企业、微型企业</w:t>
      </w:r>
      <w:r>
        <w:rPr>
          <w:rFonts w:hint="eastAsia" w:ascii="宋体" w:hAnsi="宋体"/>
          <w:bCs/>
          <w:color w:val="auto"/>
          <w:szCs w:val="21"/>
        </w:rPr>
        <w:t>）；</w:t>
      </w:r>
    </w:p>
    <w:p w14:paraId="177D6004">
      <w:pPr>
        <w:spacing w:line="600" w:lineRule="exact"/>
        <w:ind w:firstLine="294" w:firstLineChars="140"/>
        <w:jc w:val="left"/>
        <w:rPr>
          <w:rFonts w:hint="eastAsia" w:ascii="宋体" w:hAnsi="宋体"/>
          <w:bCs/>
          <w:color w:val="auto"/>
          <w:szCs w:val="21"/>
        </w:rPr>
      </w:pPr>
      <w:r>
        <w:rPr>
          <w:rFonts w:hint="eastAsia" w:ascii="宋体" w:hAnsi="宋体"/>
          <w:bCs/>
          <w:color w:val="auto"/>
          <w:szCs w:val="21"/>
        </w:rPr>
        <w:t>……</w:t>
      </w:r>
    </w:p>
    <w:p w14:paraId="7F174EE9">
      <w:pPr>
        <w:spacing w:line="600" w:lineRule="exact"/>
        <w:ind w:firstLine="294" w:firstLineChars="140"/>
        <w:jc w:val="left"/>
        <w:rPr>
          <w:rFonts w:hint="eastAsia" w:ascii="宋体" w:hAnsi="宋体"/>
          <w:bCs/>
          <w:color w:val="auto"/>
          <w:szCs w:val="21"/>
        </w:rPr>
      </w:pPr>
      <w:r>
        <w:rPr>
          <w:rFonts w:hint="eastAsia" w:ascii="宋体" w:hAnsi="宋体"/>
          <w:bCs/>
          <w:color w:val="auto"/>
          <w:szCs w:val="21"/>
        </w:rPr>
        <w:t>以上企业，不属于大企业的分支机构，不存在控股股东为大企业的情形，也不存在与大企业的负责人为同一人的情形。</w:t>
      </w:r>
    </w:p>
    <w:p w14:paraId="43883349">
      <w:pPr>
        <w:spacing w:line="600" w:lineRule="exact"/>
        <w:ind w:firstLine="294" w:firstLineChars="140"/>
        <w:jc w:val="left"/>
        <w:rPr>
          <w:rFonts w:hint="eastAsia" w:ascii="宋体" w:hAnsi="宋体"/>
          <w:bCs/>
          <w:color w:val="auto"/>
          <w:szCs w:val="21"/>
        </w:rPr>
      </w:pPr>
      <w:r>
        <w:rPr>
          <w:rFonts w:hint="eastAsia" w:ascii="宋体" w:hAnsi="宋体"/>
          <w:bCs/>
          <w:color w:val="auto"/>
          <w:szCs w:val="21"/>
        </w:rPr>
        <w:t>本企业对上述声明内容的真实性负责。如有虚假，将依法承担相应责任。</w:t>
      </w:r>
    </w:p>
    <w:p w14:paraId="7CFC2DF4">
      <w:pPr>
        <w:spacing w:line="400" w:lineRule="exact"/>
        <w:rPr>
          <w:color w:val="auto"/>
          <w:szCs w:val="21"/>
        </w:rPr>
      </w:pPr>
    </w:p>
    <w:p w14:paraId="599DB754">
      <w:pPr>
        <w:spacing w:line="400" w:lineRule="exact"/>
        <w:rPr>
          <w:color w:val="auto"/>
          <w:szCs w:val="21"/>
        </w:rPr>
      </w:pPr>
    </w:p>
    <w:p w14:paraId="19079285">
      <w:pPr>
        <w:spacing w:line="400" w:lineRule="exact"/>
        <w:rPr>
          <w:color w:val="auto"/>
          <w:szCs w:val="21"/>
        </w:rPr>
      </w:pPr>
    </w:p>
    <w:p w14:paraId="28D9FF7D">
      <w:pPr>
        <w:spacing w:line="440" w:lineRule="exact"/>
        <w:ind w:firstLine="5250" w:firstLineChars="2500"/>
        <w:jc w:val="left"/>
        <w:rPr>
          <w:rFonts w:hint="eastAsia" w:ascii="宋体" w:hAnsi="宋体"/>
          <w:bCs/>
          <w:color w:val="auto"/>
          <w:szCs w:val="21"/>
        </w:rPr>
      </w:pPr>
      <w:r>
        <w:rPr>
          <w:rFonts w:hint="eastAsia" w:ascii="宋体" w:hAnsi="宋体"/>
          <w:bCs/>
          <w:color w:val="auto"/>
          <w:szCs w:val="21"/>
        </w:rPr>
        <w:t>企业名称（盖章）：</w:t>
      </w:r>
      <w:r>
        <w:rPr>
          <w:rFonts w:hint="eastAsia" w:hAnsi="宋体"/>
          <w:color w:val="auto"/>
          <w:szCs w:val="21"/>
          <w:u w:val="single"/>
        </w:rPr>
        <w:t xml:space="preserve"> </w:t>
      </w:r>
      <w:r>
        <w:rPr>
          <w:rFonts w:hAnsi="宋体"/>
          <w:color w:val="auto"/>
          <w:szCs w:val="21"/>
          <w:u w:val="single"/>
        </w:rPr>
        <w:t xml:space="preserve">              </w:t>
      </w:r>
    </w:p>
    <w:p w14:paraId="16344696">
      <w:pPr>
        <w:spacing w:line="440" w:lineRule="exact"/>
        <w:ind w:firstLine="5250" w:firstLineChars="2500"/>
        <w:jc w:val="left"/>
        <w:rPr>
          <w:rFonts w:hint="eastAsia" w:ascii="宋体" w:hAnsi="宋体"/>
          <w:bCs/>
          <w:color w:val="auto"/>
          <w:szCs w:val="21"/>
        </w:rPr>
      </w:pPr>
      <w:r>
        <w:rPr>
          <w:rFonts w:hint="eastAsia" w:ascii="宋体" w:hAnsi="宋体"/>
          <w:bCs/>
          <w:color w:val="auto"/>
          <w:szCs w:val="21"/>
        </w:rPr>
        <w:t>日 期：</w:t>
      </w:r>
      <w:r>
        <w:rPr>
          <w:rFonts w:hint="eastAsia" w:hAnsi="宋体"/>
          <w:color w:val="auto"/>
          <w:szCs w:val="21"/>
          <w:u w:val="single"/>
        </w:rPr>
        <w:t xml:space="preserve"> </w:t>
      </w:r>
      <w:r>
        <w:rPr>
          <w:rFonts w:hAnsi="宋体"/>
          <w:color w:val="auto"/>
          <w:szCs w:val="21"/>
          <w:u w:val="single"/>
        </w:rPr>
        <w:t xml:space="preserve">                        </w:t>
      </w:r>
    </w:p>
    <w:p w14:paraId="340B7B03">
      <w:pPr>
        <w:rPr>
          <w:color w:val="auto"/>
        </w:rPr>
      </w:pPr>
    </w:p>
    <w:p w14:paraId="60E87F17">
      <w:pPr>
        <w:rPr>
          <w:color w:val="auto"/>
        </w:rPr>
      </w:pPr>
    </w:p>
    <w:p w14:paraId="1CF10074">
      <w:pPr>
        <w:rPr>
          <w:color w:val="auto"/>
        </w:rPr>
      </w:pPr>
    </w:p>
    <w:p w14:paraId="6BF3ED4C">
      <w:pPr>
        <w:rPr>
          <w:color w:val="auto"/>
        </w:rPr>
      </w:pPr>
    </w:p>
    <w:p w14:paraId="26256984">
      <w:pPr>
        <w:rPr>
          <w:color w:val="auto"/>
        </w:rPr>
      </w:pPr>
    </w:p>
    <w:p w14:paraId="1F8AB8D7">
      <w:pPr>
        <w:rPr>
          <w:color w:val="auto"/>
        </w:rPr>
      </w:pPr>
    </w:p>
    <w:p w14:paraId="773B9FEC">
      <w:pPr>
        <w:rPr>
          <w:color w:val="auto"/>
        </w:rPr>
      </w:pPr>
    </w:p>
    <w:p w14:paraId="45A5EDAB">
      <w:pPr>
        <w:rPr>
          <w:color w:val="auto"/>
        </w:rPr>
      </w:pPr>
    </w:p>
    <w:p w14:paraId="347E3D39">
      <w:pPr>
        <w:rPr>
          <w:color w:val="auto"/>
        </w:rPr>
      </w:pPr>
    </w:p>
    <w:p w14:paraId="4FF3796F">
      <w:pPr>
        <w:rPr>
          <w:color w:val="auto"/>
        </w:rPr>
      </w:pPr>
    </w:p>
    <w:p w14:paraId="13BD2245">
      <w:pPr>
        <w:spacing w:line="320" w:lineRule="exact"/>
        <w:jc w:val="left"/>
        <w:rPr>
          <w:rFonts w:hint="eastAsia" w:hAnsi="宋体"/>
          <w:bCs/>
          <w:color w:val="auto"/>
          <w:sz w:val="18"/>
          <w:szCs w:val="18"/>
        </w:rPr>
      </w:pPr>
      <w:bookmarkStart w:id="130" w:name="_Hlk82091879"/>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),从)</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),业)</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),人)</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),员)</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),营)</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),业)</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),收)</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),入)</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),资)</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),产)</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),总)</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),额)</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),填)</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),报)</w:instrText>
      </w:r>
      <w:r>
        <w:rPr>
          <w:rFonts w:hAnsi="宋体"/>
          <w:bCs/>
          <w:color w:val="auto"/>
          <w:sz w:val="18"/>
          <w:szCs w:val="18"/>
        </w:rPr>
        <w:fldChar w:fldCharType="end"/>
      </w:r>
      <w:bookmarkEnd w:id="130"/>
      <w:r>
        <w:rPr>
          <w:rFonts w:hint="eastAsia" w:hAnsi="宋体"/>
          <w:bCs/>
          <w:color w:val="auto"/>
          <w:sz w:val="18"/>
          <w:szCs w:val="18"/>
        </w:rPr>
        <w:t>上一年度数据，无上一年度数据的新成立企业可不填报。</w:t>
      </w:r>
    </w:p>
    <w:p w14:paraId="701450A7">
      <w:pPr>
        <w:spacing w:line="320" w:lineRule="exact"/>
        <w:jc w:val="left"/>
        <w:rPr>
          <w:rFonts w:hint="eastAsia" w:hAnsi="宋体"/>
          <w:bCs/>
          <w:color w:val="auto"/>
          <w:sz w:val="18"/>
          <w:szCs w:val="18"/>
        </w:rPr>
      </w:pPr>
    </w:p>
    <w:p w14:paraId="10998C9F">
      <w:pPr>
        <w:spacing w:line="320" w:lineRule="exact"/>
        <w:jc w:val="left"/>
        <w:rPr>
          <w:rFonts w:hint="eastAsia" w:hAnsi="宋体"/>
          <w:bCs/>
          <w:color w:val="auto"/>
          <w:sz w:val="18"/>
          <w:szCs w:val="18"/>
        </w:rPr>
      </w:pPr>
    </w:p>
    <w:p w14:paraId="321F86DC">
      <w:pPr>
        <w:spacing w:line="320" w:lineRule="exact"/>
        <w:jc w:val="left"/>
        <w:rPr>
          <w:rFonts w:hint="eastAsia" w:hAnsi="宋体"/>
          <w:bCs/>
          <w:color w:val="auto"/>
          <w:sz w:val="18"/>
          <w:szCs w:val="18"/>
        </w:rPr>
      </w:pPr>
    </w:p>
    <w:p w14:paraId="6E1479BF">
      <w:pPr>
        <w:spacing w:line="320" w:lineRule="exact"/>
        <w:jc w:val="left"/>
        <w:rPr>
          <w:rFonts w:hint="eastAsia" w:hAnsi="宋体"/>
          <w:bCs/>
          <w:color w:val="auto"/>
          <w:sz w:val="18"/>
          <w:szCs w:val="18"/>
        </w:rPr>
      </w:pPr>
    </w:p>
    <w:tbl>
      <w:tblPr>
        <w:tblStyle w:val="37"/>
        <w:tblW w:w="9952" w:type="dxa"/>
        <w:tblInd w:w="150" w:type="dxa"/>
        <w:shd w:val="clear" w:color="auto" w:fill="FFFFFF"/>
        <w:tblLayout w:type="autofit"/>
        <w:tblCellMar>
          <w:top w:w="15" w:type="dxa"/>
          <w:left w:w="15" w:type="dxa"/>
          <w:bottom w:w="15" w:type="dxa"/>
          <w:right w:w="15" w:type="dxa"/>
        </w:tblCellMar>
      </w:tblPr>
      <w:tblGrid>
        <w:gridCol w:w="2127"/>
        <w:gridCol w:w="1413"/>
        <w:gridCol w:w="714"/>
        <w:gridCol w:w="1275"/>
        <w:gridCol w:w="1843"/>
        <w:gridCol w:w="1559"/>
        <w:gridCol w:w="1021"/>
      </w:tblGrid>
      <w:tr w14:paraId="0F78A4A8">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14:paraId="12557773">
            <w:pPr>
              <w:widowControl/>
              <w:jc w:val="center"/>
              <w:rPr>
                <w:rFonts w:hint="eastAsia" w:ascii="Helvetica" w:hAnsi="Helvetica" w:cs="Helvetica"/>
                <w:b/>
                <w:bCs/>
                <w:color w:val="auto"/>
                <w:kern w:val="0"/>
                <w:szCs w:val="21"/>
              </w:rPr>
            </w:pPr>
            <w:r>
              <w:rPr>
                <w:rFonts w:ascii="Helvetica" w:hAnsi="Helvetica" w:cs="Helvetica"/>
                <w:b/>
                <w:bCs/>
                <w:color w:val="auto"/>
                <w:kern w:val="0"/>
                <w:szCs w:val="21"/>
              </w:rPr>
              <w:t>大中小微型企业划分标准</w:t>
            </w:r>
          </w:p>
        </w:tc>
      </w:tr>
      <w:tr w14:paraId="3099E293">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577C50">
            <w:pPr>
              <w:widowControl/>
              <w:spacing w:line="340" w:lineRule="exact"/>
              <w:jc w:val="center"/>
              <w:rPr>
                <w:rFonts w:hint="eastAsia" w:ascii="Helvetica" w:hAnsi="Helvetica" w:cs="Helvetica"/>
                <w:color w:val="auto"/>
                <w:kern w:val="0"/>
                <w:sz w:val="18"/>
                <w:szCs w:val="18"/>
              </w:rPr>
            </w:pPr>
            <w:r>
              <w:rPr>
                <w:rFonts w:ascii="Helvetica" w:hAnsi="Helvetica" w:cs="Helvetica"/>
                <w:b/>
                <w:bCs/>
                <w:color w:val="auto"/>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D7B5AA">
            <w:pPr>
              <w:widowControl/>
              <w:spacing w:line="340" w:lineRule="exact"/>
              <w:jc w:val="center"/>
              <w:rPr>
                <w:rFonts w:hint="eastAsia" w:ascii="Helvetica" w:hAnsi="Helvetica" w:cs="Helvetica"/>
                <w:color w:val="auto"/>
                <w:kern w:val="0"/>
                <w:sz w:val="18"/>
                <w:szCs w:val="18"/>
              </w:rPr>
            </w:pPr>
            <w:r>
              <w:rPr>
                <w:rFonts w:ascii="Helvetica" w:hAnsi="Helvetica" w:cs="Helvetica"/>
                <w:b/>
                <w:bCs/>
                <w:color w:val="auto"/>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0E283F1">
            <w:pPr>
              <w:widowControl/>
              <w:spacing w:line="340" w:lineRule="exact"/>
              <w:jc w:val="center"/>
              <w:rPr>
                <w:rFonts w:hint="eastAsia" w:ascii="Helvetica" w:hAnsi="Helvetica" w:cs="Helvetica"/>
                <w:color w:val="auto"/>
                <w:kern w:val="0"/>
                <w:sz w:val="18"/>
                <w:szCs w:val="18"/>
              </w:rPr>
            </w:pPr>
            <w:r>
              <w:rPr>
                <w:rFonts w:ascii="Helvetica" w:hAnsi="Helvetica" w:cs="Helvetica"/>
                <w:b/>
                <w:bCs/>
                <w:color w:val="auto"/>
                <w:kern w:val="0"/>
                <w:sz w:val="18"/>
                <w:szCs w:val="18"/>
              </w:rPr>
              <w:t>计量</w:t>
            </w:r>
          </w:p>
          <w:p w14:paraId="6D8D9B19">
            <w:pPr>
              <w:widowControl/>
              <w:spacing w:line="340" w:lineRule="exact"/>
              <w:jc w:val="center"/>
              <w:rPr>
                <w:rFonts w:hint="eastAsia" w:ascii="Helvetica" w:hAnsi="Helvetica" w:cs="Helvetica"/>
                <w:color w:val="auto"/>
                <w:kern w:val="0"/>
                <w:sz w:val="18"/>
                <w:szCs w:val="18"/>
              </w:rPr>
            </w:pPr>
            <w:r>
              <w:rPr>
                <w:rFonts w:ascii="Helvetica" w:hAnsi="Helvetica" w:cs="Helvetica"/>
                <w:b/>
                <w:bCs/>
                <w:color w:val="auto"/>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E2F488">
            <w:pPr>
              <w:widowControl/>
              <w:spacing w:line="340" w:lineRule="exact"/>
              <w:jc w:val="center"/>
              <w:rPr>
                <w:rFonts w:hint="eastAsia" w:ascii="Helvetica" w:hAnsi="Helvetica" w:cs="Helvetica"/>
                <w:color w:val="auto"/>
                <w:kern w:val="0"/>
                <w:sz w:val="18"/>
                <w:szCs w:val="18"/>
              </w:rPr>
            </w:pPr>
            <w:r>
              <w:rPr>
                <w:rFonts w:ascii="Helvetica" w:hAnsi="Helvetica" w:cs="Helvetica"/>
                <w:b/>
                <w:bCs/>
                <w:color w:val="auto"/>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3FAE07">
            <w:pPr>
              <w:widowControl/>
              <w:spacing w:line="340" w:lineRule="exact"/>
              <w:jc w:val="center"/>
              <w:rPr>
                <w:rFonts w:hint="eastAsia" w:ascii="Helvetica" w:hAnsi="Helvetica" w:cs="Helvetica"/>
                <w:color w:val="auto"/>
                <w:kern w:val="0"/>
                <w:sz w:val="18"/>
                <w:szCs w:val="18"/>
              </w:rPr>
            </w:pPr>
            <w:r>
              <w:rPr>
                <w:rFonts w:ascii="Helvetica" w:hAnsi="Helvetica" w:cs="Helvetica"/>
                <w:b/>
                <w:bCs/>
                <w:color w:val="auto"/>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DEBDA55">
            <w:pPr>
              <w:widowControl/>
              <w:spacing w:line="340" w:lineRule="exact"/>
              <w:jc w:val="center"/>
              <w:rPr>
                <w:rFonts w:hint="eastAsia" w:ascii="Helvetica" w:hAnsi="Helvetica" w:cs="Helvetica"/>
                <w:color w:val="auto"/>
                <w:kern w:val="0"/>
                <w:sz w:val="18"/>
                <w:szCs w:val="18"/>
              </w:rPr>
            </w:pPr>
            <w:r>
              <w:rPr>
                <w:rFonts w:ascii="Helvetica" w:hAnsi="Helvetica" w:cs="Helvetica"/>
                <w:b/>
                <w:bCs/>
                <w:color w:val="auto"/>
                <w:kern w:val="0"/>
                <w:sz w:val="18"/>
                <w:szCs w:val="18"/>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D72911">
            <w:pPr>
              <w:widowControl/>
              <w:spacing w:line="340" w:lineRule="exact"/>
              <w:jc w:val="center"/>
              <w:rPr>
                <w:rFonts w:hint="eastAsia" w:ascii="Helvetica" w:hAnsi="Helvetica" w:cs="Helvetica"/>
                <w:color w:val="auto"/>
                <w:kern w:val="0"/>
                <w:sz w:val="18"/>
                <w:szCs w:val="18"/>
              </w:rPr>
            </w:pPr>
            <w:r>
              <w:rPr>
                <w:rFonts w:ascii="Helvetica" w:hAnsi="Helvetica" w:cs="Helvetica"/>
                <w:b/>
                <w:bCs/>
                <w:color w:val="auto"/>
                <w:kern w:val="0"/>
                <w:sz w:val="18"/>
                <w:szCs w:val="18"/>
              </w:rPr>
              <w:t>微型</w:t>
            </w:r>
          </w:p>
        </w:tc>
      </w:tr>
      <w:tr w14:paraId="1A6E09B3">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4D08CB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9492F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4BA0FA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05ADAB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1358C9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D38327">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7F75B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Y＜50</w:t>
            </w:r>
          </w:p>
        </w:tc>
      </w:tr>
      <w:tr w14:paraId="7A0579DD">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02518C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0E5DF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84DD62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AF72F1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AA03A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9CE3B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5A1554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X＜20</w:t>
            </w:r>
          </w:p>
        </w:tc>
      </w:tr>
      <w:tr w14:paraId="4CF5DDC1">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5596C58">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186887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B49B2A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0A8F6F7">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E7D4BFF">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4BC89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300≤Y＜2000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1F83FA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Y＜300</w:t>
            </w:r>
          </w:p>
        </w:tc>
      </w:tr>
      <w:tr w14:paraId="697E1D2A">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3C6F79E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55E906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AB137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D77AA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05F655">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BA3FC0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300≤Y＜6000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B9DA9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Y＜300</w:t>
            </w:r>
          </w:p>
        </w:tc>
      </w:tr>
      <w:tr w14:paraId="6B7A2DAD">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D9E00D">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E74A4F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30A8E6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FD7D5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0F22247">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F24B13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300≤Z＜5000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C034F4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Z＜300</w:t>
            </w:r>
          </w:p>
        </w:tc>
      </w:tr>
      <w:tr w14:paraId="14CF25CE">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269DA94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F0A60A7">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AEF8A15">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A2EFBE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60AE2F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A793965">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5≤X＜20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92087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X＜5</w:t>
            </w:r>
          </w:p>
        </w:tc>
      </w:tr>
      <w:tr w14:paraId="537BC6E6">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B9F396A">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526FA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8E5C54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33D15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343CB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625DB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1000≤Y＜5000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A6D3D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Y＜1000</w:t>
            </w:r>
          </w:p>
        </w:tc>
      </w:tr>
      <w:tr w14:paraId="6F8E6D86">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2C6F34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ADCE3C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BC2F1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BCDB0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A30A1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05CD92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10≤X＜50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F0FECE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w:t>
            </w:r>
          </w:p>
        </w:tc>
      </w:tr>
      <w:tr w14:paraId="11F383C0">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7078B2">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1C1DF4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8AEA9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704CBF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F7C3CD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46C5F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D51F7F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w:t>
            </w:r>
          </w:p>
        </w:tc>
      </w:tr>
      <w:tr w14:paraId="5DA38B2C">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26C7545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00C29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295D68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AA5E44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0FABE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654ABE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62F3E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X＜20</w:t>
            </w:r>
          </w:p>
        </w:tc>
      </w:tr>
      <w:tr w14:paraId="48277825">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55867B8">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41DA7D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C4058F">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BF87E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E934C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3EDBA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200≤Y＜3000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FFE8CD5">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Y＜200</w:t>
            </w:r>
          </w:p>
        </w:tc>
      </w:tr>
      <w:tr w14:paraId="0FA8F232">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C0E43A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6DF26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02A331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DB99BE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4C634C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582FFE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6B8085">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X＜20</w:t>
            </w:r>
          </w:p>
        </w:tc>
      </w:tr>
      <w:tr w14:paraId="5D55DE15">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48EEC85">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F6524D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0CC1C2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DC362B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3245F1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5F69E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A2255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w:t>
            </w:r>
          </w:p>
        </w:tc>
      </w:tr>
      <w:tr w14:paraId="2977E4ED">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261DEA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3E86EF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A602B0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E590FC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CC651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0A850C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56E44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X＜20</w:t>
            </w:r>
          </w:p>
        </w:tc>
      </w:tr>
      <w:tr w14:paraId="5FAB0D88">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972B37E">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D698D1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B8307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E430B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FFCB9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4518FB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2C10F45">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w:t>
            </w:r>
          </w:p>
        </w:tc>
      </w:tr>
      <w:tr w14:paraId="2399801C">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25A6349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D04CC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A60994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802BB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81419CF">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76CD1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EC128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w:t>
            </w:r>
          </w:p>
        </w:tc>
      </w:tr>
      <w:tr w14:paraId="447E064C">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B5E2628">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C9C18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9EF25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26021EF">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9978EEF">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852FD3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246045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w:t>
            </w:r>
          </w:p>
        </w:tc>
      </w:tr>
      <w:tr w14:paraId="14E2A897">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36A7D51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50AC6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078AD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2DD656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FFFD18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CF5C1F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3294A8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w:t>
            </w:r>
          </w:p>
        </w:tc>
      </w:tr>
      <w:tr w14:paraId="12EB1A61">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FD5248">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C2B3FA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23BB01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6562F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20E6420">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3C9EE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623EEF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w:t>
            </w:r>
          </w:p>
        </w:tc>
      </w:tr>
      <w:tr w14:paraId="5799CED2">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293DAB07">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3B262A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961232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06BE5B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170012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E1C1B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72AC40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w:t>
            </w:r>
          </w:p>
        </w:tc>
      </w:tr>
      <w:tr w14:paraId="2608C866">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6D95783">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F747A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FFA3597">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D2F5B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395E3B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226C56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E75E07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w:t>
            </w:r>
          </w:p>
        </w:tc>
      </w:tr>
      <w:tr w14:paraId="18D31EF4">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8169DB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E4AC6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13F0D4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217338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7F8CC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808D97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0998FA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w:t>
            </w:r>
          </w:p>
        </w:tc>
      </w:tr>
      <w:tr w14:paraId="70702CB7">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B1ACF03">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C69A61">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7DC585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B9C088F">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5264C0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3AAFE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4DB2C82">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Y＜50</w:t>
            </w:r>
          </w:p>
        </w:tc>
      </w:tr>
      <w:tr w14:paraId="74211B35">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EB713B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481286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AB844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3CB4F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77B5E2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C830A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07C0ADF">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Y＜100</w:t>
            </w:r>
          </w:p>
        </w:tc>
      </w:tr>
      <w:tr w14:paraId="035986DF">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9DCBAC">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9EBE1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FDA865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07FBAD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CE14A37">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AC6BF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2000≤Z＜5000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C0E4BA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Z＜2000</w:t>
            </w:r>
          </w:p>
        </w:tc>
      </w:tr>
      <w:tr w14:paraId="7F4D2957">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633FFE8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34D39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CC3E14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E3328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CC3BC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92A54B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7E9EEA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X＜100</w:t>
            </w:r>
          </w:p>
        </w:tc>
      </w:tr>
      <w:tr w14:paraId="1D1D40EF">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4BC51B">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F70767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9F5392C">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49C83E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BE660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6ADB96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500≤Y＜1000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3E010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Y＜500</w:t>
            </w:r>
          </w:p>
        </w:tc>
      </w:tr>
      <w:tr w14:paraId="6CD9749E">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401BA6E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82030F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A0F93F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D9FD1F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8C6EC7F">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CA90FA4">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D8209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w:t>
            </w:r>
          </w:p>
        </w:tc>
      </w:tr>
      <w:tr w14:paraId="3AA27F37">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AB2389F">
            <w:pPr>
              <w:widowControl/>
              <w:spacing w:line="340" w:lineRule="exact"/>
              <w:jc w:val="center"/>
              <w:rPr>
                <w:rFonts w:hint="eastAsia"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5DA3D06">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6F9A07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87552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B5E7019">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B845BA">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100≤Z＜8000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0778BF7">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Z＜100</w:t>
            </w:r>
          </w:p>
        </w:tc>
      </w:tr>
      <w:tr w14:paraId="3A25762B">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4590D5">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D1194EB">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9E5E1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2D52A23">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8CACF6E">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4747AD">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AAC5AF8">
            <w:pPr>
              <w:widowControl/>
              <w:spacing w:line="340" w:lineRule="exact"/>
              <w:jc w:val="center"/>
              <w:rPr>
                <w:rFonts w:hint="eastAsia" w:ascii="Helvetica" w:hAnsi="Helvetica" w:cs="Helvetica"/>
                <w:color w:val="auto"/>
                <w:kern w:val="0"/>
                <w:sz w:val="18"/>
                <w:szCs w:val="18"/>
              </w:rPr>
            </w:pPr>
            <w:r>
              <w:rPr>
                <w:rFonts w:ascii="Helvetica" w:hAnsi="Helvetica" w:cs="Helvetica"/>
                <w:color w:val="auto"/>
                <w:kern w:val="0"/>
                <w:sz w:val="18"/>
                <w:szCs w:val="18"/>
              </w:rPr>
              <w:t>X＜10</w:t>
            </w:r>
          </w:p>
        </w:tc>
      </w:tr>
    </w:tbl>
    <w:p w14:paraId="29F548BC">
      <w:pPr>
        <w:widowControl/>
        <w:jc w:val="left"/>
        <w:rPr>
          <w:color w:val="auto"/>
        </w:rPr>
      </w:pPr>
    </w:p>
    <w:p w14:paraId="30B0BA5C">
      <w:pPr>
        <w:widowControl/>
        <w:shd w:val="clear" w:color="auto" w:fill="FFFFFF"/>
        <w:spacing w:line="360" w:lineRule="atLeast"/>
        <w:jc w:val="left"/>
        <w:rPr>
          <w:rFonts w:hint="eastAsia" w:ascii="Helvetica" w:hAnsi="Helvetica" w:cs="Helvetica"/>
          <w:color w:val="auto"/>
          <w:kern w:val="0"/>
          <w:sz w:val="18"/>
          <w:szCs w:val="18"/>
        </w:rPr>
      </w:pPr>
    </w:p>
    <w:p w14:paraId="666FE59E">
      <w:pPr>
        <w:widowControl/>
        <w:shd w:val="clear" w:color="auto" w:fill="FFFFFF"/>
        <w:spacing w:line="360" w:lineRule="atLeast"/>
        <w:jc w:val="left"/>
        <w:rPr>
          <w:rFonts w:hint="eastAsia" w:ascii="Helvetica" w:hAnsi="Helvetica" w:cs="Helvetica"/>
          <w:color w:val="auto"/>
          <w:kern w:val="0"/>
          <w:sz w:val="18"/>
          <w:szCs w:val="18"/>
        </w:rPr>
      </w:pPr>
      <w:r>
        <w:rPr>
          <w:rFonts w:ascii="Helvetica" w:hAnsi="Helvetica" w:cs="Helvetica"/>
          <w:color w:val="auto"/>
          <w:kern w:val="0"/>
          <w:sz w:val="18"/>
          <w:szCs w:val="18"/>
        </w:rPr>
        <w:t>说明：</w:t>
      </w:r>
    </w:p>
    <w:p w14:paraId="4A73C21C">
      <w:pPr>
        <w:widowControl/>
        <w:shd w:val="clear" w:color="auto" w:fill="FFFFFF"/>
        <w:spacing w:line="360" w:lineRule="atLeast"/>
        <w:ind w:firstLine="480"/>
        <w:jc w:val="left"/>
        <w:rPr>
          <w:rFonts w:hint="eastAsia" w:ascii="Helvetica" w:hAnsi="Helvetica" w:cs="Helvetica"/>
          <w:color w:val="auto"/>
          <w:kern w:val="0"/>
          <w:sz w:val="18"/>
          <w:szCs w:val="18"/>
        </w:rPr>
      </w:pPr>
      <w:r>
        <w:rPr>
          <w:rFonts w:ascii="Helvetica" w:hAnsi="Helvetica" w:cs="Helvetica"/>
          <w:color w:val="auto"/>
          <w:kern w:val="0"/>
          <w:sz w:val="18"/>
          <w:szCs w:val="18"/>
        </w:rPr>
        <w:t>1.大型、中型和小型企业须同时满足所列指标的下限，否则下划一档；微型企业只须满足所列指标中的一项即可。</w:t>
      </w:r>
    </w:p>
    <w:p w14:paraId="52A27511">
      <w:pPr>
        <w:widowControl/>
        <w:shd w:val="clear" w:color="auto" w:fill="FFFFFF"/>
        <w:spacing w:line="360" w:lineRule="atLeast"/>
        <w:ind w:firstLine="480"/>
        <w:jc w:val="left"/>
        <w:rPr>
          <w:rFonts w:hint="eastAsia" w:ascii="Helvetica" w:hAnsi="Helvetica" w:cs="Helvetica"/>
          <w:color w:val="auto"/>
          <w:kern w:val="0"/>
          <w:sz w:val="18"/>
          <w:szCs w:val="18"/>
        </w:rPr>
      </w:pPr>
      <w:r>
        <w:rPr>
          <w:rFonts w:ascii="Helvetica" w:hAnsi="Helvetica" w:cs="Helvetica"/>
          <w:color w:val="auto"/>
          <w:kern w:val="0"/>
          <w:sz w:val="18"/>
          <w:szCs w:val="18"/>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color w:val="auto"/>
        </w:rPr>
        <w:fldChar w:fldCharType="begin"/>
      </w:r>
      <w:r>
        <w:rPr>
          <w:color w:val="auto"/>
        </w:rPr>
        <w:instrText xml:space="preserve"> HYPERLINK "https://baike.baidu.com/item/%E5%A4%9A%E5%BC%8F%E8%81%94%E8%BF%90/3342240?fromModule=lemma_inlink" \t "_blank" </w:instrText>
      </w:r>
      <w:r>
        <w:rPr>
          <w:color w:val="auto"/>
        </w:rPr>
        <w:fldChar w:fldCharType="separate"/>
      </w:r>
      <w:r>
        <w:rPr>
          <w:rFonts w:ascii="Helvetica" w:hAnsi="Helvetica" w:cs="Helvetica"/>
          <w:color w:val="auto"/>
          <w:kern w:val="0"/>
          <w:sz w:val="18"/>
          <w:szCs w:val="18"/>
          <w:u w:val="single"/>
        </w:rPr>
        <w:t>多式联运</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和运输代理业、</w:t>
      </w:r>
      <w:r>
        <w:rPr>
          <w:color w:val="auto"/>
        </w:rPr>
        <w:fldChar w:fldCharType="begin"/>
      </w:r>
      <w:r>
        <w:rPr>
          <w:color w:val="auto"/>
        </w:rPr>
        <w:instrText xml:space="preserve"> HYPERLINK "https://baike.baidu.com/item/%E8%A3%85%E5%8D%B8%E6%90%AC%E8%BF%90/6511400?fromModule=lemma_inlink" \t "_blank" </w:instrText>
      </w:r>
      <w:r>
        <w:rPr>
          <w:color w:val="auto"/>
        </w:rPr>
        <w:fldChar w:fldCharType="separate"/>
      </w:r>
      <w:r>
        <w:rPr>
          <w:rFonts w:ascii="Helvetica" w:hAnsi="Helvetica" w:cs="Helvetica"/>
          <w:color w:val="auto"/>
          <w:kern w:val="0"/>
          <w:sz w:val="18"/>
          <w:szCs w:val="18"/>
          <w:u w:val="single"/>
        </w:rPr>
        <w:t>装卸搬运</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，不包括铁路运输业；</w:t>
      </w:r>
      <w:r>
        <w:rPr>
          <w:color w:val="auto"/>
        </w:rPr>
        <w:fldChar w:fldCharType="begin"/>
      </w:r>
      <w:r>
        <w:rPr>
          <w:color w:val="auto"/>
        </w:rPr>
        <w:instrText xml:space="preserve"> HYPERLINK "https://baike.baidu.com/item/%E4%BB%93%E5%82%A8%E4%B8%9A/3487863?fromModule=lemma_inlink" \t "_blank" </w:instrText>
      </w:r>
      <w:r>
        <w:rPr>
          <w:color w:val="auto"/>
        </w:rPr>
        <w:fldChar w:fldCharType="separate"/>
      </w:r>
      <w:r>
        <w:rPr>
          <w:rFonts w:ascii="Helvetica" w:hAnsi="Helvetica" w:cs="Helvetica"/>
          <w:color w:val="auto"/>
          <w:kern w:val="0"/>
          <w:sz w:val="18"/>
          <w:szCs w:val="18"/>
          <w:u w:val="single"/>
        </w:rPr>
        <w:t>仓储业</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包括通用仓储，低温仓储，危险品仓储，谷物、棉花等农产品仓储，中药材仓储和其他仓储业;</w:t>
      </w:r>
      <w:r>
        <w:rPr>
          <w:color w:val="auto"/>
        </w:rPr>
        <w:fldChar w:fldCharType="begin"/>
      </w:r>
      <w:r>
        <w:rPr>
          <w:color w:val="auto"/>
        </w:rPr>
        <w:instrText xml:space="preserve"> HYPERLINK "https://baike.baidu.com/item/%E4%BF%A1%E6%81%AF%E4%BC%A0%E8%BE%93%E4%B8%9A/61331990?fromModule=lemma_inlink" \t "_blank" </w:instrText>
      </w:r>
      <w:r>
        <w:rPr>
          <w:color w:val="auto"/>
        </w:rPr>
        <w:fldChar w:fldCharType="separate"/>
      </w:r>
      <w:r>
        <w:rPr>
          <w:rFonts w:ascii="Helvetica" w:hAnsi="Helvetica" w:cs="Helvetica"/>
          <w:color w:val="auto"/>
          <w:kern w:val="0"/>
          <w:sz w:val="18"/>
          <w:szCs w:val="18"/>
          <w:u w:val="single"/>
        </w:rPr>
        <w:t>信息传输业</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9B7BA81">
      <w:pPr>
        <w:widowControl/>
        <w:shd w:val="clear" w:color="auto" w:fill="FFFFFF"/>
        <w:spacing w:line="360" w:lineRule="atLeast"/>
        <w:ind w:firstLine="480"/>
        <w:jc w:val="left"/>
        <w:rPr>
          <w:rFonts w:hint="eastAsia" w:ascii="Helvetica" w:hAnsi="Helvetica" w:cs="Helvetica"/>
          <w:color w:val="auto"/>
          <w:kern w:val="0"/>
          <w:sz w:val="18"/>
          <w:szCs w:val="18"/>
        </w:rPr>
      </w:pPr>
      <w:r>
        <w:rPr>
          <w:rFonts w:ascii="Helvetica" w:hAnsi="Helvetica" w:cs="Helvetica"/>
          <w:color w:val="auto"/>
          <w:kern w:val="0"/>
          <w:sz w:val="18"/>
          <w:szCs w:val="18"/>
        </w:rPr>
        <w:t>3.企业划分指标以现行</w:t>
      </w:r>
      <w:r>
        <w:rPr>
          <w:color w:val="auto"/>
        </w:rPr>
        <w:fldChar w:fldCharType="begin"/>
      </w:r>
      <w:r>
        <w:rPr>
          <w:color w:val="auto"/>
        </w:rPr>
        <w:instrText xml:space="preserve"> HYPERLINK "https://baike.baidu.com/item/%E7%BB%9F%E8%AE%A1%E5%88%B6%E5%BA%A6/917165?fromModule=lemma_inlink" \t "_blank" </w:instrText>
      </w:r>
      <w:r>
        <w:rPr>
          <w:color w:val="auto"/>
        </w:rPr>
        <w:fldChar w:fldCharType="separate"/>
      </w:r>
      <w:r>
        <w:rPr>
          <w:rFonts w:ascii="Helvetica" w:hAnsi="Helvetica" w:cs="Helvetica"/>
          <w:color w:val="auto"/>
          <w:kern w:val="0"/>
          <w:sz w:val="18"/>
          <w:szCs w:val="18"/>
          <w:u w:val="single"/>
        </w:rPr>
        <w:t>统计制度</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为准。（1）从业人员，是指期末从业人员数，没有期末从业人员数的，采用全年平均人员数代替。（2）</w:t>
      </w:r>
      <w:r>
        <w:rPr>
          <w:color w:val="auto"/>
        </w:rPr>
        <w:fldChar w:fldCharType="begin"/>
      </w:r>
      <w:r>
        <w:rPr>
          <w:color w:val="auto"/>
        </w:rPr>
        <w:instrText xml:space="preserve"> HYPERLINK "https://baike.baidu.com/item/%E8%90%A5%E4%B8%9A%E6%94%B6%E5%85%A5/5099832?fromModule=lemma_inlink" \t "_blank" </w:instrText>
      </w:r>
      <w:r>
        <w:rPr>
          <w:color w:val="auto"/>
        </w:rPr>
        <w:fldChar w:fldCharType="separate"/>
      </w:r>
      <w:r>
        <w:rPr>
          <w:rFonts w:ascii="Helvetica" w:hAnsi="Helvetica" w:cs="Helvetica"/>
          <w:color w:val="auto"/>
          <w:kern w:val="0"/>
          <w:sz w:val="18"/>
          <w:szCs w:val="18"/>
          <w:u w:val="single"/>
        </w:rPr>
        <w:t>营业收入</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color w:val="auto"/>
        </w:rPr>
        <w:fldChar w:fldCharType="begin"/>
      </w:r>
      <w:r>
        <w:rPr>
          <w:color w:val="auto"/>
        </w:rPr>
        <w:instrText xml:space="preserve"> HYPERLINK "https://baike.baidu.com/item/%E8%B5%84%E4%BA%A7%E6%80%BB%E9%A2%9D/716517?fromModule=lemma_inlink" \t "_blank" </w:instrText>
      </w:r>
      <w:r>
        <w:rPr>
          <w:color w:val="auto"/>
        </w:rPr>
        <w:fldChar w:fldCharType="separate"/>
      </w:r>
      <w:r>
        <w:rPr>
          <w:rFonts w:ascii="Helvetica" w:hAnsi="Helvetica" w:cs="Helvetica"/>
          <w:color w:val="auto"/>
          <w:kern w:val="0"/>
          <w:sz w:val="18"/>
          <w:szCs w:val="18"/>
          <w:u w:val="single"/>
        </w:rPr>
        <w:t>资产总额</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，采用资产总计代替。</w:t>
      </w:r>
    </w:p>
    <w:p w14:paraId="2F60DF62">
      <w:pPr>
        <w:widowControl/>
        <w:jc w:val="left"/>
        <w:rPr>
          <w:rFonts w:hint="eastAsia" w:hAnsi="宋体"/>
          <w:bCs/>
          <w:color w:val="auto"/>
          <w:sz w:val="18"/>
          <w:szCs w:val="18"/>
        </w:rPr>
      </w:pPr>
      <w:r>
        <w:rPr>
          <w:rFonts w:hAnsi="宋体"/>
          <w:bCs/>
          <w:color w:val="auto"/>
          <w:sz w:val="18"/>
          <w:szCs w:val="18"/>
        </w:rPr>
        <w:br w:type="page"/>
      </w:r>
    </w:p>
    <w:p w14:paraId="091F7160">
      <w:pPr>
        <w:spacing w:line="320" w:lineRule="exact"/>
        <w:jc w:val="left"/>
        <w:rPr>
          <w:rFonts w:hint="eastAsia" w:hAnsi="宋体"/>
          <w:bCs/>
          <w:color w:val="auto"/>
          <w:sz w:val="18"/>
          <w:szCs w:val="18"/>
        </w:rPr>
      </w:pPr>
    </w:p>
    <w:p w14:paraId="36B173F6">
      <w:pPr>
        <w:pStyle w:val="21"/>
        <w:spacing w:line="440" w:lineRule="exact"/>
        <w:jc w:val="center"/>
        <w:rPr>
          <w:rFonts w:hint="eastAsia" w:ascii="仿宋" w:hAnsi="仿宋" w:eastAsia="仿宋"/>
          <w:b/>
          <w:color w:val="auto"/>
          <w:kern w:val="0"/>
          <w:sz w:val="32"/>
          <w:szCs w:val="32"/>
        </w:rPr>
      </w:pPr>
      <w:r>
        <w:rPr>
          <w:rFonts w:hint="eastAsia" w:ascii="仿宋" w:hAnsi="仿宋" w:eastAsia="仿宋"/>
          <w:b/>
          <w:color w:val="auto"/>
          <w:kern w:val="0"/>
          <w:sz w:val="32"/>
          <w:szCs w:val="32"/>
        </w:rPr>
        <w:t>残疾人福利性单位声明函</w:t>
      </w:r>
      <w:r>
        <w:rPr>
          <w:rFonts w:hint="eastAsia" w:ascii="仿宋" w:hAnsi="仿宋" w:eastAsia="仿宋"/>
          <w:color w:val="auto"/>
          <w:sz w:val="24"/>
        </w:rPr>
        <w:t>(格式</w:t>
      </w:r>
      <w:r>
        <w:rPr>
          <w:rFonts w:ascii="仿宋" w:hAnsi="仿宋" w:eastAsia="仿宋"/>
          <w:color w:val="auto"/>
          <w:sz w:val="24"/>
        </w:rPr>
        <w:t>)</w:t>
      </w:r>
    </w:p>
    <w:p w14:paraId="4B7D4AEB">
      <w:pPr>
        <w:rPr>
          <w:color w:val="auto"/>
        </w:rPr>
      </w:pPr>
    </w:p>
    <w:p w14:paraId="31CA3FD5">
      <w:pPr>
        <w:spacing w:line="660" w:lineRule="exact"/>
        <w:ind w:firstLine="420" w:firstLineChars="200"/>
        <w:rPr>
          <w:rFonts w:hint="eastAsia" w:ascii="宋体" w:hAnsi="宋体" w:cs="Courier New"/>
          <w:color w:val="auto"/>
          <w:kern w:val="0"/>
          <w:szCs w:val="21"/>
        </w:rPr>
      </w:pPr>
      <w:r>
        <w:rPr>
          <w:rFonts w:hint="eastAsia" w:ascii="宋体" w:hAnsi="宋体" w:cs="Courier New"/>
          <w:color w:val="auto"/>
          <w:kern w:val="0"/>
          <w:szCs w:val="21"/>
        </w:rPr>
        <w:t>本单位郑重声明，根据</w:t>
      </w:r>
      <w:bookmarkStart w:id="131" w:name="_Hlk82091361"/>
      <w:r>
        <w:rPr>
          <w:rFonts w:hint="eastAsia" w:ascii="宋体" w:hAnsi="宋体" w:cs="Courier New"/>
          <w:color w:val="auto"/>
          <w:kern w:val="0"/>
          <w:szCs w:val="21"/>
        </w:rPr>
        <w:t>《</w:t>
      </w:r>
      <w:r>
        <w:rPr>
          <w:color w:val="auto"/>
        </w:rPr>
        <w:fldChar w:fldCharType="begin"/>
      </w:r>
      <w:r>
        <w:rPr>
          <w:color w:val="auto"/>
        </w:rPr>
        <w:instrText xml:space="preserve"> HYPERLINK "http://www.mof.gov.cn/gp/xxgkml/gks/201709/t20170901_2689542.htm" </w:instrText>
      </w:r>
      <w:r>
        <w:rPr>
          <w:color w:val="auto"/>
        </w:rPr>
        <w:fldChar w:fldCharType="separate"/>
      </w:r>
      <w:r>
        <w:rPr>
          <w:rFonts w:hint="eastAsia" w:ascii="宋体" w:hAnsi="Courier New" w:cs="Courier New"/>
          <w:color w:val="auto"/>
          <w:kern w:val="0"/>
          <w:szCs w:val="21"/>
        </w:rPr>
        <w:t>财政部 民政部 中国残疾人联合会关于促进残疾人就业政府采购政策的通知》（财库〔2017〕141号）</w:t>
      </w:r>
      <w:r>
        <w:rPr>
          <w:rFonts w:hint="eastAsia" w:ascii="宋体" w:hAnsi="Courier New" w:cs="Courier New"/>
          <w:color w:val="auto"/>
          <w:kern w:val="0"/>
          <w:szCs w:val="21"/>
        </w:rPr>
        <w:fldChar w:fldCharType="end"/>
      </w:r>
      <w:bookmarkEnd w:id="131"/>
      <w:r>
        <w:rPr>
          <w:rFonts w:hint="eastAsia" w:ascii="宋体" w:hAnsi="宋体" w:cs="Courier New"/>
          <w:color w:val="auto"/>
          <w:kern w:val="0"/>
          <w:szCs w:val="21"/>
        </w:rPr>
        <w:t>的规定，本单位为符合条件的残疾人福利性单位，且本单位参加（</w:t>
      </w:r>
      <w:r>
        <w:rPr>
          <w:rFonts w:hint="eastAsia" w:ascii="宋体" w:hAnsi="宋体" w:cs="Courier New"/>
          <w:color w:val="auto"/>
          <w:kern w:val="0"/>
          <w:szCs w:val="21"/>
          <w:u w:val="single"/>
        </w:rPr>
        <w:t>单位名称</w:t>
      </w:r>
      <w:r>
        <w:rPr>
          <w:rFonts w:hint="eastAsia" w:ascii="宋体" w:hAnsi="宋体" w:cs="Courier New"/>
          <w:color w:val="auto"/>
          <w:kern w:val="0"/>
          <w:szCs w:val="21"/>
        </w:rPr>
        <w:t>）的（</w:t>
      </w:r>
      <w:r>
        <w:rPr>
          <w:rFonts w:hint="eastAsia" w:ascii="宋体" w:hAnsi="宋体" w:cs="Courier New"/>
          <w:color w:val="auto"/>
          <w:kern w:val="0"/>
          <w:szCs w:val="21"/>
          <w:u w:val="single"/>
        </w:rPr>
        <w:t>项目名称</w:t>
      </w:r>
      <w:r>
        <w:rPr>
          <w:rFonts w:hint="eastAsia" w:ascii="宋体" w:hAnsi="宋体" w:cs="Courier New"/>
          <w:color w:val="auto"/>
          <w:kern w:val="0"/>
          <w:szCs w:val="21"/>
        </w:rPr>
        <w:t>）采购活动提供本单位制造的货物，或者提供其他残疾人福利性单位（</w:t>
      </w:r>
      <w:r>
        <w:rPr>
          <w:rFonts w:hint="eastAsia" w:ascii="宋体" w:hAnsi="宋体" w:cs="Courier New"/>
          <w:color w:val="auto"/>
          <w:kern w:val="0"/>
          <w:szCs w:val="21"/>
          <w:u w:val="single"/>
        </w:rPr>
        <w:t>请填写具体单位名称</w:t>
      </w:r>
      <w:r>
        <w:rPr>
          <w:rFonts w:hint="eastAsia" w:ascii="宋体" w:hAnsi="宋体" w:cs="Courier New"/>
          <w:color w:val="auto"/>
          <w:kern w:val="0"/>
          <w:szCs w:val="21"/>
        </w:rPr>
        <w:t>）制造的货物（不包括使用非残疾人福利性单位注册商标的货物）。</w:t>
      </w:r>
    </w:p>
    <w:p w14:paraId="62564C4A">
      <w:pPr>
        <w:spacing w:line="660" w:lineRule="exact"/>
        <w:ind w:firstLine="420" w:firstLineChars="200"/>
        <w:rPr>
          <w:rFonts w:hint="eastAsia" w:ascii="宋体" w:hAnsi="宋体" w:cs="Courier New"/>
          <w:color w:val="auto"/>
          <w:kern w:val="0"/>
          <w:szCs w:val="21"/>
        </w:rPr>
      </w:pPr>
      <w:r>
        <w:rPr>
          <w:rFonts w:hint="eastAsia" w:ascii="宋体" w:hAnsi="宋体" w:cs="Courier New"/>
          <w:color w:val="auto"/>
          <w:kern w:val="0"/>
          <w:szCs w:val="21"/>
        </w:rPr>
        <w:t>本单位对上述声明的真实性负责。如有虚假，将依法承担相应责任。</w:t>
      </w:r>
    </w:p>
    <w:p w14:paraId="280EB1E7">
      <w:pPr>
        <w:spacing w:line="400" w:lineRule="exact"/>
        <w:rPr>
          <w:color w:val="auto"/>
          <w:szCs w:val="21"/>
        </w:rPr>
      </w:pPr>
    </w:p>
    <w:p w14:paraId="7DB060AC">
      <w:pPr>
        <w:spacing w:line="400" w:lineRule="exact"/>
        <w:rPr>
          <w:color w:val="auto"/>
          <w:szCs w:val="21"/>
        </w:rPr>
      </w:pPr>
    </w:p>
    <w:p w14:paraId="421D9729">
      <w:pPr>
        <w:spacing w:line="400" w:lineRule="exact"/>
        <w:rPr>
          <w:color w:val="auto"/>
          <w:szCs w:val="21"/>
        </w:rPr>
      </w:pPr>
    </w:p>
    <w:p w14:paraId="577E9BA3">
      <w:pPr>
        <w:spacing w:line="440" w:lineRule="exact"/>
        <w:ind w:firstLine="5250" w:firstLineChars="2500"/>
        <w:rPr>
          <w:rFonts w:hint="eastAsia" w:ascii="宋体" w:hAnsi="宋体" w:cs="Courier New"/>
          <w:color w:val="auto"/>
          <w:kern w:val="0"/>
          <w:szCs w:val="21"/>
        </w:rPr>
      </w:pPr>
      <w:r>
        <w:rPr>
          <w:rFonts w:hint="eastAsia" w:ascii="宋体" w:hAnsi="宋体" w:cs="Courier New"/>
          <w:color w:val="auto"/>
          <w:kern w:val="0"/>
          <w:szCs w:val="21"/>
        </w:rPr>
        <w:t>单位名称（盖章）：</w:t>
      </w:r>
      <w:r>
        <w:rPr>
          <w:rFonts w:hint="eastAsia" w:ascii="宋体" w:hAnsi="宋体" w:cs="Courier New"/>
          <w:color w:val="auto"/>
          <w:szCs w:val="21"/>
          <w:u w:val="single"/>
        </w:rPr>
        <w:t xml:space="preserve"> </w:t>
      </w:r>
      <w:r>
        <w:rPr>
          <w:rFonts w:ascii="宋体" w:hAnsi="宋体" w:cs="Courier New"/>
          <w:color w:val="auto"/>
          <w:szCs w:val="21"/>
          <w:u w:val="single"/>
        </w:rPr>
        <w:t xml:space="preserve">             </w:t>
      </w:r>
    </w:p>
    <w:p w14:paraId="276342D1">
      <w:pPr>
        <w:spacing w:line="440" w:lineRule="exact"/>
        <w:ind w:firstLine="5250" w:firstLineChars="2500"/>
        <w:rPr>
          <w:rFonts w:hint="eastAsia" w:ascii="宋体" w:hAnsi="宋体" w:cs="Courier New"/>
          <w:color w:val="auto"/>
          <w:szCs w:val="21"/>
          <w:u w:val="single"/>
        </w:rPr>
      </w:pPr>
      <w:r>
        <w:rPr>
          <w:rFonts w:hint="eastAsia" w:ascii="宋体" w:hAnsi="宋体" w:cs="Courier New"/>
          <w:color w:val="auto"/>
          <w:kern w:val="0"/>
          <w:szCs w:val="21"/>
        </w:rPr>
        <w:t>日  期：</w:t>
      </w:r>
      <w:r>
        <w:rPr>
          <w:rFonts w:hint="eastAsia" w:ascii="宋体" w:hAnsi="宋体" w:cs="Courier New"/>
          <w:color w:val="auto"/>
          <w:szCs w:val="21"/>
          <w:u w:val="single"/>
        </w:rPr>
        <w:t xml:space="preserve"> </w:t>
      </w:r>
      <w:r>
        <w:rPr>
          <w:rFonts w:ascii="宋体" w:hAnsi="宋体" w:cs="Courier New"/>
          <w:color w:val="auto"/>
          <w:szCs w:val="21"/>
          <w:u w:val="single"/>
        </w:rPr>
        <w:t xml:space="preserve">                       </w:t>
      </w:r>
    </w:p>
    <w:bookmarkEnd w:id="125"/>
    <w:p w14:paraId="4B5BE68A">
      <w:pPr>
        <w:widowControl/>
        <w:jc w:val="left"/>
        <w:rPr>
          <w:rFonts w:ascii="宋体" w:hAnsi="Courier New" w:cs="Courier New"/>
          <w:color w:val="auto"/>
          <w:sz w:val="18"/>
          <w:szCs w:val="18"/>
        </w:rPr>
      </w:pPr>
      <w:r>
        <w:rPr>
          <w:rFonts w:ascii="宋体" w:hAnsi="Courier New" w:cs="Courier New"/>
          <w:color w:val="auto"/>
          <w:sz w:val="18"/>
          <w:szCs w:val="18"/>
        </w:rPr>
        <w:br w:type="page"/>
      </w:r>
    </w:p>
    <w:p w14:paraId="58BF43A1">
      <w:pPr>
        <w:jc w:val="left"/>
        <w:rPr>
          <w:rFonts w:hint="eastAsia" w:ascii="宋体" w:hAnsi="宋体"/>
          <w:b/>
          <w:bCs/>
          <w:color w:val="auto"/>
          <w:sz w:val="36"/>
          <w:szCs w:val="36"/>
        </w:rPr>
      </w:pPr>
      <w:r>
        <w:rPr>
          <w:rFonts w:hint="eastAsia" w:ascii="宋体" w:hAnsi="宋体"/>
          <w:b/>
          <w:bCs/>
          <w:color w:val="auto"/>
          <w:sz w:val="36"/>
          <w:szCs w:val="36"/>
        </w:rPr>
        <w:t>三、报价文件</w:t>
      </w:r>
    </w:p>
    <w:p w14:paraId="504FEFF9">
      <w:pPr>
        <w:jc w:val="center"/>
        <w:rPr>
          <w:rFonts w:hint="eastAsia" w:ascii="仿宋" w:hAnsi="仿宋" w:eastAsia="仿宋"/>
          <w:b/>
          <w:bCs/>
          <w:color w:val="auto"/>
          <w:sz w:val="30"/>
          <w:szCs w:val="30"/>
        </w:rPr>
      </w:pPr>
      <w:r>
        <w:rPr>
          <w:rFonts w:hint="eastAsia" w:ascii="仿宋" w:hAnsi="仿宋" w:eastAsia="仿宋"/>
          <w:b/>
          <w:bCs/>
          <w:color w:val="auto"/>
          <w:sz w:val="32"/>
          <w:szCs w:val="32"/>
        </w:rPr>
        <w:t>报价明细表</w:t>
      </w:r>
      <w:r>
        <w:rPr>
          <w:rFonts w:hint="eastAsia" w:ascii="仿宋" w:hAnsi="仿宋" w:eastAsia="仿宋"/>
          <w:color w:val="auto"/>
          <w:sz w:val="24"/>
        </w:rPr>
        <w:t>(格式</w:t>
      </w:r>
      <w:r>
        <w:rPr>
          <w:rFonts w:ascii="仿宋" w:hAnsi="仿宋" w:eastAsia="仿宋"/>
          <w:color w:val="auto"/>
          <w:sz w:val="24"/>
        </w:rPr>
        <w:t>)</w:t>
      </w:r>
    </w:p>
    <w:p w14:paraId="284140BF">
      <w:pPr>
        <w:rPr>
          <w:color w:val="auto"/>
        </w:rPr>
      </w:pPr>
    </w:p>
    <w:p w14:paraId="720A1D18">
      <w:pPr>
        <w:spacing w:line="400" w:lineRule="exact"/>
        <w:rPr>
          <w:rFonts w:hint="eastAsia" w:ascii="宋体" w:hAnsi="宋体"/>
          <w:color w:val="auto"/>
          <w:szCs w:val="21"/>
          <w:u w:val="single"/>
        </w:rPr>
      </w:pPr>
      <w:r>
        <w:rPr>
          <w:rFonts w:hint="eastAsia" w:ascii="宋体" w:hAnsi="宋体"/>
          <w:color w:val="auto"/>
          <w:szCs w:val="21"/>
        </w:rPr>
        <w:t>项目编号：</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14:paraId="6F814E7B">
      <w:pPr>
        <w:spacing w:line="400" w:lineRule="exact"/>
        <w:rPr>
          <w:rFonts w:ascii="宋体" w:hAnsi="宋体"/>
          <w:color w:val="auto"/>
          <w:szCs w:val="21"/>
        </w:rPr>
      </w:pPr>
      <w:r>
        <w:rPr>
          <w:rFonts w:hint="eastAsia" w:ascii="宋体" w:hAnsi="宋体"/>
          <w:color w:val="auto"/>
          <w:szCs w:val="21"/>
        </w:rPr>
        <w:t>项目名称：</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 xml:space="preserve">    </w:t>
      </w:r>
    </w:p>
    <w:p w14:paraId="6AB64A05">
      <w:pPr>
        <w:spacing w:line="400" w:lineRule="exact"/>
        <w:ind w:firstLine="8610" w:firstLineChars="4100"/>
        <w:rPr>
          <w:rFonts w:hint="eastAsia" w:ascii="宋体" w:hAnsi="宋体"/>
          <w:color w:val="auto"/>
          <w:szCs w:val="21"/>
          <w:u w:val="single"/>
        </w:rPr>
      </w:pPr>
      <w:r>
        <w:rPr>
          <w:rFonts w:ascii="宋体" w:hAnsi="宋体"/>
          <w:color w:val="auto"/>
          <w:szCs w:val="21"/>
        </w:rPr>
        <w:t>单位：元</w:t>
      </w:r>
    </w:p>
    <w:tbl>
      <w:tblPr>
        <w:tblStyle w:val="37"/>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14:paraId="7294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14:paraId="14216F08">
            <w:pPr>
              <w:spacing w:line="300" w:lineRule="exact"/>
              <w:jc w:val="center"/>
              <w:rPr>
                <w:rFonts w:hint="eastAsia" w:ascii="宋体" w:hAnsi="宋体" w:cs="Courier New"/>
                <w:color w:val="auto"/>
                <w:szCs w:val="21"/>
              </w:rPr>
            </w:pPr>
            <w:bookmarkStart w:id="132" w:name="_Hlk97823529"/>
            <w:r>
              <w:rPr>
                <w:rFonts w:hint="eastAsia" w:ascii="宋体" w:hAnsi="宋体" w:cs="Courier New"/>
                <w:color w:val="auto"/>
                <w:szCs w:val="21"/>
              </w:rPr>
              <w:t>序号</w:t>
            </w:r>
          </w:p>
        </w:tc>
        <w:tc>
          <w:tcPr>
            <w:tcW w:w="1145" w:type="dxa"/>
            <w:tcBorders>
              <w:bottom w:val="single" w:color="auto" w:sz="4" w:space="0"/>
            </w:tcBorders>
            <w:vAlign w:val="center"/>
          </w:tcPr>
          <w:p w14:paraId="6E91B1AF">
            <w:pPr>
              <w:tabs>
                <w:tab w:val="left" w:pos="180"/>
                <w:tab w:val="left" w:pos="1620"/>
              </w:tabs>
              <w:spacing w:line="300" w:lineRule="exact"/>
              <w:jc w:val="center"/>
              <w:rPr>
                <w:rFonts w:hint="eastAsia" w:ascii="宋体" w:hAnsi="宋体"/>
                <w:color w:val="auto"/>
                <w:szCs w:val="21"/>
              </w:rPr>
            </w:pPr>
            <w:r>
              <w:rPr>
                <w:rFonts w:hint="eastAsia" w:ascii="宋体" w:hAnsi="宋体"/>
                <w:color w:val="auto"/>
                <w:szCs w:val="21"/>
              </w:rPr>
              <w:t>货物名称</w:t>
            </w:r>
          </w:p>
        </w:tc>
        <w:tc>
          <w:tcPr>
            <w:tcW w:w="698" w:type="dxa"/>
            <w:tcBorders>
              <w:bottom w:val="single" w:color="auto" w:sz="4" w:space="0"/>
            </w:tcBorders>
            <w:vAlign w:val="center"/>
          </w:tcPr>
          <w:p w14:paraId="0823C0BD">
            <w:pPr>
              <w:tabs>
                <w:tab w:val="left" w:pos="180"/>
                <w:tab w:val="left" w:pos="1620"/>
              </w:tabs>
              <w:spacing w:line="300" w:lineRule="exact"/>
              <w:jc w:val="center"/>
              <w:rPr>
                <w:rFonts w:hint="eastAsia" w:ascii="宋体" w:hAnsi="宋体"/>
                <w:color w:val="auto"/>
                <w:szCs w:val="21"/>
              </w:rPr>
            </w:pPr>
            <w:r>
              <w:rPr>
                <w:rFonts w:hint="eastAsia" w:ascii="宋体" w:hAnsi="宋体"/>
                <w:color w:val="auto"/>
                <w:szCs w:val="21"/>
              </w:rPr>
              <w:t>品牌</w:t>
            </w:r>
          </w:p>
        </w:tc>
        <w:tc>
          <w:tcPr>
            <w:tcW w:w="709" w:type="dxa"/>
            <w:tcBorders>
              <w:bottom w:val="single" w:color="auto" w:sz="4" w:space="0"/>
            </w:tcBorders>
            <w:vAlign w:val="center"/>
          </w:tcPr>
          <w:p w14:paraId="45579B40">
            <w:pPr>
              <w:tabs>
                <w:tab w:val="left" w:pos="180"/>
                <w:tab w:val="left" w:pos="1620"/>
              </w:tabs>
              <w:spacing w:line="300" w:lineRule="exact"/>
              <w:jc w:val="center"/>
              <w:rPr>
                <w:rFonts w:hint="eastAsia" w:ascii="宋体" w:hAnsi="宋体"/>
                <w:color w:val="auto"/>
                <w:szCs w:val="21"/>
              </w:rPr>
            </w:pPr>
            <w:r>
              <w:rPr>
                <w:rFonts w:hint="eastAsia" w:ascii="宋体" w:hAnsi="宋体"/>
                <w:color w:val="auto"/>
                <w:szCs w:val="21"/>
              </w:rPr>
              <w:t>型号</w:t>
            </w:r>
          </w:p>
        </w:tc>
        <w:tc>
          <w:tcPr>
            <w:tcW w:w="708" w:type="dxa"/>
            <w:tcBorders>
              <w:bottom w:val="single" w:color="auto" w:sz="4" w:space="0"/>
            </w:tcBorders>
            <w:vAlign w:val="center"/>
          </w:tcPr>
          <w:p w14:paraId="4A8F99E5">
            <w:pPr>
              <w:tabs>
                <w:tab w:val="left" w:pos="180"/>
                <w:tab w:val="left" w:pos="1620"/>
              </w:tabs>
              <w:spacing w:line="300" w:lineRule="exact"/>
              <w:jc w:val="center"/>
              <w:rPr>
                <w:rFonts w:hint="eastAsia" w:ascii="宋体" w:hAnsi="宋体"/>
                <w:color w:val="auto"/>
                <w:szCs w:val="21"/>
              </w:rPr>
            </w:pPr>
            <w:r>
              <w:rPr>
                <w:rFonts w:hint="eastAsia" w:ascii="宋体" w:hAnsi="宋体"/>
                <w:color w:val="auto"/>
                <w:szCs w:val="21"/>
              </w:rPr>
              <w:t>产地</w:t>
            </w:r>
          </w:p>
        </w:tc>
        <w:tc>
          <w:tcPr>
            <w:tcW w:w="1701" w:type="dxa"/>
            <w:tcBorders>
              <w:bottom w:val="single" w:color="auto" w:sz="4" w:space="0"/>
            </w:tcBorders>
            <w:vAlign w:val="center"/>
          </w:tcPr>
          <w:p w14:paraId="7C9B6C61">
            <w:pPr>
              <w:tabs>
                <w:tab w:val="left" w:pos="180"/>
                <w:tab w:val="left" w:pos="1620"/>
              </w:tabs>
              <w:spacing w:line="300" w:lineRule="exact"/>
              <w:jc w:val="center"/>
              <w:rPr>
                <w:rFonts w:hint="eastAsia" w:ascii="宋体" w:hAnsi="宋体"/>
                <w:color w:val="auto"/>
                <w:szCs w:val="21"/>
              </w:rPr>
            </w:pPr>
            <w:r>
              <w:rPr>
                <w:rFonts w:hint="eastAsia" w:ascii="宋体" w:hAnsi="宋体"/>
                <w:color w:val="auto"/>
                <w:szCs w:val="21"/>
              </w:rPr>
              <w:t>技术参数及性能（规格）</w:t>
            </w:r>
          </w:p>
        </w:tc>
        <w:tc>
          <w:tcPr>
            <w:tcW w:w="1701" w:type="dxa"/>
            <w:tcBorders>
              <w:bottom w:val="single" w:color="auto" w:sz="4" w:space="0"/>
            </w:tcBorders>
            <w:vAlign w:val="center"/>
          </w:tcPr>
          <w:p w14:paraId="6DFC5D61">
            <w:pPr>
              <w:tabs>
                <w:tab w:val="left" w:pos="180"/>
                <w:tab w:val="left" w:pos="1620"/>
              </w:tabs>
              <w:spacing w:line="300" w:lineRule="exact"/>
              <w:jc w:val="center"/>
              <w:rPr>
                <w:rFonts w:hint="eastAsia" w:ascii="宋体" w:hAnsi="宋体"/>
                <w:color w:val="auto"/>
                <w:szCs w:val="21"/>
              </w:rPr>
            </w:pPr>
            <w:r>
              <w:rPr>
                <w:rFonts w:hint="eastAsia" w:ascii="宋体" w:hAnsi="宋体"/>
                <w:color w:val="auto"/>
                <w:szCs w:val="21"/>
              </w:rPr>
              <w:t>数量、单位</w:t>
            </w:r>
            <w:r>
              <w:rPr>
                <w:rFonts w:hint="eastAsia" w:hAnsi="宋体"/>
                <w:color w:val="auto"/>
              </w:rPr>
              <w:t>①</w:t>
            </w:r>
          </w:p>
        </w:tc>
        <w:tc>
          <w:tcPr>
            <w:tcW w:w="851" w:type="dxa"/>
            <w:tcBorders>
              <w:bottom w:val="single" w:color="auto" w:sz="4" w:space="0"/>
            </w:tcBorders>
            <w:vAlign w:val="center"/>
          </w:tcPr>
          <w:p w14:paraId="1286FE25">
            <w:pPr>
              <w:tabs>
                <w:tab w:val="left" w:pos="180"/>
                <w:tab w:val="left" w:pos="1620"/>
              </w:tabs>
              <w:spacing w:line="300" w:lineRule="exact"/>
              <w:jc w:val="center"/>
              <w:rPr>
                <w:rFonts w:hint="eastAsia" w:ascii="宋体" w:hAnsi="宋体"/>
                <w:color w:val="auto"/>
                <w:szCs w:val="21"/>
              </w:rPr>
            </w:pPr>
            <w:r>
              <w:rPr>
                <w:rFonts w:hint="eastAsia" w:ascii="宋体" w:hAnsi="宋体"/>
                <w:color w:val="auto"/>
                <w:szCs w:val="21"/>
              </w:rPr>
              <w:t>单价</w:t>
            </w:r>
            <w:r>
              <w:rPr>
                <w:rFonts w:hint="eastAsia" w:hAnsi="宋体"/>
                <w:color w:val="auto"/>
              </w:rPr>
              <w:t>②</w:t>
            </w:r>
          </w:p>
        </w:tc>
        <w:tc>
          <w:tcPr>
            <w:tcW w:w="1340" w:type="dxa"/>
            <w:tcBorders>
              <w:bottom w:val="single" w:color="auto" w:sz="4" w:space="0"/>
            </w:tcBorders>
            <w:vAlign w:val="center"/>
          </w:tcPr>
          <w:p w14:paraId="7005753F">
            <w:pPr>
              <w:spacing w:line="300" w:lineRule="exact"/>
              <w:jc w:val="center"/>
              <w:rPr>
                <w:rFonts w:hint="eastAsia" w:ascii="宋体" w:hAnsi="宋体" w:cs="Courier New"/>
                <w:color w:val="auto"/>
                <w:szCs w:val="21"/>
              </w:rPr>
            </w:pPr>
            <w:r>
              <w:rPr>
                <w:rFonts w:hint="eastAsia" w:ascii="宋体" w:hAnsi="宋体" w:cs="Courier New"/>
                <w:color w:val="auto"/>
                <w:szCs w:val="21"/>
              </w:rPr>
              <w:t>单项合价</w:t>
            </w:r>
          </w:p>
          <w:p w14:paraId="6A4FFA08">
            <w:pPr>
              <w:spacing w:line="300" w:lineRule="exact"/>
              <w:jc w:val="center"/>
              <w:rPr>
                <w:rFonts w:hint="eastAsia" w:ascii="宋体" w:hAnsi="宋体" w:cs="Courier New"/>
                <w:color w:val="auto"/>
                <w:szCs w:val="21"/>
              </w:rPr>
            </w:pPr>
            <w:r>
              <w:rPr>
                <w:rFonts w:hint="eastAsia" w:ascii="宋体" w:hAnsi="宋体" w:cs="Courier New"/>
                <w:color w:val="auto"/>
                <w:szCs w:val="21"/>
              </w:rPr>
              <w:t>③</w:t>
            </w:r>
            <w:r>
              <w:rPr>
                <w:rFonts w:ascii="宋体" w:hAnsi="宋体" w:cs="Courier New"/>
                <w:color w:val="auto"/>
                <w:szCs w:val="21"/>
              </w:rPr>
              <w:t>=</w:t>
            </w:r>
            <w:r>
              <w:rPr>
                <w:rFonts w:hint="eastAsia" w:ascii="宋体" w:hAnsi="宋体" w:cs="Courier New"/>
                <w:color w:val="auto"/>
                <w:szCs w:val="21"/>
              </w:rPr>
              <w:t>①×②</w:t>
            </w:r>
          </w:p>
        </w:tc>
      </w:tr>
      <w:tr w14:paraId="05C5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2A08716E">
            <w:pPr>
              <w:spacing w:line="440" w:lineRule="exact"/>
              <w:ind w:right="-34" w:rightChars="-16"/>
              <w:jc w:val="center"/>
              <w:rPr>
                <w:rFonts w:hint="eastAsia" w:ascii="宋体" w:hAnsi="宋体"/>
                <w:color w:val="auto"/>
                <w:sz w:val="24"/>
              </w:rPr>
            </w:pPr>
            <w:r>
              <w:rPr>
                <w:rFonts w:hint="eastAsia" w:ascii="宋体" w:hAnsi="宋体"/>
                <w:color w:val="auto"/>
                <w:sz w:val="24"/>
              </w:rPr>
              <w:t>1</w:t>
            </w:r>
          </w:p>
        </w:tc>
        <w:tc>
          <w:tcPr>
            <w:tcW w:w="1145" w:type="dxa"/>
            <w:vAlign w:val="center"/>
          </w:tcPr>
          <w:p w14:paraId="699D5E06">
            <w:pPr>
              <w:spacing w:line="440" w:lineRule="exact"/>
              <w:ind w:firstLine="33" w:firstLineChars="16"/>
              <w:jc w:val="center"/>
              <w:rPr>
                <w:rFonts w:hint="eastAsia" w:ascii="宋体" w:hAnsi="宋体"/>
                <w:color w:val="auto"/>
              </w:rPr>
            </w:pPr>
          </w:p>
        </w:tc>
        <w:tc>
          <w:tcPr>
            <w:tcW w:w="698" w:type="dxa"/>
            <w:vAlign w:val="center"/>
          </w:tcPr>
          <w:p w14:paraId="6249A50D">
            <w:pPr>
              <w:spacing w:line="440" w:lineRule="exact"/>
              <w:ind w:firstLine="35" w:firstLineChars="17"/>
              <w:jc w:val="center"/>
              <w:rPr>
                <w:rFonts w:hint="eastAsia" w:ascii="宋体" w:hAnsi="宋体"/>
                <w:color w:val="auto"/>
              </w:rPr>
            </w:pPr>
          </w:p>
        </w:tc>
        <w:tc>
          <w:tcPr>
            <w:tcW w:w="709" w:type="dxa"/>
            <w:vAlign w:val="center"/>
          </w:tcPr>
          <w:p w14:paraId="640A5848">
            <w:pPr>
              <w:spacing w:line="440" w:lineRule="exact"/>
              <w:jc w:val="center"/>
              <w:rPr>
                <w:rFonts w:hint="eastAsia" w:ascii="宋体" w:hAnsi="宋体"/>
                <w:color w:val="auto"/>
              </w:rPr>
            </w:pPr>
          </w:p>
        </w:tc>
        <w:tc>
          <w:tcPr>
            <w:tcW w:w="708" w:type="dxa"/>
            <w:vAlign w:val="center"/>
          </w:tcPr>
          <w:p w14:paraId="668D8D38">
            <w:pPr>
              <w:spacing w:line="440" w:lineRule="exact"/>
              <w:ind w:firstLine="23" w:firstLineChars="11"/>
              <w:jc w:val="center"/>
              <w:rPr>
                <w:rFonts w:hint="eastAsia" w:ascii="宋体" w:hAnsi="宋体"/>
                <w:color w:val="auto"/>
              </w:rPr>
            </w:pPr>
          </w:p>
        </w:tc>
        <w:tc>
          <w:tcPr>
            <w:tcW w:w="1701" w:type="dxa"/>
            <w:vAlign w:val="center"/>
          </w:tcPr>
          <w:p w14:paraId="7C19B1C8">
            <w:pPr>
              <w:spacing w:line="440" w:lineRule="exact"/>
              <w:ind w:firstLine="23" w:firstLineChars="11"/>
              <w:jc w:val="center"/>
              <w:rPr>
                <w:rFonts w:hint="eastAsia" w:ascii="宋体" w:hAnsi="宋体"/>
                <w:color w:val="auto"/>
              </w:rPr>
            </w:pPr>
          </w:p>
        </w:tc>
        <w:tc>
          <w:tcPr>
            <w:tcW w:w="1701" w:type="dxa"/>
            <w:vAlign w:val="center"/>
          </w:tcPr>
          <w:p w14:paraId="40CDF136">
            <w:pPr>
              <w:spacing w:line="440" w:lineRule="exact"/>
              <w:jc w:val="center"/>
              <w:rPr>
                <w:rFonts w:hint="eastAsia" w:ascii="宋体" w:hAnsi="宋体"/>
                <w:color w:val="auto"/>
              </w:rPr>
            </w:pPr>
          </w:p>
        </w:tc>
        <w:tc>
          <w:tcPr>
            <w:tcW w:w="851" w:type="dxa"/>
            <w:vAlign w:val="center"/>
          </w:tcPr>
          <w:p w14:paraId="3CDAFFEC">
            <w:pPr>
              <w:spacing w:line="440" w:lineRule="exact"/>
              <w:jc w:val="center"/>
              <w:rPr>
                <w:rFonts w:hint="eastAsia" w:ascii="宋体" w:hAnsi="宋体"/>
                <w:color w:val="auto"/>
              </w:rPr>
            </w:pPr>
          </w:p>
        </w:tc>
        <w:tc>
          <w:tcPr>
            <w:tcW w:w="1340" w:type="dxa"/>
            <w:vAlign w:val="center"/>
          </w:tcPr>
          <w:p w14:paraId="3D5471B9">
            <w:pPr>
              <w:spacing w:line="440" w:lineRule="exact"/>
              <w:jc w:val="center"/>
              <w:rPr>
                <w:rFonts w:hint="eastAsia" w:ascii="宋体" w:hAnsi="宋体"/>
                <w:color w:val="auto"/>
              </w:rPr>
            </w:pPr>
          </w:p>
        </w:tc>
      </w:tr>
      <w:tr w14:paraId="6074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390C33EC">
            <w:pPr>
              <w:spacing w:line="440" w:lineRule="exact"/>
              <w:jc w:val="center"/>
              <w:rPr>
                <w:rFonts w:hint="eastAsia" w:ascii="宋体" w:hAnsi="宋体"/>
                <w:color w:val="auto"/>
                <w:sz w:val="24"/>
              </w:rPr>
            </w:pPr>
            <w:r>
              <w:rPr>
                <w:rFonts w:hint="eastAsia" w:ascii="宋体" w:hAnsi="宋体"/>
                <w:color w:val="auto"/>
                <w:sz w:val="24"/>
              </w:rPr>
              <w:t>2</w:t>
            </w:r>
          </w:p>
        </w:tc>
        <w:tc>
          <w:tcPr>
            <w:tcW w:w="1145" w:type="dxa"/>
            <w:vAlign w:val="center"/>
          </w:tcPr>
          <w:p w14:paraId="2960F5B7">
            <w:pPr>
              <w:spacing w:line="440" w:lineRule="exact"/>
              <w:ind w:firstLine="33" w:firstLineChars="16"/>
              <w:jc w:val="center"/>
              <w:rPr>
                <w:rFonts w:hint="eastAsia" w:ascii="宋体" w:hAnsi="宋体"/>
                <w:color w:val="auto"/>
              </w:rPr>
            </w:pPr>
          </w:p>
        </w:tc>
        <w:tc>
          <w:tcPr>
            <w:tcW w:w="698" w:type="dxa"/>
            <w:vAlign w:val="center"/>
          </w:tcPr>
          <w:p w14:paraId="2FC9D32B">
            <w:pPr>
              <w:spacing w:line="440" w:lineRule="exact"/>
              <w:ind w:firstLine="35" w:firstLineChars="17"/>
              <w:jc w:val="center"/>
              <w:rPr>
                <w:rFonts w:hint="eastAsia" w:ascii="宋体" w:hAnsi="宋体"/>
                <w:color w:val="auto"/>
              </w:rPr>
            </w:pPr>
          </w:p>
        </w:tc>
        <w:tc>
          <w:tcPr>
            <w:tcW w:w="709" w:type="dxa"/>
            <w:vAlign w:val="center"/>
          </w:tcPr>
          <w:p w14:paraId="0D73338C">
            <w:pPr>
              <w:spacing w:line="440" w:lineRule="exact"/>
              <w:jc w:val="center"/>
              <w:rPr>
                <w:rFonts w:hint="eastAsia" w:ascii="宋体" w:hAnsi="宋体"/>
                <w:color w:val="auto"/>
              </w:rPr>
            </w:pPr>
          </w:p>
        </w:tc>
        <w:tc>
          <w:tcPr>
            <w:tcW w:w="708" w:type="dxa"/>
            <w:vAlign w:val="center"/>
          </w:tcPr>
          <w:p w14:paraId="06B5FADD">
            <w:pPr>
              <w:spacing w:line="440" w:lineRule="exact"/>
              <w:ind w:firstLine="23" w:firstLineChars="11"/>
              <w:jc w:val="center"/>
              <w:rPr>
                <w:rFonts w:hint="eastAsia" w:ascii="宋体" w:hAnsi="宋体"/>
                <w:color w:val="auto"/>
              </w:rPr>
            </w:pPr>
          </w:p>
        </w:tc>
        <w:tc>
          <w:tcPr>
            <w:tcW w:w="1701" w:type="dxa"/>
            <w:vAlign w:val="center"/>
          </w:tcPr>
          <w:p w14:paraId="32080939">
            <w:pPr>
              <w:spacing w:line="440" w:lineRule="exact"/>
              <w:ind w:firstLine="23" w:firstLineChars="11"/>
              <w:jc w:val="center"/>
              <w:rPr>
                <w:rFonts w:hint="eastAsia" w:ascii="宋体" w:hAnsi="宋体"/>
                <w:color w:val="auto"/>
              </w:rPr>
            </w:pPr>
          </w:p>
        </w:tc>
        <w:tc>
          <w:tcPr>
            <w:tcW w:w="1701" w:type="dxa"/>
            <w:vAlign w:val="center"/>
          </w:tcPr>
          <w:p w14:paraId="6C1C293D">
            <w:pPr>
              <w:spacing w:line="440" w:lineRule="exact"/>
              <w:jc w:val="center"/>
              <w:rPr>
                <w:rFonts w:hint="eastAsia" w:ascii="宋体" w:hAnsi="宋体"/>
                <w:color w:val="auto"/>
              </w:rPr>
            </w:pPr>
          </w:p>
        </w:tc>
        <w:tc>
          <w:tcPr>
            <w:tcW w:w="851" w:type="dxa"/>
            <w:vAlign w:val="center"/>
          </w:tcPr>
          <w:p w14:paraId="52842CBD">
            <w:pPr>
              <w:spacing w:line="440" w:lineRule="exact"/>
              <w:jc w:val="center"/>
              <w:rPr>
                <w:rFonts w:hint="eastAsia" w:ascii="宋体" w:hAnsi="宋体"/>
                <w:color w:val="auto"/>
              </w:rPr>
            </w:pPr>
          </w:p>
        </w:tc>
        <w:tc>
          <w:tcPr>
            <w:tcW w:w="1340" w:type="dxa"/>
            <w:vAlign w:val="center"/>
          </w:tcPr>
          <w:p w14:paraId="5E9BD4C6">
            <w:pPr>
              <w:spacing w:line="440" w:lineRule="exact"/>
              <w:jc w:val="center"/>
              <w:rPr>
                <w:rFonts w:hint="eastAsia" w:ascii="宋体" w:hAnsi="宋体"/>
                <w:color w:val="auto"/>
              </w:rPr>
            </w:pPr>
          </w:p>
        </w:tc>
      </w:tr>
      <w:tr w14:paraId="3ECA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664F5375">
            <w:pPr>
              <w:spacing w:line="440" w:lineRule="exact"/>
              <w:jc w:val="center"/>
              <w:rPr>
                <w:rFonts w:hint="eastAsia" w:ascii="宋体" w:hAnsi="宋体"/>
                <w:color w:val="auto"/>
                <w:sz w:val="24"/>
              </w:rPr>
            </w:pPr>
            <w:r>
              <w:rPr>
                <w:rFonts w:hint="eastAsia" w:ascii="宋体" w:hAnsi="宋体"/>
                <w:color w:val="auto"/>
                <w:sz w:val="24"/>
              </w:rPr>
              <w:t>3</w:t>
            </w:r>
          </w:p>
        </w:tc>
        <w:tc>
          <w:tcPr>
            <w:tcW w:w="1145" w:type="dxa"/>
            <w:vAlign w:val="center"/>
          </w:tcPr>
          <w:p w14:paraId="6F7AF774">
            <w:pPr>
              <w:spacing w:line="440" w:lineRule="exact"/>
              <w:ind w:firstLine="33" w:firstLineChars="16"/>
              <w:jc w:val="center"/>
              <w:rPr>
                <w:rFonts w:hint="eastAsia" w:ascii="宋体" w:hAnsi="宋体"/>
                <w:color w:val="auto"/>
              </w:rPr>
            </w:pPr>
          </w:p>
        </w:tc>
        <w:tc>
          <w:tcPr>
            <w:tcW w:w="698" w:type="dxa"/>
            <w:vAlign w:val="center"/>
          </w:tcPr>
          <w:p w14:paraId="512A3135">
            <w:pPr>
              <w:spacing w:line="440" w:lineRule="exact"/>
              <w:ind w:firstLine="35" w:firstLineChars="17"/>
              <w:jc w:val="center"/>
              <w:rPr>
                <w:rFonts w:hint="eastAsia" w:ascii="宋体" w:hAnsi="宋体"/>
                <w:color w:val="auto"/>
              </w:rPr>
            </w:pPr>
          </w:p>
        </w:tc>
        <w:tc>
          <w:tcPr>
            <w:tcW w:w="709" w:type="dxa"/>
            <w:vAlign w:val="center"/>
          </w:tcPr>
          <w:p w14:paraId="5884141B">
            <w:pPr>
              <w:spacing w:line="440" w:lineRule="exact"/>
              <w:jc w:val="center"/>
              <w:rPr>
                <w:rFonts w:hint="eastAsia" w:ascii="宋体" w:hAnsi="宋体"/>
                <w:color w:val="auto"/>
              </w:rPr>
            </w:pPr>
          </w:p>
        </w:tc>
        <w:tc>
          <w:tcPr>
            <w:tcW w:w="708" w:type="dxa"/>
            <w:vAlign w:val="center"/>
          </w:tcPr>
          <w:p w14:paraId="3EC94793">
            <w:pPr>
              <w:spacing w:line="440" w:lineRule="exact"/>
              <w:ind w:firstLine="23" w:firstLineChars="11"/>
              <w:jc w:val="center"/>
              <w:rPr>
                <w:rFonts w:hint="eastAsia" w:ascii="宋体" w:hAnsi="宋体"/>
                <w:color w:val="auto"/>
              </w:rPr>
            </w:pPr>
          </w:p>
        </w:tc>
        <w:tc>
          <w:tcPr>
            <w:tcW w:w="1701" w:type="dxa"/>
            <w:vAlign w:val="center"/>
          </w:tcPr>
          <w:p w14:paraId="7EDD0EE7">
            <w:pPr>
              <w:spacing w:line="440" w:lineRule="exact"/>
              <w:ind w:firstLine="23" w:firstLineChars="11"/>
              <w:jc w:val="center"/>
              <w:rPr>
                <w:rFonts w:hint="eastAsia" w:ascii="宋体" w:hAnsi="宋体"/>
                <w:color w:val="auto"/>
              </w:rPr>
            </w:pPr>
          </w:p>
        </w:tc>
        <w:tc>
          <w:tcPr>
            <w:tcW w:w="1701" w:type="dxa"/>
            <w:vAlign w:val="center"/>
          </w:tcPr>
          <w:p w14:paraId="3934A8CC">
            <w:pPr>
              <w:spacing w:line="440" w:lineRule="exact"/>
              <w:jc w:val="center"/>
              <w:rPr>
                <w:rFonts w:hint="eastAsia" w:ascii="宋体" w:hAnsi="宋体"/>
                <w:color w:val="auto"/>
              </w:rPr>
            </w:pPr>
          </w:p>
        </w:tc>
        <w:tc>
          <w:tcPr>
            <w:tcW w:w="851" w:type="dxa"/>
            <w:vAlign w:val="center"/>
          </w:tcPr>
          <w:p w14:paraId="40E2D112">
            <w:pPr>
              <w:spacing w:line="440" w:lineRule="exact"/>
              <w:jc w:val="center"/>
              <w:rPr>
                <w:rFonts w:hint="eastAsia" w:ascii="宋体" w:hAnsi="宋体"/>
                <w:color w:val="auto"/>
              </w:rPr>
            </w:pPr>
          </w:p>
        </w:tc>
        <w:tc>
          <w:tcPr>
            <w:tcW w:w="1340" w:type="dxa"/>
            <w:vAlign w:val="center"/>
          </w:tcPr>
          <w:p w14:paraId="72826CAC">
            <w:pPr>
              <w:spacing w:line="440" w:lineRule="exact"/>
              <w:jc w:val="center"/>
              <w:rPr>
                <w:rFonts w:hint="eastAsia" w:ascii="宋体" w:hAnsi="宋体"/>
                <w:color w:val="auto"/>
              </w:rPr>
            </w:pPr>
          </w:p>
        </w:tc>
      </w:tr>
      <w:tr w14:paraId="4851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754CFF1D">
            <w:pPr>
              <w:spacing w:line="440" w:lineRule="exact"/>
              <w:jc w:val="center"/>
              <w:rPr>
                <w:rFonts w:hint="eastAsia" w:ascii="宋体" w:hAnsi="宋体"/>
                <w:color w:val="auto"/>
                <w:sz w:val="24"/>
              </w:rPr>
            </w:pPr>
            <w:r>
              <w:rPr>
                <w:rFonts w:ascii="宋体" w:hAnsi="宋体"/>
                <w:color w:val="auto"/>
                <w:sz w:val="24"/>
              </w:rPr>
              <w:t>…</w:t>
            </w:r>
          </w:p>
        </w:tc>
        <w:tc>
          <w:tcPr>
            <w:tcW w:w="1145" w:type="dxa"/>
            <w:vAlign w:val="center"/>
          </w:tcPr>
          <w:p w14:paraId="78296072">
            <w:pPr>
              <w:spacing w:line="440" w:lineRule="exact"/>
              <w:ind w:firstLine="33" w:firstLineChars="16"/>
              <w:jc w:val="center"/>
              <w:rPr>
                <w:rFonts w:hint="eastAsia" w:ascii="宋体" w:hAnsi="宋体"/>
                <w:color w:val="auto"/>
              </w:rPr>
            </w:pPr>
          </w:p>
        </w:tc>
        <w:tc>
          <w:tcPr>
            <w:tcW w:w="698" w:type="dxa"/>
            <w:vAlign w:val="center"/>
          </w:tcPr>
          <w:p w14:paraId="601E98A8">
            <w:pPr>
              <w:spacing w:line="440" w:lineRule="exact"/>
              <w:ind w:firstLine="35" w:firstLineChars="17"/>
              <w:jc w:val="center"/>
              <w:rPr>
                <w:rFonts w:hint="eastAsia" w:ascii="宋体" w:hAnsi="宋体"/>
                <w:color w:val="auto"/>
              </w:rPr>
            </w:pPr>
          </w:p>
        </w:tc>
        <w:tc>
          <w:tcPr>
            <w:tcW w:w="709" w:type="dxa"/>
            <w:vAlign w:val="center"/>
          </w:tcPr>
          <w:p w14:paraId="2E7CE5A5">
            <w:pPr>
              <w:spacing w:line="440" w:lineRule="exact"/>
              <w:jc w:val="center"/>
              <w:rPr>
                <w:rFonts w:hint="eastAsia" w:ascii="宋体" w:hAnsi="宋体"/>
                <w:color w:val="auto"/>
              </w:rPr>
            </w:pPr>
          </w:p>
        </w:tc>
        <w:tc>
          <w:tcPr>
            <w:tcW w:w="708" w:type="dxa"/>
            <w:vAlign w:val="center"/>
          </w:tcPr>
          <w:p w14:paraId="62A492DE">
            <w:pPr>
              <w:spacing w:line="440" w:lineRule="exact"/>
              <w:ind w:firstLine="23" w:firstLineChars="11"/>
              <w:jc w:val="center"/>
              <w:rPr>
                <w:rFonts w:hint="eastAsia" w:ascii="宋体" w:hAnsi="宋体"/>
                <w:color w:val="auto"/>
              </w:rPr>
            </w:pPr>
          </w:p>
        </w:tc>
        <w:tc>
          <w:tcPr>
            <w:tcW w:w="1701" w:type="dxa"/>
            <w:vAlign w:val="center"/>
          </w:tcPr>
          <w:p w14:paraId="778ADE1C">
            <w:pPr>
              <w:spacing w:line="440" w:lineRule="exact"/>
              <w:ind w:firstLine="23" w:firstLineChars="11"/>
              <w:jc w:val="center"/>
              <w:rPr>
                <w:rFonts w:hint="eastAsia" w:ascii="宋体" w:hAnsi="宋体"/>
                <w:color w:val="auto"/>
              </w:rPr>
            </w:pPr>
          </w:p>
        </w:tc>
        <w:tc>
          <w:tcPr>
            <w:tcW w:w="1701" w:type="dxa"/>
            <w:vAlign w:val="center"/>
          </w:tcPr>
          <w:p w14:paraId="3682FE5E">
            <w:pPr>
              <w:spacing w:line="440" w:lineRule="exact"/>
              <w:jc w:val="center"/>
              <w:rPr>
                <w:rFonts w:hint="eastAsia" w:ascii="宋体" w:hAnsi="宋体"/>
                <w:color w:val="auto"/>
              </w:rPr>
            </w:pPr>
          </w:p>
        </w:tc>
        <w:tc>
          <w:tcPr>
            <w:tcW w:w="851" w:type="dxa"/>
            <w:vAlign w:val="center"/>
          </w:tcPr>
          <w:p w14:paraId="6656896A">
            <w:pPr>
              <w:spacing w:line="440" w:lineRule="exact"/>
              <w:jc w:val="center"/>
              <w:rPr>
                <w:rFonts w:hint="eastAsia" w:ascii="宋体" w:hAnsi="宋体"/>
                <w:color w:val="auto"/>
              </w:rPr>
            </w:pPr>
          </w:p>
        </w:tc>
        <w:tc>
          <w:tcPr>
            <w:tcW w:w="1340" w:type="dxa"/>
            <w:vAlign w:val="center"/>
          </w:tcPr>
          <w:p w14:paraId="0F196B1C">
            <w:pPr>
              <w:spacing w:line="440" w:lineRule="exact"/>
              <w:jc w:val="center"/>
              <w:rPr>
                <w:rFonts w:hint="eastAsia" w:ascii="宋体" w:hAnsi="宋体"/>
                <w:color w:val="auto"/>
              </w:rPr>
            </w:pPr>
          </w:p>
        </w:tc>
      </w:tr>
      <w:tr w14:paraId="12DE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64" w:type="dxa"/>
            <w:gridSpan w:val="9"/>
            <w:vAlign w:val="center"/>
          </w:tcPr>
          <w:p w14:paraId="21B9ADF0">
            <w:pPr>
              <w:spacing w:line="440" w:lineRule="exact"/>
              <w:ind w:firstLine="27" w:firstLineChars="14"/>
              <w:rPr>
                <w:rFonts w:hint="eastAsia" w:ascii="宋体" w:hAnsi="宋体" w:cs="Courier New"/>
                <w:color w:val="auto"/>
                <w:spacing w:val="-6"/>
                <w:szCs w:val="21"/>
              </w:rPr>
            </w:pPr>
            <w:r>
              <w:rPr>
                <w:rFonts w:hint="eastAsia" w:ascii="宋体" w:hAnsi="宋体" w:cs="Courier New"/>
                <w:color w:val="auto"/>
                <w:spacing w:val="-6"/>
                <w:szCs w:val="21"/>
              </w:rPr>
              <w:t>总报价（人民币大写）：</w:t>
            </w:r>
            <w:r>
              <w:rPr>
                <w:rFonts w:hint="eastAsia" w:ascii="宋体" w:hAnsi="宋体" w:cs="Courier New"/>
                <w:color w:val="auto"/>
                <w:spacing w:val="-6"/>
                <w:szCs w:val="21"/>
                <w:u w:val="single"/>
              </w:rPr>
              <w:t xml:space="preserve">                                       </w:t>
            </w:r>
            <w:r>
              <w:rPr>
                <w:rFonts w:hint="eastAsia" w:ascii="宋体" w:hAnsi="宋体" w:cs="Courier New"/>
                <w:color w:val="auto"/>
                <w:spacing w:val="-6"/>
                <w:szCs w:val="21"/>
              </w:rPr>
              <w:t>（￥</w:t>
            </w:r>
            <w:r>
              <w:rPr>
                <w:rFonts w:hint="eastAsia" w:ascii="宋体" w:hAnsi="宋体" w:cs="Courier New"/>
                <w:color w:val="auto"/>
                <w:spacing w:val="-6"/>
                <w:szCs w:val="21"/>
                <w:u w:val="single"/>
              </w:rPr>
              <w:t xml:space="preserve">                       元</w:t>
            </w:r>
            <w:r>
              <w:rPr>
                <w:rFonts w:hint="eastAsia" w:ascii="宋体" w:hAnsi="宋体" w:cs="Courier New"/>
                <w:color w:val="auto"/>
                <w:spacing w:val="-6"/>
                <w:szCs w:val="21"/>
              </w:rPr>
              <w:t>）</w:t>
            </w:r>
          </w:p>
        </w:tc>
      </w:tr>
      <w:bookmarkEnd w:id="132"/>
    </w:tbl>
    <w:p w14:paraId="1EC0CEEC">
      <w:pPr>
        <w:spacing w:line="440" w:lineRule="exact"/>
        <w:rPr>
          <w:rFonts w:hint="eastAsia" w:ascii="宋体" w:hAnsi="宋体"/>
          <w:color w:val="auto"/>
          <w:szCs w:val="21"/>
        </w:rPr>
      </w:pPr>
      <w:r>
        <w:rPr>
          <w:rFonts w:hint="eastAsia" w:ascii="宋体" w:hAnsi="宋体"/>
          <w:color w:val="auto"/>
          <w:szCs w:val="21"/>
        </w:rPr>
        <w:t>注：1.所有价格均用人民币表示，单位为元，精确到个数位。</w:t>
      </w:r>
    </w:p>
    <w:p w14:paraId="2EFC84AD">
      <w:pPr>
        <w:spacing w:line="440" w:lineRule="exact"/>
        <w:rPr>
          <w:rFonts w:hint="eastAsia" w:ascii="宋体" w:hAnsi="宋体"/>
          <w:color w:val="auto"/>
          <w:szCs w:val="21"/>
        </w:rPr>
      </w:pPr>
      <w:r>
        <w:rPr>
          <w:rFonts w:hint="eastAsia" w:ascii="宋体" w:hAnsi="宋体"/>
          <w:color w:val="auto"/>
          <w:szCs w:val="21"/>
        </w:rPr>
        <w:t xml:space="preserve">    </w:t>
      </w:r>
      <w:r>
        <w:rPr>
          <w:rFonts w:hint="eastAsia" w:ascii="宋体" w:hAnsi="宋体"/>
          <w:bCs/>
          <w:color w:val="auto"/>
          <w:szCs w:val="21"/>
        </w:rPr>
        <w:t>2.总报价应包含货物、货物标准附件、备品备件、专用工具、设备安装辅材、包装、运输、保险等各种费用以及安装、调试、税金、售后服务、技术培训费、更新升级其所有成本费用。</w:t>
      </w:r>
    </w:p>
    <w:p w14:paraId="2EABF731">
      <w:pPr>
        <w:rPr>
          <w:color w:val="auto"/>
        </w:rPr>
      </w:pPr>
    </w:p>
    <w:p w14:paraId="1F2A2576">
      <w:pPr>
        <w:rPr>
          <w:color w:val="auto"/>
        </w:rPr>
      </w:pPr>
    </w:p>
    <w:p w14:paraId="3F7623C6">
      <w:pPr>
        <w:pStyle w:val="21"/>
        <w:spacing w:line="440" w:lineRule="exact"/>
        <w:ind w:firstLine="3675" w:firstLineChars="1750"/>
        <w:rPr>
          <w:rFonts w:hint="eastAsia" w:hAnsi="宋体"/>
          <w:color w:val="auto"/>
          <w:u w:val="single"/>
        </w:rPr>
      </w:pPr>
    </w:p>
    <w:p w14:paraId="2DCB22ED">
      <w:pPr>
        <w:pStyle w:val="21"/>
        <w:spacing w:line="440" w:lineRule="exact"/>
        <w:ind w:firstLine="3675" w:firstLineChars="1750"/>
        <w:rPr>
          <w:rFonts w:hint="eastAsia" w:hAnsi="宋体"/>
          <w:color w:val="auto"/>
          <w:u w:val="single"/>
        </w:rPr>
      </w:pPr>
      <w:r>
        <w:rPr>
          <w:rFonts w:hint="eastAsia" w:hAnsi="宋体"/>
          <w:color w:val="auto"/>
        </w:rPr>
        <w:t>供应商（盖章）：</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p>
    <w:p w14:paraId="00D38B76">
      <w:pPr>
        <w:spacing w:line="440" w:lineRule="exact"/>
        <w:ind w:firstLine="3675" w:firstLineChars="1750"/>
        <w:rPr>
          <w:rFonts w:hint="eastAsia" w:ascii="宋体" w:hAnsi="宋体"/>
          <w:color w:val="auto"/>
          <w:szCs w:val="21"/>
        </w:rPr>
      </w:pPr>
      <w:r>
        <w:rPr>
          <w:rFonts w:hint="eastAsia" w:hAnsi="宋体"/>
          <w:color w:val="auto"/>
        </w:rPr>
        <w:t>日期：</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日</w:t>
      </w:r>
    </w:p>
    <w:sectPr>
      <w:headerReference r:id="rId8" w:type="default"/>
      <w:footerReference r:id="rId9" w:type="default"/>
      <w:pgSz w:w="11906" w:h="16838"/>
      <w:pgMar w:top="936" w:right="991" w:bottom="1135"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0000000000000000000"/>
    <w:charset w:val="00"/>
    <w:family w:val="swiss"/>
    <w:pitch w:val="default"/>
    <w:sig w:usb0="00000000" w:usb1="00000000" w:usb2="00000000" w:usb3="00000000" w:csb0="2000019F" w:csb1="4F01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Adobe 仿宋 Std R">
    <w:altName w:val="仿宋"/>
    <w:panose1 w:val="00000000000000000000"/>
    <w:charset w:val="86"/>
    <w:family w:val="roman"/>
    <w:pitch w:val="default"/>
    <w:sig w:usb0="00000000" w:usb1="00000000" w:usb2="00000016" w:usb3="00000000" w:csb0="00060007"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6D75">
    <w:pPr>
      <w:pStyle w:val="2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430AE">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17430AE">
                    <w:pPr>
                      <w:pStyle w:val="25"/>
                    </w:pPr>
                    <w:r>
                      <w:fldChar w:fldCharType="begin"/>
                    </w:r>
                    <w:r>
                      <w:instrText xml:space="preserve"> PAGE  \* MERGEFORMAT </w:instrText>
                    </w:r>
                    <w:r>
                      <w:fldChar w:fldCharType="separate"/>
                    </w:r>
                    <w:r>
                      <w:t>1</w:t>
                    </w:r>
                    <w:r>
                      <w:fldChar w:fldCharType="end"/>
                    </w:r>
                  </w:p>
                </w:txbxContent>
              </v:textbox>
            </v:shape>
          </w:pict>
        </mc:Fallback>
      </mc:AlternateContent>
    </w:r>
  </w:p>
  <w:p w14:paraId="35D4CE77">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9B222">
    <w:pPr>
      <w:pStyle w:val="25"/>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2E87A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14:paraId="72E87A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049BE">
    <w:pPr>
      <w:pStyle w:val="2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8A58E">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208A58E">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569ED">
    <w:pPr>
      <w:pStyle w:val="2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4318117C">
                              <w:pPr>
                                <w:pStyle w:val="25"/>
                                <w:jc w:val="center"/>
                              </w:pPr>
                              <w:r>
                                <w:fldChar w:fldCharType="begin"/>
                              </w:r>
                              <w:r>
                                <w:instrText xml:space="preserve">PAGE   \* MERGEFORMAT</w:instrText>
                              </w:r>
                              <w:r>
                                <w:fldChar w:fldCharType="separate"/>
                              </w:r>
                              <w:r>
                                <w:t>23</w:t>
                              </w:r>
                              <w:r>
                                <w:fldChar w:fldCharType="end"/>
                              </w:r>
                            </w:p>
                          </w:sdtContent>
                        </w:sdt>
                        <w:p w14:paraId="0B731F4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
                    </w:sdtPr>
                    <w:sdtContent>
                      <w:p w14:paraId="4318117C">
                        <w:pPr>
                          <w:pStyle w:val="25"/>
                          <w:jc w:val="center"/>
                        </w:pPr>
                        <w:r>
                          <w:fldChar w:fldCharType="begin"/>
                        </w:r>
                        <w:r>
                          <w:instrText xml:space="preserve">PAGE   \* MERGEFORMAT</w:instrText>
                        </w:r>
                        <w:r>
                          <w:fldChar w:fldCharType="separate"/>
                        </w:r>
                        <w:r>
                          <w:t>23</w:t>
                        </w:r>
                        <w:r>
                          <w:fldChar w:fldCharType="end"/>
                        </w:r>
                      </w:p>
                    </w:sdtContent>
                  </w:sdt>
                  <w:p w14:paraId="0B731F41"/>
                </w:txbxContent>
              </v:textbox>
            </v:shape>
          </w:pict>
        </mc:Fallback>
      </mc:AlternateContent>
    </w:r>
  </w:p>
  <w:p w14:paraId="395E5241">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D99EC">
    <w:pPr>
      <w:pStyle w:val="26"/>
      <w:ind w:firstLine="2160" w:firstLineChars="1200"/>
      <w:jc w:val="both"/>
    </w:pPr>
    <w:r>
      <w:rPr>
        <w:rFonts w:hint="eastAsia"/>
        <w:lang w:eastAsia="zh-CN"/>
      </w:rPr>
      <w:t>浦北县第一职业技术学校2024年双优建设项目</w:t>
    </w:r>
    <w:r>
      <w:rPr>
        <w:rFonts w:hint="eastAsia"/>
      </w:rPr>
      <w:t xml:space="preserve"> (</w:t>
    </w:r>
    <w:r>
      <w:rPr>
        <w:rFonts w:hint="eastAsia"/>
        <w:lang w:eastAsia="zh-CN"/>
      </w:rPr>
      <w:t xml:space="preserve">  QZZC2025-J1-220217-QZSZ</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8B78">
    <w:pPr>
      <w:pStyle w:val="26"/>
      <w:ind w:firstLine="540" w:firstLineChars="300"/>
      <w:jc w:val="both"/>
    </w:pPr>
    <w:r>
      <w:rPr>
        <w:rFonts w:hint="eastAsia"/>
        <w:lang w:eastAsia="zh-CN"/>
      </w:rPr>
      <w:t>浦北县第一职业技术学校2024年双优建设项目</w:t>
    </w:r>
    <w:r>
      <w:rPr>
        <w:rFonts w:hint="eastAsia"/>
      </w:rPr>
      <w:t xml:space="preserve"> (</w:t>
    </w:r>
    <w:r>
      <w:rPr>
        <w:rFonts w:hint="eastAsia"/>
        <w:lang w:eastAsia="zh-CN"/>
      </w:rPr>
      <w:t>QZZC2025-J1-220217-QZSZ</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6332">
    <w:pPr>
      <w:pStyle w:val="26"/>
      <w:ind w:firstLine="1080" w:firstLineChars="600"/>
      <w:jc w:val="both"/>
    </w:pPr>
    <w:r>
      <w:rPr>
        <w:rFonts w:hint="eastAsia"/>
        <w:lang w:eastAsia="zh-CN"/>
      </w:rPr>
      <w:t>浦北县第一职业技术学校2024年双优建设项目</w:t>
    </w:r>
    <w:r>
      <w:rPr>
        <w:rFonts w:hint="eastAsia"/>
      </w:rPr>
      <w:t xml:space="preserve"> (</w:t>
    </w:r>
    <w:r>
      <w:rPr>
        <w:rFonts w:hint="eastAsia"/>
        <w:lang w:eastAsia="zh-CN"/>
      </w:rPr>
      <w:t xml:space="preserve">  QZZC2025-J1-220217-QZSZ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AF64DDF"/>
    <w:multiLevelType w:val="singleLevel"/>
    <w:tmpl w:val="CAF64DDF"/>
    <w:lvl w:ilvl="0" w:tentative="0">
      <w:start w:val="4"/>
      <w:numFmt w:val="chineseCounting"/>
      <w:suff w:val="nothing"/>
      <w:lvlText w:val="%1、"/>
      <w:lvlJc w:val="left"/>
      <w:rPr>
        <w:rFonts w:hint="eastAsia"/>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7"/>
    <w:multiLevelType w:val="multilevel"/>
    <w:tmpl w:val="00000007"/>
    <w:lvl w:ilvl="0" w:tentative="0">
      <w:start w:val="1"/>
      <w:numFmt w:val="chineseCountingThousand"/>
      <w:pStyle w:val="19"/>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8">
    <w:nsid w:val="6EE4D402"/>
    <w:multiLevelType w:val="singleLevel"/>
    <w:tmpl w:val="6EE4D402"/>
    <w:lvl w:ilvl="0" w:tentative="0">
      <w:start w:val="1"/>
      <w:numFmt w:val="decimal"/>
      <w:lvlText w:val="%1."/>
      <w:lvlJc w:val="left"/>
      <w:pPr>
        <w:tabs>
          <w:tab w:val="left" w:pos="312"/>
        </w:tabs>
      </w:pPr>
    </w:lvl>
  </w:abstractNum>
  <w:abstractNum w:abstractNumId="9">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8"/>
  </w:num>
  <w:num w:numId="4">
    <w:abstractNumId w:val="9"/>
  </w:num>
  <w:num w:numId="5">
    <w:abstractNumId w:val="2"/>
  </w:num>
  <w:num w:numId="6">
    <w:abstractNumId w:val="6"/>
  </w:num>
  <w:num w:numId="7">
    <w:abstractNumId w:val="4"/>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zNDNhMDYxZDRlNDM0MjMzM2NmYWYwMDk2OWE0MTQifQ=="/>
    <w:docVar w:name="KSO_WPS_MARK_KEY" w:val="4327d736-5e14-4c10-a129-6da11502fcfe"/>
  </w:docVars>
  <w:rsids>
    <w:rsidRoot w:val="00172A27"/>
    <w:rsid w:val="000001F4"/>
    <w:rsid w:val="0000046D"/>
    <w:rsid w:val="000009A4"/>
    <w:rsid w:val="0000182C"/>
    <w:rsid w:val="00001C30"/>
    <w:rsid w:val="00001F66"/>
    <w:rsid w:val="000027DB"/>
    <w:rsid w:val="0000296D"/>
    <w:rsid w:val="00002E66"/>
    <w:rsid w:val="0000330D"/>
    <w:rsid w:val="00003781"/>
    <w:rsid w:val="00003F3C"/>
    <w:rsid w:val="0000486E"/>
    <w:rsid w:val="00004CB0"/>
    <w:rsid w:val="00004CDE"/>
    <w:rsid w:val="00005328"/>
    <w:rsid w:val="000059D3"/>
    <w:rsid w:val="000066F9"/>
    <w:rsid w:val="00007E2F"/>
    <w:rsid w:val="00007E51"/>
    <w:rsid w:val="000104B5"/>
    <w:rsid w:val="00010774"/>
    <w:rsid w:val="00010E05"/>
    <w:rsid w:val="00012061"/>
    <w:rsid w:val="000123EC"/>
    <w:rsid w:val="00013AC8"/>
    <w:rsid w:val="00013C7F"/>
    <w:rsid w:val="00014132"/>
    <w:rsid w:val="00014488"/>
    <w:rsid w:val="00016829"/>
    <w:rsid w:val="00017A2B"/>
    <w:rsid w:val="00020517"/>
    <w:rsid w:val="000207E1"/>
    <w:rsid w:val="00020DBA"/>
    <w:rsid w:val="00021054"/>
    <w:rsid w:val="000216CC"/>
    <w:rsid w:val="00022909"/>
    <w:rsid w:val="00022CE2"/>
    <w:rsid w:val="000248E5"/>
    <w:rsid w:val="0002594F"/>
    <w:rsid w:val="00025985"/>
    <w:rsid w:val="00025AC0"/>
    <w:rsid w:val="000272D2"/>
    <w:rsid w:val="0002754E"/>
    <w:rsid w:val="00027BD3"/>
    <w:rsid w:val="00032229"/>
    <w:rsid w:val="00032A59"/>
    <w:rsid w:val="00032B1F"/>
    <w:rsid w:val="00032F50"/>
    <w:rsid w:val="00033214"/>
    <w:rsid w:val="00033587"/>
    <w:rsid w:val="000344F4"/>
    <w:rsid w:val="0003479C"/>
    <w:rsid w:val="00034B7D"/>
    <w:rsid w:val="00035002"/>
    <w:rsid w:val="0003509E"/>
    <w:rsid w:val="000369F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5285"/>
    <w:rsid w:val="0004535A"/>
    <w:rsid w:val="00045D3B"/>
    <w:rsid w:val="00050908"/>
    <w:rsid w:val="00050B4D"/>
    <w:rsid w:val="000521BA"/>
    <w:rsid w:val="00053067"/>
    <w:rsid w:val="000530C2"/>
    <w:rsid w:val="00053FFD"/>
    <w:rsid w:val="00054058"/>
    <w:rsid w:val="000548EF"/>
    <w:rsid w:val="00054D61"/>
    <w:rsid w:val="00054F2A"/>
    <w:rsid w:val="0005526A"/>
    <w:rsid w:val="00055319"/>
    <w:rsid w:val="00055AA6"/>
    <w:rsid w:val="0005758A"/>
    <w:rsid w:val="000576C1"/>
    <w:rsid w:val="00060064"/>
    <w:rsid w:val="0006170C"/>
    <w:rsid w:val="00061972"/>
    <w:rsid w:val="00061AC4"/>
    <w:rsid w:val="00063151"/>
    <w:rsid w:val="00063CE9"/>
    <w:rsid w:val="00064127"/>
    <w:rsid w:val="0006432D"/>
    <w:rsid w:val="00064B46"/>
    <w:rsid w:val="00064E81"/>
    <w:rsid w:val="000656B5"/>
    <w:rsid w:val="00065CA3"/>
    <w:rsid w:val="0006633A"/>
    <w:rsid w:val="0006699C"/>
    <w:rsid w:val="000670F3"/>
    <w:rsid w:val="000675EC"/>
    <w:rsid w:val="00067C97"/>
    <w:rsid w:val="000709DB"/>
    <w:rsid w:val="000714E8"/>
    <w:rsid w:val="00071DBC"/>
    <w:rsid w:val="000725F2"/>
    <w:rsid w:val="00072665"/>
    <w:rsid w:val="0007297B"/>
    <w:rsid w:val="00072ABB"/>
    <w:rsid w:val="0007345C"/>
    <w:rsid w:val="00074159"/>
    <w:rsid w:val="000749B7"/>
    <w:rsid w:val="000753D2"/>
    <w:rsid w:val="00075494"/>
    <w:rsid w:val="0007550C"/>
    <w:rsid w:val="00075C45"/>
    <w:rsid w:val="00076CDB"/>
    <w:rsid w:val="0007737B"/>
    <w:rsid w:val="00077E54"/>
    <w:rsid w:val="00080873"/>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C1"/>
    <w:rsid w:val="00092839"/>
    <w:rsid w:val="00093C1A"/>
    <w:rsid w:val="00093E79"/>
    <w:rsid w:val="00094441"/>
    <w:rsid w:val="00094BC6"/>
    <w:rsid w:val="00094C47"/>
    <w:rsid w:val="000953A5"/>
    <w:rsid w:val="000963F4"/>
    <w:rsid w:val="00096670"/>
    <w:rsid w:val="00096B4A"/>
    <w:rsid w:val="00096DE8"/>
    <w:rsid w:val="000A0911"/>
    <w:rsid w:val="000A139A"/>
    <w:rsid w:val="000A2431"/>
    <w:rsid w:val="000A2A30"/>
    <w:rsid w:val="000A358F"/>
    <w:rsid w:val="000A38A0"/>
    <w:rsid w:val="000A3C64"/>
    <w:rsid w:val="000A4362"/>
    <w:rsid w:val="000A61B8"/>
    <w:rsid w:val="000A62BD"/>
    <w:rsid w:val="000A6603"/>
    <w:rsid w:val="000A679A"/>
    <w:rsid w:val="000A6972"/>
    <w:rsid w:val="000A6A7F"/>
    <w:rsid w:val="000A6F98"/>
    <w:rsid w:val="000A74E0"/>
    <w:rsid w:val="000A74F6"/>
    <w:rsid w:val="000A7B98"/>
    <w:rsid w:val="000B1427"/>
    <w:rsid w:val="000B1905"/>
    <w:rsid w:val="000B1CCA"/>
    <w:rsid w:val="000B200B"/>
    <w:rsid w:val="000B2684"/>
    <w:rsid w:val="000B2AB7"/>
    <w:rsid w:val="000B2F6F"/>
    <w:rsid w:val="000B3976"/>
    <w:rsid w:val="000B3C2D"/>
    <w:rsid w:val="000B46A8"/>
    <w:rsid w:val="000B470D"/>
    <w:rsid w:val="000B4E66"/>
    <w:rsid w:val="000B5395"/>
    <w:rsid w:val="000B578F"/>
    <w:rsid w:val="000B62CB"/>
    <w:rsid w:val="000B6350"/>
    <w:rsid w:val="000B678F"/>
    <w:rsid w:val="000B6FEF"/>
    <w:rsid w:val="000B7F9A"/>
    <w:rsid w:val="000C0328"/>
    <w:rsid w:val="000C03D4"/>
    <w:rsid w:val="000C0864"/>
    <w:rsid w:val="000C0B96"/>
    <w:rsid w:val="000C0D86"/>
    <w:rsid w:val="000C1621"/>
    <w:rsid w:val="000C1CD7"/>
    <w:rsid w:val="000C2778"/>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1274"/>
    <w:rsid w:val="000D1597"/>
    <w:rsid w:val="000D16A7"/>
    <w:rsid w:val="000D1C6A"/>
    <w:rsid w:val="000D1F8D"/>
    <w:rsid w:val="000D22BD"/>
    <w:rsid w:val="000D26E7"/>
    <w:rsid w:val="000D42CA"/>
    <w:rsid w:val="000D53F2"/>
    <w:rsid w:val="000D55C4"/>
    <w:rsid w:val="000D5748"/>
    <w:rsid w:val="000D5C5C"/>
    <w:rsid w:val="000D5C8A"/>
    <w:rsid w:val="000D6A24"/>
    <w:rsid w:val="000D6C9D"/>
    <w:rsid w:val="000D78E6"/>
    <w:rsid w:val="000E0487"/>
    <w:rsid w:val="000E285B"/>
    <w:rsid w:val="000E545D"/>
    <w:rsid w:val="000E660E"/>
    <w:rsid w:val="000E6EBD"/>
    <w:rsid w:val="000F0150"/>
    <w:rsid w:val="000F03FE"/>
    <w:rsid w:val="000F152C"/>
    <w:rsid w:val="000F17C9"/>
    <w:rsid w:val="000F3668"/>
    <w:rsid w:val="000F383E"/>
    <w:rsid w:val="000F38CF"/>
    <w:rsid w:val="000F3F16"/>
    <w:rsid w:val="000F449F"/>
    <w:rsid w:val="000F48C9"/>
    <w:rsid w:val="000F6024"/>
    <w:rsid w:val="00100A2B"/>
    <w:rsid w:val="00100B14"/>
    <w:rsid w:val="0010174C"/>
    <w:rsid w:val="0010201F"/>
    <w:rsid w:val="0010254F"/>
    <w:rsid w:val="00102B73"/>
    <w:rsid w:val="00102C51"/>
    <w:rsid w:val="00103216"/>
    <w:rsid w:val="0010330D"/>
    <w:rsid w:val="001039BF"/>
    <w:rsid w:val="00103CB4"/>
    <w:rsid w:val="00103D6B"/>
    <w:rsid w:val="00107F42"/>
    <w:rsid w:val="00110401"/>
    <w:rsid w:val="00110BA6"/>
    <w:rsid w:val="00110E22"/>
    <w:rsid w:val="001110F1"/>
    <w:rsid w:val="0011195C"/>
    <w:rsid w:val="00112E30"/>
    <w:rsid w:val="001138CB"/>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899"/>
    <w:rsid w:val="00123679"/>
    <w:rsid w:val="001236BF"/>
    <w:rsid w:val="001236EB"/>
    <w:rsid w:val="00123ACC"/>
    <w:rsid w:val="0012450B"/>
    <w:rsid w:val="00124792"/>
    <w:rsid w:val="00124CF0"/>
    <w:rsid w:val="00125726"/>
    <w:rsid w:val="001258B7"/>
    <w:rsid w:val="001267FF"/>
    <w:rsid w:val="00127F9D"/>
    <w:rsid w:val="0013084E"/>
    <w:rsid w:val="00130DB2"/>
    <w:rsid w:val="001315D8"/>
    <w:rsid w:val="00132B8C"/>
    <w:rsid w:val="0013360D"/>
    <w:rsid w:val="00133E41"/>
    <w:rsid w:val="00133E7C"/>
    <w:rsid w:val="00134D7F"/>
    <w:rsid w:val="00134F65"/>
    <w:rsid w:val="00134FA2"/>
    <w:rsid w:val="0013526C"/>
    <w:rsid w:val="001356B6"/>
    <w:rsid w:val="001365F4"/>
    <w:rsid w:val="0013661A"/>
    <w:rsid w:val="00136E07"/>
    <w:rsid w:val="001372D1"/>
    <w:rsid w:val="001374A2"/>
    <w:rsid w:val="00137B8F"/>
    <w:rsid w:val="00137C0C"/>
    <w:rsid w:val="00140295"/>
    <w:rsid w:val="00141121"/>
    <w:rsid w:val="001429D7"/>
    <w:rsid w:val="00143437"/>
    <w:rsid w:val="00143891"/>
    <w:rsid w:val="00143DE4"/>
    <w:rsid w:val="0014403E"/>
    <w:rsid w:val="001447EF"/>
    <w:rsid w:val="00144800"/>
    <w:rsid w:val="00145073"/>
    <w:rsid w:val="0014515E"/>
    <w:rsid w:val="0014559E"/>
    <w:rsid w:val="00145749"/>
    <w:rsid w:val="00145EF0"/>
    <w:rsid w:val="001462D6"/>
    <w:rsid w:val="001464A7"/>
    <w:rsid w:val="00146F35"/>
    <w:rsid w:val="00147344"/>
    <w:rsid w:val="001476CB"/>
    <w:rsid w:val="001477F2"/>
    <w:rsid w:val="0015059D"/>
    <w:rsid w:val="0015080D"/>
    <w:rsid w:val="00151322"/>
    <w:rsid w:val="00152C66"/>
    <w:rsid w:val="00153A5A"/>
    <w:rsid w:val="00153EDA"/>
    <w:rsid w:val="001547CA"/>
    <w:rsid w:val="00154C02"/>
    <w:rsid w:val="00154C69"/>
    <w:rsid w:val="0015529D"/>
    <w:rsid w:val="00156328"/>
    <w:rsid w:val="00157085"/>
    <w:rsid w:val="001573B4"/>
    <w:rsid w:val="001601A2"/>
    <w:rsid w:val="00160295"/>
    <w:rsid w:val="001607B6"/>
    <w:rsid w:val="00162969"/>
    <w:rsid w:val="00162E86"/>
    <w:rsid w:val="0016388F"/>
    <w:rsid w:val="00163D73"/>
    <w:rsid w:val="00163D88"/>
    <w:rsid w:val="00164096"/>
    <w:rsid w:val="0016529E"/>
    <w:rsid w:val="0016575C"/>
    <w:rsid w:val="00165B1C"/>
    <w:rsid w:val="00165BF8"/>
    <w:rsid w:val="00166036"/>
    <w:rsid w:val="001662BD"/>
    <w:rsid w:val="0016649A"/>
    <w:rsid w:val="00166560"/>
    <w:rsid w:val="001675A5"/>
    <w:rsid w:val="00170111"/>
    <w:rsid w:val="00170697"/>
    <w:rsid w:val="00171392"/>
    <w:rsid w:val="00171C1A"/>
    <w:rsid w:val="00171C72"/>
    <w:rsid w:val="00172708"/>
    <w:rsid w:val="001727B0"/>
    <w:rsid w:val="001729BA"/>
    <w:rsid w:val="00172A27"/>
    <w:rsid w:val="00173260"/>
    <w:rsid w:val="00173C43"/>
    <w:rsid w:val="00174BEA"/>
    <w:rsid w:val="001751E2"/>
    <w:rsid w:val="0017537B"/>
    <w:rsid w:val="001759CF"/>
    <w:rsid w:val="00175B5D"/>
    <w:rsid w:val="00176986"/>
    <w:rsid w:val="00176B7D"/>
    <w:rsid w:val="00177302"/>
    <w:rsid w:val="00177FB1"/>
    <w:rsid w:val="001809EC"/>
    <w:rsid w:val="00180D02"/>
    <w:rsid w:val="00181809"/>
    <w:rsid w:val="00182FF5"/>
    <w:rsid w:val="0018316B"/>
    <w:rsid w:val="001837AA"/>
    <w:rsid w:val="00183BC0"/>
    <w:rsid w:val="0018456A"/>
    <w:rsid w:val="00184681"/>
    <w:rsid w:val="001847DB"/>
    <w:rsid w:val="00184AE6"/>
    <w:rsid w:val="00185C46"/>
    <w:rsid w:val="00185D1E"/>
    <w:rsid w:val="00185D2D"/>
    <w:rsid w:val="00185EF5"/>
    <w:rsid w:val="00185F81"/>
    <w:rsid w:val="0018652D"/>
    <w:rsid w:val="00186AA0"/>
    <w:rsid w:val="00187707"/>
    <w:rsid w:val="00187828"/>
    <w:rsid w:val="00187EAA"/>
    <w:rsid w:val="00190B5F"/>
    <w:rsid w:val="001912D2"/>
    <w:rsid w:val="00191575"/>
    <w:rsid w:val="00191FD8"/>
    <w:rsid w:val="0019224F"/>
    <w:rsid w:val="001923BA"/>
    <w:rsid w:val="00192DA5"/>
    <w:rsid w:val="0019338C"/>
    <w:rsid w:val="00194C01"/>
    <w:rsid w:val="001965CD"/>
    <w:rsid w:val="00196AD9"/>
    <w:rsid w:val="00197F91"/>
    <w:rsid w:val="001A0381"/>
    <w:rsid w:val="001A04B7"/>
    <w:rsid w:val="001A086B"/>
    <w:rsid w:val="001A10F0"/>
    <w:rsid w:val="001A24D5"/>
    <w:rsid w:val="001A2637"/>
    <w:rsid w:val="001A270B"/>
    <w:rsid w:val="001A2CE9"/>
    <w:rsid w:val="001A37A7"/>
    <w:rsid w:val="001A395C"/>
    <w:rsid w:val="001A397E"/>
    <w:rsid w:val="001A3D56"/>
    <w:rsid w:val="001A4A03"/>
    <w:rsid w:val="001A4CFB"/>
    <w:rsid w:val="001A51A4"/>
    <w:rsid w:val="001A52EC"/>
    <w:rsid w:val="001A592E"/>
    <w:rsid w:val="001A5B3D"/>
    <w:rsid w:val="001A608D"/>
    <w:rsid w:val="001A64AB"/>
    <w:rsid w:val="001A69D0"/>
    <w:rsid w:val="001A6CA2"/>
    <w:rsid w:val="001A79FC"/>
    <w:rsid w:val="001B08D0"/>
    <w:rsid w:val="001B0FFF"/>
    <w:rsid w:val="001B1422"/>
    <w:rsid w:val="001B1780"/>
    <w:rsid w:val="001B21BF"/>
    <w:rsid w:val="001B2789"/>
    <w:rsid w:val="001B3396"/>
    <w:rsid w:val="001B45AC"/>
    <w:rsid w:val="001B4641"/>
    <w:rsid w:val="001B49B9"/>
    <w:rsid w:val="001B53CE"/>
    <w:rsid w:val="001B5555"/>
    <w:rsid w:val="001B55FC"/>
    <w:rsid w:val="001B5A4E"/>
    <w:rsid w:val="001B5FB8"/>
    <w:rsid w:val="001B621A"/>
    <w:rsid w:val="001B639B"/>
    <w:rsid w:val="001B66C9"/>
    <w:rsid w:val="001B7226"/>
    <w:rsid w:val="001B79CA"/>
    <w:rsid w:val="001C006C"/>
    <w:rsid w:val="001C046C"/>
    <w:rsid w:val="001C0792"/>
    <w:rsid w:val="001C1068"/>
    <w:rsid w:val="001C111E"/>
    <w:rsid w:val="001C1954"/>
    <w:rsid w:val="001C1CB6"/>
    <w:rsid w:val="001C24F8"/>
    <w:rsid w:val="001C2637"/>
    <w:rsid w:val="001C2856"/>
    <w:rsid w:val="001C3032"/>
    <w:rsid w:val="001C36F2"/>
    <w:rsid w:val="001C37B8"/>
    <w:rsid w:val="001C3997"/>
    <w:rsid w:val="001C4006"/>
    <w:rsid w:val="001C4264"/>
    <w:rsid w:val="001C5049"/>
    <w:rsid w:val="001C5A88"/>
    <w:rsid w:val="001C5F33"/>
    <w:rsid w:val="001D131F"/>
    <w:rsid w:val="001D145B"/>
    <w:rsid w:val="001D2BC7"/>
    <w:rsid w:val="001D3347"/>
    <w:rsid w:val="001D342C"/>
    <w:rsid w:val="001D3D7A"/>
    <w:rsid w:val="001D3FE6"/>
    <w:rsid w:val="001D426E"/>
    <w:rsid w:val="001D47A2"/>
    <w:rsid w:val="001D4CB2"/>
    <w:rsid w:val="001D542E"/>
    <w:rsid w:val="001D5AB1"/>
    <w:rsid w:val="001D6C9C"/>
    <w:rsid w:val="001D7C0A"/>
    <w:rsid w:val="001D7CBC"/>
    <w:rsid w:val="001E135A"/>
    <w:rsid w:val="001E1B96"/>
    <w:rsid w:val="001E3151"/>
    <w:rsid w:val="001E33E7"/>
    <w:rsid w:val="001E361F"/>
    <w:rsid w:val="001E389A"/>
    <w:rsid w:val="001E3A70"/>
    <w:rsid w:val="001E4160"/>
    <w:rsid w:val="001E4638"/>
    <w:rsid w:val="001E4649"/>
    <w:rsid w:val="001E4806"/>
    <w:rsid w:val="001E4F61"/>
    <w:rsid w:val="001E5228"/>
    <w:rsid w:val="001E556F"/>
    <w:rsid w:val="001E56BE"/>
    <w:rsid w:val="001E5D7F"/>
    <w:rsid w:val="001E606C"/>
    <w:rsid w:val="001E6E0F"/>
    <w:rsid w:val="001E7383"/>
    <w:rsid w:val="001E7A45"/>
    <w:rsid w:val="001F0090"/>
    <w:rsid w:val="001F01FC"/>
    <w:rsid w:val="001F09B2"/>
    <w:rsid w:val="001F145B"/>
    <w:rsid w:val="001F1B44"/>
    <w:rsid w:val="001F20F0"/>
    <w:rsid w:val="001F220E"/>
    <w:rsid w:val="001F299F"/>
    <w:rsid w:val="001F30B7"/>
    <w:rsid w:val="001F3380"/>
    <w:rsid w:val="001F409D"/>
    <w:rsid w:val="001F4B03"/>
    <w:rsid w:val="001F53DC"/>
    <w:rsid w:val="001F612B"/>
    <w:rsid w:val="001F69C1"/>
    <w:rsid w:val="001F6A7D"/>
    <w:rsid w:val="001F78C9"/>
    <w:rsid w:val="00200210"/>
    <w:rsid w:val="002005D7"/>
    <w:rsid w:val="00200673"/>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424"/>
    <w:rsid w:val="00214AE1"/>
    <w:rsid w:val="00215B9B"/>
    <w:rsid w:val="00215DE3"/>
    <w:rsid w:val="0021617D"/>
    <w:rsid w:val="00216288"/>
    <w:rsid w:val="002168F3"/>
    <w:rsid w:val="00216ACD"/>
    <w:rsid w:val="00217785"/>
    <w:rsid w:val="00217AA5"/>
    <w:rsid w:val="00220B21"/>
    <w:rsid w:val="00220BFA"/>
    <w:rsid w:val="00220CA4"/>
    <w:rsid w:val="00220EEC"/>
    <w:rsid w:val="00221ADA"/>
    <w:rsid w:val="00221C35"/>
    <w:rsid w:val="00221E2F"/>
    <w:rsid w:val="0022371D"/>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F11"/>
    <w:rsid w:val="00236110"/>
    <w:rsid w:val="00236A1E"/>
    <w:rsid w:val="0023765F"/>
    <w:rsid w:val="002406B7"/>
    <w:rsid w:val="00240858"/>
    <w:rsid w:val="00240C76"/>
    <w:rsid w:val="002420BD"/>
    <w:rsid w:val="002428DE"/>
    <w:rsid w:val="00244795"/>
    <w:rsid w:val="00244A39"/>
    <w:rsid w:val="00244F4D"/>
    <w:rsid w:val="00245603"/>
    <w:rsid w:val="00245C72"/>
    <w:rsid w:val="002460FA"/>
    <w:rsid w:val="00246576"/>
    <w:rsid w:val="002472D1"/>
    <w:rsid w:val="00247F10"/>
    <w:rsid w:val="00247FE9"/>
    <w:rsid w:val="00250231"/>
    <w:rsid w:val="00250620"/>
    <w:rsid w:val="002518C7"/>
    <w:rsid w:val="00251E58"/>
    <w:rsid w:val="00253905"/>
    <w:rsid w:val="00253B1F"/>
    <w:rsid w:val="00254615"/>
    <w:rsid w:val="00254CE6"/>
    <w:rsid w:val="00254EAD"/>
    <w:rsid w:val="002554CD"/>
    <w:rsid w:val="00255AD8"/>
    <w:rsid w:val="00256102"/>
    <w:rsid w:val="00256160"/>
    <w:rsid w:val="002562BF"/>
    <w:rsid w:val="002569C6"/>
    <w:rsid w:val="00256BBA"/>
    <w:rsid w:val="00257F6D"/>
    <w:rsid w:val="00260023"/>
    <w:rsid w:val="0026021A"/>
    <w:rsid w:val="00260547"/>
    <w:rsid w:val="00260C1C"/>
    <w:rsid w:val="002617CC"/>
    <w:rsid w:val="0026186B"/>
    <w:rsid w:val="00261A0E"/>
    <w:rsid w:val="002625CB"/>
    <w:rsid w:val="00263A90"/>
    <w:rsid w:val="00263D22"/>
    <w:rsid w:val="00264009"/>
    <w:rsid w:val="00264B45"/>
    <w:rsid w:val="002652AD"/>
    <w:rsid w:val="00266004"/>
    <w:rsid w:val="00267040"/>
    <w:rsid w:val="00267D9A"/>
    <w:rsid w:val="00270584"/>
    <w:rsid w:val="00270EA2"/>
    <w:rsid w:val="00271121"/>
    <w:rsid w:val="00272DFC"/>
    <w:rsid w:val="002757DA"/>
    <w:rsid w:val="00275BF2"/>
    <w:rsid w:val="00275E57"/>
    <w:rsid w:val="0027616F"/>
    <w:rsid w:val="00276544"/>
    <w:rsid w:val="00276976"/>
    <w:rsid w:val="00280525"/>
    <w:rsid w:val="00280656"/>
    <w:rsid w:val="00280870"/>
    <w:rsid w:val="002833C1"/>
    <w:rsid w:val="00284030"/>
    <w:rsid w:val="002846C4"/>
    <w:rsid w:val="00284927"/>
    <w:rsid w:val="00284BF6"/>
    <w:rsid w:val="00284C89"/>
    <w:rsid w:val="0028576F"/>
    <w:rsid w:val="00286140"/>
    <w:rsid w:val="00286B67"/>
    <w:rsid w:val="00287246"/>
    <w:rsid w:val="002906BB"/>
    <w:rsid w:val="002908FC"/>
    <w:rsid w:val="00290940"/>
    <w:rsid w:val="00290E68"/>
    <w:rsid w:val="002910C9"/>
    <w:rsid w:val="00291DAD"/>
    <w:rsid w:val="00293BF8"/>
    <w:rsid w:val="00293EC9"/>
    <w:rsid w:val="00294080"/>
    <w:rsid w:val="00294418"/>
    <w:rsid w:val="00294552"/>
    <w:rsid w:val="00295227"/>
    <w:rsid w:val="00295F39"/>
    <w:rsid w:val="00295F45"/>
    <w:rsid w:val="00296775"/>
    <w:rsid w:val="00297942"/>
    <w:rsid w:val="002A0ED2"/>
    <w:rsid w:val="002A11BA"/>
    <w:rsid w:val="002A135C"/>
    <w:rsid w:val="002A267D"/>
    <w:rsid w:val="002A270F"/>
    <w:rsid w:val="002A2B15"/>
    <w:rsid w:val="002A2B1E"/>
    <w:rsid w:val="002A323D"/>
    <w:rsid w:val="002A40F2"/>
    <w:rsid w:val="002A5325"/>
    <w:rsid w:val="002A53B5"/>
    <w:rsid w:val="002A724F"/>
    <w:rsid w:val="002B05B1"/>
    <w:rsid w:val="002B0936"/>
    <w:rsid w:val="002B0C56"/>
    <w:rsid w:val="002B128E"/>
    <w:rsid w:val="002B1B6D"/>
    <w:rsid w:val="002B213F"/>
    <w:rsid w:val="002B278C"/>
    <w:rsid w:val="002B2D48"/>
    <w:rsid w:val="002B4C67"/>
    <w:rsid w:val="002B4F5A"/>
    <w:rsid w:val="002B5256"/>
    <w:rsid w:val="002B56E3"/>
    <w:rsid w:val="002B604A"/>
    <w:rsid w:val="002B63A2"/>
    <w:rsid w:val="002B6DF3"/>
    <w:rsid w:val="002B7809"/>
    <w:rsid w:val="002C04C6"/>
    <w:rsid w:val="002C0FD0"/>
    <w:rsid w:val="002C2AE1"/>
    <w:rsid w:val="002C35C5"/>
    <w:rsid w:val="002C37C7"/>
    <w:rsid w:val="002C3950"/>
    <w:rsid w:val="002C3E69"/>
    <w:rsid w:val="002C4303"/>
    <w:rsid w:val="002C4472"/>
    <w:rsid w:val="002C4C8F"/>
    <w:rsid w:val="002C5B91"/>
    <w:rsid w:val="002C6C98"/>
    <w:rsid w:val="002D00D0"/>
    <w:rsid w:val="002D00D7"/>
    <w:rsid w:val="002D04B3"/>
    <w:rsid w:val="002D0A76"/>
    <w:rsid w:val="002D0F4F"/>
    <w:rsid w:val="002D12D5"/>
    <w:rsid w:val="002D19C8"/>
    <w:rsid w:val="002D25A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AE8"/>
    <w:rsid w:val="002E3FFE"/>
    <w:rsid w:val="002E53D0"/>
    <w:rsid w:val="002E5625"/>
    <w:rsid w:val="002E5931"/>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56C"/>
    <w:rsid w:val="002F461E"/>
    <w:rsid w:val="002F4DAB"/>
    <w:rsid w:val="002F5103"/>
    <w:rsid w:val="002F5779"/>
    <w:rsid w:val="002F5C3F"/>
    <w:rsid w:val="002F5C8F"/>
    <w:rsid w:val="002F6AC6"/>
    <w:rsid w:val="002F703B"/>
    <w:rsid w:val="00301558"/>
    <w:rsid w:val="003023C6"/>
    <w:rsid w:val="00302A77"/>
    <w:rsid w:val="00302CF7"/>
    <w:rsid w:val="00302D27"/>
    <w:rsid w:val="00302E1C"/>
    <w:rsid w:val="00303D3C"/>
    <w:rsid w:val="0030429A"/>
    <w:rsid w:val="003052AB"/>
    <w:rsid w:val="00305F0B"/>
    <w:rsid w:val="003060C4"/>
    <w:rsid w:val="0030668D"/>
    <w:rsid w:val="003069D9"/>
    <w:rsid w:val="003073F5"/>
    <w:rsid w:val="00307B9C"/>
    <w:rsid w:val="00307BA1"/>
    <w:rsid w:val="003100DF"/>
    <w:rsid w:val="00311B0A"/>
    <w:rsid w:val="003137D4"/>
    <w:rsid w:val="00314227"/>
    <w:rsid w:val="00314DBA"/>
    <w:rsid w:val="00314EFA"/>
    <w:rsid w:val="00315AB3"/>
    <w:rsid w:val="003164A3"/>
    <w:rsid w:val="00317A63"/>
    <w:rsid w:val="00317BA9"/>
    <w:rsid w:val="003200AE"/>
    <w:rsid w:val="0032034B"/>
    <w:rsid w:val="00320BF6"/>
    <w:rsid w:val="00320EFA"/>
    <w:rsid w:val="00321739"/>
    <w:rsid w:val="00321E23"/>
    <w:rsid w:val="0032215C"/>
    <w:rsid w:val="00322259"/>
    <w:rsid w:val="003255F1"/>
    <w:rsid w:val="00325789"/>
    <w:rsid w:val="00325A5A"/>
    <w:rsid w:val="00325A89"/>
    <w:rsid w:val="00325FE2"/>
    <w:rsid w:val="00326A2E"/>
    <w:rsid w:val="003272E3"/>
    <w:rsid w:val="0032780E"/>
    <w:rsid w:val="00327CF0"/>
    <w:rsid w:val="00330325"/>
    <w:rsid w:val="00331922"/>
    <w:rsid w:val="00331AFB"/>
    <w:rsid w:val="0033295D"/>
    <w:rsid w:val="00332B79"/>
    <w:rsid w:val="00333CAB"/>
    <w:rsid w:val="00333D3B"/>
    <w:rsid w:val="00334C5E"/>
    <w:rsid w:val="00334F81"/>
    <w:rsid w:val="00335E06"/>
    <w:rsid w:val="003362B6"/>
    <w:rsid w:val="00336AC2"/>
    <w:rsid w:val="00336FD3"/>
    <w:rsid w:val="00337B76"/>
    <w:rsid w:val="00337BB7"/>
    <w:rsid w:val="00341DE7"/>
    <w:rsid w:val="00341FEE"/>
    <w:rsid w:val="003430E1"/>
    <w:rsid w:val="0034324B"/>
    <w:rsid w:val="00343464"/>
    <w:rsid w:val="00345199"/>
    <w:rsid w:val="003451FE"/>
    <w:rsid w:val="003462BA"/>
    <w:rsid w:val="00346B52"/>
    <w:rsid w:val="00346C19"/>
    <w:rsid w:val="00346E53"/>
    <w:rsid w:val="003471EA"/>
    <w:rsid w:val="0034781A"/>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AC8"/>
    <w:rsid w:val="00355454"/>
    <w:rsid w:val="0035571F"/>
    <w:rsid w:val="003560A3"/>
    <w:rsid w:val="00356A1A"/>
    <w:rsid w:val="0035700D"/>
    <w:rsid w:val="0035772B"/>
    <w:rsid w:val="00357768"/>
    <w:rsid w:val="003579C1"/>
    <w:rsid w:val="00357A6C"/>
    <w:rsid w:val="00357B7A"/>
    <w:rsid w:val="00360B24"/>
    <w:rsid w:val="00360B88"/>
    <w:rsid w:val="00361409"/>
    <w:rsid w:val="00361478"/>
    <w:rsid w:val="00362098"/>
    <w:rsid w:val="003621B0"/>
    <w:rsid w:val="00363105"/>
    <w:rsid w:val="00363317"/>
    <w:rsid w:val="00363BEF"/>
    <w:rsid w:val="00365288"/>
    <w:rsid w:val="00366C33"/>
    <w:rsid w:val="0036705C"/>
    <w:rsid w:val="003673C9"/>
    <w:rsid w:val="003679D6"/>
    <w:rsid w:val="003737B0"/>
    <w:rsid w:val="003743F8"/>
    <w:rsid w:val="00374B13"/>
    <w:rsid w:val="00374BBC"/>
    <w:rsid w:val="00374FC1"/>
    <w:rsid w:val="003756A2"/>
    <w:rsid w:val="00375C87"/>
    <w:rsid w:val="00375DC1"/>
    <w:rsid w:val="00375E94"/>
    <w:rsid w:val="00376DED"/>
    <w:rsid w:val="003774A0"/>
    <w:rsid w:val="0037767D"/>
    <w:rsid w:val="003776C9"/>
    <w:rsid w:val="003810DB"/>
    <w:rsid w:val="00381624"/>
    <w:rsid w:val="003816C1"/>
    <w:rsid w:val="00381985"/>
    <w:rsid w:val="00382571"/>
    <w:rsid w:val="0038489B"/>
    <w:rsid w:val="003849B0"/>
    <w:rsid w:val="003857D9"/>
    <w:rsid w:val="003862DF"/>
    <w:rsid w:val="003863BE"/>
    <w:rsid w:val="00386566"/>
    <w:rsid w:val="00387330"/>
    <w:rsid w:val="003876FF"/>
    <w:rsid w:val="00393401"/>
    <w:rsid w:val="00393583"/>
    <w:rsid w:val="003955B2"/>
    <w:rsid w:val="00395890"/>
    <w:rsid w:val="003959A5"/>
    <w:rsid w:val="00395F26"/>
    <w:rsid w:val="00395FAA"/>
    <w:rsid w:val="00397827"/>
    <w:rsid w:val="00397BEE"/>
    <w:rsid w:val="003A063A"/>
    <w:rsid w:val="003A0B73"/>
    <w:rsid w:val="003A104E"/>
    <w:rsid w:val="003A13C4"/>
    <w:rsid w:val="003A14AF"/>
    <w:rsid w:val="003A2DD9"/>
    <w:rsid w:val="003A32F3"/>
    <w:rsid w:val="003A3817"/>
    <w:rsid w:val="003A384F"/>
    <w:rsid w:val="003A3985"/>
    <w:rsid w:val="003A50D9"/>
    <w:rsid w:val="003A543D"/>
    <w:rsid w:val="003A62CE"/>
    <w:rsid w:val="003A6FA5"/>
    <w:rsid w:val="003A7CFF"/>
    <w:rsid w:val="003B01F4"/>
    <w:rsid w:val="003B16AA"/>
    <w:rsid w:val="003B188F"/>
    <w:rsid w:val="003B1BEC"/>
    <w:rsid w:val="003B23ED"/>
    <w:rsid w:val="003B2BA8"/>
    <w:rsid w:val="003B3AF7"/>
    <w:rsid w:val="003B4180"/>
    <w:rsid w:val="003B4356"/>
    <w:rsid w:val="003B4407"/>
    <w:rsid w:val="003B481F"/>
    <w:rsid w:val="003B536B"/>
    <w:rsid w:val="003B5DFF"/>
    <w:rsid w:val="003B6043"/>
    <w:rsid w:val="003B785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25F7"/>
    <w:rsid w:val="003D2EF6"/>
    <w:rsid w:val="003D3096"/>
    <w:rsid w:val="003D3994"/>
    <w:rsid w:val="003D3D95"/>
    <w:rsid w:val="003D3EC0"/>
    <w:rsid w:val="003D4492"/>
    <w:rsid w:val="003D519A"/>
    <w:rsid w:val="003D7120"/>
    <w:rsid w:val="003D73AB"/>
    <w:rsid w:val="003E00AC"/>
    <w:rsid w:val="003E095B"/>
    <w:rsid w:val="003E1840"/>
    <w:rsid w:val="003E2533"/>
    <w:rsid w:val="003E2F30"/>
    <w:rsid w:val="003E30A3"/>
    <w:rsid w:val="003E39C3"/>
    <w:rsid w:val="003E3D24"/>
    <w:rsid w:val="003E414B"/>
    <w:rsid w:val="003E431F"/>
    <w:rsid w:val="003E439D"/>
    <w:rsid w:val="003E5810"/>
    <w:rsid w:val="003E5A25"/>
    <w:rsid w:val="003E5C5F"/>
    <w:rsid w:val="003E5D32"/>
    <w:rsid w:val="003E691B"/>
    <w:rsid w:val="003E6E97"/>
    <w:rsid w:val="003E7765"/>
    <w:rsid w:val="003E778E"/>
    <w:rsid w:val="003E78F0"/>
    <w:rsid w:val="003E79D7"/>
    <w:rsid w:val="003E7F3F"/>
    <w:rsid w:val="003F0FAD"/>
    <w:rsid w:val="003F0FC1"/>
    <w:rsid w:val="003F1894"/>
    <w:rsid w:val="003F1C77"/>
    <w:rsid w:val="003F3898"/>
    <w:rsid w:val="003F3A1B"/>
    <w:rsid w:val="003F3D0B"/>
    <w:rsid w:val="003F3E3F"/>
    <w:rsid w:val="003F42B8"/>
    <w:rsid w:val="003F4825"/>
    <w:rsid w:val="003F4E50"/>
    <w:rsid w:val="003F4EDF"/>
    <w:rsid w:val="003F564A"/>
    <w:rsid w:val="003F572D"/>
    <w:rsid w:val="003F5D0D"/>
    <w:rsid w:val="003F6A41"/>
    <w:rsid w:val="003F6B54"/>
    <w:rsid w:val="003F6CAD"/>
    <w:rsid w:val="003F7235"/>
    <w:rsid w:val="004003FD"/>
    <w:rsid w:val="00402898"/>
    <w:rsid w:val="00402A13"/>
    <w:rsid w:val="0040368D"/>
    <w:rsid w:val="00403A8C"/>
    <w:rsid w:val="004049EE"/>
    <w:rsid w:val="00404D01"/>
    <w:rsid w:val="00404D50"/>
    <w:rsid w:val="00404ECC"/>
    <w:rsid w:val="00404F56"/>
    <w:rsid w:val="004051A6"/>
    <w:rsid w:val="00405A3D"/>
    <w:rsid w:val="0040652E"/>
    <w:rsid w:val="004071FD"/>
    <w:rsid w:val="0040738B"/>
    <w:rsid w:val="0041009D"/>
    <w:rsid w:val="004112F1"/>
    <w:rsid w:val="00411E8B"/>
    <w:rsid w:val="004122FB"/>
    <w:rsid w:val="00412D87"/>
    <w:rsid w:val="00412F73"/>
    <w:rsid w:val="00413F7A"/>
    <w:rsid w:val="004147E2"/>
    <w:rsid w:val="00415BD1"/>
    <w:rsid w:val="00416802"/>
    <w:rsid w:val="00416812"/>
    <w:rsid w:val="00416BBD"/>
    <w:rsid w:val="00416D0A"/>
    <w:rsid w:val="00417112"/>
    <w:rsid w:val="00420556"/>
    <w:rsid w:val="00420B78"/>
    <w:rsid w:val="00420E3D"/>
    <w:rsid w:val="0042141A"/>
    <w:rsid w:val="00421725"/>
    <w:rsid w:val="00421E05"/>
    <w:rsid w:val="00422223"/>
    <w:rsid w:val="00422AB4"/>
    <w:rsid w:val="00422E58"/>
    <w:rsid w:val="0042311F"/>
    <w:rsid w:val="004234EC"/>
    <w:rsid w:val="004235E3"/>
    <w:rsid w:val="00423606"/>
    <w:rsid w:val="00424647"/>
    <w:rsid w:val="00424703"/>
    <w:rsid w:val="00424934"/>
    <w:rsid w:val="00425C37"/>
    <w:rsid w:val="0042603F"/>
    <w:rsid w:val="004274AD"/>
    <w:rsid w:val="00427703"/>
    <w:rsid w:val="00430C76"/>
    <w:rsid w:val="00430F20"/>
    <w:rsid w:val="00431CF2"/>
    <w:rsid w:val="00431D90"/>
    <w:rsid w:val="00431E46"/>
    <w:rsid w:val="00432002"/>
    <w:rsid w:val="00432672"/>
    <w:rsid w:val="004329FE"/>
    <w:rsid w:val="00432A04"/>
    <w:rsid w:val="0043402A"/>
    <w:rsid w:val="00434769"/>
    <w:rsid w:val="0043518D"/>
    <w:rsid w:val="004351DE"/>
    <w:rsid w:val="00435C11"/>
    <w:rsid w:val="00436611"/>
    <w:rsid w:val="00437A2F"/>
    <w:rsid w:val="00437D58"/>
    <w:rsid w:val="00440164"/>
    <w:rsid w:val="004405EC"/>
    <w:rsid w:val="00440E18"/>
    <w:rsid w:val="004426B7"/>
    <w:rsid w:val="00442C6D"/>
    <w:rsid w:val="00443834"/>
    <w:rsid w:val="00444140"/>
    <w:rsid w:val="00444217"/>
    <w:rsid w:val="00444ACC"/>
    <w:rsid w:val="00444B3E"/>
    <w:rsid w:val="00445234"/>
    <w:rsid w:val="00446AE3"/>
    <w:rsid w:val="00446DAE"/>
    <w:rsid w:val="00446E47"/>
    <w:rsid w:val="004476FB"/>
    <w:rsid w:val="00447854"/>
    <w:rsid w:val="00447B58"/>
    <w:rsid w:val="00450013"/>
    <w:rsid w:val="00450709"/>
    <w:rsid w:val="004508C5"/>
    <w:rsid w:val="00450A8E"/>
    <w:rsid w:val="00450C55"/>
    <w:rsid w:val="004514E0"/>
    <w:rsid w:val="004516ED"/>
    <w:rsid w:val="00451E7C"/>
    <w:rsid w:val="004531AD"/>
    <w:rsid w:val="004532BB"/>
    <w:rsid w:val="004534D6"/>
    <w:rsid w:val="00453696"/>
    <w:rsid w:val="0045377E"/>
    <w:rsid w:val="00453DA8"/>
    <w:rsid w:val="004540DE"/>
    <w:rsid w:val="00454359"/>
    <w:rsid w:val="00454638"/>
    <w:rsid w:val="00454961"/>
    <w:rsid w:val="00455031"/>
    <w:rsid w:val="004551EE"/>
    <w:rsid w:val="00455682"/>
    <w:rsid w:val="00455922"/>
    <w:rsid w:val="00456610"/>
    <w:rsid w:val="00456BE9"/>
    <w:rsid w:val="00460061"/>
    <w:rsid w:val="004603B8"/>
    <w:rsid w:val="004607E7"/>
    <w:rsid w:val="004610FB"/>
    <w:rsid w:val="00461667"/>
    <w:rsid w:val="00461CAB"/>
    <w:rsid w:val="00463040"/>
    <w:rsid w:val="00463317"/>
    <w:rsid w:val="00463CCF"/>
    <w:rsid w:val="00463E66"/>
    <w:rsid w:val="0046562A"/>
    <w:rsid w:val="00465DDA"/>
    <w:rsid w:val="00465E8B"/>
    <w:rsid w:val="0046640E"/>
    <w:rsid w:val="00467256"/>
    <w:rsid w:val="00467674"/>
    <w:rsid w:val="00467A24"/>
    <w:rsid w:val="00470443"/>
    <w:rsid w:val="00470652"/>
    <w:rsid w:val="0047201A"/>
    <w:rsid w:val="004729B4"/>
    <w:rsid w:val="0047422F"/>
    <w:rsid w:val="004742C1"/>
    <w:rsid w:val="00477289"/>
    <w:rsid w:val="00477456"/>
    <w:rsid w:val="00477793"/>
    <w:rsid w:val="00477A00"/>
    <w:rsid w:val="00477F75"/>
    <w:rsid w:val="00480059"/>
    <w:rsid w:val="00480DC1"/>
    <w:rsid w:val="00480DE2"/>
    <w:rsid w:val="00481480"/>
    <w:rsid w:val="00481709"/>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987"/>
    <w:rsid w:val="00487537"/>
    <w:rsid w:val="00487B57"/>
    <w:rsid w:val="00487CCD"/>
    <w:rsid w:val="00491CDE"/>
    <w:rsid w:val="00492566"/>
    <w:rsid w:val="00492C10"/>
    <w:rsid w:val="00492E53"/>
    <w:rsid w:val="004933FA"/>
    <w:rsid w:val="004935EE"/>
    <w:rsid w:val="00493F1E"/>
    <w:rsid w:val="00493F29"/>
    <w:rsid w:val="00493F3D"/>
    <w:rsid w:val="00494354"/>
    <w:rsid w:val="004945B6"/>
    <w:rsid w:val="00494E82"/>
    <w:rsid w:val="00495886"/>
    <w:rsid w:val="0049662F"/>
    <w:rsid w:val="00496E76"/>
    <w:rsid w:val="00497018"/>
    <w:rsid w:val="00497A39"/>
    <w:rsid w:val="00497B27"/>
    <w:rsid w:val="00497F5B"/>
    <w:rsid w:val="004A0666"/>
    <w:rsid w:val="004A19F6"/>
    <w:rsid w:val="004A1CF8"/>
    <w:rsid w:val="004A1F56"/>
    <w:rsid w:val="004A259D"/>
    <w:rsid w:val="004A2E1F"/>
    <w:rsid w:val="004A3892"/>
    <w:rsid w:val="004A487F"/>
    <w:rsid w:val="004A4B9D"/>
    <w:rsid w:val="004A4CA4"/>
    <w:rsid w:val="004A6288"/>
    <w:rsid w:val="004A6F45"/>
    <w:rsid w:val="004A76E5"/>
    <w:rsid w:val="004A78CA"/>
    <w:rsid w:val="004B02A4"/>
    <w:rsid w:val="004B0356"/>
    <w:rsid w:val="004B0916"/>
    <w:rsid w:val="004B1C66"/>
    <w:rsid w:val="004B1FAC"/>
    <w:rsid w:val="004B2291"/>
    <w:rsid w:val="004B2624"/>
    <w:rsid w:val="004B2A6A"/>
    <w:rsid w:val="004B2E7D"/>
    <w:rsid w:val="004B317D"/>
    <w:rsid w:val="004B4463"/>
    <w:rsid w:val="004B4B08"/>
    <w:rsid w:val="004B53FF"/>
    <w:rsid w:val="004B55ED"/>
    <w:rsid w:val="004B6418"/>
    <w:rsid w:val="004B666A"/>
    <w:rsid w:val="004B6989"/>
    <w:rsid w:val="004B6AD2"/>
    <w:rsid w:val="004B6B15"/>
    <w:rsid w:val="004B763D"/>
    <w:rsid w:val="004B76D4"/>
    <w:rsid w:val="004C0192"/>
    <w:rsid w:val="004C04BD"/>
    <w:rsid w:val="004C0E2B"/>
    <w:rsid w:val="004C1270"/>
    <w:rsid w:val="004C1B57"/>
    <w:rsid w:val="004C1E9C"/>
    <w:rsid w:val="004C36A9"/>
    <w:rsid w:val="004C497E"/>
    <w:rsid w:val="004C4AD3"/>
    <w:rsid w:val="004C53C4"/>
    <w:rsid w:val="004C5844"/>
    <w:rsid w:val="004C6408"/>
    <w:rsid w:val="004C6AD2"/>
    <w:rsid w:val="004C6F26"/>
    <w:rsid w:val="004C7513"/>
    <w:rsid w:val="004C782F"/>
    <w:rsid w:val="004D00C0"/>
    <w:rsid w:val="004D0448"/>
    <w:rsid w:val="004D0BA0"/>
    <w:rsid w:val="004D0BD0"/>
    <w:rsid w:val="004D1D79"/>
    <w:rsid w:val="004D34C3"/>
    <w:rsid w:val="004D45C4"/>
    <w:rsid w:val="004D487B"/>
    <w:rsid w:val="004D4D09"/>
    <w:rsid w:val="004D5792"/>
    <w:rsid w:val="004D6A43"/>
    <w:rsid w:val="004D7C59"/>
    <w:rsid w:val="004E02E5"/>
    <w:rsid w:val="004E15D4"/>
    <w:rsid w:val="004E16F7"/>
    <w:rsid w:val="004E2127"/>
    <w:rsid w:val="004E296C"/>
    <w:rsid w:val="004E2AE2"/>
    <w:rsid w:val="004E3A28"/>
    <w:rsid w:val="004E3C34"/>
    <w:rsid w:val="004E3C87"/>
    <w:rsid w:val="004E3CE1"/>
    <w:rsid w:val="004E41E2"/>
    <w:rsid w:val="004E55B7"/>
    <w:rsid w:val="004E56D9"/>
    <w:rsid w:val="004E5DCB"/>
    <w:rsid w:val="004E637C"/>
    <w:rsid w:val="004E662F"/>
    <w:rsid w:val="004E725F"/>
    <w:rsid w:val="004E790B"/>
    <w:rsid w:val="004E7D1F"/>
    <w:rsid w:val="004F0307"/>
    <w:rsid w:val="004F0C75"/>
    <w:rsid w:val="004F142E"/>
    <w:rsid w:val="004F1517"/>
    <w:rsid w:val="004F1523"/>
    <w:rsid w:val="004F2892"/>
    <w:rsid w:val="004F29DC"/>
    <w:rsid w:val="004F2DD5"/>
    <w:rsid w:val="004F3ECB"/>
    <w:rsid w:val="004F42F7"/>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6E8"/>
    <w:rsid w:val="005048DA"/>
    <w:rsid w:val="00504C15"/>
    <w:rsid w:val="00504CCB"/>
    <w:rsid w:val="00505537"/>
    <w:rsid w:val="00506754"/>
    <w:rsid w:val="00506C1E"/>
    <w:rsid w:val="00506CCD"/>
    <w:rsid w:val="0050717B"/>
    <w:rsid w:val="00507647"/>
    <w:rsid w:val="0051007E"/>
    <w:rsid w:val="00510BB6"/>
    <w:rsid w:val="00511D79"/>
    <w:rsid w:val="0051432D"/>
    <w:rsid w:val="005154AD"/>
    <w:rsid w:val="00515628"/>
    <w:rsid w:val="00515BE6"/>
    <w:rsid w:val="005160F6"/>
    <w:rsid w:val="005168F6"/>
    <w:rsid w:val="005173B6"/>
    <w:rsid w:val="00520280"/>
    <w:rsid w:val="00520497"/>
    <w:rsid w:val="00520520"/>
    <w:rsid w:val="00520CEA"/>
    <w:rsid w:val="005213D0"/>
    <w:rsid w:val="00521423"/>
    <w:rsid w:val="005229B8"/>
    <w:rsid w:val="00523135"/>
    <w:rsid w:val="0052318E"/>
    <w:rsid w:val="00523C54"/>
    <w:rsid w:val="00523E78"/>
    <w:rsid w:val="00524020"/>
    <w:rsid w:val="0052466B"/>
    <w:rsid w:val="005248DE"/>
    <w:rsid w:val="00525D3A"/>
    <w:rsid w:val="005261D6"/>
    <w:rsid w:val="005262E7"/>
    <w:rsid w:val="00526A26"/>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B31"/>
    <w:rsid w:val="00542F15"/>
    <w:rsid w:val="00545239"/>
    <w:rsid w:val="005454E5"/>
    <w:rsid w:val="00546B8A"/>
    <w:rsid w:val="00546D05"/>
    <w:rsid w:val="00547244"/>
    <w:rsid w:val="00547933"/>
    <w:rsid w:val="005508AD"/>
    <w:rsid w:val="0055098D"/>
    <w:rsid w:val="00550B24"/>
    <w:rsid w:val="00550FD2"/>
    <w:rsid w:val="005513B4"/>
    <w:rsid w:val="00552031"/>
    <w:rsid w:val="00552244"/>
    <w:rsid w:val="005528E7"/>
    <w:rsid w:val="00553018"/>
    <w:rsid w:val="0055382B"/>
    <w:rsid w:val="0055412E"/>
    <w:rsid w:val="0055419D"/>
    <w:rsid w:val="0055583F"/>
    <w:rsid w:val="00556FA0"/>
    <w:rsid w:val="005573C1"/>
    <w:rsid w:val="00557817"/>
    <w:rsid w:val="00557A6F"/>
    <w:rsid w:val="00557ED9"/>
    <w:rsid w:val="005601C1"/>
    <w:rsid w:val="005603EF"/>
    <w:rsid w:val="00560A56"/>
    <w:rsid w:val="00560B40"/>
    <w:rsid w:val="00560CD8"/>
    <w:rsid w:val="005611CE"/>
    <w:rsid w:val="005612EC"/>
    <w:rsid w:val="00561575"/>
    <w:rsid w:val="005627B1"/>
    <w:rsid w:val="005631C0"/>
    <w:rsid w:val="0056408D"/>
    <w:rsid w:val="005651D0"/>
    <w:rsid w:val="00565220"/>
    <w:rsid w:val="00565370"/>
    <w:rsid w:val="00565470"/>
    <w:rsid w:val="005658E3"/>
    <w:rsid w:val="00565B06"/>
    <w:rsid w:val="00566941"/>
    <w:rsid w:val="00566DB4"/>
    <w:rsid w:val="005670F9"/>
    <w:rsid w:val="005672F2"/>
    <w:rsid w:val="005678DE"/>
    <w:rsid w:val="0056793E"/>
    <w:rsid w:val="00567C83"/>
    <w:rsid w:val="005700B8"/>
    <w:rsid w:val="0057024B"/>
    <w:rsid w:val="00570292"/>
    <w:rsid w:val="0057092B"/>
    <w:rsid w:val="0057110F"/>
    <w:rsid w:val="00571B2A"/>
    <w:rsid w:val="00572145"/>
    <w:rsid w:val="00572CE9"/>
    <w:rsid w:val="00573A2D"/>
    <w:rsid w:val="005749DA"/>
    <w:rsid w:val="0057769E"/>
    <w:rsid w:val="00580435"/>
    <w:rsid w:val="005805B7"/>
    <w:rsid w:val="00580751"/>
    <w:rsid w:val="005812C5"/>
    <w:rsid w:val="00581990"/>
    <w:rsid w:val="0058223C"/>
    <w:rsid w:val="0058260F"/>
    <w:rsid w:val="00583EF1"/>
    <w:rsid w:val="005865CB"/>
    <w:rsid w:val="00586646"/>
    <w:rsid w:val="00586784"/>
    <w:rsid w:val="00586C4A"/>
    <w:rsid w:val="005871CB"/>
    <w:rsid w:val="00587424"/>
    <w:rsid w:val="005878DB"/>
    <w:rsid w:val="0058797B"/>
    <w:rsid w:val="00587E29"/>
    <w:rsid w:val="005927A5"/>
    <w:rsid w:val="005936F6"/>
    <w:rsid w:val="00593785"/>
    <w:rsid w:val="005938A2"/>
    <w:rsid w:val="005940FD"/>
    <w:rsid w:val="00595AA4"/>
    <w:rsid w:val="00595B4C"/>
    <w:rsid w:val="0059666A"/>
    <w:rsid w:val="00596851"/>
    <w:rsid w:val="0059713E"/>
    <w:rsid w:val="00597444"/>
    <w:rsid w:val="005A00B5"/>
    <w:rsid w:val="005A08EF"/>
    <w:rsid w:val="005A0AC7"/>
    <w:rsid w:val="005A0E6F"/>
    <w:rsid w:val="005A1051"/>
    <w:rsid w:val="005A16C7"/>
    <w:rsid w:val="005A299D"/>
    <w:rsid w:val="005A328B"/>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A54"/>
    <w:rsid w:val="005D0B56"/>
    <w:rsid w:val="005D0F20"/>
    <w:rsid w:val="005D10E6"/>
    <w:rsid w:val="005D1294"/>
    <w:rsid w:val="005D25F9"/>
    <w:rsid w:val="005D3885"/>
    <w:rsid w:val="005D3F38"/>
    <w:rsid w:val="005D500D"/>
    <w:rsid w:val="005D51FF"/>
    <w:rsid w:val="005D5CE7"/>
    <w:rsid w:val="005D625F"/>
    <w:rsid w:val="005D6357"/>
    <w:rsid w:val="005D6D4B"/>
    <w:rsid w:val="005D70FE"/>
    <w:rsid w:val="005E0FBD"/>
    <w:rsid w:val="005E11B5"/>
    <w:rsid w:val="005E2AFF"/>
    <w:rsid w:val="005E3430"/>
    <w:rsid w:val="005E396E"/>
    <w:rsid w:val="005E477F"/>
    <w:rsid w:val="005E4D25"/>
    <w:rsid w:val="005E4DCC"/>
    <w:rsid w:val="005E5151"/>
    <w:rsid w:val="005E5214"/>
    <w:rsid w:val="005E5F08"/>
    <w:rsid w:val="005E658F"/>
    <w:rsid w:val="005E7885"/>
    <w:rsid w:val="005F0613"/>
    <w:rsid w:val="005F0850"/>
    <w:rsid w:val="005F0A72"/>
    <w:rsid w:val="005F0ADB"/>
    <w:rsid w:val="005F0F9C"/>
    <w:rsid w:val="005F101C"/>
    <w:rsid w:val="005F12E1"/>
    <w:rsid w:val="005F1F1F"/>
    <w:rsid w:val="005F1F64"/>
    <w:rsid w:val="005F29AA"/>
    <w:rsid w:val="005F2E3B"/>
    <w:rsid w:val="005F334D"/>
    <w:rsid w:val="005F38B1"/>
    <w:rsid w:val="005F3B90"/>
    <w:rsid w:val="005F3BC1"/>
    <w:rsid w:val="005F3D78"/>
    <w:rsid w:val="005F4276"/>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7EB"/>
    <w:rsid w:val="006020AC"/>
    <w:rsid w:val="00602E24"/>
    <w:rsid w:val="00602E6A"/>
    <w:rsid w:val="006046C8"/>
    <w:rsid w:val="00604E35"/>
    <w:rsid w:val="0060528E"/>
    <w:rsid w:val="00605574"/>
    <w:rsid w:val="00606941"/>
    <w:rsid w:val="006072E7"/>
    <w:rsid w:val="0061131E"/>
    <w:rsid w:val="00611B2A"/>
    <w:rsid w:val="006122AE"/>
    <w:rsid w:val="006130AE"/>
    <w:rsid w:val="00613CB7"/>
    <w:rsid w:val="00613E1F"/>
    <w:rsid w:val="0061448D"/>
    <w:rsid w:val="00614C4F"/>
    <w:rsid w:val="00614DC7"/>
    <w:rsid w:val="00615AA2"/>
    <w:rsid w:val="00616395"/>
    <w:rsid w:val="0062044D"/>
    <w:rsid w:val="0062044E"/>
    <w:rsid w:val="00620606"/>
    <w:rsid w:val="00620639"/>
    <w:rsid w:val="00620EE7"/>
    <w:rsid w:val="00621018"/>
    <w:rsid w:val="0062169F"/>
    <w:rsid w:val="00621D10"/>
    <w:rsid w:val="006229C0"/>
    <w:rsid w:val="00622CB5"/>
    <w:rsid w:val="00623A30"/>
    <w:rsid w:val="0062476E"/>
    <w:rsid w:val="006248E6"/>
    <w:rsid w:val="00624EC6"/>
    <w:rsid w:val="0062534F"/>
    <w:rsid w:val="006270FF"/>
    <w:rsid w:val="006279E4"/>
    <w:rsid w:val="00627E13"/>
    <w:rsid w:val="00630222"/>
    <w:rsid w:val="00630459"/>
    <w:rsid w:val="00630F6F"/>
    <w:rsid w:val="00631505"/>
    <w:rsid w:val="00632245"/>
    <w:rsid w:val="0063225C"/>
    <w:rsid w:val="006327BB"/>
    <w:rsid w:val="00632FD3"/>
    <w:rsid w:val="006335EF"/>
    <w:rsid w:val="00633EE8"/>
    <w:rsid w:val="006348C2"/>
    <w:rsid w:val="00634A4C"/>
    <w:rsid w:val="00634DE6"/>
    <w:rsid w:val="0063508F"/>
    <w:rsid w:val="006372BF"/>
    <w:rsid w:val="00637322"/>
    <w:rsid w:val="00637434"/>
    <w:rsid w:val="0063785D"/>
    <w:rsid w:val="0064055F"/>
    <w:rsid w:val="0064076F"/>
    <w:rsid w:val="00640CA8"/>
    <w:rsid w:val="006418E5"/>
    <w:rsid w:val="006421EA"/>
    <w:rsid w:val="00642772"/>
    <w:rsid w:val="00642ED3"/>
    <w:rsid w:val="006431C8"/>
    <w:rsid w:val="006439AE"/>
    <w:rsid w:val="006441C1"/>
    <w:rsid w:val="006446BC"/>
    <w:rsid w:val="0064578A"/>
    <w:rsid w:val="00645953"/>
    <w:rsid w:val="00646614"/>
    <w:rsid w:val="00646BC6"/>
    <w:rsid w:val="00646CCC"/>
    <w:rsid w:val="00646D03"/>
    <w:rsid w:val="00651109"/>
    <w:rsid w:val="006517A0"/>
    <w:rsid w:val="00651A1C"/>
    <w:rsid w:val="006536AF"/>
    <w:rsid w:val="00654230"/>
    <w:rsid w:val="00655371"/>
    <w:rsid w:val="00655DFD"/>
    <w:rsid w:val="006562D8"/>
    <w:rsid w:val="00656B2E"/>
    <w:rsid w:val="00656B88"/>
    <w:rsid w:val="00657332"/>
    <w:rsid w:val="00657C33"/>
    <w:rsid w:val="006605F9"/>
    <w:rsid w:val="006606BF"/>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2890"/>
    <w:rsid w:val="00672B19"/>
    <w:rsid w:val="00673B1C"/>
    <w:rsid w:val="00674A59"/>
    <w:rsid w:val="00674C74"/>
    <w:rsid w:val="00674DC4"/>
    <w:rsid w:val="00675260"/>
    <w:rsid w:val="00675350"/>
    <w:rsid w:val="0067650E"/>
    <w:rsid w:val="0067657F"/>
    <w:rsid w:val="00676E14"/>
    <w:rsid w:val="00676F2E"/>
    <w:rsid w:val="00677896"/>
    <w:rsid w:val="00677AAE"/>
    <w:rsid w:val="00677ABE"/>
    <w:rsid w:val="00677DB8"/>
    <w:rsid w:val="00680141"/>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B91"/>
    <w:rsid w:val="006925DD"/>
    <w:rsid w:val="006928AC"/>
    <w:rsid w:val="00692BB2"/>
    <w:rsid w:val="00692BFF"/>
    <w:rsid w:val="00693091"/>
    <w:rsid w:val="006948AC"/>
    <w:rsid w:val="00694D39"/>
    <w:rsid w:val="006953CA"/>
    <w:rsid w:val="006954EC"/>
    <w:rsid w:val="006959D6"/>
    <w:rsid w:val="00695EC8"/>
    <w:rsid w:val="00696909"/>
    <w:rsid w:val="00697114"/>
    <w:rsid w:val="00697BC6"/>
    <w:rsid w:val="00697E84"/>
    <w:rsid w:val="006A1B84"/>
    <w:rsid w:val="006A1FEF"/>
    <w:rsid w:val="006A27C2"/>
    <w:rsid w:val="006A2EBD"/>
    <w:rsid w:val="006A3009"/>
    <w:rsid w:val="006A3ACE"/>
    <w:rsid w:val="006A3E7B"/>
    <w:rsid w:val="006A4D9B"/>
    <w:rsid w:val="006A6950"/>
    <w:rsid w:val="006A7210"/>
    <w:rsid w:val="006A757D"/>
    <w:rsid w:val="006A7B32"/>
    <w:rsid w:val="006B002A"/>
    <w:rsid w:val="006B130C"/>
    <w:rsid w:val="006B15F2"/>
    <w:rsid w:val="006B28B5"/>
    <w:rsid w:val="006B32C8"/>
    <w:rsid w:val="006B3A46"/>
    <w:rsid w:val="006B5301"/>
    <w:rsid w:val="006B5544"/>
    <w:rsid w:val="006B698B"/>
    <w:rsid w:val="006B7C2C"/>
    <w:rsid w:val="006C1A19"/>
    <w:rsid w:val="006C221E"/>
    <w:rsid w:val="006C376B"/>
    <w:rsid w:val="006C4319"/>
    <w:rsid w:val="006C440B"/>
    <w:rsid w:val="006C453C"/>
    <w:rsid w:val="006C45C7"/>
    <w:rsid w:val="006C4881"/>
    <w:rsid w:val="006C4BC0"/>
    <w:rsid w:val="006C50E7"/>
    <w:rsid w:val="006C5C73"/>
    <w:rsid w:val="006C5DC3"/>
    <w:rsid w:val="006C616B"/>
    <w:rsid w:val="006C63FB"/>
    <w:rsid w:val="006C6D72"/>
    <w:rsid w:val="006D0115"/>
    <w:rsid w:val="006D0279"/>
    <w:rsid w:val="006D03DF"/>
    <w:rsid w:val="006D1327"/>
    <w:rsid w:val="006D1F03"/>
    <w:rsid w:val="006D1F8F"/>
    <w:rsid w:val="006D2971"/>
    <w:rsid w:val="006D2E24"/>
    <w:rsid w:val="006D38EB"/>
    <w:rsid w:val="006D4A4A"/>
    <w:rsid w:val="006D4ADB"/>
    <w:rsid w:val="006D4D36"/>
    <w:rsid w:val="006D6E79"/>
    <w:rsid w:val="006E017B"/>
    <w:rsid w:val="006E06A9"/>
    <w:rsid w:val="006E0888"/>
    <w:rsid w:val="006E097F"/>
    <w:rsid w:val="006E0E4A"/>
    <w:rsid w:val="006E1778"/>
    <w:rsid w:val="006E17B0"/>
    <w:rsid w:val="006E1A8C"/>
    <w:rsid w:val="006E2595"/>
    <w:rsid w:val="006E2694"/>
    <w:rsid w:val="006E2A1F"/>
    <w:rsid w:val="006E2A78"/>
    <w:rsid w:val="006E4FB2"/>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6F5"/>
    <w:rsid w:val="006F3A64"/>
    <w:rsid w:val="006F5987"/>
    <w:rsid w:val="006F5F1A"/>
    <w:rsid w:val="006F6C67"/>
    <w:rsid w:val="006F6EB9"/>
    <w:rsid w:val="006F7078"/>
    <w:rsid w:val="00700222"/>
    <w:rsid w:val="007002FB"/>
    <w:rsid w:val="0070040B"/>
    <w:rsid w:val="007008C7"/>
    <w:rsid w:val="007008D0"/>
    <w:rsid w:val="00701188"/>
    <w:rsid w:val="0070137E"/>
    <w:rsid w:val="0070287D"/>
    <w:rsid w:val="00702DB9"/>
    <w:rsid w:val="00702E2E"/>
    <w:rsid w:val="00703F39"/>
    <w:rsid w:val="0070554F"/>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4DED"/>
    <w:rsid w:val="007157C8"/>
    <w:rsid w:val="007161CE"/>
    <w:rsid w:val="00716B38"/>
    <w:rsid w:val="00717EE2"/>
    <w:rsid w:val="007206D3"/>
    <w:rsid w:val="00721BEF"/>
    <w:rsid w:val="00722055"/>
    <w:rsid w:val="007228F2"/>
    <w:rsid w:val="00722C23"/>
    <w:rsid w:val="007246ED"/>
    <w:rsid w:val="0072578A"/>
    <w:rsid w:val="00725A8D"/>
    <w:rsid w:val="00727851"/>
    <w:rsid w:val="00727B18"/>
    <w:rsid w:val="00727FA5"/>
    <w:rsid w:val="007314A9"/>
    <w:rsid w:val="007318E5"/>
    <w:rsid w:val="00731984"/>
    <w:rsid w:val="00733157"/>
    <w:rsid w:val="007333F4"/>
    <w:rsid w:val="00733EE3"/>
    <w:rsid w:val="00733F89"/>
    <w:rsid w:val="00734A03"/>
    <w:rsid w:val="007372F4"/>
    <w:rsid w:val="00737A2D"/>
    <w:rsid w:val="00737FDC"/>
    <w:rsid w:val="007400AC"/>
    <w:rsid w:val="007406F0"/>
    <w:rsid w:val="0074189A"/>
    <w:rsid w:val="00741BAA"/>
    <w:rsid w:val="00741E2A"/>
    <w:rsid w:val="007421DB"/>
    <w:rsid w:val="0074274E"/>
    <w:rsid w:val="00744BA5"/>
    <w:rsid w:val="0074528C"/>
    <w:rsid w:val="00745567"/>
    <w:rsid w:val="00745D02"/>
    <w:rsid w:val="00745D65"/>
    <w:rsid w:val="00745F54"/>
    <w:rsid w:val="007461D4"/>
    <w:rsid w:val="007463A4"/>
    <w:rsid w:val="00746C32"/>
    <w:rsid w:val="00747802"/>
    <w:rsid w:val="00747E9F"/>
    <w:rsid w:val="00747F86"/>
    <w:rsid w:val="00750184"/>
    <w:rsid w:val="007520CE"/>
    <w:rsid w:val="00752414"/>
    <w:rsid w:val="00752573"/>
    <w:rsid w:val="00752A09"/>
    <w:rsid w:val="007548EC"/>
    <w:rsid w:val="00754B63"/>
    <w:rsid w:val="0075548A"/>
    <w:rsid w:val="00756180"/>
    <w:rsid w:val="00756636"/>
    <w:rsid w:val="007566F3"/>
    <w:rsid w:val="00756BC6"/>
    <w:rsid w:val="00756F23"/>
    <w:rsid w:val="00757736"/>
    <w:rsid w:val="00760777"/>
    <w:rsid w:val="00762B3F"/>
    <w:rsid w:val="00762B7E"/>
    <w:rsid w:val="007637A9"/>
    <w:rsid w:val="00763B8B"/>
    <w:rsid w:val="0076417B"/>
    <w:rsid w:val="00764C92"/>
    <w:rsid w:val="007651DB"/>
    <w:rsid w:val="0076552A"/>
    <w:rsid w:val="007674EC"/>
    <w:rsid w:val="007675BE"/>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A67"/>
    <w:rsid w:val="00780A9A"/>
    <w:rsid w:val="00780AC7"/>
    <w:rsid w:val="00780BED"/>
    <w:rsid w:val="00781105"/>
    <w:rsid w:val="007816AC"/>
    <w:rsid w:val="007817D3"/>
    <w:rsid w:val="0078183C"/>
    <w:rsid w:val="00781D05"/>
    <w:rsid w:val="007823ED"/>
    <w:rsid w:val="007838C6"/>
    <w:rsid w:val="007839AA"/>
    <w:rsid w:val="00783C5E"/>
    <w:rsid w:val="00784784"/>
    <w:rsid w:val="0078491B"/>
    <w:rsid w:val="00784D14"/>
    <w:rsid w:val="00784F1D"/>
    <w:rsid w:val="0078588F"/>
    <w:rsid w:val="00787636"/>
    <w:rsid w:val="00787B5A"/>
    <w:rsid w:val="007906B4"/>
    <w:rsid w:val="00791372"/>
    <w:rsid w:val="007916AA"/>
    <w:rsid w:val="007919DB"/>
    <w:rsid w:val="00791A91"/>
    <w:rsid w:val="007929EE"/>
    <w:rsid w:val="00792B92"/>
    <w:rsid w:val="00792E68"/>
    <w:rsid w:val="00792FF5"/>
    <w:rsid w:val="007930CD"/>
    <w:rsid w:val="00793F64"/>
    <w:rsid w:val="00795243"/>
    <w:rsid w:val="0079532A"/>
    <w:rsid w:val="00795D00"/>
    <w:rsid w:val="0079678C"/>
    <w:rsid w:val="00796F83"/>
    <w:rsid w:val="007972C6"/>
    <w:rsid w:val="00797CE7"/>
    <w:rsid w:val="007A0950"/>
    <w:rsid w:val="007A2176"/>
    <w:rsid w:val="007A2429"/>
    <w:rsid w:val="007A27C4"/>
    <w:rsid w:val="007A34D9"/>
    <w:rsid w:val="007A3771"/>
    <w:rsid w:val="007A39B7"/>
    <w:rsid w:val="007A3A5D"/>
    <w:rsid w:val="007A41EC"/>
    <w:rsid w:val="007A5446"/>
    <w:rsid w:val="007A5766"/>
    <w:rsid w:val="007A5863"/>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623D"/>
    <w:rsid w:val="007B7058"/>
    <w:rsid w:val="007B74E0"/>
    <w:rsid w:val="007B77EC"/>
    <w:rsid w:val="007B785D"/>
    <w:rsid w:val="007B7B20"/>
    <w:rsid w:val="007C164A"/>
    <w:rsid w:val="007C236F"/>
    <w:rsid w:val="007C2738"/>
    <w:rsid w:val="007C2746"/>
    <w:rsid w:val="007C2BCF"/>
    <w:rsid w:val="007C3645"/>
    <w:rsid w:val="007C429E"/>
    <w:rsid w:val="007C445E"/>
    <w:rsid w:val="007C4B10"/>
    <w:rsid w:val="007C56A9"/>
    <w:rsid w:val="007C5785"/>
    <w:rsid w:val="007C627E"/>
    <w:rsid w:val="007C6C74"/>
    <w:rsid w:val="007C76C8"/>
    <w:rsid w:val="007D03D2"/>
    <w:rsid w:val="007D0A66"/>
    <w:rsid w:val="007D27D9"/>
    <w:rsid w:val="007D2842"/>
    <w:rsid w:val="007D3061"/>
    <w:rsid w:val="007D376D"/>
    <w:rsid w:val="007D3BA1"/>
    <w:rsid w:val="007D401F"/>
    <w:rsid w:val="007D4F2C"/>
    <w:rsid w:val="007D5151"/>
    <w:rsid w:val="007D7383"/>
    <w:rsid w:val="007D7E2A"/>
    <w:rsid w:val="007E1113"/>
    <w:rsid w:val="007E155F"/>
    <w:rsid w:val="007E1BDD"/>
    <w:rsid w:val="007E20BA"/>
    <w:rsid w:val="007E28AC"/>
    <w:rsid w:val="007E2928"/>
    <w:rsid w:val="007E2AA9"/>
    <w:rsid w:val="007E2C07"/>
    <w:rsid w:val="007E3350"/>
    <w:rsid w:val="007E3ABE"/>
    <w:rsid w:val="007E455D"/>
    <w:rsid w:val="007E467A"/>
    <w:rsid w:val="007E51A5"/>
    <w:rsid w:val="007E5E3C"/>
    <w:rsid w:val="007E6085"/>
    <w:rsid w:val="007E65BE"/>
    <w:rsid w:val="007E69AB"/>
    <w:rsid w:val="007E6BB3"/>
    <w:rsid w:val="007F042F"/>
    <w:rsid w:val="007F081A"/>
    <w:rsid w:val="007F0A0A"/>
    <w:rsid w:val="007F1727"/>
    <w:rsid w:val="007F1B48"/>
    <w:rsid w:val="007F1D70"/>
    <w:rsid w:val="007F1E8C"/>
    <w:rsid w:val="007F2464"/>
    <w:rsid w:val="007F248C"/>
    <w:rsid w:val="007F3C2C"/>
    <w:rsid w:val="007F441B"/>
    <w:rsid w:val="007F5555"/>
    <w:rsid w:val="007F5AD1"/>
    <w:rsid w:val="007F5EF6"/>
    <w:rsid w:val="007F6A57"/>
    <w:rsid w:val="007F6BBF"/>
    <w:rsid w:val="007F6EAA"/>
    <w:rsid w:val="007F782D"/>
    <w:rsid w:val="00800136"/>
    <w:rsid w:val="00800575"/>
    <w:rsid w:val="00801CCA"/>
    <w:rsid w:val="0080270C"/>
    <w:rsid w:val="0080270E"/>
    <w:rsid w:val="00802783"/>
    <w:rsid w:val="0080290B"/>
    <w:rsid w:val="0080417F"/>
    <w:rsid w:val="008043A1"/>
    <w:rsid w:val="008045E4"/>
    <w:rsid w:val="008051C9"/>
    <w:rsid w:val="00806D25"/>
    <w:rsid w:val="008110DA"/>
    <w:rsid w:val="0081135B"/>
    <w:rsid w:val="00812EDE"/>
    <w:rsid w:val="0081304C"/>
    <w:rsid w:val="00813373"/>
    <w:rsid w:val="0081353E"/>
    <w:rsid w:val="00814CE6"/>
    <w:rsid w:val="0081696A"/>
    <w:rsid w:val="00816EBB"/>
    <w:rsid w:val="008170CE"/>
    <w:rsid w:val="00817642"/>
    <w:rsid w:val="0082018D"/>
    <w:rsid w:val="00821C08"/>
    <w:rsid w:val="00821D78"/>
    <w:rsid w:val="0082313D"/>
    <w:rsid w:val="00823153"/>
    <w:rsid w:val="008235A6"/>
    <w:rsid w:val="00823718"/>
    <w:rsid w:val="008240B3"/>
    <w:rsid w:val="0082410C"/>
    <w:rsid w:val="00824186"/>
    <w:rsid w:val="008248CE"/>
    <w:rsid w:val="00826265"/>
    <w:rsid w:val="00826288"/>
    <w:rsid w:val="008264E8"/>
    <w:rsid w:val="00826980"/>
    <w:rsid w:val="008277D5"/>
    <w:rsid w:val="008303D2"/>
    <w:rsid w:val="008313D1"/>
    <w:rsid w:val="008325BF"/>
    <w:rsid w:val="00832658"/>
    <w:rsid w:val="00832E14"/>
    <w:rsid w:val="00833150"/>
    <w:rsid w:val="00834231"/>
    <w:rsid w:val="008344B3"/>
    <w:rsid w:val="00834CEE"/>
    <w:rsid w:val="00834EA0"/>
    <w:rsid w:val="00836163"/>
    <w:rsid w:val="008368B9"/>
    <w:rsid w:val="008368E9"/>
    <w:rsid w:val="00837134"/>
    <w:rsid w:val="0083735B"/>
    <w:rsid w:val="0083787C"/>
    <w:rsid w:val="008378CA"/>
    <w:rsid w:val="00840131"/>
    <w:rsid w:val="008403BF"/>
    <w:rsid w:val="00840A7D"/>
    <w:rsid w:val="00841D48"/>
    <w:rsid w:val="00842CE2"/>
    <w:rsid w:val="0084355E"/>
    <w:rsid w:val="008439AB"/>
    <w:rsid w:val="00844042"/>
    <w:rsid w:val="008447D4"/>
    <w:rsid w:val="008464F6"/>
    <w:rsid w:val="00846FC6"/>
    <w:rsid w:val="0084736E"/>
    <w:rsid w:val="00847BDD"/>
    <w:rsid w:val="00851680"/>
    <w:rsid w:val="00851BBA"/>
    <w:rsid w:val="0085254F"/>
    <w:rsid w:val="00852DE2"/>
    <w:rsid w:val="008540D0"/>
    <w:rsid w:val="00854918"/>
    <w:rsid w:val="008553AA"/>
    <w:rsid w:val="00855BAE"/>
    <w:rsid w:val="00856DFA"/>
    <w:rsid w:val="00857B23"/>
    <w:rsid w:val="0086027E"/>
    <w:rsid w:val="008603B7"/>
    <w:rsid w:val="00861681"/>
    <w:rsid w:val="00861B04"/>
    <w:rsid w:val="00863552"/>
    <w:rsid w:val="00863A44"/>
    <w:rsid w:val="00864042"/>
    <w:rsid w:val="00864AE7"/>
    <w:rsid w:val="00864B06"/>
    <w:rsid w:val="00865BC3"/>
    <w:rsid w:val="0086628D"/>
    <w:rsid w:val="008662A7"/>
    <w:rsid w:val="0086762E"/>
    <w:rsid w:val="00867691"/>
    <w:rsid w:val="00867E3B"/>
    <w:rsid w:val="00870161"/>
    <w:rsid w:val="00870708"/>
    <w:rsid w:val="00870782"/>
    <w:rsid w:val="008707B8"/>
    <w:rsid w:val="00871C82"/>
    <w:rsid w:val="008723AE"/>
    <w:rsid w:val="008726D6"/>
    <w:rsid w:val="008732ED"/>
    <w:rsid w:val="008733D7"/>
    <w:rsid w:val="008737F3"/>
    <w:rsid w:val="00873938"/>
    <w:rsid w:val="00873A79"/>
    <w:rsid w:val="00874C47"/>
    <w:rsid w:val="00874D4F"/>
    <w:rsid w:val="00874DFA"/>
    <w:rsid w:val="008755B8"/>
    <w:rsid w:val="00875AAC"/>
    <w:rsid w:val="00875D0E"/>
    <w:rsid w:val="00875EFD"/>
    <w:rsid w:val="00876641"/>
    <w:rsid w:val="008771EE"/>
    <w:rsid w:val="0087737B"/>
    <w:rsid w:val="00877D5F"/>
    <w:rsid w:val="00880E16"/>
    <w:rsid w:val="00880F2B"/>
    <w:rsid w:val="00881330"/>
    <w:rsid w:val="008817D2"/>
    <w:rsid w:val="00881C8C"/>
    <w:rsid w:val="00882464"/>
    <w:rsid w:val="00882833"/>
    <w:rsid w:val="00882FC1"/>
    <w:rsid w:val="00883CEE"/>
    <w:rsid w:val="00883D25"/>
    <w:rsid w:val="00884A53"/>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3FAF"/>
    <w:rsid w:val="00894B07"/>
    <w:rsid w:val="00894D05"/>
    <w:rsid w:val="00894EE4"/>
    <w:rsid w:val="0089507F"/>
    <w:rsid w:val="00896C03"/>
    <w:rsid w:val="00896EFD"/>
    <w:rsid w:val="008974FE"/>
    <w:rsid w:val="00897F5D"/>
    <w:rsid w:val="008A01B8"/>
    <w:rsid w:val="008A0F38"/>
    <w:rsid w:val="008A1BF8"/>
    <w:rsid w:val="008A1E13"/>
    <w:rsid w:val="008A353B"/>
    <w:rsid w:val="008A54E7"/>
    <w:rsid w:val="008A5BDF"/>
    <w:rsid w:val="008A6A26"/>
    <w:rsid w:val="008A6BAF"/>
    <w:rsid w:val="008A6F28"/>
    <w:rsid w:val="008A7640"/>
    <w:rsid w:val="008A79A1"/>
    <w:rsid w:val="008B08A8"/>
    <w:rsid w:val="008B0934"/>
    <w:rsid w:val="008B09E4"/>
    <w:rsid w:val="008B0B15"/>
    <w:rsid w:val="008B10CB"/>
    <w:rsid w:val="008B17E9"/>
    <w:rsid w:val="008B1E15"/>
    <w:rsid w:val="008B1E21"/>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3975"/>
    <w:rsid w:val="008C47BA"/>
    <w:rsid w:val="008C5185"/>
    <w:rsid w:val="008C55EB"/>
    <w:rsid w:val="008C67E5"/>
    <w:rsid w:val="008C6C0B"/>
    <w:rsid w:val="008C73C3"/>
    <w:rsid w:val="008C766F"/>
    <w:rsid w:val="008D0819"/>
    <w:rsid w:val="008D0859"/>
    <w:rsid w:val="008D14CF"/>
    <w:rsid w:val="008D297A"/>
    <w:rsid w:val="008D2B08"/>
    <w:rsid w:val="008D35B1"/>
    <w:rsid w:val="008D4205"/>
    <w:rsid w:val="008D49C9"/>
    <w:rsid w:val="008D5FAB"/>
    <w:rsid w:val="008D6020"/>
    <w:rsid w:val="008D63E9"/>
    <w:rsid w:val="008D6BBC"/>
    <w:rsid w:val="008D7455"/>
    <w:rsid w:val="008D74D0"/>
    <w:rsid w:val="008D74EB"/>
    <w:rsid w:val="008D7BCB"/>
    <w:rsid w:val="008E0C42"/>
    <w:rsid w:val="008E1494"/>
    <w:rsid w:val="008E15EA"/>
    <w:rsid w:val="008E1B5A"/>
    <w:rsid w:val="008E2F74"/>
    <w:rsid w:val="008E3532"/>
    <w:rsid w:val="008E3E3E"/>
    <w:rsid w:val="008E4681"/>
    <w:rsid w:val="008E5216"/>
    <w:rsid w:val="008E55F1"/>
    <w:rsid w:val="008E68A7"/>
    <w:rsid w:val="008E728C"/>
    <w:rsid w:val="008E7327"/>
    <w:rsid w:val="008E78BF"/>
    <w:rsid w:val="008F01F0"/>
    <w:rsid w:val="008F03CC"/>
    <w:rsid w:val="008F087E"/>
    <w:rsid w:val="008F189D"/>
    <w:rsid w:val="008F1B54"/>
    <w:rsid w:val="008F255D"/>
    <w:rsid w:val="008F2853"/>
    <w:rsid w:val="008F3209"/>
    <w:rsid w:val="008F3A03"/>
    <w:rsid w:val="008F3FDD"/>
    <w:rsid w:val="008F64D5"/>
    <w:rsid w:val="008F702F"/>
    <w:rsid w:val="008F70E1"/>
    <w:rsid w:val="008F735D"/>
    <w:rsid w:val="008F78C0"/>
    <w:rsid w:val="009012A5"/>
    <w:rsid w:val="00901A8A"/>
    <w:rsid w:val="0090208D"/>
    <w:rsid w:val="009024C4"/>
    <w:rsid w:val="009029DE"/>
    <w:rsid w:val="0090316E"/>
    <w:rsid w:val="009032CC"/>
    <w:rsid w:val="0090353B"/>
    <w:rsid w:val="009040EB"/>
    <w:rsid w:val="009045E3"/>
    <w:rsid w:val="0090627F"/>
    <w:rsid w:val="0090766A"/>
    <w:rsid w:val="00907B64"/>
    <w:rsid w:val="009101A0"/>
    <w:rsid w:val="009101A1"/>
    <w:rsid w:val="0091055F"/>
    <w:rsid w:val="009115D6"/>
    <w:rsid w:val="00912AAC"/>
    <w:rsid w:val="00913442"/>
    <w:rsid w:val="00913CB2"/>
    <w:rsid w:val="00913E0F"/>
    <w:rsid w:val="00915D22"/>
    <w:rsid w:val="00915ECE"/>
    <w:rsid w:val="0091610D"/>
    <w:rsid w:val="009163AD"/>
    <w:rsid w:val="009166B8"/>
    <w:rsid w:val="00916EFB"/>
    <w:rsid w:val="009201EE"/>
    <w:rsid w:val="009209BD"/>
    <w:rsid w:val="009212C2"/>
    <w:rsid w:val="00921361"/>
    <w:rsid w:val="0092191C"/>
    <w:rsid w:val="00922464"/>
    <w:rsid w:val="00922D98"/>
    <w:rsid w:val="00923600"/>
    <w:rsid w:val="0092394D"/>
    <w:rsid w:val="00923AC1"/>
    <w:rsid w:val="00923BAC"/>
    <w:rsid w:val="00923E46"/>
    <w:rsid w:val="00923E7D"/>
    <w:rsid w:val="00925FA1"/>
    <w:rsid w:val="00926019"/>
    <w:rsid w:val="00926A42"/>
    <w:rsid w:val="0092700E"/>
    <w:rsid w:val="00927194"/>
    <w:rsid w:val="009276B1"/>
    <w:rsid w:val="009301AE"/>
    <w:rsid w:val="0093039C"/>
    <w:rsid w:val="00930F58"/>
    <w:rsid w:val="00932182"/>
    <w:rsid w:val="00932A54"/>
    <w:rsid w:val="00932C21"/>
    <w:rsid w:val="00933057"/>
    <w:rsid w:val="009333DA"/>
    <w:rsid w:val="0093379B"/>
    <w:rsid w:val="00933B5D"/>
    <w:rsid w:val="00933BE8"/>
    <w:rsid w:val="00933C65"/>
    <w:rsid w:val="00933CA9"/>
    <w:rsid w:val="00934CDB"/>
    <w:rsid w:val="00936B38"/>
    <w:rsid w:val="00936B7E"/>
    <w:rsid w:val="00937046"/>
    <w:rsid w:val="009370FF"/>
    <w:rsid w:val="009375FD"/>
    <w:rsid w:val="00937911"/>
    <w:rsid w:val="00941CE3"/>
    <w:rsid w:val="00942B91"/>
    <w:rsid w:val="00943A37"/>
    <w:rsid w:val="00944258"/>
    <w:rsid w:val="00944518"/>
    <w:rsid w:val="00944F09"/>
    <w:rsid w:val="0094537C"/>
    <w:rsid w:val="00945899"/>
    <w:rsid w:val="009460D9"/>
    <w:rsid w:val="00946B3E"/>
    <w:rsid w:val="00946D21"/>
    <w:rsid w:val="009474A0"/>
    <w:rsid w:val="00947ACC"/>
    <w:rsid w:val="00947B58"/>
    <w:rsid w:val="00947ECA"/>
    <w:rsid w:val="00950865"/>
    <w:rsid w:val="00950C35"/>
    <w:rsid w:val="00951444"/>
    <w:rsid w:val="00951816"/>
    <w:rsid w:val="0095273E"/>
    <w:rsid w:val="00952C40"/>
    <w:rsid w:val="00953589"/>
    <w:rsid w:val="009535F6"/>
    <w:rsid w:val="00953A15"/>
    <w:rsid w:val="00954DB3"/>
    <w:rsid w:val="00955755"/>
    <w:rsid w:val="00956091"/>
    <w:rsid w:val="009564B0"/>
    <w:rsid w:val="00957D5A"/>
    <w:rsid w:val="0096023A"/>
    <w:rsid w:val="009602F2"/>
    <w:rsid w:val="0096059E"/>
    <w:rsid w:val="00960F4B"/>
    <w:rsid w:val="0096139B"/>
    <w:rsid w:val="00961AFF"/>
    <w:rsid w:val="009634B8"/>
    <w:rsid w:val="0096394B"/>
    <w:rsid w:val="00963ED8"/>
    <w:rsid w:val="009640D3"/>
    <w:rsid w:val="00964D5A"/>
    <w:rsid w:val="00965C2C"/>
    <w:rsid w:val="00966078"/>
    <w:rsid w:val="00966CA6"/>
    <w:rsid w:val="00970C34"/>
    <w:rsid w:val="0097102C"/>
    <w:rsid w:val="00972702"/>
    <w:rsid w:val="0097275B"/>
    <w:rsid w:val="0097285E"/>
    <w:rsid w:val="00972ED7"/>
    <w:rsid w:val="00973519"/>
    <w:rsid w:val="00973A11"/>
    <w:rsid w:val="0097533B"/>
    <w:rsid w:val="0097578C"/>
    <w:rsid w:val="0097581D"/>
    <w:rsid w:val="00975B95"/>
    <w:rsid w:val="00976CE7"/>
    <w:rsid w:val="00976F30"/>
    <w:rsid w:val="00976F92"/>
    <w:rsid w:val="00977563"/>
    <w:rsid w:val="00977A76"/>
    <w:rsid w:val="00980019"/>
    <w:rsid w:val="009804CB"/>
    <w:rsid w:val="009806F1"/>
    <w:rsid w:val="009811F7"/>
    <w:rsid w:val="0098199C"/>
    <w:rsid w:val="00982F14"/>
    <w:rsid w:val="00983CBC"/>
    <w:rsid w:val="00983CFE"/>
    <w:rsid w:val="009842DC"/>
    <w:rsid w:val="0098438F"/>
    <w:rsid w:val="00984EEA"/>
    <w:rsid w:val="00984FC0"/>
    <w:rsid w:val="0098554F"/>
    <w:rsid w:val="009855AE"/>
    <w:rsid w:val="00985667"/>
    <w:rsid w:val="00986287"/>
    <w:rsid w:val="009875FA"/>
    <w:rsid w:val="0098764F"/>
    <w:rsid w:val="0098784D"/>
    <w:rsid w:val="009878CD"/>
    <w:rsid w:val="00987C93"/>
    <w:rsid w:val="00987EA5"/>
    <w:rsid w:val="0099023B"/>
    <w:rsid w:val="009909C3"/>
    <w:rsid w:val="00991216"/>
    <w:rsid w:val="00991349"/>
    <w:rsid w:val="00991354"/>
    <w:rsid w:val="009913D2"/>
    <w:rsid w:val="00991A65"/>
    <w:rsid w:val="00992415"/>
    <w:rsid w:val="009924AE"/>
    <w:rsid w:val="009934BD"/>
    <w:rsid w:val="009935C1"/>
    <w:rsid w:val="00993943"/>
    <w:rsid w:val="00993F01"/>
    <w:rsid w:val="00994035"/>
    <w:rsid w:val="0099441A"/>
    <w:rsid w:val="0099476D"/>
    <w:rsid w:val="009960CC"/>
    <w:rsid w:val="00996724"/>
    <w:rsid w:val="00996779"/>
    <w:rsid w:val="009A0607"/>
    <w:rsid w:val="009A3457"/>
    <w:rsid w:val="009A357E"/>
    <w:rsid w:val="009A368D"/>
    <w:rsid w:val="009A3D96"/>
    <w:rsid w:val="009A3E02"/>
    <w:rsid w:val="009A4829"/>
    <w:rsid w:val="009A4ACF"/>
    <w:rsid w:val="009A621B"/>
    <w:rsid w:val="009A6ECD"/>
    <w:rsid w:val="009A6EFC"/>
    <w:rsid w:val="009A7E33"/>
    <w:rsid w:val="009B0780"/>
    <w:rsid w:val="009B11D0"/>
    <w:rsid w:val="009B13CF"/>
    <w:rsid w:val="009B16B7"/>
    <w:rsid w:val="009B21D3"/>
    <w:rsid w:val="009B2D7F"/>
    <w:rsid w:val="009B2E9F"/>
    <w:rsid w:val="009B2EB9"/>
    <w:rsid w:val="009B414C"/>
    <w:rsid w:val="009B41C6"/>
    <w:rsid w:val="009B498F"/>
    <w:rsid w:val="009B51AF"/>
    <w:rsid w:val="009B53E1"/>
    <w:rsid w:val="009B5586"/>
    <w:rsid w:val="009B5934"/>
    <w:rsid w:val="009B5EB5"/>
    <w:rsid w:val="009B6EEB"/>
    <w:rsid w:val="009B7205"/>
    <w:rsid w:val="009B72F3"/>
    <w:rsid w:val="009B737A"/>
    <w:rsid w:val="009B7639"/>
    <w:rsid w:val="009B77EE"/>
    <w:rsid w:val="009B7F81"/>
    <w:rsid w:val="009C0449"/>
    <w:rsid w:val="009C04C6"/>
    <w:rsid w:val="009C0C34"/>
    <w:rsid w:val="009C0E53"/>
    <w:rsid w:val="009C13F5"/>
    <w:rsid w:val="009C14DE"/>
    <w:rsid w:val="009C20F0"/>
    <w:rsid w:val="009C336E"/>
    <w:rsid w:val="009C3B4C"/>
    <w:rsid w:val="009C4C7E"/>
    <w:rsid w:val="009C5240"/>
    <w:rsid w:val="009C566F"/>
    <w:rsid w:val="009C56FC"/>
    <w:rsid w:val="009C5ABE"/>
    <w:rsid w:val="009C6600"/>
    <w:rsid w:val="009C690C"/>
    <w:rsid w:val="009C70A3"/>
    <w:rsid w:val="009C72E1"/>
    <w:rsid w:val="009C7776"/>
    <w:rsid w:val="009C7BEF"/>
    <w:rsid w:val="009D02B7"/>
    <w:rsid w:val="009D2726"/>
    <w:rsid w:val="009D2834"/>
    <w:rsid w:val="009D4FAE"/>
    <w:rsid w:val="009D7292"/>
    <w:rsid w:val="009E0B58"/>
    <w:rsid w:val="009E147D"/>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F83"/>
    <w:rsid w:val="00A0011F"/>
    <w:rsid w:val="00A00A2A"/>
    <w:rsid w:val="00A02D8B"/>
    <w:rsid w:val="00A02DDE"/>
    <w:rsid w:val="00A0317A"/>
    <w:rsid w:val="00A035A2"/>
    <w:rsid w:val="00A0362D"/>
    <w:rsid w:val="00A037BD"/>
    <w:rsid w:val="00A0384A"/>
    <w:rsid w:val="00A03C44"/>
    <w:rsid w:val="00A041E4"/>
    <w:rsid w:val="00A045F2"/>
    <w:rsid w:val="00A06BDD"/>
    <w:rsid w:val="00A07308"/>
    <w:rsid w:val="00A07345"/>
    <w:rsid w:val="00A07D1C"/>
    <w:rsid w:val="00A07F05"/>
    <w:rsid w:val="00A112F0"/>
    <w:rsid w:val="00A11DD5"/>
    <w:rsid w:val="00A1544B"/>
    <w:rsid w:val="00A1659E"/>
    <w:rsid w:val="00A16FAC"/>
    <w:rsid w:val="00A178A9"/>
    <w:rsid w:val="00A17D48"/>
    <w:rsid w:val="00A20927"/>
    <w:rsid w:val="00A21479"/>
    <w:rsid w:val="00A21640"/>
    <w:rsid w:val="00A21747"/>
    <w:rsid w:val="00A2188E"/>
    <w:rsid w:val="00A224F8"/>
    <w:rsid w:val="00A22832"/>
    <w:rsid w:val="00A22AB4"/>
    <w:rsid w:val="00A23FB0"/>
    <w:rsid w:val="00A241BD"/>
    <w:rsid w:val="00A251F4"/>
    <w:rsid w:val="00A26358"/>
    <w:rsid w:val="00A26652"/>
    <w:rsid w:val="00A26AC9"/>
    <w:rsid w:val="00A26BE1"/>
    <w:rsid w:val="00A277E4"/>
    <w:rsid w:val="00A27A5F"/>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1276"/>
    <w:rsid w:val="00A4136F"/>
    <w:rsid w:val="00A41873"/>
    <w:rsid w:val="00A41B6D"/>
    <w:rsid w:val="00A41E6E"/>
    <w:rsid w:val="00A41F5A"/>
    <w:rsid w:val="00A421B9"/>
    <w:rsid w:val="00A42493"/>
    <w:rsid w:val="00A43592"/>
    <w:rsid w:val="00A43D18"/>
    <w:rsid w:val="00A43F1F"/>
    <w:rsid w:val="00A44262"/>
    <w:rsid w:val="00A44CBD"/>
    <w:rsid w:val="00A5139A"/>
    <w:rsid w:val="00A52F63"/>
    <w:rsid w:val="00A5436E"/>
    <w:rsid w:val="00A54D38"/>
    <w:rsid w:val="00A550AE"/>
    <w:rsid w:val="00A559C9"/>
    <w:rsid w:val="00A564D4"/>
    <w:rsid w:val="00A56BA0"/>
    <w:rsid w:val="00A57F14"/>
    <w:rsid w:val="00A600ED"/>
    <w:rsid w:val="00A6080C"/>
    <w:rsid w:val="00A61E0B"/>
    <w:rsid w:val="00A6224B"/>
    <w:rsid w:val="00A623BD"/>
    <w:rsid w:val="00A62A82"/>
    <w:rsid w:val="00A6368B"/>
    <w:rsid w:val="00A63B46"/>
    <w:rsid w:val="00A64D8F"/>
    <w:rsid w:val="00A64ED2"/>
    <w:rsid w:val="00A65040"/>
    <w:rsid w:val="00A651BE"/>
    <w:rsid w:val="00A66666"/>
    <w:rsid w:val="00A677E0"/>
    <w:rsid w:val="00A67840"/>
    <w:rsid w:val="00A67966"/>
    <w:rsid w:val="00A70383"/>
    <w:rsid w:val="00A70393"/>
    <w:rsid w:val="00A719AE"/>
    <w:rsid w:val="00A734B1"/>
    <w:rsid w:val="00A74588"/>
    <w:rsid w:val="00A75216"/>
    <w:rsid w:val="00A75999"/>
    <w:rsid w:val="00A75A90"/>
    <w:rsid w:val="00A767C9"/>
    <w:rsid w:val="00A7699E"/>
    <w:rsid w:val="00A769AD"/>
    <w:rsid w:val="00A76DAA"/>
    <w:rsid w:val="00A76F0D"/>
    <w:rsid w:val="00A80636"/>
    <w:rsid w:val="00A80866"/>
    <w:rsid w:val="00A8105D"/>
    <w:rsid w:val="00A811E4"/>
    <w:rsid w:val="00A81FB6"/>
    <w:rsid w:val="00A824FE"/>
    <w:rsid w:val="00A82727"/>
    <w:rsid w:val="00A846B2"/>
    <w:rsid w:val="00A850D2"/>
    <w:rsid w:val="00A856A7"/>
    <w:rsid w:val="00A85E75"/>
    <w:rsid w:val="00A86002"/>
    <w:rsid w:val="00A86104"/>
    <w:rsid w:val="00A86836"/>
    <w:rsid w:val="00A8687B"/>
    <w:rsid w:val="00A873F7"/>
    <w:rsid w:val="00A87773"/>
    <w:rsid w:val="00A877E2"/>
    <w:rsid w:val="00A87C20"/>
    <w:rsid w:val="00A90992"/>
    <w:rsid w:val="00A90C4D"/>
    <w:rsid w:val="00A918BA"/>
    <w:rsid w:val="00A92ACF"/>
    <w:rsid w:val="00A92CE3"/>
    <w:rsid w:val="00A92DAE"/>
    <w:rsid w:val="00A93317"/>
    <w:rsid w:val="00A93F88"/>
    <w:rsid w:val="00A94055"/>
    <w:rsid w:val="00A94056"/>
    <w:rsid w:val="00A94231"/>
    <w:rsid w:val="00A94B5C"/>
    <w:rsid w:val="00A9529C"/>
    <w:rsid w:val="00A9558D"/>
    <w:rsid w:val="00A9577C"/>
    <w:rsid w:val="00A95D47"/>
    <w:rsid w:val="00A964CC"/>
    <w:rsid w:val="00A964D0"/>
    <w:rsid w:val="00A9695C"/>
    <w:rsid w:val="00A9697D"/>
    <w:rsid w:val="00A97928"/>
    <w:rsid w:val="00A97D17"/>
    <w:rsid w:val="00AA038F"/>
    <w:rsid w:val="00AA04CA"/>
    <w:rsid w:val="00AA0EB9"/>
    <w:rsid w:val="00AA13A3"/>
    <w:rsid w:val="00AA18FB"/>
    <w:rsid w:val="00AA1FD0"/>
    <w:rsid w:val="00AA2110"/>
    <w:rsid w:val="00AA2C69"/>
    <w:rsid w:val="00AA32CE"/>
    <w:rsid w:val="00AA3660"/>
    <w:rsid w:val="00AA382B"/>
    <w:rsid w:val="00AA4549"/>
    <w:rsid w:val="00AA4601"/>
    <w:rsid w:val="00AA47E3"/>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2F81"/>
    <w:rsid w:val="00AC3332"/>
    <w:rsid w:val="00AC35F0"/>
    <w:rsid w:val="00AC3ADF"/>
    <w:rsid w:val="00AC3EF5"/>
    <w:rsid w:val="00AC48F4"/>
    <w:rsid w:val="00AC5317"/>
    <w:rsid w:val="00AC5EF6"/>
    <w:rsid w:val="00AC6587"/>
    <w:rsid w:val="00AC6E1C"/>
    <w:rsid w:val="00AC7E2C"/>
    <w:rsid w:val="00AD0218"/>
    <w:rsid w:val="00AD07F8"/>
    <w:rsid w:val="00AD0E73"/>
    <w:rsid w:val="00AD0F7B"/>
    <w:rsid w:val="00AD18A8"/>
    <w:rsid w:val="00AD1F9D"/>
    <w:rsid w:val="00AD29DB"/>
    <w:rsid w:val="00AD36A2"/>
    <w:rsid w:val="00AD3A1E"/>
    <w:rsid w:val="00AD3CEC"/>
    <w:rsid w:val="00AD44EF"/>
    <w:rsid w:val="00AD45C8"/>
    <w:rsid w:val="00AD4F49"/>
    <w:rsid w:val="00AD5E9A"/>
    <w:rsid w:val="00AD66DB"/>
    <w:rsid w:val="00AD6AA9"/>
    <w:rsid w:val="00AE0B1E"/>
    <w:rsid w:val="00AE233C"/>
    <w:rsid w:val="00AE2434"/>
    <w:rsid w:val="00AE26DB"/>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73EA"/>
    <w:rsid w:val="00B00CD6"/>
    <w:rsid w:val="00B00FD2"/>
    <w:rsid w:val="00B0227F"/>
    <w:rsid w:val="00B0344F"/>
    <w:rsid w:val="00B0354B"/>
    <w:rsid w:val="00B059A7"/>
    <w:rsid w:val="00B05BCF"/>
    <w:rsid w:val="00B061BF"/>
    <w:rsid w:val="00B06780"/>
    <w:rsid w:val="00B067C4"/>
    <w:rsid w:val="00B06DC0"/>
    <w:rsid w:val="00B073F1"/>
    <w:rsid w:val="00B07B9A"/>
    <w:rsid w:val="00B07DEC"/>
    <w:rsid w:val="00B07FEE"/>
    <w:rsid w:val="00B102FC"/>
    <w:rsid w:val="00B1057D"/>
    <w:rsid w:val="00B10A34"/>
    <w:rsid w:val="00B110F4"/>
    <w:rsid w:val="00B121E6"/>
    <w:rsid w:val="00B125D5"/>
    <w:rsid w:val="00B127D2"/>
    <w:rsid w:val="00B131C6"/>
    <w:rsid w:val="00B13282"/>
    <w:rsid w:val="00B13596"/>
    <w:rsid w:val="00B156D1"/>
    <w:rsid w:val="00B16429"/>
    <w:rsid w:val="00B16808"/>
    <w:rsid w:val="00B169A4"/>
    <w:rsid w:val="00B16D9A"/>
    <w:rsid w:val="00B20176"/>
    <w:rsid w:val="00B2055C"/>
    <w:rsid w:val="00B207D8"/>
    <w:rsid w:val="00B20C48"/>
    <w:rsid w:val="00B20D3C"/>
    <w:rsid w:val="00B21604"/>
    <w:rsid w:val="00B21940"/>
    <w:rsid w:val="00B21C7D"/>
    <w:rsid w:val="00B22A72"/>
    <w:rsid w:val="00B22AC4"/>
    <w:rsid w:val="00B23174"/>
    <w:rsid w:val="00B24083"/>
    <w:rsid w:val="00B240A5"/>
    <w:rsid w:val="00B24F20"/>
    <w:rsid w:val="00B25DD6"/>
    <w:rsid w:val="00B26209"/>
    <w:rsid w:val="00B27215"/>
    <w:rsid w:val="00B27EA2"/>
    <w:rsid w:val="00B315DB"/>
    <w:rsid w:val="00B319A4"/>
    <w:rsid w:val="00B3204F"/>
    <w:rsid w:val="00B3285B"/>
    <w:rsid w:val="00B32984"/>
    <w:rsid w:val="00B337CA"/>
    <w:rsid w:val="00B33E86"/>
    <w:rsid w:val="00B3428E"/>
    <w:rsid w:val="00B34686"/>
    <w:rsid w:val="00B349AC"/>
    <w:rsid w:val="00B36577"/>
    <w:rsid w:val="00B36ED3"/>
    <w:rsid w:val="00B372A1"/>
    <w:rsid w:val="00B400DB"/>
    <w:rsid w:val="00B42F2E"/>
    <w:rsid w:val="00B43466"/>
    <w:rsid w:val="00B449D1"/>
    <w:rsid w:val="00B44C4F"/>
    <w:rsid w:val="00B45276"/>
    <w:rsid w:val="00B4541F"/>
    <w:rsid w:val="00B45583"/>
    <w:rsid w:val="00B45B7A"/>
    <w:rsid w:val="00B46195"/>
    <w:rsid w:val="00B46836"/>
    <w:rsid w:val="00B46B6A"/>
    <w:rsid w:val="00B46D80"/>
    <w:rsid w:val="00B47314"/>
    <w:rsid w:val="00B47CDE"/>
    <w:rsid w:val="00B47D08"/>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FCB"/>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1787"/>
    <w:rsid w:val="00B71B1C"/>
    <w:rsid w:val="00B71C39"/>
    <w:rsid w:val="00B721F6"/>
    <w:rsid w:val="00B731BB"/>
    <w:rsid w:val="00B734ED"/>
    <w:rsid w:val="00B73712"/>
    <w:rsid w:val="00B73A9E"/>
    <w:rsid w:val="00B74418"/>
    <w:rsid w:val="00B75816"/>
    <w:rsid w:val="00B759C0"/>
    <w:rsid w:val="00B76545"/>
    <w:rsid w:val="00B775BA"/>
    <w:rsid w:val="00B80651"/>
    <w:rsid w:val="00B82842"/>
    <w:rsid w:val="00B84155"/>
    <w:rsid w:val="00B84431"/>
    <w:rsid w:val="00B853F9"/>
    <w:rsid w:val="00B85425"/>
    <w:rsid w:val="00B85762"/>
    <w:rsid w:val="00B85D59"/>
    <w:rsid w:val="00B863E2"/>
    <w:rsid w:val="00B86B25"/>
    <w:rsid w:val="00B86F02"/>
    <w:rsid w:val="00B87693"/>
    <w:rsid w:val="00B87DB4"/>
    <w:rsid w:val="00B904E4"/>
    <w:rsid w:val="00B905FC"/>
    <w:rsid w:val="00B90FE8"/>
    <w:rsid w:val="00B9204F"/>
    <w:rsid w:val="00B929CE"/>
    <w:rsid w:val="00B92FCF"/>
    <w:rsid w:val="00B93380"/>
    <w:rsid w:val="00B9444D"/>
    <w:rsid w:val="00B945FE"/>
    <w:rsid w:val="00B954F6"/>
    <w:rsid w:val="00B95A48"/>
    <w:rsid w:val="00B970A4"/>
    <w:rsid w:val="00B97855"/>
    <w:rsid w:val="00BA03DC"/>
    <w:rsid w:val="00BA061F"/>
    <w:rsid w:val="00BA079A"/>
    <w:rsid w:val="00BA277F"/>
    <w:rsid w:val="00BA2D7D"/>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DE4"/>
    <w:rsid w:val="00BB1E00"/>
    <w:rsid w:val="00BB1E03"/>
    <w:rsid w:val="00BB2FE2"/>
    <w:rsid w:val="00BB30CF"/>
    <w:rsid w:val="00BB4421"/>
    <w:rsid w:val="00BB4887"/>
    <w:rsid w:val="00BB55ED"/>
    <w:rsid w:val="00BC11E2"/>
    <w:rsid w:val="00BC1DCC"/>
    <w:rsid w:val="00BC26C0"/>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315"/>
    <w:rsid w:val="00BD349B"/>
    <w:rsid w:val="00BD398B"/>
    <w:rsid w:val="00BD3A56"/>
    <w:rsid w:val="00BD5A3D"/>
    <w:rsid w:val="00BD61A8"/>
    <w:rsid w:val="00BD6459"/>
    <w:rsid w:val="00BD6714"/>
    <w:rsid w:val="00BD6A05"/>
    <w:rsid w:val="00BD6DE4"/>
    <w:rsid w:val="00BD6DF0"/>
    <w:rsid w:val="00BD745F"/>
    <w:rsid w:val="00BE1064"/>
    <w:rsid w:val="00BE14F4"/>
    <w:rsid w:val="00BE1820"/>
    <w:rsid w:val="00BE1D76"/>
    <w:rsid w:val="00BE1D92"/>
    <w:rsid w:val="00BE287F"/>
    <w:rsid w:val="00BE2C6C"/>
    <w:rsid w:val="00BE34DB"/>
    <w:rsid w:val="00BE3CD6"/>
    <w:rsid w:val="00BE52E7"/>
    <w:rsid w:val="00BE5BC1"/>
    <w:rsid w:val="00BE62F1"/>
    <w:rsid w:val="00BE63A7"/>
    <w:rsid w:val="00BE6828"/>
    <w:rsid w:val="00BE68FA"/>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354"/>
    <w:rsid w:val="00C013C5"/>
    <w:rsid w:val="00C02477"/>
    <w:rsid w:val="00C02AFC"/>
    <w:rsid w:val="00C043FD"/>
    <w:rsid w:val="00C0478B"/>
    <w:rsid w:val="00C047D6"/>
    <w:rsid w:val="00C04836"/>
    <w:rsid w:val="00C0489F"/>
    <w:rsid w:val="00C05234"/>
    <w:rsid w:val="00C052D3"/>
    <w:rsid w:val="00C06502"/>
    <w:rsid w:val="00C065DD"/>
    <w:rsid w:val="00C06A90"/>
    <w:rsid w:val="00C06B2A"/>
    <w:rsid w:val="00C07078"/>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3AA"/>
    <w:rsid w:val="00C2243A"/>
    <w:rsid w:val="00C22D7C"/>
    <w:rsid w:val="00C22E37"/>
    <w:rsid w:val="00C2370D"/>
    <w:rsid w:val="00C24249"/>
    <w:rsid w:val="00C2518F"/>
    <w:rsid w:val="00C2627F"/>
    <w:rsid w:val="00C26FDC"/>
    <w:rsid w:val="00C27520"/>
    <w:rsid w:val="00C27B79"/>
    <w:rsid w:val="00C3079D"/>
    <w:rsid w:val="00C30DA7"/>
    <w:rsid w:val="00C310A9"/>
    <w:rsid w:val="00C31837"/>
    <w:rsid w:val="00C31A2D"/>
    <w:rsid w:val="00C320FB"/>
    <w:rsid w:val="00C32173"/>
    <w:rsid w:val="00C322EE"/>
    <w:rsid w:val="00C328BF"/>
    <w:rsid w:val="00C3378A"/>
    <w:rsid w:val="00C34F6E"/>
    <w:rsid w:val="00C34FEB"/>
    <w:rsid w:val="00C357FE"/>
    <w:rsid w:val="00C364E8"/>
    <w:rsid w:val="00C36F60"/>
    <w:rsid w:val="00C378AD"/>
    <w:rsid w:val="00C40861"/>
    <w:rsid w:val="00C4131C"/>
    <w:rsid w:val="00C421C7"/>
    <w:rsid w:val="00C42572"/>
    <w:rsid w:val="00C42630"/>
    <w:rsid w:val="00C426F8"/>
    <w:rsid w:val="00C4304E"/>
    <w:rsid w:val="00C4350F"/>
    <w:rsid w:val="00C43B95"/>
    <w:rsid w:val="00C43D50"/>
    <w:rsid w:val="00C43F65"/>
    <w:rsid w:val="00C469E4"/>
    <w:rsid w:val="00C46BE6"/>
    <w:rsid w:val="00C47D80"/>
    <w:rsid w:val="00C47EC1"/>
    <w:rsid w:val="00C50EBA"/>
    <w:rsid w:val="00C5116C"/>
    <w:rsid w:val="00C5301F"/>
    <w:rsid w:val="00C5349E"/>
    <w:rsid w:val="00C538F8"/>
    <w:rsid w:val="00C53E0C"/>
    <w:rsid w:val="00C53FC9"/>
    <w:rsid w:val="00C5498C"/>
    <w:rsid w:val="00C55058"/>
    <w:rsid w:val="00C55175"/>
    <w:rsid w:val="00C552A6"/>
    <w:rsid w:val="00C559BF"/>
    <w:rsid w:val="00C55BC4"/>
    <w:rsid w:val="00C55FD1"/>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80780"/>
    <w:rsid w:val="00C80796"/>
    <w:rsid w:val="00C80907"/>
    <w:rsid w:val="00C81AF4"/>
    <w:rsid w:val="00C8201C"/>
    <w:rsid w:val="00C8246F"/>
    <w:rsid w:val="00C8276D"/>
    <w:rsid w:val="00C82E23"/>
    <w:rsid w:val="00C833AB"/>
    <w:rsid w:val="00C837F9"/>
    <w:rsid w:val="00C84170"/>
    <w:rsid w:val="00C8533B"/>
    <w:rsid w:val="00C85E21"/>
    <w:rsid w:val="00C86421"/>
    <w:rsid w:val="00C8708C"/>
    <w:rsid w:val="00C87547"/>
    <w:rsid w:val="00C87D64"/>
    <w:rsid w:val="00C9049F"/>
    <w:rsid w:val="00C905E1"/>
    <w:rsid w:val="00C90EB3"/>
    <w:rsid w:val="00C93360"/>
    <w:rsid w:val="00C934A7"/>
    <w:rsid w:val="00C9600E"/>
    <w:rsid w:val="00C967BD"/>
    <w:rsid w:val="00C97452"/>
    <w:rsid w:val="00C9767C"/>
    <w:rsid w:val="00C97F01"/>
    <w:rsid w:val="00CA052C"/>
    <w:rsid w:val="00CA098E"/>
    <w:rsid w:val="00CA0A19"/>
    <w:rsid w:val="00CA0F7C"/>
    <w:rsid w:val="00CA2649"/>
    <w:rsid w:val="00CA278C"/>
    <w:rsid w:val="00CA2991"/>
    <w:rsid w:val="00CA4A2B"/>
    <w:rsid w:val="00CA4A3D"/>
    <w:rsid w:val="00CA5D42"/>
    <w:rsid w:val="00CA666A"/>
    <w:rsid w:val="00CA79E2"/>
    <w:rsid w:val="00CB03D3"/>
    <w:rsid w:val="00CB0504"/>
    <w:rsid w:val="00CB1515"/>
    <w:rsid w:val="00CB164B"/>
    <w:rsid w:val="00CB1F8E"/>
    <w:rsid w:val="00CB270E"/>
    <w:rsid w:val="00CB2FBE"/>
    <w:rsid w:val="00CB33F8"/>
    <w:rsid w:val="00CB462C"/>
    <w:rsid w:val="00CB484E"/>
    <w:rsid w:val="00CB5900"/>
    <w:rsid w:val="00CB6519"/>
    <w:rsid w:val="00CB67D0"/>
    <w:rsid w:val="00CB6878"/>
    <w:rsid w:val="00CC03BA"/>
    <w:rsid w:val="00CC1386"/>
    <w:rsid w:val="00CC172C"/>
    <w:rsid w:val="00CC3AF2"/>
    <w:rsid w:val="00CC404B"/>
    <w:rsid w:val="00CC410F"/>
    <w:rsid w:val="00CC495D"/>
    <w:rsid w:val="00CC553D"/>
    <w:rsid w:val="00CC5721"/>
    <w:rsid w:val="00CC6292"/>
    <w:rsid w:val="00CC6DA8"/>
    <w:rsid w:val="00CC72CB"/>
    <w:rsid w:val="00CC7564"/>
    <w:rsid w:val="00CC79EA"/>
    <w:rsid w:val="00CD06C6"/>
    <w:rsid w:val="00CD0947"/>
    <w:rsid w:val="00CD0B5F"/>
    <w:rsid w:val="00CD115F"/>
    <w:rsid w:val="00CD153C"/>
    <w:rsid w:val="00CD1705"/>
    <w:rsid w:val="00CD1A26"/>
    <w:rsid w:val="00CD2219"/>
    <w:rsid w:val="00CD2C07"/>
    <w:rsid w:val="00CD2DFE"/>
    <w:rsid w:val="00CD48D4"/>
    <w:rsid w:val="00CD4E71"/>
    <w:rsid w:val="00CD6A2E"/>
    <w:rsid w:val="00CD6F4C"/>
    <w:rsid w:val="00CE031A"/>
    <w:rsid w:val="00CE05F5"/>
    <w:rsid w:val="00CE0A30"/>
    <w:rsid w:val="00CE1DFF"/>
    <w:rsid w:val="00CE1F7F"/>
    <w:rsid w:val="00CE32B1"/>
    <w:rsid w:val="00CE32F8"/>
    <w:rsid w:val="00CE3300"/>
    <w:rsid w:val="00CE390B"/>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35E8"/>
    <w:rsid w:val="00CF3EC8"/>
    <w:rsid w:val="00CF4189"/>
    <w:rsid w:val="00CF4334"/>
    <w:rsid w:val="00CF4402"/>
    <w:rsid w:val="00CF4569"/>
    <w:rsid w:val="00CF4888"/>
    <w:rsid w:val="00CF4F70"/>
    <w:rsid w:val="00CF5484"/>
    <w:rsid w:val="00CF60EC"/>
    <w:rsid w:val="00CF7E56"/>
    <w:rsid w:val="00D00492"/>
    <w:rsid w:val="00D00AA3"/>
    <w:rsid w:val="00D01014"/>
    <w:rsid w:val="00D018A0"/>
    <w:rsid w:val="00D01B90"/>
    <w:rsid w:val="00D01D34"/>
    <w:rsid w:val="00D0245F"/>
    <w:rsid w:val="00D0253F"/>
    <w:rsid w:val="00D02699"/>
    <w:rsid w:val="00D030AD"/>
    <w:rsid w:val="00D03D7B"/>
    <w:rsid w:val="00D04157"/>
    <w:rsid w:val="00D0433D"/>
    <w:rsid w:val="00D0490A"/>
    <w:rsid w:val="00D05068"/>
    <w:rsid w:val="00D05B1B"/>
    <w:rsid w:val="00D06088"/>
    <w:rsid w:val="00D068E3"/>
    <w:rsid w:val="00D0764C"/>
    <w:rsid w:val="00D07F60"/>
    <w:rsid w:val="00D1088D"/>
    <w:rsid w:val="00D1117C"/>
    <w:rsid w:val="00D11238"/>
    <w:rsid w:val="00D11D67"/>
    <w:rsid w:val="00D12D17"/>
    <w:rsid w:val="00D12D91"/>
    <w:rsid w:val="00D135A5"/>
    <w:rsid w:val="00D1388C"/>
    <w:rsid w:val="00D13E42"/>
    <w:rsid w:val="00D145D4"/>
    <w:rsid w:val="00D15EEA"/>
    <w:rsid w:val="00D20BA9"/>
    <w:rsid w:val="00D224E7"/>
    <w:rsid w:val="00D22FB3"/>
    <w:rsid w:val="00D236C2"/>
    <w:rsid w:val="00D23814"/>
    <w:rsid w:val="00D251AB"/>
    <w:rsid w:val="00D25292"/>
    <w:rsid w:val="00D25507"/>
    <w:rsid w:val="00D256E5"/>
    <w:rsid w:val="00D25A2C"/>
    <w:rsid w:val="00D26E1C"/>
    <w:rsid w:val="00D274D2"/>
    <w:rsid w:val="00D2786B"/>
    <w:rsid w:val="00D27D85"/>
    <w:rsid w:val="00D3122B"/>
    <w:rsid w:val="00D31B75"/>
    <w:rsid w:val="00D3201B"/>
    <w:rsid w:val="00D33326"/>
    <w:rsid w:val="00D347E9"/>
    <w:rsid w:val="00D34D53"/>
    <w:rsid w:val="00D34F0D"/>
    <w:rsid w:val="00D3532B"/>
    <w:rsid w:val="00D36388"/>
    <w:rsid w:val="00D364BC"/>
    <w:rsid w:val="00D37712"/>
    <w:rsid w:val="00D37D94"/>
    <w:rsid w:val="00D401FA"/>
    <w:rsid w:val="00D407CC"/>
    <w:rsid w:val="00D408AA"/>
    <w:rsid w:val="00D41146"/>
    <w:rsid w:val="00D417DB"/>
    <w:rsid w:val="00D418F4"/>
    <w:rsid w:val="00D42794"/>
    <w:rsid w:val="00D42ADB"/>
    <w:rsid w:val="00D42CDC"/>
    <w:rsid w:val="00D44575"/>
    <w:rsid w:val="00D44D89"/>
    <w:rsid w:val="00D44DCE"/>
    <w:rsid w:val="00D453A1"/>
    <w:rsid w:val="00D46546"/>
    <w:rsid w:val="00D46A00"/>
    <w:rsid w:val="00D46D25"/>
    <w:rsid w:val="00D516D3"/>
    <w:rsid w:val="00D517B4"/>
    <w:rsid w:val="00D518D2"/>
    <w:rsid w:val="00D51D03"/>
    <w:rsid w:val="00D52AB6"/>
    <w:rsid w:val="00D52D4B"/>
    <w:rsid w:val="00D5360A"/>
    <w:rsid w:val="00D53D03"/>
    <w:rsid w:val="00D540AB"/>
    <w:rsid w:val="00D54A42"/>
    <w:rsid w:val="00D56598"/>
    <w:rsid w:val="00D56C08"/>
    <w:rsid w:val="00D5764E"/>
    <w:rsid w:val="00D577D1"/>
    <w:rsid w:val="00D57A67"/>
    <w:rsid w:val="00D602BB"/>
    <w:rsid w:val="00D61112"/>
    <w:rsid w:val="00D62347"/>
    <w:rsid w:val="00D64D10"/>
    <w:rsid w:val="00D65856"/>
    <w:rsid w:val="00D66903"/>
    <w:rsid w:val="00D66B91"/>
    <w:rsid w:val="00D67422"/>
    <w:rsid w:val="00D708E2"/>
    <w:rsid w:val="00D70A0F"/>
    <w:rsid w:val="00D719E8"/>
    <w:rsid w:val="00D71AFB"/>
    <w:rsid w:val="00D723DA"/>
    <w:rsid w:val="00D7255C"/>
    <w:rsid w:val="00D72856"/>
    <w:rsid w:val="00D72E86"/>
    <w:rsid w:val="00D74F8F"/>
    <w:rsid w:val="00D75373"/>
    <w:rsid w:val="00D764A3"/>
    <w:rsid w:val="00D76BB7"/>
    <w:rsid w:val="00D80F3A"/>
    <w:rsid w:val="00D82BCE"/>
    <w:rsid w:val="00D82DA2"/>
    <w:rsid w:val="00D82E48"/>
    <w:rsid w:val="00D83DCA"/>
    <w:rsid w:val="00D844AB"/>
    <w:rsid w:val="00D851BB"/>
    <w:rsid w:val="00D8521D"/>
    <w:rsid w:val="00D861C2"/>
    <w:rsid w:val="00D86267"/>
    <w:rsid w:val="00D86582"/>
    <w:rsid w:val="00D86B73"/>
    <w:rsid w:val="00D8731D"/>
    <w:rsid w:val="00D87574"/>
    <w:rsid w:val="00D87C5D"/>
    <w:rsid w:val="00D908C0"/>
    <w:rsid w:val="00D90DA0"/>
    <w:rsid w:val="00D92B1A"/>
    <w:rsid w:val="00D935C4"/>
    <w:rsid w:val="00D93896"/>
    <w:rsid w:val="00D9579F"/>
    <w:rsid w:val="00D95979"/>
    <w:rsid w:val="00D95C97"/>
    <w:rsid w:val="00D96DE2"/>
    <w:rsid w:val="00D97057"/>
    <w:rsid w:val="00D97559"/>
    <w:rsid w:val="00DA0229"/>
    <w:rsid w:val="00DA0897"/>
    <w:rsid w:val="00DA0A99"/>
    <w:rsid w:val="00DA15D2"/>
    <w:rsid w:val="00DA27B9"/>
    <w:rsid w:val="00DA29D1"/>
    <w:rsid w:val="00DA30D8"/>
    <w:rsid w:val="00DA3932"/>
    <w:rsid w:val="00DA3C65"/>
    <w:rsid w:val="00DA3CE0"/>
    <w:rsid w:val="00DA4E66"/>
    <w:rsid w:val="00DA4FA3"/>
    <w:rsid w:val="00DA5092"/>
    <w:rsid w:val="00DA6975"/>
    <w:rsid w:val="00DA6AC1"/>
    <w:rsid w:val="00DA7243"/>
    <w:rsid w:val="00DA77FA"/>
    <w:rsid w:val="00DA7D1C"/>
    <w:rsid w:val="00DB127E"/>
    <w:rsid w:val="00DB1C28"/>
    <w:rsid w:val="00DB2AAD"/>
    <w:rsid w:val="00DB3094"/>
    <w:rsid w:val="00DB3431"/>
    <w:rsid w:val="00DB3972"/>
    <w:rsid w:val="00DB3F40"/>
    <w:rsid w:val="00DB5BDE"/>
    <w:rsid w:val="00DB5EE3"/>
    <w:rsid w:val="00DB603C"/>
    <w:rsid w:val="00DB6187"/>
    <w:rsid w:val="00DB61C7"/>
    <w:rsid w:val="00DB6EF7"/>
    <w:rsid w:val="00DB7153"/>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976"/>
    <w:rsid w:val="00DC61C5"/>
    <w:rsid w:val="00DC667E"/>
    <w:rsid w:val="00DC69A0"/>
    <w:rsid w:val="00DC7DAF"/>
    <w:rsid w:val="00DD0713"/>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5B"/>
    <w:rsid w:val="00DD64AD"/>
    <w:rsid w:val="00DD6BDA"/>
    <w:rsid w:val="00DD707A"/>
    <w:rsid w:val="00DD776F"/>
    <w:rsid w:val="00DD7F79"/>
    <w:rsid w:val="00DE0573"/>
    <w:rsid w:val="00DE27E3"/>
    <w:rsid w:val="00DE2840"/>
    <w:rsid w:val="00DE2A9B"/>
    <w:rsid w:val="00DE348F"/>
    <w:rsid w:val="00DE34A7"/>
    <w:rsid w:val="00DE3907"/>
    <w:rsid w:val="00DE3A0D"/>
    <w:rsid w:val="00DE4ACE"/>
    <w:rsid w:val="00DE521C"/>
    <w:rsid w:val="00DE643A"/>
    <w:rsid w:val="00DE6590"/>
    <w:rsid w:val="00DE7AC1"/>
    <w:rsid w:val="00DF033F"/>
    <w:rsid w:val="00DF05AF"/>
    <w:rsid w:val="00DF11F1"/>
    <w:rsid w:val="00DF1DBD"/>
    <w:rsid w:val="00DF2899"/>
    <w:rsid w:val="00DF3E05"/>
    <w:rsid w:val="00DF3FF1"/>
    <w:rsid w:val="00DF422F"/>
    <w:rsid w:val="00DF4557"/>
    <w:rsid w:val="00DF5A06"/>
    <w:rsid w:val="00DF60D3"/>
    <w:rsid w:val="00DF7320"/>
    <w:rsid w:val="00DF7897"/>
    <w:rsid w:val="00DF7F27"/>
    <w:rsid w:val="00E00686"/>
    <w:rsid w:val="00E02B92"/>
    <w:rsid w:val="00E03753"/>
    <w:rsid w:val="00E05A52"/>
    <w:rsid w:val="00E06F82"/>
    <w:rsid w:val="00E07987"/>
    <w:rsid w:val="00E07ECB"/>
    <w:rsid w:val="00E10446"/>
    <w:rsid w:val="00E10AAD"/>
    <w:rsid w:val="00E114F8"/>
    <w:rsid w:val="00E11D41"/>
    <w:rsid w:val="00E12DF9"/>
    <w:rsid w:val="00E13002"/>
    <w:rsid w:val="00E1364B"/>
    <w:rsid w:val="00E13966"/>
    <w:rsid w:val="00E14140"/>
    <w:rsid w:val="00E144A9"/>
    <w:rsid w:val="00E14D66"/>
    <w:rsid w:val="00E16313"/>
    <w:rsid w:val="00E1744E"/>
    <w:rsid w:val="00E17953"/>
    <w:rsid w:val="00E17F9D"/>
    <w:rsid w:val="00E2049B"/>
    <w:rsid w:val="00E205A9"/>
    <w:rsid w:val="00E2071B"/>
    <w:rsid w:val="00E20754"/>
    <w:rsid w:val="00E20F60"/>
    <w:rsid w:val="00E21725"/>
    <w:rsid w:val="00E22196"/>
    <w:rsid w:val="00E229AE"/>
    <w:rsid w:val="00E235FA"/>
    <w:rsid w:val="00E23D60"/>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31B7"/>
    <w:rsid w:val="00E3365B"/>
    <w:rsid w:val="00E336E4"/>
    <w:rsid w:val="00E3400D"/>
    <w:rsid w:val="00E34436"/>
    <w:rsid w:val="00E34996"/>
    <w:rsid w:val="00E34CEB"/>
    <w:rsid w:val="00E3538C"/>
    <w:rsid w:val="00E35810"/>
    <w:rsid w:val="00E35F86"/>
    <w:rsid w:val="00E3648E"/>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377"/>
    <w:rsid w:val="00E45DC9"/>
    <w:rsid w:val="00E45E05"/>
    <w:rsid w:val="00E46978"/>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D8"/>
    <w:rsid w:val="00E64E53"/>
    <w:rsid w:val="00E6715F"/>
    <w:rsid w:val="00E673FD"/>
    <w:rsid w:val="00E67C5E"/>
    <w:rsid w:val="00E70061"/>
    <w:rsid w:val="00E7096F"/>
    <w:rsid w:val="00E71682"/>
    <w:rsid w:val="00E720FC"/>
    <w:rsid w:val="00E72401"/>
    <w:rsid w:val="00E7271A"/>
    <w:rsid w:val="00E731A5"/>
    <w:rsid w:val="00E7376C"/>
    <w:rsid w:val="00E747A9"/>
    <w:rsid w:val="00E74862"/>
    <w:rsid w:val="00E748B6"/>
    <w:rsid w:val="00E74950"/>
    <w:rsid w:val="00E753B5"/>
    <w:rsid w:val="00E759C3"/>
    <w:rsid w:val="00E75B7B"/>
    <w:rsid w:val="00E75F11"/>
    <w:rsid w:val="00E7700B"/>
    <w:rsid w:val="00E77C6E"/>
    <w:rsid w:val="00E809EB"/>
    <w:rsid w:val="00E80A86"/>
    <w:rsid w:val="00E8501C"/>
    <w:rsid w:val="00E851A5"/>
    <w:rsid w:val="00E851AA"/>
    <w:rsid w:val="00E8576B"/>
    <w:rsid w:val="00E85A30"/>
    <w:rsid w:val="00E85FBE"/>
    <w:rsid w:val="00E86CBC"/>
    <w:rsid w:val="00E86E48"/>
    <w:rsid w:val="00E870AB"/>
    <w:rsid w:val="00E87CD5"/>
    <w:rsid w:val="00E9082B"/>
    <w:rsid w:val="00E911CE"/>
    <w:rsid w:val="00E91664"/>
    <w:rsid w:val="00E91C0B"/>
    <w:rsid w:val="00E924C5"/>
    <w:rsid w:val="00E92D29"/>
    <w:rsid w:val="00E92D44"/>
    <w:rsid w:val="00E9394D"/>
    <w:rsid w:val="00E94337"/>
    <w:rsid w:val="00E94965"/>
    <w:rsid w:val="00E94A5A"/>
    <w:rsid w:val="00E96BBA"/>
    <w:rsid w:val="00E975EF"/>
    <w:rsid w:val="00E97801"/>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A7D61"/>
    <w:rsid w:val="00EB05EC"/>
    <w:rsid w:val="00EB0C1A"/>
    <w:rsid w:val="00EB15FB"/>
    <w:rsid w:val="00EB1E31"/>
    <w:rsid w:val="00EB1EA2"/>
    <w:rsid w:val="00EB21C2"/>
    <w:rsid w:val="00EB26ED"/>
    <w:rsid w:val="00EB279C"/>
    <w:rsid w:val="00EB320E"/>
    <w:rsid w:val="00EB4FFB"/>
    <w:rsid w:val="00EB598D"/>
    <w:rsid w:val="00EB6C1C"/>
    <w:rsid w:val="00EB7271"/>
    <w:rsid w:val="00EC0FD6"/>
    <w:rsid w:val="00EC190C"/>
    <w:rsid w:val="00EC27BB"/>
    <w:rsid w:val="00EC3C4B"/>
    <w:rsid w:val="00EC3CF5"/>
    <w:rsid w:val="00EC3E9E"/>
    <w:rsid w:val="00EC42C8"/>
    <w:rsid w:val="00EC5A7B"/>
    <w:rsid w:val="00EC5B60"/>
    <w:rsid w:val="00EC5EF1"/>
    <w:rsid w:val="00EC6072"/>
    <w:rsid w:val="00EC75EC"/>
    <w:rsid w:val="00EC798B"/>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1BA"/>
    <w:rsid w:val="00EE0A61"/>
    <w:rsid w:val="00EE1534"/>
    <w:rsid w:val="00EE199A"/>
    <w:rsid w:val="00EE377B"/>
    <w:rsid w:val="00EE3AD2"/>
    <w:rsid w:val="00EE558E"/>
    <w:rsid w:val="00EE5937"/>
    <w:rsid w:val="00EE645F"/>
    <w:rsid w:val="00EE678E"/>
    <w:rsid w:val="00EE6918"/>
    <w:rsid w:val="00EE6A0F"/>
    <w:rsid w:val="00EE6A86"/>
    <w:rsid w:val="00EF072D"/>
    <w:rsid w:val="00EF119D"/>
    <w:rsid w:val="00EF135F"/>
    <w:rsid w:val="00EF1B00"/>
    <w:rsid w:val="00EF375B"/>
    <w:rsid w:val="00EF38F2"/>
    <w:rsid w:val="00EF41B6"/>
    <w:rsid w:val="00EF4A7B"/>
    <w:rsid w:val="00EF71EE"/>
    <w:rsid w:val="00EF74B5"/>
    <w:rsid w:val="00EF7825"/>
    <w:rsid w:val="00F0044E"/>
    <w:rsid w:val="00F010E9"/>
    <w:rsid w:val="00F01974"/>
    <w:rsid w:val="00F0290D"/>
    <w:rsid w:val="00F02F72"/>
    <w:rsid w:val="00F0307B"/>
    <w:rsid w:val="00F03948"/>
    <w:rsid w:val="00F03C1D"/>
    <w:rsid w:val="00F03E5D"/>
    <w:rsid w:val="00F04615"/>
    <w:rsid w:val="00F04771"/>
    <w:rsid w:val="00F04F98"/>
    <w:rsid w:val="00F05675"/>
    <w:rsid w:val="00F056BB"/>
    <w:rsid w:val="00F05F14"/>
    <w:rsid w:val="00F06DFD"/>
    <w:rsid w:val="00F0752F"/>
    <w:rsid w:val="00F0765A"/>
    <w:rsid w:val="00F10236"/>
    <w:rsid w:val="00F104E3"/>
    <w:rsid w:val="00F125FA"/>
    <w:rsid w:val="00F1277D"/>
    <w:rsid w:val="00F135D5"/>
    <w:rsid w:val="00F13836"/>
    <w:rsid w:val="00F13863"/>
    <w:rsid w:val="00F14190"/>
    <w:rsid w:val="00F15C0E"/>
    <w:rsid w:val="00F16015"/>
    <w:rsid w:val="00F16281"/>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42DC"/>
    <w:rsid w:val="00F24BD1"/>
    <w:rsid w:val="00F260C9"/>
    <w:rsid w:val="00F261EF"/>
    <w:rsid w:val="00F2635F"/>
    <w:rsid w:val="00F26FFB"/>
    <w:rsid w:val="00F27404"/>
    <w:rsid w:val="00F278C4"/>
    <w:rsid w:val="00F27DA3"/>
    <w:rsid w:val="00F27E8A"/>
    <w:rsid w:val="00F3085A"/>
    <w:rsid w:val="00F30905"/>
    <w:rsid w:val="00F30BD6"/>
    <w:rsid w:val="00F314A2"/>
    <w:rsid w:val="00F323A5"/>
    <w:rsid w:val="00F32894"/>
    <w:rsid w:val="00F32A44"/>
    <w:rsid w:val="00F32D4D"/>
    <w:rsid w:val="00F32F58"/>
    <w:rsid w:val="00F333B8"/>
    <w:rsid w:val="00F33A07"/>
    <w:rsid w:val="00F33B22"/>
    <w:rsid w:val="00F33B6F"/>
    <w:rsid w:val="00F34415"/>
    <w:rsid w:val="00F34606"/>
    <w:rsid w:val="00F3478A"/>
    <w:rsid w:val="00F353BC"/>
    <w:rsid w:val="00F35686"/>
    <w:rsid w:val="00F3614C"/>
    <w:rsid w:val="00F3738D"/>
    <w:rsid w:val="00F37786"/>
    <w:rsid w:val="00F377DB"/>
    <w:rsid w:val="00F37AA3"/>
    <w:rsid w:val="00F37E99"/>
    <w:rsid w:val="00F400CB"/>
    <w:rsid w:val="00F41035"/>
    <w:rsid w:val="00F41688"/>
    <w:rsid w:val="00F4242E"/>
    <w:rsid w:val="00F424A3"/>
    <w:rsid w:val="00F42F6A"/>
    <w:rsid w:val="00F431B8"/>
    <w:rsid w:val="00F43CF7"/>
    <w:rsid w:val="00F44F27"/>
    <w:rsid w:val="00F45F1D"/>
    <w:rsid w:val="00F46401"/>
    <w:rsid w:val="00F471FD"/>
    <w:rsid w:val="00F4768E"/>
    <w:rsid w:val="00F50BCC"/>
    <w:rsid w:val="00F50C08"/>
    <w:rsid w:val="00F5100A"/>
    <w:rsid w:val="00F5136B"/>
    <w:rsid w:val="00F5159B"/>
    <w:rsid w:val="00F51E48"/>
    <w:rsid w:val="00F52316"/>
    <w:rsid w:val="00F5293A"/>
    <w:rsid w:val="00F52AC0"/>
    <w:rsid w:val="00F52E2D"/>
    <w:rsid w:val="00F54084"/>
    <w:rsid w:val="00F549A1"/>
    <w:rsid w:val="00F5603F"/>
    <w:rsid w:val="00F56E01"/>
    <w:rsid w:val="00F57DA4"/>
    <w:rsid w:val="00F603F8"/>
    <w:rsid w:val="00F6062F"/>
    <w:rsid w:val="00F606A7"/>
    <w:rsid w:val="00F606C2"/>
    <w:rsid w:val="00F60715"/>
    <w:rsid w:val="00F60B09"/>
    <w:rsid w:val="00F61877"/>
    <w:rsid w:val="00F61ABE"/>
    <w:rsid w:val="00F61ACE"/>
    <w:rsid w:val="00F61D84"/>
    <w:rsid w:val="00F62810"/>
    <w:rsid w:val="00F63B1C"/>
    <w:rsid w:val="00F64888"/>
    <w:rsid w:val="00F65260"/>
    <w:rsid w:val="00F6612D"/>
    <w:rsid w:val="00F662BB"/>
    <w:rsid w:val="00F66A9E"/>
    <w:rsid w:val="00F67239"/>
    <w:rsid w:val="00F70762"/>
    <w:rsid w:val="00F721CA"/>
    <w:rsid w:val="00F72655"/>
    <w:rsid w:val="00F72660"/>
    <w:rsid w:val="00F73B9F"/>
    <w:rsid w:val="00F740A0"/>
    <w:rsid w:val="00F74801"/>
    <w:rsid w:val="00F74AE7"/>
    <w:rsid w:val="00F74C5A"/>
    <w:rsid w:val="00F76B6A"/>
    <w:rsid w:val="00F76C17"/>
    <w:rsid w:val="00F7713B"/>
    <w:rsid w:val="00F80F83"/>
    <w:rsid w:val="00F81011"/>
    <w:rsid w:val="00F81B08"/>
    <w:rsid w:val="00F81BDE"/>
    <w:rsid w:val="00F8258B"/>
    <w:rsid w:val="00F82614"/>
    <w:rsid w:val="00F826C1"/>
    <w:rsid w:val="00F828EE"/>
    <w:rsid w:val="00F83970"/>
    <w:rsid w:val="00F84018"/>
    <w:rsid w:val="00F84B09"/>
    <w:rsid w:val="00F84B5A"/>
    <w:rsid w:val="00F84B93"/>
    <w:rsid w:val="00F84D11"/>
    <w:rsid w:val="00F855B5"/>
    <w:rsid w:val="00F858B5"/>
    <w:rsid w:val="00F85FF6"/>
    <w:rsid w:val="00F868C1"/>
    <w:rsid w:val="00F87A66"/>
    <w:rsid w:val="00F87CBF"/>
    <w:rsid w:val="00F90206"/>
    <w:rsid w:val="00F90DC6"/>
    <w:rsid w:val="00F9230A"/>
    <w:rsid w:val="00F92626"/>
    <w:rsid w:val="00F9285A"/>
    <w:rsid w:val="00F92B52"/>
    <w:rsid w:val="00F93BBC"/>
    <w:rsid w:val="00F94F5F"/>
    <w:rsid w:val="00F958C2"/>
    <w:rsid w:val="00F95F56"/>
    <w:rsid w:val="00F96137"/>
    <w:rsid w:val="00F9644D"/>
    <w:rsid w:val="00F97296"/>
    <w:rsid w:val="00F979AC"/>
    <w:rsid w:val="00F97DF6"/>
    <w:rsid w:val="00FA0BA0"/>
    <w:rsid w:val="00FA19C1"/>
    <w:rsid w:val="00FA1ED1"/>
    <w:rsid w:val="00FA25EE"/>
    <w:rsid w:val="00FA3B86"/>
    <w:rsid w:val="00FA3ECA"/>
    <w:rsid w:val="00FA4969"/>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AA2"/>
    <w:rsid w:val="00FB5BD7"/>
    <w:rsid w:val="00FB63BC"/>
    <w:rsid w:val="00FB6514"/>
    <w:rsid w:val="00FB6614"/>
    <w:rsid w:val="00FB7083"/>
    <w:rsid w:val="00FC05C0"/>
    <w:rsid w:val="00FC085D"/>
    <w:rsid w:val="00FC1CE1"/>
    <w:rsid w:val="00FC29E0"/>
    <w:rsid w:val="00FC2B13"/>
    <w:rsid w:val="00FC315E"/>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3580"/>
    <w:rsid w:val="00FD4710"/>
    <w:rsid w:val="00FD5B50"/>
    <w:rsid w:val="00FD6195"/>
    <w:rsid w:val="00FD63FC"/>
    <w:rsid w:val="00FE0670"/>
    <w:rsid w:val="00FE2147"/>
    <w:rsid w:val="00FE219D"/>
    <w:rsid w:val="00FE2620"/>
    <w:rsid w:val="00FE3864"/>
    <w:rsid w:val="00FE3E75"/>
    <w:rsid w:val="00FE4B0E"/>
    <w:rsid w:val="00FE4D6E"/>
    <w:rsid w:val="00FE6349"/>
    <w:rsid w:val="00FE6BFA"/>
    <w:rsid w:val="00FE7282"/>
    <w:rsid w:val="00FE7304"/>
    <w:rsid w:val="00FE79B7"/>
    <w:rsid w:val="00FF0310"/>
    <w:rsid w:val="00FF11DA"/>
    <w:rsid w:val="00FF20DC"/>
    <w:rsid w:val="00FF23DE"/>
    <w:rsid w:val="00FF2792"/>
    <w:rsid w:val="00FF59D0"/>
    <w:rsid w:val="00FF670F"/>
    <w:rsid w:val="00FF72F4"/>
    <w:rsid w:val="00FF7454"/>
    <w:rsid w:val="00FF7ED8"/>
    <w:rsid w:val="010354AC"/>
    <w:rsid w:val="01255330"/>
    <w:rsid w:val="01301ECB"/>
    <w:rsid w:val="01690227"/>
    <w:rsid w:val="01F255B3"/>
    <w:rsid w:val="01FB5C4F"/>
    <w:rsid w:val="0256548E"/>
    <w:rsid w:val="02657094"/>
    <w:rsid w:val="02890D36"/>
    <w:rsid w:val="029370C7"/>
    <w:rsid w:val="02960963"/>
    <w:rsid w:val="02BD78CB"/>
    <w:rsid w:val="02DE1725"/>
    <w:rsid w:val="02FF41F8"/>
    <w:rsid w:val="0314419D"/>
    <w:rsid w:val="04691FC5"/>
    <w:rsid w:val="04AD20F7"/>
    <w:rsid w:val="04E24159"/>
    <w:rsid w:val="04E81B1A"/>
    <w:rsid w:val="05097AD0"/>
    <w:rsid w:val="05187985"/>
    <w:rsid w:val="053A4F12"/>
    <w:rsid w:val="053C0C8A"/>
    <w:rsid w:val="05587867"/>
    <w:rsid w:val="056D174C"/>
    <w:rsid w:val="056D3AD0"/>
    <w:rsid w:val="05A37EBD"/>
    <w:rsid w:val="05B64463"/>
    <w:rsid w:val="05CC0E93"/>
    <w:rsid w:val="05F306FA"/>
    <w:rsid w:val="06443FD4"/>
    <w:rsid w:val="066C1DBB"/>
    <w:rsid w:val="066E7569"/>
    <w:rsid w:val="06A13863"/>
    <w:rsid w:val="06BD225B"/>
    <w:rsid w:val="06BE3CA7"/>
    <w:rsid w:val="07277E4A"/>
    <w:rsid w:val="072B3DB9"/>
    <w:rsid w:val="0730481F"/>
    <w:rsid w:val="073F1CAD"/>
    <w:rsid w:val="07B16AC6"/>
    <w:rsid w:val="08073E22"/>
    <w:rsid w:val="081437C9"/>
    <w:rsid w:val="087424D8"/>
    <w:rsid w:val="08822685"/>
    <w:rsid w:val="08FA104A"/>
    <w:rsid w:val="08FA57C7"/>
    <w:rsid w:val="099F3178"/>
    <w:rsid w:val="09AA1547"/>
    <w:rsid w:val="09E3201C"/>
    <w:rsid w:val="0A18470E"/>
    <w:rsid w:val="0A765FB8"/>
    <w:rsid w:val="0A814349"/>
    <w:rsid w:val="0AB02A92"/>
    <w:rsid w:val="0AF8308E"/>
    <w:rsid w:val="0B386398"/>
    <w:rsid w:val="0B581C7A"/>
    <w:rsid w:val="0B832C72"/>
    <w:rsid w:val="0BB35B91"/>
    <w:rsid w:val="0BD25EA5"/>
    <w:rsid w:val="0BE04A65"/>
    <w:rsid w:val="0C1634CB"/>
    <w:rsid w:val="0C483CB5"/>
    <w:rsid w:val="0C5F0057"/>
    <w:rsid w:val="0C6D77AF"/>
    <w:rsid w:val="0C7F0993"/>
    <w:rsid w:val="0CAF268A"/>
    <w:rsid w:val="0D38584D"/>
    <w:rsid w:val="0D6126DC"/>
    <w:rsid w:val="0D8D654B"/>
    <w:rsid w:val="0DA914DF"/>
    <w:rsid w:val="0E263246"/>
    <w:rsid w:val="0E26741D"/>
    <w:rsid w:val="0E3015D7"/>
    <w:rsid w:val="0E6A02CB"/>
    <w:rsid w:val="0EBB17B7"/>
    <w:rsid w:val="0F035E77"/>
    <w:rsid w:val="0F1C5B09"/>
    <w:rsid w:val="0F2446FC"/>
    <w:rsid w:val="0F9206B9"/>
    <w:rsid w:val="101500B2"/>
    <w:rsid w:val="10507C42"/>
    <w:rsid w:val="105A7962"/>
    <w:rsid w:val="10944E27"/>
    <w:rsid w:val="109C3C4F"/>
    <w:rsid w:val="1127165A"/>
    <w:rsid w:val="11341659"/>
    <w:rsid w:val="115C57C9"/>
    <w:rsid w:val="11B12A7E"/>
    <w:rsid w:val="11BC2E71"/>
    <w:rsid w:val="11F62C07"/>
    <w:rsid w:val="12314CA5"/>
    <w:rsid w:val="123E24E6"/>
    <w:rsid w:val="124F3295"/>
    <w:rsid w:val="136A106C"/>
    <w:rsid w:val="13737B75"/>
    <w:rsid w:val="13894B8D"/>
    <w:rsid w:val="13B43E61"/>
    <w:rsid w:val="147719A1"/>
    <w:rsid w:val="1484195D"/>
    <w:rsid w:val="148C1946"/>
    <w:rsid w:val="14A4244E"/>
    <w:rsid w:val="14AD2260"/>
    <w:rsid w:val="14B8240A"/>
    <w:rsid w:val="14F0383F"/>
    <w:rsid w:val="154C7218"/>
    <w:rsid w:val="155557E1"/>
    <w:rsid w:val="156D5FF4"/>
    <w:rsid w:val="15F333DA"/>
    <w:rsid w:val="16AE3114"/>
    <w:rsid w:val="17707100"/>
    <w:rsid w:val="17853822"/>
    <w:rsid w:val="17E06C0C"/>
    <w:rsid w:val="1868584B"/>
    <w:rsid w:val="18947263"/>
    <w:rsid w:val="18BF3C55"/>
    <w:rsid w:val="18C80D5B"/>
    <w:rsid w:val="195A572B"/>
    <w:rsid w:val="196C5A40"/>
    <w:rsid w:val="19C2556A"/>
    <w:rsid w:val="19C41B53"/>
    <w:rsid w:val="1A2608F3"/>
    <w:rsid w:val="1A2A3350"/>
    <w:rsid w:val="1A336B23"/>
    <w:rsid w:val="1A9019A5"/>
    <w:rsid w:val="1A9F789A"/>
    <w:rsid w:val="1B28788F"/>
    <w:rsid w:val="1B533FD5"/>
    <w:rsid w:val="1B686DBB"/>
    <w:rsid w:val="1B824877"/>
    <w:rsid w:val="1BCD57AB"/>
    <w:rsid w:val="1C0E1A98"/>
    <w:rsid w:val="1C2078F3"/>
    <w:rsid w:val="1C490289"/>
    <w:rsid w:val="1C6F4FB4"/>
    <w:rsid w:val="1C8F08AF"/>
    <w:rsid w:val="1CA6768D"/>
    <w:rsid w:val="1CDB5968"/>
    <w:rsid w:val="1CE5110B"/>
    <w:rsid w:val="1CFE635D"/>
    <w:rsid w:val="1D1E53EE"/>
    <w:rsid w:val="1D1F6145"/>
    <w:rsid w:val="1D3369BF"/>
    <w:rsid w:val="1D54432D"/>
    <w:rsid w:val="1DA82A10"/>
    <w:rsid w:val="1DC86030"/>
    <w:rsid w:val="1E2D620F"/>
    <w:rsid w:val="1E422931"/>
    <w:rsid w:val="1EA615BB"/>
    <w:rsid w:val="1ED10ED1"/>
    <w:rsid w:val="1ED40638"/>
    <w:rsid w:val="1F306401"/>
    <w:rsid w:val="1F4277F5"/>
    <w:rsid w:val="1F5E4382"/>
    <w:rsid w:val="1F7D5FAC"/>
    <w:rsid w:val="201812D5"/>
    <w:rsid w:val="20621846"/>
    <w:rsid w:val="2066678B"/>
    <w:rsid w:val="207A7435"/>
    <w:rsid w:val="208244E5"/>
    <w:rsid w:val="208337BA"/>
    <w:rsid w:val="208B3C6E"/>
    <w:rsid w:val="20B80C41"/>
    <w:rsid w:val="213456A4"/>
    <w:rsid w:val="217E06CB"/>
    <w:rsid w:val="21A36F99"/>
    <w:rsid w:val="21BD09EA"/>
    <w:rsid w:val="21C35326"/>
    <w:rsid w:val="21C734F7"/>
    <w:rsid w:val="21D2510C"/>
    <w:rsid w:val="221C424A"/>
    <w:rsid w:val="22352DE9"/>
    <w:rsid w:val="22352E85"/>
    <w:rsid w:val="22550749"/>
    <w:rsid w:val="22B60C01"/>
    <w:rsid w:val="22B91715"/>
    <w:rsid w:val="231879A1"/>
    <w:rsid w:val="23242793"/>
    <w:rsid w:val="2349711F"/>
    <w:rsid w:val="237D1557"/>
    <w:rsid w:val="239A46F7"/>
    <w:rsid w:val="2411343C"/>
    <w:rsid w:val="2425741B"/>
    <w:rsid w:val="246851A0"/>
    <w:rsid w:val="247174BF"/>
    <w:rsid w:val="247628A6"/>
    <w:rsid w:val="24855F40"/>
    <w:rsid w:val="249E6E14"/>
    <w:rsid w:val="249F6523"/>
    <w:rsid w:val="24A54BEC"/>
    <w:rsid w:val="24EE61B2"/>
    <w:rsid w:val="2593314B"/>
    <w:rsid w:val="25975E01"/>
    <w:rsid w:val="25AD1ED4"/>
    <w:rsid w:val="25B84A72"/>
    <w:rsid w:val="26CA35AD"/>
    <w:rsid w:val="2749366C"/>
    <w:rsid w:val="27BD5803"/>
    <w:rsid w:val="28145A17"/>
    <w:rsid w:val="28B1694E"/>
    <w:rsid w:val="28BC0562"/>
    <w:rsid w:val="28F860D0"/>
    <w:rsid w:val="29747D10"/>
    <w:rsid w:val="298635F5"/>
    <w:rsid w:val="29931B49"/>
    <w:rsid w:val="29EA739F"/>
    <w:rsid w:val="29F96A50"/>
    <w:rsid w:val="2A1F2738"/>
    <w:rsid w:val="2A2D713F"/>
    <w:rsid w:val="2A423861"/>
    <w:rsid w:val="2A63541A"/>
    <w:rsid w:val="2A7964DB"/>
    <w:rsid w:val="2A8F5EDF"/>
    <w:rsid w:val="2AA84B6D"/>
    <w:rsid w:val="2ABF0192"/>
    <w:rsid w:val="2AFB6893"/>
    <w:rsid w:val="2B230073"/>
    <w:rsid w:val="2B5B1830"/>
    <w:rsid w:val="2B6A0848"/>
    <w:rsid w:val="2B937D0B"/>
    <w:rsid w:val="2BB521F8"/>
    <w:rsid w:val="2BC876CA"/>
    <w:rsid w:val="2C773E97"/>
    <w:rsid w:val="2CBF5B6F"/>
    <w:rsid w:val="2CC54020"/>
    <w:rsid w:val="2D185E53"/>
    <w:rsid w:val="2D566901"/>
    <w:rsid w:val="2D7D2E49"/>
    <w:rsid w:val="2D966AB6"/>
    <w:rsid w:val="2DCA0C7A"/>
    <w:rsid w:val="2E0B1B47"/>
    <w:rsid w:val="2E1E06B9"/>
    <w:rsid w:val="2EAD630D"/>
    <w:rsid w:val="2EB61B31"/>
    <w:rsid w:val="2EDE1D07"/>
    <w:rsid w:val="2EF8259B"/>
    <w:rsid w:val="2EF8398F"/>
    <w:rsid w:val="2F2537C4"/>
    <w:rsid w:val="2F2954D5"/>
    <w:rsid w:val="2F8F3DC0"/>
    <w:rsid w:val="2F9959A7"/>
    <w:rsid w:val="2FDE4A00"/>
    <w:rsid w:val="3023432F"/>
    <w:rsid w:val="30251807"/>
    <w:rsid w:val="30575FA2"/>
    <w:rsid w:val="30633998"/>
    <w:rsid w:val="30A316D0"/>
    <w:rsid w:val="30A957E4"/>
    <w:rsid w:val="30C56DD2"/>
    <w:rsid w:val="30E177A7"/>
    <w:rsid w:val="314225B0"/>
    <w:rsid w:val="3198766B"/>
    <w:rsid w:val="319D0DD6"/>
    <w:rsid w:val="323B7E0F"/>
    <w:rsid w:val="328E3A30"/>
    <w:rsid w:val="32CA15BD"/>
    <w:rsid w:val="32DE1F01"/>
    <w:rsid w:val="331630E9"/>
    <w:rsid w:val="335F6FD7"/>
    <w:rsid w:val="33EB76A9"/>
    <w:rsid w:val="34227F73"/>
    <w:rsid w:val="3430230D"/>
    <w:rsid w:val="34377FF9"/>
    <w:rsid w:val="343B6470"/>
    <w:rsid w:val="348D0665"/>
    <w:rsid w:val="34B6585F"/>
    <w:rsid w:val="34C131AF"/>
    <w:rsid w:val="34CA3577"/>
    <w:rsid w:val="34E520F2"/>
    <w:rsid w:val="34E87C04"/>
    <w:rsid w:val="35476355"/>
    <w:rsid w:val="356928AF"/>
    <w:rsid w:val="35D579E0"/>
    <w:rsid w:val="35E84393"/>
    <w:rsid w:val="35F322D0"/>
    <w:rsid w:val="36013D27"/>
    <w:rsid w:val="36025D97"/>
    <w:rsid w:val="36B45A08"/>
    <w:rsid w:val="36C9251E"/>
    <w:rsid w:val="36E47B9D"/>
    <w:rsid w:val="370928C0"/>
    <w:rsid w:val="3747231F"/>
    <w:rsid w:val="37645C9B"/>
    <w:rsid w:val="376C2F19"/>
    <w:rsid w:val="37A23B04"/>
    <w:rsid w:val="38095130"/>
    <w:rsid w:val="382A30AF"/>
    <w:rsid w:val="38413B63"/>
    <w:rsid w:val="386A72E1"/>
    <w:rsid w:val="38733E42"/>
    <w:rsid w:val="38B1661E"/>
    <w:rsid w:val="38B60A92"/>
    <w:rsid w:val="38C2712E"/>
    <w:rsid w:val="38EB4DDC"/>
    <w:rsid w:val="39A62C24"/>
    <w:rsid w:val="39CB790F"/>
    <w:rsid w:val="39CF05D0"/>
    <w:rsid w:val="39ED53DC"/>
    <w:rsid w:val="39F45841"/>
    <w:rsid w:val="3A29797A"/>
    <w:rsid w:val="3A3E409C"/>
    <w:rsid w:val="3A5B7D04"/>
    <w:rsid w:val="3AAB6697"/>
    <w:rsid w:val="3AB30E95"/>
    <w:rsid w:val="3AD7041F"/>
    <w:rsid w:val="3AF15396"/>
    <w:rsid w:val="3B045C51"/>
    <w:rsid w:val="3B1D351E"/>
    <w:rsid w:val="3B2575DE"/>
    <w:rsid w:val="3B2F5F58"/>
    <w:rsid w:val="3B426CC9"/>
    <w:rsid w:val="3B863442"/>
    <w:rsid w:val="3C5D1BB7"/>
    <w:rsid w:val="3C682428"/>
    <w:rsid w:val="3C9402BA"/>
    <w:rsid w:val="3CB70770"/>
    <w:rsid w:val="3CF66AB4"/>
    <w:rsid w:val="3D3034A4"/>
    <w:rsid w:val="3D417B8C"/>
    <w:rsid w:val="3D4C5F1D"/>
    <w:rsid w:val="3DEB0EC4"/>
    <w:rsid w:val="3E1A5671"/>
    <w:rsid w:val="3E220650"/>
    <w:rsid w:val="3E667CEF"/>
    <w:rsid w:val="3E6809D1"/>
    <w:rsid w:val="3E780B78"/>
    <w:rsid w:val="3ED21E29"/>
    <w:rsid w:val="3ED34AA0"/>
    <w:rsid w:val="3EEC5C83"/>
    <w:rsid w:val="3F2A54AE"/>
    <w:rsid w:val="3F6E789D"/>
    <w:rsid w:val="3FE04FF8"/>
    <w:rsid w:val="3FED2FEE"/>
    <w:rsid w:val="40610FCA"/>
    <w:rsid w:val="406A624F"/>
    <w:rsid w:val="40984BCB"/>
    <w:rsid w:val="40B118C6"/>
    <w:rsid w:val="40CE78E8"/>
    <w:rsid w:val="40FE0BC1"/>
    <w:rsid w:val="412874F2"/>
    <w:rsid w:val="41517290"/>
    <w:rsid w:val="41664225"/>
    <w:rsid w:val="4194717D"/>
    <w:rsid w:val="42014C57"/>
    <w:rsid w:val="42161379"/>
    <w:rsid w:val="423C2DDB"/>
    <w:rsid w:val="42AF6075"/>
    <w:rsid w:val="42CC520C"/>
    <w:rsid w:val="42CF43AB"/>
    <w:rsid w:val="42E12969"/>
    <w:rsid w:val="42ED0561"/>
    <w:rsid w:val="42EE6E5E"/>
    <w:rsid w:val="430F4AB3"/>
    <w:rsid w:val="43204EC2"/>
    <w:rsid w:val="43C845C3"/>
    <w:rsid w:val="44006D4C"/>
    <w:rsid w:val="44015629"/>
    <w:rsid w:val="447B4624"/>
    <w:rsid w:val="44A479C5"/>
    <w:rsid w:val="44A553F2"/>
    <w:rsid w:val="44ED7546"/>
    <w:rsid w:val="44FF51C4"/>
    <w:rsid w:val="457B1CEE"/>
    <w:rsid w:val="45AA6F6F"/>
    <w:rsid w:val="46077F6D"/>
    <w:rsid w:val="46737A24"/>
    <w:rsid w:val="46844CC8"/>
    <w:rsid w:val="469D0882"/>
    <w:rsid w:val="46CA0433"/>
    <w:rsid w:val="46DE264B"/>
    <w:rsid w:val="46E22556"/>
    <w:rsid w:val="47530F1F"/>
    <w:rsid w:val="47772728"/>
    <w:rsid w:val="47B4245A"/>
    <w:rsid w:val="47C876CB"/>
    <w:rsid w:val="47D73A93"/>
    <w:rsid w:val="47EC1AC1"/>
    <w:rsid w:val="48034366"/>
    <w:rsid w:val="481B4154"/>
    <w:rsid w:val="482A7FA0"/>
    <w:rsid w:val="48516FB5"/>
    <w:rsid w:val="4860425D"/>
    <w:rsid w:val="488E0B7F"/>
    <w:rsid w:val="48910A08"/>
    <w:rsid w:val="48B459D5"/>
    <w:rsid w:val="48D21BB1"/>
    <w:rsid w:val="48F416EC"/>
    <w:rsid w:val="49497D40"/>
    <w:rsid w:val="494D37A0"/>
    <w:rsid w:val="49BD3AE3"/>
    <w:rsid w:val="49C44B36"/>
    <w:rsid w:val="49EF612F"/>
    <w:rsid w:val="4A3A6E9E"/>
    <w:rsid w:val="4A5E657A"/>
    <w:rsid w:val="4A7D2EA4"/>
    <w:rsid w:val="4A9216E3"/>
    <w:rsid w:val="4AE820F1"/>
    <w:rsid w:val="4B0576C2"/>
    <w:rsid w:val="4B991F60"/>
    <w:rsid w:val="4BA62F67"/>
    <w:rsid w:val="4C3E19EB"/>
    <w:rsid w:val="4C681932"/>
    <w:rsid w:val="4CAA52F9"/>
    <w:rsid w:val="4D267823"/>
    <w:rsid w:val="4D9066EF"/>
    <w:rsid w:val="4DAB5852"/>
    <w:rsid w:val="4DD52FF7"/>
    <w:rsid w:val="4E584E31"/>
    <w:rsid w:val="4E6241F5"/>
    <w:rsid w:val="4E634927"/>
    <w:rsid w:val="4E751CC3"/>
    <w:rsid w:val="4EAD1E2E"/>
    <w:rsid w:val="4EBE1CDD"/>
    <w:rsid w:val="4F0244ED"/>
    <w:rsid w:val="4F105D44"/>
    <w:rsid w:val="4F355850"/>
    <w:rsid w:val="4F5C4B3F"/>
    <w:rsid w:val="4F645657"/>
    <w:rsid w:val="4F8B14B0"/>
    <w:rsid w:val="4FB671CF"/>
    <w:rsid w:val="4FEFB9BD"/>
    <w:rsid w:val="4FFD7F4B"/>
    <w:rsid w:val="501F5F01"/>
    <w:rsid w:val="5063360F"/>
    <w:rsid w:val="5079308D"/>
    <w:rsid w:val="50BF05A8"/>
    <w:rsid w:val="50C11611"/>
    <w:rsid w:val="50E74F74"/>
    <w:rsid w:val="5107796B"/>
    <w:rsid w:val="5144207A"/>
    <w:rsid w:val="51717068"/>
    <w:rsid w:val="51861BAA"/>
    <w:rsid w:val="519F5DF6"/>
    <w:rsid w:val="51A04A97"/>
    <w:rsid w:val="51DF1D99"/>
    <w:rsid w:val="52077FA0"/>
    <w:rsid w:val="523E6CC9"/>
    <w:rsid w:val="52D5390A"/>
    <w:rsid w:val="52E361B6"/>
    <w:rsid w:val="52F61E27"/>
    <w:rsid w:val="530B34BA"/>
    <w:rsid w:val="539D3912"/>
    <w:rsid w:val="53D224B3"/>
    <w:rsid w:val="545C6276"/>
    <w:rsid w:val="556C60B3"/>
    <w:rsid w:val="561A74D1"/>
    <w:rsid w:val="56474697"/>
    <w:rsid w:val="565A7F33"/>
    <w:rsid w:val="56A36D09"/>
    <w:rsid w:val="57283E0B"/>
    <w:rsid w:val="574A1DC1"/>
    <w:rsid w:val="578F1CA8"/>
    <w:rsid w:val="57AC7E74"/>
    <w:rsid w:val="57C00B06"/>
    <w:rsid w:val="58021570"/>
    <w:rsid w:val="580E5197"/>
    <w:rsid w:val="582C16A6"/>
    <w:rsid w:val="5831455A"/>
    <w:rsid w:val="58351806"/>
    <w:rsid w:val="5863030F"/>
    <w:rsid w:val="58E93DFA"/>
    <w:rsid w:val="58F52B38"/>
    <w:rsid w:val="58FA7DB6"/>
    <w:rsid w:val="5906339C"/>
    <w:rsid w:val="592616D2"/>
    <w:rsid w:val="59341B00"/>
    <w:rsid w:val="595F144E"/>
    <w:rsid w:val="59DE0E81"/>
    <w:rsid w:val="59F55223"/>
    <w:rsid w:val="59FF35B4"/>
    <w:rsid w:val="5ABA0295"/>
    <w:rsid w:val="5AE470AA"/>
    <w:rsid w:val="5AF2051E"/>
    <w:rsid w:val="5B2B34B2"/>
    <w:rsid w:val="5B301727"/>
    <w:rsid w:val="5B5A5DEF"/>
    <w:rsid w:val="5B8069E9"/>
    <w:rsid w:val="5BB41608"/>
    <w:rsid w:val="5BC56904"/>
    <w:rsid w:val="5C0A6E8C"/>
    <w:rsid w:val="5CA9096B"/>
    <w:rsid w:val="5CEC2D02"/>
    <w:rsid w:val="5D16383F"/>
    <w:rsid w:val="5D2353DA"/>
    <w:rsid w:val="5D2F1D61"/>
    <w:rsid w:val="5D675ECA"/>
    <w:rsid w:val="5DA14B7B"/>
    <w:rsid w:val="5DC100D0"/>
    <w:rsid w:val="5DDF7727"/>
    <w:rsid w:val="5DED1C97"/>
    <w:rsid w:val="5E252AE9"/>
    <w:rsid w:val="5EA3775E"/>
    <w:rsid w:val="5F6D531F"/>
    <w:rsid w:val="5FAE2505"/>
    <w:rsid w:val="5FD64891"/>
    <w:rsid w:val="60056797"/>
    <w:rsid w:val="60D07D7A"/>
    <w:rsid w:val="61094D40"/>
    <w:rsid w:val="61271980"/>
    <w:rsid w:val="614172DE"/>
    <w:rsid w:val="614F2973"/>
    <w:rsid w:val="6160574F"/>
    <w:rsid w:val="618840A3"/>
    <w:rsid w:val="6232236E"/>
    <w:rsid w:val="62FE0DBC"/>
    <w:rsid w:val="630700DA"/>
    <w:rsid w:val="63272EBA"/>
    <w:rsid w:val="64770E73"/>
    <w:rsid w:val="648B18C9"/>
    <w:rsid w:val="64CD2937"/>
    <w:rsid w:val="64F96933"/>
    <w:rsid w:val="6511265D"/>
    <w:rsid w:val="651C4271"/>
    <w:rsid w:val="655B398A"/>
    <w:rsid w:val="65A8181D"/>
    <w:rsid w:val="65A93AD5"/>
    <w:rsid w:val="65DC4A6D"/>
    <w:rsid w:val="65EB72B5"/>
    <w:rsid w:val="662B3EC2"/>
    <w:rsid w:val="664663E8"/>
    <w:rsid w:val="66786787"/>
    <w:rsid w:val="66B25BAB"/>
    <w:rsid w:val="66C80CB9"/>
    <w:rsid w:val="66CF4630"/>
    <w:rsid w:val="66D36063"/>
    <w:rsid w:val="679F4E53"/>
    <w:rsid w:val="680660A3"/>
    <w:rsid w:val="6808013C"/>
    <w:rsid w:val="68406925"/>
    <w:rsid w:val="68490BA5"/>
    <w:rsid w:val="685305E5"/>
    <w:rsid w:val="6872092B"/>
    <w:rsid w:val="68A320F0"/>
    <w:rsid w:val="68A60271"/>
    <w:rsid w:val="68C10A03"/>
    <w:rsid w:val="68D221B5"/>
    <w:rsid w:val="691702F9"/>
    <w:rsid w:val="692E7F1E"/>
    <w:rsid w:val="69430A4C"/>
    <w:rsid w:val="695A32F7"/>
    <w:rsid w:val="69625FE3"/>
    <w:rsid w:val="698C6D71"/>
    <w:rsid w:val="69CE6C54"/>
    <w:rsid w:val="69E421A0"/>
    <w:rsid w:val="69FF6FDA"/>
    <w:rsid w:val="6A242849"/>
    <w:rsid w:val="6A496830"/>
    <w:rsid w:val="6A6C49B9"/>
    <w:rsid w:val="6A8F166B"/>
    <w:rsid w:val="6ADF78E5"/>
    <w:rsid w:val="6B0B3C2C"/>
    <w:rsid w:val="6B69766A"/>
    <w:rsid w:val="6B72636C"/>
    <w:rsid w:val="6B8D0D02"/>
    <w:rsid w:val="6BE57493"/>
    <w:rsid w:val="6C6F7B7A"/>
    <w:rsid w:val="6C7C2B89"/>
    <w:rsid w:val="6C8143AB"/>
    <w:rsid w:val="6CB30AE5"/>
    <w:rsid w:val="6CC833BE"/>
    <w:rsid w:val="6D0765CF"/>
    <w:rsid w:val="6E0C0467"/>
    <w:rsid w:val="6E10608E"/>
    <w:rsid w:val="6E8B0923"/>
    <w:rsid w:val="6E92338D"/>
    <w:rsid w:val="6EA50F15"/>
    <w:rsid w:val="6ECD2F43"/>
    <w:rsid w:val="6ED722D3"/>
    <w:rsid w:val="6EFA3169"/>
    <w:rsid w:val="6F1218C9"/>
    <w:rsid w:val="6F35142D"/>
    <w:rsid w:val="6F873FB6"/>
    <w:rsid w:val="6FDB35C9"/>
    <w:rsid w:val="6FE10C9C"/>
    <w:rsid w:val="701423EB"/>
    <w:rsid w:val="70257F20"/>
    <w:rsid w:val="70375E28"/>
    <w:rsid w:val="70593DDE"/>
    <w:rsid w:val="707A6818"/>
    <w:rsid w:val="70982CEF"/>
    <w:rsid w:val="70CE3BAA"/>
    <w:rsid w:val="71240C74"/>
    <w:rsid w:val="7137174F"/>
    <w:rsid w:val="713F3812"/>
    <w:rsid w:val="717C1858"/>
    <w:rsid w:val="7213064F"/>
    <w:rsid w:val="72401A80"/>
    <w:rsid w:val="725168ED"/>
    <w:rsid w:val="726603B7"/>
    <w:rsid w:val="726868DD"/>
    <w:rsid w:val="727A7B45"/>
    <w:rsid w:val="728E103A"/>
    <w:rsid w:val="7298562B"/>
    <w:rsid w:val="72AD3F56"/>
    <w:rsid w:val="73047240"/>
    <w:rsid w:val="73577E87"/>
    <w:rsid w:val="737C78ED"/>
    <w:rsid w:val="73CA68AB"/>
    <w:rsid w:val="74125278"/>
    <w:rsid w:val="742D6B8B"/>
    <w:rsid w:val="74577CFC"/>
    <w:rsid w:val="7474619D"/>
    <w:rsid w:val="748F53FE"/>
    <w:rsid w:val="74DD7D93"/>
    <w:rsid w:val="75063D16"/>
    <w:rsid w:val="751D6A31"/>
    <w:rsid w:val="75435570"/>
    <w:rsid w:val="763E2D8B"/>
    <w:rsid w:val="765E373E"/>
    <w:rsid w:val="76912AA8"/>
    <w:rsid w:val="76936197"/>
    <w:rsid w:val="76B1521D"/>
    <w:rsid w:val="76B352E5"/>
    <w:rsid w:val="76BB5179"/>
    <w:rsid w:val="77291B3A"/>
    <w:rsid w:val="786E73D3"/>
    <w:rsid w:val="78D37FAF"/>
    <w:rsid w:val="78F735A9"/>
    <w:rsid w:val="790C5439"/>
    <w:rsid w:val="79263959"/>
    <w:rsid w:val="794F282E"/>
    <w:rsid w:val="7A2D6D03"/>
    <w:rsid w:val="7A926212"/>
    <w:rsid w:val="7AE15C86"/>
    <w:rsid w:val="7AF244C2"/>
    <w:rsid w:val="7B095F0A"/>
    <w:rsid w:val="7B7968C3"/>
    <w:rsid w:val="7BF60BE3"/>
    <w:rsid w:val="7C091F3A"/>
    <w:rsid w:val="7C492337"/>
    <w:rsid w:val="7C8313D5"/>
    <w:rsid w:val="7CB1637A"/>
    <w:rsid w:val="7CD82311"/>
    <w:rsid w:val="7CEA6A35"/>
    <w:rsid w:val="7D0564AB"/>
    <w:rsid w:val="7D3C3520"/>
    <w:rsid w:val="7D5052A6"/>
    <w:rsid w:val="7D8E46AE"/>
    <w:rsid w:val="7DA912DF"/>
    <w:rsid w:val="7DE50961"/>
    <w:rsid w:val="7E280463"/>
    <w:rsid w:val="7E3A462D"/>
    <w:rsid w:val="7E7D055C"/>
    <w:rsid w:val="7E813419"/>
    <w:rsid w:val="7EC74BC9"/>
    <w:rsid w:val="7ED06D3F"/>
    <w:rsid w:val="7F0163B7"/>
    <w:rsid w:val="7F0204F0"/>
    <w:rsid w:val="7F106C3A"/>
    <w:rsid w:val="7F6E6C48"/>
    <w:rsid w:val="7F880827"/>
    <w:rsid w:val="7F9D3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
    <w:pPr>
      <w:keepNext/>
      <w:keepLines/>
      <w:spacing w:before="340" w:after="330" w:line="578" w:lineRule="auto"/>
      <w:jc w:val="center"/>
      <w:outlineLvl w:val="0"/>
    </w:pPr>
    <w:rPr>
      <w:rFonts w:eastAsia="仿宋_GB2312"/>
      <w:b/>
      <w:bCs/>
      <w:kern w:val="44"/>
      <w:sz w:val="44"/>
      <w:szCs w:val="44"/>
    </w:rPr>
  </w:style>
  <w:style w:type="paragraph" w:styleId="3">
    <w:name w:val="heading 2"/>
    <w:basedOn w:val="1"/>
    <w:next w:val="1"/>
    <w:link w:val="84"/>
    <w:qFormat/>
    <w:uiPriority w:val="9"/>
    <w:pPr>
      <w:keepNext/>
      <w:keepLines/>
      <w:spacing w:before="260" w:after="260" w:line="400" w:lineRule="exact"/>
      <w:outlineLvl w:val="1"/>
    </w:pPr>
    <w:rPr>
      <w:rFonts w:ascii="Arial" w:hAnsi="Arial" w:eastAsia="黑体"/>
      <w:b/>
      <w:bCs/>
      <w:sz w:val="24"/>
      <w:szCs w:val="32"/>
    </w:rPr>
  </w:style>
  <w:style w:type="paragraph" w:styleId="4">
    <w:name w:val="heading 3"/>
    <w:basedOn w:val="1"/>
    <w:next w:val="1"/>
    <w:link w:val="60"/>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28"/>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129"/>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130"/>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131"/>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132"/>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8"/>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133"/>
    <w:qFormat/>
    <w:uiPriority w:val="0"/>
    <w:pPr>
      <w:shd w:val="clear" w:color="auto" w:fill="000080"/>
    </w:pPr>
  </w:style>
  <w:style w:type="paragraph" w:styleId="15">
    <w:name w:val="annotation text"/>
    <w:basedOn w:val="1"/>
    <w:link w:val="74"/>
    <w:qFormat/>
    <w:uiPriority w:val="0"/>
    <w:pPr>
      <w:jc w:val="left"/>
    </w:pPr>
  </w:style>
  <w:style w:type="paragraph" w:styleId="16">
    <w:name w:val="Body Text 3"/>
    <w:basedOn w:val="1"/>
    <w:link w:val="134"/>
    <w:qFormat/>
    <w:uiPriority w:val="0"/>
    <w:pPr>
      <w:spacing w:line="500" w:lineRule="exact"/>
    </w:pPr>
    <w:rPr>
      <w:b/>
      <w:bCs/>
      <w:sz w:val="24"/>
    </w:rPr>
  </w:style>
  <w:style w:type="paragraph" w:styleId="17">
    <w:name w:val="Body Text"/>
    <w:basedOn w:val="1"/>
    <w:next w:val="1"/>
    <w:link w:val="135"/>
    <w:qFormat/>
    <w:uiPriority w:val="0"/>
    <w:pPr>
      <w:spacing w:line="380" w:lineRule="exact"/>
    </w:pPr>
    <w:rPr>
      <w:sz w:val="24"/>
    </w:rPr>
  </w:style>
  <w:style w:type="paragraph" w:styleId="18">
    <w:name w:val="Body Text Indent"/>
    <w:basedOn w:val="1"/>
    <w:link w:val="67"/>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pPr>
  </w:style>
  <w:style w:type="paragraph" w:styleId="20">
    <w:name w:val="List 2"/>
    <w:basedOn w:val="1"/>
    <w:qFormat/>
    <w:uiPriority w:val="0"/>
    <w:pPr>
      <w:ind w:left="100" w:leftChars="200" w:hanging="200" w:hangingChars="200"/>
    </w:pPr>
    <w:rPr>
      <w:sz w:val="28"/>
    </w:rPr>
  </w:style>
  <w:style w:type="paragraph" w:styleId="21">
    <w:name w:val="Plain Text"/>
    <w:basedOn w:val="1"/>
    <w:next w:val="1"/>
    <w:link w:val="54"/>
    <w:qFormat/>
    <w:uiPriority w:val="0"/>
    <w:rPr>
      <w:rFonts w:ascii="宋体" w:hAnsi="Courier New" w:cs="Courier New"/>
      <w:szCs w:val="21"/>
    </w:rPr>
  </w:style>
  <w:style w:type="paragraph" w:styleId="22">
    <w:name w:val="Date"/>
    <w:basedOn w:val="1"/>
    <w:next w:val="1"/>
    <w:link w:val="136"/>
    <w:qFormat/>
    <w:uiPriority w:val="0"/>
    <w:pPr>
      <w:ind w:left="100" w:leftChars="2500"/>
    </w:pPr>
    <w:rPr>
      <w:rFonts w:ascii="宋体" w:hAnsi="Courier New" w:cs="Courier New"/>
      <w:szCs w:val="21"/>
    </w:rPr>
  </w:style>
  <w:style w:type="paragraph" w:styleId="23">
    <w:name w:val="Body Text Indent 2"/>
    <w:basedOn w:val="1"/>
    <w:link w:val="137"/>
    <w:qFormat/>
    <w:uiPriority w:val="0"/>
    <w:pPr>
      <w:ind w:firstLine="630"/>
    </w:pPr>
    <w:rPr>
      <w:sz w:val="32"/>
      <w:szCs w:val="20"/>
    </w:rPr>
  </w:style>
  <w:style w:type="paragraph" w:styleId="24">
    <w:name w:val="Balloon Text"/>
    <w:basedOn w:val="1"/>
    <w:link w:val="73"/>
    <w:qFormat/>
    <w:uiPriority w:val="0"/>
    <w:rPr>
      <w:sz w:val="18"/>
      <w:szCs w:val="18"/>
      <w:lang w:val="zh-CN"/>
    </w:rPr>
  </w:style>
  <w:style w:type="paragraph" w:styleId="25">
    <w:name w:val="footer"/>
    <w:basedOn w:val="1"/>
    <w:link w:val="69"/>
    <w:qFormat/>
    <w:uiPriority w:val="99"/>
    <w:pPr>
      <w:tabs>
        <w:tab w:val="center" w:pos="4153"/>
        <w:tab w:val="right" w:pos="8306"/>
      </w:tabs>
      <w:snapToGrid w:val="0"/>
      <w:jc w:val="left"/>
    </w:pPr>
    <w:rPr>
      <w:sz w:val="18"/>
      <w:szCs w:val="18"/>
      <w:lang w:val="zh-CN"/>
    </w:rPr>
  </w:style>
  <w:style w:type="paragraph" w:styleId="26">
    <w:name w:val="header"/>
    <w:basedOn w:val="1"/>
    <w:link w:val="71"/>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Subtitle"/>
    <w:basedOn w:val="1"/>
    <w:next w:val="1"/>
    <w:link w:val="72"/>
    <w:qFormat/>
    <w:uiPriority w:val="0"/>
    <w:pPr>
      <w:spacing w:line="312" w:lineRule="auto"/>
      <w:ind w:left="200" w:leftChars="200"/>
      <w:jc w:val="left"/>
      <w:outlineLvl w:val="1"/>
    </w:pPr>
    <w:rPr>
      <w:rFonts w:ascii="Cambria" w:hAnsi="Cambria"/>
      <w:b/>
      <w:bCs/>
      <w:kern w:val="28"/>
      <w:sz w:val="28"/>
      <w:szCs w:val="32"/>
    </w:rPr>
  </w:style>
  <w:style w:type="paragraph" w:styleId="29">
    <w:name w:val="List"/>
    <w:basedOn w:val="1"/>
    <w:qFormat/>
    <w:uiPriority w:val="0"/>
    <w:pPr>
      <w:ind w:left="200" w:hanging="200" w:hangingChars="200"/>
    </w:pPr>
    <w:rPr>
      <w:sz w:val="28"/>
    </w:rPr>
  </w:style>
  <w:style w:type="paragraph" w:styleId="30">
    <w:name w:val="Body Text Indent 3"/>
    <w:basedOn w:val="1"/>
    <w:link w:val="138"/>
    <w:qFormat/>
    <w:uiPriority w:val="0"/>
    <w:pPr>
      <w:spacing w:after="120"/>
      <w:ind w:left="420" w:leftChars="200"/>
    </w:pPr>
    <w:rPr>
      <w:sz w:val="16"/>
      <w:szCs w:val="16"/>
    </w:rPr>
  </w:style>
  <w:style w:type="paragraph" w:styleId="31">
    <w:name w:val="Body Text 2"/>
    <w:basedOn w:val="1"/>
    <w:link w:val="139"/>
    <w:qFormat/>
    <w:uiPriority w:val="0"/>
    <w:pPr>
      <w:spacing w:after="120" w:line="480" w:lineRule="auto"/>
    </w:pPr>
  </w:style>
  <w:style w:type="paragraph" w:styleId="32">
    <w:name w:val="HTML Preformatted"/>
    <w:basedOn w:val="1"/>
    <w:link w:val="1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annotation subject"/>
    <w:basedOn w:val="15"/>
    <w:next w:val="15"/>
    <w:link w:val="85"/>
    <w:qFormat/>
    <w:uiPriority w:val="0"/>
    <w:rPr>
      <w:b/>
      <w:bCs/>
    </w:rPr>
  </w:style>
  <w:style w:type="paragraph" w:styleId="36">
    <w:name w:val="Body Text First Indent"/>
    <w:basedOn w:val="17"/>
    <w:qFormat/>
    <w:uiPriority w:val="0"/>
    <w:pPr>
      <w:spacing w:after="120"/>
      <w:ind w:firstLine="420" w:firstLineChars="100"/>
    </w:pPr>
    <w:rPr>
      <w:rFonts w:ascii="宋体"/>
      <w:sz w:val="21"/>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rFonts w:ascii="Times New Roman" w:hAnsi="Times New Roman" w:eastAsia="宋体" w:cs="Times New Roman"/>
      <w:b/>
      <w:bCs/>
    </w:rPr>
  </w:style>
  <w:style w:type="character" w:styleId="41">
    <w:name w:val="page number"/>
    <w:qFormat/>
    <w:uiPriority w:val="0"/>
    <w:rPr>
      <w:rFonts w:ascii="Times New Roman" w:hAnsi="Times New Roman" w:eastAsia="宋体" w:cs="Times New Roman"/>
    </w:rPr>
  </w:style>
  <w:style w:type="character" w:styleId="42">
    <w:name w:val="FollowedHyperlink"/>
    <w:basedOn w:val="39"/>
    <w:semiHidden/>
    <w:unhideWhenUsed/>
    <w:qFormat/>
    <w:uiPriority w:val="99"/>
    <w:rPr>
      <w:color w:val="954F72" w:themeColor="followedHyperlink"/>
      <w:u w:val="single"/>
      <w14:textFill>
        <w14:solidFill>
          <w14:schemeClr w14:val="folHlink"/>
        </w14:solidFill>
      </w14:textFill>
    </w:rPr>
  </w:style>
  <w:style w:type="character" w:styleId="43">
    <w:name w:val="Emphasis"/>
    <w:qFormat/>
    <w:uiPriority w:val="0"/>
    <w:rPr>
      <w:rFonts w:ascii="Times New Roman" w:hAnsi="Times New Roman" w:eastAsia="宋体" w:cs="Times New Roman"/>
      <w:color w:val="CC0033"/>
    </w:rPr>
  </w:style>
  <w:style w:type="character" w:styleId="44">
    <w:name w:val="Hyperlink"/>
    <w:qFormat/>
    <w:uiPriority w:val="99"/>
    <w:rPr>
      <w:rFonts w:ascii="Times New Roman" w:hAnsi="Times New Roman" w:eastAsia="宋体" w:cs="Times New Roman"/>
      <w:color w:val="0000FF"/>
      <w:u w:val="single"/>
    </w:rPr>
  </w:style>
  <w:style w:type="character" w:styleId="45">
    <w:name w:val="annotation reference"/>
    <w:qFormat/>
    <w:uiPriority w:val="0"/>
    <w:rPr>
      <w:rFonts w:ascii="Times New Roman" w:hAnsi="Times New Roman" w:eastAsia="宋体" w:cs="Times New Roman"/>
      <w:sz w:val="21"/>
      <w:szCs w:val="21"/>
    </w:rPr>
  </w:style>
  <w:style w:type="paragraph" w:customStyle="1" w:styleId="46">
    <w:name w:val="Default"/>
    <w:qFormat/>
    <w:uiPriority w:val="0"/>
    <w:pPr>
      <w:widowControl w:val="0"/>
      <w:autoSpaceDE w:val="0"/>
      <w:autoSpaceDN w:val="0"/>
      <w:adjustRightInd w:val="0"/>
      <w:spacing w:line="360" w:lineRule="auto"/>
      <w:ind w:firstLine="147" w:firstLineChars="147"/>
      <w:jc w:val="both"/>
    </w:pPr>
    <w:rPr>
      <w:rFonts w:ascii="宋体" w:hAnsi="Times New Roman" w:eastAsia="宋体" w:cs="Times New Roman"/>
      <w:color w:val="000000"/>
      <w:sz w:val="24"/>
      <w:szCs w:val="24"/>
      <w:lang w:val="en-US" w:eastAsia="zh-CN" w:bidi="ar-SA"/>
    </w:rPr>
  </w:style>
  <w:style w:type="character" w:customStyle="1" w:styleId="47">
    <w:name w:val="font21"/>
    <w:qFormat/>
    <w:uiPriority w:val="0"/>
    <w:rPr>
      <w:rFonts w:hint="eastAsia" w:ascii="宋体" w:hAnsi="宋体" w:eastAsia="宋体" w:cs="宋体"/>
      <w:color w:val="000000"/>
      <w:sz w:val="20"/>
      <w:szCs w:val="20"/>
    </w:rPr>
  </w:style>
  <w:style w:type="character" w:customStyle="1" w:styleId="48">
    <w:name w:val="st1"/>
    <w:qFormat/>
    <w:uiPriority w:val="0"/>
    <w:rPr>
      <w:rFonts w:ascii="Times New Roman" w:hAnsi="Times New Roman" w:eastAsia="宋体" w:cs="Times New Roman"/>
    </w:rPr>
  </w:style>
  <w:style w:type="character" w:customStyle="1" w:styleId="49">
    <w:name w:val="标题 1 字符"/>
    <w:link w:val="2"/>
    <w:qFormat/>
    <w:uiPriority w:val="9"/>
    <w:rPr>
      <w:rFonts w:ascii="Times New Roman" w:hAnsi="Times New Roman" w:eastAsia="仿宋_GB2312" w:cs="Times New Roman"/>
      <w:b/>
      <w:bCs/>
      <w:kern w:val="44"/>
      <w:sz w:val="44"/>
      <w:szCs w:val="44"/>
      <w:lang w:val="en-US" w:eastAsia="zh-CN" w:bidi="ar-SA"/>
    </w:rPr>
  </w:style>
  <w:style w:type="character" w:customStyle="1" w:styleId="50">
    <w:name w:val="ca-2"/>
    <w:qFormat/>
    <w:uiPriority w:val="0"/>
    <w:rPr>
      <w:rFonts w:ascii="Times New Roman" w:hAnsi="Times New Roman" w:eastAsia="宋体" w:cs="Times New Roman"/>
    </w:rPr>
  </w:style>
  <w:style w:type="character" w:customStyle="1" w:styleId="51">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2">
    <w:name w:val="1ji Char"/>
    <w:link w:val="53"/>
    <w:qFormat/>
    <w:uiPriority w:val="0"/>
    <w:rPr>
      <w:rFonts w:ascii="宋体" w:hAnsi="宋体" w:eastAsia="仿宋_GB2312" w:cs="Times New Roman"/>
      <w:b/>
      <w:bCs/>
      <w:kern w:val="44"/>
      <w:sz w:val="36"/>
      <w:szCs w:val="44"/>
      <w:lang w:val="en-US" w:eastAsia="zh-CN" w:bidi="ar-SA"/>
    </w:rPr>
  </w:style>
  <w:style w:type="paragraph" w:customStyle="1" w:styleId="53">
    <w:name w:val="1ji"/>
    <w:basedOn w:val="2"/>
    <w:link w:val="52"/>
    <w:qFormat/>
    <w:uiPriority w:val="0"/>
    <w:pPr>
      <w:keepLines w:val="0"/>
      <w:widowControl/>
      <w:spacing w:before="0" w:after="0" w:line="240" w:lineRule="auto"/>
    </w:pPr>
    <w:rPr>
      <w:rFonts w:ascii="宋体" w:hAnsi="宋体"/>
      <w:sz w:val="36"/>
    </w:rPr>
  </w:style>
  <w:style w:type="character" w:customStyle="1" w:styleId="54">
    <w:name w:val="纯文本 字符"/>
    <w:link w:val="21"/>
    <w:qFormat/>
    <w:uiPriority w:val="0"/>
    <w:rPr>
      <w:rFonts w:ascii="宋体" w:hAnsi="Courier New" w:eastAsia="宋体" w:cs="Courier New"/>
      <w:kern w:val="2"/>
      <w:sz w:val="21"/>
      <w:szCs w:val="21"/>
      <w:lang w:val="en-US" w:eastAsia="zh-CN" w:bidi="ar-SA"/>
    </w:rPr>
  </w:style>
  <w:style w:type="character" w:customStyle="1" w:styleId="55">
    <w:name w:val="font41"/>
    <w:qFormat/>
    <w:uiPriority w:val="0"/>
    <w:rPr>
      <w:rFonts w:hint="default" w:ascii="Times New Roman" w:hAnsi="Times New Roman" w:eastAsia="宋体" w:cs="Times New Roman"/>
      <w:color w:val="000000"/>
      <w:sz w:val="20"/>
      <w:szCs w:val="20"/>
    </w:rPr>
  </w:style>
  <w:style w:type="character" w:customStyle="1" w:styleId="56">
    <w:name w:val="font31"/>
    <w:qFormat/>
    <w:uiPriority w:val="0"/>
    <w:rPr>
      <w:rFonts w:hint="default" w:ascii="Times New Roman" w:hAnsi="Times New Roman" w:eastAsia="宋体" w:cs="Times New Roman"/>
      <w:color w:val="000000"/>
      <w:sz w:val="20"/>
      <w:szCs w:val="20"/>
    </w:rPr>
  </w:style>
  <w:style w:type="character" w:customStyle="1" w:styleId="57">
    <w:name w:val="apple-style-span"/>
    <w:qFormat/>
    <w:uiPriority w:val="0"/>
    <w:rPr>
      <w:rFonts w:ascii="Times New Roman" w:hAnsi="Times New Roman" w:eastAsia="宋体" w:cs="Times New Roman"/>
    </w:rPr>
  </w:style>
  <w:style w:type="character" w:customStyle="1" w:styleId="58">
    <w:name w:val="正文缩进 字符"/>
    <w:link w:val="7"/>
    <w:qFormat/>
    <w:uiPriority w:val="0"/>
    <w:rPr>
      <w:rFonts w:ascii="Times New Roman" w:hAnsi="Times New Roman" w:eastAsia="宋体" w:cs="Times New Roman"/>
      <w:kern w:val="2"/>
      <w:sz w:val="21"/>
      <w:lang w:val="en-US" w:eastAsia="zh-CN" w:bidi="ar-SA"/>
    </w:rPr>
  </w:style>
  <w:style w:type="character" w:customStyle="1" w:styleId="59">
    <w:name w:val="font51"/>
    <w:qFormat/>
    <w:uiPriority w:val="0"/>
    <w:rPr>
      <w:rFonts w:hint="default" w:ascii="Times New Roman" w:hAnsi="Times New Roman" w:eastAsia="宋体" w:cs="Times New Roman"/>
      <w:color w:val="000000"/>
      <w:sz w:val="20"/>
      <w:szCs w:val="20"/>
    </w:rPr>
  </w:style>
  <w:style w:type="character" w:customStyle="1" w:styleId="60">
    <w:name w:val="标题 3 字符"/>
    <w:link w:val="4"/>
    <w:qFormat/>
    <w:uiPriority w:val="0"/>
    <w:rPr>
      <w:rFonts w:ascii="Times New Roman" w:hAnsi="Times New Roman" w:eastAsia="宋体" w:cs="Times New Roman"/>
      <w:b/>
      <w:bCs/>
      <w:kern w:val="2"/>
      <w:sz w:val="32"/>
      <w:szCs w:val="32"/>
      <w:lang w:val="en-US" w:eastAsia="zh-CN" w:bidi="ar-SA"/>
    </w:rPr>
  </w:style>
  <w:style w:type="character" w:customStyle="1" w:styleId="61">
    <w:name w:val="apple-converted-space"/>
    <w:qFormat/>
    <w:uiPriority w:val="0"/>
    <w:rPr>
      <w:rFonts w:ascii="Times New Roman" w:hAnsi="Times New Roman" w:eastAsia="宋体" w:cs="Times New Roman"/>
    </w:rPr>
  </w:style>
  <w:style w:type="character" w:customStyle="1" w:styleId="62">
    <w:name w:val="Header Char"/>
    <w:qFormat/>
    <w:uiPriority w:val="0"/>
    <w:rPr>
      <w:rFonts w:ascii="Calibri" w:hAnsi="Calibri" w:eastAsia="宋体" w:cs="Times New Roman"/>
      <w:kern w:val="2"/>
      <w:sz w:val="18"/>
      <w:szCs w:val="18"/>
      <w:lang w:val="en-US" w:eastAsia="zh-CN" w:bidi="ar-SA"/>
    </w:rPr>
  </w:style>
  <w:style w:type="character" w:customStyle="1" w:styleId="63">
    <w:name w:val="Footer Char"/>
    <w:qFormat/>
    <w:uiPriority w:val="0"/>
    <w:rPr>
      <w:rFonts w:ascii="Calibri" w:hAnsi="Calibri" w:eastAsia="宋体" w:cs="Times New Roman"/>
      <w:kern w:val="2"/>
      <w:sz w:val="18"/>
      <w:szCs w:val="18"/>
      <w:lang w:val="en-US" w:eastAsia="zh-CN" w:bidi="ar-SA"/>
    </w:rPr>
  </w:style>
  <w:style w:type="character" w:customStyle="1" w:styleId="64">
    <w:name w:val="Plain Text Char"/>
    <w:qFormat/>
    <w:uiPriority w:val="0"/>
    <w:rPr>
      <w:rFonts w:ascii="宋体" w:hAnsi="Courier New" w:eastAsia="宋体" w:cs="Times New Roman"/>
      <w:lang w:bidi="ar-SA"/>
    </w:rPr>
  </w:style>
  <w:style w:type="character" w:customStyle="1" w:styleId="65">
    <w:name w:val="普通文字 Char Char3"/>
    <w:qFormat/>
    <w:uiPriority w:val="0"/>
    <w:rPr>
      <w:rFonts w:ascii="宋体" w:hAnsi="Times New Roman" w:eastAsia="宋体" w:cs="Courier New"/>
      <w:kern w:val="2"/>
      <w:sz w:val="21"/>
      <w:szCs w:val="21"/>
      <w:lang w:val="en-US" w:eastAsia="zh-CN" w:bidi="ar-SA"/>
    </w:rPr>
  </w:style>
  <w:style w:type="character" w:customStyle="1" w:styleId="66">
    <w:name w:val="样式 正文 +"/>
    <w:qFormat/>
    <w:uiPriority w:val="0"/>
    <w:rPr>
      <w:rFonts w:ascii="Times New Roman" w:hAnsi="Times New Roman" w:eastAsia="宋体" w:cs="Times New Roman"/>
      <w:kern w:val="0"/>
      <w:sz w:val="28"/>
    </w:rPr>
  </w:style>
  <w:style w:type="character" w:customStyle="1" w:styleId="67">
    <w:name w:val="正文文本缩进 字符"/>
    <w:link w:val="18"/>
    <w:qFormat/>
    <w:uiPriority w:val="0"/>
    <w:rPr>
      <w:rFonts w:ascii="仿宋_GB2312" w:hAnsi="Times New Roman" w:eastAsia="仿宋_GB2312" w:cs="Times New Roman"/>
      <w:kern w:val="2"/>
      <w:sz w:val="32"/>
      <w:lang w:val="en-US" w:eastAsia="zh-CN" w:bidi="ar-SA"/>
    </w:rPr>
  </w:style>
  <w:style w:type="character" w:customStyle="1" w:styleId="68">
    <w:name w:val="普通文字 Char Char2"/>
    <w:qFormat/>
    <w:uiPriority w:val="0"/>
    <w:rPr>
      <w:rFonts w:ascii="宋体" w:hAnsi="Courier New" w:eastAsia="宋体" w:cs="Times New Roman"/>
      <w:kern w:val="2"/>
      <w:sz w:val="21"/>
      <w:lang w:val="en-US" w:eastAsia="zh-CN" w:bidi="ar-SA"/>
    </w:rPr>
  </w:style>
  <w:style w:type="character" w:customStyle="1" w:styleId="69">
    <w:name w:val="页脚 字符"/>
    <w:link w:val="25"/>
    <w:qFormat/>
    <w:uiPriority w:val="99"/>
    <w:rPr>
      <w:rFonts w:ascii="Times New Roman" w:hAnsi="Times New Roman" w:eastAsia="宋体" w:cs="Times New Roman"/>
      <w:kern w:val="2"/>
      <w:sz w:val="18"/>
      <w:szCs w:val="18"/>
    </w:rPr>
  </w:style>
  <w:style w:type="character" w:customStyle="1" w:styleId="70">
    <w:name w:val="样式 宋体 小四"/>
    <w:qFormat/>
    <w:uiPriority w:val="0"/>
    <w:rPr>
      <w:rFonts w:ascii="宋体" w:hAnsi="宋体" w:eastAsia="宋体" w:cs="Times New Roman"/>
      <w:sz w:val="24"/>
    </w:rPr>
  </w:style>
  <w:style w:type="character" w:customStyle="1" w:styleId="71">
    <w:name w:val="页眉 字符"/>
    <w:link w:val="26"/>
    <w:qFormat/>
    <w:uiPriority w:val="99"/>
    <w:rPr>
      <w:rFonts w:ascii="Times New Roman" w:hAnsi="Times New Roman" w:eastAsia="宋体" w:cs="Times New Roman"/>
      <w:kern w:val="2"/>
      <w:sz w:val="18"/>
      <w:szCs w:val="18"/>
      <w:lang w:val="en-US" w:eastAsia="zh-CN" w:bidi="ar-SA"/>
    </w:rPr>
  </w:style>
  <w:style w:type="character" w:customStyle="1" w:styleId="72">
    <w:name w:val="副标题 字符"/>
    <w:link w:val="28"/>
    <w:qFormat/>
    <w:uiPriority w:val="0"/>
    <w:rPr>
      <w:rFonts w:ascii="Cambria" w:hAnsi="Cambria" w:eastAsia="宋体" w:cs="Times New Roman"/>
      <w:b/>
      <w:bCs/>
      <w:kern w:val="28"/>
      <w:sz w:val="28"/>
      <w:szCs w:val="32"/>
      <w:lang w:val="en-US" w:eastAsia="zh-CN" w:bidi="ar-SA"/>
    </w:rPr>
  </w:style>
  <w:style w:type="character" w:customStyle="1" w:styleId="73">
    <w:name w:val="批注框文本 字符"/>
    <w:link w:val="24"/>
    <w:qFormat/>
    <w:uiPriority w:val="0"/>
    <w:rPr>
      <w:rFonts w:ascii="Times New Roman" w:hAnsi="Times New Roman" w:eastAsia="宋体" w:cs="Times New Roman"/>
      <w:kern w:val="2"/>
      <w:sz w:val="18"/>
      <w:szCs w:val="18"/>
    </w:rPr>
  </w:style>
  <w:style w:type="character" w:customStyle="1" w:styleId="74">
    <w:name w:val="批注文字 字符"/>
    <w:link w:val="15"/>
    <w:qFormat/>
    <w:uiPriority w:val="0"/>
    <w:rPr>
      <w:rFonts w:ascii="Times New Roman" w:hAnsi="Times New Roman" w:eastAsia="宋体" w:cs="Times New Roman"/>
      <w:kern w:val="2"/>
      <w:sz w:val="21"/>
      <w:szCs w:val="24"/>
      <w:lang w:val="en-US" w:eastAsia="zh-CN" w:bidi="ar-SA"/>
    </w:rPr>
  </w:style>
  <w:style w:type="character" w:customStyle="1" w:styleId="75">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6">
    <w:name w:val="ca-1"/>
    <w:qFormat/>
    <w:uiPriority w:val="0"/>
    <w:rPr>
      <w:rFonts w:ascii="Times New Roman" w:hAnsi="Times New Roman" w:eastAsia="宋体" w:cs="Times New Roman"/>
    </w:rPr>
  </w:style>
  <w:style w:type="character" w:customStyle="1" w:styleId="77">
    <w:name w:val="正文360首行缩进 Char"/>
    <w:link w:val="78"/>
    <w:qFormat/>
    <w:uiPriority w:val="0"/>
    <w:rPr>
      <w:rFonts w:ascii="Times New Roman" w:hAnsi="Times New Roman" w:eastAsia="宋体" w:cs="Times New Roman"/>
      <w:sz w:val="24"/>
      <w:szCs w:val="24"/>
    </w:rPr>
  </w:style>
  <w:style w:type="paragraph" w:customStyle="1" w:styleId="78">
    <w:name w:val="正文360首行缩进"/>
    <w:basedOn w:val="1"/>
    <w:link w:val="77"/>
    <w:qFormat/>
    <w:uiPriority w:val="0"/>
    <w:pPr>
      <w:widowControl/>
      <w:spacing w:before="120" w:line="300" w:lineRule="auto"/>
      <w:ind w:firstLine="200"/>
      <w:jc w:val="left"/>
    </w:pPr>
    <w:rPr>
      <w:kern w:val="0"/>
      <w:sz w:val="24"/>
    </w:rPr>
  </w:style>
  <w:style w:type="character" w:customStyle="1" w:styleId="79">
    <w:name w:val="List Paragraph Char"/>
    <w:link w:val="80"/>
    <w:qFormat/>
    <w:locked/>
    <w:uiPriority w:val="0"/>
    <w:rPr>
      <w:rFonts w:ascii="宋体" w:hAnsi="宋体" w:cs="宋体"/>
      <w:sz w:val="24"/>
      <w:szCs w:val="24"/>
    </w:rPr>
  </w:style>
  <w:style w:type="paragraph" w:customStyle="1" w:styleId="80">
    <w:name w:val="列表段落1"/>
    <w:basedOn w:val="1"/>
    <w:link w:val="79"/>
    <w:qFormat/>
    <w:uiPriority w:val="0"/>
    <w:pPr>
      <w:widowControl/>
      <w:ind w:firstLine="420" w:firstLineChars="200"/>
      <w:jc w:val="left"/>
    </w:pPr>
    <w:rPr>
      <w:rFonts w:ascii="宋体" w:hAnsi="宋体"/>
      <w:kern w:val="0"/>
      <w:sz w:val="24"/>
      <w:lang w:val="zh-CN"/>
    </w:rPr>
  </w:style>
  <w:style w:type="character" w:customStyle="1" w:styleId="81">
    <w:name w:val="yyii"/>
    <w:qFormat/>
    <w:uiPriority w:val="0"/>
    <w:rPr>
      <w:rFonts w:ascii="Times New Roman" w:hAnsi="Times New Roman" w:eastAsia="宋体" w:cs="Times New Roman"/>
    </w:rPr>
  </w:style>
  <w:style w:type="character" w:customStyle="1" w:styleId="82">
    <w:name w:val="纯文本 Char1"/>
    <w:qFormat/>
    <w:uiPriority w:val="0"/>
    <w:rPr>
      <w:rFonts w:ascii="宋体" w:hAnsi="Courier New" w:eastAsia="宋体" w:cs="Times New Roman"/>
      <w:kern w:val="2"/>
      <w:sz w:val="21"/>
    </w:rPr>
  </w:style>
  <w:style w:type="character" w:customStyle="1" w:styleId="83">
    <w:name w:val="标题 1 Char1"/>
    <w:qFormat/>
    <w:uiPriority w:val="0"/>
    <w:rPr>
      <w:rFonts w:ascii="Times New Roman" w:hAnsi="Times New Roman" w:eastAsia="宋体" w:cs="Times New Roman"/>
      <w:b/>
      <w:bCs/>
      <w:kern w:val="44"/>
      <w:sz w:val="44"/>
      <w:szCs w:val="44"/>
    </w:rPr>
  </w:style>
  <w:style w:type="character" w:customStyle="1" w:styleId="84">
    <w:name w:val="标题 2 字符"/>
    <w:link w:val="3"/>
    <w:qFormat/>
    <w:uiPriority w:val="9"/>
    <w:rPr>
      <w:rFonts w:ascii="Arial" w:hAnsi="Arial" w:eastAsia="黑体"/>
      <w:b/>
      <w:bCs/>
      <w:kern w:val="2"/>
      <w:sz w:val="24"/>
      <w:szCs w:val="32"/>
    </w:rPr>
  </w:style>
  <w:style w:type="character" w:customStyle="1" w:styleId="85">
    <w:name w:val="批注主题 字符"/>
    <w:link w:val="35"/>
    <w:qFormat/>
    <w:uiPriority w:val="0"/>
    <w:rPr>
      <w:rFonts w:ascii="Times New Roman" w:hAnsi="Times New Roman" w:eastAsia="宋体" w:cs="Times New Roman"/>
      <w:b/>
      <w:bCs/>
      <w:kern w:val="2"/>
      <w:sz w:val="21"/>
      <w:szCs w:val="24"/>
      <w:lang w:val="en-US" w:eastAsia="zh-CN" w:bidi="ar-SA"/>
    </w:rPr>
  </w:style>
  <w:style w:type="paragraph" w:customStyle="1" w:styleId="86">
    <w:name w:val="目录 11"/>
    <w:basedOn w:val="1"/>
    <w:next w:val="1"/>
    <w:qFormat/>
    <w:uiPriority w:val="39"/>
  </w:style>
  <w:style w:type="paragraph" w:customStyle="1" w:styleId="87">
    <w:name w:val="目录 21"/>
    <w:basedOn w:val="1"/>
    <w:next w:val="1"/>
    <w:qFormat/>
    <w:uiPriority w:val="39"/>
    <w:pPr>
      <w:tabs>
        <w:tab w:val="right" w:leader="dot" w:pos="9402"/>
      </w:tabs>
      <w:ind w:left="718" w:leftChars="200" w:hanging="298" w:hangingChars="142"/>
    </w:pPr>
  </w:style>
  <w:style w:type="paragraph" w:customStyle="1" w:styleId="88">
    <w:name w:val="目录 31"/>
    <w:basedOn w:val="1"/>
    <w:next w:val="1"/>
    <w:qFormat/>
    <w:uiPriority w:val="39"/>
    <w:pPr>
      <w:ind w:left="840" w:leftChars="400"/>
    </w:pPr>
  </w:style>
  <w:style w:type="paragraph" w:customStyle="1" w:styleId="89">
    <w:name w:val="正文首行缩进1"/>
    <w:basedOn w:val="17"/>
    <w:qFormat/>
    <w:uiPriority w:val="0"/>
    <w:pPr>
      <w:spacing w:after="120" w:line="240" w:lineRule="auto"/>
      <w:ind w:firstLine="420" w:firstLineChars="100"/>
    </w:pPr>
    <w:rPr>
      <w:sz w:val="21"/>
    </w:rPr>
  </w:style>
  <w:style w:type="paragraph" w:customStyle="1" w:styleId="90">
    <w:name w:val="Char Char1 Char Char Char Char"/>
    <w:basedOn w:val="14"/>
    <w:qFormat/>
    <w:uiPriority w:val="0"/>
    <w:rPr>
      <w:rFonts w:ascii="Tahoma" w:hAnsi="Tahoma"/>
      <w:sz w:val="24"/>
    </w:rPr>
  </w:style>
  <w:style w:type="paragraph" w:customStyle="1" w:styleId="91">
    <w:name w:val="列出段落1"/>
    <w:basedOn w:val="1"/>
    <w:qFormat/>
    <w:uiPriority w:val="99"/>
    <w:pPr>
      <w:ind w:firstLine="420" w:firstLineChars="200"/>
    </w:pPr>
    <w:rPr>
      <w:rFonts w:ascii="Calibri" w:hAnsi="Calibri"/>
    </w:rPr>
  </w:style>
  <w:style w:type="paragraph" w:customStyle="1" w:styleId="92">
    <w:name w:val="Char Char Char1 Char"/>
    <w:basedOn w:val="14"/>
    <w:qFormat/>
    <w:uiPriority w:val="0"/>
  </w:style>
  <w:style w:type="paragraph" w:customStyle="1" w:styleId="93">
    <w:name w:val="pa-5"/>
    <w:basedOn w:val="1"/>
    <w:qFormat/>
    <w:uiPriority w:val="0"/>
    <w:pPr>
      <w:widowControl/>
      <w:spacing w:before="150" w:after="150"/>
      <w:jc w:val="left"/>
    </w:pPr>
    <w:rPr>
      <w:rFonts w:ascii="宋体" w:hAnsi="宋体" w:cs="宋体"/>
      <w:kern w:val="0"/>
      <w:sz w:val="24"/>
    </w:rPr>
  </w:style>
  <w:style w:type="paragraph" w:customStyle="1" w:styleId="94">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5">
    <w:name w:val="Char Char1 Char Char Char Char1"/>
    <w:basedOn w:val="14"/>
    <w:qFormat/>
    <w:uiPriority w:val="0"/>
    <w:rPr>
      <w:rFonts w:ascii="Tahoma" w:hAnsi="Tahoma"/>
      <w:sz w:val="24"/>
    </w:rPr>
  </w:style>
  <w:style w:type="paragraph" w:customStyle="1" w:styleId="96">
    <w:name w:val="_Style 35"/>
    <w:basedOn w:val="14"/>
    <w:qFormat/>
    <w:uiPriority w:val="0"/>
    <w:pPr>
      <w:widowControl/>
      <w:ind w:firstLine="454"/>
      <w:jc w:val="left"/>
    </w:pPr>
  </w:style>
  <w:style w:type="paragraph" w:customStyle="1" w:styleId="97">
    <w:name w:val="5 Char Char Char Char Char Char Char Char Char Char"/>
    <w:basedOn w:val="1"/>
    <w:qFormat/>
    <w:uiPriority w:val="0"/>
  </w:style>
  <w:style w:type="paragraph" w:customStyle="1" w:styleId="9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9">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100">
    <w:name w:val="默认段落字体 Para Char"/>
    <w:basedOn w:val="1"/>
    <w:qFormat/>
    <w:uiPriority w:val="0"/>
    <w:rPr>
      <w:szCs w:val="20"/>
    </w:rPr>
  </w:style>
  <w:style w:type="paragraph" w:customStyle="1" w:styleId="101">
    <w:name w:val="表格文字"/>
    <w:basedOn w:val="1"/>
    <w:qFormat/>
    <w:uiPriority w:val="0"/>
    <w:pPr>
      <w:spacing w:before="25" w:after="25"/>
      <w:jc w:val="left"/>
    </w:pPr>
    <w:rPr>
      <w:bCs/>
      <w:spacing w:val="10"/>
      <w:kern w:val="0"/>
      <w:sz w:val="24"/>
    </w:rPr>
  </w:style>
  <w:style w:type="paragraph" w:customStyle="1" w:styleId="102">
    <w:name w:val="_Style 7"/>
    <w:basedOn w:val="14"/>
    <w:qFormat/>
    <w:uiPriority w:val="0"/>
  </w:style>
  <w:style w:type="paragraph" w:customStyle="1" w:styleId="103">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默认段落字体 Para Char Char Char Char Char Char Char Char Char1 Char Char Char Char"/>
    <w:basedOn w:val="1"/>
    <w:qFormat/>
    <w:uiPriority w:val="0"/>
    <w:rPr>
      <w:rFonts w:ascii="Tahoma" w:hAnsi="Tahoma"/>
      <w:sz w:val="24"/>
      <w:szCs w:val="20"/>
    </w:rPr>
  </w:style>
  <w:style w:type="paragraph" w:customStyle="1" w:styleId="105">
    <w:name w:val="样式 标题 1 + 居中 段前: 0 磅 段后: 0 磅 行距: 固定值 30 磅"/>
    <w:basedOn w:val="2"/>
    <w:qFormat/>
    <w:uiPriority w:val="0"/>
    <w:pPr>
      <w:spacing w:before="0" w:after="0" w:line="600" w:lineRule="exact"/>
    </w:pPr>
    <w:rPr>
      <w:rFonts w:eastAsia="宋体" w:cs="宋体"/>
      <w:szCs w:val="20"/>
    </w:rPr>
  </w:style>
  <w:style w:type="paragraph" w:customStyle="1" w:styleId="106">
    <w:name w:val="样式 小四 行距: 1.5 倍行距"/>
    <w:basedOn w:val="1"/>
    <w:qFormat/>
    <w:uiPriority w:val="0"/>
    <w:pPr>
      <w:spacing w:line="360" w:lineRule="auto"/>
      <w:ind w:firstLine="480" w:firstLineChars="200"/>
    </w:pPr>
    <w:rPr>
      <w:rFonts w:cs="宋体"/>
      <w:sz w:val="24"/>
      <w:szCs w:val="20"/>
    </w:rPr>
  </w:style>
  <w:style w:type="paragraph" w:customStyle="1" w:styleId="107">
    <w:name w:val="p0"/>
    <w:basedOn w:val="1"/>
    <w:qFormat/>
    <w:uiPriority w:val="0"/>
    <w:pPr>
      <w:widowControl/>
    </w:pPr>
    <w:rPr>
      <w:rFonts w:ascii="宋体" w:hAnsi="宋体" w:cs="宋体"/>
      <w:kern w:val="0"/>
      <w:szCs w:val="21"/>
    </w:rPr>
  </w:style>
  <w:style w:type="paragraph" w:customStyle="1" w:styleId="108">
    <w:name w:val="Char Char Char Char Char Char Char Char Char Char Char Char"/>
    <w:basedOn w:val="1"/>
    <w:qFormat/>
    <w:uiPriority w:val="0"/>
    <w:pPr>
      <w:widowControl/>
      <w:spacing w:after="160" w:line="240" w:lineRule="exact"/>
      <w:jc w:val="left"/>
    </w:pPr>
  </w:style>
  <w:style w:type="paragraph" w:customStyle="1" w:styleId="109">
    <w:name w:val="Char Char Char1 Char1"/>
    <w:basedOn w:val="1"/>
    <w:qFormat/>
    <w:uiPriority w:val="0"/>
    <w:rPr>
      <w:rFonts w:ascii="Calibri" w:hAnsi="Calibri"/>
      <w:szCs w:val="22"/>
    </w:rPr>
  </w:style>
  <w:style w:type="paragraph" w:customStyle="1" w:styleId="110">
    <w:name w:val="Char Char Char Char Char Char Char"/>
    <w:basedOn w:val="1"/>
    <w:qFormat/>
    <w:uiPriority w:val="0"/>
  </w:style>
  <w:style w:type="paragraph" w:customStyle="1" w:styleId="111">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2">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3">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5">
    <w:name w:val="Char"/>
    <w:basedOn w:val="14"/>
    <w:qFormat/>
    <w:uiPriority w:val="0"/>
    <w:pPr>
      <w:widowControl/>
      <w:ind w:firstLine="454"/>
      <w:jc w:val="left"/>
    </w:pPr>
    <w:rPr>
      <w:rFonts w:ascii="Tahoma" w:hAnsi="Tahoma" w:cs="宋体"/>
      <w:kern w:val="0"/>
      <w:sz w:val="24"/>
      <w:szCs w:val="20"/>
    </w:rPr>
  </w:style>
  <w:style w:type="paragraph" w:customStyle="1" w:styleId="116">
    <w:name w:val="Char1"/>
    <w:basedOn w:val="14"/>
    <w:qFormat/>
    <w:uiPriority w:val="0"/>
    <w:pPr>
      <w:widowControl/>
      <w:ind w:firstLine="454"/>
      <w:jc w:val="left"/>
    </w:pPr>
    <w:rPr>
      <w:rFonts w:ascii="Tahoma" w:hAnsi="Tahoma" w:cs="宋体"/>
      <w:kern w:val="0"/>
      <w:sz w:val="24"/>
      <w:szCs w:val="20"/>
    </w:rPr>
  </w:style>
  <w:style w:type="paragraph" w:customStyle="1" w:styleId="117">
    <w:name w:val="1"/>
    <w:basedOn w:val="1"/>
    <w:next w:val="21"/>
    <w:qFormat/>
    <w:uiPriority w:val="0"/>
    <w:rPr>
      <w:rFonts w:ascii="宋体" w:hAnsi="Courier New"/>
      <w:szCs w:val="20"/>
    </w:rPr>
  </w:style>
  <w:style w:type="paragraph" w:customStyle="1" w:styleId="118">
    <w:name w:val="_Style 2"/>
    <w:basedOn w:val="1"/>
    <w:qFormat/>
    <w:uiPriority w:val="0"/>
    <w:pPr>
      <w:ind w:firstLine="420" w:firstLineChars="200"/>
    </w:pPr>
  </w:style>
  <w:style w:type="paragraph" w:customStyle="1" w:styleId="119">
    <w:name w:val="正文段"/>
    <w:basedOn w:val="1"/>
    <w:qFormat/>
    <w:uiPriority w:val="0"/>
    <w:pPr>
      <w:widowControl/>
      <w:snapToGrid w:val="0"/>
      <w:spacing w:after="156" w:afterLines="50"/>
      <w:ind w:firstLine="200" w:firstLineChars="200"/>
    </w:pPr>
    <w:rPr>
      <w:kern w:val="0"/>
      <w:sz w:val="24"/>
      <w:szCs w:val="20"/>
    </w:rPr>
  </w:style>
  <w:style w:type="paragraph" w:customStyle="1" w:styleId="120">
    <w:name w:val="列出段落2"/>
    <w:basedOn w:val="1"/>
    <w:qFormat/>
    <w:uiPriority w:val="34"/>
    <w:pPr>
      <w:ind w:firstLine="420" w:firstLineChars="200"/>
    </w:pPr>
    <w:rPr>
      <w:rFonts w:ascii="Calibri" w:hAnsi="Calibri"/>
      <w:szCs w:val="22"/>
    </w:rPr>
  </w:style>
  <w:style w:type="paragraph" w:styleId="121">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2">
    <w:name w:val="未处理的提及1"/>
    <w:basedOn w:val="39"/>
    <w:semiHidden/>
    <w:unhideWhenUsed/>
    <w:qFormat/>
    <w:uiPriority w:val="99"/>
    <w:rPr>
      <w:color w:val="605E5C"/>
      <w:shd w:val="clear" w:color="auto" w:fill="E1DFDD"/>
    </w:rPr>
  </w:style>
  <w:style w:type="character" w:customStyle="1" w:styleId="123">
    <w:name w:val="font81"/>
    <w:basedOn w:val="39"/>
    <w:qFormat/>
    <w:uiPriority w:val="0"/>
    <w:rPr>
      <w:rFonts w:hint="eastAsia" w:ascii="宋体" w:hAnsi="宋体" w:eastAsia="宋体" w:cs="宋体"/>
      <w:color w:val="000000"/>
      <w:sz w:val="18"/>
      <w:szCs w:val="18"/>
      <w:u w:val="none"/>
    </w:rPr>
  </w:style>
  <w:style w:type="paragraph" w:styleId="124">
    <w:name w:val="List Paragraph"/>
    <w:basedOn w:val="1"/>
    <w:qFormat/>
    <w:uiPriority w:val="34"/>
    <w:pPr>
      <w:ind w:firstLine="420" w:firstLineChars="200"/>
    </w:pPr>
  </w:style>
  <w:style w:type="character" w:customStyle="1" w:styleId="125">
    <w:name w:val="未处理的提及2"/>
    <w:basedOn w:val="39"/>
    <w:semiHidden/>
    <w:unhideWhenUsed/>
    <w:qFormat/>
    <w:uiPriority w:val="99"/>
    <w:rPr>
      <w:color w:val="605E5C"/>
      <w:shd w:val="clear" w:color="auto" w:fill="E1DFDD"/>
    </w:rPr>
  </w:style>
  <w:style w:type="character" w:customStyle="1" w:styleId="126">
    <w:name w:val="纯文本 字符1"/>
    <w:qFormat/>
    <w:uiPriority w:val="0"/>
    <w:rPr>
      <w:rFonts w:ascii="宋体" w:hAnsi="Courier New" w:eastAsia="宋体" w:cs="Courier New"/>
      <w:kern w:val="2"/>
      <w:sz w:val="21"/>
      <w:szCs w:val="21"/>
      <w:lang w:val="en-US" w:eastAsia="zh-CN" w:bidi="ar-SA"/>
    </w:rPr>
  </w:style>
  <w:style w:type="paragraph" w:customStyle="1" w:styleId="127">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28">
    <w:name w:val="标题 5 字符"/>
    <w:basedOn w:val="39"/>
    <w:link w:val="6"/>
    <w:qFormat/>
    <w:uiPriority w:val="0"/>
    <w:rPr>
      <w:b/>
      <w:kern w:val="2"/>
      <w:sz w:val="28"/>
      <w:szCs w:val="24"/>
    </w:rPr>
  </w:style>
  <w:style w:type="character" w:customStyle="1" w:styleId="129">
    <w:name w:val="标题 6 字符"/>
    <w:basedOn w:val="39"/>
    <w:link w:val="8"/>
    <w:qFormat/>
    <w:uiPriority w:val="0"/>
    <w:rPr>
      <w:rFonts w:ascii="Arial" w:hAnsi="Arial" w:eastAsia="黑体"/>
      <w:b/>
      <w:kern w:val="2"/>
      <w:sz w:val="24"/>
      <w:szCs w:val="24"/>
    </w:rPr>
  </w:style>
  <w:style w:type="character" w:customStyle="1" w:styleId="130">
    <w:name w:val="标题 7 字符"/>
    <w:basedOn w:val="39"/>
    <w:link w:val="9"/>
    <w:qFormat/>
    <w:uiPriority w:val="0"/>
    <w:rPr>
      <w:b/>
      <w:kern w:val="2"/>
      <w:sz w:val="24"/>
      <w:szCs w:val="24"/>
    </w:rPr>
  </w:style>
  <w:style w:type="character" w:customStyle="1" w:styleId="131">
    <w:name w:val="标题 8 字符"/>
    <w:basedOn w:val="39"/>
    <w:link w:val="10"/>
    <w:qFormat/>
    <w:uiPriority w:val="0"/>
    <w:rPr>
      <w:rFonts w:ascii="Arial" w:hAnsi="Arial" w:eastAsia="黑体"/>
      <w:kern w:val="2"/>
      <w:sz w:val="24"/>
      <w:szCs w:val="24"/>
    </w:rPr>
  </w:style>
  <w:style w:type="character" w:customStyle="1" w:styleId="132">
    <w:name w:val="标题 9 字符"/>
    <w:basedOn w:val="39"/>
    <w:link w:val="11"/>
    <w:qFormat/>
    <w:uiPriority w:val="0"/>
    <w:rPr>
      <w:rFonts w:ascii="Arial" w:hAnsi="Arial" w:eastAsia="黑体"/>
      <w:kern w:val="2"/>
      <w:sz w:val="21"/>
      <w:szCs w:val="24"/>
    </w:rPr>
  </w:style>
  <w:style w:type="character" w:customStyle="1" w:styleId="133">
    <w:name w:val="文档结构图 字符"/>
    <w:basedOn w:val="39"/>
    <w:link w:val="14"/>
    <w:qFormat/>
    <w:uiPriority w:val="0"/>
    <w:rPr>
      <w:kern w:val="2"/>
      <w:sz w:val="21"/>
      <w:szCs w:val="24"/>
      <w:shd w:val="clear" w:color="auto" w:fill="000080"/>
    </w:rPr>
  </w:style>
  <w:style w:type="character" w:customStyle="1" w:styleId="134">
    <w:name w:val="正文文本 3 字符"/>
    <w:basedOn w:val="39"/>
    <w:link w:val="16"/>
    <w:qFormat/>
    <w:uiPriority w:val="0"/>
    <w:rPr>
      <w:b/>
      <w:bCs/>
      <w:kern w:val="2"/>
      <w:sz w:val="24"/>
      <w:szCs w:val="24"/>
    </w:rPr>
  </w:style>
  <w:style w:type="character" w:customStyle="1" w:styleId="135">
    <w:name w:val="正文文本 字符"/>
    <w:basedOn w:val="39"/>
    <w:link w:val="17"/>
    <w:qFormat/>
    <w:uiPriority w:val="0"/>
    <w:rPr>
      <w:kern w:val="2"/>
      <w:sz w:val="24"/>
      <w:szCs w:val="24"/>
    </w:rPr>
  </w:style>
  <w:style w:type="character" w:customStyle="1" w:styleId="136">
    <w:name w:val="日期 字符"/>
    <w:basedOn w:val="39"/>
    <w:link w:val="22"/>
    <w:qFormat/>
    <w:uiPriority w:val="0"/>
    <w:rPr>
      <w:rFonts w:ascii="宋体" w:hAnsi="Courier New" w:cs="Courier New"/>
      <w:kern w:val="2"/>
      <w:sz w:val="21"/>
      <w:szCs w:val="21"/>
    </w:rPr>
  </w:style>
  <w:style w:type="character" w:customStyle="1" w:styleId="137">
    <w:name w:val="正文文本缩进 2 字符"/>
    <w:basedOn w:val="39"/>
    <w:link w:val="23"/>
    <w:qFormat/>
    <w:uiPriority w:val="0"/>
    <w:rPr>
      <w:kern w:val="2"/>
      <w:sz w:val="32"/>
    </w:rPr>
  </w:style>
  <w:style w:type="character" w:customStyle="1" w:styleId="138">
    <w:name w:val="正文文本缩进 3 字符"/>
    <w:basedOn w:val="39"/>
    <w:link w:val="30"/>
    <w:qFormat/>
    <w:uiPriority w:val="0"/>
    <w:rPr>
      <w:kern w:val="2"/>
      <w:sz w:val="16"/>
      <w:szCs w:val="16"/>
    </w:rPr>
  </w:style>
  <w:style w:type="character" w:customStyle="1" w:styleId="139">
    <w:name w:val="正文文本 2 字符"/>
    <w:basedOn w:val="39"/>
    <w:link w:val="31"/>
    <w:qFormat/>
    <w:uiPriority w:val="0"/>
    <w:rPr>
      <w:kern w:val="2"/>
      <w:sz w:val="21"/>
      <w:szCs w:val="24"/>
    </w:rPr>
  </w:style>
  <w:style w:type="character" w:customStyle="1" w:styleId="140">
    <w:name w:val="HTML 预设格式 字符"/>
    <w:basedOn w:val="39"/>
    <w:link w:val="32"/>
    <w:qFormat/>
    <w:uiPriority w:val="0"/>
    <w:rPr>
      <w:rFonts w:ascii="宋体" w:hAnsi="宋体" w:cs="宋体"/>
      <w:sz w:val="24"/>
      <w:szCs w:val="24"/>
    </w:rPr>
  </w:style>
  <w:style w:type="paragraph" w:customStyle="1" w:styleId="1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42">
    <w:name w:val="font122"/>
    <w:basedOn w:val="39"/>
    <w:qFormat/>
    <w:uiPriority w:val="0"/>
    <w:rPr>
      <w:rFonts w:hint="default" w:ascii="Times New Roman" w:hAnsi="Times New Roman" w:cs="Times New Roman"/>
      <w:color w:val="000000"/>
      <w:sz w:val="20"/>
      <w:szCs w:val="20"/>
      <w:u w:val="none"/>
    </w:rPr>
  </w:style>
  <w:style w:type="character" w:customStyle="1" w:styleId="143">
    <w:name w:val="font01"/>
    <w:basedOn w:val="39"/>
    <w:qFormat/>
    <w:uiPriority w:val="0"/>
    <w:rPr>
      <w:rFonts w:hint="eastAsia" w:ascii="宋体" w:hAnsi="宋体" w:eastAsia="宋体" w:cs="宋体"/>
      <w:color w:val="000000"/>
      <w:sz w:val="22"/>
      <w:szCs w:val="22"/>
      <w:u w:val="none"/>
    </w:rPr>
  </w:style>
  <w:style w:type="paragraph" w:customStyle="1" w:styleId="14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5">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46">
    <w:name w:val="font11"/>
    <w:basedOn w:val="39"/>
    <w:qFormat/>
    <w:uiPriority w:val="0"/>
    <w:rPr>
      <w:rFonts w:hint="eastAsia" w:ascii="宋体" w:hAnsi="宋体" w:eastAsia="宋体" w:cs="宋体"/>
      <w:color w:val="000000"/>
      <w:sz w:val="24"/>
      <w:szCs w:val="24"/>
      <w:u w:val="none"/>
    </w:rPr>
  </w:style>
  <w:style w:type="paragraph" w:customStyle="1" w:styleId="14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96</Pages>
  <Words>113</Words>
  <Characters>146</Characters>
  <Lines>706</Lines>
  <Paragraphs>198</Paragraphs>
  <TotalTime>15</TotalTime>
  <ScaleCrop>false</ScaleCrop>
  <LinksUpToDate>false</LinksUpToDate>
  <CharactersWithSpaces>169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2024-06-17T15:53:00Z</dcterms:created>
  <dc:creator>Huang Qian</dc:creator>
  <cp:lastModifiedBy>~猫~石榴</cp:lastModifiedBy>
  <cp:lastPrinted>2025-10-14T02:30:00Z</cp:lastPrinted>
  <dcterms:modified xsi:type="dcterms:W3CDTF">2025-10-15T02:29:15Z</dcterms:modified>
  <dc:title>竞争性谈判文件</dc:title>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4F3F75CBC9CF474689F9A520B33A5CB5</vt:lpwstr>
  </property>
  <property fmtid="{D5CDD505-2E9C-101B-9397-08002B2CF9AE}" pid="4" name="KSOTemplateDocerSaveRecord">
    <vt:lpwstr>eyJoZGlkIjoiMTM0NGFlOTE5YzM3NmI1Mjk3MTU1YWRiMjQ4ZDZiNGUiLCJ1c2VySWQiOiIxMzM5Mjk0NDEwIn0=</vt:lpwstr>
  </property>
</Properties>
</file>