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color w:val="000000" w:themeColor="text1"/>
          <w:spacing w:val="30"/>
          <w:kern w:val="52"/>
          <w14:textFill>
            <w14:solidFill>
              <w14:schemeClr w14:val="tx1"/>
            </w14:solidFill>
          </w14:textFill>
        </w:rPr>
      </w:pPr>
    </w:p>
    <w:p>
      <w:pPr>
        <w:jc w:val="left"/>
        <w:rPr>
          <w:rFonts w:ascii="宋体" w:hAnsi="宋体" w:cs="宋体"/>
          <w:b/>
          <w:color w:val="000000" w:themeColor="text1"/>
          <w:spacing w:val="30"/>
          <w:kern w:val="52"/>
          <w14:textFill>
            <w14:solidFill>
              <w14:schemeClr w14:val="tx1"/>
            </w14:solidFill>
          </w14:textFill>
        </w:rPr>
      </w:pPr>
    </w:p>
    <w:p>
      <w:pPr>
        <w:pStyle w:val="23"/>
        <w:jc w:val="center"/>
        <w:rPr>
          <w:rFonts w:hAnsi="宋体" w:cs="宋体"/>
          <w:color w:val="000000" w:themeColor="text1"/>
          <w:sz w:val="72"/>
          <w:szCs w:val="72"/>
          <w14:textFill>
            <w14:solidFill>
              <w14:schemeClr w14:val="tx1"/>
            </w14:solidFill>
          </w14:textFill>
        </w:rPr>
      </w:pPr>
      <w:r>
        <w:rPr>
          <w:rFonts w:hint="eastAsia" w:hAnsi="宋体" w:cs="宋体"/>
          <w:color w:val="000000" w:themeColor="text1"/>
          <w:spacing w:val="30"/>
          <w:kern w:val="52"/>
          <w:sz w:val="56"/>
          <w:szCs w:val="56"/>
          <w14:textFill>
            <w14:solidFill>
              <w14:schemeClr w14:val="tx1"/>
            </w14:solidFill>
          </w14:textFill>
        </w:rPr>
        <w:t>广西乾诚工程咨询有限公司</w:t>
      </w:r>
    </w:p>
    <w:p>
      <w:pPr>
        <w:snapToGrid w:val="0"/>
        <w:spacing w:before="156" w:beforeLines="50" w:line="360" w:lineRule="auto"/>
        <w:jc w:val="center"/>
        <w:rPr>
          <w:rFonts w:ascii="宋体" w:hAnsi="宋体" w:cs="宋体"/>
          <w:color w:val="000000" w:themeColor="text1"/>
          <w:sz w:val="72"/>
          <w:szCs w:val="72"/>
          <w14:textFill>
            <w14:solidFill>
              <w14:schemeClr w14:val="tx1"/>
            </w14:solidFill>
          </w14:textFill>
        </w:rPr>
      </w:pPr>
    </w:p>
    <w:p>
      <w:pPr>
        <w:snapToGrid w:val="0"/>
        <w:spacing w:before="156" w:beforeLines="50" w:line="360" w:lineRule="auto"/>
        <w:jc w:val="center"/>
        <w:rPr>
          <w:rFonts w:ascii="宋体" w:hAnsi="宋体" w:cs="宋体"/>
          <w:color w:val="000000" w:themeColor="text1"/>
          <w:sz w:val="96"/>
          <w:szCs w:val="96"/>
          <w14:textFill>
            <w14:solidFill>
              <w14:schemeClr w14:val="tx1"/>
            </w14:solidFill>
          </w14:textFill>
        </w:rPr>
      </w:pPr>
      <w:r>
        <w:rPr>
          <w:rFonts w:hint="eastAsia" w:ascii="宋体" w:hAnsi="宋体" w:cs="宋体"/>
          <w:color w:val="000000" w:themeColor="text1"/>
          <w:sz w:val="72"/>
          <w:szCs w:val="72"/>
          <w14:textFill>
            <w14:solidFill>
              <w14:schemeClr w14:val="tx1"/>
            </w14:solidFill>
          </w14:textFill>
        </w:rPr>
        <w:t>竞争性磋商文件</w:t>
      </w:r>
    </w:p>
    <w:p>
      <w:pPr>
        <w:tabs>
          <w:tab w:val="left" w:pos="0"/>
        </w:tabs>
        <w:ind w:left="1928" w:hanging="2891" w:hangingChars="600"/>
        <w:jc w:val="center"/>
        <w:rPr>
          <w:rFonts w:ascii="宋体" w:hAnsi="宋体" w:cs="宋体"/>
          <w:b/>
          <w:bCs/>
          <w:color w:val="000000" w:themeColor="text1"/>
          <w:sz w:val="48"/>
          <w:szCs w:val="48"/>
          <w14:textFill>
            <w14:solidFill>
              <w14:schemeClr w14:val="tx1"/>
            </w14:solidFill>
          </w14:textFill>
        </w:rPr>
      </w:pPr>
    </w:p>
    <w:p>
      <w:pPr>
        <w:pStyle w:val="2"/>
        <w:rPr>
          <w:rFonts w:ascii="宋体" w:hAnsi="宋体" w:cs="宋体"/>
          <w:b/>
          <w:bCs/>
          <w:color w:val="000000" w:themeColor="text1"/>
          <w:sz w:val="48"/>
          <w:szCs w:val="48"/>
          <w14:textFill>
            <w14:solidFill>
              <w14:schemeClr w14:val="tx1"/>
            </w14:solidFill>
          </w14:textFill>
        </w:rPr>
      </w:pPr>
    </w:p>
    <w:p/>
    <w:p>
      <w:pPr>
        <w:tabs>
          <w:tab w:val="left" w:pos="0"/>
        </w:tabs>
        <w:jc w:val="center"/>
        <w:rPr>
          <w:rFonts w:ascii="宋体" w:hAnsi="宋体" w:cs="宋体"/>
          <w:b/>
          <w:color w:val="000000" w:themeColor="text1"/>
          <w:sz w:val="48"/>
          <w:szCs w:val="48"/>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（全流程电子化评标）</w:t>
      </w:r>
    </w:p>
    <w:p>
      <w:pPr>
        <w:pStyle w:val="23"/>
        <w:snapToGrid w:val="0"/>
        <w:spacing w:line="360" w:lineRule="auto"/>
        <w:ind w:firstLine="1205" w:firstLineChars="400"/>
        <w:rPr>
          <w:rFonts w:hAnsi="宋体" w:cs="宋体"/>
          <w:b/>
          <w:bCs/>
          <w:color w:val="000000" w:themeColor="text1"/>
          <w:sz w:val="30"/>
          <w:szCs w:val="30"/>
          <w14:textFill>
            <w14:solidFill>
              <w14:schemeClr w14:val="tx1"/>
            </w14:solidFill>
          </w14:textFill>
        </w:rPr>
      </w:pPr>
    </w:p>
    <w:p>
      <w:pPr>
        <w:pStyle w:val="23"/>
        <w:snapToGrid w:val="0"/>
        <w:spacing w:line="360" w:lineRule="auto"/>
        <w:ind w:left="2343" w:leftChars="542" w:hanging="1205" w:hangingChars="400"/>
        <w:rPr>
          <w:rFonts w:hint="eastAsia" w:hAnsi="宋体" w:eastAsia="宋体" w:cs="宋体"/>
          <w:b/>
          <w:bCs/>
          <w:color w:val="000000" w:themeColor="text1"/>
          <w:sz w:val="32"/>
          <w:szCs w:val="32"/>
          <w:lang w:eastAsia="zh-CN"/>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项目</w:t>
      </w:r>
      <w:r>
        <w:rPr>
          <w:rFonts w:hint="eastAsia" w:hAnsi="宋体" w:cs="宋体"/>
          <w:b/>
          <w:bCs/>
          <w:color w:val="000000" w:themeColor="text1"/>
          <w:w w:val="95"/>
          <w:sz w:val="30"/>
          <w:szCs w:val="30"/>
          <w14:textFill>
            <w14:solidFill>
              <w14:schemeClr w14:val="tx1"/>
            </w14:solidFill>
          </w14:textFill>
        </w:rPr>
        <w:t>名称</w:t>
      </w:r>
      <w:r>
        <w:rPr>
          <w:rFonts w:hint="eastAsia" w:hAnsi="宋体" w:cs="宋体"/>
          <w:b/>
          <w:bCs/>
          <w:color w:val="000000" w:themeColor="text1"/>
          <w:sz w:val="30"/>
          <w:szCs w:val="30"/>
          <w14:textFill>
            <w14:solidFill>
              <w14:schemeClr w14:val="tx1"/>
            </w14:solidFill>
          </w14:textFill>
        </w:rPr>
        <w:t>：</w:t>
      </w:r>
      <w:r>
        <w:rPr>
          <w:rFonts w:hint="eastAsia" w:hAnsi="宋体" w:cs="宋体"/>
          <w:b/>
          <w:bCs/>
          <w:color w:val="000000" w:themeColor="text1"/>
          <w:sz w:val="30"/>
          <w:szCs w:val="30"/>
          <w:lang w:eastAsia="zh-CN"/>
          <w14:textFill>
            <w14:solidFill>
              <w14:schemeClr w14:val="tx1"/>
            </w14:solidFill>
          </w14:textFill>
        </w:rPr>
        <w:t>钦州市钦北区2024年农村人饮供水保障工程-土建（Ⅰ标）</w:t>
      </w:r>
    </w:p>
    <w:p>
      <w:pPr>
        <w:snapToGrid w:val="0"/>
        <w:spacing w:line="360" w:lineRule="auto"/>
        <w:ind w:firstLine="1145" w:firstLineChars="400"/>
        <w:rPr>
          <w:rFonts w:hint="eastAsia" w:ascii="宋体" w:hAnsi="宋体" w:cs="宋体"/>
          <w:b/>
          <w:bCs/>
          <w:color w:val="000000" w:themeColor="text1"/>
          <w:w w:val="95"/>
          <w:sz w:val="30"/>
          <w:szCs w:val="30"/>
          <w14:textFill>
            <w14:solidFill>
              <w14:schemeClr w14:val="tx1"/>
            </w14:solidFill>
          </w14:textFill>
        </w:rPr>
      </w:pPr>
    </w:p>
    <w:p>
      <w:pPr>
        <w:snapToGrid w:val="0"/>
        <w:spacing w:line="360" w:lineRule="auto"/>
        <w:ind w:firstLine="1145" w:firstLineChars="400"/>
        <w:rPr>
          <w:rFonts w:hint="eastAsia" w:ascii="宋体" w:hAnsi="宋体" w:cs="宋体"/>
          <w:b/>
          <w:bCs/>
          <w:color w:val="000000" w:themeColor="text1"/>
          <w:w w:val="95"/>
          <w:sz w:val="30"/>
          <w:szCs w:val="30"/>
          <w:lang w:eastAsia="zh-CN"/>
          <w14:textFill>
            <w14:solidFill>
              <w14:schemeClr w14:val="tx1"/>
            </w14:solidFill>
          </w14:textFill>
        </w:rPr>
      </w:pPr>
      <w:r>
        <w:rPr>
          <w:rFonts w:hint="eastAsia" w:ascii="宋体" w:hAnsi="宋体" w:cs="宋体"/>
          <w:b/>
          <w:bCs/>
          <w:color w:val="000000" w:themeColor="text1"/>
          <w:w w:val="95"/>
          <w:sz w:val="30"/>
          <w:szCs w:val="30"/>
          <w14:textFill>
            <w14:solidFill>
              <w14:schemeClr w14:val="tx1"/>
            </w14:solidFill>
          </w14:textFill>
        </w:rPr>
        <w:t>项目编号：</w:t>
      </w:r>
      <w:r>
        <w:rPr>
          <w:rFonts w:hint="eastAsia" w:ascii="宋体" w:hAnsi="宋体" w:cs="宋体"/>
          <w:b/>
          <w:bCs/>
          <w:color w:val="000000" w:themeColor="text1"/>
          <w:w w:val="95"/>
          <w:sz w:val="30"/>
          <w:szCs w:val="30"/>
          <w:lang w:eastAsia="zh-CN"/>
          <w14:textFill>
            <w14:solidFill>
              <w14:schemeClr w14:val="tx1"/>
            </w14:solidFill>
          </w14:textFill>
        </w:rPr>
        <w:t>QZZC2024-C2-030172-GXQC</w:t>
      </w:r>
    </w:p>
    <w:p>
      <w:pPr>
        <w:pStyle w:val="2"/>
        <w:jc w:val="both"/>
      </w:pPr>
    </w:p>
    <w:p>
      <w:pPr>
        <w:snapToGrid w:val="0"/>
        <w:spacing w:line="360" w:lineRule="auto"/>
        <w:ind w:firstLine="1205" w:firstLineChars="400"/>
        <w:rPr>
          <w:rFonts w:ascii="宋体" w:hAnsi="宋体" w:cs="宋体"/>
          <w:color w:val="000000" w:themeColor="text1"/>
          <w:sz w:val="30"/>
          <w:szCs w:val="72"/>
          <w14:textFill>
            <w14:solidFill>
              <w14:schemeClr w14:val="tx1"/>
            </w14:solidFill>
          </w14:textFill>
        </w:rPr>
      </w:pPr>
      <w:r>
        <w:rPr>
          <w:rFonts w:hint="eastAsia" w:ascii="宋体" w:hAnsi="宋体" w:cs="宋体"/>
          <w:b/>
          <w:color w:val="000000" w:themeColor="text1"/>
          <w:sz w:val="30"/>
          <w:szCs w:val="48"/>
          <w14:textFill>
            <w14:solidFill>
              <w14:schemeClr w14:val="tx1"/>
            </w14:solidFill>
          </w14:textFill>
        </w:rPr>
        <w:t xml:space="preserve"> </w:t>
      </w:r>
    </w:p>
    <w:p>
      <w:pPr>
        <w:pStyle w:val="23"/>
        <w:snapToGrid w:val="0"/>
        <w:spacing w:line="360" w:lineRule="auto"/>
        <w:ind w:firstLine="1125" w:firstLineChars="393"/>
        <w:rPr>
          <w:rFonts w:hAnsi="宋体" w:cs="宋体"/>
          <w:b/>
          <w:color w:val="000000" w:themeColor="text1"/>
          <w:sz w:val="32"/>
          <w:szCs w:val="32"/>
          <w14:textFill>
            <w14:solidFill>
              <w14:schemeClr w14:val="tx1"/>
            </w14:solidFill>
          </w14:textFill>
        </w:rPr>
      </w:pPr>
      <w:r>
        <w:rPr>
          <w:rFonts w:hint="eastAsia" w:hAnsi="宋体" w:cs="宋体"/>
          <w:b/>
          <w:bCs/>
          <w:color w:val="000000" w:themeColor="text1"/>
          <w:w w:val="95"/>
          <w:sz w:val="30"/>
          <w:szCs w:val="30"/>
          <w14:textFill>
            <w14:solidFill>
              <w14:schemeClr w14:val="tx1"/>
            </w14:solidFill>
          </w14:textFill>
        </w:rPr>
        <w:t>采 购 人：</w:t>
      </w:r>
      <w:r>
        <w:rPr>
          <w:rFonts w:hint="eastAsia" w:hAnsi="宋体" w:cs="宋体"/>
          <w:b/>
          <w:color w:val="000000" w:themeColor="text1"/>
          <w:sz w:val="32"/>
          <w:szCs w:val="32"/>
          <w14:textFill>
            <w14:solidFill>
              <w14:schemeClr w14:val="tx1"/>
            </w14:solidFill>
          </w14:textFill>
        </w:rPr>
        <w:t>钦州市钦北区水利局</w:t>
      </w:r>
    </w:p>
    <w:p>
      <w:pPr>
        <w:pStyle w:val="23"/>
        <w:snapToGrid w:val="0"/>
        <w:spacing w:line="360" w:lineRule="auto"/>
        <w:ind w:firstLine="1125" w:firstLineChars="393"/>
        <w:rPr>
          <w:rFonts w:hAnsi="宋体" w:cs="宋体"/>
          <w:b/>
          <w:bCs/>
          <w:color w:val="000000" w:themeColor="text1"/>
          <w:w w:val="95"/>
          <w:sz w:val="30"/>
          <w:szCs w:val="30"/>
          <w14:textFill>
            <w14:solidFill>
              <w14:schemeClr w14:val="tx1"/>
            </w14:solidFill>
          </w14:textFill>
        </w:rPr>
      </w:pPr>
      <w:r>
        <w:rPr>
          <w:rFonts w:hint="eastAsia" w:hAnsi="宋体" w:cs="宋体"/>
          <w:b/>
          <w:bCs/>
          <w:color w:val="000000" w:themeColor="text1"/>
          <w:w w:val="95"/>
          <w:sz w:val="30"/>
          <w:szCs w:val="30"/>
          <w14:textFill>
            <w14:solidFill>
              <w14:schemeClr w14:val="tx1"/>
            </w14:solidFill>
          </w14:textFill>
        </w:rPr>
        <w:t>采购代理机构：</w:t>
      </w:r>
      <w:r>
        <w:rPr>
          <w:rFonts w:hint="eastAsia" w:hAnsi="宋体" w:cs="宋体"/>
          <w:b/>
          <w:color w:val="000000" w:themeColor="text1"/>
          <w:sz w:val="32"/>
          <w:szCs w:val="32"/>
          <w14:textFill>
            <w14:solidFill>
              <w14:schemeClr w14:val="tx1"/>
            </w14:solidFill>
          </w14:textFill>
        </w:rPr>
        <w:t>广西乾诚工程咨询有限公司</w:t>
      </w:r>
    </w:p>
    <w:p>
      <w:pPr>
        <w:pStyle w:val="23"/>
        <w:snapToGrid w:val="0"/>
        <w:spacing w:line="360" w:lineRule="auto"/>
        <w:jc w:val="center"/>
        <w:rPr>
          <w:rFonts w:hAnsi="宋体" w:cs="宋体"/>
          <w:b/>
          <w:bCs/>
          <w:color w:val="000000" w:themeColor="text1"/>
          <w:w w:val="95"/>
          <w:sz w:val="30"/>
          <w:szCs w:val="30"/>
          <w14:textFill>
            <w14:solidFill>
              <w14:schemeClr w14:val="tx1"/>
            </w14:solidFill>
          </w14:textFill>
        </w:rPr>
      </w:pPr>
      <w:r>
        <w:rPr>
          <w:rFonts w:hint="eastAsia" w:hAnsi="宋体" w:cs="宋体"/>
          <w:b/>
          <w:bCs/>
          <w:color w:val="000000" w:themeColor="text1"/>
          <w:w w:val="95"/>
          <w:sz w:val="30"/>
          <w:szCs w:val="30"/>
          <w14:textFill>
            <w14:solidFill>
              <w14:schemeClr w14:val="tx1"/>
            </w14:solidFill>
          </w14:textFill>
        </w:rPr>
        <w:t>202</w:t>
      </w:r>
      <w:r>
        <w:rPr>
          <w:rFonts w:hint="eastAsia" w:hAnsi="宋体" w:cs="宋体"/>
          <w:b/>
          <w:bCs/>
          <w:color w:val="000000" w:themeColor="text1"/>
          <w:w w:val="95"/>
          <w:sz w:val="30"/>
          <w:szCs w:val="30"/>
          <w:lang w:val="en-US" w:eastAsia="zh-CN"/>
          <w14:textFill>
            <w14:solidFill>
              <w14:schemeClr w14:val="tx1"/>
            </w14:solidFill>
          </w14:textFill>
        </w:rPr>
        <w:t>4</w:t>
      </w:r>
      <w:r>
        <w:rPr>
          <w:rFonts w:hint="eastAsia" w:hAnsi="宋体" w:cs="宋体"/>
          <w:b/>
          <w:bCs/>
          <w:color w:val="000000" w:themeColor="text1"/>
          <w:w w:val="95"/>
          <w:sz w:val="30"/>
          <w:szCs w:val="30"/>
          <w14:textFill>
            <w14:solidFill>
              <w14:schemeClr w14:val="tx1"/>
            </w14:solidFill>
          </w14:textFill>
        </w:rPr>
        <w:t>年</w:t>
      </w:r>
      <w:r>
        <w:rPr>
          <w:rFonts w:hint="eastAsia" w:hAnsi="宋体" w:cs="宋体"/>
          <w:b/>
          <w:bCs/>
          <w:color w:val="000000" w:themeColor="text1"/>
          <w:w w:val="95"/>
          <w:sz w:val="30"/>
          <w:szCs w:val="30"/>
          <w:lang w:val="en-US" w:eastAsia="zh-CN"/>
          <w14:textFill>
            <w14:solidFill>
              <w14:schemeClr w14:val="tx1"/>
            </w14:solidFill>
          </w14:textFill>
        </w:rPr>
        <w:t>4</w:t>
      </w:r>
      <w:bookmarkStart w:id="59" w:name="_GoBack"/>
      <w:bookmarkEnd w:id="59"/>
      <w:r>
        <w:rPr>
          <w:rFonts w:hint="eastAsia" w:hAnsi="宋体" w:cs="宋体"/>
          <w:b/>
          <w:bCs/>
          <w:color w:val="000000" w:themeColor="text1"/>
          <w:w w:val="95"/>
          <w:sz w:val="30"/>
          <w:szCs w:val="30"/>
          <w14:textFill>
            <w14:solidFill>
              <w14:schemeClr w14:val="tx1"/>
            </w14:solidFill>
          </w14:textFill>
        </w:rPr>
        <w:t>月</w:t>
      </w:r>
    </w:p>
    <w:p>
      <w:pPr>
        <w:snapToGrid w:val="0"/>
        <w:spacing w:before="156" w:beforeLines="50" w:line="500" w:lineRule="exact"/>
        <w:ind w:firstLine="1669" w:firstLineChars="795"/>
        <w:rPr>
          <w:rFonts w:ascii="宋体" w:hAnsi="宋体" w:cs="宋体"/>
          <w:color w:val="000000" w:themeColor="text1"/>
          <w14:textFill>
            <w14:solidFill>
              <w14:schemeClr w14:val="tx1"/>
            </w14:solidFill>
          </w14:textFill>
        </w:rPr>
      </w:pPr>
    </w:p>
    <w:p>
      <w:pPr>
        <w:snapToGrid w:val="0"/>
        <w:spacing w:before="156" w:beforeLines="50" w:line="500" w:lineRule="exact"/>
        <w:ind w:firstLine="1669" w:firstLineChars="795"/>
        <w:rPr>
          <w:rFonts w:ascii="宋体" w:hAnsi="宋体" w:cs="宋体"/>
          <w:color w:val="000000" w:themeColor="text1"/>
          <w14:textFill>
            <w14:solidFill>
              <w14:schemeClr w14:val="tx1"/>
            </w14:solidFill>
          </w14:textFill>
        </w:rPr>
      </w:pPr>
    </w:p>
    <w:p>
      <w:pPr>
        <w:snapToGrid w:val="0"/>
        <w:spacing w:before="156" w:beforeLines="50" w:line="500" w:lineRule="exact"/>
        <w:ind w:firstLine="1669" w:firstLineChars="795"/>
        <w:rPr>
          <w:rFonts w:ascii="宋体" w:hAnsi="宋体" w:cs="宋体"/>
          <w:color w:val="000000" w:themeColor="text1"/>
          <w14:textFill>
            <w14:solidFill>
              <w14:schemeClr w14:val="tx1"/>
            </w14:solidFill>
          </w14:textFill>
        </w:rPr>
      </w:pPr>
    </w:p>
    <w:p>
      <w:pPr>
        <w:snapToGrid w:val="0"/>
        <w:spacing w:before="156" w:beforeLines="50" w:line="500" w:lineRule="exact"/>
        <w:ind w:firstLine="1669" w:firstLineChars="795"/>
        <w:rPr>
          <w:rFonts w:ascii="宋体" w:hAnsi="宋体" w:cs="宋体"/>
          <w:b/>
          <w:bCs/>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t>目录</w:t>
      </w:r>
    </w:p>
    <w:p>
      <w:pPr>
        <w:pStyle w:val="154"/>
        <w:tabs>
          <w:tab w:val="right" w:leader="dot" w:pos="8364"/>
        </w:tabs>
        <w:rPr>
          <w:rFonts w:ascii="宋体" w:hAnsi="宋体" w:cs="宋体"/>
          <w:color w:val="000000" w:themeColor="text1"/>
          <w:sz w:val="21"/>
          <w:szCs w:val="21"/>
          <w14:textFill>
            <w14:solidFill>
              <w14:schemeClr w14:val="tx1"/>
            </w14:solidFill>
          </w14:textFill>
        </w:rPr>
      </w:pPr>
      <w:r>
        <w:fldChar w:fldCharType="begin"/>
      </w:r>
      <w:r>
        <w:instrText xml:space="preserve"> HYPERLINK \l "_Toc9128" </w:instrText>
      </w:r>
      <w:r>
        <w:fldChar w:fldCharType="separate"/>
      </w:r>
      <w:r>
        <w:rPr>
          <w:rFonts w:hint="eastAsia" w:ascii="宋体" w:hAnsi="宋体" w:cs="宋体"/>
          <w:color w:val="000000" w:themeColor="text1"/>
          <w:sz w:val="21"/>
          <w:szCs w:val="21"/>
          <w14:textFill>
            <w14:solidFill>
              <w14:schemeClr w14:val="tx1"/>
            </w14:solidFill>
          </w14:textFill>
        </w:rPr>
        <w:t>第一章竞争性磋商公告</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fldChar w:fldCharType="end"/>
      </w:r>
    </w:p>
    <w:p>
      <w:pPr>
        <w:pStyle w:val="154"/>
        <w:tabs>
          <w:tab w:val="right" w:leader="dot" w:pos="8364"/>
        </w:tabs>
        <w:rPr>
          <w:rFonts w:ascii="宋体" w:hAnsi="宋体" w:cs="宋体"/>
          <w:color w:val="000000" w:themeColor="text1"/>
          <w:sz w:val="21"/>
          <w:szCs w:val="21"/>
          <w14:textFill>
            <w14:solidFill>
              <w14:schemeClr w14:val="tx1"/>
            </w14:solidFill>
          </w14:textFill>
        </w:rPr>
      </w:pPr>
      <w:r>
        <w:fldChar w:fldCharType="begin"/>
      </w:r>
      <w:r>
        <w:instrText xml:space="preserve"> HYPERLINK \l "_Toc22939" </w:instrText>
      </w:r>
      <w:r>
        <w:fldChar w:fldCharType="separate"/>
      </w:r>
      <w:r>
        <w:rPr>
          <w:rFonts w:hint="eastAsia" w:ascii="宋体" w:hAnsi="宋体" w:cs="宋体"/>
          <w:color w:val="000000" w:themeColor="text1"/>
          <w:sz w:val="21"/>
          <w:szCs w:val="21"/>
          <w14:textFill>
            <w14:solidFill>
              <w14:schemeClr w14:val="tx1"/>
            </w14:solidFill>
          </w14:textFill>
        </w:rPr>
        <w:t>第二章磋商须知及前附表</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fldChar w:fldCharType="end"/>
      </w:r>
    </w:p>
    <w:p>
      <w:pPr>
        <w:pStyle w:val="154"/>
        <w:tabs>
          <w:tab w:val="right" w:leader="dot" w:pos="8364"/>
        </w:tabs>
        <w:rPr>
          <w:rFonts w:ascii="宋体" w:hAnsi="宋体" w:cs="宋体"/>
          <w:color w:val="000000" w:themeColor="text1"/>
          <w:sz w:val="21"/>
          <w:szCs w:val="21"/>
          <w14:textFill>
            <w14:solidFill>
              <w14:schemeClr w14:val="tx1"/>
            </w14:solidFill>
          </w14:textFill>
        </w:rPr>
      </w:pPr>
      <w:r>
        <w:fldChar w:fldCharType="begin"/>
      </w:r>
      <w:r>
        <w:instrText xml:space="preserve"> HYPERLINK \l "_Toc13906" </w:instrText>
      </w:r>
      <w:r>
        <w:fldChar w:fldCharType="separate"/>
      </w:r>
      <w:r>
        <w:rPr>
          <w:rFonts w:hint="eastAsia" w:ascii="宋体" w:hAnsi="宋体" w:cs="宋体"/>
          <w:color w:val="000000" w:themeColor="text1"/>
          <w:sz w:val="21"/>
          <w:szCs w:val="21"/>
          <w14:textFill>
            <w14:solidFill>
              <w14:schemeClr w14:val="tx1"/>
            </w14:solidFill>
          </w14:textFill>
        </w:rPr>
        <w:t>第三章合同书（参考格式）</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fldChar w:fldCharType="end"/>
      </w:r>
    </w:p>
    <w:p>
      <w:pPr>
        <w:pStyle w:val="154"/>
        <w:tabs>
          <w:tab w:val="right" w:leader="dot" w:pos="8364"/>
        </w:tabs>
        <w:rPr>
          <w:rFonts w:ascii="宋体" w:hAnsi="宋体" w:cs="宋体"/>
          <w:color w:val="000000" w:themeColor="text1"/>
          <w:sz w:val="21"/>
          <w:szCs w:val="21"/>
          <w14:textFill>
            <w14:solidFill>
              <w14:schemeClr w14:val="tx1"/>
            </w14:solidFill>
          </w14:textFill>
        </w:rPr>
      </w:pPr>
      <w:r>
        <w:fldChar w:fldCharType="begin"/>
      </w:r>
      <w:r>
        <w:instrText xml:space="preserve"> HYPERLINK \l "_Toc23660" </w:instrText>
      </w:r>
      <w:r>
        <w:fldChar w:fldCharType="separate"/>
      </w:r>
      <w:r>
        <w:rPr>
          <w:rFonts w:hint="eastAsia" w:ascii="宋体" w:hAnsi="宋体" w:cs="宋体"/>
          <w:color w:val="000000" w:themeColor="text1"/>
          <w:sz w:val="21"/>
          <w:szCs w:val="21"/>
          <w14:textFill>
            <w14:solidFill>
              <w14:schemeClr w14:val="tx1"/>
            </w14:solidFill>
          </w14:textFill>
        </w:rPr>
        <w:t>第四章评标办法及评审标准</w:t>
      </w:r>
      <w:bookmarkStart w:id="0" w:name="_Hlt515613115"/>
      <w:r>
        <w:rPr>
          <w:rFonts w:hint="eastAsia" w:ascii="宋体" w:hAnsi="宋体" w:cs="宋体"/>
          <w:color w:val="000000" w:themeColor="text1"/>
          <w:sz w:val="21"/>
          <w:szCs w:val="21"/>
          <w14:textFill>
            <w14:solidFill>
              <w14:schemeClr w14:val="tx1"/>
            </w14:solidFill>
          </w14:textFill>
        </w:rPr>
        <w:tab/>
      </w:r>
      <w:bookmarkEnd w:id="0"/>
      <w:r>
        <w:rPr>
          <w:rFonts w:hint="eastAsia" w:ascii="宋体" w:hAnsi="宋体" w:cs="宋体"/>
          <w:color w:val="000000" w:themeColor="text1"/>
          <w:sz w:val="21"/>
          <w:szCs w:val="21"/>
          <w14:textFill>
            <w14:solidFill>
              <w14:schemeClr w14:val="tx1"/>
            </w14:solidFill>
          </w14:textFill>
        </w:rPr>
        <w:fldChar w:fldCharType="end"/>
      </w:r>
    </w:p>
    <w:p>
      <w:pPr>
        <w:pStyle w:val="154"/>
        <w:tabs>
          <w:tab w:val="right" w:leader="dot" w:pos="8364"/>
        </w:tabs>
        <w:rPr>
          <w:rFonts w:ascii="宋体" w:hAnsi="宋体" w:cs="宋体"/>
          <w:color w:val="000000" w:themeColor="text1"/>
          <w:sz w:val="21"/>
          <w:szCs w:val="21"/>
          <w14:textFill>
            <w14:solidFill>
              <w14:schemeClr w14:val="tx1"/>
            </w14:solidFill>
          </w14:textFill>
        </w:rPr>
      </w:pPr>
      <w:r>
        <w:fldChar w:fldCharType="begin"/>
      </w:r>
      <w:r>
        <w:instrText xml:space="preserve"> HYPERLINK \l "_Toc32321" </w:instrText>
      </w:r>
      <w:r>
        <w:fldChar w:fldCharType="separate"/>
      </w:r>
      <w:r>
        <w:rPr>
          <w:rFonts w:hint="eastAsia" w:ascii="宋体" w:hAnsi="宋体" w:cs="宋体"/>
          <w:color w:val="000000" w:themeColor="text1"/>
          <w:sz w:val="21"/>
          <w:szCs w:val="21"/>
          <w14:textFill>
            <w14:solidFill>
              <w14:schemeClr w14:val="tx1"/>
            </w14:solidFill>
          </w14:textFill>
        </w:rPr>
        <w:t>第五章</w:t>
      </w:r>
      <w:bookmarkStart w:id="1" w:name="_Hlt515613166"/>
      <w:r>
        <w:rPr>
          <w:rFonts w:hint="eastAsia" w:ascii="宋体" w:hAnsi="宋体" w:cs="宋体"/>
          <w:color w:val="000000" w:themeColor="text1"/>
          <w:sz w:val="21"/>
          <w:szCs w:val="21"/>
          <w14:textFill>
            <w14:solidFill>
              <w14:schemeClr w14:val="tx1"/>
            </w14:solidFill>
          </w14:textFill>
        </w:rPr>
        <w:t>竞</w:t>
      </w:r>
      <w:bookmarkEnd w:id="1"/>
      <w:r>
        <w:rPr>
          <w:rFonts w:hint="eastAsia" w:ascii="宋体" w:hAnsi="宋体" w:cs="宋体"/>
          <w:color w:val="000000" w:themeColor="text1"/>
          <w:sz w:val="21"/>
          <w:szCs w:val="21"/>
          <w14:textFill>
            <w14:solidFill>
              <w14:schemeClr w14:val="tx1"/>
            </w14:solidFill>
          </w14:textFill>
        </w:rPr>
        <w:t>争性磋商响应文件（格式）</w:t>
      </w:r>
      <w:bookmarkStart w:id="2" w:name="_Hlt515613132"/>
      <w:r>
        <w:rPr>
          <w:rFonts w:hint="eastAsia" w:ascii="宋体" w:hAnsi="宋体" w:cs="宋体"/>
          <w:color w:val="000000" w:themeColor="text1"/>
          <w:sz w:val="21"/>
          <w:szCs w:val="21"/>
          <w14:textFill>
            <w14:solidFill>
              <w14:schemeClr w14:val="tx1"/>
            </w14:solidFill>
          </w14:textFill>
        </w:rPr>
        <w:tab/>
      </w:r>
      <w:bookmarkEnd w:id="2"/>
      <w:r>
        <w:rPr>
          <w:rFonts w:hint="eastAsia" w:ascii="宋体" w:hAnsi="宋体" w:cs="宋体"/>
          <w:color w:val="000000" w:themeColor="text1"/>
          <w:sz w:val="21"/>
          <w:szCs w:val="21"/>
          <w14:textFill>
            <w14:solidFill>
              <w14:schemeClr w14:val="tx1"/>
            </w14:solidFill>
          </w14:textFill>
        </w:rPr>
        <w:fldChar w:fldCharType="end"/>
      </w:r>
    </w:p>
    <w:p>
      <w:pPr>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39"/>
        <w:numPr>
          <w:ilvl w:val="0"/>
          <w:numId w:val="6"/>
        </w:numPr>
        <w:rPr>
          <w:rFonts w:ascii="宋体" w:hAnsi="宋体" w:cs="宋体"/>
          <w:color w:val="000000" w:themeColor="text1"/>
          <w:sz w:val="28"/>
          <w:szCs w:val="28"/>
          <w14:textFill>
            <w14:solidFill>
              <w14:schemeClr w14:val="tx1"/>
            </w14:solidFill>
          </w14:textFill>
        </w:rPr>
      </w:pPr>
      <w:bookmarkStart w:id="3" w:name="_Toc9128"/>
      <w:r>
        <w:rPr>
          <w:rFonts w:hint="eastAsia" w:ascii="宋体" w:hAnsi="宋体" w:cs="宋体"/>
          <w:color w:val="000000" w:themeColor="text1"/>
          <w:sz w:val="21"/>
          <w:szCs w:val="21"/>
          <w14:textFill>
            <w14:solidFill>
              <w14:schemeClr w14:val="tx1"/>
            </w14:solidFill>
          </w14:textFill>
        </w:rPr>
        <w:br w:type="page"/>
      </w:r>
      <w:bookmarkEnd w:id="3"/>
      <w:bookmarkStart w:id="4" w:name="_Toc22939"/>
      <w:r>
        <w:rPr>
          <w:rFonts w:hint="eastAsia" w:ascii="宋体" w:hAnsi="宋体" w:cs="宋体"/>
          <w:color w:val="000000" w:themeColor="text1"/>
          <w:sz w:val="28"/>
          <w:szCs w:val="28"/>
          <w14:textFill>
            <w14:solidFill>
              <w14:schemeClr w14:val="tx1"/>
            </w14:solidFill>
          </w14:textFill>
        </w:rPr>
        <w:t xml:space="preserve"> 竞争性磋商采购公告</w:t>
      </w:r>
    </w:p>
    <w:p>
      <w:pPr>
        <w:spacing w:line="540" w:lineRule="exact"/>
        <w:jc w:val="center"/>
        <w:rPr>
          <w:rFonts w:hint="eastAsia" w:ascii="宋体" w:hAnsi="宋体" w:cs="宋体"/>
          <w:b/>
          <w:color w:val="000000" w:themeColor="text1"/>
          <w:sz w:val="28"/>
          <w:szCs w:val="28"/>
          <w14:textFill>
            <w14:solidFill>
              <w14:schemeClr w14:val="tx1"/>
            </w14:solidFill>
          </w14:textFill>
        </w:rPr>
      </w:pPr>
      <w:bookmarkStart w:id="5" w:name="OLE_LINK1"/>
      <w:r>
        <w:rPr>
          <w:rFonts w:hint="eastAsia" w:ascii="宋体" w:hAnsi="宋体" w:cs="宋体"/>
          <w:b/>
          <w:color w:val="000000" w:themeColor="text1"/>
          <w:sz w:val="28"/>
          <w:szCs w:val="28"/>
          <w14:textFill>
            <w14:solidFill>
              <w14:schemeClr w14:val="tx1"/>
            </w14:solidFill>
          </w14:textFill>
        </w:rPr>
        <w:t>广西乾诚工程咨询有限公司关于</w:t>
      </w:r>
      <w:r>
        <w:rPr>
          <w:rFonts w:hint="eastAsia" w:ascii="宋体" w:hAnsi="宋体" w:cs="宋体"/>
          <w:b/>
          <w:color w:val="000000" w:themeColor="text1"/>
          <w:sz w:val="28"/>
          <w:szCs w:val="28"/>
          <w:lang w:eastAsia="zh-CN"/>
          <w14:textFill>
            <w14:solidFill>
              <w14:schemeClr w14:val="tx1"/>
            </w14:solidFill>
          </w14:textFill>
        </w:rPr>
        <w:t>钦州市钦北区2024年农村人饮供水保障工程-土建（Ⅰ标）</w:t>
      </w:r>
      <w:r>
        <w:rPr>
          <w:rFonts w:hint="eastAsia" w:ascii="宋体" w:hAnsi="宋体" w:cs="宋体"/>
          <w:b/>
          <w:color w:val="000000" w:themeColor="text1"/>
          <w:sz w:val="28"/>
          <w:szCs w:val="28"/>
          <w14:textFill>
            <w14:solidFill>
              <w14:schemeClr w14:val="tx1"/>
            </w14:solidFill>
          </w14:textFill>
        </w:rPr>
        <w:t>（项目编号：</w:t>
      </w:r>
      <w:r>
        <w:rPr>
          <w:rFonts w:ascii="宋体" w:hAnsi="宋体" w:cs="宋体"/>
          <w:b/>
          <w:color w:val="000000" w:themeColor="text1"/>
          <w:sz w:val="28"/>
          <w:szCs w:val="28"/>
          <w14:textFill>
            <w14:solidFill>
              <w14:schemeClr w14:val="tx1"/>
            </w14:solidFill>
          </w14:textFill>
        </w:rPr>
        <w:t>QZZC2023-C2-030022-GXQC</w:t>
      </w:r>
      <w:r>
        <w:rPr>
          <w:rFonts w:hint="eastAsia" w:ascii="宋体" w:hAnsi="宋体" w:cs="宋体"/>
          <w:b/>
          <w:color w:val="000000" w:themeColor="text1"/>
          <w:sz w:val="28"/>
          <w:szCs w:val="28"/>
          <w14:textFill>
            <w14:solidFill>
              <w14:schemeClr w14:val="tx1"/>
            </w14:solidFill>
          </w14:textFill>
        </w:rPr>
        <w:t>）</w:t>
      </w:r>
    </w:p>
    <w:p>
      <w:pPr>
        <w:spacing w:line="54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竞争性磋商采购公告</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14:textFill>
            <w14:solidFill>
              <w14:schemeClr w14:val="tx1"/>
            </w14:solidFill>
          </w14:textFill>
        </w:rPr>
      </w:pPr>
      <w:bookmarkStart w:id="6" w:name="OLE_LINK3"/>
      <w:bookmarkStart w:id="7" w:name="OLE_LINK2"/>
      <w:bookmarkStart w:id="8" w:name="OLE_LINK4"/>
      <w:bookmarkStart w:id="9" w:name="OLE_LINK5"/>
      <w:r>
        <w:rPr>
          <w:rFonts w:hint="eastAsia" w:ascii="宋体" w:hAnsi="宋体" w:cs="宋体"/>
          <w:color w:val="000000" w:themeColor="text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lang w:eastAsia="zh-CN"/>
          <w14:textFill>
            <w14:solidFill>
              <w14:schemeClr w14:val="tx1"/>
            </w14:solidFill>
          </w14:textFill>
        </w:rPr>
        <w:t>钦州市钦北区2024年农村人饮供水保障工程-土建（Ⅰ标）</w:t>
      </w:r>
      <w:r>
        <w:rPr>
          <w:rFonts w:hint="eastAsia" w:ascii="宋体" w:hAnsi="宋体" w:cs="宋体"/>
          <w:color w:val="000000" w:themeColor="text1"/>
          <w:u w:val="single"/>
          <w14:textFill>
            <w14:solidFill>
              <w14:schemeClr w14:val="tx1"/>
            </w14:solidFill>
          </w14:textFill>
        </w:rPr>
        <w:t>(项目编号：</w:t>
      </w:r>
      <w:r>
        <w:rPr>
          <w:rFonts w:ascii="宋体" w:hAnsi="宋体" w:cs="宋体"/>
          <w:color w:val="000000" w:themeColor="text1"/>
          <w:u w:val="single"/>
          <w14:textFill>
            <w14:solidFill>
              <w14:schemeClr w14:val="tx1"/>
            </w14:solidFill>
          </w14:textFill>
        </w:rPr>
        <w:t>QZZC2023-C2-030022-GXQC</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项目的潜在供应商应在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广西政府采购云平台”（https://www.gcy.zfcg.gxzf.gov.cn）</w:t>
      </w:r>
      <w:r>
        <w:rPr>
          <w:rFonts w:hint="eastAsia" w:ascii="宋体" w:hAnsi="宋体" w:cs="宋体"/>
          <w:color w:val="000000" w:themeColor="text1"/>
          <w14:textFill>
            <w14:solidFill>
              <w14:schemeClr w14:val="tx1"/>
            </w14:solidFill>
          </w14:textFill>
        </w:rPr>
        <w:t>获取竞争性磋商采购文件，并于</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4</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4</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 xml:space="preserve">18 </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FF"/>
          <w:u w:val="single"/>
          <w:lang w:val="en-US" w:eastAsia="zh-CN"/>
        </w:rPr>
        <w:t>上午09</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点</w:t>
      </w:r>
      <w:r>
        <w:rPr>
          <w:rFonts w:hint="eastAsia" w:ascii="宋体" w:hAnsi="宋体" w:cs="宋体"/>
          <w:color w:val="000000" w:themeColor="text1"/>
          <w:u w:val="single"/>
          <w:lang w:val="en-US" w:eastAsia="zh-CN"/>
          <w14:textFill>
            <w14:solidFill>
              <w14:schemeClr w14:val="tx1"/>
            </w14:solidFill>
          </w14:textFill>
        </w:rPr>
        <w:t xml:space="preserve">30 </w:t>
      </w:r>
      <w:r>
        <w:rPr>
          <w:rFonts w:hint="eastAsia" w:ascii="宋体" w:hAnsi="宋体" w:cs="宋体"/>
          <w:color w:val="000000" w:themeColor="text1"/>
          <w:u w:val="single"/>
          <w14:textFill>
            <w14:solidFill>
              <w14:schemeClr w14:val="tx1"/>
            </w14:solidFill>
          </w14:textFill>
        </w:rPr>
        <w:t>分（北京时间）</w:t>
      </w:r>
      <w:r>
        <w:rPr>
          <w:rFonts w:hint="eastAsia" w:ascii="宋体" w:hAnsi="宋体" w:cs="宋体"/>
          <w:color w:val="000000" w:themeColor="text1"/>
          <w14:textFill>
            <w14:solidFill>
              <w14:schemeClr w14:val="tx1"/>
            </w14:solidFill>
          </w14:textFill>
        </w:rPr>
        <w:t>前提交响应文件。</w:t>
      </w:r>
    </w:p>
    <w:p>
      <w:pPr>
        <w:spacing w:line="40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一、项目基本情况</w:t>
      </w: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QZZC2024-C2-030172-GXQC</w:t>
      </w: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钦州市钦北区2024年农村人饮供水保障工程-土建（Ⅰ标）</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采购方式：□竞争性谈判☑竞争性磋商□询价</w:t>
      </w: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预算总金额（元）：人民币</w:t>
      </w:r>
      <w:r>
        <w:rPr>
          <w:rFonts w:hint="eastAsia" w:ascii="宋体" w:hAnsi="宋体" w:cs="宋体"/>
          <w:color w:val="000000" w:themeColor="text1"/>
          <w:lang w:eastAsia="zh-CN"/>
          <w14:textFill>
            <w14:solidFill>
              <w14:schemeClr w14:val="tx1"/>
            </w14:solidFill>
          </w14:textFill>
        </w:rPr>
        <w:t>玖拾玖万壹仟陆佰元整（¥991600.00）</w:t>
      </w: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最高限价（如有）：人民币</w:t>
      </w:r>
      <w:r>
        <w:rPr>
          <w:rFonts w:hint="eastAsia" w:ascii="宋体" w:hAnsi="宋体" w:cs="宋体"/>
          <w:color w:val="000000" w:themeColor="text1"/>
          <w:lang w:eastAsia="zh-CN"/>
          <w14:textFill>
            <w14:solidFill>
              <w14:schemeClr w14:val="tx1"/>
            </w14:solidFill>
          </w14:textFill>
        </w:rPr>
        <w:t>玖拾玖万壹仟陆佰元整（¥991600.00）</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w:t>
      </w:r>
      <w:r>
        <w:rPr>
          <w:rFonts w:hint="eastAsia" w:ascii="宋体" w:hAnsi="宋体" w:cs="宋体"/>
          <w:color w:val="000000" w:themeColor="text1"/>
          <w:u w:val="single"/>
          <w:lang w:eastAsia="zh-CN"/>
          <w14:textFill>
            <w14:solidFill>
              <w14:schemeClr w14:val="tx1"/>
            </w14:solidFill>
          </w14:textFill>
        </w:rPr>
        <w:t>钦州市钦北区2024年农村人饮供水保障工程-土建（Ⅰ标）</w:t>
      </w:r>
      <w:r>
        <w:rPr>
          <w:rFonts w:hint="eastAsia" w:ascii="宋体" w:hAnsi="宋体" w:cs="宋体"/>
          <w:color w:val="000000" w:themeColor="text1"/>
          <w:u w:val="single"/>
          <w14:textFill>
            <w14:solidFill>
              <w14:schemeClr w14:val="tx1"/>
            </w14:solidFill>
          </w14:textFill>
        </w:rPr>
        <w:t>。</w:t>
      </w:r>
    </w:p>
    <w:p>
      <w:pPr>
        <w:spacing w:line="400" w:lineRule="exact"/>
        <w:ind w:firstLine="420" w:firstLineChars="200"/>
        <w:rPr>
          <w:rFonts w:ascii="宋体" w:hAnsi="宋体" w:cs="宋体"/>
          <w:color w:val="000000" w:themeColor="text1"/>
          <w:highlight w:val="yellow"/>
          <w:u w:val="single"/>
          <w14:textFill>
            <w14:solidFill>
              <w14:schemeClr w14:val="tx1"/>
            </w14:solidFill>
          </w14:textFill>
        </w:rPr>
      </w:pPr>
      <w:r>
        <w:rPr>
          <w:rFonts w:hint="eastAsia" w:ascii="宋体" w:hAnsi="宋体" w:cs="宋体"/>
          <w:color w:val="000000" w:themeColor="text1"/>
          <w14:textFill>
            <w14:solidFill>
              <w14:schemeClr w14:val="tx1"/>
            </w14:solidFill>
          </w14:textFill>
        </w:rPr>
        <w:t>1、项目建设内容和规模:具体详见工程量清单文件及图纸。</w:t>
      </w:r>
    </w:p>
    <w:p>
      <w:pPr>
        <w:spacing w:line="40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2、竞标范围：</w:t>
      </w:r>
      <w:r>
        <w:rPr>
          <w:rFonts w:hint="eastAsia" w:ascii="宋体" w:hAnsi="宋体" w:cs="宋体"/>
          <w:color w:val="000000" w:themeColor="text1"/>
          <w:u w:val="single"/>
          <w14:textFill>
            <w14:solidFill>
              <w14:schemeClr w14:val="tx1"/>
            </w14:solidFill>
          </w14:textFill>
        </w:rPr>
        <w:t>工程量清单包含的所有施工建设内容。如需进一步了解详细内容，详见施工图、工程量清单、竞争性磋商采购文件。</w:t>
      </w: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3、合同履行期限：</w:t>
      </w:r>
      <w:r>
        <w:rPr>
          <w:rFonts w:hint="eastAsia" w:ascii="宋体" w:hAnsi="宋体" w:cs="宋体"/>
          <w:color w:val="000000" w:themeColor="text1"/>
          <w:lang w:eastAsia="zh-CN"/>
          <w14:textFill>
            <w14:solidFill>
              <w14:schemeClr w14:val="tx1"/>
            </w14:solidFill>
          </w14:textFill>
        </w:rPr>
        <w:t>自合同签订之日起至202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年12月30日，完成所有饮水保障项目的建设任务</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4、质量要求：</w:t>
      </w:r>
      <w:r>
        <w:rPr>
          <w:rFonts w:hint="eastAsia" w:ascii="宋体" w:hAnsi="宋体" w:cs="宋体"/>
          <w:color w:val="000000" w:themeColor="text1"/>
          <w:u w:val="single"/>
          <w14:textFill>
            <w14:solidFill>
              <w14:schemeClr w14:val="tx1"/>
            </w14:solidFill>
          </w14:textFill>
        </w:rPr>
        <w:t>达到国家施工验收规范合格标准。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本项目不接受联合体投标。</w:t>
      </w:r>
    </w:p>
    <w:p>
      <w:pPr>
        <w:spacing w:line="40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二、申请人的资格要求：</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1.满足《中华人民共和国政府采购法》第二十二条规定；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2.落实政府采购政策需满足的资格要求：</w:t>
      </w:r>
      <w:r>
        <w:rPr>
          <w:rFonts w:ascii="宋体" w:hAnsi="宋体" w:cs="宋体"/>
          <w:color w:val="000000" w:themeColor="text1"/>
          <w14:textFill>
            <w14:solidFill>
              <w14:schemeClr w14:val="tx1"/>
            </w14:solidFill>
          </w14:textFill>
        </w:rPr>
        <w:t>本项目专门面向中小企业采购,供应商应为中小微企业、监狱企业、残疾人福利性单位</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3.本项目的特定资格要求：</w:t>
      </w:r>
      <w:r>
        <w:rPr>
          <w:rFonts w:hint="eastAsia" w:ascii="宋体" w:hAnsi="宋体" w:cs="宋体"/>
          <w:color w:val="000000" w:themeColor="text1"/>
          <w:u w:val="single"/>
          <w14:textFill>
            <w14:solidFill>
              <w14:schemeClr w14:val="tx1"/>
            </w14:solidFill>
          </w14:textFill>
        </w:rPr>
        <w:t>要求投标人须具备水利水电工程施工总承包叁级或叁级以上资质，并在人员、设备、资金等方面具备相应的施工能力。其中，投标人拟派项目经理须具备水利水电工程专业贰级以上（含贰级）注册建造师执业资格，具备有效的安全生产考核合格证书（B类）。</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三、获取竞争性磋商文件</w:t>
      </w:r>
    </w:p>
    <w:p>
      <w:pPr>
        <w:spacing w:line="360" w:lineRule="auto"/>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时间：</w:t>
      </w:r>
      <w:r>
        <w:rPr>
          <w:rFonts w:hint="eastAsia" w:ascii="宋体" w:hAnsi="宋体" w:cs="Arial"/>
          <w:color w:val="000000" w:themeColor="text1"/>
          <w:u w:val="single"/>
          <w14:textFill>
            <w14:solidFill>
              <w14:schemeClr w14:val="tx1"/>
            </w14:solidFill>
          </w14:textFill>
        </w:rPr>
        <w:t>202</w:t>
      </w:r>
      <w:r>
        <w:rPr>
          <w:rFonts w:hint="eastAsia" w:ascii="宋体" w:hAnsi="宋体" w:cs="Arial"/>
          <w:color w:val="000000" w:themeColor="text1"/>
          <w:u w:val="single"/>
          <w:lang w:val="en-US" w:eastAsia="zh-CN"/>
          <w14:textFill>
            <w14:solidFill>
              <w14:schemeClr w14:val="tx1"/>
            </w14:solidFill>
          </w14:textFill>
        </w:rPr>
        <w:t>4</w:t>
      </w:r>
      <w:r>
        <w:rPr>
          <w:rFonts w:hint="eastAsia" w:ascii="宋体" w:hAnsi="宋体" w:cs="Arial"/>
          <w:color w:val="000000" w:themeColor="text1"/>
          <w:u w:val="single"/>
          <w14:textFill>
            <w14:solidFill>
              <w14:schemeClr w14:val="tx1"/>
            </w14:solidFill>
          </w14:textFill>
        </w:rPr>
        <w:t>年</w:t>
      </w:r>
      <w:r>
        <w:rPr>
          <w:rFonts w:hint="eastAsia" w:ascii="宋体" w:hAnsi="宋体" w:cs="Arial"/>
          <w:color w:val="000000" w:themeColor="text1"/>
          <w:u w:val="single"/>
          <w:lang w:val="en-US" w:eastAsia="zh-CN"/>
          <w14:textFill>
            <w14:solidFill>
              <w14:schemeClr w14:val="tx1"/>
            </w14:solidFill>
          </w14:textFill>
        </w:rPr>
        <w:t>4</w:t>
      </w:r>
      <w:r>
        <w:rPr>
          <w:rFonts w:hint="eastAsia" w:ascii="宋体" w:hAnsi="宋体" w:cs="Arial"/>
          <w:color w:val="000000" w:themeColor="text1"/>
          <w:u w:val="single"/>
          <w14:textFill>
            <w14:solidFill>
              <w14:schemeClr w14:val="tx1"/>
            </w14:solidFill>
          </w14:textFill>
        </w:rPr>
        <w:t xml:space="preserve">月 </w:t>
      </w:r>
      <w:r>
        <w:rPr>
          <w:rFonts w:hint="eastAsia" w:ascii="宋体" w:hAnsi="宋体" w:cs="Arial"/>
          <w:color w:val="000000" w:themeColor="text1"/>
          <w:u w:val="single"/>
          <w:lang w:val="en-US" w:eastAsia="zh-CN"/>
          <w14:textFill>
            <w14:solidFill>
              <w14:schemeClr w14:val="tx1"/>
            </w14:solidFill>
          </w14:textFill>
        </w:rPr>
        <w:t xml:space="preserve">7  </w:t>
      </w:r>
      <w:r>
        <w:rPr>
          <w:rFonts w:hint="eastAsia" w:ascii="宋体" w:hAnsi="宋体" w:cs="Arial"/>
          <w:color w:val="000000" w:themeColor="text1"/>
          <w:u w:val="single"/>
          <w14:textFill>
            <w14:solidFill>
              <w14:schemeClr w14:val="tx1"/>
            </w14:solidFill>
          </w14:textFill>
        </w:rPr>
        <w:t>日</w:t>
      </w:r>
      <w:r>
        <w:rPr>
          <w:rFonts w:hint="eastAsia" w:ascii="宋体" w:hAnsi="宋体" w:cs="Arial"/>
          <w:color w:val="000000" w:themeColor="text1"/>
          <w14:textFill>
            <w14:solidFill>
              <w14:schemeClr w14:val="tx1"/>
            </w14:solidFill>
          </w14:textFill>
        </w:rPr>
        <w:t>至</w:t>
      </w:r>
      <w:r>
        <w:rPr>
          <w:rFonts w:hint="eastAsia" w:ascii="宋体" w:hAnsi="宋体" w:cs="Arial"/>
          <w:color w:val="000000" w:themeColor="text1"/>
          <w:u w:val="single"/>
          <w14:textFill>
            <w14:solidFill>
              <w14:schemeClr w14:val="tx1"/>
            </w14:solidFill>
          </w14:textFill>
        </w:rPr>
        <w:t>202</w:t>
      </w:r>
      <w:r>
        <w:rPr>
          <w:rFonts w:hint="eastAsia" w:ascii="宋体" w:hAnsi="宋体" w:cs="Arial"/>
          <w:color w:val="000000" w:themeColor="text1"/>
          <w:u w:val="single"/>
          <w:lang w:val="en-US" w:eastAsia="zh-CN"/>
          <w14:textFill>
            <w14:solidFill>
              <w14:schemeClr w14:val="tx1"/>
            </w14:solidFill>
          </w14:textFill>
        </w:rPr>
        <w:t>4</w:t>
      </w:r>
      <w:r>
        <w:rPr>
          <w:rFonts w:hint="eastAsia" w:ascii="宋体" w:hAnsi="宋体" w:cs="Arial"/>
          <w:color w:val="000000" w:themeColor="text1"/>
          <w:u w:val="single"/>
          <w14:textFill>
            <w14:solidFill>
              <w14:schemeClr w14:val="tx1"/>
            </w14:solidFill>
          </w14:textFill>
        </w:rPr>
        <w:t>年</w:t>
      </w:r>
      <w:r>
        <w:rPr>
          <w:rFonts w:hint="eastAsia" w:ascii="宋体" w:hAnsi="宋体" w:cs="Arial"/>
          <w:color w:val="000000" w:themeColor="text1"/>
          <w:u w:val="single"/>
          <w:lang w:val="en-US" w:eastAsia="zh-CN"/>
          <w14:textFill>
            <w14:solidFill>
              <w14:schemeClr w14:val="tx1"/>
            </w14:solidFill>
          </w14:textFill>
        </w:rPr>
        <w:t>4</w:t>
      </w:r>
      <w:r>
        <w:rPr>
          <w:rFonts w:hint="eastAsia" w:ascii="宋体" w:hAnsi="宋体" w:cs="Arial"/>
          <w:color w:val="000000" w:themeColor="text1"/>
          <w:u w:val="single"/>
          <w14:textFill>
            <w14:solidFill>
              <w14:schemeClr w14:val="tx1"/>
            </w14:solidFill>
          </w14:textFill>
        </w:rPr>
        <w:t xml:space="preserve"> 月</w:t>
      </w:r>
      <w:r>
        <w:rPr>
          <w:rFonts w:hint="eastAsia" w:ascii="宋体" w:hAnsi="宋体" w:cs="Arial"/>
          <w:color w:val="000000" w:themeColor="text1"/>
          <w:u w:val="single"/>
          <w:lang w:val="en-US" w:eastAsia="zh-CN"/>
          <w14:textFill>
            <w14:solidFill>
              <w14:schemeClr w14:val="tx1"/>
            </w14:solidFill>
          </w14:textFill>
        </w:rPr>
        <w:t xml:space="preserve"> 16</w:t>
      </w:r>
      <w:r>
        <w:rPr>
          <w:rFonts w:hint="eastAsia" w:ascii="宋体" w:hAnsi="宋体" w:cs="Arial"/>
          <w:color w:val="000000" w:themeColor="text1"/>
          <w:u w:val="single"/>
          <w14:textFill>
            <w14:solidFill>
              <w14:schemeClr w14:val="tx1"/>
            </w14:solidFill>
          </w14:textFill>
        </w:rPr>
        <w:t>日</w:t>
      </w:r>
      <w:r>
        <w:rPr>
          <w:rFonts w:hint="eastAsia" w:ascii="宋体" w:hAnsi="宋体" w:cs="Arial"/>
          <w:color w:val="000000" w:themeColor="text1"/>
          <w14:textFill>
            <w14:solidFill>
              <w14:schemeClr w14:val="tx1"/>
            </w14:solidFill>
          </w14:textFill>
        </w:rPr>
        <w:t>，每天上午08:30-12:00；下午15:00-18：00（北京时间，</w:t>
      </w:r>
      <w:r>
        <w:rPr>
          <w:rFonts w:ascii="宋体" w:hAnsi="宋体" w:cs="Arial"/>
          <w:color w:val="000000" w:themeColor="text1"/>
          <w14:textFill>
            <w14:solidFill>
              <w14:schemeClr w14:val="tx1"/>
            </w14:solidFill>
          </w14:textFill>
        </w:rPr>
        <w:t>法定节假日</w:t>
      </w:r>
      <w:r>
        <w:rPr>
          <w:rFonts w:hint="eastAsia" w:ascii="宋体" w:hAnsi="宋体" w:cs="Arial"/>
          <w:color w:val="000000" w:themeColor="text1"/>
          <w14:textFill>
            <w14:solidFill>
              <w14:schemeClr w14:val="tx1"/>
            </w14:solidFill>
          </w14:textFill>
        </w:rPr>
        <w:t>除外）</w:t>
      </w:r>
      <w:r>
        <w:rPr>
          <w:rFonts w:hint="eastAsia" w:ascii="宋体" w:hAnsi="宋体" w:cs="宋体"/>
          <w:bCs/>
          <w:color w:val="000000" w:themeColor="text1"/>
          <w:kern w:val="0"/>
          <w14:textFill>
            <w14:solidFill>
              <w14:schemeClr w14:val="tx1"/>
            </w14:solidFill>
          </w14:textFill>
        </w:rPr>
        <w:t>。</w:t>
      </w:r>
    </w:p>
    <w:p>
      <w:pPr>
        <w:spacing w:line="360" w:lineRule="auto"/>
        <w:ind w:firstLine="420" w:firstLineChars="200"/>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地点：</w:t>
      </w:r>
      <w:r>
        <w:rPr>
          <w:rFonts w:hint="eastAsia" w:ascii="宋体" w:hAnsi="宋体" w:cs="宋体"/>
          <w:bCs/>
          <w:color w:val="000000" w:themeColor="text1"/>
          <w:kern w:val="0"/>
          <w:lang w:eastAsia="zh-CN"/>
          <w14:textFill>
            <w14:solidFill>
              <w14:schemeClr w14:val="tx1"/>
            </w14:solidFill>
          </w14:textFill>
        </w:rPr>
        <w:t>广西政府采购云平台”（https://www.gcy.zfcg.gxzf.gov.cn）</w:t>
      </w:r>
    </w:p>
    <w:p>
      <w:pPr>
        <w:spacing w:line="360" w:lineRule="auto"/>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color w:val="000000" w:themeColor="text1"/>
          <w:kern w:val="0"/>
          <w:lang w:eastAsia="zh-CN"/>
          <w14:textFill>
            <w14:solidFill>
              <w14:schemeClr w14:val="tx1"/>
            </w14:solidFill>
          </w14:textFill>
        </w:rPr>
        <w:t>广西政府采购云平台”（https://www.gcy.zfcg.gxzf.gov.cn）</w:t>
      </w:r>
      <w:r>
        <w:rPr>
          <w:rFonts w:hint="eastAsia" w:ascii="宋体" w:hAnsi="宋体" w:cs="宋体"/>
          <w:bCs/>
          <w:color w:val="000000" w:themeColor="text1"/>
          <w:kern w:val="0"/>
          <w14:textFill>
            <w14:solidFill>
              <w14:schemeClr w14:val="tx1"/>
            </w14:solidFill>
          </w14:textFill>
        </w:rPr>
        <w:t>下载竞争性磋商文件（操作路径：登录“</w:t>
      </w:r>
      <w:r>
        <w:rPr>
          <w:rFonts w:hint="eastAsia" w:ascii="宋体" w:hAnsi="宋体" w:cs="宋体"/>
          <w:bCs/>
          <w:color w:val="000000" w:themeColor="text1"/>
          <w:kern w:val="0"/>
          <w:lang w:eastAsia="zh-CN"/>
          <w14:textFill>
            <w14:solidFill>
              <w14:schemeClr w14:val="tx1"/>
            </w14:solidFill>
          </w14:textFill>
        </w:rPr>
        <w:t>广西政府采购云平台</w:t>
      </w:r>
      <w:r>
        <w:rPr>
          <w:rFonts w:hint="eastAsia" w:ascii="宋体" w:hAnsi="宋体" w:cs="宋体"/>
          <w:bCs/>
          <w:color w:val="000000" w:themeColor="text1"/>
          <w:kern w:val="0"/>
          <w14:textFill>
            <w14:solidFill>
              <w14:schemeClr w14:val="tx1"/>
            </w14:solidFill>
          </w14:textFill>
        </w:rPr>
        <w:t>”-项目采购-获取采购文件-找到本项目-点击“申请获取采购文件”），电子响应文件制作需要基于“</w:t>
      </w:r>
      <w:r>
        <w:rPr>
          <w:rFonts w:hint="eastAsia" w:ascii="宋体" w:hAnsi="宋体" w:cs="宋体"/>
          <w:bCs/>
          <w:color w:val="000000" w:themeColor="text1"/>
          <w:kern w:val="0"/>
          <w:lang w:eastAsia="zh-CN"/>
          <w14:textFill>
            <w14:solidFill>
              <w14:schemeClr w14:val="tx1"/>
            </w14:solidFill>
          </w14:textFill>
        </w:rPr>
        <w:t>广西政府采购云平台</w:t>
      </w:r>
      <w:r>
        <w:rPr>
          <w:rFonts w:hint="eastAsia" w:ascii="宋体" w:hAnsi="宋体" w:cs="宋体"/>
          <w:bCs/>
          <w:color w:val="000000" w:themeColor="text1"/>
          <w:kern w:val="0"/>
          <w14:textFill>
            <w14:solidFill>
              <w14:schemeClr w14:val="tx1"/>
            </w14:solidFill>
          </w14:textFill>
        </w:rPr>
        <w:t>”平台获取的竞争性磋商文件编制。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售价：0元。</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四、响应文件提交</w:t>
      </w:r>
    </w:p>
    <w:p>
      <w:pPr>
        <w:spacing w:line="360" w:lineRule="auto"/>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1.首次响应文件提交截止时间</w:t>
      </w:r>
      <w:r>
        <w:rPr>
          <w:rFonts w:hint="eastAsia" w:ascii="宋体" w:hAnsi="宋体"/>
          <w:color w:val="000000" w:themeColor="text1"/>
          <w14:textFill>
            <w14:solidFill>
              <w14:schemeClr w14:val="tx1"/>
            </w14:solidFill>
          </w14:textFill>
        </w:rPr>
        <w:t>：</w:t>
      </w:r>
      <w:r>
        <w:rPr>
          <w:rFonts w:hint="eastAsia" w:ascii="宋体" w:hAnsi="宋体" w:cs="宋体"/>
          <w:bCs/>
          <w:color w:val="000000" w:themeColor="text1"/>
          <w:kern w:val="0"/>
          <w:u w:val="single"/>
          <w14:textFill>
            <w14:solidFill>
              <w14:schemeClr w14:val="tx1"/>
            </w14:solidFill>
          </w14:textFill>
        </w:rPr>
        <w:t>202</w:t>
      </w:r>
      <w:r>
        <w:rPr>
          <w:rFonts w:hint="eastAsia" w:ascii="宋体" w:hAnsi="宋体" w:cs="宋体"/>
          <w:bCs/>
          <w:color w:val="000000" w:themeColor="text1"/>
          <w:kern w:val="0"/>
          <w:u w:val="single"/>
          <w:lang w:val="en-US" w:eastAsia="zh-CN"/>
          <w14:textFill>
            <w14:solidFill>
              <w14:schemeClr w14:val="tx1"/>
            </w14:solidFill>
          </w14:textFill>
        </w:rPr>
        <w:t>4</w:t>
      </w:r>
      <w:r>
        <w:rPr>
          <w:rFonts w:hint="eastAsia" w:ascii="宋体" w:hAnsi="宋体" w:cs="宋体"/>
          <w:bCs/>
          <w:color w:val="000000" w:themeColor="text1"/>
          <w:kern w:val="0"/>
          <w:u w:val="single"/>
          <w14:textFill>
            <w14:solidFill>
              <w14:schemeClr w14:val="tx1"/>
            </w14:solidFill>
          </w14:textFill>
        </w:rPr>
        <w:t>年</w:t>
      </w:r>
      <w:r>
        <w:rPr>
          <w:rFonts w:hint="eastAsia" w:ascii="宋体" w:hAnsi="宋体" w:cs="宋体"/>
          <w:bCs/>
          <w:color w:val="000000" w:themeColor="text1"/>
          <w:kern w:val="0"/>
          <w:u w:val="single"/>
          <w:lang w:val="en-US" w:eastAsia="zh-CN"/>
          <w14:textFill>
            <w14:solidFill>
              <w14:schemeClr w14:val="tx1"/>
            </w14:solidFill>
          </w14:textFill>
        </w:rPr>
        <w:t>4</w:t>
      </w:r>
      <w:r>
        <w:rPr>
          <w:rFonts w:hint="eastAsia" w:ascii="宋体" w:hAnsi="宋体" w:cs="宋体"/>
          <w:bCs/>
          <w:color w:val="000000" w:themeColor="text1"/>
          <w:kern w:val="0"/>
          <w:u w:val="single"/>
          <w14:textFill>
            <w14:solidFill>
              <w14:schemeClr w14:val="tx1"/>
            </w14:solidFill>
          </w14:textFill>
        </w:rPr>
        <w:t xml:space="preserve"> 月</w:t>
      </w:r>
      <w:r>
        <w:rPr>
          <w:rFonts w:hint="eastAsia" w:ascii="宋体" w:hAnsi="宋体" w:cs="宋体"/>
          <w:bCs/>
          <w:color w:val="000000" w:themeColor="text1"/>
          <w:kern w:val="0"/>
          <w:u w:val="single"/>
          <w:lang w:val="en-US" w:eastAsia="zh-CN"/>
          <w14:textFill>
            <w14:solidFill>
              <w14:schemeClr w14:val="tx1"/>
            </w14:solidFill>
          </w14:textFill>
        </w:rPr>
        <w:t xml:space="preserve"> 18 </w:t>
      </w:r>
      <w:r>
        <w:rPr>
          <w:rFonts w:hint="eastAsia" w:ascii="宋体" w:hAnsi="宋体" w:cs="宋体"/>
          <w:bCs/>
          <w:color w:val="000000" w:themeColor="text1"/>
          <w:kern w:val="0"/>
          <w:u w:val="single"/>
          <w14:textFill>
            <w14:solidFill>
              <w14:schemeClr w14:val="tx1"/>
            </w14:solidFill>
          </w14:textFill>
        </w:rPr>
        <w:t xml:space="preserve">日 </w:t>
      </w:r>
      <w:r>
        <w:rPr>
          <w:rFonts w:hint="eastAsia" w:ascii="宋体" w:hAnsi="宋体" w:cs="宋体"/>
          <w:bCs/>
          <w:color w:val="000000" w:themeColor="text1"/>
          <w:kern w:val="0"/>
          <w:u w:val="single"/>
          <w:lang w:val="en-US" w:eastAsia="zh-CN"/>
          <w14:textFill>
            <w14:solidFill>
              <w14:schemeClr w14:val="tx1"/>
            </w14:solidFill>
          </w14:textFill>
        </w:rPr>
        <w:t xml:space="preserve"> 09 </w:t>
      </w:r>
      <w:r>
        <w:rPr>
          <w:rFonts w:hint="eastAsia" w:ascii="宋体" w:hAnsi="宋体" w:cs="宋体"/>
          <w:bCs/>
          <w:color w:val="000000" w:themeColor="text1"/>
          <w:kern w:val="0"/>
          <w:u w:val="single"/>
          <w14:textFill>
            <w14:solidFill>
              <w14:schemeClr w14:val="tx1"/>
            </w14:solidFill>
          </w14:textFill>
        </w:rPr>
        <w:t xml:space="preserve"> 时 </w:t>
      </w:r>
      <w:r>
        <w:rPr>
          <w:rFonts w:hint="eastAsia" w:ascii="宋体" w:hAnsi="宋体" w:cs="宋体"/>
          <w:bCs/>
          <w:color w:val="000000" w:themeColor="text1"/>
          <w:kern w:val="0"/>
          <w:u w:val="single"/>
          <w:lang w:val="en-US" w:eastAsia="zh-CN"/>
          <w14:textFill>
            <w14:solidFill>
              <w14:schemeClr w14:val="tx1"/>
            </w14:solidFill>
          </w14:textFill>
        </w:rPr>
        <w:t xml:space="preserve"> 30</w:t>
      </w:r>
      <w:r>
        <w:rPr>
          <w:rFonts w:hint="eastAsia" w:ascii="宋体" w:hAnsi="宋体" w:cs="宋体"/>
          <w:bCs/>
          <w:color w:val="000000" w:themeColor="text1"/>
          <w:kern w:val="0"/>
          <w:u w:val="single"/>
          <w14:textFill>
            <w14:solidFill>
              <w14:schemeClr w14:val="tx1"/>
            </w14:solidFill>
          </w14:textFill>
        </w:rPr>
        <w:t>分</w:t>
      </w:r>
      <w:r>
        <w:rPr>
          <w:rFonts w:hint="eastAsia" w:ascii="宋体" w:hAnsi="宋体" w:cs="宋体"/>
          <w:bCs/>
          <w:color w:val="000000" w:themeColor="text1"/>
          <w:kern w:val="0"/>
          <w14:textFill>
            <w14:solidFill>
              <w14:schemeClr w14:val="tx1"/>
            </w14:solidFill>
          </w14:textFill>
        </w:rPr>
        <w:t>（北京时间）</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2.地点：</w:t>
      </w:r>
      <w:r>
        <w:rPr>
          <w:rFonts w:hint="eastAsia" w:ascii="宋体" w:hAnsi="宋体" w:cs="宋体"/>
          <w:color w:val="000000" w:themeColor="text1"/>
          <w:lang w:bidi="ar"/>
          <w14:textFill>
            <w14:solidFill>
              <w14:schemeClr w14:val="tx1"/>
            </w14:solidFill>
          </w14:textFill>
        </w:rPr>
        <w:t>通过“</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”平台在线提交。</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五、开启</w:t>
      </w:r>
    </w:p>
    <w:p>
      <w:pPr>
        <w:spacing w:line="360" w:lineRule="auto"/>
        <w:ind w:firstLine="420" w:firstLineChars="200"/>
        <w:rPr>
          <w:rFonts w:ascii="宋体" w:hAnsi="宋体"/>
          <w:bCs/>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1.首次响应文件开启时间：</w:t>
      </w:r>
      <w:r>
        <w:rPr>
          <w:rFonts w:hint="eastAsia" w:ascii="宋体" w:hAnsi="宋体" w:cs="宋体"/>
          <w:bCs/>
          <w:color w:val="000000" w:themeColor="text1"/>
          <w:kern w:val="0"/>
          <w:u w:val="single"/>
          <w14:textFill>
            <w14:solidFill>
              <w14:schemeClr w14:val="tx1"/>
            </w14:solidFill>
          </w14:textFill>
        </w:rPr>
        <w:t>202</w:t>
      </w:r>
      <w:r>
        <w:rPr>
          <w:rFonts w:hint="eastAsia" w:ascii="宋体" w:hAnsi="宋体" w:cs="宋体"/>
          <w:bCs/>
          <w:color w:val="000000" w:themeColor="text1"/>
          <w:kern w:val="0"/>
          <w:u w:val="single"/>
          <w:lang w:val="en-US" w:eastAsia="zh-CN"/>
          <w14:textFill>
            <w14:solidFill>
              <w14:schemeClr w14:val="tx1"/>
            </w14:solidFill>
          </w14:textFill>
        </w:rPr>
        <w:t>4</w:t>
      </w:r>
      <w:r>
        <w:rPr>
          <w:rFonts w:hint="eastAsia" w:ascii="宋体" w:hAnsi="宋体" w:cs="宋体"/>
          <w:bCs/>
          <w:color w:val="000000" w:themeColor="text1"/>
          <w:kern w:val="0"/>
          <w:u w:val="single"/>
          <w14:textFill>
            <w14:solidFill>
              <w14:schemeClr w14:val="tx1"/>
            </w14:solidFill>
          </w14:textFill>
        </w:rPr>
        <w:t>年</w:t>
      </w:r>
      <w:r>
        <w:rPr>
          <w:rFonts w:hint="eastAsia" w:ascii="宋体" w:hAnsi="宋体" w:cs="宋体"/>
          <w:bCs/>
          <w:color w:val="000000" w:themeColor="text1"/>
          <w:kern w:val="0"/>
          <w:u w:val="single"/>
          <w:lang w:val="en-US" w:eastAsia="zh-CN"/>
          <w14:textFill>
            <w14:solidFill>
              <w14:schemeClr w14:val="tx1"/>
            </w14:solidFill>
          </w14:textFill>
        </w:rPr>
        <w:t xml:space="preserve"> 4</w:t>
      </w:r>
      <w:r>
        <w:rPr>
          <w:rFonts w:hint="eastAsia" w:ascii="宋体" w:hAnsi="宋体" w:cs="宋体"/>
          <w:bCs/>
          <w:color w:val="000000" w:themeColor="text1"/>
          <w:kern w:val="0"/>
          <w:u w:val="single"/>
          <w14:textFill>
            <w14:solidFill>
              <w14:schemeClr w14:val="tx1"/>
            </w14:solidFill>
          </w14:textFill>
        </w:rPr>
        <w:t xml:space="preserve"> 月 </w:t>
      </w:r>
      <w:r>
        <w:rPr>
          <w:rFonts w:hint="eastAsia" w:ascii="宋体" w:hAnsi="宋体" w:cs="宋体"/>
          <w:bCs/>
          <w:color w:val="000000" w:themeColor="text1"/>
          <w:kern w:val="0"/>
          <w:u w:val="single"/>
          <w:lang w:val="en-US" w:eastAsia="zh-CN"/>
          <w14:textFill>
            <w14:solidFill>
              <w14:schemeClr w14:val="tx1"/>
            </w14:solidFill>
          </w14:textFill>
        </w:rPr>
        <w:t xml:space="preserve"> 18</w:t>
      </w:r>
      <w:r>
        <w:rPr>
          <w:rFonts w:hint="eastAsia" w:ascii="宋体" w:hAnsi="宋体" w:cs="宋体"/>
          <w:bCs/>
          <w:color w:val="000000" w:themeColor="text1"/>
          <w:kern w:val="0"/>
          <w:u w:val="single"/>
          <w14:textFill>
            <w14:solidFill>
              <w14:schemeClr w14:val="tx1"/>
            </w14:solidFill>
          </w14:textFill>
        </w:rPr>
        <w:t xml:space="preserve">  日 </w:t>
      </w:r>
      <w:r>
        <w:rPr>
          <w:rFonts w:hint="eastAsia" w:ascii="宋体" w:hAnsi="宋体" w:cs="宋体"/>
          <w:bCs/>
          <w:color w:val="000000" w:themeColor="text1"/>
          <w:kern w:val="0"/>
          <w:u w:val="single"/>
          <w:lang w:val="en-US" w:eastAsia="zh-CN"/>
          <w14:textFill>
            <w14:solidFill>
              <w14:schemeClr w14:val="tx1"/>
            </w14:solidFill>
          </w14:textFill>
        </w:rPr>
        <w:t xml:space="preserve">09 </w:t>
      </w:r>
      <w:r>
        <w:rPr>
          <w:rFonts w:hint="eastAsia" w:ascii="宋体" w:hAnsi="宋体" w:cs="宋体"/>
          <w:bCs/>
          <w:color w:val="000000" w:themeColor="text1"/>
          <w:kern w:val="0"/>
          <w:u w:val="single"/>
          <w14:textFill>
            <w14:solidFill>
              <w14:schemeClr w14:val="tx1"/>
            </w14:solidFill>
          </w14:textFill>
        </w:rPr>
        <w:t xml:space="preserve"> 时 </w:t>
      </w:r>
      <w:r>
        <w:rPr>
          <w:rFonts w:hint="eastAsia" w:ascii="宋体" w:hAnsi="宋体" w:cs="宋体"/>
          <w:bCs/>
          <w:color w:val="000000" w:themeColor="text1"/>
          <w:kern w:val="0"/>
          <w:u w:val="single"/>
          <w:lang w:val="en-US" w:eastAsia="zh-CN"/>
          <w14:textFill>
            <w14:solidFill>
              <w14:schemeClr w14:val="tx1"/>
            </w14:solidFill>
          </w14:textFill>
        </w:rPr>
        <w:t xml:space="preserve"> 30</w:t>
      </w:r>
      <w:r>
        <w:rPr>
          <w:rFonts w:hint="eastAsia" w:ascii="宋体" w:hAnsi="宋体" w:cs="宋体"/>
          <w:bCs/>
          <w:color w:val="000000" w:themeColor="text1"/>
          <w:kern w:val="0"/>
          <w:u w:val="single"/>
          <w14:textFill>
            <w14:solidFill>
              <w14:schemeClr w14:val="tx1"/>
            </w14:solidFill>
          </w14:textFill>
        </w:rPr>
        <w:t xml:space="preserve"> 分</w:t>
      </w:r>
      <w:r>
        <w:rPr>
          <w:rFonts w:hint="eastAsia" w:ascii="宋体" w:hAnsi="宋体" w:cs="宋体"/>
          <w:bCs/>
          <w:color w:val="000000" w:themeColor="text1"/>
          <w:kern w:val="0"/>
          <w14:textFill>
            <w14:solidFill>
              <w14:schemeClr w14:val="tx1"/>
            </w14:solidFill>
          </w14:textFill>
        </w:rPr>
        <w:t>（北京时间）</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2.地点：</w:t>
      </w:r>
      <w:r>
        <w:rPr>
          <w:rFonts w:hint="eastAsia" w:ascii="宋体" w:hAnsi="宋体" w:cs="宋体"/>
          <w:color w:val="000000" w:themeColor="text1"/>
          <w:lang w:bidi="ar"/>
          <w14:textFill>
            <w14:solidFill>
              <w14:schemeClr w14:val="tx1"/>
            </w14:solidFill>
          </w14:textFill>
        </w:rPr>
        <w:t>本项目将在“</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”平台电子开标大厅解密、开启。</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六、公告期限</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自本公告发布之日起3个工作日。</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七、其他补充事宜</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3.网上查询地址：中国政府采购网（www.ccgp.gov.cn）、广西政府采购网（zfcg.gxzf.gov.cn）。</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4.本项目需要落实的政府采购政策：</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（1）政府采购促进中小企业发展。</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（2）政府采购支持采用本国产品的政策。</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（3）强制采购节能产品；优先采购节能产品、环境标志产品。</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（4）政府采购促进残疾人就业政策。</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（5）政府采购支持监狱企业发展。</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（6）扶持不发达地区和少数民族地区政策</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5</w:t>
      </w:r>
      <w:r>
        <w:rPr>
          <w:rFonts w:ascii="宋体" w:hAnsi="宋体" w:cs="宋体"/>
          <w:color w:val="000000" w:themeColor="text1"/>
          <w:lang w:bidi="ar"/>
          <w14:textFill>
            <w14:solidFill>
              <w14:schemeClr w14:val="tx1"/>
            </w14:solidFill>
          </w14:textFill>
        </w:rPr>
        <w:t>.</w:t>
      </w:r>
      <w:r>
        <w:rPr>
          <w:rFonts w:hint="eastAsia" w:ascii="宋体" w:hAnsi="宋体" w:cs="宋体"/>
          <w:color w:val="000000" w:themeColor="text1"/>
          <w:lang w:bidi="ar"/>
          <w14:textFill>
            <w14:solidFill>
              <w14:schemeClr w14:val="tx1"/>
            </w14:solidFill>
          </w14:textFill>
        </w:rPr>
        <w:t>磋商注意事项：</w:t>
      </w:r>
    </w:p>
    <w:p>
      <w:pPr>
        <w:widowControl/>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w:t>
      </w:r>
      <w:r>
        <w:rPr>
          <w:rFonts w:hint="eastAsia" w:ascii="宋体" w:hAnsi="宋体" w:cs="宋体"/>
          <w:color w:val="000000" w:themeColor="text1"/>
          <w14:textFill>
            <w14:solidFill>
              <w14:schemeClr w14:val="tx1"/>
            </w14:solidFill>
          </w14:textFill>
        </w:rPr>
        <w:t>响应文件</w:t>
      </w:r>
      <w:r>
        <w:rPr>
          <w:rFonts w:hint="eastAsia" w:ascii="宋体" w:hAnsi="宋体" w:cs="宋体"/>
          <w:color w:val="000000" w:themeColor="text1"/>
          <w:lang w:bidi="ar"/>
          <w14:textFill>
            <w14:solidFill>
              <w14:schemeClr w14:val="tx1"/>
            </w14:solidFill>
          </w14:textFill>
        </w:rPr>
        <w:t>提交方式：本项目为全流程电子化政府采购项目，通过</w:t>
      </w:r>
      <w:r>
        <w:rPr>
          <w:rFonts w:hint="eastAsia" w:ascii="宋体" w:hAnsi="宋体" w:cs="宋体"/>
          <w:color w:val="000000" w:themeColor="text1"/>
          <w:lang w:eastAsia="zh-CN" w:bidi="ar"/>
          <w14:textFill>
            <w14:solidFill>
              <w14:schemeClr w14:val="tx1"/>
            </w14:solidFill>
          </w14:textFill>
        </w:rPr>
        <w:t>广西政府采购云平台”（https://www.gcy.zfcg.gxzf.gov.cn）</w:t>
      </w:r>
      <w:r>
        <w:rPr>
          <w:rFonts w:hint="eastAsia" w:ascii="宋体" w:hAnsi="宋体" w:cs="宋体"/>
          <w:color w:val="000000" w:themeColor="text1"/>
          <w:lang w:bidi="ar"/>
          <w14:textFill>
            <w14:solidFill>
              <w14:schemeClr w14:val="tx1"/>
            </w14:solidFill>
          </w14:textFill>
        </w:rPr>
        <w:t>实行在线电子磋商采购，供应商应先安装“</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电子交易客户端”（请自行前往“</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”进行下载），并按照本项目竞争性磋商文件和“</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”的要求编制、加密后在</w:t>
      </w:r>
      <w:r>
        <w:rPr>
          <w:rFonts w:hint="eastAsia" w:ascii="宋体" w:hAnsi="宋体" w:cs="宋体"/>
          <w:color w:val="000000" w:themeColor="text1"/>
          <w14:textFill>
            <w14:solidFill>
              <w14:schemeClr w14:val="tx1"/>
            </w14:solidFill>
          </w14:textFill>
        </w:rPr>
        <w:t>首次响应文件提交截止时间</w:t>
      </w:r>
      <w:r>
        <w:rPr>
          <w:rFonts w:hint="eastAsia" w:ascii="宋体" w:hAnsi="宋体" w:cs="宋体"/>
          <w:color w:val="000000" w:themeColor="text1"/>
          <w:lang w:bidi="ar"/>
          <w14:textFill>
            <w14:solidFill>
              <w14:schemeClr w14:val="tx1"/>
            </w14:solidFill>
          </w14:textFill>
        </w:rPr>
        <w:t>前通过网络上传至“</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w:t>
      </w:r>
      <w:r>
        <w:rPr>
          <w:rFonts w:hint="eastAsia" w:ascii="宋体" w:hAnsi="宋体" w:cs="宋体"/>
          <w:b/>
          <w:color w:val="000000" w:themeColor="text1"/>
          <w:lang w:bidi="ar"/>
          <w14:textFill>
            <w14:solidFill>
              <w14:schemeClr w14:val="tx1"/>
            </w14:solidFill>
          </w14:textFill>
        </w:rPr>
        <w:t>供应商在“</w:t>
      </w:r>
      <w:r>
        <w:rPr>
          <w:rFonts w:hint="eastAsia" w:ascii="宋体" w:hAnsi="宋体" w:cs="宋体"/>
          <w:b/>
          <w:color w:val="000000" w:themeColor="text1"/>
          <w:lang w:eastAsia="zh-CN" w:bidi="ar"/>
          <w14:textFill>
            <w14:solidFill>
              <w14:schemeClr w14:val="tx1"/>
            </w14:solidFill>
          </w14:textFill>
        </w:rPr>
        <w:t>广西政府采购云平台</w:t>
      </w:r>
      <w:r>
        <w:rPr>
          <w:rFonts w:hint="eastAsia" w:ascii="宋体" w:hAnsi="宋体" w:cs="宋体"/>
          <w:b/>
          <w:color w:val="000000" w:themeColor="text1"/>
          <w:lang w:bidi="ar"/>
          <w14:textFill>
            <w14:solidFill>
              <w14:schemeClr w14:val="tx1"/>
            </w14:solidFill>
          </w14:textFill>
        </w:rPr>
        <w:t>”提交电子版响应文件时，请填写参加远程开标活动经办人联系方式。</w:t>
      </w:r>
    </w:p>
    <w:p>
      <w:pPr>
        <w:widowControl/>
        <w:spacing w:line="360" w:lineRule="auto"/>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w:t>
      </w:r>
      <w:r>
        <w:rPr>
          <w:rFonts w:ascii="宋体" w:hAnsi="宋体" w:cs="宋体"/>
          <w:color w:val="000000" w:themeColor="text1"/>
          <w:lang w:bidi="ar"/>
          <w14:textFill>
            <w14:solidFill>
              <w14:schemeClr w14:val="tx1"/>
            </w14:solidFill>
          </w14:textFill>
        </w:rPr>
        <w:t>供应商应及时熟悉掌握电子标系统操作指南（见</w:t>
      </w:r>
      <w:r>
        <w:rPr>
          <w:rFonts w:hint="eastAsia" w:ascii="宋体" w:hAnsi="宋体" w:cs="宋体"/>
          <w:color w:val="000000" w:themeColor="text1"/>
          <w:lang w:eastAsia="zh-CN" w:bidi="ar"/>
          <w14:textFill>
            <w14:solidFill>
              <w14:schemeClr w14:val="tx1"/>
            </w14:solidFill>
          </w14:textFill>
        </w:rPr>
        <w:t>广西政府采购云平台</w:t>
      </w:r>
      <w:r>
        <w:rPr>
          <w:rFonts w:ascii="宋体" w:hAnsi="宋体" w:cs="宋体"/>
          <w:color w:val="000000" w:themeColor="text1"/>
          <w:lang w:bidi="ar"/>
          <w14:textFill>
            <w14:solidFill>
              <w14:schemeClr w14:val="tx1"/>
            </w14:solidFill>
          </w14:textFill>
        </w:rPr>
        <w:t>电子卖场首页右上角—服务中心—帮助文档—项目采购）：</w:t>
      </w:r>
      <w:r>
        <w:fldChar w:fldCharType="begin"/>
      </w:r>
      <w:r>
        <w:instrText xml:space="preserve"> HYPERLINK "https://service.zcygov.cn/#/knowledges/tree?tag=AG1DtGwBFdiHxlNdhY0r" </w:instrText>
      </w:r>
      <w:r>
        <w:fldChar w:fldCharType="separate"/>
      </w:r>
      <w:r>
        <w:rPr>
          <w:color w:val="000000" w:themeColor="text1"/>
          <w:lang w:bidi="ar"/>
          <w14:textFill>
            <w14:solidFill>
              <w14:schemeClr w14:val="tx1"/>
            </w14:solidFill>
          </w14:textFill>
        </w:rPr>
        <w:t>https://service.zcygov.cn/#/knowledges/tree?tag=AG1DtGwBFdiHxlNdhY0r</w:t>
      </w:r>
      <w:r>
        <w:rPr>
          <w:color w:val="000000" w:themeColor="text1"/>
          <w:lang w:bidi="ar"/>
          <w14:textFill>
            <w14:solidFill>
              <w14:schemeClr w14:val="tx1"/>
            </w14:solidFill>
          </w14:textFill>
        </w:rPr>
        <w:fldChar w:fldCharType="end"/>
      </w:r>
      <w:r>
        <w:rPr>
          <w:rFonts w:hint="eastAsia" w:ascii="宋体" w:hAnsi="宋体" w:cs="宋体"/>
          <w:color w:val="000000" w:themeColor="text1"/>
          <w:lang w:bidi="ar"/>
          <w14:textFill>
            <w14:solidFill>
              <w14:schemeClr w14:val="tx1"/>
            </w14:solidFill>
          </w14:textFill>
        </w:rPr>
        <w:t>；</w:t>
      </w:r>
      <w:r>
        <w:rPr>
          <w:rFonts w:ascii="宋体" w:hAnsi="宋体" w:cs="宋体"/>
          <w:color w:val="000000" w:themeColor="text1"/>
          <w:lang w:bidi="ar"/>
          <w14:textFill>
            <w14:solidFill>
              <w14:schemeClr w14:val="tx1"/>
            </w14:solidFill>
          </w14:textFill>
        </w:rPr>
        <w:t>及时完成CA申领和绑定（见广西壮族自治区政府采购网—办事服务—下载专区-</w:t>
      </w:r>
      <w:r>
        <w:rPr>
          <w:rFonts w:hint="eastAsia" w:ascii="宋体" w:hAnsi="宋体" w:cs="宋体"/>
          <w:color w:val="000000" w:themeColor="text1"/>
          <w:lang w:eastAsia="zh-CN" w:bidi="ar"/>
          <w14:textFill>
            <w14:solidFill>
              <w14:schemeClr w14:val="tx1"/>
            </w14:solidFill>
          </w14:textFill>
        </w:rPr>
        <w:t>广西政府采购云平台</w:t>
      </w:r>
      <w:r>
        <w:rPr>
          <w:rFonts w:ascii="宋体" w:hAnsi="宋体" w:cs="宋体"/>
          <w:color w:val="000000" w:themeColor="text1"/>
          <w:lang w:bidi="ar"/>
          <w14:textFill>
            <w14:solidFill>
              <w14:schemeClr w14:val="tx1"/>
            </w14:solidFill>
          </w14:textFill>
        </w:rPr>
        <w:t>CA证书办理操作指南）。</w:t>
      </w:r>
    </w:p>
    <w:p>
      <w:pPr>
        <w:widowControl/>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（3）未进行网上注册并办理数字证书（CA认证）的供应商将无法参与本项目政府采购活动，潜在供应商应当在</w:t>
      </w:r>
      <w:r>
        <w:rPr>
          <w:rFonts w:hint="eastAsia" w:ascii="宋体" w:hAnsi="宋体" w:cs="宋体"/>
          <w:color w:val="000000" w:themeColor="text1"/>
          <w14:textFill>
            <w14:solidFill>
              <w14:schemeClr w14:val="tx1"/>
            </w14:solidFill>
          </w14:textFill>
        </w:rPr>
        <w:t>首次响应文件提交截止时间</w:t>
      </w:r>
      <w:r>
        <w:rPr>
          <w:rFonts w:hint="eastAsia" w:ascii="宋体" w:hAnsi="宋体" w:cs="宋体"/>
          <w:color w:val="000000" w:themeColor="text1"/>
          <w:lang w:bidi="ar"/>
          <w14:textFill>
            <w14:solidFill>
              <w14:schemeClr w14:val="tx1"/>
            </w14:solidFill>
          </w14:textFill>
        </w:rPr>
        <w:t>前，完成电子交易平台上的CA数字证书办理及响应文件的提交。完成CA数字证书办理预计7日左右，供应商只需办理其中一家CA数字证书及签章，建议各供应商抓紧时间办理。</w:t>
      </w:r>
    </w:p>
    <w:p>
      <w:pPr>
        <w:widowControl/>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（4）为确保网上操作合法、有效和安全，请供应商确保在电子竞标过程中能够对相关数据电文进行加密和使用电子签章，妥善保管CA数字证书并使用有效的CA数字证书参与整个采购活动。</w:t>
      </w:r>
    </w:p>
    <w:p>
      <w:pPr>
        <w:spacing w:line="360" w:lineRule="auto"/>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bidi="ar"/>
          <w14:textFill>
            <w14:solidFill>
              <w14:schemeClr w14:val="tx1"/>
            </w14:solidFill>
          </w14:textFill>
        </w:rPr>
        <w:t>注：供应商应当在首次响应文件提交截止时间前完成电子响应文件的上传、递交，</w:t>
      </w:r>
      <w:r>
        <w:rPr>
          <w:rFonts w:hint="eastAsia" w:ascii="宋体" w:hAnsi="宋体" w:cs="宋体"/>
          <w:b/>
          <w:color w:val="000000" w:themeColor="text1"/>
          <w14:textFill>
            <w14:solidFill>
              <w14:schemeClr w14:val="tx1"/>
            </w14:solidFill>
          </w14:textFill>
        </w:rPr>
        <w:t>首次响应文件提交截止时间</w:t>
      </w:r>
      <w:r>
        <w:rPr>
          <w:rFonts w:hint="eastAsia" w:ascii="宋体" w:hAnsi="宋体" w:cs="宋体"/>
          <w:b/>
          <w:bCs/>
          <w:color w:val="000000" w:themeColor="text1"/>
          <w:lang w:bidi="ar"/>
          <w14:textFill>
            <w14:solidFill>
              <w14:schemeClr w14:val="tx1"/>
            </w14:solidFill>
          </w14:textFill>
        </w:rPr>
        <w:t>前可以补充、修改或者撤回响应文件。补充或者修改响应文件的，应当先行撤回原文件，补充、修改后重新上传、递交。</w:t>
      </w:r>
      <w:r>
        <w:rPr>
          <w:rFonts w:hint="eastAsia" w:ascii="宋体" w:hAnsi="宋体" w:cs="宋体"/>
          <w:b/>
          <w:color w:val="000000" w:themeColor="text1"/>
          <w14:textFill>
            <w14:solidFill>
              <w14:schemeClr w14:val="tx1"/>
            </w14:solidFill>
          </w14:textFill>
        </w:rPr>
        <w:t>首次响应文件提交截止时间</w:t>
      </w:r>
      <w:r>
        <w:rPr>
          <w:rFonts w:hint="eastAsia" w:ascii="宋体" w:hAnsi="宋体" w:cs="宋体"/>
          <w:b/>
          <w:bCs/>
          <w:color w:val="000000" w:themeColor="text1"/>
          <w:lang w:bidi="ar"/>
          <w14:textFill>
            <w14:solidFill>
              <w14:schemeClr w14:val="tx1"/>
            </w14:solidFill>
          </w14:textFill>
        </w:rPr>
        <w:t>前未完成上传、递交的，视为撤回响应文件。</w:t>
      </w:r>
      <w:r>
        <w:rPr>
          <w:rFonts w:hint="eastAsia" w:ascii="宋体" w:hAnsi="宋体" w:cs="宋体"/>
          <w:b/>
          <w:color w:val="000000" w:themeColor="text1"/>
          <w14:textFill>
            <w14:solidFill>
              <w14:schemeClr w14:val="tx1"/>
            </w14:solidFill>
          </w14:textFill>
        </w:rPr>
        <w:t>首次响应文件提交截止时间</w:t>
      </w:r>
      <w:r>
        <w:rPr>
          <w:rFonts w:hint="eastAsia" w:ascii="宋体" w:hAnsi="宋体" w:cs="宋体"/>
          <w:b/>
          <w:bCs/>
          <w:color w:val="000000" w:themeColor="text1"/>
          <w:lang w:bidi="ar"/>
          <w14:textFill>
            <w14:solidFill>
              <w14:schemeClr w14:val="tx1"/>
            </w14:solidFill>
          </w14:textFill>
        </w:rPr>
        <w:t>以后上传递交的响应文件，“</w:t>
      </w:r>
      <w:r>
        <w:rPr>
          <w:rFonts w:hint="eastAsia" w:ascii="宋体" w:hAnsi="宋体" w:cs="宋体"/>
          <w:b/>
          <w:bCs/>
          <w:color w:val="000000" w:themeColor="text1"/>
          <w:lang w:eastAsia="zh-CN" w:bidi="ar"/>
          <w14:textFill>
            <w14:solidFill>
              <w14:schemeClr w14:val="tx1"/>
            </w14:solidFill>
          </w14:textFill>
        </w:rPr>
        <w:t>广西政府采购云平台</w:t>
      </w:r>
      <w:r>
        <w:rPr>
          <w:rFonts w:hint="eastAsia" w:ascii="宋体" w:hAnsi="宋体" w:cs="宋体"/>
          <w:b/>
          <w:bCs/>
          <w:color w:val="000000" w:themeColor="text1"/>
          <w:lang w:bidi="ar"/>
          <w14:textFill>
            <w14:solidFill>
              <w14:schemeClr w14:val="tx1"/>
            </w14:solidFill>
          </w14:textFill>
        </w:rPr>
        <w:t>”平台将予以拒收。</w:t>
      </w:r>
    </w:p>
    <w:p>
      <w:pPr>
        <w:widowControl/>
        <w:spacing w:line="360" w:lineRule="auto"/>
        <w:ind w:firstLine="42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6.</w:t>
      </w:r>
      <w:r>
        <w:rPr>
          <w:rFonts w:hint="eastAsia" w:ascii="宋体" w:hAnsi="宋体" w:cs="宋体"/>
          <w:color w:val="000000" w:themeColor="text1"/>
          <w:lang w:bidi="ar"/>
          <w14:textFill>
            <w14:solidFill>
              <w14:schemeClr w14:val="tx1"/>
            </w14:solidFill>
          </w14:textFill>
        </w:rPr>
        <w:t>CA证书在线解密：首次响应文件开启时，须要供应商携带制作响应文件时用来加密的有效数字证书（CA认证）登录“</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”平台电子开标大厅现场按规定时间对加密的响应文件进行解密，否则后果自负。</w:t>
      </w:r>
    </w:p>
    <w:p>
      <w:pPr>
        <w:widowControl/>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lang w:bidi="ar"/>
          <w14:textFill>
            <w14:solidFill>
              <w14:schemeClr w14:val="tx1"/>
            </w14:solidFill>
          </w14:textFill>
        </w:rPr>
        <w:t>7.供应商需要在具备有摄像头及语音功能且互联网网络状况良好的电脑登录“</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”远程开标大厅参与本次磋商，否则后果自负。</w:t>
      </w:r>
    </w:p>
    <w:p>
      <w:pPr>
        <w:widowControl/>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lang w:bidi="ar"/>
          <w14:textFill>
            <w14:solidFill>
              <w14:schemeClr w14:val="tx1"/>
            </w14:solidFill>
          </w14:textFill>
        </w:rPr>
        <w:t>8.若对项目采购电子交易系统操作有疑问，可登录“</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”（https://www.zcygov.cn/），点击右侧咨询小采，获取采小蜜智能服务管家帮助，或拨打</w:t>
      </w:r>
      <w:r>
        <w:rPr>
          <w:rFonts w:hint="eastAsia" w:ascii="宋体" w:hAnsi="宋体" w:cs="宋体"/>
          <w:color w:val="000000" w:themeColor="text1"/>
          <w:lang w:eastAsia="zh-CN" w:bidi="ar"/>
          <w14:textFill>
            <w14:solidFill>
              <w14:schemeClr w14:val="tx1"/>
            </w14:solidFill>
          </w14:textFill>
        </w:rPr>
        <w:t>广西政府采购云平台</w:t>
      </w:r>
      <w:r>
        <w:rPr>
          <w:rFonts w:hint="eastAsia" w:ascii="宋体" w:hAnsi="宋体" w:cs="宋体"/>
          <w:color w:val="000000" w:themeColor="text1"/>
          <w:lang w:bidi="ar"/>
          <w14:textFill>
            <w14:solidFill>
              <w14:schemeClr w14:val="tx1"/>
            </w14:solidFill>
          </w14:textFill>
        </w:rPr>
        <w:t>服务热线400-881-7190获取热线服务帮助。</w:t>
      </w:r>
    </w:p>
    <w:p>
      <w:pPr>
        <w:spacing w:line="360" w:lineRule="auto"/>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八、凡对本次采购提出询问，请按</w:t>
      </w:r>
      <w:r>
        <w:rPr>
          <w:rFonts w:ascii="黑体" w:hAnsi="黑体" w:eastAsia="黑体"/>
          <w:b/>
          <w:color w:val="000000" w:themeColor="text1"/>
          <w:sz w:val="24"/>
          <w14:textFill>
            <w14:solidFill>
              <w14:schemeClr w14:val="tx1"/>
            </w14:solidFill>
          </w14:textFill>
        </w:rPr>
        <w:t>以下方式</w:t>
      </w:r>
      <w:r>
        <w:rPr>
          <w:rFonts w:hint="eastAsia" w:ascii="黑体" w:hAnsi="黑体" w:eastAsia="黑体"/>
          <w:b/>
          <w:color w:val="000000" w:themeColor="text1"/>
          <w:sz w:val="24"/>
          <w14:textFill>
            <w14:solidFill>
              <w14:schemeClr w14:val="tx1"/>
            </w14:solidFill>
          </w14:textFill>
        </w:rPr>
        <w:t>联系。</w:t>
      </w:r>
    </w:p>
    <w:p>
      <w:pPr>
        <w:spacing w:line="360" w:lineRule="auto"/>
        <w:ind w:firstLine="567" w:firstLineChars="270"/>
        <w:jc w:val="left"/>
        <w:rPr>
          <w:rFonts w:ascii="宋体" w:hAnsi="宋体" w:cs="宋体"/>
          <w:color w:val="000000" w:themeColor="text1"/>
          <w14:textFill>
            <w14:solidFill>
              <w14:schemeClr w14:val="tx1"/>
            </w14:solidFill>
          </w14:textFill>
        </w:rPr>
      </w:pPr>
      <w:bookmarkStart w:id="10" w:name="_Toc28359019"/>
      <w:bookmarkStart w:id="11" w:name="_Toc28359096"/>
      <w:bookmarkStart w:id="12" w:name="_Toc35393806"/>
      <w:bookmarkStart w:id="13" w:name="_Toc35393637"/>
      <w:r>
        <w:rPr>
          <w:rFonts w:hint="eastAsia" w:ascii="宋体" w:hAnsi="宋体" w:cs="宋体"/>
          <w:color w:val="000000" w:themeColor="text1"/>
          <w14:textFill>
            <w14:solidFill>
              <w14:schemeClr w14:val="tx1"/>
            </w14:solidFill>
          </w14:textFill>
        </w:rPr>
        <w:t>1.采购人信息</w:t>
      </w:r>
    </w:p>
    <w:p>
      <w:pPr>
        <w:spacing w:line="360" w:lineRule="auto"/>
        <w:ind w:firstLine="567" w:firstLineChars="27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 称：</w:t>
      </w:r>
      <w:r>
        <w:rPr>
          <w:rFonts w:hint="eastAsia" w:ascii="宋体" w:hAnsi="宋体" w:cs="Arial"/>
          <w:color w:val="000000" w:themeColor="text1"/>
          <w14:textFill>
            <w14:solidFill>
              <w14:schemeClr w14:val="tx1"/>
            </w14:solidFill>
          </w14:textFill>
        </w:rPr>
        <w:t>钦州市钦北区水利局</w:t>
      </w:r>
    </w:p>
    <w:p>
      <w:pPr>
        <w:spacing w:line="360" w:lineRule="auto"/>
        <w:ind w:firstLine="567" w:firstLineChars="270"/>
        <w:jc w:val="left"/>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hint="eastAsia" w:ascii="宋体" w:hAnsi="宋体" w:cs="宋体"/>
          <w:color w:val="000000" w:themeColor="text1"/>
          <w14:textFill>
            <w14:solidFill>
              <w14:schemeClr w14:val="tx1"/>
            </w14:solidFill>
          </w14:textFill>
        </w:rPr>
        <w:t xml:space="preserve">钦州市钦北区行政中心斜对面  </w:t>
      </w:r>
    </w:p>
    <w:p>
      <w:pPr>
        <w:spacing w:line="360" w:lineRule="auto"/>
        <w:ind w:firstLine="567" w:firstLineChars="27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联系方式：陈工     0777- 3685638　　　　　　　　 </w:t>
      </w:r>
      <w:bookmarkStart w:id="14" w:name="_Toc28359086"/>
      <w:bookmarkStart w:id="15" w:name="_Toc28359009"/>
    </w:p>
    <w:p>
      <w:pPr>
        <w:spacing w:line="360" w:lineRule="auto"/>
        <w:ind w:firstLine="567" w:firstLineChars="270"/>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2.采购代理机构信息</w:t>
      </w:r>
      <w:bookmarkEnd w:id="14"/>
      <w:bookmarkEnd w:id="15"/>
    </w:p>
    <w:p>
      <w:pPr>
        <w:spacing w:line="360" w:lineRule="auto"/>
        <w:ind w:firstLine="567" w:firstLineChars="27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 称：</w:t>
      </w:r>
      <w:r>
        <w:rPr>
          <w:rFonts w:hint="eastAsia" w:ascii="宋体" w:hAnsi="宋体" w:cs="Arial"/>
          <w:color w:val="000000" w:themeColor="text1"/>
          <w14:textFill>
            <w14:solidFill>
              <w14:schemeClr w14:val="tx1"/>
            </w14:solidFill>
          </w14:textFill>
        </w:rPr>
        <w:t>广西乾诚工程咨询有限公司</w:t>
      </w:r>
    </w:p>
    <w:p>
      <w:pPr>
        <w:spacing w:line="360" w:lineRule="auto"/>
        <w:ind w:firstLine="567" w:firstLineChars="27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w:t>
      </w:r>
      <w:r>
        <w:rPr>
          <w:rFonts w:hint="eastAsia" w:ascii="宋体" w:hAnsi="宋体" w:cs="Arial"/>
          <w:color w:val="000000" w:themeColor="text1"/>
          <w14:textFill>
            <w14:solidFill>
              <w14:schemeClr w14:val="tx1"/>
            </w14:solidFill>
          </w14:textFill>
        </w:rPr>
        <w:t>钦州市钦北区下勒路（大众牛杂后面）广西乾诚工程咨询有限公司</w:t>
      </w:r>
    </w:p>
    <w:p>
      <w:pPr>
        <w:spacing w:line="360" w:lineRule="auto"/>
        <w:ind w:firstLine="567" w:firstLineChars="27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联系方式：</w:t>
      </w:r>
      <w:bookmarkStart w:id="16" w:name="_Toc28359010"/>
      <w:bookmarkStart w:id="17" w:name="_Toc28359087"/>
      <w:r>
        <w:rPr>
          <w:rFonts w:hint="eastAsia" w:ascii="宋体" w:hAnsi="宋体"/>
          <w:color w:val="000000" w:themeColor="text1"/>
          <w14:textFill>
            <w14:solidFill>
              <w14:schemeClr w14:val="tx1"/>
            </w14:solidFill>
          </w14:textFill>
        </w:rPr>
        <w:t>袁芳艳 ，0777-3666789</w:t>
      </w:r>
    </w:p>
    <w:p>
      <w:pPr>
        <w:spacing w:line="360" w:lineRule="auto"/>
        <w:ind w:firstLine="567" w:firstLineChars="270"/>
        <w:rPr>
          <w:rFonts w:ascii="宋体" w:hAns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3.项目</w:t>
      </w:r>
      <w:r>
        <w:rPr>
          <w:rFonts w:ascii="宋体" w:hAnsi="宋体" w:cs="宋体"/>
          <w:color w:val="000000" w:themeColor="text1"/>
          <w14:textFill>
            <w14:solidFill>
              <w14:schemeClr w14:val="tx1"/>
            </w14:solidFill>
          </w14:textFill>
        </w:rPr>
        <w:t>联系方式</w:t>
      </w:r>
      <w:bookmarkEnd w:id="16"/>
      <w:bookmarkEnd w:id="17"/>
    </w:p>
    <w:p>
      <w:pPr>
        <w:pStyle w:val="23"/>
        <w:spacing w:line="360" w:lineRule="auto"/>
        <w:ind w:firstLine="567" w:firstLineChars="27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项目联系人：袁芳艳 </w:t>
      </w:r>
    </w:p>
    <w:p>
      <w:pPr>
        <w:spacing w:line="360" w:lineRule="auto"/>
        <w:ind w:firstLine="567" w:firstLineChars="27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　话：0777-3666789</w:t>
      </w:r>
    </w:p>
    <w:p>
      <w:pPr>
        <w:spacing w:line="380" w:lineRule="exact"/>
        <w:ind w:firstLine="6195" w:firstLineChars="2950"/>
        <w:rPr>
          <w:rFonts w:ascii="宋体" w:hAnsi="宋体" w:cs="Arial"/>
          <w:color w:val="000000" w:themeColor="text1"/>
          <w14:textFill>
            <w14:solidFill>
              <w14:schemeClr w14:val="tx1"/>
            </w14:solidFill>
          </w14:textFill>
        </w:rPr>
      </w:pPr>
    </w:p>
    <w:p>
      <w:pPr>
        <w:snapToGrid w:val="0"/>
        <w:spacing w:line="380" w:lineRule="exact"/>
        <w:ind w:left="238"/>
        <w:jc w:val="righ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广西乾诚工程咨询有限公司</w:t>
      </w:r>
      <w:r>
        <w:rPr>
          <w:rFonts w:hint="eastAsia" w:ascii="宋体" w:hAnsi="宋体"/>
          <w:color w:val="000000" w:themeColor="text1"/>
          <w14:textFill>
            <w14:solidFill>
              <w14:schemeClr w14:val="tx1"/>
            </w14:solidFill>
          </w14:textFill>
        </w:rPr>
        <w:t xml:space="preserve">                                                 </w:t>
      </w:r>
    </w:p>
    <w:p>
      <w:pPr>
        <w:snapToGrid w:val="0"/>
        <w:spacing w:line="380" w:lineRule="exact"/>
        <w:ind w:left="238"/>
        <w:jc w:val="righ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202</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 xml:space="preserve">年 </w:t>
      </w:r>
      <w:r>
        <w:rPr>
          <w:rFonts w:hint="eastAsia" w:ascii="宋体" w:hAnsi="宋体"/>
          <w:color w:val="000000" w:themeColor="text1"/>
          <w:lang w:val="en-US" w:eastAsia="zh-CN"/>
          <w14:textFill>
            <w14:solidFill>
              <w14:schemeClr w14:val="tx1"/>
            </w14:solidFill>
          </w14:textFill>
        </w:rPr>
        <w:t xml:space="preserve">4 </w:t>
      </w:r>
      <w:r>
        <w:rPr>
          <w:rFonts w:hint="eastAsia" w:ascii="宋体" w:hAnsi="宋体"/>
          <w:color w:val="000000" w:themeColor="text1"/>
          <w14:textFill>
            <w14:solidFill>
              <w14:schemeClr w14:val="tx1"/>
            </w14:solidFill>
          </w14:textFill>
        </w:rPr>
        <w:t xml:space="preserve">月  </w:t>
      </w:r>
      <w:r>
        <w:rPr>
          <w:rFonts w:hint="eastAsia" w:ascii="宋体" w:hAnsi="宋体"/>
          <w:color w:val="000000" w:themeColor="text1"/>
          <w:lang w:val="en-US" w:eastAsia="zh-CN"/>
          <w14:textFill>
            <w14:solidFill>
              <w14:schemeClr w14:val="tx1"/>
            </w14:solidFill>
          </w14:textFill>
        </w:rPr>
        <w:t xml:space="preserve">7 </w:t>
      </w:r>
      <w:r>
        <w:rPr>
          <w:rFonts w:hint="eastAsia" w:ascii="宋体" w:hAnsi="宋体"/>
          <w:color w:val="000000" w:themeColor="text1"/>
          <w14:textFill>
            <w14:solidFill>
              <w14:schemeClr w14:val="tx1"/>
            </w14:solidFill>
          </w14:textFill>
        </w:rPr>
        <w:t xml:space="preserve"> 日</w:t>
      </w:r>
      <w:bookmarkEnd w:id="10"/>
      <w:bookmarkEnd w:id="11"/>
      <w:bookmarkEnd w:id="12"/>
      <w:bookmarkEnd w:id="13"/>
    </w:p>
    <w:bookmarkEnd w:id="5"/>
    <w:bookmarkEnd w:id="6"/>
    <w:bookmarkEnd w:id="7"/>
    <w:bookmarkEnd w:id="8"/>
    <w:p>
      <w:pPr>
        <w:pStyle w:val="39"/>
        <w:rPr>
          <w:rFonts w:ascii="宋体" w:hAnsi="宋体" w:cs="宋体"/>
          <w:color w:val="000000" w:themeColor="text1"/>
          <w:sz w:val="28"/>
          <w:szCs w:val="28"/>
          <w14:textFill>
            <w14:solidFill>
              <w14:schemeClr w14:val="tx1"/>
            </w14:solidFill>
          </w14:textFill>
        </w:rPr>
      </w:pPr>
      <w:r>
        <w:rPr>
          <w:rFonts w:hint="eastAsia" w:ascii="宋体" w:hAnsi="宋体" w:cs="宋体"/>
          <w:b w:val="0"/>
          <w:color w:val="000000" w:themeColor="text1"/>
          <w:kern w:val="2"/>
          <w:sz w:val="21"/>
          <w:szCs w:val="21"/>
          <w14:textFill>
            <w14:solidFill>
              <w14:schemeClr w14:val="tx1"/>
            </w14:solidFill>
          </w14:textFill>
        </w:rPr>
        <w:br w:type="page"/>
      </w:r>
      <w:bookmarkEnd w:id="9"/>
      <w:r>
        <w:rPr>
          <w:rFonts w:hint="eastAsia" w:ascii="宋体" w:hAnsi="宋体" w:cs="宋体"/>
          <w:color w:val="000000" w:themeColor="text1"/>
          <w:sz w:val="28"/>
          <w:szCs w:val="28"/>
          <w14:textFill>
            <w14:solidFill>
              <w14:schemeClr w14:val="tx1"/>
            </w14:solidFill>
          </w14:textFill>
        </w:rPr>
        <w:t>第二章  磋商须知及前附表</w:t>
      </w:r>
      <w:bookmarkEnd w:id="4"/>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磋商须知前附表</w:t>
      </w:r>
    </w:p>
    <w:tbl>
      <w:tblPr>
        <w:tblStyle w:val="42"/>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Pr>
          <w:p>
            <w:pPr>
              <w:spacing w:line="360" w:lineRule="exact"/>
              <w:jc w:val="center"/>
              <w:rPr>
                <w:rFonts w:ascii="宋体" w:hAnsi="宋体" w:cs="宋体"/>
                <w:color w:val="auto"/>
                <w:spacing w:val="2"/>
              </w:rPr>
            </w:pPr>
            <w:r>
              <w:rPr>
                <w:rFonts w:hint="eastAsia" w:ascii="宋体" w:hAnsi="宋体" w:cs="宋体"/>
                <w:color w:val="auto"/>
                <w:spacing w:val="2"/>
              </w:rPr>
              <w:t>项号</w:t>
            </w:r>
          </w:p>
        </w:tc>
        <w:tc>
          <w:tcPr>
            <w:tcW w:w="850" w:type="dxa"/>
          </w:tcPr>
          <w:p>
            <w:pPr>
              <w:spacing w:line="360" w:lineRule="exact"/>
              <w:jc w:val="center"/>
              <w:rPr>
                <w:rFonts w:ascii="宋体" w:hAnsi="宋体" w:cs="宋体"/>
                <w:color w:val="auto"/>
                <w:spacing w:val="2"/>
              </w:rPr>
            </w:pPr>
            <w:r>
              <w:rPr>
                <w:rFonts w:hint="eastAsia" w:ascii="宋体" w:hAnsi="宋体" w:cs="宋体"/>
                <w:color w:val="auto"/>
                <w:spacing w:val="2"/>
              </w:rPr>
              <w:t>条款号</w:t>
            </w:r>
          </w:p>
        </w:tc>
        <w:tc>
          <w:tcPr>
            <w:tcW w:w="8225" w:type="dxa"/>
          </w:tcPr>
          <w:p>
            <w:pPr>
              <w:spacing w:line="360" w:lineRule="exact"/>
              <w:jc w:val="center"/>
              <w:rPr>
                <w:rFonts w:ascii="宋体" w:hAnsi="宋体" w:cs="宋体"/>
                <w:color w:val="auto"/>
                <w:spacing w:val="2"/>
              </w:rPr>
            </w:pPr>
            <w:r>
              <w:rPr>
                <w:rFonts w:hint="eastAsia" w:ascii="宋体" w:hAnsi="宋体" w:cs="宋体"/>
                <w:color w:val="auto"/>
                <w:spacing w:val="2"/>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1</w:t>
            </w:r>
          </w:p>
        </w:tc>
        <w:tc>
          <w:tcPr>
            <w:tcW w:w="85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1.1</w:t>
            </w:r>
          </w:p>
        </w:tc>
        <w:tc>
          <w:tcPr>
            <w:tcW w:w="8225" w:type="dxa"/>
            <w:vAlign w:val="center"/>
          </w:tcPr>
          <w:p>
            <w:pPr>
              <w:spacing w:line="360" w:lineRule="exact"/>
              <w:rPr>
                <w:rFonts w:ascii="宋体" w:hAnsi="宋体" w:cs="宋体"/>
                <w:b/>
                <w:color w:val="auto"/>
                <w:spacing w:val="2"/>
              </w:rPr>
            </w:pPr>
            <w:r>
              <w:rPr>
                <w:rFonts w:hint="eastAsia" w:ascii="宋体" w:hAnsi="宋体" w:cs="宋体"/>
                <w:b/>
                <w:color w:val="auto"/>
                <w:spacing w:val="2"/>
              </w:rPr>
              <w:t>工程综合说明：</w:t>
            </w:r>
          </w:p>
          <w:p>
            <w:pPr>
              <w:spacing w:line="360" w:lineRule="exact"/>
              <w:rPr>
                <w:rFonts w:hint="eastAsia" w:ascii="宋体" w:hAnsi="宋体" w:eastAsia="宋体" w:cs="宋体"/>
                <w:color w:val="auto"/>
                <w:spacing w:val="2"/>
                <w:lang w:eastAsia="zh-CN"/>
              </w:rPr>
            </w:pPr>
            <w:r>
              <w:rPr>
                <w:rFonts w:hint="eastAsia" w:ascii="宋体" w:hAnsi="宋体" w:cs="宋体"/>
                <w:b/>
                <w:color w:val="auto"/>
                <w:spacing w:val="2"/>
              </w:rPr>
              <w:t>项目名称：</w:t>
            </w:r>
            <w:r>
              <w:rPr>
                <w:rFonts w:hint="eastAsia" w:ascii="宋体" w:hAnsi="宋体" w:cs="宋体"/>
                <w:color w:val="auto"/>
                <w:spacing w:val="2"/>
                <w:lang w:eastAsia="zh-CN"/>
              </w:rPr>
              <w:t>钦州市钦北区2024年农村人饮供水保障工程-土建（Ⅰ标）</w:t>
            </w:r>
          </w:p>
          <w:p>
            <w:pPr>
              <w:spacing w:line="360" w:lineRule="exact"/>
              <w:rPr>
                <w:rFonts w:hint="eastAsia" w:ascii="宋体" w:hAnsi="宋体" w:eastAsia="宋体" w:cs="宋体"/>
                <w:color w:val="auto"/>
                <w:spacing w:val="2"/>
                <w:lang w:eastAsia="zh-CN"/>
              </w:rPr>
            </w:pPr>
            <w:r>
              <w:rPr>
                <w:rFonts w:hint="eastAsia" w:ascii="宋体" w:hAnsi="宋体" w:cs="宋体"/>
                <w:b/>
                <w:color w:val="auto"/>
                <w:spacing w:val="2"/>
              </w:rPr>
              <w:t>项目编号：</w:t>
            </w:r>
            <w:r>
              <w:rPr>
                <w:rFonts w:hint="eastAsia" w:ascii="宋体" w:hAnsi="宋体" w:cs="宋体"/>
                <w:b/>
                <w:color w:val="auto"/>
                <w:spacing w:val="2"/>
                <w:lang w:eastAsia="zh-CN"/>
              </w:rPr>
              <w:t>QZZC2024-C2-030172-GXQC</w:t>
            </w:r>
          </w:p>
          <w:p>
            <w:pPr>
              <w:spacing w:line="360" w:lineRule="exact"/>
              <w:rPr>
                <w:rFonts w:ascii="宋体" w:hAnsi="宋体" w:cs="宋体"/>
                <w:color w:val="auto"/>
                <w:spacing w:val="2"/>
              </w:rPr>
            </w:pPr>
            <w:r>
              <w:rPr>
                <w:rFonts w:hint="eastAsia" w:ascii="宋体" w:hAnsi="宋体" w:cs="宋体"/>
                <w:b/>
                <w:color w:val="auto"/>
                <w:spacing w:val="2"/>
              </w:rPr>
              <w:t>标段划分</w:t>
            </w:r>
            <w:r>
              <w:rPr>
                <w:rFonts w:hint="eastAsia" w:ascii="宋体" w:hAnsi="宋体" w:cs="宋体"/>
                <w:color w:val="auto"/>
                <w:spacing w:val="2"/>
              </w:rPr>
              <w:t>：本项目划分为一个标段，</w:t>
            </w:r>
            <w:r>
              <w:rPr>
                <w:rFonts w:hint="eastAsia" w:ascii="宋体" w:hAnsi="宋体" w:cs="宋体"/>
                <w:color w:val="auto"/>
                <w:lang w:eastAsia="zh-CN"/>
              </w:rPr>
              <w:t>钦州市钦北区2024年农村人饮供水保障工程-土建（Ⅰ标）</w:t>
            </w:r>
            <w:r>
              <w:rPr>
                <w:rFonts w:hint="eastAsia" w:ascii="宋体" w:hAnsi="宋体" w:cs="宋体"/>
                <w:color w:val="auto"/>
              </w:rPr>
              <w:t>。</w:t>
            </w:r>
          </w:p>
          <w:p>
            <w:pPr>
              <w:pStyle w:val="170"/>
              <w:spacing w:line="360" w:lineRule="exact"/>
              <w:rPr>
                <w:rFonts w:hAnsi="宋体" w:cs="宋体"/>
                <w:color w:val="auto"/>
                <w:szCs w:val="21"/>
              </w:rPr>
            </w:pPr>
            <w:r>
              <w:rPr>
                <w:rFonts w:hint="eastAsia" w:hAnsi="宋体" w:cs="宋体"/>
                <w:b/>
                <w:color w:val="auto"/>
                <w:szCs w:val="21"/>
              </w:rPr>
              <w:t>建设单位：</w:t>
            </w:r>
            <w:r>
              <w:rPr>
                <w:rFonts w:hint="eastAsia" w:hAnsi="宋体" w:cs="宋体"/>
                <w:color w:val="auto"/>
                <w:szCs w:val="21"/>
              </w:rPr>
              <w:t>钦州市钦北区水利局</w:t>
            </w:r>
            <w:r>
              <w:rPr>
                <w:rFonts w:hint="eastAsia" w:hAnsi="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2</w:t>
            </w:r>
          </w:p>
        </w:tc>
        <w:tc>
          <w:tcPr>
            <w:tcW w:w="85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1.2</w:t>
            </w:r>
          </w:p>
        </w:tc>
        <w:tc>
          <w:tcPr>
            <w:tcW w:w="8225" w:type="dxa"/>
            <w:vAlign w:val="center"/>
          </w:tcPr>
          <w:p>
            <w:pPr>
              <w:pStyle w:val="170"/>
              <w:spacing w:line="360" w:lineRule="exact"/>
              <w:rPr>
                <w:rFonts w:hint="eastAsia" w:hAnsi="宋体" w:eastAsia="宋体" w:cs="宋体"/>
                <w:color w:val="auto"/>
                <w:szCs w:val="21"/>
                <w:lang w:eastAsia="zh-CN"/>
              </w:rPr>
            </w:pPr>
            <w:r>
              <w:rPr>
                <w:rFonts w:hint="eastAsia" w:hAnsi="宋体" w:cs="宋体"/>
                <w:b/>
                <w:color w:val="auto"/>
                <w:szCs w:val="21"/>
              </w:rPr>
              <w:t>工程名称：</w:t>
            </w:r>
            <w:r>
              <w:rPr>
                <w:rFonts w:hint="eastAsia" w:hAnsi="宋体" w:cs="宋体"/>
                <w:color w:val="auto"/>
                <w:szCs w:val="21"/>
                <w:lang w:eastAsia="zh-CN"/>
              </w:rPr>
              <w:t>钦州市钦北区2024年农村人饮供水保障工程-土建（Ⅰ标）</w:t>
            </w:r>
          </w:p>
          <w:p>
            <w:pPr>
              <w:spacing w:line="400" w:lineRule="exact"/>
              <w:rPr>
                <w:rFonts w:ascii="宋体" w:hAnsi="宋体" w:cs="宋体"/>
                <w:color w:val="auto"/>
                <w:highlight w:val="yellow"/>
                <w:u w:val="single"/>
              </w:rPr>
            </w:pPr>
            <w:r>
              <w:rPr>
                <w:rFonts w:hint="eastAsia" w:ascii="宋体" w:hAnsi="宋体" w:cs="宋体"/>
                <w:b/>
                <w:bCs/>
                <w:color w:val="auto"/>
              </w:rPr>
              <w:t>工程内容及规模：</w:t>
            </w:r>
            <w:r>
              <w:rPr>
                <w:rFonts w:hint="eastAsia" w:ascii="宋体" w:hAnsi="宋体" w:cs="宋体"/>
                <w:color w:val="auto"/>
                <w:spacing w:val="2"/>
              </w:rPr>
              <w:t>具体详见工程量清单文件及图纸。</w:t>
            </w:r>
          </w:p>
          <w:p>
            <w:pPr>
              <w:pStyle w:val="170"/>
              <w:spacing w:line="360" w:lineRule="exact"/>
              <w:rPr>
                <w:rFonts w:hAnsi="宋体" w:cs="宋体"/>
                <w:color w:val="auto"/>
                <w:spacing w:val="2"/>
                <w:szCs w:val="21"/>
              </w:rPr>
            </w:pPr>
            <w:r>
              <w:rPr>
                <w:rFonts w:hint="eastAsia" w:hAnsi="宋体" w:cs="宋体"/>
                <w:b/>
                <w:bCs/>
                <w:color w:val="auto"/>
                <w:szCs w:val="21"/>
              </w:rPr>
              <w:t>合同履行期限</w:t>
            </w:r>
            <w:r>
              <w:rPr>
                <w:rFonts w:hint="eastAsia" w:hAnsi="宋体" w:cs="宋体"/>
                <w:color w:val="auto"/>
                <w:szCs w:val="21"/>
              </w:rPr>
              <w:t>：</w:t>
            </w:r>
            <w:r>
              <w:rPr>
                <w:rFonts w:hint="eastAsia" w:hAnsi="宋体" w:cs="宋体"/>
                <w:color w:val="auto"/>
                <w:szCs w:val="21"/>
                <w:lang w:eastAsia="zh-CN"/>
              </w:rPr>
              <w:t>合同履行期限：自合同签订之日起至202</w:t>
            </w:r>
            <w:r>
              <w:rPr>
                <w:rFonts w:hint="eastAsia" w:hAnsi="宋体" w:cs="宋体"/>
                <w:color w:val="auto"/>
                <w:szCs w:val="21"/>
                <w:lang w:val="en-US" w:eastAsia="zh-CN"/>
              </w:rPr>
              <w:t>4</w:t>
            </w:r>
            <w:r>
              <w:rPr>
                <w:rFonts w:hint="eastAsia" w:hAnsi="宋体" w:cs="宋体"/>
                <w:color w:val="auto"/>
                <w:szCs w:val="21"/>
                <w:lang w:eastAsia="zh-CN"/>
              </w:rPr>
              <w:t>年</w:t>
            </w:r>
            <w:r>
              <w:rPr>
                <w:rFonts w:hint="eastAsia" w:hAnsi="宋体" w:cs="宋体"/>
                <w:color w:val="auto"/>
                <w:szCs w:val="21"/>
                <w:lang w:val="en-US" w:eastAsia="zh-CN"/>
              </w:rPr>
              <w:t>12</w:t>
            </w:r>
            <w:r>
              <w:rPr>
                <w:rFonts w:hint="eastAsia" w:hAnsi="宋体" w:cs="宋体"/>
                <w:color w:val="auto"/>
                <w:szCs w:val="21"/>
                <w:lang w:eastAsia="zh-CN"/>
              </w:rPr>
              <w:t>月</w:t>
            </w:r>
            <w:r>
              <w:rPr>
                <w:rFonts w:hint="eastAsia" w:hAnsi="宋体" w:cs="宋体"/>
                <w:color w:val="auto"/>
                <w:szCs w:val="21"/>
                <w:lang w:val="en-US" w:eastAsia="zh-CN"/>
              </w:rPr>
              <w:t>30</w:t>
            </w:r>
            <w:r>
              <w:rPr>
                <w:rFonts w:hint="eastAsia" w:hAnsi="宋体" w:cs="宋体"/>
                <w:color w:val="auto"/>
                <w:szCs w:val="21"/>
                <w:lang w:eastAsia="zh-CN"/>
              </w:rPr>
              <w:t>日，完成所有饮水保障项目的建设任务。</w:t>
            </w:r>
          </w:p>
          <w:p>
            <w:pPr>
              <w:pStyle w:val="170"/>
              <w:spacing w:line="360" w:lineRule="exact"/>
              <w:rPr>
                <w:rFonts w:hAnsi="宋体" w:cs="宋体"/>
                <w:color w:val="auto"/>
                <w:spacing w:val="2"/>
                <w:szCs w:val="21"/>
              </w:rPr>
            </w:pPr>
            <w:r>
              <w:rPr>
                <w:rFonts w:hint="eastAsia" w:hAnsi="宋体" w:cs="宋体"/>
                <w:color w:val="auto"/>
                <w:spacing w:val="2"/>
                <w:szCs w:val="21"/>
              </w:rPr>
              <w:t>质量标准：达到国家施工验收规范合格标准</w:t>
            </w:r>
          </w:p>
          <w:p>
            <w:pPr>
              <w:spacing w:line="360" w:lineRule="exact"/>
              <w:rPr>
                <w:rFonts w:ascii="宋体" w:hAnsi="宋体" w:cs="宋体"/>
                <w:color w:val="auto"/>
              </w:rPr>
            </w:pPr>
            <w:r>
              <w:rPr>
                <w:rFonts w:hint="eastAsia" w:ascii="宋体" w:hAnsi="宋体" w:cs="宋体"/>
                <w:b/>
                <w:bCs/>
                <w:color w:val="auto"/>
              </w:rPr>
              <w:t>竞标范围：</w:t>
            </w:r>
            <w:r>
              <w:rPr>
                <w:rFonts w:hint="eastAsia" w:ascii="宋体" w:hAnsi="宋体" w:cs="宋体"/>
                <w:color w:val="auto"/>
              </w:rPr>
              <w:t>工程量清单包含的所有施工建设内容。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3</w:t>
            </w:r>
          </w:p>
        </w:tc>
        <w:tc>
          <w:tcPr>
            <w:tcW w:w="85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2</w:t>
            </w:r>
          </w:p>
        </w:tc>
        <w:tc>
          <w:tcPr>
            <w:tcW w:w="8225" w:type="dxa"/>
            <w:vAlign w:val="center"/>
          </w:tcPr>
          <w:p>
            <w:pPr>
              <w:spacing w:line="360" w:lineRule="exact"/>
              <w:rPr>
                <w:rFonts w:ascii="宋体" w:hAnsi="宋体" w:cs="宋体"/>
                <w:color w:val="auto"/>
                <w:spacing w:val="2"/>
              </w:rPr>
            </w:pPr>
            <w:r>
              <w:rPr>
                <w:rFonts w:hint="eastAsia" w:ascii="宋体" w:hAnsi="宋体" w:cs="宋体"/>
                <w:color w:val="auto"/>
                <w:spacing w:val="2"/>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4</w:t>
            </w:r>
          </w:p>
        </w:tc>
        <w:tc>
          <w:tcPr>
            <w:tcW w:w="850" w:type="dxa"/>
            <w:vAlign w:val="center"/>
          </w:tcPr>
          <w:p>
            <w:pPr>
              <w:spacing w:line="360" w:lineRule="exact"/>
              <w:rPr>
                <w:rFonts w:ascii="宋体" w:hAnsi="宋体" w:cs="宋体"/>
                <w:color w:val="auto"/>
              </w:rPr>
            </w:pPr>
            <w:r>
              <w:rPr>
                <w:rFonts w:hint="eastAsia" w:ascii="宋体" w:hAnsi="宋体" w:cs="宋体"/>
                <w:color w:val="auto"/>
              </w:rPr>
              <w:t>3.1</w:t>
            </w:r>
          </w:p>
        </w:tc>
        <w:tc>
          <w:tcPr>
            <w:tcW w:w="8225" w:type="dxa"/>
            <w:vAlign w:val="center"/>
          </w:tcPr>
          <w:p>
            <w:pPr>
              <w:spacing w:line="360" w:lineRule="exact"/>
              <w:rPr>
                <w:rFonts w:ascii="宋体" w:hAnsi="宋体" w:cs="宋体"/>
                <w:b/>
                <w:bCs/>
                <w:color w:val="auto"/>
              </w:rPr>
            </w:pPr>
            <w:r>
              <w:rPr>
                <w:rFonts w:hint="eastAsia" w:ascii="宋体" w:hAnsi="宋体" w:cs="宋体"/>
                <w:b/>
                <w:bCs/>
                <w:color w:val="auto"/>
              </w:rPr>
              <w:t>供应商资格要求：</w:t>
            </w:r>
          </w:p>
          <w:p>
            <w:pPr>
              <w:spacing w:line="360" w:lineRule="exact"/>
              <w:rPr>
                <w:rFonts w:ascii="宋体" w:hAnsi="宋体" w:cs="宋体"/>
                <w:color w:val="auto"/>
              </w:rPr>
            </w:pPr>
            <w:r>
              <w:rPr>
                <w:rFonts w:hint="eastAsia" w:ascii="宋体" w:hAnsi="宋体" w:cs="宋体"/>
                <w:color w:val="auto"/>
              </w:rPr>
              <w:t>1.满足《中华人民共和国政府采购法》第二十二条规定；</w:t>
            </w:r>
          </w:p>
          <w:p>
            <w:pPr>
              <w:spacing w:line="360" w:lineRule="exact"/>
              <w:rPr>
                <w:rFonts w:ascii="宋体" w:hAnsi="宋体" w:cs="宋体"/>
                <w:color w:val="auto"/>
              </w:rPr>
            </w:pPr>
            <w:r>
              <w:rPr>
                <w:rFonts w:hint="eastAsia" w:ascii="宋体" w:hAnsi="宋体" w:cs="宋体"/>
                <w:color w:val="auto"/>
              </w:rPr>
              <w:t>2.落实采购政策需满足的资格要求：</w:t>
            </w:r>
            <w:r>
              <w:rPr>
                <w:rFonts w:ascii="宋体" w:hAnsi="宋体" w:cs="宋体"/>
                <w:color w:val="auto"/>
              </w:rPr>
              <w:t>本项目专门面向中小企业采购,供应商应为中小微企业、监狱企业、残疾人福利性单位</w:t>
            </w:r>
            <w:r>
              <w:rPr>
                <w:rFonts w:hint="eastAsia" w:ascii="宋体" w:hAnsi="宋体" w:cs="宋体"/>
                <w:color w:val="auto"/>
              </w:rPr>
              <w:t>。</w:t>
            </w:r>
          </w:p>
          <w:p>
            <w:pPr>
              <w:spacing w:line="360" w:lineRule="exact"/>
              <w:rPr>
                <w:rFonts w:ascii="宋体" w:hAnsi="宋体" w:cs="宋体"/>
                <w:color w:val="auto"/>
              </w:rPr>
            </w:pPr>
            <w:r>
              <w:rPr>
                <w:rFonts w:hint="eastAsia" w:ascii="宋体" w:hAnsi="宋体" w:cs="宋体"/>
                <w:color w:val="auto"/>
              </w:rPr>
              <w:t>3.本项目的特定资格要求：</w:t>
            </w:r>
            <w:r>
              <w:rPr>
                <w:rFonts w:hint="eastAsia" w:ascii="宋体" w:hAnsi="宋体" w:cs="宋体"/>
                <w:color w:val="auto"/>
                <w:u w:val="single"/>
              </w:rPr>
              <w:t>要求投标人须具备水利水电工程施工总承包叁级或叁级以上资质，并在人员、设备、资金等方面具备相应的施工能力。其中，投标人拟派项目经理须具备水利水电工程专业贰级以上（含贰级）注册建造师执业资格，具备有效的安全生产考核合格证书（B类）</w:t>
            </w:r>
            <w:r>
              <w:rPr>
                <w:rFonts w:hint="eastAsia" w:ascii="宋体" w:hAnsi="宋体" w:cs="宋体"/>
                <w:color w:val="auto"/>
              </w:rPr>
              <w:t>。</w:t>
            </w:r>
          </w:p>
          <w:p>
            <w:pPr>
              <w:spacing w:line="420" w:lineRule="exact"/>
              <w:rPr>
                <w:rFonts w:ascii="宋体" w:hAnsi="宋体" w:cs="宋体"/>
                <w:color w:val="auto"/>
              </w:rPr>
            </w:pPr>
            <w:r>
              <w:rPr>
                <w:rFonts w:hint="eastAsia" w:ascii="宋体" w:hAnsi="宋体" w:cs="宋体"/>
                <w:color w:val="auto"/>
              </w:rPr>
              <w:t>4、其他要求：</w:t>
            </w:r>
          </w:p>
          <w:p>
            <w:pPr>
              <w:spacing w:line="42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GB2 </w:instrText>
            </w:r>
            <w:r>
              <w:rPr>
                <w:rFonts w:hint="eastAsia" w:ascii="宋体" w:hAnsi="宋体" w:cs="宋体"/>
                <w:color w:val="auto"/>
              </w:rPr>
              <w:fldChar w:fldCharType="separate"/>
            </w:r>
            <w:r>
              <w:rPr>
                <w:rFonts w:hint="eastAsia" w:ascii="宋体" w:hAnsi="宋体" w:cs="宋体"/>
                <w:color w:val="auto"/>
              </w:rPr>
              <w:t>⑴</w:t>
            </w:r>
            <w:r>
              <w:rPr>
                <w:rFonts w:hint="eastAsia" w:ascii="宋体" w:hAnsi="宋体" w:cs="宋体"/>
                <w:color w:val="auto"/>
              </w:rPr>
              <w:fldChar w:fldCharType="end"/>
            </w:r>
            <w:r>
              <w:rPr>
                <w:rFonts w:hint="eastAsia" w:ascii="宋体" w:hAnsi="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GB2 </w:instrText>
            </w:r>
            <w:r>
              <w:rPr>
                <w:rFonts w:hint="eastAsia" w:ascii="宋体" w:hAnsi="宋体" w:cs="宋体"/>
                <w:color w:val="auto"/>
              </w:rPr>
              <w:fldChar w:fldCharType="separate"/>
            </w:r>
            <w:r>
              <w:rPr>
                <w:rFonts w:hint="eastAsia" w:ascii="宋体" w:hAnsi="宋体" w:cs="宋体"/>
                <w:color w:val="auto"/>
              </w:rPr>
              <w:t>⑵</w:t>
            </w:r>
            <w:r>
              <w:rPr>
                <w:rFonts w:hint="eastAsia" w:ascii="宋体" w:hAnsi="宋体" w:cs="宋体"/>
                <w:color w:val="auto"/>
              </w:rPr>
              <w:fldChar w:fldCharType="end"/>
            </w:r>
            <w:r>
              <w:rPr>
                <w:rFonts w:hint="eastAsia" w:ascii="宋体" w:hAnsi="宋体" w:cs="宋体"/>
                <w:color w:val="auto"/>
              </w:rPr>
              <w:t>本项目不接受联合体磋商；</w:t>
            </w:r>
          </w:p>
          <w:p>
            <w:pPr>
              <w:spacing w:line="42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3 \* GB2 </w:instrText>
            </w:r>
            <w:r>
              <w:rPr>
                <w:rFonts w:hint="eastAsia" w:ascii="宋体" w:hAnsi="宋体" w:cs="宋体"/>
                <w:color w:val="auto"/>
              </w:rPr>
              <w:fldChar w:fldCharType="separate"/>
            </w:r>
            <w:r>
              <w:rPr>
                <w:rFonts w:hint="eastAsia" w:ascii="宋体" w:hAnsi="宋体" w:cs="宋体"/>
                <w:color w:val="auto"/>
              </w:rPr>
              <w:t>⑶</w:t>
            </w:r>
            <w:r>
              <w:rPr>
                <w:rFonts w:hint="eastAsia" w:ascii="宋体" w:hAnsi="宋体" w:cs="宋体"/>
                <w:color w:val="auto"/>
              </w:rPr>
              <w:fldChar w:fldCharType="end"/>
            </w:r>
            <w:r>
              <w:rPr>
                <w:rFonts w:hint="eastAsia" w:ascii="宋体" w:hAnsi="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jc w:val="left"/>
              <w:rPr>
                <w:rFonts w:ascii="宋体" w:hAnsi="宋体" w:cs="宋体"/>
                <w:color w:val="auto"/>
                <w:kern w:val="0"/>
              </w:rPr>
            </w:pPr>
            <w:r>
              <w:rPr>
                <w:rFonts w:hint="eastAsia" w:ascii="宋体" w:hAnsi="宋体" w:cs="宋体"/>
                <w:color w:val="auto"/>
                <w:kern w:val="0"/>
              </w:rPr>
              <w:t>备注： 供应商信用信息查询：根据《关于做好政府采购有关信用主体标识码登记及在政府采购活动中查询使用信用记录有关问题的通知》桂财采〔2016〕37号的通知，采购人或采购代理机构对供应商进行信用信息查询：</w:t>
            </w:r>
          </w:p>
          <w:p>
            <w:pPr>
              <w:spacing w:line="420" w:lineRule="exact"/>
              <w:jc w:val="left"/>
              <w:rPr>
                <w:rFonts w:ascii="宋体" w:hAnsi="宋体" w:cs="宋体"/>
                <w:color w:val="auto"/>
                <w:kern w:val="0"/>
              </w:rPr>
            </w:pPr>
            <w:r>
              <w:rPr>
                <w:rFonts w:hint="eastAsia" w:ascii="宋体" w:hAnsi="宋体" w:cs="宋体"/>
                <w:color w:val="auto"/>
                <w:kern w:val="0"/>
              </w:rPr>
              <w:t>a.查询渠道：信用中国网站、中国政府采购网；b.查询起止时间：采购公告发布之日起至磋商截止时间；c.信用信息查询记录和证据留存方式：在查询网站中直接打印查询记录，打印材料作为采购活动资料保存。</w:t>
            </w:r>
          </w:p>
          <w:p>
            <w:pPr>
              <w:spacing w:line="360" w:lineRule="exact"/>
              <w:rPr>
                <w:rFonts w:ascii="宋体" w:hAnsi="宋体" w:cs="宋体"/>
                <w:color w:val="auto"/>
              </w:rPr>
            </w:pPr>
            <w:r>
              <w:rPr>
                <w:rFonts w:hint="eastAsia" w:ascii="宋体" w:hAnsi="宋体" w:cs="宋体"/>
                <w:color w:val="auto"/>
                <w:kern w:val="0"/>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5</w:t>
            </w:r>
          </w:p>
        </w:tc>
        <w:tc>
          <w:tcPr>
            <w:tcW w:w="85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13.1</w:t>
            </w:r>
          </w:p>
        </w:tc>
        <w:tc>
          <w:tcPr>
            <w:tcW w:w="8225" w:type="dxa"/>
            <w:vAlign w:val="center"/>
          </w:tcPr>
          <w:p>
            <w:pPr>
              <w:spacing w:line="360" w:lineRule="exact"/>
              <w:rPr>
                <w:rFonts w:ascii="宋体" w:hAnsi="宋体" w:cs="宋体"/>
                <w:color w:val="auto"/>
                <w:spacing w:val="2"/>
              </w:rPr>
            </w:pPr>
            <w:r>
              <w:rPr>
                <w:rFonts w:hint="eastAsia" w:ascii="宋体" w:hAnsi="宋体" w:cs="宋体"/>
                <w:color w:val="auto"/>
                <w:spacing w:val="2"/>
              </w:rPr>
              <w:t>竞标有效期为：</w:t>
            </w:r>
            <w:r>
              <w:rPr>
                <w:rFonts w:hint="eastAsia" w:ascii="宋体" w:hAnsi="宋体" w:cs="宋体"/>
                <w:b/>
                <w:bCs/>
                <w:color w:val="auto"/>
                <w:spacing w:val="2"/>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6</w:t>
            </w:r>
          </w:p>
        </w:tc>
        <w:tc>
          <w:tcPr>
            <w:tcW w:w="85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14.1</w:t>
            </w:r>
          </w:p>
        </w:tc>
        <w:tc>
          <w:tcPr>
            <w:tcW w:w="8225" w:type="dxa"/>
            <w:vAlign w:val="center"/>
          </w:tcPr>
          <w:p>
            <w:pPr>
              <w:snapToGrid w:val="0"/>
              <w:spacing w:line="360" w:lineRule="auto"/>
              <w:rPr>
                <w:rFonts w:ascii="宋体" w:hAnsi="宋体"/>
                <w:color w:val="auto"/>
              </w:rPr>
            </w:pPr>
            <w:r>
              <w:rPr>
                <w:rFonts w:hint="eastAsia" w:ascii="宋体" w:hAnsi="宋体"/>
                <w:color w:val="auto"/>
              </w:rPr>
              <w:t>本项目收取磋商保证金，具体规定如下：</w:t>
            </w:r>
          </w:p>
          <w:p>
            <w:pPr>
              <w:spacing w:line="360" w:lineRule="auto"/>
              <w:rPr>
                <w:rFonts w:ascii="宋体" w:hAnsi="宋体" w:cs="宋体"/>
                <w:color w:val="auto"/>
                <w:kern w:val="0"/>
              </w:rPr>
            </w:pPr>
            <w:r>
              <w:rPr>
                <w:rFonts w:hint="eastAsia" w:ascii="宋体" w:hAnsi="宋体" w:cs="宋体"/>
                <w:color w:val="auto"/>
                <w:kern w:val="0"/>
              </w:rPr>
              <w:t>磋商保证金人民币</w:t>
            </w:r>
            <w:r>
              <w:rPr>
                <w:rFonts w:hint="eastAsia" w:ascii="宋体" w:hAnsi="宋体" w:cs="宋体"/>
                <w:color w:val="auto"/>
                <w:kern w:val="0"/>
                <w:u w:val="single"/>
              </w:rPr>
              <w:t xml:space="preserve">  （￥  0 ）</w:t>
            </w:r>
            <w:r>
              <w:rPr>
                <w:rFonts w:hint="eastAsia" w:ascii="宋体" w:hAnsi="宋体" w:cs="宋体"/>
                <w:color w:val="auto"/>
                <w:kern w:val="0"/>
              </w:rPr>
              <w:t>；</w:t>
            </w:r>
          </w:p>
          <w:p>
            <w:pPr>
              <w:snapToGrid w:val="0"/>
              <w:spacing w:line="360" w:lineRule="auto"/>
              <w:rPr>
                <w:rFonts w:ascii="宋体" w:hAnsi="宋体" w:cs="宋体"/>
                <w:color w:val="auto"/>
                <w:kern w:val="0"/>
              </w:rPr>
            </w:pPr>
            <w:r>
              <w:rPr>
                <w:rFonts w:hint="eastAsia" w:ascii="宋体" w:hAnsi="宋体" w:cs="宋体"/>
                <w:color w:val="auto"/>
                <w:kern w:val="0"/>
              </w:rPr>
              <w:t>磋商保证金的交纳方式：银行转账、支票、汇票、本票或者金融、担保金融、担保机构出具的保函，禁止采用现钞方式。采用银行转账方式的，在响应文件提交截止时间前交至指定账户并且到账（</w:t>
            </w:r>
            <w:r>
              <w:rPr>
                <w:rFonts w:hint="eastAsia" w:ascii="宋体" w:hAnsi="宋体" w:cs="宋体"/>
                <w:color w:val="auto"/>
              </w:rPr>
              <w:t>账户名称：广西乾诚工程咨询有限公司；开户银行：/；银行帐号： /</w:t>
            </w:r>
            <w:r>
              <w:rPr>
                <w:rFonts w:hint="eastAsia" w:ascii="宋体" w:hAnsi="宋体" w:cs="宋体"/>
                <w:color w:val="auto"/>
                <w:kern w:val="0"/>
              </w:rPr>
              <w:t>）；采用支票、汇票、本票或者保函等方式的，在响应文件提交截止时间前，供应商必须提交支票、汇票、本票或者保函原件。否则视为无效磋商保证金。</w:t>
            </w:r>
          </w:p>
          <w:p>
            <w:pPr>
              <w:snapToGrid w:val="0"/>
              <w:spacing w:line="360" w:lineRule="auto"/>
              <w:rPr>
                <w:rFonts w:ascii="宋体" w:hAnsi="宋体" w:cs="宋体"/>
                <w:color w:val="auto"/>
              </w:rPr>
            </w:pPr>
            <w:r>
              <w:rPr>
                <w:rFonts w:hint="eastAsia" w:ascii="宋体" w:hAnsi="宋体" w:cs="宋体"/>
                <w:color w:val="auto"/>
              </w:rPr>
              <w:t>相关要求：</w:t>
            </w:r>
          </w:p>
          <w:p>
            <w:pPr>
              <w:snapToGrid w:val="0"/>
              <w:spacing w:line="360" w:lineRule="auto"/>
              <w:rPr>
                <w:rFonts w:ascii="宋体" w:hAnsi="宋体" w:cs="宋体"/>
                <w:color w:val="auto"/>
              </w:rPr>
            </w:pPr>
            <w:r>
              <w:rPr>
                <w:rFonts w:hint="eastAsia" w:ascii="宋体" w:hAnsi="宋体" w:cs="宋体"/>
                <w:color w:val="auto"/>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rPr>
              <w:t>否则响应文件按无效响应处理</w:t>
            </w:r>
            <w:r>
              <w:rPr>
                <w:rFonts w:hint="eastAsia" w:ascii="宋体" w:hAnsi="宋体" w:cs="宋体"/>
                <w:color w:val="auto"/>
              </w:rPr>
              <w:t>。</w:t>
            </w:r>
          </w:p>
          <w:p>
            <w:pPr>
              <w:snapToGrid w:val="0"/>
              <w:spacing w:line="360" w:lineRule="auto"/>
              <w:rPr>
                <w:rFonts w:ascii="宋体" w:hAnsi="宋体"/>
                <w:b/>
                <w:color w:val="auto"/>
              </w:rPr>
            </w:pPr>
            <w:r>
              <w:rPr>
                <w:rFonts w:hint="eastAsia" w:ascii="宋体" w:hAnsi="宋体"/>
                <w:color w:val="auto"/>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cs="宋体"/>
                <w:color w:val="auto"/>
              </w:rPr>
              <w:t>报价商务技术文件</w:t>
            </w:r>
            <w:r>
              <w:rPr>
                <w:rFonts w:hint="eastAsia" w:ascii="宋体" w:hAnsi="宋体"/>
                <w:color w:val="auto"/>
              </w:rPr>
              <w:t>中，</w:t>
            </w:r>
            <w:r>
              <w:rPr>
                <w:rFonts w:hint="eastAsia" w:ascii="宋体" w:hAnsi="宋体" w:cs="宋体"/>
                <w:b/>
                <w:color w:val="auto"/>
              </w:rPr>
              <w:t>否则响应文件按无效响应处理</w:t>
            </w:r>
            <w:r>
              <w:rPr>
                <w:rFonts w:hint="eastAsia" w:ascii="宋体" w:hAnsi="宋体"/>
                <w:color w:val="auto"/>
              </w:rPr>
              <w:t>。</w:t>
            </w:r>
            <w:r>
              <w:rPr>
                <w:rFonts w:hint="eastAsia" w:ascii="宋体" w:hAnsi="宋体"/>
                <w:b/>
                <w:color w:val="auto"/>
              </w:rPr>
              <w:t>供应商必须在首次响应文件提交截止时间前将支票、汇票、本票或者金融、担保机构出具的保函原件提交给采购代理机构，由采购代理机构向供应商出具回执，并妥善保管。</w:t>
            </w:r>
          </w:p>
          <w:p>
            <w:pPr>
              <w:snapToGrid w:val="0"/>
              <w:spacing w:line="360" w:lineRule="auto"/>
              <w:rPr>
                <w:rFonts w:ascii="宋体" w:hAnsi="宋体" w:cs="宋体"/>
                <w:b/>
                <w:color w:val="auto"/>
              </w:rPr>
            </w:pPr>
            <w:r>
              <w:rPr>
                <w:rFonts w:hint="eastAsia" w:ascii="宋体" w:hAnsi="宋体" w:cs="宋体"/>
                <w:color w:val="auto"/>
              </w:rPr>
              <w:t>3.供应商为联合体的，可以由联合体中的一方或者多方共同交纳磋商保证金，其交纳的保证金对联合体各方均具有约束力。</w:t>
            </w:r>
          </w:p>
          <w:p>
            <w:pPr>
              <w:snapToGrid w:val="0"/>
              <w:spacing w:line="360" w:lineRule="auto"/>
              <w:rPr>
                <w:rFonts w:ascii="宋体" w:hAnsi="宋体" w:cs="宋体"/>
                <w:b/>
                <w:color w:val="auto"/>
              </w:rPr>
            </w:pPr>
            <w:r>
              <w:rPr>
                <w:rFonts w:hint="eastAsia" w:ascii="宋体" w:hAnsi="宋体" w:cs="宋体"/>
                <w:b/>
                <w:color w:val="auto"/>
              </w:rPr>
              <w:t xml:space="preserve">备注： </w:t>
            </w:r>
          </w:p>
          <w:p>
            <w:pPr>
              <w:snapToGrid w:val="0"/>
              <w:spacing w:line="360" w:lineRule="auto"/>
              <w:rPr>
                <w:rFonts w:ascii="宋体" w:hAnsi="宋体" w:cs="宋体"/>
                <w:b/>
                <w:color w:val="auto"/>
              </w:rPr>
            </w:pPr>
            <w:r>
              <w:rPr>
                <w:rFonts w:hint="eastAsia" w:ascii="宋体" w:hAnsi="宋体" w:cs="宋体"/>
                <w:b/>
                <w:color w:val="auto"/>
              </w:rPr>
              <w:t>1.磋商保证金在响应文件提交截止时间后提交的，或者不按规定交纳方式交纳的，或者未足额交纳的（包含保函额度不足的），视为无效磋商保证金。</w:t>
            </w:r>
          </w:p>
          <w:p>
            <w:pPr>
              <w:snapToGrid w:val="0"/>
              <w:spacing w:line="360" w:lineRule="auto"/>
              <w:rPr>
                <w:rFonts w:ascii="宋体" w:hAnsi="宋体" w:cs="宋体"/>
                <w:b/>
                <w:color w:val="auto"/>
              </w:rPr>
            </w:pPr>
            <w:r>
              <w:rPr>
                <w:rFonts w:hint="eastAsia" w:ascii="宋体" w:hAnsi="宋体" w:cs="宋体"/>
                <w:b/>
                <w:color w:val="auto"/>
              </w:rPr>
              <w:t>2.供应商采用现钞方式或者从个人账户（自然人竞标除外）转出的磋商保证金，视为无效磋商保证金。</w:t>
            </w:r>
          </w:p>
          <w:p>
            <w:pPr>
              <w:snapToGrid w:val="0"/>
              <w:spacing w:line="360" w:lineRule="auto"/>
              <w:rPr>
                <w:rFonts w:ascii="宋体" w:hAnsi="宋体" w:cs="宋体"/>
                <w:b/>
                <w:color w:val="auto"/>
              </w:rPr>
            </w:pPr>
            <w:r>
              <w:rPr>
                <w:rFonts w:hint="eastAsia" w:ascii="宋体" w:hAnsi="宋体" w:cs="宋体"/>
                <w:b/>
                <w:color w:val="auto"/>
              </w:rPr>
              <w:t>3.支票、汇票或者本票出现无效或者背书情形的，视为无效磋商保证金。</w:t>
            </w:r>
          </w:p>
          <w:p>
            <w:pPr>
              <w:snapToGrid w:val="0"/>
              <w:spacing w:line="360" w:lineRule="auto"/>
              <w:rPr>
                <w:rFonts w:ascii="宋体" w:hAnsi="宋体" w:cs="宋体"/>
                <w:b/>
                <w:color w:val="auto"/>
              </w:rPr>
            </w:pPr>
            <w:r>
              <w:rPr>
                <w:rFonts w:hint="eastAsia" w:ascii="宋体" w:hAnsi="宋体" w:cs="宋体"/>
                <w:b/>
                <w:color w:val="auto"/>
              </w:rPr>
              <w:t>4.保函有效期低于竞标有效期的，视为无效磋商保证金。</w:t>
            </w:r>
          </w:p>
          <w:p>
            <w:pPr>
              <w:snapToGrid w:val="0"/>
              <w:spacing w:line="360" w:lineRule="auto"/>
              <w:rPr>
                <w:rFonts w:ascii="宋体" w:hAnsi="宋体" w:cs="宋体"/>
                <w:color w:val="auto"/>
              </w:rPr>
            </w:pPr>
            <w:r>
              <w:rPr>
                <w:rFonts w:hint="eastAsia" w:ascii="宋体" w:hAnsi="宋体" w:cs="宋体"/>
                <w:b/>
                <w:color w:val="auto"/>
              </w:rPr>
              <w:t>5.采用金融、担保机构出具保函的，必须为无条件保函，否则视为无效磋商保证金。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7</w:t>
            </w:r>
          </w:p>
        </w:tc>
        <w:tc>
          <w:tcPr>
            <w:tcW w:w="850" w:type="dxa"/>
            <w:vAlign w:val="center"/>
          </w:tcPr>
          <w:p>
            <w:pPr>
              <w:spacing w:line="380" w:lineRule="exact"/>
              <w:jc w:val="center"/>
              <w:rPr>
                <w:rFonts w:ascii="宋体" w:hAnsi="宋体" w:cs="宋体"/>
                <w:color w:val="auto"/>
              </w:rPr>
            </w:pPr>
            <w:r>
              <w:rPr>
                <w:rFonts w:hint="eastAsia" w:ascii="宋体" w:hAnsi="宋体" w:cs="宋体"/>
                <w:color w:val="auto"/>
              </w:rPr>
              <w:t>16.1</w:t>
            </w:r>
          </w:p>
        </w:tc>
        <w:tc>
          <w:tcPr>
            <w:tcW w:w="8225" w:type="dxa"/>
            <w:vAlign w:val="center"/>
          </w:tcPr>
          <w:p>
            <w:pPr>
              <w:spacing w:line="380" w:lineRule="exact"/>
              <w:rPr>
                <w:rFonts w:ascii="宋体" w:hAnsi="宋体" w:cs="宋体"/>
                <w:color w:val="auto"/>
              </w:rPr>
            </w:pPr>
            <w:r>
              <w:rPr>
                <w:rFonts w:hint="eastAsia" w:ascii="宋体" w:hAnsi="宋体" w:cs="宋体"/>
                <w:color w:val="auto"/>
              </w:rPr>
              <w:t>响应文件递交截止时间：</w:t>
            </w:r>
            <w:r>
              <w:rPr>
                <w:rFonts w:hint="eastAsia" w:ascii="宋体" w:hAnsi="宋体" w:cs="宋体"/>
                <w:color w:val="auto"/>
                <w:u w:val="single"/>
              </w:rPr>
              <w:t>202</w:t>
            </w:r>
            <w:r>
              <w:rPr>
                <w:rFonts w:hint="eastAsia" w:ascii="宋体" w:hAnsi="宋体" w:cs="宋体"/>
                <w:color w:val="auto"/>
                <w:u w:val="single"/>
                <w:lang w:val="en-US" w:eastAsia="zh-CN"/>
              </w:rPr>
              <w:t>4</w:t>
            </w:r>
            <w:r>
              <w:rPr>
                <w:rFonts w:hint="eastAsia" w:ascii="宋体" w:hAnsi="宋体" w:cs="宋体"/>
                <w:color w:val="auto"/>
                <w:u w:val="single"/>
              </w:rPr>
              <w:t>年</w:t>
            </w:r>
            <w:r>
              <w:rPr>
                <w:rFonts w:hint="eastAsia" w:ascii="宋体" w:hAnsi="宋体" w:cs="宋体"/>
                <w:color w:val="auto"/>
                <w:u w:val="single"/>
                <w:lang w:val="en-US" w:eastAsia="zh-CN"/>
              </w:rPr>
              <w:t>4</w:t>
            </w:r>
            <w:r>
              <w:rPr>
                <w:rFonts w:hint="eastAsia" w:ascii="宋体" w:hAnsi="宋体" w:cs="宋体"/>
                <w:color w:val="auto"/>
                <w:u w:val="single"/>
              </w:rPr>
              <w:t>月</w:t>
            </w:r>
            <w:r>
              <w:rPr>
                <w:rFonts w:hint="eastAsia" w:ascii="宋体" w:hAnsi="宋体" w:cs="宋体"/>
                <w:color w:val="auto"/>
                <w:u w:val="single"/>
                <w:lang w:val="en-US" w:eastAsia="zh-CN"/>
              </w:rPr>
              <w:t>18</w:t>
            </w:r>
            <w:r>
              <w:rPr>
                <w:rFonts w:hint="eastAsia" w:ascii="宋体" w:hAnsi="宋体" w:cs="宋体"/>
                <w:color w:val="auto"/>
                <w:u w:val="single"/>
              </w:rPr>
              <w:t xml:space="preserve"> 日</w:t>
            </w:r>
            <w:r>
              <w:rPr>
                <w:rFonts w:hint="eastAsia" w:ascii="宋体" w:hAnsi="宋体" w:cs="宋体"/>
                <w:color w:val="auto"/>
                <w:u w:val="single"/>
                <w:lang w:val="en-US" w:eastAsia="zh-CN"/>
              </w:rPr>
              <w:t>上</w:t>
            </w:r>
            <w:r>
              <w:rPr>
                <w:rFonts w:hint="eastAsia" w:ascii="宋体" w:hAnsi="宋体" w:cs="宋体"/>
                <w:color w:val="auto"/>
                <w:u w:val="single"/>
              </w:rPr>
              <w:t>午</w:t>
            </w:r>
            <w:r>
              <w:rPr>
                <w:rFonts w:hint="eastAsia" w:ascii="宋体" w:hAnsi="宋体" w:cs="宋体"/>
                <w:color w:val="auto"/>
                <w:u w:val="single"/>
                <w:lang w:val="en-US" w:eastAsia="zh-CN"/>
              </w:rPr>
              <w:t>09</w:t>
            </w:r>
            <w:r>
              <w:rPr>
                <w:rFonts w:hint="eastAsia" w:ascii="宋体" w:hAnsi="宋体" w:cs="宋体"/>
                <w:color w:val="auto"/>
                <w:u w:val="single"/>
              </w:rPr>
              <w:t xml:space="preserve">  点 </w:t>
            </w:r>
            <w:r>
              <w:rPr>
                <w:rFonts w:hint="eastAsia" w:ascii="宋体" w:hAnsi="宋体" w:cs="宋体"/>
                <w:color w:val="auto"/>
                <w:u w:val="single"/>
                <w:lang w:val="en-US" w:eastAsia="zh-CN"/>
              </w:rPr>
              <w:t xml:space="preserve">30  </w:t>
            </w:r>
            <w:r>
              <w:rPr>
                <w:rFonts w:hint="eastAsia" w:ascii="宋体" w:hAnsi="宋体" w:cs="宋体"/>
                <w:color w:val="auto"/>
                <w:u w:val="single"/>
              </w:rPr>
              <w:t>分</w:t>
            </w:r>
          </w:p>
          <w:p>
            <w:pPr>
              <w:spacing w:line="380" w:lineRule="exact"/>
              <w:rPr>
                <w:rFonts w:ascii="宋体" w:hAnsi="宋体" w:cs="宋体"/>
                <w:color w:val="auto"/>
              </w:rPr>
            </w:pPr>
            <w:r>
              <w:rPr>
                <w:rFonts w:hint="eastAsia" w:ascii="宋体" w:hAnsi="宋体" w:cs="宋体"/>
                <w:color w:val="auto"/>
              </w:rPr>
              <w:t>谈判前准备：</w:t>
            </w:r>
          </w:p>
          <w:p>
            <w:pPr>
              <w:spacing w:line="380" w:lineRule="exact"/>
              <w:rPr>
                <w:rFonts w:ascii="宋体" w:hAnsi="宋体" w:cs="宋体"/>
                <w:color w:val="auto"/>
              </w:rPr>
            </w:pPr>
            <w:r>
              <w:rPr>
                <w:rFonts w:hint="eastAsia" w:ascii="宋体" w:hAnsi="宋体" w:cs="宋体"/>
                <w:color w:val="auto"/>
              </w:rPr>
              <w:t>1、本项目实行网上电子开评标。</w:t>
            </w:r>
          </w:p>
          <w:p>
            <w:pPr>
              <w:spacing w:line="380" w:lineRule="exact"/>
              <w:rPr>
                <w:rFonts w:ascii="宋体" w:hAnsi="宋体" w:cs="宋体"/>
                <w:color w:val="auto"/>
              </w:rPr>
            </w:pPr>
            <w:r>
              <w:rPr>
                <w:rFonts w:hint="eastAsia" w:ascii="宋体" w:hAnsi="宋体" w:cs="宋体"/>
                <w:color w:val="auto"/>
              </w:rPr>
              <w:t>2、各供应商应在截标前应确保成为</w:t>
            </w:r>
            <w:r>
              <w:rPr>
                <w:rFonts w:hint="eastAsia" w:ascii="宋体" w:hAnsi="宋体" w:cs="宋体"/>
                <w:color w:val="auto"/>
                <w:lang w:eastAsia="zh-CN"/>
              </w:rPr>
              <w:t>广西政府采购云平台</w:t>
            </w:r>
            <w:r>
              <w:rPr>
                <w:rFonts w:hint="eastAsia" w:ascii="宋体" w:hAnsi="宋体" w:cs="宋体"/>
                <w:color w:val="auto"/>
              </w:rPr>
              <w:t>正式注册入库供应商，并完成CA数字证书申领。如因未注册入库、未办理CA数字证书等原因造成无法谈判或谈判失败等后果由供应商自行承担。</w:t>
            </w:r>
          </w:p>
          <w:p>
            <w:pPr>
              <w:spacing w:line="380" w:lineRule="exact"/>
              <w:rPr>
                <w:rFonts w:ascii="宋体" w:hAnsi="宋体" w:cs="宋体"/>
                <w:color w:val="auto"/>
              </w:rPr>
            </w:pPr>
            <w:r>
              <w:rPr>
                <w:rFonts w:hint="eastAsia" w:ascii="宋体" w:hAnsi="宋体" w:cs="宋体"/>
                <w:color w:val="auto"/>
              </w:rPr>
              <w:t>3、供应商将</w:t>
            </w:r>
            <w:r>
              <w:rPr>
                <w:rFonts w:hint="eastAsia" w:ascii="宋体" w:hAnsi="宋体" w:cs="宋体"/>
                <w:color w:val="auto"/>
                <w:lang w:eastAsia="zh-CN"/>
              </w:rPr>
              <w:t>广西政府采购云平台</w:t>
            </w:r>
            <w:r>
              <w:rPr>
                <w:rFonts w:hint="eastAsia" w:ascii="宋体" w:hAnsi="宋体" w:cs="宋体"/>
                <w:color w:val="auto"/>
              </w:rPr>
              <w:t>电子交易客户端下载、安装完成后，可通过账号密码或CA登录客户端进行响应文件制作。客户端请至网站下载专区查看，如有问题可拨打</w:t>
            </w:r>
            <w:r>
              <w:rPr>
                <w:rFonts w:hint="eastAsia" w:ascii="宋体" w:hAnsi="宋体" w:cs="宋体"/>
                <w:color w:val="auto"/>
                <w:lang w:eastAsia="zh-CN"/>
              </w:rPr>
              <w:t>广西政府采购云平台</w:t>
            </w:r>
            <w:r>
              <w:rPr>
                <w:rFonts w:hint="eastAsia" w:ascii="宋体" w:hAnsi="宋体" w:cs="宋体"/>
                <w:color w:val="auto"/>
              </w:rPr>
              <w:t>客户服务热线：400-881-7190进行咨询。</w:t>
            </w:r>
          </w:p>
          <w:p>
            <w:pPr>
              <w:spacing w:line="400" w:lineRule="exact"/>
              <w:rPr>
                <w:rFonts w:ascii="宋体" w:hAnsi="宋体" w:cs="宋体"/>
                <w:b/>
                <w:color w:val="auto"/>
              </w:rPr>
            </w:pPr>
            <w:r>
              <w:rPr>
                <w:rFonts w:hint="eastAsia" w:ascii="宋体" w:hAnsi="宋体" w:cs="宋体"/>
                <w:b/>
                <w:color w:val="auto"/>
              </w:rPr>
              <w:t>响应文件上传和递交：</w:t>
            </w:r>
          </w:p>
          <w:p>
            <w:pPr>
              <w:spacing w:line="400" w:lineRule="exact"/>
              <w:rPr>
                <w:rFonts w:ascii="宋体" w:hAnsi="宋体" w:cs="宋体"/>
                <w:color w:val="auto"/>
              </w:rPr>
            </w:pPr>
            <w:r>
              <w:rPr>
                <w:rFonts w:hint="eastAsia" w:ascii="宋体" w:hAnsi="宋体" w:cs="宋体"/>
                <w:color w:val="auto"/>
              </w:rPr>
              <w:t>（1）“电子加密响应文件”的上传：</w:t>
            </w:r>
          </w:p>
          <w:p>
            <w:pPr>
              <w:spacing w:line="400" w:lineRule="exact"/>
              <w:rPr>
                <w:rFonts w:ascii="宋体" w:hAnsi="宋体" w:cs="宋体"/>
                <w:color w:val="auto"/>
              </w:rPr>
            </w:pPr>
            <w:r>
              <w:rPr>
                <w:rFonts w:hint="eastAsia" w:ascii="宋体" w:hAnsi="宋体" w:cs="宋体"/>
                <w:color w:val="auto"/>
              </w:rPr>
              <w:t>供应商应在投标截止时间前将“电子加密响应文件”成功上传递交至“政府采购云平台”，否则投标无效。</w:t>
            </w:r>
          </w:p>
          <w:p>
            <w:pPr>
              <w:pStyle w:val="2"/>
              <w:ind w:firstLine="210" w:firstLineChars="100"/>
              <w:jc w:val="left"/>
              <w:rPr>
                <w:rFonts w:ascii="宋体" w:hAnsi="宋体" w:cs="宋体"/>
                <w:b w:val="0"/>
                <w:color w:val="auto"/>
                <w:sz w:val="21"/>
                <w:szCs w:val="21"/>
              </w:rPr>
            </w:pPr>
            <w:r>
              <w:rPr>
                <w:rFonts w:hint="eastAsia" w:ascii="宋体" w:hAnsi="宋体" w:cs="宋体"/>
                <w:b w:val="0"/>
                <w:color w:val="auto"/>
                <w:sz w:val="21"/>
                <w:szCs w:val="21"/>
              </w:rPr>
              <w:t>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spacing w:line="400" w:lineRule="exact"/>
              <w:rPr>
                <w:rFonts w:ascii="宋体" w:hAnsi="宋体" w:cs="宋体"/>
                <w:bCs/>
                <w:color w:val="auto"/>
              </w:rPr>
            </w:pPr>
            <w:r>
              <w:rPr>
                <w:rFonts w:hint="eastAsia" w:ascii="宋体" w:hAnsi="宋体" w:cs="宋体"/>
                <w:bCs/>
                <w:color w:val="auto"/>
              </w:rPr>
              <w:t>（3）磋商响应文件解密时间：</w:t>
            </w:r>
          </w:p>
          <w:p>
            <w:pPr>
              <w:spacing w:line="400" w:lineRule="exact"/>
              <w:ind w:firstLine="420" w:firstLineChars="200"/>
              <w:rPr>
                <w:rFonts w:ascii="宋体" w:hAnsi="宋体" w:cs="宋体"/>
                <w:color w:val="auto"/>
              </w:rPr>
            </w:pPr>
            <w:r>
              <w:rPr>
                <w:rFonts w:hint="eastAsia" w:ascii="宋体" w:hAnsi="宋体" w:cs="宋体"/>
                <w:bCs/>
                <w:color w:val="auto"/>
              </w:rPr>
              <w:t>截标时间后30分内，磋商供应商可以登录</w:t>
            </w:r>
            <w:r>
              <w:rPr>
                <w:rFonts w:hint="eastAsia" w:ascii="宋体" w:hAnsi="宋体" w:cs="宋体"/>
                <w:bCs/>
                <w:color w:val="auto"/>
                <w:lang w:eastAsia="zh-CN"/>
              </w:rPr>
              <w:t>广西政府采购云平台</w:t>
            </w:r>
            <w:r>
              <w:rPr>
                <w:rFonts w:hint="eastAsia" w:ascii="宋体" w:hAnsi="宋体" w:cs="宋体"/>
                <w:bCs/>
                <w:color w:val="auto"/>
              </w:rPr>
              <w:t>，用“项目采购-开标评标”功能进行解密磋商响应文件。若磋商供应商在规定时间内无法解密或解密失败，可以以提交的电子备份磋商响应文件作为依据，如若电子备份磋商响应文件件与</w:t>
            </w:r>
            <w:r>
              <w:rPr>
                <w:rFonts w:hint="eastAsia" w:ascii="宋体" w:hAnsi="宋体" w:cs="宋体"/>
                <w:bCs/>
                <w:color w:val="auto"/>
                <w:lang w:eastAsia="zh-CN"/>
              </w:rPr>
              <w:t>广西政府采购云平台</w:t>
            </w:r>
            <w:r>
              <w:rPr>
                <w:rFonts w:hint="eastAsia" w:ascii="宋体" w:hAnsi="宋体" w:cs="宋体"/>
                <w:bCs/>
                <w:color w:val="auto"/>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spacing w:val="2"/>
              </w:rPr>
              <w:t>8</w:t>
            </w:r>
          </w:p>
        </w:tc>
        <w:tc>
          <w:tcPr>
            <w:tcW w:w="850" w:type="dxa"/>
            <w:vAlign w:val="center"/>
          </w:tcPr>
          <w:p>
            <w:pPr>
              <w:spacing w:line="360" w:lineRule="exact"/>
              <w:jc w:val="center"/>
              <w:rPr>
                <w:rFonts w:ascii="宋体" w:hAnsi="宋体" w:cs="宋体"/>
                <w:color w:val="auto"/>
              </w:rPr>
            </w:pPr>
            <w:r>
              <w:rPr>
                <w:rFonts w:hint="eastAsia" w:ascii="宋体" w:hAnsi="宋体" w:cs="宋体"/>
                <w:color w:val="auto"/>
              </w:rPr>
              <w:t>20.1</w:t>
            </w:r>
          </w:p>
        </w:tc>
        <w:tc>
          <w:tcPr>
            <w:tcW w:w="8225" w:type="dxa"/>
            <w:vAlign w:val="center"/>
          </w:tcPr>
          <w:p>
            <w:pPr>
              <w:spacing w:line="360" w:lineRule="exact"/>
              <w:rPr>
                <w:rFonts w:ascii="宋体" w:hAnsi="宋体" w:cs="宋体"/>
                <w:bCs/>
                <w:color w:val="auto"/>
              </w:rPr>
            </w:pPr>
            <w:r>
              <w:rPr>
                <w:rFonts w:hint="eastAsia" w:ascii="宋体" w:hAnsi="宋体" w:cs="宋体"/>
                <w:b/>
                <w:bCs/>
                <w:color w:val="auto"/>
              </w:rPr>
              <w:t>截标时间：</w:t>
            </w:r>
            <w:r>
              <w:rPr>
                <w:rFonts w:hint="eastAsia" w:ascii="宋体" w:hAnsi="宋体" w:cs="宋体"/>
                <w:color w:val="auto"/>
                <w:u w:val="single"/>
              </w:rPr>
              <w:t>202</w:t>
            </w:r>
            <w:r>
              <w:rPr>
                <w:rFonts w:hint="eastAsia" w:ascii="宋体" w:hAnsi="宋体" w:cs="宋体"/>
                <w:color w:val="auto"/>
                <w:u w:val="single"/>
                <w:lang w:val="en-US" w:eastAsia="zh-CN"/>
              </w:rPr>
              <w:t>4</w:t>
            </w:r>
            <w:r>
              <w:rPr>
                <w:rFonts w:hint="eastAsia" w:ascii="宋体" w:hAnsi="宋体" w:cs="宋体"/>
                <w:color w:val="auto"/>
                <w:u w:val="single"/>
              </w:rPr>
              <w:t>年</w:t>
            </w:r>
            <w:r>
              <w:rPr>
                <w:rFonts w:hint="eastAsia" w:ascii="宋体" w:hAnsi="宋体" w:cs="宋体"/>
                <w:color w:val="auto"/>
                <w:u w:val="single"/>
                <w:lang w:val="en-US" w:eastAsia="zh-CN"/>
              </w:rPr>
              <w:t xml:space="preserve">4 </w:t>
            </w:r>
            <w:r>
              <w:rPr>
                <w:rFonts w:hint="eastAsia" w:ascii="宋体" w:hAnsi="宋体" w:cs="宋体"/>
                <w:color w:val="auto"/>
                <w:u w:val="single"/>
              </w:rPr>
              <w:t xml:space="preserve">月 </w:t>
            </w:r>
            <w:r>
              <w:rPr>
                <w:rFonts w:hint="eastAsia" w:ascii="宋体" w:hAnsi="宋体" w:cs="宋体"/>
                <w:color w:val="auto"/>
                <w:u w:val="single"/>
                <w:lang w:val="en-US" w:eastAsia="zh-CN"/>
              </w:rPr>
              <w:t xml:space="preserve">18  </w:t>
            </w:r>
            <w:r>
              <w:rPr>
                <w:rFonts w:hint="eastAsia" w:ascii="宋体" w:hAnsi="宋体" w:cs="宋体"/>
                <w:color w:val="auto"/>
                <w:u w:val="single"/>
              </w:rPr>
              <w:t>日</w:t>
            </w:r>
            <w:r>
              <w:rPr>
                <w:rFonts w:hint="eastAsia" w:ascii="宋体" w:hAnsi="宋体" w:cs="宋体"/>
                <w:color w:val="auto"/>
                <w:u w:val="single"/>
                <w:lang w:val="en-US" w:eastAsia="zh-CN"/>
              </w:rPr>
              <w:t>上</w:t>
            </w:r>
            <w:r>
              <w:rPr>
                <w:rFonts w:hint="eastAsia" w:ascii="宋体" w:hAnsi="宋体" w:cs="宋体"/>
                <w:color w:val="auto"/>
                <w:u w:val="single"/>
              </w:rPr>
              <w:t xml:space="preserve">午 </w:t>
            </w:r>
            <w:r>
              <w:rPr>
                <w:rFonts w:hint="eastAsia" w:ascii="宋体" w:hAnsi="宋体" w:cs="宋体"/>
                <w:color w:val="auto"/>
                <w:u w:val="single"/>
                <w:lang w:val="en-US" w:eastAsia="zh-CN"/>
              </w:rPr>
              <w:t xml:space="preserve">09 </w:t>
            </w:r>
            <w:r>
              <w:rPr>
                <w:rFonts w:hint="eastAsia" w:ascii="宋体" w:hAnsi="宋体" w:cs="宋体"/>
                <w:color w:val="auto"/>
                <w:u w:val="single"/>
              </w:rPr>
              <w:t xml:space="preserve"> 点</w:t>
            </w:r>
            <w:r>
              <w:rPr>
                <w:rFonts w:hint="eastAsia" w:ascii="宋体" w:hAnsi="宋体" w:cs="宋体"/>
                <w:color w:val="auto"/>
                <w:u w:val="single"/>
                <w:lang w:val="en-US" w:eastAsia="zh-CN"/>
              </w:rPr>
              <w:t xml:space="preserve">30 </w:t>
            </w:r>
            <w:r>
              <w:rPr>
                <w:rFonts w:hint="eastAsia" w:ascii="宋体" w:hAnsi="宋体" w:cs="宋体"/>
                <w:color w:val="auto"/>
                <w:u w:val="single"/>
              </w:rPr>
              <w:t>分</w:t>
            </w:r>
          </w:p>
          <w:p>
            <w:pPr>
              <w:spacing w:line="360" w:lineRule="exact"/>
              <w:rPr>
                <w:rFonts w:ascii="宋体" w:hAnsi="宋体" w:cs="宋体"/>
                <w:color w:val="auto"/>
              </w:rPr>
            </w:pPr>
            <w:r>
              <w:rPr>
                <w:rFonts w:hint="eastAsia" w:ascii="宋体" w:hAnsi="宋体" w:cs="宋体"/>
                <w:b/>
                <w:bCs/>
                <w:color w:val="auto"/>
              </w:rPr>
              <w:t>磋商时间：</w:t>
            </w:r>
            <w:r>
              <w:rPr>
                <w:rFonts w:hint="eastAsia" w:ascii="宋体" w:hAnsi="宋体" w:cs="宋体"/>
                <w:color w:val="auto"/>
                <w:u w:val="single"/>
              </w:rPr>
              <w:t>202</w:t>
            </w:r>
            <w:r>
              <w:rPr>
                <w:rFonts w:hint="eastAsia" w:ascii="宋体" w:hAnsi="宋体" w:cs="宋体"/>
                <w:color w:val="auto"/>
                <w:u w:val="single"/>
                <w:lang w:val="en-US" w:eastAsia="zh-CN"/>
              </w:rPr>
              <w:t>4</w:t>
            </w:r>
            <w:r>
              <w:rPr>
                <w:rFonts w:hint="eastAsia" w:ascii="宋体" w:hAnsi="宋体" w:cs="宋体"/>
                <w:color w:val="auto"/>
                <w:u w:val="single"/>
              </w:rPr>
              <w:t xml:space="preserve">年 </w:t>
            </w:r>
            <w:r>
              <w:rPr>
                <w:rFonts w:hint="eastAsia" w:ascii="宋体" w:hAnsi="宋体" w:cs="宋体"/>
                <w:color w:val="auto"/>
                <w:u w:val="single"/>
                <w:lang w:val="en-US" w:eastAsia="zh-CN"/>
              </w:rPr>
              <w:t xml:space="preserve">4 </w:t>
            </w:r>
            <w:r>
              <w:rPr>
                <w:rFonts w:hint="eastAsia" w:ascii="宋体" w:hAnsi="宋体" w:cs="宋体"/>
                <w:color w:val="auto"/>
                <w:u w:val="single"/>
              </w:rPr>
              <w:t xml:space="preserve">月 </w:t>
            </w:r>
            <w:r>
              <w:rPr>
                <w:rFonts w:hint="eastAsia" w:ascii="宋体" w:hAnsi="宋体" w:cs="宋体"/>
                <w:color w:val="auto"/>
                <w:u w:val="single"/>
                <w:lang w:val="en-US" w:eastAsia="zh-CN"/>
              </w:rPr>
              <w:t xml:space="preserve">18 </w:t>
            </w:r>
            <w:r>
              <w:rPr>
                <w:rFonts w:hint="eastAsia" w:ascii="宋体" w:hAnsi="宋体" w:cs="宋体"/>
                <w:color w:val="auto"/>
                <w:u w:val="single"/>
              </w:rPr>
              <w:t xml:space="preserve"> 日</w:t>
            </w:r>
            <w:r>
              <w:rPr>
                <w:rFonts w:hint="eastAsia" w:ascii="宋体" w:hAnsi="宋体" w:cs="宋体"/>
                <w:color w:val="auto"/>
                <w:u w:val="single"/>
                <w:lang w:val="en-US" w:eastAsia="zh-CN"/>
              </w:rPr>
              <w:t>上</w:t>
            </w:r>
            <w:r>
              <w:rPr>
                <w:rFonts w:hint="eastAsia" w:ascii="宋体" w:hAnsi="宋体" w:cs="宋体"/>
                <w:color w:val="auto"/>
                <w:u w:val="single"/>
              </w:rPr>
              <w:t>午</w:t>
            </w:r>
            <w:r>
              <w:rPr>
                <w:rFonts w:hint="eastAsia" w:ascii="宋体" w:hAnsi="宋体" w:cs="宋体"/>
                <w:color w:val="auto"/>
                <w:u w:val="single"/>
                <w:lang w:val="en-US" w:eastAsia="zh-CN"/>
              </w:rPr>
              <w:t xml:space="preserve"> 09</w:t>
            </w:r>
            <w:r>
              <w:rPr>
                <w:rFonts w:hint="eastAsia" w:ascii="宋体" w:hAnsi="宋体" w:cs="宋体"/>
                <w:color w:val="auto"/>
                <w:u w:val="single"/>
              </w:rPr>
              <w:t xml:space="preserve"> 点</w:t>
            </w:r>
            <w:r>
              <w:rPr>
                <w:rFonts w:hint="eastAsia" w:ascii="宋体" w:hAnsi="宋体" w:cs="宋体"/>
                <w:color w:val="auto"/>
                <w:u w:val="single"/>
                <w:lang w:val="en-US" w:eastAsia="zh-CN"/>
              </w:rPr>
              <w:t xml:space="preserve"> 30 </w:t>
            </w:r>
            <w:r>
              <w:rPr>
                <w:rFonts w:hint="eastAsia" w:ascii="宋体" w:hAnsi="宋体" w:cs="宋体"/>
                <w:color w:val="auto"/>
                <w:u w:val="single"/>
              </w:rPr>
              <w:t>分</w:t>
            </w:r>
            <w:r>
              <w:rPr>
                <w:rFonts w:hint="eastAsia" w:ascii="宋体" w:hAnsi="宋体" w:cs="宋体"/>
                <w:color w:val="auto"/>
              </w:rPr>
              <w:t>截标后</w:t>
            </w:r>
          </w:p>
          <w:p>
            <w:pPr>
              <w:rPr>
                <w:rFonts w:ascii="宋体" w:hAnsi="宋体" w:cs="宋体"/>
                <w:color w:val="auto"/>
                <w:spacing w:val="2"/>
              </w:rPr>
            </w:pPr>
            <w:r>
              <w:rPr>
                <w:rFonts w:hint="eastAsia" w:ascii="宋体" w:hAnsi="宋体" w:cs="宋体"/>
                <w:b/>
                <w:bCs/>
                <w:color w:val="auto"/>
              </w:rPr>
              <w:t>磋商地点</w:t>
            </w:r>
            <w:r>
              <w:rPr>
                <w:rFonts w:hint="eastAsia" w:ascii="宋体" w:hAnsi="宋体" w:cs="宋体"/>
                <w:bCs/>
                <w:color w:val="auto"/>
              </w:rPr>
              <w:t>：</w:t>
            </w:r>
            <w:r>
              <w:rPr>
                <w:rFonts w:hint="eastAsia" w:ascii="宋体" w:hAnsi="宋体" w:cs="宋体"/>
                <w:color w:val="auto"/>
                <w:spacing w:val="2"/>
              </w:rPr>
              <w:t>通过</w:t>
            </w:r>
            <w:r>
              <w:rPr>
                <w:rFonts w:hint="eastAsia" w:ascii="宋体" w:hAnsi="宋体" w:cs="宋体"/>
                <w:color w:val="auto"/>
                <w:spacing w:val="2"/>
                <w:lang w:eastAsia="zh-CN"/>
              </w:rPr>
              <w:t>广西政府采购云平台</w:t>
            </w:r>
            <w:r>
              <w:rPr>
                <w:rFonts w:hint="eastAsia" w:ascii="宋体" w:hAnsi="宋体" w:cs="宋体"/>
                <w:color w:val="auto"/>
                <w:spacing w:val="2"/>
              </w:rPr>
              <w:t>实行在线磋商。</w:t>
            </w:r>
          </w:p>
          <w:p>
            <w:pPr>
              <w:pStyle w:val="23"/>
              <w:spacing w:line="360" w:lineRule="exact"/>
              <w:rPr>
                <w:rFonts w:hAnsi="宋体" w:cs="宋体"/>
                <w:color w:val="auto"/>
                <w:szCs w:val="21"/>
              </w:rPr>
            </w:pPr>
            <w:r>
              <w:rPr>
                <w:rFonts w:hint="eastAsia" w:hAnsi="宋体" w:cs="宋体"/>
                <w:color w:val="auto"/>
                <w:szCs w:val="21"/>
              </w:rPr>
              <w:t>注：供应商必须派授权代表远程参与磋商活动，并保证其授权代表电话畅通、网络在线。在代理机构电话通知磋商结果前必须确保授权代理始终在岗，磋商过程中的澄清及报价等工作将以网络形式进行。如因为供应商的通信或网络原因造成的磋商失误，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0" w:type="dxa"/>
            <w:vAlign w:val="center"/>
          </w:tcPr>
          <w:p>
            <w:pPr>
              <w:spacing w:line="360" w:lineRule="exact"/>
              <w:jc w:val="center"/>
              <w:rPr>
                <w:rFonts w:ascii="宋体" w:hAnsi="宋体" w:cs="宋体"/>
                <w:color w:val="auto"/>
              </w:rPr>
            </w:pPr>
            <w:r>
              <w:rPr>
                <w:rFonts w:hint="eastAsia" w:ascii="宋体" w:hAnsi="宋体" w:cs="宋体"/>
                <w:color w:val="auto"/>
                <w:spacing w:val="2"/>
              </w:rPr>
              <w:t>9</w:t>
            </w:r>
          </w:p>
        </w:tc>
        <w:tc>
          <w:tcPr>
            <w:tcW w:w="850" w:type="dxa"/>
            <w:vAlign w:val="center"/>
          </w:tcPr>
          <w:p>
            <w:pPr>
              <w:spacing w:line="360" w:lineRule="exact"/>
              <w:jc w:val="left"/>
              <w:rPr>
                <w:rFonts w:ascii="宋体" w:hAnsi="宋体" w:cs="宋体"/>
                <w:color w:val="auto"/>
              </w:rPr>
            </w:pPr>
            <w:r>
              <w:rPr>
                <w:rFonts w:hint="eastAsia" w:ascii="宋体" w:hAnsi="宋体" w:cs="宋体"/>
                <w:color w:val="auto"/>
              </w:rPr>
              <w:t>28</w:t>
            </w:r>
          </w:p>
        </w:tc>
        <w:tc>
          <w:tcPr>
            <w:tcW w:w="8225" w:type="dxa"/>
            <w:vAlign w:val="center"/>
          </w:tcPr>
          <w:p>
            <w:pPr>
              <w:tabs>
                <w:tab w:val="left" w:pos="210"/>
              </w:tabs>
              <w:spacing w:line="380" w:lineRule="exact"/>
              <w:ind w:left="4870" w:hanging="4869" w:hangingChars="2319"/>
              <w:jc w:val="left"/>
              <w:rPr>
                <w:rFonts w:ascii="宋体" w:hAnsi="宋体" w:cs="宋体"/>
                <w:color w:val="auto"/>
              </w:rPr>
            </w:pPr>
            <w:r>
              <w:rPr>
                <w:rFonts w:hint="eastAsia" w:ascii="宋体" w:hAnsi="宋体" w:cs="宋体"/>
                <w:color w:val="auto"/>
              </w:rPr>
              <w:t>评标办法：综合评分法</w:t>
            </w:r>
          </w:p>
          <w:p>
            <w:pPr>
              <w:tabs>
                <w:tab w:val="left" w:pos="210"/>
              </w:tabs>
              <w:spacing w:line="380" w:lineRule="exact"/>
              <w:ind w:left="4889" w:hanging="4889" w:hangingChars="2319"/>
              <w:jc w:val="left"/>
              <w:rPr>
                <w:rFonts w:ascii="宋体" w:hAnsi="宋体" w:cs="宋体"/>
                <w:b/>
                <w:bCs/>
                <w:color w:val="auto"/>
                <w:u w:val="single"/>
              </w:rPr>
            </w:pPr>
            <w:r>
              <w:rPr>
                <w:rFonts w:hint="eastAsia" w:ascii="宋体" w:hAnsi="宋体" w:cs="宋体"/>
                <w:b/>
                <w:bCs/>
                <w:color w:val="auto"/>
              </w:rPr>
              <w:t>工程预算控制价为：</w:t>
            </w:r>
            <w:r>
              <w:rPr>
                <w:rFonts w:hint="eastAsia" w:ascii="宋体" w:hAnsi="宋体" w:cs="宋体"/>
                <w:color w:val="auto"/>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10" w:type="dxa"/>
            <w:vAlign w:val="center"/>
          </w:tcPr>
          <w:p>
            <w:pPr>
              <w:spacing w:line="360" w:lineRule="exact"/>
              <w:jc w:val="center"/>
              <w:rPr>
                <w:rFonts w:ascii="宋体" w:hAnsi="宋体" w:cs="宋体"/>
                <w:color w:val="auto"/>
              </w:rPr>
            </w:pPr>
            <w:r>
              <w:rPr>
                <w:rFonts w:hint="eastAsia" w:ascii="宋体" w:hAnsi="宋体" w:cs="宋体"/>
                <w:color w:val="auto"/>
              </w:rPr>
              <w:t>10</w:t>
            </w:r>
          </w:p>
        </w:tc>
        <w:tc>
          <w:tcPr>
            <w:tcW w:w="850" w:type="dxa"/>
            <w:vAlign w:val="center"/>
          </w:tcPr>
          <w:p>
            <w:pPr>
              <w:spacing w:line="360" w:lineRule="exact"/>
              <w:jc w:val="center"/>
              <w:rPr>
                <w:rFonts w:ascii="宋体" w:hAnsi="宋体" w:cs="宋体"/>
                <w:color w:val="auto"/>
              </w:rPr>
            </w:pPr>
            <w:r>
              <w:rPr>
                <w:rFonts w:hint="eastAsia" w:ascii="宋体" w:hAnsi="宋体" w:cs="宋体"/>
                <w:color w:val="auto"/>
              </w:rPr>
              <w:t>30.1</w:t>
            </w:r>
          </w:p>
        </w:tc>
        <w:tc>
          <w:tcPr>
            <w:tcW w:w="8225" w:type="dxa"/>
            <w:vAlign w:val="center"/>
          </w:tcPr>
          <w:p>
            <w:pPr>
              <w:spacing w:line="360" w:lineRule="exact"/>
              <w:jc w:val="left"/>
              <w:rPr>
                <w:rFonts w:ascii="宋体" w:hAnsi="宋体" w:cs="宋体"/>
                <w:color w:val="auto"/>
              </w:rPr>
            </w:pPr>
            <w:r>
              <w:rPr>
                <w:rFonts w:hint="eastAsia" w:ascii="宋体" w:hAnsi="宋体" w:cs="宋体"/>
                <w:color w:val="auto"/>
              </w:rPr>
              <w:t>评标结果公示：在评标结束后两个工作日内，在http://www.ccgp.gov.cn（中国政府采购网）、http://www.ccgp-guangxi.gov.cn/（广西壮族自治区政府采购网）、公示评标结果。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10" w:type="dxa"/>
            <w:vAlign w:val="center"/>
          </w:tcPr>
          <w:p>
            <w:pPr>
              <w:spacing w:line="360" w:lineRule="exact"/>
              <w:jc w:val="center"/>
              <w:rPr>
                <w:rFonts w:ascii="宋体" w:hAnsi="宋体" w:cs="宋体"/>
                <w:color w:val="auto"/>
                <w:spacing w:val="2"/>
              </w:rPr>
            </w:pPr>
            <w:r>
              <w:rPr>
                <w:rFonts w:hint="eastAsia" w:ascii="宋体" w:hAnsi="宋体" w:cs="宋体"/>
                <w:color w:val="auto"/>
              </w:rPr>
              <w:t>11</w:t>
            </w:r>
          </w:p>
        </w:tc>
        <w:tc>
          <w:tcPr>
            <w:tcW w:w="850" w:type="dxa"/>
            <w:vAlign w:val="center"/>
          </w:tcPr>
          <w:p>
            <w:pPr>
              <w:autoSpaceDE w:val="0"/>
              <w:autoSpaceDN w:val="0"/>
              <w:spacing w:line="360" w:lineRule="exact"/>
              <w:ind w:right="69" w:rightChars="33"/>
              <w:jc w:val="center"/>
              <w:rPr>
                <w:rFonts w:ascii="宋体" w:hAnsi="宋体" w:cs="宋体"/>
                <w:color w:val="auto"/>
                <w:kern w:val="0"/>
              </w:rPr>
            </w:pPr>
            <w:r>
              <w:rPr>
                <w:rFonts w:hint="eastAsia" w:ascii="宋体" w:hAnsi="宋体" w:cs="宋体"/>
                <w:color w:val="auto"/>
                <w:kern w:val="0"/>
              </w:rPr>
              <w:t>33</w:t>
            </w:r>
          </w:p>
        </w:tc>
        <w:tc>
          <w:tcPr>
            <w:tcW w:w="8225" w:type="dxa"/>
            <w:vAlign w:val="center"/>
          </w:tcPr>
          <w:p>
            <w:pPr>
              <w:spacing w:line="360" w:lineRule="auto"/>
              <w:jc w:val="left"/>
              <w:rPr>
                <w:rFonts w:ascii="宋体" w:hAnsi="宋体" w:cs="宋体"/>
                <w:color w:val="auto"/>
                <w:u w:val="single"/>
              </w:rPr>
            </w:pPr>
            <w:r>
              <w:rPr>
                <w:rFonts w:hint="eastAsia" w:ascii="宋体" w:hAnsi="宋体" w:cs="宋体"/>
                <w:b/>
                <w:color w:val="auto"/>
                <w:kern w:val="0"/>
              </w:rPr>
              <w:t>履约保证金：无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10" w:type="dxa"/>
            <w:vAlign w:val="center"/>
          </w:tcPr>
          <w:p>
            <w:pPr>
              <w:spacing w:line="360" w:lineRule="exact"/>
              <w:jc w:val="center"/>
              <w:rPr>
                <w:rFonts w:ascii="宋体" w:hAnsi="宋体" w:cs="宋体"/>
                <w:color w:val="auto"/>
              </w:rPr>
            </w:pPr>
            <w:r>
              <w:rPr>
                <w:rFonts w:hint="eastAsia" w:ascii="宋体" w:hAnsi="宋体" w:cs="宋体"/>
                <w:color w:val="auto"/>
              </w:rPr>
              <w:t>12</w:t>
            </w:r>
          </w:p>
        </w:tc>
        <w:tc>
          <w:tcPr>
            <w:tcW w:w="850" w:type="dxa"/>
            <w:vAlign w:val="center"/>
          </w:tcPr>
          <w:p>
            <w:pPr>
              <w:autoSpaceDE w:val="0"/>
              <w:autoSpaceDN w:val="0"/>
              <w:spacing w:line="360" w:lineRule="exact"/>
              <w:ind w:right="69" w:rightChars="33"/>
              <w:jc w:val="center"/>
              <w:rPr>
                <w:rFonts w:ascii="宋体" w:hAnsi="宋体" w:cs="宋体"/>
                <w:color w:val="auto"/>
                <w:kern w:val="0"/>
              </w:rPr>
            </w:pPr>
            <w:r>
              <w:rPr>
                <w:rFonts w:hint="eastAsia" w:ascii="宋体" w:hAnsi="宋体" w:cs="宋体"/>
                <w:color w:val="auto"/>
                <w:kern w:val="0"/>
              </w:rPr>
              <w:t>34</w:t>
            </w:r>
          </w:p>
        </w:tc>
        <w:tc>
          <w:tcPr>
            <w:tcW w:w="8225" w:type="dxa"/>
            <w:vAlign w:val="center"/>
          </w:tcPr>
          <w:p>
            <w:pPr>
              <w:spacing w:line="360" w:lineRule="auto"/>
              <w:jc w:val="left"/>
              <w:rPr>
                <w:rFonts w:ascii="宋体" w:hAnsi="宋体" w:cs="宋体"/>
                <w:b/>
                <w:color w:val="auto"/>
                <w:kern w:val="0"/>
              </w:rPr>
            </w:pPr>
            <w:r>
              <w:rPr>
                <w:rFonts w:hint="eastAsia" w:ascii="宋体" w:hAnsi="宋体" w:cs="宋体"/>
                <w:color w:val="auto"/>
              </w:rPr>
              <w:t>在合同签订及完善请款手续后，可以预拨合同的60%以内的进度款。设备一次性安装调试完成后，经供货方、需方和监督单位验收合格后,并将该批设备的增值税发票、清单、质量检验合格证明、货运提单提供给需方，需方验明无误后30个工作日内，付清总货款的97%；剩余3%货款于作为质量保证金，待质量保证期过后甲方在1年内一次性无息返还给乙方。</w:t>
            </w:r>
          </w:p>
        </w:tc>
      </w:tr>
    </w:tbl>
    <w:p>
      <w:pPr>
        <w:rPr>
          <w:rFonts w:hint="eastAsia" w:ascii="宋体" w:hAnsi="宋体" w:cs="宋体"/>
          <w:b/>
          <w:bCs/>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p>
      <w:pPr>
        <w:ind w:firstLine="3654" w:firstLineChars="13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磋商须知</w:t>
      </w:r>
    </w:p>
    <w:p>
      <w:pPr>
        <w:spacing w:line="360" w:lineRule="exact"/>
        <w:ind w:firstLine="211" w:firstLineChars="98"/>
        <w:jc w:val="center"/>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一、总则</w:t>
      </w:r>
    </w:p>
    <w:p>
      <w:pPr>
        <w:spacing w:line="360" w:lineRule="auto"/>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L．工程说明</w:t>
      </w:r>
    </w:p>
    <w:p>
      <w:pPr>
        <w:spacing w:line="360" w:lineRule="auto"/>
        <w:ind w:firstLine="428"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1.1工程的说明见磋商须知前附表及磋商须知前附表（以下称“前附表”）</w:t>
      </w:r>
      <w:r>
        <w:rPr>
          <w:rFonts w:hint="eastAsia" w:ascii="宋体" w:hAnsi="宋体" w:cs="宋体"/>
          <w:color w:val="000000" w:themeColor="text1"/>
          <w14:textFill>
            <w14:solidFill>
              <w14:schemeClr w14:val="tx1"/>
            </w14:solidFill>
          </w14:textFill>
        </w:rPr>
        <w:t>第1项、第2项及下述</w:t>
      </w:r>
      <w:r>
        <w:rPr>
          <w:rFonts w:hint="eastAsia" w:ascii="宋体" w:hAnsi="宋体" w:cs="宋体"/>
          <w:color w:val="000000" w:themeColor="text1"/>
          <w:spacing w:val="2"/>
          <w14:textFill>
            <w14:solidFill>
              <w14:schemeClr w14:val="tx1"/>
            </w14:solidFill>
          </w14:textFill>
        </w:rPr>
        <w:t>1.2款所述。项目名称、</w:t>
      </w:r>
      <w:r>
        <w:rPr>
          <w:rFonts w:hint="eastAsia" w:ascii="宋体" w:hAnsi="宋体" w:cs="宋体"/>
          <w:color w:val="000000" w:themeColor="text1"/>
          <w14:textFill>
            <w14:solidFill>
              <w14:schemeClr w14:val="tx1"/>
            </w14:solidFill>
          </w14:textFill>
        </w:rPr>
        <w:t>项目编号和合同名称见本须知前附表第1项。</w:t>
      </w:r>
    </w:p>
    <w:p>
      <w:pPr>
        <w:spacing w:line="360" w:lineRule="auto"/>
        <w:ind w:firstLine="42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1.2上述工程根据《中华人民共和国政府采购法实施条例》、</w:t>
      </w:r>
      <w:r>
        <w:rPr>
          <w:rFonts w:hint="eastAsia" w:ascii="宋体" w:hAnsi="宋体" w:cs="宋体"/>
          <w:color w:val="000000" w:themeColor="text1"/>
          <w14:textFill>
            <w14:solidFill>
              <w14:schemeClr w14:val="tx1"/>
            </w14:solidFill>
          </w14:textFill>
        </w:rPr>
        <w:t>《政府采购竞争性磋商采购方式管理暂行办法》</w:t>
      </w:r>
      <w:r>
        <w:rPr>
          <w:rFonts w:hint="eastAsia" w:ascii="宋体" w:hAnsi="宋体" w:cs="宋体"/>
          <w:color w:val="000000" w:themeColor="text1"/>
          <w:spacing w:val="2"/>
          <w14:textFill>
            <w14:solidFill>
              <w14:schemeClr w14:val="tx1"/>
            </w14:solidFill>
          </w14:textFill>
        </w:rPr>
        <w:t>规定，现通过竞争性磋商采购方式来择优选定施工单位。</w:t>
      </w:r>
    </w:p>
    <w:p>
      <w:pPr>
        <w:spacing w:line="360" w:lineRule="auto"/>
        <w:ind w:firstLine="42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1.3施工环境:施工场地水电管线等由承包人自行负责；②承包人施工场地内的道路交通及公用施工道路由承包人自行负责，发包方协助办理。</w:t>
      </w:r>
    </w:p>
    <w:p>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1.4工程内容及规模：</w:t>
      </w:r>
      <w:r>
        <w:rPr>
          <w:rFonts w:hint="eastAsia" w:ascii="宋体" w:hAnsi="宋体" w:cs="宋体"/>
          <w:color w:val="000000" w:themeColor="text1"/>
          <w14:textFill>
            <w14:solidFill>
              <w14:schemeClr w14:val="tx1"/>
            </w14:solidFill>
          </w14:textFill>
        </w:rPr>
        <w:t>本次范围为</w:t>
      </w:r>
      <w:r>
        <w:rPr>
          <w:rFonts w:hint="eastAsia" w:ascii="宋体" w:hAnsi="宋体" w:cs="宋体"/>
          <w:color w:val="000000" w:themeColor="text1"/>
          <w:spacing w:val="2"/>
          <w:lang w:eastAsia="zh-CN"/>
          <w14:textFill>
            <w14:solidFill>
              <w14:schemeClr w14:val="tx1"/>
            </w14:solidFill>
          </w14:textFill>
        </w:rPr>
        <w:t>钦州市钦北区2024年农村人饮供水保障工程-土建（Ⅰ标）</w:t>
      </w:r>
      <w:r>
        <w:rPr>
          <w:rFonts w:hint="eastAsia" w:ascii="宋体" w:hAnsi="宋体" w:cs="宋体"/>
          <w:color w:val="000000" w:themeColor="text1"/>
          <w14:textFill>
            <w14:solidFill>
              <w14:schemeClr w14:val="tx1"/>
            </w14:solidFill>
          </w14:textFill>
        </w:rPr>
        <w:t>等，具体详见图纸、工程量清单。</w:t>
      </w:r>
    </w:p>
    <w:p>
      <w:pPr>
        <w:spacing w:line="360" w:lineRule="auto"/>
        <w:ind w:firstLine="42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14:textFill>
            <w14:solidFill>
              <w14:schemeClr w14:val="tx1"/>
            </w14:solidFill>
          </w14:textFill>
        </w:rPr>
        <w:t>1.5本项目为</w:t>
      </w:r>
      <w:r>
        <w:rPr>
          <w:rFonts w:hint="eastAsia" w:ascii="宋体" w:hAnsi="宋体" w:cs="宋体"/>
          <w:color w:val="000000" w:themeColor="text1"/>
          <w:spacing w:val="2"/>
          <w:lang w:eastAsia="zh-CN"/>
          <w14:textFill>
            <w14:solidFill>
              <w14:schemeClr w14:val="tx1"/>
            </w14:solidFill>
          </w14:textFill>
        </w:rPr>
        <w:t>钦州市钦北区2024年农村人饮供水保障工程-土建（Ⅰ标）</w:t>
      </w:r>
      <w:r>
        <w:rPr>
          <w:rFonts w:hint="eastAsia" w:ascii="宋体" w:hAnsi="宋体" w:cs="宋体"/>
          <w:color w:val="000000" w:themeColor="text1"/>
          <w14:textFill>
            <w14:solidFill>
              <w14:schemeClr w14:val="tx1"/>
            </w14:solidFill>
          </w14:textFill>
        </w:rPr>
        <w:t>，单价包干，最终按实际发生的工程量清单进行结算。</w:t>
      </w:r>
    </w:p>
    <w:p>
      <w:pPr>
        <w:pStyle w:val="170"/>
        <w:spacing w:line="360" w:lineRule="exact"/>
        <w:ind w:firstLine="430" w:firstLineChars="200"/>
        <w:rPr>
          <w:rFonts w:hAnsi="宋体" w:cs="宋体"/>
          <w:b/>
          <w:bCs/>
          <w:color w:val="000000" w:themeColor="text1"/>
          <w:spacing w:val="2"/>
          <w:szCs w:val="21"/>
          <w14:textFill>
            <w14:solidFill>
              <w14:schemeClr w14:val="tx1"/>
            </w14:solidFill>
          </w14:textFill>
        </w:rPr>
      </w:pPr>
      <w:r>
        <w:rPr>
          <w:rFonts w:hint="eastAsia" w:hAnsi="宋体" w:cs="宋体"/>
          <w:b/>
          <w:bCs/>
          <w:color w:val="000000" w:themeColor="text1"/>
          <w:spacing w:val="2"/>
          <w:szCs w:val="21"/>
          <w14:textFill>
            <w14:solidFill>
              <w14:schemeClr w14:val="tx1"/>
            </w14:solidFill>
          </w14:textFill>
        </w:rPr>
        <w:t>2．资金来源及落实情况</w:t>
      </w:r>
    </w:p>
    <w:p>
      <w:pPr>
        <w:spacing w:line="360" w:lineRule="auto"/>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2.1本工程的资金来源为：财政资金。</w:t>
      </w:r>
    </w:p>
    <w:p>
      <w:pPr>
        <w:spacing w:line="360" w:lineRule="auto"/>
        <w:ind w:firstLine="409"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14:textFill>
            <w14:solidFill>
              <w14:schemeClr w14:val="tx1"/>
            </w14:solidFill>
          </w14:textFill>
        </w:rPr>
        <w:t>2.2资金到位及落实情况：</w:t>
      </w:r>
      <w:r>
        <w:rPr>
          <w:rFonts w:hint="eastAsia" w:ascii="宋体" w:hAnsi="宋体" w:cs="宋体"/>
          <w:color w:val="000000" w:themeColor="text1"/>
          <w:u w:val="single"/>
          <w14:textFill>
            <w14:solidFill>
              <w14:schemeClr w14:val="tx1"/>
            </w14:solidFill>
          </w14:textFill>
        </w:rPr>
        <w:t>已落实</w:t>
      </w:r>
      <w:r>
        <w:rPr>
          <w:rFonts w:hint="eastAsia" w:ascii="宋体" w:hAnsi="宋体" w:cs="宋体"/>
          <w:color w:val="000000" w:themeColor="text1"/>
          <w14:textFill>
            <w14:solidFill>
              <w14:schemeClr w14:val="tx1"/>
            </w14:solidFill>
          </w14:textFill>
        </w:rPr>
        <w:t>。</w:t>
      </w:r>
    </w:p>
    <w:p>
      <w:pPr>
        <w:spacing w:line="360" w:lineRule="auto"/>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3．磋商人资质与合格条件的要求（本项目不接受联合体竞标）</w:t>
      </w:r>
    </w:p>
    <w:p>
      <w:pPr>
        <w:spacing w:line="360" w:lineRule="auto"/>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spacing w:val="2"/>
          <w14:textFill>
            <w14:solidFill>
              <w14:schemeClr w14:val="tx1"/>
            </w14:solidFill>
          </w14:textFill>
        </w:rPr>
        <w:t>.</w:t>
      </w:r>
      <w:r>
        <w:rPr>
          <w:rFonts w:hint="eastAsia" w:ascii="宋体" w:hAnsi="宋体" w:cs="宋体"/>
          <w:color w:val="000000" w:themeColor="text1"/>
          <w14:textFill>
            <w14:solidFill>
              <w14:schemeClr w14:val="tx1"/>
            </w14:solidFill>
          </w14:textFill>
        </w:rPr>
        <w:t>1 有资格获得本合同的磋商人，应满足本须知前附表第4项所列的资格条件。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3.2接受联合体竞标，除应符合本须知前附表第4项的要求外，还应遵守以下规定：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（1）联合体各方应按招标文件提供的格式签订联合体协议书，明确联合体牵头人和各方权利义务；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（2）由同一专业的单位组成的联合体，按照资质等级较低的单位确定资质等级；</w:t>
      </w:r>
    </w:p>
    <w:p>
      <w:pPr>
        <w:spacing w:line="360" w:lineRule="auto"/>
        <w:ind w:firstLine="409"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14:textFill>
            <w14:solidFill>
              <w14:schemeClr w14:val="tx1"/>
            </w14:solidFill>
          </w14:textFill>
        </w:rPr>
        <w:t>（3）联合体各方不得再以自己名义单独或参加其他联合体在同一标段中投标。</w:t>
      </w:r>
    </w:p>
    <w:p>
      <w:pPr>
        <w:spacing w:line="360" w:lineRule="auto"/>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4．竞标范围</w:t>
      </w:r>
    </w:p>
    <w:p>
      <w:pPr>
        <w:spacing w:line="360" w:lineRule="auto"/>
        <w:ind w:firstLine="42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14:textFill>
            <w14:solidFill>
              <w14:schemeClr w14:val="tx1"/>
            </w14:solidFill>
          </w14:textFill>
        </w:rPr>
        <w:t>4.1本项目划分为一个标段，本次范围为包含</w:t>
      </w:r>
      <w:r>
        <w:rPr>
          <w:rFonts w:hint="eastAsia" w:ascii="宋体" w:hAnsi="宋体" w:cs="宋体"/>
          <w:color w:val="000000" w:themeColor="text1"/>
          <w:lang w:eastAsia="zh-CN"/>
          <w14:textFill>
            <w14:solidFill>
              <w14:schemeClr w14:val="tx1"/>
            </w14:solidFill>
          </w14:textFill>
        </w:rPr>
        <w:t>钦州市钦北区2024年农村人饮供水保障工程-土建（Ⅰ标）</w:t>
      </w:r>
      <w:r>
        <w:rPr>
          <w:rFonts w:hint="eastAsia" w:ascii="宋体" w:hAnsi="宋体" w:cs="宋体"/>
          <w:color w:val="000000" w:themeColor="text1"/>
          <w14:textFill>
            <w14:solidFill>
              <w14:schemeClr w14:val="tx1"/>
            </w14:solidFill>
          </w14:textFill>
        </w:rPr>
        <w:t>等，具体详见图纸、工程量清单。</w:t>
      </w:r>
    </w:p>
    <w:p>
      <w:pPr>
        <w:pStyle w:val="170"/>
        <w:spacing w:line="360" w:lineRule="exact"/>
        <w:rPr>
          <w:rFonts w:hAnsi="宋体" w:cs="宋体"/>
          <w:b/>
          <w:bCs/>
          <w:color w:val="000000" w:themeColor="text1"/>
          <w:spacing w:val="2"/>
          <w:szCs w:val="21"/>
          <w14:textFill>
            <w14:solidFill>
              <w14:schemeClr w14:val="tx1"/>
            </w14:solidFill>
          </w14:textFill>
        </w:rPr>
      </w:pPr>
      <w:r>
        <w:rPr>
          <w:rFonts w:hint="eastAsia" w:hAnsi="宋体" w:cs="宋体"/>
          <w:b/>
          <w:bCs/>
          <w:color w:val="000000" w:themeColor="text1"/>
          <w:spacing w:val="2"/>
          <w:szCs w:val="21"/>
          <w14:textFill>
            <w14:solidFill>
              <w14:schemeClr w14:val="tx1"/>
            </w14:solidFill>
          </w14:textFill>
        </w:rPr>
        <w:t>5．竞标费用</w:t>
      </w:r>
    </w:p>
    <w:p>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5.1磋商人应承担其编制响应文件与递交响应文件所涉及的一切费用。不管竞标结果如何，采购人对上述费用不负任何责任。</w:t>
      </w:r>
    </w:p>
    <w:p>
      <w:pPr>
        <w:pStyle w:val="19"/>
        <w:spacing w:line="400" w:lineRule="exact"/>
        <w:ind w:left="0" w:left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6．现场考察</w:t>
      </w:r>
    </w:p>
    <w:p>
      <w:pPr>
        <w:pStyle w:val="23"/>
        <w:spacing w:line="4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6.1磋商人可自行对工程施工现场和周围环境进行勘察，以获取编制响应文件和签署合同所需的资料。磋商人应承担现场考察的责任和风险。考察现场的费用由磋商人自己承担。</w:t>
      </w:r>
    </w:p>
    <w:p>
      <w:pPr>
        <w:spacing w:line="420" w:lineRule="exact"/>
        <w:jc w:val="center"/>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二、竞争性磋商采购文件（简称谈判采购文件）</w:t>
      </w:r>
    </w:p>
    <w:p>
      <w:pPr>
        <w:spacing w:line="42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7．竞争性磋商采购文件的组成</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7.1 本合同的竞争性磋商采购文件包括下列文件及所有按本须知第9条发出的补充通知和第15条所述的补遗文件。</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竞争性磋商采购文件包括下列内容：</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竞争性磋商采购公告</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第一章磋商须知前附表及磋商须知前附表和磋商须知前附表及磋商须知</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第二章</w:t>
      </w:r>
      <w:r>
        <w:rPr>
          <w:rFonts w:hint="eastAsia" w:ascii="宋体" w:hAnsi="宋体" w:cs="宋体"/>
          <w:color w:val="000000" w:themeColor="text1"/>
          <w14:textFill>
            <w14:solidFill>
              <w14:schemeClr w14:val="tx1"/>
            </w14:solidFill>
          </w14:textFill>
        </w:rPr>
        <w:t>合同条款</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第三章</w:t>
      </w:r>
      <w:r>
        <w:rPr>
          <w:rFonts w:hint="eastAsia" w:ascii="宋体" w:hAnsi="宋体" w:cs="宋体"/>
          <w:color w:val="000000" w:themeColor="text1"/>
          <w14:textFill>
            <w14:solidFill>
              <w14:schemeClr w14:val="tx1"/>
            </w14:solidFill>
          </w14:textFill>
        </w:rPr>
        <w:t>技术标准、规范</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第四章响应文件格式</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第五章工程量清单</w:t>
      </w:r>
    </w:p>
    <w:p>
      <w:pPr>
        <w:spacing w:line="42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第六章评标办法</w:t>
      </w:r>
    </w:p>
    <w:p>
      <w:pPr>
        <w:spacing w:line="420" w:lineRule="exact"/>
        <w:ind w:firstLine="363" w:firstLineChars="17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 xml:space="preserve"> 7.2磋商人应认真审阅竞争性磋商采购文件中所有的磋商须知前附表及磋商须知、合同条件、规定格式、技术规范或技术要求。如果磋商人编制的响应文件不能符合竞争性磋商采购文件的要求，责任由磋商人自负。实质上不响应竞争性磋商采购文件要求的响应文件将被采购人拒绝。</w:t>
      </w:r>
    </w:p>
    <w:p>
      <w:pPr>
        <w:spacing w:line="42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8．竞争性磋商采购文件的解释</w:t>
      </w:r>
    </w:p>
    <w:p>
      <w:pPr>
        <w:spacing w:line="42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磋商人在收到竞争性磋商采购文件后，若有问题需要澄清，应于收到竞争性磋商采购文件后2日内，以书面形式（包括书面文字、传真、电报等，下同）向采购代理机构提出，采购代理机构将以书面形式予以解答，答复将送给所有获得竞争性磋商采购文件的磋商人。</w:t>
      </w:r>
    </w:p>
    <w:p>
      <w:pPr>
        <w:spacing w:line="42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9．竞争性磋商采购文件的修改</w:t>
      </w:r>
    </w:p>
    <w:p>
      <w:pPr>
        <w:pStyle w:val="23"/>
        <w:spacing w:line="42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9.1任何要求澄清采购文件的磋商供应商，均应在磋商截止时间的5天前以传真、电报等书面形式通知采购代理机构，同时认定其他澄清方式为无效。采购代理机构将以书面形式予以答复。</w:t>
      </w:r>
    </w:p>
    <w:p>
      <w:pPr>
        <w:pStyle w:val="23"/>
        <w:spacing w:line="42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9.2采购代理机构对已发出的采购文件进行必要澄清或者修改的，在采购文件要求提交磋商响应文件截止时间5天前在【http://www.ccgp.gov.cn（中国政府采购网）、http://www.ccgp-guangxi.gov.cn/（广西壮族自治区政府采购网）】上发布更正公告，并以书面形式通知所有获取采购文件的磋商供应商。该澄清或修改的内容为磋商响应文件的组成部分。</w:t>
      </w:r>
    </w:p>
    <w:p>
      <w:pPr>
        <w:pStyle w:val="23"/>
        <w:spacing w:line="42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9.3采购文件的澄清或修改将以书面形式通知所有获取采购文件的磋商供应商，并对其具有约束力。</w:t>
      </w:r>
    </w:p>
    <w:p>
      <w:pPr>
        <w:pStyle w:val="23"/>
        <w:spacing w:line="42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9.4采购代理机构可视具体情况，延长磋商截止时间和开标时间，并将此变更时间书面通知所有获取采购文件的磋商供应商，并在【http://www.ccgp.gov.cn（中国政府采购网）、http://www.ccgp-guangxi.gov.cn/（广西壮族自治区政府采购网）】上发布变更公告。</w:t>
      </w:r>
    </w:p>
    <w:p>
      <w:pPr>
        <w:spacing w:line="420" w:lineRule="exact"/>
        <w:ind w:firstLine="419" w:firstLineChars="195"/>
        <w:jc w:val="center"/>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三、磋商报价说明</w:t>
      </w:r>
    </w:p>
    <w:p>
      <w:pPr>
        <w:spacing w:line="42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10．磋商价格</w:t>
      </w:r>
    </w:p>
    <w:p>
      <w:pPr>
        <w:pStyle w:val="35"/>
        <w:ind w:firstLine="43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2"/>
          <w:sz w:val="21"/>
          <w:szCs w:val="21"/>
          <w14:textFill>
            <w14:solidFill>
              <w14:schemeClr w14:val="tx1"/>
            </w14:solidFill>
          </w14:textFill>
        </w:rPr>
        <w:t xml:space="preserve">10.1 </w:t>
      </w:r>
      <w:r>
        <w:rPr>
          <w:rFonts w:hint="eastAsia" w:ascii="宋体" w:hAnsi="宋体" w:cs="宋体"/>
          <w:b/>
          <w:bCs/>
          <w:color w:val="000000" w:themeColor="text1"/>
          <w:sz w:val="21"/>
          <w:szCs w:val="21"/>
          <w14:textFill>
            <w14:solidFill>
              <w14:schemeClr w14:val="tx1"/>
            </w14:solidFill>
          </w14:textFill>
        </w:rPr>
        <w:t>报价计价说明</w:t>
      </w:r>
    </w:p>
    <w:p>
      <w:pPr>
        <w:spacing w:line="5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10.1.1供应商必须就所投项目的全部内容作完整唯一报价，漏项报价的或有选择的或有条件的或不按招标工程清单进行报价的，其磋商将视为无效。</w:t>
      </w:r>
    </w:p>
    <w:p>
      <w:pPr>
        <w:autoSpaceDE w:val="0"/>
        <w:autoSpaceDN w:val="0"/>
        <w:adjustRightInd w:val="0"/>
        <w:spacing w:line="420" w:lineRule="exact"/>
        <w:ind w:firstLine="315" w:firstLineChars="1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人应根据竞争性磋商采购文件中提供的要求，施工现场实际情况及拟定的施工方案或施工组织设计，依据本企业的实际情况和市场价格信息，或参照行政主管部门发布的现行工程造价依据的有关规定，并结合本企业的技术管理水平自主报价。</w:t>
      </w:r>
    </w:p>
    <w:p>
      <w:pPr>
        <w:spacing w:line="360" w:lineRule="auto"/>
        <w:ind w:firstLine="432" w:firstLineChars="20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10.1.2磋商人磋商报价应是完成本工程和合同条款上所列的采购工程范围及工期的全部，不得以任何理由予以重复，作为磋商人的计算单价或总价的依据。</w:t>
      </w:r>
    </w:p>
    <w:p>
      <w:pPr>
        <w:spacing w:line="360" w:lineRule="auto"/>
        <w:ind w:firstLine="448"/>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10.1.3</w:t>
      </w:r>
      <w:r>
        <w:rPr>
          <w:rFonts w:hint="eastAsia" w:ascii="宋体" w:hAnsi="宋体" w:cs="宋体"/>
          <w:b/>
          <w:bCs/>
          <w:color w:val="000000" w:themeColor="text1"/>
          <w14:textFill>
            <w14:solidFill>
              <w14:schemeClr w14:val="tx1"/>
            </w14:solidFill>
          </w14:textFill>
        </w:rPr>
        <w:t>除非合同中另有规定，磋商人在报价中所报的价格均包括完成该工程项目的成本、利润、税金、开办费、技术措施费、大型机械进出场费、风险费、政策性文件规定费用等所有费用。</w:t>
      </w:r>
    </w:p>
    <w:p>
      <w:pPr>
        <w:spacing w:line="360" w:lineRule="auto"/>
        <w:ind w:firstLine="420" w:firstLineChars="199"/>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10.1.4承包人的临时占地租用费、临时用地的环保、恢复及所有临时性占地的地面附着物发生的费用均由承包人负责；由于承包人原因引起工期延长造成承包人临时占地的租用费增加由承包人负责。以上费用在竞标价中自行考虑。</w:t>
      </w:r>
    </w:p>
    <w:p>
      <w:pPr>
        <w:pStyle w:val="23"/>
        <w:spacing w:line="360" w:lineRule="auto"/>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10.1.5磋商人可先到工地踏勘以充分了解工地位置、情况、道路、储存空间、装卸限制及任何其他足以影响承包价的情况，任何因忽视或误解工地情况而导致的索赔或工期延长申请将不被批准。</w:t>
      </w:r>
    </w:p>
    <w:p>
      <w:pPr>
        <w:autoSpaceDE w:val="0"/>
        <w:autoSpaceDN w:val="0"/>
        <w:adjustRightInd w:val="0"/>
        <w:spacing w:line="42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10.1.6除非合同中另有规定，具有标价的工程量清单中所报单价和合价，以及报价汇总表中的价格应包括施工设备、劳务、管理、材料、安装、维护、保险、利润、税金、政策性文件规定及合同包含的应有风险、责任等各项应有费用，经评审小组审核严重不平衡的报价将不予接受。本项目磋商采用二次报价方式，作最终报价时磋商小组将通过</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cs="宋体"/>
          <w:color w:val="000000" w:themeColor="text1"/>
          <w14:textFill>
            <w14:solidFill>
              <w14:schemeClr w14:val="tx1"/>
            </w14:solidFill>
          </w14:textFill>
        </w:rPr>
        <w:t>系统告知供应商，最终报价高于</w:t>
      </w:r>
      <w:r>
        <w:rPr>
          <w:rFonts w:hint="eastAsia" w:ascii="宋体" w:hAnsi="宋体" w:cs="宋体"/>
          <w:b/>
          <w:bCs/>
          <w:color w:val="000000" w:themeColor="text1"/>
          <w14:textFill>
            <w14:solidFill>
              <w14:schemeClr w14:val="tx1"/>
            </w14:solidFill>
          </w14:textFill>
        </w:rPr>
        <w:t>工程预算控制价【人民币</w:t>
      </w:r>
      <w:r>
        <w:rPr>
          <w:rFonts w:hint="eastAsia" w:ascii="宋体" w:hAnsi="宋体" w:cs="宋体"/>
          <w:b/>
          <w:bCs/>
          <w:color w:val="000000" w:themeColor="text1"/>
          <w:lang w:eastAsia="zh-CN"/>
          <w14:textFill>
            <w14:solidFill>
              <w14:schemeClr w14:val="tx1"/>
            </w14:solidFill>
          </w14:textFill>
        </w:rPr>
        <w:t>玖拾玖万壹仟陆佰元整（¥991600.00）</w:t>
      </w:r>
      <w:r>
        <w:rPr>
          <w:rFonts w:hint="eastAsia" w:ascii="宋体" w:hAnsi="宋体" w:cs="宋体"/>
          <w:b/>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的响应文件将被拒绝。</w:t>
      </w:r>
    </w:p>
    <w:p>
      <w:pPr>
        <w:spacing w:line="44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10.2 磋商报价及工程编制依据：</w:t>
      </w:r>
    </w:p>
    <w:p>
      <w:pPr>
        <w:spacing w:line="440" w:lineRule="exact"/>
        <w:ind w:firstLine="211" w:firstLineChars="1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详见工程量清单</w:t>
      </w:r>
    </w:p>
    <w:p>
      <w:pPr>
        <w:spacing w:line="440" w:lineRule="exact"/>
        <w:ind w:firstLine="211" w:firstLineChars="1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10.3竞标货币</w:t>
      </w:r>
    </w:p>
    <w:p>
      <w:pPr>
        <w:pStyle w:val="19"/>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本工程的竞标应以人民币报价。</w:t>
      </w:r>
    </w:p>
    <w:p>
      <w:pPr>
        <w:spacing w:line="460" w:lineRule="exact"/>
        <w:ind w:firstLine="419" w:firstLineChars="195"/>
        <w:jc w:val="center"/>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四、响应文件的编制</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11．响应文件的语言</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响应文件及磋商人与采购代理机构之间往来的与竞标有关的通知、函件和文件均应使用中文。</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12．响应文件的组成</w:t>
      </w:r>
    </w:p>
    <w:p>
      <w:pPr>
        <w:spacing w:line="460" w:lineRule="exact"/>
        <w:ind w:firstLine="419" w:firstLineChars="195"/>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12.1磋商人的响应文件应包括下列内容：</w:t>
      </w:r>
    </w:p>
    <w:p>
      <w:pPr>
        <w:spacing w:line="460" w:lineRule="exact"/>
        <w:ind w:firstLine="430"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12.1.1商务标</w:t>
      </w:r>
      <w:r>
        <w:rPr>
          <w:rFonts w:hint="eastAsia" w:ascii="宋体" w:hAnsi="宋体" w:cs="宋体"/>
          <w:b/>
          <w:bCs/>
          <w:color w:val="000000" w:themeColor="text1"/>
          <w14:textFill>
            <w14:solidFill>
              <w14:schemeClr w14:val="tx1"/>
            </w14:solidFill>
          </w14:textFill>
        </w:rPr>
        <w:t>：</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（1）法定代表人身份证明书（必须提供，加盖公章）（详见竞争性磋商响应文件格式）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（2）响应文件签署授权委托书原件扫描件及委托代理人身份证正反面原件扫描件（委托代理时必须提供）（详见竞争性磋商响应文件格式）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（3）磋商函（必须提供，加盖公章）（详见竞争性磋商响应文件格式）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（4）磋商函附录（必须提供，加盖公章）（详见竞争性磋商响应文件格式）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（5）磋商报价表（必须提供，加盖公章）（详见竞争性磋商响应文件格式）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（6）已标价的工程量清单报价有关材料（必须提供，加盖公章）（详见竞争性磋商响应文件格式）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（7）磋商人提供营业执照副本、项目经理的注册建造师资质证书、项目经理的安全生产考核合格证书安B证的原件扫描件（必须提供）；</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（8）磋商人提供企业资质证书副本的原件扫描件（必须提供）；</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（9）磋商人提供安全生产许可证的原件扫描件（必须提供）；</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（10）磋商人提供《钦州市政府采购项目投标资格承诺函》（必须提供，加盖公章）（详见竞争性磋商响应文件格式）；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根据《钦州市财政局关于深化政府采购制度改革优化营商环境工作有关事项的通知》求，政府采购供应商参与政府采购活动实施“承诺+信用管理”的准入制度，不再要求供应商提供相关财务、缴纳税收和社会保障资金等证明材料，供应商提供《钦州市政府采购项目投标资格承诺函》承诺符合参与政府采购活动的资格条件且没有税收缴纳、社会保障方面的失信记录）</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（11）磋商供应商参加政府采购活动前3年内在经营活动中没有重大违法记录的书面声明。（必须提供，加盖公章）（详见竞争性磋商响应文件格式）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磋商人符合中小企业划型标准的，按照《政府采购促进中小企业发展暂行办法》（财库[2020]46号）要求，提供中小企业声明函（企业划分标准详见《关于印发中小企业划型标准规定的通知工信部联企业〔2011〕300号》文件及《统计上大中小微型企业划分办法（2017）》，监狱企业及残疾人福利性单位视同小型、微型企业。本项目所属行业：建筑业）。监狱企业参加政府采购活动时，应当提供由省级以上监狱管理局、戒毒管理局（含新疆生产建设兵团）出具的属于监狱企业的证明文件。(如有请提供，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磋商人符合《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详见竞争性磋商响应文件格式)</w:t>
      </w:r>
    </w:p>
    <w:p>
      <w:pPr>
        <w:spacing w:line="4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（14）磋商人其他资料(磋商人认为需要提供或竞争性磋商采购文件需要提供的其他资料，如信誉业绩等材料的原件扫描件）。</w:t>
      </w:r>
    </w:p>
    <w:p>
      <w:pPr>
        <w:spacing w:line="460" w:lineRule="exact"/>
        <w:ind w:firstLine="430"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12.1.2技术标</w:t>
      </w:r>
      <w:r>
        <w:rPr>
          <w:rFonts w:hint="eastAsia" w:ascii="宋体" w:hAnsi="宋体" w:cs="宋体"/>
          <w:b/>
          <w:bCs/>
          <w:color w:val="000000" w:themeColor="text1"/>
          <w14:textFill>
            <w14:solidFill>
              <w14:schemeClr w14:val="tx1"/>
            </w14:solidFill>
          </w14:textFill>
        </w:rPr>
        <w:t>：</w:t>
      </w:r>
    </w:p>
    <w:p>
      <w:pPr>
        <w:spacing w:line="460" w:lineRule="exact"/>
        <w:ind w:firstLine="419" w:firstLineChars="195"/>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（1）施工组织设计；（</w:t>
      </w:r>
      <w:r>
        <w:rPr>
          <w:rFonts w:hint="eastAsia" w:ascii="宋体" w:hAnsi="宋体" w:cs="宋体"/>
          <w:b/>
          <w:bCs/>
          <w:color w:val="000000" w:themeColor="text1"/>
          <w14:textFill>
            <w14:solidFill>
              <w14:schemeClr w14:val="tx1"/>
            </w14:solidFill>
          </w14:textFill>
        </w:rPr>
        <w:t>必须提供，加盖公章</w:t>
      </w:r>
      <w:r>
        <w:rPr>
          <w:rFonts w:hint="eastAsia" w:ascii="宋体" w:hAnsi="宋体" w:cs="宋体"/>
          <w:b/>
          <w:bCs/>
          <w:color w:val="000000" w:themeColor="text1"/>
          <w:spacing w:val="2"/>
          <w14:textFill>
            <w14:solidFill>
              <w14:schemeClr w14:val="tx1"/>
            </w14:solidFill>
          </w14:textFill>
        </w:rPr>
        <w:t>）（</w:t>
      </w:r>
      <w:r>
        <w:rPr>
          <w:rFonts w:hint="eastAsia" w:ascii="宋体" w:hAnsi="宋体" w:cs="宋体"/>
          <w:b/>
          <w:bCs/>
          <w:color w:val="000000" w:themeColor="text1"/>
          <w14:textFill>
            <w14:solidFill>
              <w14:schemeClr w14:val="tx1"/>
            </w14:solidFill>
          </w14:textFill>
        </w:rPr>
        <w:t>详见竞争性磋商响应文件格式）</w:t>
      </w:r>
    </w:p>
    <w:p>
      <w:pPr>
        <w:spacing w:line="460" w:lineRule="exact"/>
        <w:ind w:firstLine="419" w:firstLineChars="195"/>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（2）项目管理机构；（</w:t>
      </w:r>
      <w:r>
        <w:rPr>
          <w:rFonts w:hint="eastAsia" w:ascii="宋体" w:hAnsi="宋体" w:cs="宋体"/>
          <w:b/>
          <w:bCs/>
          <w:color w:val="000000" w:themeColor="text1"/>
          <w14:textFill>
            <w14:solidFill>
              <w14:schemeClr w14:val="tx1"/>
            </w14:solidFill>
          </w14:textFill>
        </w:rPr>
        <w:t>必须提供，加盖公章</w:t>
      </w:r>
      <w:r>
        <w:rPr>
          <w:rFonts w:hint="eastAsia" w:ascii="宋体" w:hAnsi="宋体" w:cs="宋体"/>
          <w:b/>
          <w:bCs/>
          <w:color w:val="000000" w:themeColor="text1"/>
          <w:spacing w:val="2"/>
          <w14:textFill>
            <w14:solidFill>
              <w14:schemeClr w14:val="tx1"/>
            </w14:solidFill>
          </w14:textFill>
        </w:rPr>
        <w:t>）（</w:t>
      </w:r>
      <w:r>
        <w:rPr>
          <w:rFonts w:hint="eastAsia" w:ascii="宋体" w:hAnsi="宋体" w:cs="宋体"/>
          <w:b/>
          <w:bCs/>
          <w:color w:val="000000" w:themeColor="text1"/>
          <w14:textFill>
            <w14:solidFill>
              <w14:schemeClr w14:val="tx1"/>
            </w14:solidFill>
          </w14:textFill>
        </w:rPr>
        <w:t>详见竞争性磋商响应文件格式）</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1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①</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项目管理机构配备情况表；</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2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②</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项目经理（注册建造师）简历表；</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3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③</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项目技术负责人简历表。</w:t>
      </w:r>
    </w:p>
    <w:p>
      <w:pPr>
        <w:spacing w:line="460" w:lineRule="exact"/>
        <w:ind w:firstLine="421" w:firstLineChars="196"/>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（3）分包计划表（</w:t>
      </w:r>
      <w:r>
        <w:rPr>
          <w:rFonts w:hint="eastAsia" w:ascii="宋体" w:hAnsi="宋体" w:cs="宋体"/>
          <w:b/>
          <w:bCs/>
          <w:color w:val="000000" w:themeColor="text1"/>
          <w14:textFill>
            <w14:solidFill>
              <w14:schemeClr w14:val="tx1"/>
            </w14:solidFill>
          </w14:textFill>
        </w:rPr>
        <w:t>详见竞争性磋商响应文件格式）</w:t>
      </w:r>
    </w:p>
    <w:p>
      <w:pPr>
        <w:spacing w:line="5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1）电子磋商响应文件中须加盖供应商公章位置均采用CA签章，并根据“政府采购项目电子交易管理操作指南-供应商”及本竞争性磋商采购文件规定的格式和顺序编制电子磋商响应文件并进行关联定位，以便磋商小组在评时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（2）竞争性采购磋商文件要求提供的各种扫描件（或原件扫描件），须加盖磋商供应商CA签章，否则其磋商无效。</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（3）竞争性采购磋商文件要求“必须提供”的证明等材料，磋商供应商必须全部提供，缺一不可，否则磋商无效。</w:t>
      </w:r>
    </w:p>
    <w:p>
      <w:pPr>
        <w:spacing w:line="5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（4）竞争性磋商文件要求法定代表人或委托代理人签字的部分的，可以签字然后扫描或者拍照做成pdf格式上传，如已经办理有法定代表人签字电子章的，也可以直接签章。无签字（签章）的视为磋商无效。</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13．竞标有效期</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13.l 响应文件在本须知第18条规定的竞标截止日期后</w:t>
      </w:r>
      <w:r>
        <w:rPr>
          <w:rFonts w:hint="eastAsia" w:ascii="宋体" w:hAnsi="宋体" w:cs="宋体"/>
          <w:color w:val="000000" w:themeColor="text1"/>
          <w:spacing w:val="2"/>
          <w:u w:val="single"/>
          <w14:textFill>
            <w14:solidFill>
              <w14:schemeClr w14:val="tx1"/>
            </w14:solidFill>
          </w14:textFill>
        </w:rPr>
        <w:t>90天（日历天）</w:t>
      </w:r>
      <w:r>
        <w:rPr>
          <w:rFonts w:hint="eastAsia" w:ascii="宋体" w:hAnsi="宋体" w:cs="宋体"/>
          <w:color w:val="000000" w:themeColor="text1"/>
          <w:spacing w:val="2"/>
          <w14:textFill>
            <w14:solidFill>
              <w14:schemeClr w14:val="tx1"/>
            </w14:solidFill>
          </w14:textFill>
        </w:rPr>
        <w:t>内有效。</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13.2 在原定竞标有效期满之前，如果出现特殊情况，经采购人核准，采购人可以书面形式向磋商人提出延长竞标有效期的要求。磋商人须以书面形式予以答复。同意延长竞标有效期的磋商人不允许修改其响应文件。</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14．磋商保证金</w:t>
      </w:r>
    </w:p>
    <w:p>
      <w:pPr>
        <w:spacing w:line="460" w:lineRule="exact"/>
        <w:ind w:firstLine="428"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详见投标人须知前附表。</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15．竞标答疑</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15.1采购人向磋商人提供的有关施工现场的资料和数据，是采购人现有的能使磋商人利用的资料。采购人对磋商人由此而作出的推论、理解和结论概不负责。</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15.2磋商人提出的与竞标有关的任何问题须在收到竞争性磋商采购文件后2天内，以书面形式送达采购代理机构，采购代理机构将通过“补遗文件”的形式予以答复。</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15.3 采购补遗文件包括所有问题和答复，将迅速提供给所有获得竞争性磋商采购文件的磋商人。</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16．响应文件的份数和签署</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16.1本文件《竞争性磋商采购文件格式》中有提供格式的，供应商可参照格式进行编制（格式中要求提供相关证明材料的还需后附相关证明材料），并参照格式要求在指定位置根据要求进行签章，否则将被视为未提供；本文件《竞争性磋商采购文件格式》未提供格式的，请各供应商自行拟定格式，并加盖单位电子公章并由法定代表人或其授权代表签署（签字或签章），否则将被视为未提供。</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16.2竞争性磋商文件要求法定代表人或委托代理人签字的部分的，可以签字然后扫描或者拍照做成pdf格式上传，如已经办理有法定代表人签字电子章的，也可以直接签章。无签字（签章）的视为磋商无效。</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16.4.电子响应文件中标注的供应商名称应与主体资格证明（如营业执照、事业单位法人证书、执业许可证、个体工商户营业执照、自然人身份证等）和公章一致，否则其电子响应文件作无效处理。</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16.5. 响应文件内容不完整、编排混乱导致响应文件被误读、漏读或者查找不到相关内容的，是投标供应商的责任。响应文件因字迹潦草或表达不清所引起的后果由投标供应商负责。磋商响应文件不得涂改，若有修改错漏处，须法定代表人或授权委托人签字或签章。供应商没有按照本章节“磋商响应文件的组成”要求提供全部资料，或者没有仔细阅读磋商文件，或者没有对磋商文件在各方面的要求作出实质性响应是供应商的风险，由此造成的一切后果由供应商自行承担。</w:t>
      </w:r>
    </w:p>
    <w:p>
      <w:pPr>
        <w:spacing w:line="460" w:lineRule="exact"/>
        <w:ind w:firstLine="419" w:firstLineChars="195"/>
        <w:jc w:val="center"/>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五、响应文件的递交</w:t>
      </w:r>
    </w:p>
    <w:p>
      <w:pPr>
        <w:spacing w:line="360" w:lineRule="auto"/>
        <w:ind w:firstLine="316" w:firstLineChars="1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 竞争性磋商响应文件的递交</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17.1. 所有竞争性磋商响应文件应于竞争性采购磋商文件中规定的时间前上传递交至</w:t>
      </w:r>
      <w:r>
        <w:rPr>
          <w:rFonts w:hint="eastAsia" w:ascii="宋体" w:hAnsi="宋体" w:cs="宋体"/>
          <w:color w:val="000000" w:themeColor="text1"/>
          <w:spacing w:val="2"/>
          <w:lang w:eastAsia="zh-CN"/>
          <w14:textFill>
            <w14:solidFill>
              <w14:schemeClr w14:val="tx1"/>
            </w14:solidFill>
          </w14:textFill>
        </w:rPr>
        <w:t>广西政府采购云平台</w:t>
      </w:r>
      <w:r>
        <w:rPr>
          <w:rFonts w:hint="eastAsia" w:ascii="宋体" w:hAnsi="宋体" w:cs="宋体"/>
          <w:color w:val="000000" w:themeColor="text1"/>
          <w:spacing w:val="2"/>
          <w14:textFill>
            <w14:solidFill>
              <w14:schemeClr w14:val="tx1"/>
            </w14:solidFill>
          </w14:textFill>
        </w:rPr>
        <w:t>平台。</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电子响应文件的相关说明</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供应商进行电子投标应安装客户端软件，并按照竞争性采购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（2）如有特殊情况，采购代理机构延长截止时间和开标时间，采购代理机构和供应商的权利和义务将受到新的截止时间和开标时间的约束。</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17.2 竞争性磋商响应文件从响应文件递交截止日期后90天内有效。</w:t>
      </w:r>
    </w:p>
    <w:p>
      <w:pPr>
        <w:spacing w:line="360" w:lineRule="auto"/>
        <w:ind w:firstLine="316" w:firstLineChars="1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 迟交的竞争性磋商响应文件</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17.3.1磋商供应商应在前附表规定的日期和时间之前将“电子加密响应文件”磋商响应文件上传至“政府采购云平台”，供应商如有需要，可在开标截止时间前将“备份响应文件”采购公告相关方式递交“备份响应文件”，凡逾期上传的磋商响应文件将视为无效磋商响应文件处理。</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17.3.2采购人可以按本须知第4条规定以补充通知方式，酌情延长递交响应文件的截止日期。在上述情况下，采购人与磋商供应商在磋商截止期以前拥有的全部权力、责任和义务，将适用于延长后新的磋商截止期。</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17.3.4供应商在磋商截止期以后上传的磋商响应文件，“政府采购云平台”将予以拒收。</w:t>
      </w:r>
    </w:p>
    <w:p>
      <w:pPr>
        <w:spacing w:line="360" w:lineRule="auto"/>
        <w:ind w:firstLine="322" w:firstLineChars="150"/>
        <w:rPr>
          <w:rFonts w:ascii="宋体" w:hAnsi="宋体" w:cs="宋体"/>
          <w:b/>
          <w:color w:val="000000" w:themeColor="text1"/>
          <w:spacing w:val="2"/>
          <w14:textFill>
            <w14:solidFill>
              <w14:schemeClr w14:val="tx1"/>
            </w14:solidFill>
          </w14:textFill>
        </w:rPr>
      </w:pPr>
      <w:r>
        <w:rPr>
          <w:rFonts w:hint="eastAsia" w:ascii="宋体" w:hAnsi="宋体" w:cs="宋体"/>
          <w:b/>
          <w:color w:val="000000" w:themeColor="text1"/>
          <w:spacing w:val="2"/>
          <w14:textFill>
            <w14:solidFill>
              <w14:schemeClr w14:val="tx1"/>
            </w14:solidFill>
          </w14:textFill>
        </w:rPr>
        <w:t>18.网上开标、电子评标：</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供应商根据竞争性采购磋商文件要求，登录“</w:t>
      </w:r>
      <w:r>
        <w:rPr>
          <w:rFonts w:hint="eastAsia" w:ascii="宋体" w:hAnsi="宋体" w:cs="宋体"/>
          <w:color w:val="000000" w:themeColor="text1"/>
          <w:spacing w:val="2"/>
          <w:lang w:eastAsia="zh-CN"/>
          <w14:textFill>
            <w14:solidFill>
              <w14:schemeClr w14:val="tx1"/>
            </w14:solidFill>
          </w14:textFill>
        </w:rPr>
        <w:t>广西政府采购云平台</w:t>
      </w:r>
      <w:r>
        <w:rPr>
          <w:rFonts w:hint="eastAsia" w:ascii="宋体" w:hAnsi="宋体" w:cs="宋体"/>
          <w:color w:val="000000" w:themeColor="text1"/>
          <w:spacing w:val="2"/>
          <w14:textFill>
            <w14:solidFill>
              <w14:schemeClr w14:val="tx1"/>
            </w14:solidFill>
          </w14:textFill>
        </w:rPr>
        <w:t>”，在指定时间内将电子响应文件通过 CA 加密后上传完成投标。开标实行网上不见面开标。到达开标时间后，采购代理机构工作人员在“</w:t>
      </w:r>
      <w:r>
        <w:rPr>
          <w:rFonts w:hint="eastAsia" w:ascii="宋体" w:hAnsi="宋体" w:cs="宋体"/>
          <w:color w:val="000000" w:themeColor="text1"/>
          <w:spacing w:val="2"/>
          <w:lang w:eastAsia="zh-CN"/>
          <w14:textFill>
            <w14:solidFill>
              <w14:schemeClr w14:val="tx1"/>
            </w14:solidFill>
          </w14:textFill>
        </w:rPr>
        <w:t>广西政府采购云平台</w:t>
      </w:r>
      <w:r>
        <w:rPr>
          <w:rFonts w:hint="eastAsia" w:ascii="宋体" w:hAnsi="宋体" w:cs="宋体"/>
          <w:color w:val="000000" w:themeColor="text1"/>
          <w:spacing w:val="2"/>
          <w14:textFill>
            <w14:solidFill>
              <w14:schemeClr w14:val="tx1"/>
            </w14:solidFill>
          </w14:textFill>
        </w:rPr>
        <w:t>”开始网上开标，供应商在竞争性采购磋商文件指定解密时间内各自远程登录“</w:t>
      </w:r>
      <w:r>
        <w:rPr>
          <w:rFonts w:hint="eastAsia" w:ascii="宋体" w:hAnsi="宋体" w:cs="宋体"/>
          <w:color w:val="000000" w:themeColor="text1"/>
          <w:spacing w:val="2"/>
          <w:lang w:eastAsia="zh-CN"/>
          <w14:textFill>
            <w14:solidFill>
              <w14:schemeClr w14:val="tx1"/>
            </w14:solidFill>
          </w14:textFill>
        </w:rPr>
        <w:t>广西政府采购云平台</w:t>
      </w:r>
      <w:r>
        <w:rPr>
          <w:rFonts w:hint="eastAsia" w:ascii="宋体" w:hAnsi="宋体" w:cs="宋体"/>
          <w:color w:val="000000" w:themeColor="text1"/>
          <w:spacing w:val="2"/>
          <w14:textFill>
            <w14:solidFill>
              <w14:schemeClr w14:val="tx1"/>
            </w14:solidFill>
          </w14:textFill>
        </w:rPr>
        <w:t>”进行响应文件解密，供应商全部解密完成或解密时间结束后由采购代理机构工作人员开启唱标及评标程序，供应商可在个人电脑上查看到唱标信息，并等待专家评委评审，评审结束后系统中将显示评标结果。</w:t>
      </w:r>
    </w:p>
    <w:p>
      <w:pPr>
        <w:spacing w:line="460" w:lineRule="exact"/>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19．响应文件的撤回</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19.1磋商响应文件的撤回</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19.1.1 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pPr>
        <w:spacing w:line="460" w:lineRule="exact"/>
        <w:ind w:firstLine="417" w:firstLineChars="195"/>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19.1.2在磋商有效期内，磋商供应商不能撤回（撤消）磋商响应文件。</w:t>
      </w:r>
    </w:p>
    <w:p>
      <w:pPr>
        <w:pStyle w:val="23"/>
        <w:spacing w:line="420" w:lineRule="exact"/>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六、磋商程序及评审办法</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20.磋商小组组建</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磋商小组由采购人代表及评审专家共 3 人以上（含3人）单数组成。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21.评审程序</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谈判前准备：</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21.1.1、本项目实行网上电子开评标。</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21.1.2、各供应商应在截标前应确保成为</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cs="宋体"/>
          <w:color w:val="000000" w:themeColor="text1"/>
          <w14:textFill>
            <w14:solidFill>
              <w14:schemeClr w14:val="tx1"/>
            </w14:solidFill>
          </w14:textFill>
        </w:rPr>
        <w:t>平台正式注册入库供应商，并完成CA数字证书申领。如因未注册入库、未办理CA数字证书等原因造成无法谈判或谈判失败等后果由供应商自行承担。</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21.1.3、供应商将</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cs="宋体"/>
          <w:color w:val="000000" w:themeColor="text1"/>
          <w14:textFill>
            <w14:solidFill>
              <w14:schemeClr w14:val="tx1"/>
            </w14:solidFill>
          </w14:textFill>
        </w:rPr>
        <w:t>电子交易客户端下载、安装完成后，可通过账号密码或CA登录客户端进行响应文件制作。客户端请至网站下载专区查看，如有问题可拨打</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cs="宋体"/>
          <w:color w:val="000000" w:themeColor="text1"/>
          <w14:textFill>
            <w14:solidFill>
              <w14:schemeClr w14:val="tx1"/>
            </w14:solidFill>
          </w14:textFill>
        </w:rPr>
        <w:t>客户服务热线：400-881-7190进行咨询。</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采购代理机构结束解密后，磋商小组接收所有的响应文件开始评审。</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磋商小组评审响应文件</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磋商小组对供应商资格条件和响应文件的有效性、完整性和响应程度进行审查。对资格条件不符合的供应商或未实质性响应磋商文件的响应文件按无效响应处理，磋商小组应当告知有关供应商。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澄清</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磋商小组要求供应商澄清、说明或者更正响应文件应当在</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cs="宋体"/>
          <w:color w:val="000000" w:themeColor="text1"/>
          <w14:textFill>
            <w14:solidFill>
              <w14:schemeClr w14:val="tx1"/>
            </w14:solidFill>
          </w14:textFill>
        </w:rPr>
        <w:t>在线评标系统向供应商发起在线询标澄清。供应商的澄清、说明或者更正应当由法定代表人或其授权代表签字（或盖章）并加盖投标单位公章。</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21.5磋商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在磋商正式开始前由磋商小组对竞争性磋商采购文件进行确认，认可竞争性磋商采购文件的内容符合法律法规的规定、不存在歧视性或排他性内容。</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未实质性响应竞争性磋商采购文件的竞争性磋商响应文件按无效处理，磋商小组应当告知有关供应商。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对竞争性磋商响应文件进行资格性审查，依据竞争性磋商采购文件对已通过资格性审核的各竞争性磋商响应文件进行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pPr>
        <w:autoSpaceDE w:val="0"/>
        <w:autoSpaceDN w:val="0"/>
        <w:snapToGrid w:val="0"/>
        <w:spacing w:line="360" w:lineRule="auto"/>
        <w:ind w:firstLine="420" w:firstLineChars="200"/>
        <w:textAlignment w:val="bottom"/>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磋商主要内容及程序：</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磋商报价：二次性报价。本项目为电子招标项目，磋商供应商应当在发起新一轮报价时及时对本项目进行二次报价，磋商供应商须提前做好相关准备并按时递交报价文件，报价高于工程预算控制价【人民币</w:t>
      </w:r>
      <w:r>
        <w:rPr>
          <w:rFonts w:hint="eastAsia" w:ascii="宋体" w:hAnsi="宋体" w:cs="宋体"/>
          <w:color w:val="000000" w:themeColor="text1"/>
          <w:lang w:eastAsia="zh-CN"/>
          <w14:textFill>
            <w14:solidFill>
              <w14:schemeClr w14:val="tx1"/>
            </w14:solidFill>
          </w14:textFill>
        </w:rPr>
        <w:t>玖拾玖万壹仟陆佰元整（¥991600.00）</w:t>
      </w:r>
      <w:r>
        <w:rPr>
          <w:rFonts w:hint="eastAsia" w:ascii="宋体" w:hAnsi="宋体" w:cs="宋体"/>
          <w:color w:val="000000" w:themeColor="text1"/>
          <w14:textFill>
            <w14:solidFill>
              <w14:schemeClr w14:val="tx1"/>
            </w14:solidFill>
          </w14:textFill>
        </w:rPr>
        <w:t>）】的竞争性磋商响应文件将被拒绝。</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如二次报价总价有变动，请提供二次报价已标价工程量清单。</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就本项目的承诺进行磋商；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就本项目的质量要求进行磋商并对其作出相关承诺。</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磋商中，磋商的任何一方不得透露与磋商有关的其他供应商的技术服务资料、价格和其他信息。</w:t>
      </w:r>
    </w:p>
    <w:p>
      <w:pPr>
        <w:spacing w:line="360" w:lineRule="auto"/>
        <w:ind w:firstLine="315" w:firstLineChars="150"/>
        <w:rPr>
          <w:rFonts w:ascii="宋体" w:hAnsi="宋体" w:cs="宋体"/>
          <w:color w:val="000000" w:themeColor="text1"/>
          <w14:textFill>
            <w14:solidFill>
              <w14:schemeClr w14:val="tx1"/>
            </w14:solidFill>
          </w14:textFill>
        </w:rPr>
      </w:pPr>
      <w:r>
        <w:rPr>
          <w:rStyle w:val="242"/>
          <w:rFonts w:hint="eastAsia" w:ascii="宋体" w:hAnsi="宋体" w:cs="宋体"/>
          <w:color w:val="000000" w:themeColor="text1"/>
          <w14:textFill>
            <w14:solidFill>
              <w14:schemeClr w14:val="tx1"/>
            </w14:solidFill>
          </w14:textFill>
        </w:rPr>
        <w:t>采购代理机构对磋商过程和重要磋商内容进行记录留存</w:t>
      </w:r>
      <w:r>
        <w:rPr>
          <w:rFonts w:hint="eastAsia" w:ascii="宋体" w:hAnsi="宋体" w:cs="宋体"/>
          <w:color w:val="000000" w:themeColor="text1"/>
          <w14:textFill>
            <w14:solidFill>
              <w14:schemeClr w14:val="tx1"/>
            </w14:solidFill>
          </w14:textFill>
        </w:rPr>
        <w:t>。</w:t>
      </w:r>
    </w:p>
    <w:p>
      <w:pPr>
        <w:spacing w:line="360" w:lineRule="auto"/>
        <w:ind w:firstLine="316" w:firstLineChars="1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21.6最后报价</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21.6.1磋商文件能够详细列明采购标的的技术、服务要求的，磋商结束后，磋商小组应当要求所有继续参加磋商的供应商在规定时间内密封提交最后报价，提交最后报价的供应商不得少于3家，除出现以下第21.6.4款情况外。</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21.6.3属于市场竞争不充分的科研项目，以及需要扶持的科技成果转化项目，提交最后报价的供应商可以为 2 家。</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21.6.4根据财库【2015】124 号《财政部关于政府采购竞争性磋商采购方式管理暂行办法有关问题的补充通知》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21.6.5最后报价是供应商响应文件的有效组成部分。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21.6.6已经提交响应文件的供应商，在提交最后报价之前，可以根据磋商情况退出磋商。21.6.7响应供应商的报价均超过了工程预算控制价【人民币</w:t>
      </w:r>
      <w:r>
        <w:rPr>
          <w:rFonts w:hint="eastAsia" w:ascii="宋体" w:hAnsi="宋体" w:cs="宋体"/>
          <w:color w:val="000000" w:themeColor="text1"/>
          <w:lang w:eastAsia="zh-CN"/>
          <w14:textFill>
            <w14:solidFill>
              <w14:schemeClr w14:val="tx1"/>
            </w14:solidFill>
          </w14:textFill>
        </w:rPr>
        <w:t>玖拾玖万壹仟陆佰元整（¥991600.00）</w:t>
      </w:r>
      <w:r>
        <w:rPr>
          <w:rFonts w:hint="eastAsia" w:ascii="宋体" w:hAnsi="宋体" w:cs="宋体"/>
          <w:color w:val="000000" w:themeColor="text1"/>
          <w14:textFill>
            <w14:solidFill>
              <w14:schemeClr w14:val="tx1"/>
            </w14:solidFill>
          </w14:textFill>
        </w:rPr>
        <w:t>】，采购人不能支付的，磋商活动终止。</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21.6.7低于成本报价</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磋商小组在评审过程中发现供应商的总报价明显低于其他供应商的总报价或者明显低于工程预算控制价【人民币</w:t>
      </w:r>
      <w:r>
        <w:rPr>
          <w:rFonts w:hint="eastAsia" w:ascii="宋体" w:hAnsi="宋体" w:cs="宋体"/>
          <w:color w:val="000000" w:themeColor="text1"/>
          <w:lang w:eastAsia="zh-CN"/>
          <w14:textFill>
            <w14:solidFill>
              <w14:schemeClr w14:val="tx1"/>
            </w14:solidFill>
          </w14:textFill>
        </w:rPr>
        <w:t>玖拾玖万壹仟陆佰元整（¥991600.00）</w:t>
      </w:r>
      <w:r>
        <w:rPr>
          <w:rFonts w:hint="eastAsia" w:ascii="宋体" w:hAnsi="宋体" w:cs="宋体"/>
          <w:color w:val="000000" w:themeColor="text1"/>
          <w14:textFill>
            <w14:solidFill>
              <w14:schemeClr w14:val="tx1"/>
            </w14:solidFill>
          </w14:textFill>
        </w:rPr>
        <w:t>】，有理由怀疑其报价可能低于其成本的，应当要求该供应商做出书面说明并提供相关证明材料。供应商不能合理说明或者不能提供相关证明材料的，视作该供应商报价以低于成本价，其响应文件无效。</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21.6.8如逾期等因磋商人原因造成无法提交二次报价，造成的后果磋商人自负。</w:t>
      </w:r>
    </w:p>
    <w:p>
      <w:pPr>
        <w:spacing w:line="360" w:lineRule="auto"/>
        <w:ind w:firstLine="417" w:firstLineChars="199"/>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21.7最后报价及成交候选供应商推荐</w:t>
      </w:r>
      <w:r>
        <w:rPr>
          <w:rFonts w:hint="eastAsia" w:ascii="宋体" w:hAnsi="宋体" w:cs="宋体"/>
          <w:color w:val="000000" w:themeColor="text1"/>
          <w14:textFill>
            <w14:solidFill>
              <w14:schemeClr w14:val="tx1"/>
            </w14:solidFill>
          </w14:textFill>
        </w:rPr>
        <w:t>商结束后，磋商小组要求所有继续参加磋商的供应商在规定时间内提交最后报价。</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根据综合评分情况，按照评审得分由高到低顺序推荐3名成交候选供应商（如为本须知21.6.3、21.6.4规定的情形，可以推荐2家成交候选供应商），并编写评审报告。评审得分相同的，按照最后报价由低到高的顺序推荐。评审得分且最后报价相同的，</w:t>
      </w:r>
      <w:r>
        <w:rPr>
          <w:rFonts w:hint="eastAsia" w:ascii="宋体" w:hAnsi="宋体" w:cs="宋体"/>
          <w:bCs/>
          <w:color w:val="000000" w:themeColor="text1"/>
          <w14:textFill>
            <w14:solidFill>
              <w14:schemeClr w14:val="tx1"/>
            </w14:solidFill>
          </w14:textFill>
        </w:rPr>
        <w:t>按技术得分由高到低顺序</w:t>
      </w:r>
      <w:r>
        <w:rPr>
          <w:rFonts w:hint="eastAsia" w:ascii="宋体" w:hAnsi="宋体" w:cs="宋体"/>
          <w:color w:val="000000" w:themeColor="text1"/>
          <w14:textFill>
            <w14:solidFill>
              <w14:schemeClr w14:val="tx1"/>
            </w14:solidFill>
          </w14:textFill>
        </w:rPr>
        <w:t>推荐，由采购单位确定成交候选供应商。最后报价是供应商竞争性磋商响应文件的有效组成部分。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2" w:firstLineChars="1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w w:val="99"/>
          <w14:textFill>
            <w14:solidFill>
              <w14:schemeClr w14:val="tx1"/>
            </w14:solidFill>
          </w14:textFill>
        </w:rPr>
        <w:t>在评标过程中</w:t>
      </w:r>
      <w:r>
        <w:rPr>
          <w:rFonts w:hint="eastAsia" w:ascii="宋体" w:hAnsi="宋体" w:cs="宋体"/>
          <w:b/>
          <w:bCs/>
          <w:color w:val="000000" w:themeColor="text1"/>
          <w:spacing w:val="15"/>
          <w:w w:val="99"/>
          <w14:textFill>
            <w14:solidFill>
              <w14:schemeClr w14:val="tx1"/>
            </w14:solidFill>
          </w14:textFill>
        </w:rPr>
        <w:t>出</w:t>
      </w:r>
      <w:r>
        <w:rPr>
          <w:rFonts w:hint="eastAsia" w:ascii="宋体" w:hAnsi="宋体" w:cs="宋体"/>
          <w:b/>
          <w:bCs/>
          <w:color w:val="000000" w:themeColor="text1"/>
          <w:w w:val="99"/>
          <w14:textFill>
            <w14:solidFill>
              <w14:schemeClr w14:val="tx1"/>
            </w14:solidFill>
          </w14:textFill>
        </w:rPr>
        <w:t>现法律法规和磋商文件均没有明确规</w:t>
      </w:r>
      <w:r>
        <w:rPr>
          <w:rFonts w:hint="eastAsia" w:ascii="宋体" w:hAnsi="宋体" w:cs="宋体"/>
          <w:b/>
          <w:bCs/>
          <w:color w:val="000000" w:themeColor="text1"/>
          <w:spacing w:val="15"/>
          <w:w w:val="99"/>
          <w14:textFill>
            <w14:solidFill>
              <w14:schemeClr w14:val="tx1"/>
            </w14:solidFill>
          </w14:textFill>
        </w:rPr>
        <w:t>定</w:t>
      </w:r>
      <w:r>
        <w:rPr>
          <w:rFonts w:hint="eastAsia" w:ascii="宋体" w:hAnsi="宋体" w:cs="宋体"/>
          <w:b/>
          <w:bCs/>
          <w:color w:val="000000" w:themeColor="text1"/>
          <w:w w:val="99"/>
          <w14:textFill>
            <w14:solidFill>
              <w14:schemeClr w14:val="tx1"/>
            </w14:solidFill>
          </w14:textFill>
        </w:rPr>
        <w:t>的情形时</w:t>
      </w:r>
      <w:r>
        <w:rPr>
          <w:rFonts w:hint="eastAsia" w:ascii="宋体" w:hAnsi="宋体" w:cs="宋体"/>
          <w:b/>
          <w:bCs/>
          <w:color w:val="000000" w:themeColor="text1"/>
          <w:spacing w:val="-75"/>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由磋商小组现场协商解</w:t>
      </w:r>
      <w:r>
        <w:rPr>
          <w:rFonts w:hint="eastAsia" w:ascii="宋体" w:hAnsi="宋体" w:cs="宋体"/>
          <w:b/>
          <w:bCs/>
          <w:color w:val="000000" w:themeColor="text1"/>
          <w:spacing w:val="15"/>
          <w:w w:val="99"/>
          <w14:textFill>
            <w14:solidFill>
              <w14:schemeClr w14:val="tx1"/>
            </w14:solidFill>
          </w14:textFill>
        </w:rPr>
        <w:t>决</w:t>
      </w:r>
      <w:r>
        <w:rPr>
          <w:rFonts w:hint="eastAsia" w:ascii="宋体" w:hAnsi="宋体" w:cs="宋体"/>
          <w:b/>
          <w:bCs/>
          <w:color w:val="000000" w:themeColor="text1"/>
          <w:spacing w:val="-31"/>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协商不一致的</w:t>
      </w:r>
      <w:r>
        <w:rPr>
          <w:rFonts w:hint="eastAsia" w:ascii="宋体" w:hAnsi="宋体" w:cs="宋体"/>
          <w:b/>
          <w:bCs/>
          <w:color w:val="000000" w:themeColor="text1"/>
          <w:spacing w:val="-31"/>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由全体</w:t>
      </w:r>
      <w:r>
        <w:rPr>
          <w:rFonts w:hint="eastAsia" w:ascii="宋体" w:hAnsi="宋体" w:cs="宋体"/>
          <w:b/>
          <w:bCs/>
          <w:color w:val="000000" w:themeColor="text1"/>
          <w:spacing w:val="15"/>
          <w:w w:val="99"/>
          <w14:textFill>
            <w14:solidFill>
              <w14:schemeClr w14:val="tx1"/>
            </w14:solidFill>
          </w14:textFill>
        </w:rPr>
        <w:t>磋</w:t>
      </w:r>
      <w:r>
        <w:rPr>
          <w:rFonts w:hint="eastAsia" w:ascii="宋体" w:hAnsi="宋体" w:cs="宋体"/>
          <w:b/>
          <w:bCs/>
          <w:color w:val="000000" w:themeColor="text1"/>
          <w:w w:val="99"/>
          <w14:textFill>
            <w14:solidFill>
              <w14:schemeClr w14:val="tx1"/>
            </w14:solidFill>
          </w14:textFill>
        </w:rPr>
        <w:t>商小组投票表决</w:t>
      </w:r>
      <w:r>
        <w:rPr>
          <w:rFonts w:hint="eastAsia" w:ascii="宋体" w:hAnsi="宋体" w:cs="宋体"/>
          <w:b/>
          <w:bCs/>
          <w:color w:val="000000" w:themeColor="text1"/>
          <w:spacing w:val="-30"/>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以得票</w:t>
      </w:r>
      <w:r>
        <w:rPr>
          <w:rFonts w:hint="eastAsia" w:ascii="宋体" w:hAnsi="宋体" w:cs="宋体"/>
          <w:b/>
          <w:bCs/>
          <w:color w:val="000000" w:themeColor="text1"/>
          <w:spacing w:val="15"/>
          <w:w w:val="99"/>
          <w14:textFill>
            <w14:solidFill>
              <w14:schemeClr w14:val="tx1"/>
            </w14:solidFill>
          </w14:textFill>
        </w:rPr>
        <w:t>率</w:t>
      </w:r>
      <w:r>
        <w:rPr>
          <w:rFonts w:hint="eastAsia" w:ascii="宋体" w:hAnsi="宋体" w:cs="宋体"/>
          <w:b/>
          <w:bCs/>
          <w:color w:val="000000" w:themeColor="text1"/>
          <w:w w:val="99"/>
          <w14:textFill>
            <w14:solidFill>
              <w14:schemeClr w14:val="tx1"/>
            </w14:solidFill>
          </w14:textFill>
        </w:rPr>
        <w:t>二分之一以上专家的意见为准。</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21.8出现下列情形之一的，采购人或者采购代理机构应当终止竞争性磋商采购活动，发布项目终止公告并说明原因，重新开展采购活动：</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（一）因情况变化，不再符合规定的竞争性磋商采购方式适用情形的；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（二）出现影响采购公正的违法、违规行为的；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（三）除本须知21.6.3、21.6.4规定的情形外，在采购过程中符合要求的供应商或者报价未超过采购预算的供应商不足3家的。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21.9本采购项目的评审依据为竞争性磋商采购文件和竞争性磋商响应文件，采用的评审方法为</w:t>
      </w:r>
      <w:r>
        <w:rPr>
          <w:rFonts w:hint="eastAsia" w:ascii="宋体" w:hAnsi="宋体" w:cs="宋体"/>
          <w:color w:val="000000" w:themeColor="text1"/>
          <w:u w:val="single"/>
          <w14:textFill>
            <w14:solidFill>
              <w14:schemeClr w14:val="tx1"/>
            </w14:solidFill>
          </w14:textFill>
        </w:rPr>
        <w:t>综合评分法</w:t>
      </w:r>
      <w:r>
        <w:rPr>
          <w:rFonts w:hint="eastAsia" w:ascii="宋体" w:hAnsi="宋体" w:cs="宋体"/>
          <w:color w:val="000000" w:themeColor="text1"/>
          <w14:textFill>
            <w14:solidFill>
              <w14:schemeClr w14:val="tx1"/>
            </w14:solidFill>
          </w14:textFill>
        </w:rPr>
        <w:t>。</w:t>
      </w:r>
    </w:p>
    <w:p>
      <w:pPr>
        <w:spacing w:line="40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七、评标</w:t>
      </w: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21．评标内容的保密</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w:t>
      </w:r>
      <w:r>
        <w:rPr>
          <w:rFonts w:hint="eastAsia" w:ascii="宋体" w:hAnsi="宋体" w:cs="宋体"/>
          <w:color w:val="000000" w:themeColor="text1"/>
          <w:spacing w:val="2"/>
          <w14:textFill>
            <w14:solidFill>
              <w14:schemeClr w14:val="tx1"/>
            </w14:solidFill>
          </w14:textFill>
        </w:rPr>
        <w:t>截</w:t>
      </w:r>
      <w:r>
        <w:rPr>
          <w:rFonts w:hint="eastAsia" w:ascii="宋体" w:hAnsi="宋体" w:cs="宋体"/>
          <w:color w:val="000000" w:themeColor="text1"/>
          <w14:textFill>
            <w14:solidFill>
              <w14:schemeClr w14:val="tx1"/>
            </w14:solidFill>
          </w14:textFill>
        </w:rPr>
        <w:t>标后，直到宣布授予成交人合同为止，凡属于审查、澄清、评价和比较竞标的有关资料及有关授予合同的信息，都不应向磋商人或与评标无关的其他人泄露。</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在响应文件的审查、澄清、评价和比较以及授予合同的过程中，磋商人对采购人和磋商小组成员施加影响的任何行为，都将导致被取消竞标资格。</w:t>
      </w: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22．资格审查</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22.1本工程采用资格后审的方式进行资格审查，参加本次磋商的单位均要通过资格后审才能获得磋商资格。</w:t>
      </w: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23．响应文件的符合性鉴定</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23.1 在详细评标之前，磋商小组将首先审定每份响应文件是否在实质上响应了竞争性磋商采购文件的要求。</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23.2 就本条款而言，实质上响应要求的响应文件，应该与竞争性磋商采购文件的所规定的工程承包范围、质量标准及运用产生实质性影响；或者对合同中规定的采购人的权力及磋商人的责任造成实质性限制。</w:t>
      </w: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24．响应文件的澄清</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为了有助于响应文件的审查、评价和比较，磋商小组可以个别地要求磋商人澄清其响应文件。有关澄清的要求与答复，应以书面形式进行。</w:t>
      </w: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25．错误的修正</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25.1磋商小组将对确定为实质上响应竞争性磋商采购文件要求的响应文件进行校核，看其是否有计算上或累计上的算术错误，修正错误的原则如下：</w:t>
      </w:r>
    </w:p>
    <w:p>
      <w:pPr>
        <w:spacing w:line="40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25.1.1 如果用阿拉伯数字表示的数额与用汉语文字表示的数额（人民币大写）不一致时，以汉语文字数额（人民币大写）为准。</w:t>
      </w:r>
    </w:p>
    <w:p>
      <w:pPr>
        <w:spacing w:line="46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25.2 按上述修改错误的方法，调整竞标书中的磋商报价。经磋商人确认同意后，调整后的报价对磋商人起约束作用。如果磋商人不接受修正后的磋商报价则其竞标将被拒绝，视为无效竞标。</w:t>
      </w:r>
    </w:p>
    <w:p>
      <w:pPr>
        <w:spacing w:line="38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26．响应文件的评价与比较</w:t>
      </w:r>
    </w:p>
    <w:p>
      <w:pPr>
        <w:spacing w:line="38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26.1磋商小组将仅对依照本须知第23条确定为实质上响应竞争性磋商采购文件要求（即符合性鉴定合格）的响应文件进行评价与比较。</w:t>
      </w:r>
    </w:p>
    <w:p>
      <w:pPr>
        <w:spacing w:line="38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26.2 磋商小组将依照本须知第25条对通过符合性鉴定的响应文件的磋商报价进行校核与修正。</w:t>
      </w:r>
    </w:p>
    <w:p>
      <w:pPr>
        <w:spacing w:line="440" w:lineRule="exact"/>
        <w:rPr>
          <w:rFonts w:ascii="宋体" w:hAnsi="宋体" w:cs="宋体"/>
          <w:b/>
          <w:color w:val="000000" w:themeColor="text1"/>
          <w:spacing w:val="2"/>
          <w14:textFill>
            <w14:solidFill>
              <w14:schemeClr w14:val="tx1"/>
            </w14:solidFill>
          </w14:textFill>
        </w:rPr>
      </w:pPr>
      <w:r>
        <w:rPr>
          <w:rFonts w:hint="eastAsia" w:ascii="宋体" w:hAnsi="宋体" w:cs="宋体"/>
          <w:b/>
          <w:color w:val="000000" w:themeColor="text1"/>
          <w14:textFill>
            <w14:solidFill>
              <w14:schemeClr w14:val="tx1"/>
            </w14:solidFill>
          </w14:textFill>
        </w:rPr>
        <w:t>27．</w:t>
      </w:r>
      <w:r>
        <w:rPr>
          <w:rFonts w:hint="eastAsia" w:ascii="宋体" w:hAnsi="宋体" w:cs="宋体"/>
          <w:b/>
          <w:color w:val="000000" w:themeColor="text1"/>
          <w:spacing w:val="2"/>
          <w14:textFill>
            <w14:solidFill>
              <w14:schemeClr w14:val="tx1"/>
            </w14:solidFill>
          </w14:textFill>
        </w:rPr>
        <w:t>响应文件有下列情况之一者将视为竞标无效：</w:t>
      </w:r>
    </w:p>
    <w:p>
      <w:pPr>
        <w:spacing w:line="40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27.1磋商人资质不符合响应文件要求的最低资质的企业营业执照；</w:t>
      </w:r>
    </w:p>
    <w:p>
      <w:pPr>
        <w:spacing w:line="40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27.2 响应文件未按规定密封；</w:t>
      </w:r>
    </w:p>
    <w:p>
      <w:pPr>
        <w:spacing w:line="40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27.3 磋商单位法定代表人或其委托代理人未按规定签章；</w:t>
      </w:r>
    </w:p>
    <w:p>
      <w:pPr>
        <w:spacing w:line="40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27.4 磋商单位未加盖单位公章；</w:t>
      </w:r>
    </w:p>
    <w:p>
      <w:pPr>
        <w:spacing w:line="400" w:lineRule="exact"/>
        <w:ind w:firstLine="419" w:firstLineChars="196"/>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27.5 未按规定的格式填写或者字迹模糊、辨认不清；</w:t>
      </w:r>
    </w:p>
    <w:p>
      <w:pPr>
        <w:spacing w:line="400" w:lineRule="exact"/>
        <w:ind w:firstLine="419" w:firstLineChars="196"/>
        <w:rPr>
          <w:rFonts w:ascii="宋体" w:hAnsi="宋体" w:cs="宋体"/>
          <w:bCs/>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27.6</w:t>
      </w:r>
      <w:r>
        <w:rPr>
          <w:rFonts w:hint="eastAsia" w:ascii="宋体" w:hAnsi="宋体" w:cs="宋体"/>
          <w:bCs/>
          <w:color w:val="000000" w:themeColor="text1"/>
          <w14:textFill>
            <w14:solidFill>
              <w14:schemeClr w14:val="tx1"/>
            </w14:solidFill>
          </w14:textFill>
        </w:rPr>
        <w:t>在进行到截标会议议程时，没有按20.1款规定递交有效证件的或磋商人法定代表人或授权代表未按时参加截标会议的；</w:t>
      </w:r>
    </w:p>
    <w:p>
      <w:pPr>
        <w:spacing w:line="400" w:lineRule="exact"/>
        <w:ind w:firstLine="411"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27.7竞标截止时间以后送达的响应文件；</w:t>
      </w:r>
    </w:p>
    <w:p>
      <w:pPr>
        <w:autoSpaceDE w:val="0"/>
        <w:autoSpaceDN w:val="0"/>
        <w:adjustRightInd w:val="0"/>
        <w:spacing w:line="420" w:lineRule="exact"/>
        <w:ind w:firstLine="420" w:firstLineChars="200"/>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27.8供应商的投标总价超出</w:t>
      </w:r>
      <w:r>
        <w:rPr>
          <w:rFonts w:hint="eastAsia" w:ascii="宋体" w:hAnsi="宋体" w:cs="宋体"/>
          <w:b/>
          <w:bCs/>
          <w:color w:val="000000" w:themeColor="text1"/>
          <w14:textFill>
            <w14:solidFill>
              <w14:schemeClr w14:val="tx1"/>
            </w14:solidFill>
          </w14:textFill>
        </w:rPr>
        <w:t>工程预算控制价【人民币</w:t>
      </w:r>
      <w:r>
        <w:rPr>
          <w:rFonts w:hint="eastAsia" w:ascii="宋体" w:hAnsi="宋体" w:cs="宋体"/>
          <w:b/>
          <w:bCs/>
          <w:color w:val="000000" w:themeColor="text1"/>
          <w:lang w:eastAsia="zh-CN"/>
          <w14:textFill>
            <w14:solidFill>
              <w14:schemeClr w14:val="tx1"/>
            </w14:solidFill>
          </w14:textFill>
        </w:rPr>
        <w:t>玖拾玖万壹仟陆佰元整（¥991600.00）</w:t>
      </w:r>
      <w:r>
        <w:rPr>
          <w:rFonts w:hint="eastAsia" w:ascii="宋体" w:hAnsi="宋体" w:cs="宋体"/>
          <w:b/>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的；</w:t>
      </w:r>
    </w:p>
    <w:p>
      <w:pPr>
        <w:spacing w:line="400" w:lineRule="exact"/>
        <w:ind w:firstLine="411"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27.9供应商对招标工程量清单内容进行增减或对招标范围进行调整的；</w:t>
      </w:r>
    </w:p>
    <w:p>
      <w:pPr>
        <w:spacing w:line="400" w:lineRule="exact"/>
        <w:ind w:firstLine="411"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27.10响应文件内容不真实等应该作废标处理的情况。</w:t>
      </w:r>
    </w:p>
    <w:p>
      <w:pPr>
        <w:pStyle w:val="171"/>
        <w:spacing w:line="360" w:lineRule="auto"/>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28．评标办法</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综合评分法，</w:t>
      </w:r>
      <w:r>
        <w:rPr>
          <w:rFonts w:hint="eastAsia" w:ascii="宋体" w:hAnsi="宋体" w:cs="宋体"/>
          <w:color w:val="000000" w:themeColor="text1"/>
          <w14:textFill>
            <w14:solidFill>
              <w14:schemeClr w14:val="tx1"/>
            </w14:solidFill>
          </w14:textFill>
        </w:rPr>
        <w:t>详见第六章评标办法。</w:t>
      </w:r>
    </w:p>
    <w:p>
      <w:pPr>
        <w:spacing w:line="46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八、授予合同</w:t>
      </w:r>
    </w:p>
    <w:p>
      <w:pPr>
        <w:spacing w:line="46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29．合同授予标准</w:t>
      </w:r>
    </w:p>
    <w:p>
      <w:pPr>
        <w:spacing w:line="46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采购人将把本合同授予其响应文件实质上响应竞争性磋商采购文件要求和按本须知第28条规定评选出的磋商人，确定为成交人必须具有实施本工程合同的能力和资源。</w:t>
      </w:r>
    </w:p>
    <w:p>
      <w:pPr>
        <w:spacing w:line="46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30．评标结果公示</w:t>
      </w:r>
    </w:p>
    <w:p>
      <w:pPr>
        <w:spacing w:line="4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30.1在评标结束的两个工作日内，</w:t>
      </w:r>
      <w:r>
        <w:rPr>
          <w:rFonts w:hint="eastAsia" w:ascii="宋体" w:hAnsi="宋体" w:cs="宋体"/>
          <w:color w:val="000000" w:themeColor="text1"/>
          <w:spacing w:val="2"/>
          <w14:textFill>
            <w14:solidFill>
              <w14:schemeClr w14:val="tx1"/>
            </w14:solidFill>
          </w14:textFill>
        </w:rPr>
        <w:t>在</w:t>
      </w:r>
      <w:r>
        <w:rPr>
          <w:rFonts w:hint="eastAsia" w:ascii="宋体" w:hAnsi="宋体" w:cs="宋体"/>
          <w:color w:val="000000" w:themeColor="text1"/>
          <w14:textFill>
            <w14:solidFill>
              <w14:schemeClr w14:val="tx1"/>
            </w14:solidFill>
          </w14:textFill>
        </w:rPr>
        <w:t>http://www.ccgp.gov.cn（中国政府采购网）、http://www.ccgp-guangxi.gov.cn/（广西壮族自治区政府采购网）</w:t>
      </w:r>
      <w:r>
        <w:rPr>
          <w:rFonts w:hint="eastAsia" w:ascii="宋体" w:hAnsi="宋体" w:cs="宋体"/>
          <w:color w:val="000000" w:themeColor="text1"/>
          <w:spacing w:val="2"/>
          <w14:textFill>
            <w14:solidFill>
              <w14:schemeClr w14:val="tx1"/>
            </w14:solidFill>
          </w14:textFill>
        </w:rPr>
        <w:t>公示评标结果。</w:t>
      </w:r>
    </w:p>
    <w:p>
      <w:pPr>
        <w:spacing w:line="46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31．成交通知书</w:t>
      </w:r>
    </w:p>
    <w:p>
      <w:pPr>
        <w:spacing w:line="46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发布成交公告的同时向成交人发成交通知书。在该通知书（以下合同条件中称“成交通知书”）中给出采购人对成交的磋商人按本合同施工、竣工和保修工程的成交标价（以下合同条件中称为“合同价格”），以及工期、质量和有关合同签订的日期、地点。</w:t>
      </w:r>
    </w:p>
    <w:p>
      <w:pPr>
        <w:spacing w:line="46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31.2成交通知书为合同的组成部分。</w:t>
      </w:r>
    </w:p>
    <w:p>
      <w:pPr>
        <w:spacing w:line="460" w:lineRule="exact"/>
        <w:ind w:firstLine="409" w:firstLineChars="19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w:t>
      </w:r>
      <w:r>
        <w:rPr>
          <w:rFonts w:hint="eastAsia" w:ascii="宋体" w:hAnsi="宋体" w:cs="宋体"/>
          <w:color w:val="000000" w:themeColor="text1"/>
          <w:spacing w:val="2"/>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应及时将未成交的结果通知其他磋商人。</w:t>
      </w:r>
    </w:p>
    <w:p>
      <w:pPr>
        <w:spacing w:line="460" w:lineRule="exac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32．合同协议书的签署</w:t>
      </w:r>
    </w:p>
    <w:p>
      <w:pPr>
        <w:spacing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32.1成交供应商在收到成交通知书</w:t>
      </w:r>
      <w:r>
        <w:rPr>
          <w:rFonts w:hint="eastAsia" w:ascii="宋体" w:hAnsi="宋体"/>
          <w:color w:val="000000" w:themeColor="text1"/>
          <w14:textFill>
            <w14:solidFill>
              <w14:schemeClr w14:val="tx1"/>
            </w14:solidFill>
          </w14:textFill>
        </w:rPr>
        <w:t>（书面或电子）</w:t>
      </w:r>
      <w:r>
        <w:rPr>
          <w:rFonts w:hint="eastAsia" w:ascii="宋体" w:hAnsi="宋体" w:cs="宋体"/>
          <w:color w:val="000000" w:themeColor="text1"/>
          <w14:textFill>
            <w14:solidFill>
              <w14:schemeClr w14:val="tx1"/>
            </w14:solidFill>
          </w14:textFill>
        </w:rPr>
        <w:t>后，应当在签订合同时向采购人出示相关证明材料，具体内容详见 “供应商须知前附表”，经采购人核验合格后方可签订合同</w:t>
      </w:r>
      <w:r>
        <w:rPr>
          <w:rFonts w:hint="eastAsia" w:ascii="宋体" w:hAnsi="宋体"/>
          <w:color w:val="000000" w:themeColor="text1"/>
          <w14:textFill>
            <w14:solidFill>
              <w14:schemeClr w14:val="tx1"/>
            </w14:solidFill>
          </w14:textFill>
        </w:rPr>
        <w:t>（书面或电子）</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如成交供应商为联合体的，</w:t>
      </w:r>
      <w:r>
        <w:rPr>
          <w:rFonts w:ascii="宋体" w:hAnsi="宋体"/>
          <w:color w:val="000000" w:themeColor="text1"/>
          <w14:textFill>
            <w14:solidFill>
              <w14:schemeClr w14:val="tx1"/>
            </w14:solidFill>
          </w14:textFill>
        </w:rPr>
        <w:t>联合体各方应当共同与采购人签订采购合同，就采购合同约定的事项对采购人承担连带责任。</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32.2如成交人不按成交通知书的规定签订合同，则按成交人违约处理。</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32.4根据《中华人民共和国政府采购法实施条例》第五十条规定，采购人应当自采购合同签订之日起2个工作日内，将采购合同在指定的媒体上公告，但采购合同中涉及国家秘密、商业秘密的内容除外。</w:t>
      </w:r>
    </w:p>
    <w:p>
      <w:pPr>
        <w:spacing w:line="460" w:lineRule="exact"/>
        <w:ind w:firstLine="205" w:firstLineChars="98"/>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r>
        <w:rPr>
          <w:rFonts w:hint="eastAsia" w:ascii="宋体" w:hAnsi="宋体" w:cs="宋体"/>
          <w:b/>
          <w:bCs/>
          <w:color w:val="000000" w:themeColor="text1"/>
          <w14:textFill>
            <w14:solidFill>
              <w14:schemeClr w14:val="tx1"/>
            </w14:solidFill>
          </w14:textFill>
        </w:rPr>
        <w:t>.5合同按竞争性磋商采购文件、响应文件、最终澄清及承诺书的要求进行签订，合同正式签订后7天内送一份至采购人备案，合同备案应提供以下资料：</w:t>
      </w:r>
    </w:p>
    <w:p>
      <w:pPr>
        <w:spacing w:line="460" w:lineRule="exact"/>
        <w:ind w:firstLine="417" w:firstLineChars="19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32.6.1合同（含通用条款</w:t>
      </w:r>
      <w:r>
        <w:rPr>
          <w:rFonts w:hint="eastAsia" w:ascii="宋体" w:hAnsi="宋体" w:cs="宋体"/>
          <w:color w:val="000000" w:themeColor="text1"/>
          <w14:textFill>
            <w14:solidFill>
              <w14:schemeClr w14:val="tx1"/>
            </w14:solidFill>
          </w14:textFill>
        </w:rPr>
        <w:t>、专用条款）；</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32.6.2施工方案及资料表（含项目班子配备人员一览表和使用机械设备一览表）；</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32.6.3成交通知书；</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32.6.4安全施工保证书；</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32.6.5竞争性磋商采购文件答疑、补遗；</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32.6.6工程质量保证书；</w:t>
      </w:r>
    </w:p>
    <w:p>
      <w:pPr>
        <w:spacing w:line="460" w:lineRule="exact"/>
        <w:ind w:firstLine="415" w:firstLineChars="19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32.6.7最终澄清及承诺书。</w:t>
      </w:r>
    </w:p>
    <w:p>
      <w:pPr>
        <w:spacing w:line="380" w:lineRule="exact"/>
        <w:rPr>
          <w:rFonts w:ascii="宋体" w:hAnsi="宋体" w:cs="宋体"/>
          <w:color w:val="000000" w:themeColor="text1"/>
          <w:u w:val="single"/>
          <w14:textFill>
            <w14:solidFill>
              <w14:schemeClr w14:val="tx1"/>
            </w14:solidFill>
          </w14:textFill>
        </w:rPr>
      </w:pPr>
      <w:r>
        <w:rPr>
          <w:rFonts w:hint="eastAsia" w:ascii="宋体" w:hAnsi="宋体" w:cs="宋体"/>
          <w:b/>
          <w:bCs/>
          <w:color w:val="000000" w:themeColor="text1"/>
          <w14:textFill>
            <w14:solidFill>
              <w14:schemeClr w14:val="tx1"/>
            </w14:solidFill>
          </w14:textFill>
        </w:rPr>
        <w:t>33．履约保证金：无</w:t>
      </w:r>
      <w:r>
        <w:rPr>
          <w:rFonts w:hint="eastAsia" w:ascii="宋体" w:hAnsi="宋体" w:cs="宋体"/>
          <w:color w:val="000000" w:themeColor="text1"/>
          <w:u w:val="single"/>
          <w14:textFill>
            <w14:solidFill>
              <w14:schemeClr w14:val="tx1"/>
            </w14:solidFill>
          </w14:textFill>
        </w:rPr>
        <w:t xml:space="preserve">。 </w:t>
      </w:r>
    </w:p>
    <w:p>
      <w:pPr>
        <w:pStyle w:val="23"/>
        <w:spacing w:line="38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九、其他事项</w:t>
      </w:r>
    </w:p>
    <w:p>
      <w:pPr>
        <w:pStyle w:val="23"/>
        <w:spacing w:line="380" w:lineRule="exact"/>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34．成交服务费</w:t>
      </w:r>
    </w:p>
    <w:p>
      <w:pPr>
        <w:tabs>
          <w:tab w:val="left" w:pos="2835"/>
        </w:tabs>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32.2</w:t>
      </w:r>
      <w:r>
        <w:rPr>
          <w:rFonts w:hint="eastAsia" w:ascii="宋体" w:hAnsi="宋体" w:cs="宋体"/>
          <w:color w:val="000000" w:themeColor="text1"/>
          <w14:textFill>
            <w14:solidFill>
              <w14:schemeClr w14:val="tx1"/>
            </w14:solidFill>
          </w14:textFill>
        </w:rPr>
        <w:t>代理服务费收费计算标准：</w:t>
      </w:r>
    </w:p>
    <w:tbl>
      <w:tblPr>
        <w:tblStyle w:val="4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费率</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金额</w:t>
            </w:r>
          </w:p>
        </w:tc>
        <w:tc>
          <w:tcPr>
            <w:tcW w:w="1659" w:type="dxa"/>
            <w:vAlign w:val="center"/>
          </w:tcPr>
          <w:p>
            <w:pPr>
              <w:spacing w:line="360" w:lineRule="auto"/>
              <w:ind w:firstLine="105"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货物类</w:t>
            </w:r>
          </w:p>
        </w:tc>
        <w:tc>
          <w:tcPr>
            <w:tcW w:w="153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服务类</w:t>
            </w:r>
          </w:p>
        </w:tc>
        <w:tc>
          <w:tcPr>
            <w:tcW w:w="154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60万元以下</w:t>
            </w:r>
          </w:p>
        </w:tc>
        <w:tc>
          <w:tcPr>
            <w:tcW w:w="1659"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1.5%                </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1.5%</w:t>
            </w:r>
          </w:p>
        </w:tc>
        <w:tc>
          <w:tcPr>
            <w:tcW w:w="1546"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100～500万元</w:t>
            </w:r>
          </w:p>
        </w:tc>
        <w:tc>
          <w:tcPr>
            <w:tcW w:w="1659"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                 </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0.8%</w:t>
            </w:r>
          </w:p>
        </w:tc>
        <w:tc>
          <w:tcPr>
            <w:tcW w:w="1546"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500～1000万元</w:t>
            </w:r>
          </w:p>
        </w:tc>
        <w:tc>
          <w:tcPr>
            <w:tcW w:w="1659"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0.8%                </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0.45%</w:t>
            </w:r>
          </w:p>
        </w:tc>
        <w:tc>
          <w:tcPr>
            <w:tcW w:w="1546"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1000～5000万元</w:t>
            </w:r>
          </w:p>
        </w:tc>
        <w:tc>
          <w:tcPr>
            <w:tcW w:w="1659"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0.5%                </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0.25%</w:t>
            </w:r>
          </w:p>
        </w:tc>
        <w:tc>
          <w:tcPr>
            <w:tcW w:w="1546"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5000万元～1亿元</w:t>
            </w:r>
          </w:p>
        </w:tc>
        <w:tc>
          <w:tcPr>
            <w:tcW w:w="1659"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0.25%                 </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0.1%</w:t>
            </w:r>
          </w:p>
        </w:tc>
        <w:tc>
          <w:tcPr>
            <w:tcW w:w="1546"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1～5亿元</w:t>
            </w:r>
          </w:p>
        </w:tc>
        <w:tc>
          <w:tcPr>
            <w:tcW w:w="1659"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53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0.05%</w:t>
            </w:r>
          </w:p>
        </w:tc>
        <w:tc>
          <w:tcPr>
            <w:tcW w:w="1546"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5～10亿元</w:t>
            </w:r>
          </w:p>
        </w:tc>
        <w:tc>
          <w:tcPr>
            <w:tcW w:w="1659"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c>
          <w:tcPr>
            <w:tcW w:w="153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0.035%</w:t>
            </w:r>
          </w:p>
        </w:tc>
        <w:tc>
          <w:tcPr>
            <w:tcW w:w="1546"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10～50亿元</w:t>
            </w:r>
          </w:p>
        </w:tc>
        <w:tc>
          <w:tcPr>
            <w:tcW w:w="1659"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1546"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50～100亿元</w:t>
            </w:r>
          </w:p>
        </w:tc>
        <w:tc>
          <w:tcPr>
            <w:tcW w:w="1659"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0.006%</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0.006%</w:t>
            </w:r>
          </w:p>
        </w:tc>
        <w:tc>
          <w:tcPr>
            <w:tcW w:w="1546"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100亿以上</w:t>
            </w:r>
          </w:p>
        </w:tc>
        <w:tc>
          <w:tcPr>
            <w:tcW w:w="1659"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0.004%</w:t>
            </w:r>
          </w:p>
        </w:tc>
        <w:tc>
          <w:tcPr>
            <w:tcW w:w="1532" w:type="dxa"/>
          </w:tcPr>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0.004%</w:t>
            </w:r>
          </w:p>
        </w:tc>
        <w:tc>
          <w:tcPr>
            <w:tcW w:w="1546" w:type="dxa"/>
          </w:tcPr>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0.004%</w:t>
            </w:r>
          </w:p>
        </w:tc>
      </w:tr>
    </w:tbl>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按本表费率计算的收费为</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代理的收费基准价格</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w:t>
      </w:r>
      <w:r>
        <w:rPr>
          <w:rFonts w:ascii="宋体" w:hAnsi="宋体" w:cs="宋体"/>
          <w:color w:val="000000" w:themeColor="text1"/>
          <w14:textFill>
            <w14:solidFill>
              <w14:schemeClr w14:val="tx1"/>
            </w14:solidFill>
          </w14:textFill>
        </w:rPr>
        <w:t>代理收费按差额定率累进法计算。</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例如：某</w:t>
      </w:r>
      <w:r>
        <w:rPr>
          <w:rFonts w:hint="eastAsia" w:ascii="宋体" w:hAnsi="宋体" w:cs="宋体"/>
          <w:color w:val="000000" w:themeColor="text1"/>
          <w14:textFill>
            <w14:solidFill>
              <w14:schemeClr w14:val="tx1"/>
            </w14:solidFill>
          </w14:textFill>
        </w:rPr>
        <w:t>服务采购</w:t>
      </w:r>
      <w:r>
        <w:rPr>
          <w:rFonts w:ascii="宋体" w:hAnsi="宋体" w:cs="宋体"/>
          <w:color w:val="000000" w:themeColor="text1"/>
          <w14:textFill>
            <w14:solidFill>
              <w14:schemeClr w14:val="tx1"/>
            </w14:solidFill>
          </w14:textFill>
        </w:rPr>
        <w:t>代理业务</w:t>
      </w:r>
      <w:r>
        <w:rPr>
          <w:rFonts w:hint="eastAsia" w:ascii="宋体" w:hAnsi="宋体" w:cs="宋体"/>
          <w:color w:val="000000" w:themeColor="text1"/>
          <w14:textFill>
            <w14:solidFill>
              <w14:schemeClr w14:val="tx1"/>
            </w14:solidFill>
          </w14:textFill>
        </w:rPr>
        <w:t>成交</w:t>
      </w:r>
      <w:r>
        <w:rPr>
          <w:rFonts w:ascii="宋体" w:hAnsi="宋体" w:cs="宋体"/>
          <w:color w:val="000000" w:themeColor="text1"/>
          <w14:textFill>
            <w14:solidFill>
              <w14:schemeClr w14:val="tx1"/>
            </w14:solidFill>
          </w14:textFill>
        </w:rPr>
        <w:t>金额</w:t>
      </w:r>
      <w:r>
        <w:rPr>
          <w:rFonts w:hint="eastAsia" w:ascii="宋体" w:hAnsi="宋体" w:cs="宋体"/>
          <w:color w:val="000000" w:themeColor="text1"/>
          <w14:textFill>
            <w14:solidFill>
              <w14:schemeClr w14:val="tx1"/>
            </w14:solidFill>
          </w14:textFill>
        </w:rPr>
        <w:t>或者暂定价</w:t>
      </w:r>
      <w:r>
        <w:rPr>
          <w:rFonts w:ascii="宋体" w:hAnsi="宋体" w:cs="宋体"/>
          <w:color w:val="000000" w:themeColor="text1"/>
          <w14:textFill>
            <w14:solidFill>
              <w14:schemeClr w14:val="tx1"/>
            </w14:solidFill>
          </w14:textFill>
        </w:rPr>
        <w:t>为150万元，计算</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代理收费额如下：</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 万元 ×l.5 %＝ 1.5 万元</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150 － 100 ）万元 ×0.8%＝ 0.4万元</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合计收费＝ 1.5 ＋ 0.4＝ 1.9 万元</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32.3 </w:t>
      </w:r>
      <w:r>
        <w:rPr>
          <w:rFonts w:hint="eastAsia" w:ascii="宋体" w:hAnsi="宋体" w:cs="宋体"/>
          <w:color w:val="000000" w:themeColor="text1"/>
          <w:kern w:val="0"/>
          <w14:textFill>
            <w14:solidFill>
              <w14:schemeClr w14:val="tx1"/>
            </w14:solidFill>
          </w14:textFill>
        </w:rPr>
        <w:t>代理服务费交纳</w:t>
      </w:r>
      <w:r>
        <w:rPr>
          <w:rFonts w:ascii="宋体" w:hAnsi="宋体" w:cs="宋体"/>
          <w:color w:val="000000" w:themeColor="text1"/>
          <w:kern w:val="0"/>
          <w14:textFill>
            <w14:solidFill>
              <w14:schemeClr w14:val="tx1"/>
            </w14:solidFill>
          </w14:textFill>
        </w:rPr>
        <w:t>银行帐号信息</w:t>
      </w:r>
    </w:p>
    <w:p>
      <w:pPr>
        <w:wordWrap w:val="0"/>
        <w:snapToGrid w:val="0"/>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开户名称：广西乾诚工程咨询有限公司</w:t>
      </w:r>
    </w:p>
    <w:p>
      <w:pPr>
        <w:wordWrap w:val="0"/>
        <w:snapToGrid w:val="0"/>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r>
        <w:rPr>
          <w:rFonts w:hint="eastAsia"/>
          <w:color w:val="000000" w:themeColor="text1"/>
          <w14:textFill>
            <w14:solidFill>
              <w14:schemeClr w14:val="tx1"/>
            </w14:solidFill>
          </w14:textFill>
        </w:rPr>
        <w:t>中国工商银行股份有限公司钦州市永福东支行</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银行帐号：</w:t>
      </w:r>
      <w:r>
        <w:rPr>
          <w:rFonts w:hint="eastAsia"/>
          <w:color w:val="000000" w:themeColor="text1"/>
          <w14:textFill>
            <w14:solidFill>
              <w14:schemeClr w14:val="tx1"/>
            </w14:solidFill>
          </w14:textFill>
        </w:rPr>
        <w:t xml:space="preserve">2115591209100095017 </w:t>
      </w:r>
    </w:p>
    <w:p>
      <w:pPr>
        <w:pStyle w:val="23"/>
        <w:spacing w:line="380" w:lineRule="exact"/>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 xml:space="preserve"> </w:t>
      </w:r>
    </w:p>
    <w:p>
      <w:pPr>
        <w:pStyle w:val="23"/>
        <w:spacing w:line="380" w:lineRule="exact"/>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35．解释权</w:t>
      </w:r>
    </w:p>
    <w:p>
      <w:pPr>
        <w:pStyle w:val="23"/>
        <w:spacing w:line="38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35.1本竞争性磋商采购文件</w:t>
      </w:r>
      <w:r>
        <w:rPr>
          <w:rFonts w:hint="eastAsia" w:hAnsi="宋体" w:cs="宋体"/>
          <w:color w:val="000000" w:themeColor="text1"/>
          <w:spacing w:val="2"/>
          <w:szCs w:val="21"/>
          <w14:textFill>
            <w14:solidFill>
              <w14:schemeClr w14:val="tx1"/>
            </w14:solidFill>
          </w14:textFill>
        </w:rPr>
        <w:t>是根据《中华人民共和国政府采购法实施条例》、《政府采购竞争性磋商采购方式管理暂行办法》及根据国际惯例编制，解释权属本采购代理机构。</w:t>
      </w:r>
    </w:p>
    <w:p>
      <w:pPr>
        <w:spacing w:line="40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36.适用法律</w:t>
      </w:r>
    </w:p>
    <w:p>
      <w:pPr>
        <w:tabs>
          <w:tab w:val="left" w:pos="2835"/>
        </w:tabs>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 询问、质疑和投诉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36.1供应商对政府采购活动事项有疑问的，可以向采购人、采购代理机构提出询问，采购人或者采购代理机构应当在3个工作日内对供应商依法提出的询问作出答复。</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36.2供应商认为竞争性磋商文件、采购过程或成交结果使自己的合法权益受到损害的，应当在知道或者应知其权益受到损害之日起七个工作日内，以书面形式向采购人、采购代理机构提出质疑，</w:t>
      </w:r>
      <w:r>
        <w:rPr>
          <w:rFonts w:hint="eastAsia" w:ascii="宋体" w:hAnsi="宋体" w:cs="宋体"/>
          <w:color w:val="000000" w:themeColor="text1"/>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14:textFill>
            <w14:solidFill>
              <w14:schemeClr w14:val="tx1"/>
            </w14:solidFill>
          </w14:textFill>
        </w:rPr>
        <w:t>“供应商须知前附表”。具体质疑起算时间如下：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（1）对可以质疑的竞争性磋商文件提出质疑的，为收到竞争性磋商文件之日或竞争性磋商公告期限届满之日；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供应商提出质疑应当提交质疑函和必要的证明材料，针对同一采购程序环节的质疑必须在法定质疑期内一次性提出。质疑函应当包括下列内容：</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36.5采购人、采购代理机构认为供应商质疑不成立，或者成立但未对成交结果构成影响的，继续开展采购活动；认为供应商质疑成立且影响或者可能影响成交结果的，按照下列情况处理：</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（1）对竞争性磋商文件提出的质疑，依法通过澄清或者修改可以继续开展采购活动的，澄清或者修改竞争性磋商文件后继续开展采购活动；否则应当在修改竞争性磋商文件后重新开展采购活动。</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（2）对采购过程、成交结果提出的质疑，合格供应商符合法定数量时，可以从合格的成交候选人中另行确定成交供应商的，应当依法另行确定成交供应商；否则应当重新开展采购活动。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（一）在货物采购项目中，货物由中小企业制造，即货物由中小企业生产且使用该中小企业商号或者注册商标；</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（二）在工程采购项目中，工程由中小企业承建，即工程施工单位为中小企业；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依据本文件规定享受扶持政策获得政府采购合同的，小微企业不得将合同分包给大中型企业，中型企业不得将合同分包给大型企业。</w:t>
      </w:r>
    </w:p>
    <w:p>
      <w:pPr>
        <w:pStyle w:val="23"/>
        <w:spacing w:line="380" w:lineRule="exact"/>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38．联系地址与其他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38.1所有与本采购文件有关的函电请按下列通讯地址联系：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名称：钦州市钦北区水利局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地址：钦州市钦北区行政中心斜对面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联系方式：陈工      联系电话： 0777-3685638</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名称：广西乾诚工程咨询有限公司　　　　　　　　　　　　</w:t>
      </w:r>
    </w:p>
    <w:p>
      <w:pPr>
        <w:spacing w:line="360" w:lineRule="auto"/>
        <w:ind w:firstLine="567" w:firstLineChars="2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Arial"/>
          <w:color w:val="000000" w:themeColor="text1"/>
          <w14:textFill>
            <w14:solidFill>
              <w14:schemeClr w14:val="tx1"/>
            </w14:solidFill>
          </w14:textFill>
        </w:rPr>
        <w:t>钦州市钦北区下勒路（大众牛杂后面）广西乾诚工程咨询有限公司</w:t>
      </w:r>
      <w:r>
        <w:rPr>
          <w:rFonts w:hint="eastAsia" w:ascii="宋体" w:hAnsi="宋体" w:cs="宋体"/>
          <w:color w:val="000000" w:themeColor="text1"/>
          <w14:textFill>
            <w14:solidFill>
              <w14:schemeClr w14:val="tx1"/>
            </w14:solidFill>
          </w14:textFill>
        </w:rPr>
        <w:t>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联系方式：袁芳艳  联系电话：0777-3666789</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39.回避</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在采购活动中，采购人员及相关人员与供应商有下列利害关系之一的，应当回避：</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(一)参加采购活动前3年内与供应商存在劳动关系;</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(二)参加采购活动前3年内担任供应商的董事、监事;</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(三)参加采购活动前3年内是供应商的控股股东或者实际控制人;</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(四)与供应商的法定代表人或者负责人有夫妻、直系血亲、三代以内旁系血亲或者近姻亲关系;</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(五)与供应商有其他可能影响采购活动公平、公正进行的关系。</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3"/>
        <w:spacing w:line="360" w:lineRule="auto"/>
        <w:jc w:val="center"/>
        <w:rPr>
          <w:rStyle w:val="87"/>
          <w:rFonts w:hAnsi="宋体" w:eastAsia="宋体" w:cs="宋体"/>
          <w:bCs/>
          <w:color w:val="000000" w:themeColor="text1"/>
          <w:sz w:val="21"/>
          <w:szCs w:val="21"/>
          <w14:textFill>
            <w14:solidFill>
              <w14:schemeClr w14:val="tx1"/>
            </w14:solidFill>
          </w14:textFill>
        </w:rPr>
      </w:pPr>
      <w:bookmarkStart w:id="18" w:name="_Toc13906"/>
    </w:p>
    <w:p>
      <w:pPr>
        <w:rPr>
          <w:rFonts w:ascii="宋体" w:hAnsi="宋体" w:cs="宋体"/>
          <w:color w:val="000000" w:themeColor="text1"/>
          <w14:textFill>
            <w14:solidFill>
              <w14:schemeClr w14:val="tx1"/>
            </w14:solidFill>
          </w14:textFill>
        </w:rPr>
      </w:pPr>
    </w:p>
    <w:p>
      <w:pPr>
        <w:pStyle w:val="23"/>
        <w:spacing w:line="360" w:lineRule="auto"/>
        <w:jc w:val="center"/>
        <w:rPr>
          <w:rStyle w:val="87"/>
          <w:rFonts w:hAnsi="宋体" w:eastAsia="宋体" w:cs="宋体"/>
          <w:bCs/>
          <w:color w:val="000000" w:themeColor="text1"/>
          <w:sz w:val="28"/>
          <w:szCs w:val="28"/>
          <w14:textFill>
            <w14:solidFill>
              <w14:schemeClr w14:val="tx1"/>
            </w14:solidFill>
          </w14:textFill>
        </w:rPr>
      </w:pPr>
      <w:r>
        <w:rPr>
          <w:rStyle w:val="87"/>
          <w:rFonts w:hint="eastAsia" w:hAnsi="宋体" w:eastAsia="宋体" w:cs="宋体"/>
          <w:bCs/>
          <w:color w:val="000000" w:themeColor="text1"/>
          <w:sz w:val="28"/>
          <w:szCs w:val="28"/>
          <w14:textFill>
            <w14:solidFill>
              <w14:schemeClr w14:val="tx1"/>
            </w14:solidFill>
          </w14:textFill>
        </w:rPr>
        <w:t>第三章</w:t>
      </w:r>
      <w:bookmarkEnd w:id="18"/>
      <w:bookmarkStart w:id="19" w:name="_Toc6795_WPSOffice_Level1"/>
      <w:r>
        <w:rPr>
          <w:rStyle w:val="87"/>
          <w:rFonts w:hint="eastAsia" w:hAnsi="宋体" w:eastAsia="宋体" w:cs="宋体"/>
          <w:bCs/>
          <w:color w:val="000000" w:themeColor="text1"/>
          <w:sz w:val="28"/>
          <w:szCs w:val="28"/>
          <w14:textFill>
            <w14:solidFill>
              <w14:schemeClr w14:val="tx1"/>
            </w14:solidFill>
          </w14:textFill>
        </w:rPr>
        <w:t>合同书格式</w:t>
      </w:r>
      <w:bookmarkEnd w:id="19"/>
      <w:bookmarkStart w:id="20" w:name="_Toc407135191"/>
      <w:bookmarkStart w:id="21" w:name="_Toc373478199"/>
      <w:bookmarkStart w:id="22" w:name="_Toc389065255"/>
      <w:bookmarkStart w:id="23" w:name="_Toc256000110"/>
      <w:bookmarkStart w:id="24" w:name="_Toc296503025"/>
      <w:bookmarkStart w:id="25" w:name="_Toc296890982"/>
      <w:bookmarkStart w:id="26" w:name="_Toc351203480"/>
      <w:bookmarkStart w:id="27" w:name="_Toc373227552"/>
      <w:bookmarkStart w:id="28" w:name="_Toc9850519"/>
    </w:p>
    <w:p>
      <w:pPr>
        <w:pStyle w:val="23"/>
        <w:spacing w:line="400" w:lineRule="exact"/>
        <w:ind w:firstLine="540"/>
        <w:jc w:val="center"/>
        <w:rPr>
          <w:rFonts w:hAnsi="宋体" w:cs="宋体"/>
          <w:b/>
          <w:bCs/>
          <w:color w:val="000000" w:themeColor="text1"/>
          <w:spacing w:val="20"/>
          <w:sz w:val="36"/>
          <w:szCs w:val="36"/>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一</w:t>
      </w:r>
      <w:r>
        <w:rPr>
          <w:rFonts w:hint="eastAsia" w:hAnsi="宋体" w:cs="宋体"/>
          <w:b/>
          <w:bCs/>
          <w:color w:val="000000" w:themeColor="text1"/>
          <w:spacing w:val="20"/>
          <w:sz w:val="36"/>
          <w:szCs w:val="36"/>
          <w14:textFill>
            <w14:solidFill>
              <w14:schemeClr w14:val="tx1"/>
            </w14:solidFill>
          </w14:textFill>
        </w:rPr>
        <w:t>、合同协议书</w:t>
      </w:r>
    </w:p>
    <w:p>
      <w:pPr>
        <w:pStyle w:val="23"/>
        <w:spacing w:line="360" w:lineRule="auto"/>
        <w:ind w:firstLine="540"/>
        <w:rPr>
          <w:rFonts w:hAnsi="宋体" w:cs="宋体"/>
          <w:color w:val="000000" w:themeColor="text1"/>
          <w:szCs w:val="21"/>
          <w14:textFill>
            <w14:solidFill>
              <w14:schemeClr w14:val="tx1"/>
            </w14:solidFill>
          </w14:textFill>
        </w:rPr>
      </w:pPr>
    </w:p>
    <w:p>
      <w:pPr>
        <w:pStyle w:val="23"/>
        <w:spacing w:line="380" w:lineRule="exact"/>
        <w:ind w:firstLine="540"/>
        <w:rPr>
          <w:rFonts w:hAnsi="宋体" w:cs="宋体"/>
          <w:b/>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发包人(全称)：</w:t>
      </w:r>
      <w:r>
        <w:rPr>
          <w:rFonts w:hint="eastAsia" w:hAnsi="宋体" w:cs="宋体"/>
          <w:b/>
          <w:color w:val="000000" w:themeColor="text1"/>
          <w:sz w:val="24"/>
          <w:szCs w:val="24"/>
          <w:u w:val="single"/>
          <w14:textFill>
            <w14:solidFill>
              <w14:schemeClr w14:val="tx1"/>
            </w14:solidFill>
          </w14:textFill>
        </w:rPr>
        <w:t xml:space="preserve">钦州市钦北区水利局  </w:t>
      </w:r>
    </w:p>
    <w:p>
      <w:pPr>
        <w:pStyle w:val="23"/>
        <w:spacing w:line="380" w:lineRule="exact"/>
        <w:ind w:firstLine="540"/>
        <w:rPr>
          <w:rFonts w:hAnsi="宋体" w:cs="宋体"/>
          <w:b/>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承包人(全称)：</w:t>
      </w:r>
      <w:r>
        <w:rPr>
          <w:rFonts w:hint="eastAsia" w:hAnsi="宋体" w:cs="宋体"/>
          <w:b/>
          <w:color w:val="000000" w:themeColor="text1"/>
          <w:sz w:val="24"/>
          <w:szCs w:val="24"/>
          <w:u w:val="single"/>
          <w14:textFill>
            <w14:solidFill>
              <w14:schemeClr w14:val="tx1"/>
            </w14:solidFill>
          </w14:textFill>
        </w:rPr>
        <w:t xml:space="preserve">                    </w:t>
      </w:r>
    </w:p>
    <w:p>
      <w:pPr>
        <w:pStyle w:val="23"/>
        <w:spacing w:line="380" w:lineRule="exact"/>
        <w:ind w:firstLine="540"/>
        <w:rPr>
          <w:rFonts w:hAnsi="宋体" w:cs="宋体"/>
          <w:color w:val="000000" w:themeColor="text1"/>
          <w:sz w:val="24"/>
          <w:szCs w:val="24"/>
          <w14:textFill>
            <w14:solidFill>
              <w14:schemeClr w14:val="tx1"/>
            </w14:solidFill>
          </w14:textFill>
        </w:rPr>
      </w:pP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依照《中华人民共和国民法典》及其他有关法律、行政法规，遵循平等、自愿、公平和诚实信用的原则，双方就本建设工程施工事项协商一致，订立本合同。</w:t>
      </w:r>
    </w:p>
    <w:p>
      <w:pPr>
        <w:pStyle w:val="23"/>
        <w:spacing w:line="380" w:lineRule="exact"/>
        <w:ind w:firstLine="540"/>
        <w:rPr>
          <w:rFonts w:hAnsi="宋体" w:cs="宋体"/>
          <w:color w:val="000000" w:themeColor="text1"/>
          <w:sz w:val="24"/>
          <w:szCs w:val="24"/>
          <w14:textFill>
            <w14:solidFill>
              <w14:schemeClr w14:val="tx1"/>
            </w14:solidFill>
          </w14:textFill>
        </w:rPr>
      </w:pP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一、工程概况</w:t>
      </w:r>
    </w:p>
    <w:p>
      <w:pPr>
        <w:pStyle w:val="23"/>
        <w:spacing w:line="380" w:lineRule="exact"/>
        <w:ind w:left="1740" w:leftChars="257" w:hanging="1200" w:hangingChars="5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工程名称：</w:t>
      </w:r>
      <w:r>
        <w:rPr>
          <w:rFonts w:hint="eastAsia" w:hAnsi="宋体" w:cs="宋体"/>
          <w:color w:val="000000" w:themeColor="text1"/>
          <w:sz w:val="24"/>
          <w:szCs w:val="24"/>
          <w:u w:val="single"/>
          <w:lang w:val="en-US" w:eastAsia="zh-CN"/>
          <w14:textFill>
            <w14:solidFill>
              <w14:schemeClr w14:val="tx1"/>
            </w14:solidFill>
          </w14:textFill>
        </w:rPr>
        <w:t xml:space="preserve">                 </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w:t>
      </w: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项目建设内容和规模：具体详见工程量清单文件及图纸。</w:t>
      </w: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工程立项批准文号：《</w:t>
      </w:r>
      <w:r>
        <w:rPr>
          <w:rFonts w:hint="eastAsia" w:hAnsi="宋体" w:cs="宋体"/>
          <w:color w:val="000000" w:themeColor="text1"/>
          <w:sz w:val="24"/>
          <w:szCs w:val="24"/>
          <w:lang w:eastAsia="zh-CN"/>
          <w14:textFill>
            <w14:solidFill>
              <w14:schemeClr w14:val="tx1"/>
            </w14:solidFill>
          </w14:textFill>
        </w:rPr>
        <w:t>钦州市钦北区人民政府关于钦北区</w:t>
      </w:r>
      <w:r>
        <w:rPr>
          <w:rFonts w:hint="eastAsia" w:hAnsi="宋体" w:cs="宋体"/>
          <w:color w:val="000000" w:themeColor="text1"/>
          <w:sz w:val="24"/>
          <w:szCs w:val="24"/>
          <w:lang w:val="en-US" w:eastAsia="zh-CN"/>
          <w14:textFill>
            <w14:solidFill>
              <w14:schemeClr w14:val="tx1"/>
            </w14:solidFill>
          </w14:textFill>
        </w:rPr>
        <w:t>2023年区本级财政衔接推进乡村振兴补助资金分配方案的批复</w:t>
      </w:r>
      <w:r>
        <w:rPr>
          <w:rFonts w:hint="eastAsia" w:hAnsi="宋体" w:cs="宋体"/>
          <w:color w:val="000000" w:themeColor="text1"/>
          <w:sz w:val="24"/>
          <w:szCs w:val="24"/>
          <w14:textFill>
            <w14:solidFill>
              <w14:schemeClr w14:val="tx1"/>
            </w14:solidFill>
          </w14:textFill>
        </w:rPr>
        <w:t>》</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资金来源：</w:t>
      </w:r>
      <w:r>
        <w:rPr>
          <w:rFonts w:hint="eastAsia" w:hAnsi="宋体" w:cs="宋体"/>
          <w:b/>
          <w:color w:val="000000" w:themeColor="text1"/>
          <w:sz w:val="24"/>
          <w:szCs w:val="24"/>
          <w14:textFill>
            <w14:solidFill>
              <w14:schemeClr w14:val="tx1"/>
            </w14:solidFill>
          </w14:textFill>
        </w:rPr>
        <w:t>财政拨款。</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二、工程承包范围</w:t>
      </w:r>
    </w:p>
    <w:p>
      <w:pPr>
        <w:spacing w:line="38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承包范围：建设单位提供设计图纸及工程量。</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三、合同工期</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开工日期：</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年</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月</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日</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竣工日期：</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年</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月</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szCs w:val="24"/>
          <w14:textFill>
            <w14:solidFill>
              <w14:schemeClr w14:val="tx1"/>
            </w14:solidFill>
          </w14:textFill>
        </w:rPr>
        <w:t xml:space="preserve">日  </w:t>
      </w: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合同工期总日历天数：约</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天，自合同签订之日起至2023年  月     日，完成所有工作。  </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四、质量标准</w:t>
      </w:r>
    </w:p>
    <w:p>
      <w:pPr>
        <w:pStyle w:val="23"/>
        <w:spacing w:line="380" w:lineRule="exact"/>
        <w:ind w:firstLine="5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工程质量标准：</w:t>
      </w:r>
      <w:r>
        <w:rPr>
          <w:rFonts w:hint="eastAsia" w:hAnsi="宋体" w:cs="宋体"/>
          <w:color w:val="000000" w:themeColor="text1"/>
          <w:sz w:val="24"/>
          <w:szCs w:val="24"/>
          <w:u w:val="single"/>
          <w14:textFill>
            <w14:solidFill>
              <w14:schemeClr w14:val="tx1"/>
            </w14:solidFill>
          </w14:textFill>
        </w:rPr>
        <w:t xml:space="preserve">  达到国家施工验收规范合格标准  </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五、合同价款</w:t>
      </w:r>
    </w:p>
    <w:p>
      <w:pPr>
        <w:pStyle w:val="23"/>
        <w:spacing w:line="39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工程合同价：（大写）</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14:textFill>
            <w14:solidFill>
              <w14:schemeClr w14:val="tx1"/>
            </w14:solidFill>
          </w14:textFill>
        </w:rPr>
        <w:t>（￥</w:t>
      </w:r>
      <w:r>
        <w:rPr>
          <w:rFonts w:hint="eastAsia" w:hAnsi="宋体" w:cs="宋体"/>
          <w:b/>
          <w:color w:val="000000" w:themeColor="text1"/>
          <w:sz w:val="24"/>
          <w:szCs w:val="24"/>
          <w:u w:val="single"/>
          <w14:textFill>
            <w14:solidFill>
              <w14:schemeClr w14:val="tx1"/>
            </w14:solidFill>
          </w14:textFill>
        </w:rPr>
        <w:t xml:space="preserve">      </w:t>
      </w:r>
      <w:r>
        <w:rPr>
          <w:rFonts w:hint="eastAsia" w:hAnsi="宋体" w:cs="宋体"/>
          <w:b/>
          <w:color w:val="000000" w:themeColor="text1"/>
          <w:sz w:val="24"/>
          <w14:textFill>
            <w14:solidFill>
              <w14:schemeClr w14:val="tx1"/>
            </w14:solidFill>
          </w14:textFill>
        </w:rPr>
        <w:t>.00元）</w:t>
      </w:r>
      <w:r>
        <w:rPr>
          <w:rFonts w:hint="eastAsia" w:hAnsi="宋体" w:cs="宋体"/>
          <w:color w:val="000000" w:themeColor="text1"/>
          <w:sz w:val="24"/>
          <w:szCs w:val="24"/>
          <w14:textFill>
            <w14:solidFill>
              <w14:schemeClr w14:val="tx1"/>
            </w14:solidFill>
          </w14:textFill>
        </w:rPr>
        <w:t>，结算价以实际完成工程量计算，经审定后，以审定结果结算。</w:t>
      </w:r>
    </w:p>
    <w:p>
      <w:pPr>
        <w:spacing w:line="38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六、组成合同的文件</w:t>
      </w: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组成本合同的文件包括：</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钦州市钦北区2024年农村人饮供水保障工程-土建（Ⅰ标）</w:t>
      </w:r>
      <w:r>
        <w:rPr>
          <w:rFonts w:hint="eastAsia" w:ascii="宋体" w:hAnsi="宋体" w:cs="宋体"/>
          <w:color w:val="000000" w:themeColor="text1"/>
          <w:sz w:val="24"/>
          <w14:textFill>
            <w14:solidFill>
              <w14:schemeClr w14:val="tx1"/>
            </w14:solidFill>
          </w14:textFill>
        </w:rPr>
        <w:t>合同协议书</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钦州市钦北区2024年农村人饮供水保障工程-土建（Ⅰ标）</w:t>
      </w:r>
      <w:r>
        <w:rPr>
          <w:rFonts w:hint="eastAsia" w:ascii="宋体" w:hAnsi="宋体" w:cs="宋体"/>
          <w:color w:val="000000" w:themeColor="text1"/>
          <w:sz w:val="24"/>
          <w14:textFill>
            <w14:solidFill>
              <w14:schemeClr w14:val="tx1"/>
            </w14:solidFill>
          </w14:textFill>
        </w:rPr>
        <w:t>中标通知书</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3、本合同专用条款</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4、本合同通用条款</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5、标准、规范及有关技术文件</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6、图纸</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7、工程量清单</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8、工程报价单或预算书</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9、其他相关资料</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双方有关工程的洽商、变更等书面协议或文件视为本合同的组成部分。</w:t>
      </w:r>
    </w:p>
    <w:p>
      <w:pPr>
        <w:spacing w:line="380" w:lineRule="exact"/>
        <w:ind w:firstLine="480" w:firstLineChars="200"/>
        <w:rPr>
          <w:rFonts w:ascii="宋体" w:hAnsi="宋体" w:cs="宋体"/>
          <w:color w:val="000000" w:themeColor="text1"/>
          <w:sz w:val="24"/>
          <w14:textFill>
            <w14:solidFill>
              <w14:schemeClr w14:val="tx1"/>
            </w14:solidFill>
          </w14:textFill>
        </w:rPr>
      </w:pPr>
    </w:p>
    <w:p>
      <w:pPr>
        <w:pStyle w:val="23"/>
        <w:spacing w:line="380" w:lineRule="exact"/>
        <w:ind w:firstLine="53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七、本协议书中有关词语含义与招标文件第四章(通用条款)中分别赋予它们的定义相同。</w:t>
      </w:r>
    </w:p>
    <w:p>
      <w:pPr>
        <w:pStyle w:val="23"/>
        <w:spacing w:line="380" w:lineRule="exact"/>
        <w:ind w:firstLine="53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八、承包人向发包人承诺按照合同约定进行施工、竣工并在质量保修期内承担工程质量保修责任。</w:t>
      </w:r>
    </w:p>
    <w:p>
      <w:pPr>
        <w:pStyle w:val="23"/>
        <w:spacing w:line="380" w:lineRule="exact"/>
        <w:ind w:firstLine="53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九、发包人向承包人承诺按照合同约定的期限和方式支付合同价款及其他应当支付的款项。</w:t>
      </w:r>
    </w:p>
    <w:p>
      <w:pPr>
        <w:pStyle w:val="23"/>
        <w:spacing w:line="380" w:lineRule="exact"/>
        <w:ind w:firstLine="54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十、合同生效</w:t>
      </w:r>
    </w:p>
    <w:p>
      <w:pPr>
        <w:pStyle w:val="23"/>
        <w:spacing w:line="380" w:lineRule="exact"/>
        <w:ind w:firstLine="54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合同订立时间：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pStyle w:val="23"/>
        <w:spacing w:line="380" w:lineRule="exact"/>
        <w:ind w:firstLine="54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合同订立地点：</w:t>
      </w:r>
      <w:r>
        <w:rPr>
          <w:rFonts w:hint="eastAsia" w:hAnsi="宋体" w:cs="宋体"/>
          <w:color w:val="000000" w:themeColor="text1"/>
          <w:sz w:val="24"/>
          <w:szCs w:val="24"/>
          <w:u w:val="single"/>
          <w14:textFill>
            <w14:solidFill>
              <w14:schemeClr w14:val="tx1"/>
            </w14:solidFill>
          </w14:textFill>
        </w:rPr>
        <w:t>钦州市钦北区水利局</w:t>
      </w:r>
    </w:p>
    <w:p>
      <w:pPr>
        <w:pStyle w:val="23"/>
        <w:spacing w:line="380" w:lineRule="exact"/>
        <w:ind w:left="479" w:leftChars="228" w:firstLine="60" w:firstLineChars="25"/>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本合同双方约定</w:t>
      </w:r>
      <w:r>
        <w:rPr>
          <w:rFonts w:hint="eastAsia" w:hAnsi="宋体" w:cs="宋体"/>
          <w:color w:val="000000" w:themeColor="text1"/>
          <w:sz w:val="24"/>
          <w:szCs w:val="24"/>
          <w:u w:val="single"/>
          <w14:textFill>
            <w14:solidFill>
              <w14:schemeClr w14:val="tx1"/>
            </w14:solidFill>
          </w14:textFill>
        </w:rPr>
        <w:t>双方法定代表人或其授权代理人签字或盖章并加盖单位公章</w:t>
      </w:r>
      <w:r>
        <w:rPr>
          <w:rFonts w:hint="eastAsia" w:hAnsi="宋体" w:cs="宋体"/>
          <w:color w:val="000000" w:themeColor="text1"/>
          <w:sz w:val="24"/>
          <w:szCs w:val="24"/>
          <w14:textFill>
            <w14:solidFill>
              <w14:schemeClr w14:val="tx1"/>
            </w14:solidFill>
          </w14:textFill>
        </w:rPr>
        <w:t>后生效。</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p>
    <w:p>
      <w:pPr>
        <w:spacing w:before="156" w:beforeLines="50"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发包人：</w:t>
      </w:r>
      <w:r>
        <w:rPr>
          <w:rFonts w:hint="eastAsia" w:ascii="宋体" w:hAnsi="宋体" w:cs="宋体"/>
          <w:b/>
          <w:color w:val="000000" w:themeColor="text1"/>
          <w:sz w:val="24"/>
          <w14:textFill>
            <w14:solidFill>
              <w14:schemeClr w14:val="tx1"/>
            </w14:solidFill>
          </w14:textFill>
        </w:rPr>
        <w:t>钦州市钦北区水利局            承包人：</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住所：                                住所：</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法定代表人：</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委托代理人：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委托代理人：</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电 话：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电 话：</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传 真：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传 真：</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开户银行：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开户银行：</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帐 号：            </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 xml:space="preserve">           帐号：</w:t>
      </w:r>
    </w:p>
    <w:p>
      <w:pPr>
        <w:spacing w:before="156" w:beforeLines="50"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邮政编码：                            邮政编码：</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bookmarkEnd w:id="20"/>
    <w:bookmarkEnd w:id="21"/>
    <w:bookmarkEnd w:id="22"/>
    <w:bookmarkEnd w:id="23"/>
    <w:bookmarkEnd w:id="24"/>
    <w:bookmarkEnd w:id="25"/>
    <w:bookmarkEnd w:id="26"/>
    <w:bookmarkEnd w:id="27"/>
    <w:bookmarkEnd w:id="28"/>
    <w:p>
      <w:pPr>
        <w:spacing w:before="120" w:after="120" w:line="36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一、专用合同条款</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1．一般约定</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词语定义</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合同当事人和人员</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1.1.2.2  发包人：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承包人：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1.1.2.5  分包人：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1.1.2.6  监理人：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  日期</w:t>
      </w:r>
    </w:p>
    <w:p>
      <w:pPr>
        <w:spacing w:line="36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1.1.4.5  缺陷责任期（工程质量保修期）：</w:t>
      </w:r>
      <w:r>
        <w:rPr>
          <w:rFonts w:hint="eastAsia" w:ascii="宋体" w:hAnsi="宋体" w:cs="宋体"/>
          <w:color w:val="000000" w:themeColor="text1"/>
          <w:u w:val="single"/>
          <w14:textFill>
            <w14:solidFill>
              <w14:schemeClr w14:val="tx1"/>
            </w14:solidFill>
          </w14:textFill>
        </w:rPr>
        <w:t xml:space="preserve">双方约定本项目的质量保修期为保修期的起算日至通过竣工验收后一年 </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  合同文件的优先顺序</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进入合同的各项文件及其优先顺序如下：</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（1）合同协议书（包括补充协议、合同谈判备忘录）；</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（2）中标通知书；</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（3）磋商书及磋商书附录；</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（4）专用合同条款（含附加条款）；</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（5）通用合同条款；</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（6）技术标准和要求（合同技术条款）；</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（7）图纸；</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（8）已标价工程量清单；</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（9）磋商文件其他内容；</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（10）其他合同文件。</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1.5合同签订</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中标单位在签订合同时，必须由本单位法定代表人和项目经理到场签订合同和承诺书，承诺书须承诺按磋商文件施工工期完成并通过完工验收；因施工单位的原因未能按期完工的，按有关约定计处罚金。</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  联络</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  来往函件均应按技术标准和要求（合同技术条款）约定的期限送达。</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发包人义务</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提供施工场地</w:t>
      </w:r>
    </w:p>
    <w:p>
      <w:pPr>
        <w:spacing w:line="360" w:lineRule="exact"/>
        <w:ind w:right="248"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2.3.2发包人提供的施工场地范围为：</w:t>
      </w:r>
      <w:r>
        <w:rPr>
          <w:rFonts w:hint="eastAsia" w:ascii="宋体" w:hAnsi="宋体" w:cs="宋体"/>
          <w:color w:val="000000" w:themeColor="text1"/>
          <w:u w:val="single"/>
          <w14:textFill>
            <w14:solidFill>
              <w14:schemeClr w14:val="tx1"/>
            </w14:solidFill>
          </w14:textFill>
        </w:rPr>
        <w:t xml:space="preserve">  发包人负责办理工地范围内的征地、拆迁和移民等有关手续，向承包人提供施工用地。提供的用地范围和期限在签订协议书时商定 </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2.3.3承包人自行勘察的施工场地范围为：</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  其它义务  </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其他未尽事宜待签订施工合同时双方再协商。</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监理人</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  监理人的职责和权力</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监理人须根据发包人事先批准的权力范围行使权力，发包人批准的权力范围：按本工程委托监理合同。</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承包人</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  承包人的一般义务</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4.1.10  其他义务</w:t>
      </w:r>
    </w:p>
    <w:p>
      <w:pPr>
        <w:spacing w:line="36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w:t>
      </w:r>
      <w:r>
        <w:rPr>
          <w:rFonts w:hint="eastAsia" w:ascii="宋体" w:hAnsi="宋体" w:cs="宋体"/>
          <w:b/>
          <w:bCs/>
          <w:color w:val="000000" w:themeColor="text1"/>
          <w14:textFill>
            <w14:solidFill>
              <w14:schemeClr w14:val="tx1"/>
            </w14:solidFill>
          </w14:textFill>
        </w:rPr>
        <w:t>办理建筑意外伤害保险。</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保险期限自投保之日（工程开工之日）起至工程竣工验收时止，时间上涵盖施工全过程的任一时段。</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（二）执行农民工工资保证金制度</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缴纳农民工工资保证金</w:t>
      </w:r>
      <w:r>
        <w:rPr>
          <w:rFonts w:hint="eastAsia" w:ascii="宋体" w:hAnsi="宋体" w:cs="宋体"/>
          <w:b/>
          <w:bCs/>
          <w:color w:val="000000" w:themeColor="text1"/>
          <w14:textFill>
            <w14:solidFill>
              <w14:schemeClr w14:val="tx1"/>
            </w14:solidFill>
          </w14:textFill>
        </w:rPr>
        <w:t>（适用于在本自治区行政区域内施工的所有水利水电工程项目）。</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1、根据广西壮族自治区劳动和社会保障厅、自治区水利厅二○○七年二月二十七日联合颁发的桂劳社发[2007]38 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 按以下标准在劳动保障部门指定的账户足额存入农民工工资保证金：   </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工程项目中标价(合同价)1000万元(含1000万元)以下的，按2％计算；超过1000万元部分，按1％计算。</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承包人在投标时，必须在磋商文件中作如下承诺：</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 如实说明其以前所承建的工程项目中工资支付的情况，特别注明是否存在拖欠或克扣农民工工资的行为。</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②承诺中标后及时、足额存入农民工工资保证金。</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③承诺依法足额支付农民工工资，一旦其承建的工程项目出现拖欠农民工工资情况的，可由劳动保障部门从工资保证金中先予垫支。</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承包人应当持根据上述作出的承诺和说明、存入农民工工资保证金的银行凭证到劳动保障部门报备。由劳动保障部门出具备案证明后到水利部门办理开工手续。</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（三）工程施工的义务和责任</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包人应负责项目施工需要的水、电等施工管、线路的铺、架设及其费用，并按供电部门规定向供电部门（或发包人）交纳水、电费。发包人提供的接电点在签订合同时明确。另外，施工通讯及设施由承包人负责并承担费用。</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（2）除民房外、承包人应按监理人的指示负责拆除、清理已征用土地上的杂物、灌木、树木、树根、杂草等。</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（3）承包人应充分理解有一些设施（如施工道路、桥梁）可能会有其它人和单位使用通行，在使用过程中发生干扰时，应立即通知监理人并服从监理人的决定。</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（4）承包人应为监理人、发包人现场代表对施工现场的检查监督提供必要的配合，并对这种配合对施工的影响应有充分的考虑。</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（5）工程竣工后，承包人应按监理人的指示清理施工现场直至监理人、发包人满意为止。</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（6）对上述（1）～（5）项工作,费用已包括在有关单价和总价中，发包人不再另行支付由此所发生的一切费用。</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（8）承包人必须文明、安全施工，在施工期间发生的一切人员伤亡和财产损失等责任事故和所发生的一切费用概由承包人承担。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（9）按照发包人的要求作好安全文明宣传、领导检查宣传等工作，相关费用由承包人承担。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（10）承包人应按约定时间和要求，完成以下工作：</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①按时提交施工组织设计、单位工程的施工方案。</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②每月 25 日向监理人提交当月工程进度报表及下月进度计划。</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③承包人自行负责施工安全保卫工作及夜间施工照明。</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④需承包人办理的有关施工场地交通、环卫和施工噪音管理等手续：遵守有关部门对施工现场交通、环卫和施工噪音管理规定，如有发生，费用由承包人承担。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⑤已完工程成品保护的特殊要求及费用承担：已竣工工程未交付发包人之前，承包人按协议条款约定负责已完成工程的成品保护工作，保护期间发生损坏，承包人自费予以修复。</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⑥承包人有义务对施工场地周围管线（含地上及地下）和邻近建筑物、构筑物(含文物保护建筑)、</w:t>
      </w:r>
      <w:r>
        <w:rPr>
          <w:rFonts w:hint="eastAsia" w:ascii="宋体" w:hAnsi="宋体" w:cs="宋体"/>
          <w:color w:val="000000" w:themeColor="text1"/>
          <w14:textFill>
            <w14:solidFill>
              <w14:schemeClr w14:val="tx1"/>
            </w14:solidFill>
          </w14:textFill>
        </w:rPr>
        <w:t>古树名木等进行探明并负责保护。</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⑦施工场地清洁卫生的要求：按城建卫生有关规定执行，由承包人负责，费用由承包人承担。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⑧承包人承担施工场地、水电及运输通道的修建和维护、清场等费用。</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（11）双方约定承包人应做的其他工作：</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①凡属于需要承包人交付给其他承包人的工作面以及与其他承包人交叉作业的工作面，承包人必须服从监理人的决定，按规定的完工日期完成并将清理好的工作面移交给发包人，并取得监理人的同意。</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（12）其他未尽事宜待签订施工合同时双方再协商。</w:t>
      </w:r>
    </w:p>
    <w:p>
      <w:pPr>
        <w:spacing w:line="360" w:lineRule="exact"/>
        <w:ind w:firstLine="422" w:firstLineChars="200"/>
        <w:rPr>
          <w:rFonts w:ascii="宋体" w:hAnsi="宋体" w:cs="宋体"/>
          <w:color w:val="000000" w:themeColor="text1"/>
          <w14:textFill>
            <w14:solidFill>
              <w14:schemeClr w14:val="tx1"/>
            </w14:solidFill>
          </w14:textFill>
        </w:rPr>
      </w:pPr>
      <w:bookmarkStart w:id="29" w:name="_Toc367637304"/>
      <w:r>
        <w:rPr>
          <w:rFonts w:hint="eastAsia" w:ascii="宋体" w:hAnsi="宋体" w:cs="宋体"/>
          <w:b/>
          <w:color w:val="000000" w:themeColor="text1"/>
          <w14:textFill>
            <w14:solidFill>
              <w14:schemeClr w14:val="tx1"/>
            </w14:solidFill>
          </w14:textFill>
        </w:rPr>
        <w:t>4.2  履约担保</w:t>
      </w:r>
      <w:bookmarkEnd w:id="29"/>
      <w:r>
        <w:rPr>
          <w:rFonts w:hint="eastAsia" w:ascii="宋体" w:hAnsi="宋体" w:cs="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无。</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4.3  分包（本项目不允许分包）</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4.3.2 承包人分包的工程项目、工作与分包金额限额：</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（1）工程项目：</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（2）工作内容：</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（3）分包金额限额：</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4.3.10 分包人项目管理机构的设立：</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4.7  撤换承包人项目经理和其他人员</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00A3"/>
      </w:r>
      <w:r>
        <w:rPr>
          <w:rFonts w:hint="eastAsia" w:ascii="宋体" w:hAnsi="宋体" w:cs="宋体"/>
          <w:color w:val="000000" w:themeColor="text1"/>
          <w14:textFill>
            <w14:solidFill>
              <w14:schemeClr w14:val="tx1"/>
            </w14:solidFill>
          </w14:textFill>
        </w:rPr>
        <w:t>4. 7. 1 中标人根据投标文件的承诺，投入本项目的项目经理、技术负责人、质量管理员、安全管理员等主要管理人员中标后不得更换(除因故去世、调离本单位外)。</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4. 7. 1 投入本项目的项目经理、技术负责人、质量管理员、专全管理员等主要管理人员中标后，经中标人申请、监理机构审核允许、招标人同意后方可变更为不低于同等条 件的人员。</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4.7.2 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  不利物质条件</w:t>
      </w:r>
    </w:p>
    <w:p>
      <w:pPr>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4.11.1不利物质条件的范围：</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材料和工程设备</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  发包人提供的材料和工程设备:无。</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施工设备和临时设施</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 承包人提供的施工设备和临时设施</w:t>
      </w:r>
    </w:p>
    <w:p>
      <w:pPr>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6.1.2 承包人自行承担修建临时设施的费用，需要临时占地的，由承包人办理相关申请手续，发包人予以协助，发生的相关费用由承包人承担。</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发包人提供的施工设备和临时设施</w:t>
      </w:r>
    </w:p>
    <w:p>
      <w:pPr>
        <w:ind w:right="248"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（1）发包人提供的的施工设备：</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ind w:right="248"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（2）发包人提供的临时设施：</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7交通运输</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7.1道路通行权和场外设施</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道路通行权和场外设施的约定：</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 测量放线</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8.1施工控制网</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8.1.1</w:t>
      </w:r>
      <w:r>
        <w:rPr>
          <w:rFonts w:hint="eastAsia" w:ascii="宋体" w:hAnsi="宋体" w:cs="宋体"/>
          <w:color w:val="000000" w:themeColor="text1"/>
          <w14:textFill>
            <w14:solidFill>
              <w14:schemeClr w14:val="tx1"/>
            </w14:solidFill>
          </w14:textFill>
        </w:rPr>
        <w:t>施工控制网的约定</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由承包人负责测设  </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 施工安全、治安保卫和环境保护</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9.2承包人的施工安全责任</w:t>
      </w:r>
    </w:p>
    <w:p>
      <w:pPr>
        <w:ind w:right="248"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9.2.12下列工程应编制专项施工方案：</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。其中应组织专家论证和审查的专项施工方案：</w:t>
      </w:r>
      <w:r>
        <w:rPr>
          <w:rFonts w:hint="eastAsia" w:ascii="宋体" w:hAnsi="宋体" w:cs="宋体"/>
          <w:color w:val="000000" w:themeColor="text1"/>
          <w:kern w:val="0"/>
          <w:u w:val="single"/>
          <w14:textFill>
            <w14:solidFill>
              <w14:schemeClr w14:val="tx1"/>
            </w14:solidFill>
          </w14:textFill>
        </w:rPr>
        <w:t xml:space="preserve">无    </w:t>
      </w:r>
      <w:r>
        <w:rPr>
          <w:rFonts w:hint="eastAsia" w:ascii="宋体" w:hAnsi="宋体" w:cs="宋体"/>
          <w:color w:val="000000" w:themeColor="text1"/>
          <w:kern w:val="0"/>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9.7文明工地</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9.7.1 本合同文明工地的约定：</w:t>
      </w:r>
      <w:r>
        <w:rPr>
          <w:rFonts w:hint="eastAsia" w:ascii="宋体" w:hAnsi="宋体" w:cs="宋体"/>
          <w:bCs/>
          <w:color w:val="000000" w:themeColor="text1"/>
          <w:u w:val="single"/>
          <w14:textFill>
            <w14:solidFill>
              <w14:schemeClr w14:val="tx1"/>
            </w14:solidFill>
          </w14:textFill>
        </w:rPr>
        <w:t>按水利部《水利系统文明建设工地评审管理办法》创建文明建设工地</w:t>
      </w:r>
      <w:r>
        <w:rPr>
          <w:rFonts w:hint="eastAsia" w:ascii="宋体" w:hAnsi="宋体" w:cs="宋体"/>
          <w:color w:val="000000" w:themeColor="text1"/>
          <w14:textFill>
            <w14:solidFill>
              <w14:schemeClr w14:val="tx1"/>
            </w14:solidFill>
          </w14:textFill>
        </w:rPr>
        <w:t>。</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开工和竣工（完工）</w:t>
      </w:r>
    </w:p>
    <w:p>
      <w:pPr>
        <w:spacing w:before="156" w:beforeLines="50" w:after="156" w:afterLines="50"/>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  本工程预计开工时间为：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  月  日，具体开工时间以开工令为准。</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本工程计划完工时间为：   年  月 日。</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异常恶劣的气候条件 </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11.3.3 本合同工程界定异常恶劣气候条件的范围为：</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（1）日降雨量大于</w:t>
      </w:r>
      <w:r>
        <w:rPr>
          <w:rFonts w:hint="eastAsia" w:ascii="宋体" w:hAnsi="宋体" w:cs="宋体"/>
          <w:color w:val="000000" w:themeColor="text1"/>
          <w:u w:val="single"/>
          <w14:textFill>
            <w14:solidFill>
              <w14:schemeClr w14:val="tx1"/>
            </w14:solidFill>
          </w14:textFill>
        </w:rPr>
        <w:t xml:space="preserve"> 150 </w:t>
      </w:r>
      <w:r>
        <w:rPr>
          <w:rFonts w:hint="eastAsia" w:ascii="宋体" w:hAnsi="宋体" w:cs="宋体"/>
          <w:color w:val="000000" w:themeColor="text1"/>
          <w14:textFill>
            <w14:solidFill>
              <w14:schemeClr w14:val="tx1"/>
            </w14:solidFill>
          </w14:textFill>
        </w:rPr>
        <w:t>㎜的雨日超过</w:t>
      </w:r>
      <w:r>
        <w:rPr>
          <w:rFonts w:hint="eastAsia" w:ascii="宋体" w:hAnsi="宋体" w:cs="宋体"/>
          <w:color w:val="000000" w:themeColor="text1"/>
          <w:u w:val="single"/>
          <w14:textFill>
            <w14:solidFill>
              <w14:schemeClr w14:val="tx1"/>
            </w14:solidFill>
          </w14:textFill>
        </w:rPr>
        <w:t xml:space="preserve">  1   </w:t>
      </w:r>
      <w:r>
        <w:rPr>
          <w:rFonts w:hint="eastAsia" w:ascii="宋体" w:hAnsi="宋体" w:cs="宋体"/>
          <w:color w:val="000000" w:themeColor="text1"/>
          <w14:textFill>
            <w14:solidFill>
              <w14:schemeClr w14:val="tx1"/>
            </w14:solidFill>
          </w14:textFill>
        </w:rPr>
        <w:t>天；</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u w:val="single"/>
          <w14:textFill>
            <w14:solidFill>
              <w14:schemeClr w14:val="tx1"/>
            </w14:solidFill>
          </w14:textFill>
        </w:rPr>
        <w:t xml:space="preserve">  10 </w:t>
      </w:r>
      <w:r>
        <w:rPr>
          <w:rFonts w:hint="eastAsia" w:ascii="宋体" w:hAnsi="宋体" w:cs="宋体"/>
          <w:color w:val="000000" w:themeColor="text1"/>
          <w14:textFill>
            <w14:solidFill>
              <w14:schemeClr w14:val="tx1"/>
            </w14:solidFill>
          </w14:textFill>
        </w:rPr>
        <w:t>级以上的持续</w:t>
      </w:r>
      <w:r>
        <w:rPr>
          <w:rFonts w:hint="eastAsia" w:ascii="宋体" w:hAnsi="宋体" w:cs="宋体"/>
          <w:color w:val="000000" w:themeColor="text1"/>
          <w:u w:val="single"/>
          <w14:textFill>
            <w14:solidFill>
              <w14:schemeClr w14:val="tx1"/>
            </w14:solidFill>
          </w14:textFill>
        </w:rPr>
        <w:t xml:space="preserve">  1  </w:t>
      </w:r>
      <w:r>
        <w:rPr>
          <w:rFonts w:hint="eastAsia" w:ascii="宋体" w:hAnsi="宋体" w:cs="宋体"/>
          <w:color w:val="000000" w:themeColor="text1"/>
          <w14:textFill>
            <w14:solidFill>
              <w14:schemeClr w14:val="tx1"/>
            </w14:solidFill>
          </w14:textFill>
        </w:rPr>
        <w:t>日的大风（以气象部门鉴定为准））</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（3）日气温超过 38 ℃的高温大于 2 天；</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（4）日气温低于 -10 ℃的严寒大于 2 天。</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（5）造成工程损坏的冰雹和大雪灾害；</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u w:val="single"/>
          <w14:textFill>
            <w14:solidFill>
              <w14:schemeClr w14:val="tx1"/>
            </w14:solidFill>
          </w14:textFill>
        </w:rPr>
        <w:t xml:space="preserve"> 6 </w:t>
      </w:r>
      <w:r>
        <w:rPr>
          <w:rFonts w:hint="eastAsia" w:ascii="宋体" w:hAnsi="宋体" w:cs="宋体"/>
          <w:color w:val="000000" w:themeColor="text1"/>
          <w14:textFill>
            <w14:solidFill>
              <w14:schemeClr w14:val="tx1"/>
            </w14:solidFill>
          </w14:textFill>
        </w:rPr>
        <w:t>级以上的地震；</w:t>
      </w:r>
    </w:p>
    <w:p>
      <w:pPr>
        <w:ind w:right="248"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hint="eastAsia" w:ascii="宋体" w:hAnsi="宋体" w:cs="宋体"/>
          <w:color w:val="000000" w:themeColor="text1"/>
          <w:u w:val="single"/>
          <w14:textFill>
            <w14:solidFill>
              <w14:schemeClr w14:val="tx1"/>
            </w14:solidFill>
          </w14:textFill>
        </w:rPr>
        <w:t xml:space="preserve"> 50 </w:t>
      </w:r>
      <w:r>
        <w:rPr>
          <w:rFonts w:hint="eastAsia" w:ascii="宋体" w:hAnsi="宋体" w:cs="宋体"/>
          <w:color w:val="000000" w:themeColor="text1"/>
          <w14:textFill>
            <w14:solidFill>
              <w14:schemeClr w14:val="tx1"/>
            </w14:solidFill>
          </w14:textFill>
        </w:rPr>
        <w:t>年一遇及以上的洪水；</w:t>
      </w:r>
    </w:p>
    <w:p>
      <w:pPr>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（8）其他异常恶劣气候灾害。</w:t>
      </w:r>
    </w:p>
    <w:p>
      <w:pPr>
        <w:spacing w:before="156" w:after="156"/>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11.5  承包人工期延误 </w:t>
      </w:r>
    </w:p>
    <w:p>
      <w:pPr>
        <w:spacing w:line="360" w:lineRule="exact"/>
        <w:ind w:right="248"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（1）逾期完工违约金表(参考格式)</w:t>
      </w:r>
    </w:p>
    <w:tbl>
      <w:tblPr>
        <w:tblStyle w:val="42"/>
        <w:tblW w:w="9000" w:type="dxa"/>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pPr>
              <w:spacing w:line="360" w:lineRule="exact"/>
              <w:ind w:right="-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600" w:type="dxa"/>
            <w:vAlign w:val="center"/>
          </w:tcPr>
          <w:p>
            <w:pPr>
              <w:spacing w:line="360" w:lineRule="exact"/>
              <w:ind w:right="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项目及其说明</w:t>
            </w:r>
          </w:p>
        </w:tc>
        <w:tc>
          <w:tcPr>
            <w:tcW w:w="2340" w:type="dxa"/>
            <w:vAlign w:val="center"/>
          </w:tcPr>
          <w:p>
            <w:pPr>
              <w:spacing w:line="360" w:lineRule="exact"/>
              <w:ind w:right="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要求完工日期</w:t>
            </w:r>
          </w:p>
        </w:tc>
        <w:tc>
          <w:tcPr>
            <w:tcW w:w="2160" w:type="dxa"/>
          </w:tcPr>
          <w:p>
            <w:pPr>
              <w:spacing w:line="360" w:lineRule="exact"/>
              <w:ind w:right="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违约金(元/天)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pPr>
              <w:spacing w:line="360" w:lineRule="exact"/>
              <w:ind w:right="2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600" w:type="dxa"/>
            <w:vAlign w:val="center"/>
          </w:tcPr>
          <w:p>
            <w:pPr>
              <w:spacing w:line="360" w:lineRule="exact"/>
              <w:ind w:right="2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工程完工</w:t>
            </w:r>
          </w:p>
        </w:tc>
        <w:tc>
          <w:tcPr>
            <w:tcW w:w="2340" w:type="dxa"/>
            <w:vAlign w:val="center"/>
          </w:tcPr>
          <w:p>
            <w:pPr>
              <w:spacing w:line="360" w:lineRule="exact"/>
              <w:ind w:right="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60日历天</w:t>
            </w:r>
          </w:p>
        </w:tc>
        <w:tc>
          <w:tcPr>
            <w:tcW w:w="2160" w:type="dxa"/>
          </w:tcPr>
          <w:p>
            <w:pPr>
              <w:spacing w:line="360" w:lineRule="exact"/>
              <w:ind w:right="24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360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234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2160" w:type="dxa"/>
          </w:tcPr>
          <w:p>
            <w:pPr>
              <w:spacing w:line="360" w:lineRule="exact"/>
              <w:ind w:right="248"/>
              <w:jc w:val="center"/>
              <w:rPr>
                <w:rFonts w:ascii="宋体" w:hAnsi="宋体" w:cs="宋体"/>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360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2340" w:type="dxa"/>
            <w:vAlign w:val="center"/>
          </w:tcPr>
          <w:p>
            <w:pPr>
              <w:spacing w:line="360" w:lineRule="exact"/>
              <w:ind w:right="248"/>
              <w:jc w:val="center"/>
              <w:rPr>
                <w:rFonts w:ascii="宋体" w:hAnsi="宋体" w:cs="宋体"/>
                <w:color w:val="000000" w:themeColor="text1"/>
                <w14:textFill>
                  <w14:solidFill>
                    <w14:schemeClr w14:val="tx1"/>
                  </w14:solidFill>
                </w14:textFill>
              </w:rPr>
            </w:pPr>
          </w:p>
        </w:tc>
        <w:tc>
          <w:tcPr>
            <w:tcW w:w="2160" w:type="dxa"/>
          </w:tcPr>
          <w:p>
            <w:pPr>
              <w:spacing w:line="360" w:lineRule="exact"/>
              <w:ind w:right="248"/>
              <w:jc w:val="center"/>
              <w:rPr>
                <w:rFonts w:ascii="宋体" w:hAnsi="宋体" w:cs="宋体"/>
                <w:color w:val="000000" w:themeColor="text1"/>
                <w14:textFill>
                  <w14:solidFill>
                    <w14:schemeClr w14:val="tx1"/>
                  </w14:solidFill>
                </w14:textFill>
              </w:rPr>
            </w:pPr>
          </w:p>
        </w:tc>
      </w:tr>
    </w:tbl>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承包人如未能按上表各节点要求的完工日期前完工，逾期完工违约金按</w:t>
      </w:r>
      <w:r>
        <w:rPr>
          <w:rFonts w:hint="eastAsia" w:ascii="宋体" w:hAnsi="宋体" w:cs="宋体"/>
          <w:color w:val="000000" w:themeColor="text1"/>
          <w:u w:val="single"/>
          <w14:textFill>
            <w14:solidFill>
              <w14:schemeClr w14:val="tx1"/>
            </w14:solidFill>
          </w14:textFill>
        </w:rPr>
        <w:t xml:space="preserve">  500  </w:t>
      </w:r>
      <w:r>
        <w:rPr>
          <w:rFonts w:hint="eastAsia" w:ascii="宋体" w:hAnsi="宋体" w:cs="宋体"/>
          <w:color w:val="000000" w:themeColor="text1"/>
          <w14:textFill>
            <w14:solidFill>
              <w14:schemeClr w14:val="tx1"/>
            </w14:solidFill>
          </w14:textFill>
        </w:rPr>
        <w:t>元/天”计算。</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（2）全部逾期完工违约金的总限额不超过合同总价的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%，发包人可从应向承包人支付的任何金额中扣除此项违约金或以其他方式收回此款，此违约金的支付并不能解除承包人应完成工程的责任或合同规定的其他责任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11.6工期提前</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工期提前的资金约定：</w:t>
      </w:r>
      <w:r>
        <w:rPr>
          <w:rFonts w:hint="eastAsia" w:ascii="宋体" w:hAnsi="宋体" w:cs="宋体"/>
          <w:bCs/>
          <w:color w:val="000000" w:themeColor="text1"/>
          <w:u w:val="single"/>
          <w14:textFill>
            <w14:solidFill>
              <w14:schemeClr w14:val="tx1"/>
            </w14:solidFill>
          </w14:textFill>
        </w:rPr>
        <w:t>在保证工程质量的前提下，发包人鼓励承包人提前完工，但本合同工程无提前工期奖金</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  暂停施工</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  承包人暂停施工的责任</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 承包人承担暂停施工责任的其它情形：</w:t>
      </w:r>
      <w:r>
        <w:rPr>
          <w:rFonts w:hint="eastAsia" w:ascii="宋体" w:hAnsi="宋体" w:cs="宋体"/>
          <w:color w:val="000000" w:themeColor="text1"/>
          <w:u w:val="single"/>
          <w14:textFill>
            <w14:solidFill>
              <w14:schemeClr w14:val="tx1"/>
            </w14:solidFill>
          </w14:textFill>
        </w:rPr>
        <w:t xml:space="preserve"> 在签订施工承包合同时商定 </w:t>
      </w:r>
      <w:r>
        <w:rPr>
          <w:rFonts w:hint="eastAsia" w:ascii="宋体" w:hAnsi="宋体" w:cs="宋体"/>
          <w:color w:val="000000" w:themeColor="text1"/>
          <w14:textFill>
            <w14:solidFill>
              <w14:schemeClr w14:val="tx1"/>
            </w14:solidFill>
          </w14:textFill>
        </w:rPr>
        <w:t xml:space="preserve">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  发包人暂停施工的责任</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(3) 发包人承担暂停施工责任的其它情形：</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  工程质量</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13.7质量评定</w:t>
      </w:r>
    </w:p>
    <w:p>
      <w:pPr>
        <w:spacing w:line="360" w:lineRule="exact"/>
        <w:ind w:right="248"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13.7.4重要隐蔽单元工程和关键部位单元工程质量评定的约定：</w:t>
      </w:r>
      <w:r>
        <w:rPr>
          <w:rFonts w:hint="eastAsia" w:ascii="宋体" w:hAnsi="宋体" w:cs="宋体"/>
          <w:color w:val="000000" w:themeColor="text1"/>
          <w:u w:val="single"/>
          <w14:textFill>
            <w14:solidFill>
              <w14:schemeClr w14:val="tx1"/>
            </w14:solidFill>
          </w14:textFill>
        </w:rPr>
        <w:t>按项目划分结果确</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定</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13.7.7工程合格标准为：</w:t>
      </w:r>
      <w:r>
        <w:rPr>
          <w:rFonts w:hint="eastAsia" w:ascii="宋体" w:hAnsi="宋体" w:cs="宋体"/>
          <w:color w:val="000000" w:themeColor="text1"/>
          <w:u w:val="single"/>
          <w14:textFill>
            <w14:solidFill>
              <w14:schemeClr w14:val="tx1"/>
            </w14:solidFill>
          </w14:textFill>
        </w:rPr>
        <w:t>达到设计要求及水利水电工程施工质量检验与评定规程要求的合格标准</w:t>
      </w:r>
      <w:r>
        <w:rPr>
          <w:rFonts w:hint="eastAsia" w:ascii="宋体" w:hAnsi="宋体" w:cs="宋体"/>
          <w:color w:val="000000" w:themeColor="text1"/>
          <w14:textFill>
            <w14:solidFill>
              <w14:schemeClr w14:val="tx1"/>
            </w14:solidFill>
          </w14:textFill>
        </w:rPr>
        <w:t>；优良标准为：</w:t>
      </w:r>
      <w:r>
        <w:rPr>
          <w:rFonts w:hint="eastAsia" w:ascii="宋体" w:hAnsi="宋体" w:cs="宋体"/>
          <w:color w:val="000000" w:themeColor="text1"/>
          <w:u w:val="single"/>
          <w14:textFill>
            <w14:solidFill>
              <w14:schemeClr w14:val="tx1"/>
            </w14:solidFill>
          </w14:textFill>
        </w:rPr>
        <w:t xml:space="preserve">  达到设计要求及水利水电工程施工质量检验与评定规程要求的优良标准 </w:t>
      </w:r>
      <w:r>
        <w:rPr>
          <w:rFonts w:hint="eastAsia" w:ascii="宋体" w:hAnsi="宋体" w:cs="宋体"/>
          <w:color w:val="000000" w:themeColor="text1"/>
          <w14:textFill>
            <w14:solidFill>
              <w14:schemeClr w14:val="tx1"/>
            </w14:solidFill>
          </w14:textFill>
        </w:rPr>
        <w:t>。达到优良的奖金为：</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13.8  质量事故处理</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13.8.4 工程竣工验收时， 承包人及监理人 向竣工验收委员会汇报并提交历次质量缺陷处理的备案资料。</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 试验和检验</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14.1材料、工程设备和工程的试验和检验</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14.1.5 水工金属结构、启闭机及机电产品进场后的交货检查和验收中，承包人负责查收设备规格及数量，并保管设备。</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发包人提供的所有设备因承包人保管和管理不当造成损坏或者遗失的，由承包人照价赔偿或从工程款中扣除相应款数。</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14.1.6 本工程实行见证取样的试块、试件及有关材料：水泥、钢筋、砂、碎石、混凝土试块、砂浆试块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  变更</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  变更的范围和内容</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（6）增加或减少合同中关键项目的工程量超过其项目工程总量的 20 ％，关键项目：依据项目划分审批界定，单价调整方式：①《工程量清单》中有适用于变更工作的项目时，应采用该项目的单价；②《工程量清单》中无适用于变更工作的项目时，则可在合理的范围内参考类似项目的单价或合价作为变更估价的基础，由发包人、监理人及承包人协商确定变更后的单价或合价，若存在争议时按第 15.4 执行。</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 变更的估价原则</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15.5承包人的合理化建议</w:t>
      </w:r>
    </w:p>
    <w:p>
      <w:pPr>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15.5.2 承包人实现合理化建议的奖励金额为：</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 价格调整</w:t>
      </w:r>
    </w:p>
    <w:p>
      <w:pPr>
        <w:spacing w:before="156" w:after="156" w:line="360" w:lineRule="exact"/>
        <w:ind w:firstLine="420" w:firstLineChars="200"/>
        <w:rPr>
          <w:rFonts w:ascii="宋体" w:hAnsi="宋体" w:cs="宋体"/>
          <w:color w:val="000000" w:themeColor="text1"/>
          <w14:textFill>
            <w14:solidFill>
              <w14:schemeClr w14:val="tx1"/>
            </w14:solidFill>
          </w14:textFill>
        </w:rPr>
      </w:pPr>
      <w:bookmarkStart w:id="30" w:name="_Toc373227750"/>
      <w:r>
        <w:rPr>
          <w:rFonts w:hint="eastAsia" w:ascii="宋体" w:hAnsi="宋体" w:cs="宋体"/>
          <w:color w:val="000000" w:themeColor="text1"/>
          <w14:textFill>
            <w14:solidFill>
              <w14:schemeClr w14:val="tx1"/>
            </w14:solidFill>
          </w14:textFill>
        </w:rPr>
        <w:t>本工程采用</w:t>
      </w:r>
      <w:bookmarkEnd w:id="30"/>
      <w:r>
        <w:rPr>
          <w:rFonts w:hint="eastAsia" w:ascii="宋体" w:hAnsi="宋体" w:cs="宋体"/>
          <w:color w:val="000000" w:themeColor="text1"/>
          <w:u w:val="single"/>
          <w14:textFill>
            <w14:solidFill>
              <w14:schemeClr w14:val="tx1"/>
            </w14:solidFill>
          </w14:textFill>
        </w:rPr>
        <w:t>固定综合单价包干</w:t>
      </w:r>
      <w:r>
        <w:rPr>
          <w:rFonts w:hint="eastAsia" w:ascii="宋体" w:hAnsi="宋体" w:cs="宋体"/>
          <w:color w:val="000000" w:themeColor="text1"/>
          <w14:textFill>
            <w14:solidFill>
              <w14:schemeClr w14:val="tx1"/>
            </w14:solidFill>
          </w14:textFill>
        </w:rPr>
        <w:t>合同价格形式。</w:t>
      </w:r>
    </w:p>
    <w:p>
      <w:pPr>
        <w:spacing w:before="156" w:after="156" w:line="360" w:lineRule="exact"/>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16.1 物价波动引起的价格调整方式： 本合同工程合同价格在合同实施期间，不因市场物价波动而进行调整，主要材料价格波动可以调整，调整范围见相关规定，国家政策有明确规定的除外。</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 因征地、拆迁、自然灾害等不可抗力因素造成合同工期延长的，合同工期外工程单价允许按以下方式进行调整：</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16.2.1 调整价格的主要材料：</w:t>
      </w:r>
      <w:r>
        <w:rPr>
          <w:rFonts w:hint="eastAsia" w:ascii="宋体" w:hAnsi="宋体" w:cs="宋体"/>
          <w:color w:val="000000" w:themeColor="text1"/>
          <w:u w:val="single"/>
          <w14:textFill>
            <w14:solidFill>
              <w14:schemeClr w14:val="tx1"/>
            </w14:solidFill>
          </w14:textFill>
        </w:rPr>
        <w:t>本工程只对主要材料水泥、河砂、碎石、块石、钢材五个项目进行调整。</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16.2.2 主要材料补差的计算方法：</w:t>
      </w:r>
      <w:r>
        <w:rPr>
          <w:rFonts w:hint="eastAsia" w:ascii="宋体" w:hAnsi="宋体" w:cs="宋体"/>
          <w:color w:val="000000" w:themeColor="text1"/>
          <w:u w:val="single"/>
          <w14:textFill>
            <w14:solidFill>
              <w14:schemeClr w14:val="tx1"/>
            </w14:solidFill>
          </w14:textFill>
        </w:rPr>
        <w:t>本工程对材料单价进行调整，不对税费及其他费率等进行调整。</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16.2.3 采用造价信息调整价格差额：</w:t>
      </w:r>
      <w:r>
        <w:rPr>
          <w:rFonts w:hint="eastAsia" w:ascii="宋体" w:hAnsi="宋体" w:cs="宋体"/>
          <w:color w:val="000000" w:themeColor="text1"/>
          <w:u w:val="single"/>
          <w14:textFill>
            <w14:solidFill>
              <w14:schemeClr w14:val="tx1"/>
            </w14:solidFill>
          </w14:textFill>
        </w:rPr>
        <w:t>以招标预算审定日期的造价信息与施工期间的造价信息相比，只对物价波动超5%的部分进行了调整价格差额，不超5%部分（含5%部分）由承包人承担，但对承包人责任延误工期造成的物价波动价格差额不调整</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工程造价信息的来源：</w:t>
      </w:r>
      <w:r>
        <w:rPr>
          <w:rFonts w:hint="eastAsia" w:ascii="宋体" w:hAnsi="宋体" w:cs="宋体"/>
          <w:color w:val="000000" w:themeColor="text1"/>
          <w:u w:val="single"/>
          <w14:textFill>
            <w14:solidFill>
              <w14:schemeClr w14:val="tx1"/>
            </w14:solidFill>
          </w14:textFill>
        </w:rPr>
        <w:t xml:space="preserve"> 《钦州市建设工程造价信息》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  计量与支付</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17.2.1预付款 </w:t>
      </w:r>
    </w:p>
    <w:p>
      <w:pPr>
        <w:numPr>
          <w:ilvl w:val="0"/>
          <w:numId w:val="7"/>
        </w:numPr>
        <w:spacing w:line="360" w:lineRule="exact"/>
        <w:ind w:right="248" w:firstLine="480"/>
        <w:rPr>
          <w:rFonts w:ascii="宋体" w:hAnsi="宋体" w:cs="宋体"/>
          <w:color w:val="0000FF"/>
        </w:rPr>
      </w:pPr>
      <w:r>
        <w:rPr>
          <w:rFonts w:hint="eastAsia" w:ascii="宋体" w:hAnsi="宋体" w:cs="宋体"/>
          <w:color w:val="0000FF"/>
        </w:rPr>
        <w:t>在合同签订及完善请款手续后，可以预拨合同的60%以内的进度款。设备一次性安装调试完成后，经供货方、需方和监督单位验收合格后,并将该批设备的增值税发票、清单、质量检验合格证明、货运提单提供给需方，需方验明无误后30个工作日内，付清总货款的97%；剩余3%货款于作为质量保证金，待质量保证期过后甲方在1年内一次性无息返还给乙方。</w:t>
      </w:r>
    </w:p>
    <w:p>
      <w:pPr>
        <w:numPr>
          <w:ilvl w:val="0"/>
          <w:numId w:val="7"/>
        </w:num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FF"/>
        </w:rPr>
        <w:t>注:</w:t>
      </w:r>
      <w:r>
        <w:rPr>
          <w:rFonts w:hint="eastAsia" w:ascii="宋体" w:hAnsi="宋体" w:cs="宋体"/>
          <w:bCs/>
          <w:color w:val="0000FF"/>
          <w:kern w:val="0"/>
        </w:rPr>
        <w:t>在保</w:t>
      </w:r>
      <w:r>
        <w:rPr>
          <w:rFonts w:hint="eastAsia" w:ascii="宋体" w:hAnsi="宋体" w:cs="宋体"/>
          <w:bCs/>
          <w:color w:val="000000" w:themeColor="text1"/>
          <w:kern w:val="0"/>
          <w14:textFill>
            <w14:solidFill>
              <w14:schemeClr w14:val="tx1"/>
            </w14:solidFill>
          </w14:textFill>
        </w:rPr>
        <w:t>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p>
      <w:pPr>
        <w:spacing w:line="360" w:lineRule="exact"/>
        <w:ind w:right="248" w:firstLine="480"/>
        <w:rPr>
          <w:rFonts w:ascii="宋体" w:hAnsi="宋体" w:cs="宋体"/>
          <w:color w:val="000000" w:themeColor="text1"/>
          <w14:textFill>
            <w14:solidFill>
              <w14:schemeClr w14:val="tx1"/>
            </w14:solidFill>
          </w14:textFill>
        </w:rPr>
      </w:pPr>
      <w:bookmarkStart w:id="31" w:name="_Toc221951237"/>
      <w:bookmarkStart w:id="32" w:name="_Toc221951236"/>
      <w:r>
        <w:rPr>
          <w:rFonts w:hint="eastAsia" w:ascii="宋体" w:hAnsi="宋体" w:cs="宋体"/>
          <w:color w:val="000000" w:themeColor="text1"/>
          <w14:textFill>
            <w14:solidFill>
              <w14:schemeClr w14:val="tx1"/>
            </w14:solidFill>
          </w14:textFill>
        </w:rPr>
        <w:t>17.2.3 预付款的扣回与还清</w:t>
      </w:r>
      <w:bookmarkEnd w:id="31"/>
    </w:p>
    <w:p>
      <w:pPr>
        <w:spacing w:line="360" w:lineRule="exact"/>
        <w:ind w:firstLine="420" w:firstLineChars="200"/>
        <w:rPr>
          <w:rFonts w:ascii="宋体" w:hAnsi="宋体" w:cs="宋体"/>
          <w:color w:val="000000" w:themeColor="text1"/>
          <w14:textFill>
            <w14:solidFill>
              <w14:schemeClr w14:val="tx1"/>
            </w14:solidFill>
          </w14:textFill>
        </w:rPr>
      </w:pPr>
      <w:bookmarkStart w:id="33" w:name="_Toc221951238"/>
      <w:r>
        <w:rPr>
          <w:rFonts w:hint="eastAsia" w:ascii="宋体" w:hAnsi="宋体" w:cs="宋体"/>
          <w:color w:val="000000" w:themeColor="text1"/>
          <w14:textFill>
            <w14:solidFill>
              <w14:schemeClr w14:val="tx1"/>
            </w14:solidFill>
          </w14:textFill>
        </w:rPr>
        <w:t>工程预付款按项目进度扣回工程预付款，直至合同累计完成金额达到与付款总额时全部扣清，扣清工程预付款后再拨付工程进度款。</w:t>
      </w:r>
      <w:bookmarkEnd w:id="33"/>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（2）工程材料预付款的扣回与还清约定为：</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bookmarkEnd w:id="32"/>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17.3.2进度付款申请单</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承包人提交进度付款申请单的份数：</w:t>
      </w:r>
      <w:r>
        <w:rPr>
          <w:rFonts w:hint="eastAsia" w:ascii="宋体" w:hAnsi="宋体" w:cs="宋体"/>
          <w:color w:val="000000" w:themeColor="text1"/>
          <w:u w:val="single"/>
          <w14:textFill>
            <w14:solidFill>
              <w14:schemeClr w14:val="tx1"/>
            </w14:solidFill>
          </w14:textFill>
        </w:rPr>
        <w:t xml:space="preserve">   4份   </w:t>
      </w:r>
      <w:r>
        <w:rPr>
          <w:rFonts w:hint="eastAsia" w:ascii="宋体" w:hAnsi="宋体" w:cs="宋体"/>
          <w:color w:val="000000" w:themeColor="text1"/>
          <w14:textFill>
            <w14:solidFill>
              <w14:schemeClr w14:val="tx1"/>
            </w14:solidFill>
          </w14:textFill>
        </w:rPr>
        <w:t>。</w:t>
      </w:r>
    </w:p>
    <w:p>
      <w:pPr>
        <w:spacing w:line="360" w:lineRule="exact"/>
        <w:ind w:firstLine="42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17.3.5 工程进度付款的支付比例   </w:t>
      </w:r>
    </w:p>
    <w:p>
      <w:pPr>
        <w:spacing w:line="36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工程款原则上按月支付，在安全、质量、进度、资料进行完善后方可申请进度款（当月无进度的，不可申请），合同内进度款支付限额为已完成工程量的90%，工程变更部分进度款支付限额为已完成工程量的 70%（经过财评审核后方可支付）；工程完工验收达到质量要求，结算经审计部门审定后，工程款支付至结算总价的 97%；发包人按工程价款结算总额的 3%预留工程质量保修金（采用扣留质量保修金时适用），待工程质量保修期满后无息返还。</w:t>
      </w:r>
    </w:p>
    <w:p>
      <w:pPr>
        <w:spacing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17.3.6质量保证金</w:t>
      </w:r>
    </w:p>
    <w:p>
      <w:pPr>
        <w:spacing w:line="28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质保金为工程款总额的3%，发包人按工程价款结算总额的3%预留工程质量保修金（采用扣留质量保修金时适用），待工程质量保修期满后无息返还。</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17.5  竣工（完工）结算</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17.5.1  竣工（完工）付款申请单 </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（1）承包人应提交竣工付款申请单份数：</w:t>
      </w:r>
      <w:r>
        <w:rPr>
          <w:rFonts w:hint="eastAsia" w:ascii="宋体" w:hAnsi="宋体" w:cs="宋体"/>
          <w:color w:val="000000" w:themeColor="text1"/>
          <w:u w:val="single"/>
          <w14:textFill>
            <w14:solidFill>
              <w14:schemeClr w14:val="tx1"/>
            </w14:solidFill>
          </w14:textFill>
        </w:rPr>
        <w:t xml:space="preserve">   4份 </w:t>
      </w:r>
      <w:r>
        <w:rPr>
          <w:rFonts w:hint="eastAsia" w:ascii="宋体" w:hAnsi="宋体" w:cs="宋体"/>
          <w:color w:val="000000" w:themeColor="text1"/>
          <w14:textFill>
            <w14:solidFill>
              <w14:schemeClr w14:val="tx1"/>
            </w14:solidFill>
          </w14:textFill>
        </w:rPr>
        <w:t>。</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17.6  最终结清</w:t>
      </w:r>
    </w:p>
    <w:p>
      <w:pPr>
        <w:spacing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17.6 1  最终结清申请单</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（1）承包人应提交最终结清申请单份数：</w:t>
      </w:r>
      <w:r>
        <w:rPr>
          <w:rFonts w:hint="eastAsia" w:ascii="宋体" w:hAnsi="宋体" w:cs="宋体"/>
          <w:color w:val="000000" w:themeColor="text1"/>
          <w:u w:val="single"/>
          <w14:textFill>
            <w14:solidFill>
              <w14:schemeClr w14:val="tx1"/>
            </w14:solidFill>
          </w14:textFill>
        </w:rPr>
        <w:t xml:space="preserve">   4份   </w:t>
      </w:r>
      <w:r>
        <w:rPr>
          <w:rFonts w:hint="eastAsia" w:ascii="宋体" w:hAnsi="宋体" w:cs="宋体"/>
          <w:color w:val="000000" w:themeColor="text1"/>
          <w14:textFill>
            <w14:solidFill>
              <w14:schemeClr w14:val="tx1"/>
            </w14:solidFill>
          </w14:textFill>
        </w:rPr>
        <w:t>。</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17.7  竣工财务决算</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承包人应为竣工财务决算编制提供的资料：</w:t>
      </w:r>
      <w:r>
        <w:rPr>
          <w:rFonts w:hint="eastAsia" w:ascii="宋体" w:hAnsi="宋体" w:cs="宋体"/>
          <w:color w:val="000000" w:themeColor="text1"/>
          <w:u w:val="single"/>
          <w14:textFill>
            <w14:solidFill>
              <w14:schemeClr w14:val="tx1"/>
            </w14:solidFill>
          </w14:textFill>
        </w:rPr>
        <w:t>财务决算所需的一切资料</w:t>
      </w:r>
      <w:r>
        <w:rPr>
          <w:rFonts w:hint="eastAsia" w:ascii="宋体" w:hAnsi="宋体" w:cs="宋体"/>
          <w:color w:val="000000" w:themeColor="text1"/>
          <w14:textFill>
            <w14:solidFill>
              <w14:schemeClr w14:val="tx1"/>
            </w14:solidFill>
          </w14:textFill>
        </w:rPr>
        <w:t>。</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  竣工验收（验收）</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18.1 验收工作分类</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根据《水利工程建设项目验收管理规定》(水利部令第30号)和《水利水电建设工程验收规程》（SL223-2008）的相关规定执行。</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18.2  分部工程验收</w:t>
      </w:r>
    </w:p>
    <w:p>
      <w:pPr>
        <w:spacing w:line="28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18.2.2本工程由发包人主持的分部工程验收为 ：</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，其余由监理主持。</w:t>
      </w:r>
    </w:p>
    <w:p>
      <w:pPr>
        <w:spacing w:before="156" w:after="156" w:line="2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18.3  单位工程验收</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18.3.4  提前投入使用的单位工程包括：</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18.5  阶段验收</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18.5.1 本合同工程阶段验收类别包括：</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18.6  专项验收   </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18.6.2 本合同工程专项验收类别包括：</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18.7 竣工验收</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18.7.3本工程</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竣工验收技术鉴定（蓄水安全鉴定）。</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18.8 施工期运行</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18.8.1需要在施工期运行的单位工程或工程设备为：</w:t>
      </w:r>
      <w:r>
        <w:rPr>
          <w:rFonts w:hint="eastAsia" w:ascii="宋体" w:hAnsi="宋体" w:cs="宋体"/>
          <w:color w:val="000000" w:themeColor="text1"/>
          <w:u w:val="single"/>
          <w14:textFill>
            <w14:solidFill>
              <w14:schemeClr w14:val="tx1"/>
            </w14:solidFill>
          </w14:textFill>
        </w:rPr>
        <w:t>在签订施工承包合同时明确</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18.9试运行</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18.9.1试运行的组织：</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；费用承担：</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  缺陷责任与保修责任</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19.1 缺陷责任期（工程质量保修期）的起算时间</w:t>
      </w:r>
    </w:p>
    <w:p>
      <w:pPr>
        <w:spacing w:before="156" w:after="156" w:line="36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本工程缺陷责任期（工程质量保修）计算如下：起算日 按通用条款 19.1 和 19.7 的约定，终止日按专用条款 1.1.4.5 约定。</w:t>
      </w:r>
    </w:p>
    <w:p>
      <w:pPr>
        <w:spacing w:before="156" w:after="156" w:line="360" w:lineRule="exact"/>
        <w:ind w:firstLine="42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  保险</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  工程保险</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建筑工程一切险和（或）安装工程一切险投保人：</w:t>
      </w:r>
      <w:r>
        <w:rPr>
          <w:rFonts w:hint="eastAsia" w:ascii="宋体" w:hAnsi="宋体" w:cs="宋体"/>
          <w:color w:val="000000" w:themeColor="text1"/>
          <w:u w:val="single"/>
          <w14:textFill>
            <w14:solidFill>
              <w14:schemeClr w14:val="tx1"/>
            </w14:solidFill>
          </w14:textFill>
        </w:rPr>
        <w:t xml:space="preserve"> 承包人</w:t>
      </w:r>
      <w:r>
        <w:rPr>
          <w:rFonts w:hint="eastAsia" w:ascii="宋体" w:hAnsi="宋体" w:cs="宋体"/>
          <w:color w:val="000000" w:themeColor="text1"/>
          <w14:textFill>
            <w14:solidFill>
              <w14:schemeClr w14:val="tx1"/>
            </w14:solidFill>
          </w14:textFill>
        </w:rPr>
        <w:t xml:space="preserve"> ；</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投保内容：</w:t>
      </w:r>
      <w:r>
        <w:rPr>
          <w:rFonts w:hint="eastAsia" w:ascii="宋体" w:hAnsi="宋体" w:cs="宋体"/>
          <w:color w:val="000000" w:themeColor="text1"/>
          <w:u w:val="single"/>
          <w14:textFill>
            <w14:solidFill>
              <w14:schemeClr w14:val="tx1"/>
            </w14:solidFill>
          </w14:textFill>
        </w:rPr>
        <w:t>为参加本合同工程现场施工所有作业人员及管理人员，包括参加工程建设的管理人员、监理人员、施工人员（含民工）办理建筑意外伤害保险，支付保险费（意外伤害保险费为中标的工程量清单总价的 3‟，由发包人在办理开工手续前垫支，由承包人承担）</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保险金额、保险费率和保险期限：</w:t>
      </w:r>
      <w:r>
        <w:rPr>
          <w:rFonts w:hint="eastAsia" w:ascii="宋体" w:hAnsi="宋体" w:cs="宋体"/>
          <w:color w:val="000000" w:themeColor="text1"/>
          <w:u w:val="single"/>
          <w14:textFill>
            <w14:solidFill>
              <w14:schemeClr w14:val="tx1"/>
            </w14:solidFill>
          </w14:textFill>
        </w:rPr>
        <w:t>建筑意外伤害保险金额为人民币 12 万元，其中意外伤害保险金额 10 万元，意外伤害医疗保险金额 2 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s="宋体"/>
          <w:color w:val="000000" w:themeColor="text1"/>
          <w14:textFill>
            <w14:solidFill>
              <w14:schemeClr w14:val="tx1"/>
            </w14:solidFill>
          </w14:textFill>
        </w:rPr>
        <w:t>。</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  第三者责任险</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20.4.2  第三者责任险保险费率：</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 xml:space="preserve">；                                       </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第三者责任险保险金额：</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 xml:space="preserve">。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20.5  其他保险</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需要投保的其他内容：</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保险金额、保险费率和保险期限：</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20.6  对各项保险的一般要求</w:t>
      </w:r>
    </w:p>
    <w:p>
      <w:pPr>
        <w:spacing w:line="360" w:lineRule="exact"/>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20.6.1  保险凭证</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承包人提交保险凭证的期限：</w:t>
      </w:r>
      <w:r>
        <w:rPr>
          <w:rFonts w:hint="eastAsia" w:ascii="宋体" w:hAnsi="宋体" w:cs="宋体"/>
          <w:color w:val="000000" w:themeColor="text1"/>
          <w:u w:val="single"/>
          <w14:textFill>
            <w14:solidFill>
              <w14:schemeClr w14:val="tx1"/>
            </w14:solidFill>
          </w14:textFill>
        </w:rPr>
        <w:t xml:space="preserve">保险手续办理完毕后 7 天内提交 </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保险条件：</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line="360" w:lineRule="exact"/>
        <w:ind w:right="248"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20.6.4  保险金不足的补偿</w:t>
      </w:r>
    </w:p>
    <w:p>
      <w:pPr>
        <w:spacing w:line="360" w:lineRule="exact"/>
        <w:ind w:left="899" w:leftChars="228" w:right="248" w:hanging="42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承包人负责补偿的范围与金额：</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line="360" w:lineRule="exact"/>
        <w:ind w:left="899" w:leftChars="228" w:right="248" w:hanging="42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发包人负责补偿的范围与金额：</w:t>
      </w:r>
      <w:r>
        <w:rPr>
          <w:rFonts w:hint="eastAsia" w:ascii="宋体" w:hAnsi="宋体" w:cs="宋体"/>
          <w:color w:val="000000" w:themeColor="text1"/>
          <w:u w:val="single"/>
          <w14:textFill>
            <w14:solidFill>
              <w14:schemeClr w14:val="tx1"/>
            </w14:solidFill>
          </w14:textFill>
        </w:rPr>
        <w:t xml:space="preserve">        /        </w:t>
      </w:r>
      <w:r>
        <w:rPr>
          <w:rFonts w:hint="eastAsia" w:ascii="宋体" w:hAnsi="宋体" w:cs="宋体"/>
          <w:color w:val="000000" w:themeColor="text1"/>
          <w14:textFill>
            <w14:solidFill>
              <w14:schemeClr w14:val="tx1"/>
            </w14:solidFill>
          </w14:textFill>
        </w:rPr>
        <w:t>。</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 不可抗力</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不可抗力的确认</w:t>
      </w:r>
    </w:p>
    <w:p>
      <w:pPr>
        <w:spacing w:line="360" w:lineRule="exact"/>
        <w:ind w:right="248"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争议的解决</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 争议的解决方式</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合同当事人友好协商解决不成、不愿提请争议评审或不接受争议评审组意见的，约定的合同争议解决方式 ：</w:t>
      </w:r>
      <w:r>
        <w:rPr>
          <w:rFonts w:hint="eastAsia" w:ascii="宋体" w:hAnsi="宋体" w:cs="宋体"/>
          <w:color w:val="000000" w:themeColor="text1"/>
          <w:u w:val="single"/>
          <w14:textFill>
            <w14:solidFill>
              <w14:schemeClr w14:val="tx1"/>
            </w14:solidFill>
          </w14:textFill>
        </w:rPr>
        <w:t>向约定的仲裁委员会申请仲裁或向有管辖权的人民法院提起诉讼</w:t>
      </w:r>
      <w:r>
        <w:rPr>
          <w:rFonts w:hint="eastAsia" w:ascii="宋体" w:hAnsi="宋体" w:cs="宋体"/>
          <w:color w:val="000000" w:themeColor="text1"/>
          <w14:textFill>
            <w14:solidFill>
              <w14:schemeClr w14:val="tx1"/>
            </w14:solidFill>
          </w14:textFill>
        </w:rPr>
        <w:t xml:space="preserve">。 </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25.附加条款</w:t>
      </w:r>
    </w:p>
    <w:p>
      <w:pPr>
        <w:spacing w:before="156" w:after="156"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25.1对承包人的要求</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bCs/>
          <w:color w:val="000000" w:themeColor="text1"/>
          <w:kern w:val="0"/>
          <w14:textFill>
            <w14:solidFill>
              <w14:schemeClr w14:val="tx1"/>
            </w14:solidFill>
          </w14:textFill>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bCs/>
          <w:color w:val="000000" w:themeColor="text1"/>
          <w:kern w:val="0"/>
          <w14:textFill>
            <w14:solidFill>
              <w14:schemeClr w14:val="tx1"/>
            </w14:solidFill>
          </w14:textFill>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bCs/>
          <w:color w:val="000000" w:themeColor="text1"/>
          <w:kern w:val="0"/>
          <w14:textFill>
            <w14:solidFill>
              <w14:schemeClr w14:val="tx1"/>
            </w14:solidFill>
          </w14:textFill>
        </w:rPr>
        <w:t>按国家《安全法》、《建设工程安全生产管理条例》、自治区安全生产法规和水利水电工程施工安全操作规程的规定建立健全安全管理机构和安全管理制度，采取安全施工保障措施保障工程施工安全。</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bCs/>
          <w:color w:val="000000" w:themeColor="text1"/>
          <w:kern w:val="0"/>
          <w14:textFill>
            <w14:solidFill>
              <w14:schemeClr w14:val="tx1"/>
            </w14:solidFill>
          </w14:textFill>
        </w:rPr>
        <w:t>按有关施工规程规范及本采购文件技术条款进行组织施工并实施施工过程和移交前工程保护措施。</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bCs/>
          <w:color w:val="000000" w:themeColor="text1"/>
          <w:kern w:val="0"/>
          <w14:textFill>
            <w14:solidFill>
              <w14:schemeClr w14:val="tx1"/>
            </w14:solidFill>
          </w14:textFill>
        </w:rPr>
        <w:t>按水利部《水利系统文明建设工地评审管理办法》创建文明建设工地。</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bCs/>
          <w:color w:val="000000" w:themeColor="text1"/>
          <w:kern w:val="0"/>
          <w14:textFill>
            <w14:solidFill>
              <w14:schemeClr w14:val="tx1"/>
            </w14:solidFill>
          </w14:textFill>
        </w:rPr>
        <w:t>承包人违约有以下情况之一者，发包人有权采取合同规定的以下措施处理，并视情节轻重处予违约金。</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（1）未经发包人批准，施工期内承包人调走主要施工技术人员（包括建造师、专业工程师），经发现不及时调回的，违约金额为合同金额的2%～10%（视情节严重而定）。</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（2）未经发包人批准，施工期内自行调走主要施工机械，经发现不及时调回的，违约金额为合同金额的</w:t>
      </w:r>
      <w:r>
        <w:rPr>
          <w:rFonts w:hint="eastAsia" w:ascii="宋体" w:hAnsi="宋体" w:cs="宋体"/>
          <w:bCs/>
          <w:color w:val="000000" w:themeColor="text1"/>
          <w:kern w:val="0"/>
          <w:u w:val="single"/>
          <w14:textFill>
            <w14:solidFill>
              <w14:schemeClr w14:val="tx1"/>
            </w14:solidFill>
          </w14:textFill>
        </w:rPr>
        <w:t>2%～10%</w:t>
      </w:r>
      <w:r>
        <w:rPr>
          <w:rFonts w:hint="eastAsia" w:ascii="宋体" w:hAnsi="宋体" w:cs="宋体"/>
          <w:bCs/>
          <w:color w:val="000000" w:themeColor="text1"/>
          <w:kern w:val="0"/>
          <w14:textFill>
            <w14:solidFill>
              <w14:schemeClr w14:val="tx1"/>
            </w14:solidFill>
          </w14:textFill>
        </w:rPr>
        <w:t>（视情节严重而定）。</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（5）合同签订之日起15日内，承包人无法按合同规定进场全部人员和机械时，作为承包人违约，发包人可解除合同，另行发包工程。</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bCs/>
          <w:color w:val="000000" w:themeColor="text1"/>
          <w:kern w:val="0"/>
          <w14:textFill>
            <w14:solidFill>
              <w14:schemeClr w14:val="tx1"/>
            </w14:solidFill>
          </w14:textFill>
        </w:rPr>
        <w:t>承包人生活设施及施工场地，应自费配备消防设备，防止火灾发生。</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8、</w:t>
      </w:r>
      <w:r>
        <w:rPr>
          <w:rFonts w:hint="eastAsia" w:ascii="宋体" w:hAnsi="宋体" w:cs="宋体"/>
          <w:bCs/>
          <w:color w:val="000000" w:themeColor="text1"/>
          <w:kern w:val="0"/>
          <w14:textFill>
            <w14:solidFill>
              <w14:schemeClr w14:val="tx1"/>
            </w14:solidFill>
          </w14:textFill>
        </w:rPr>
        <w:t>承包人使用的劳动力均应进行保险，否则不准安排工作，禁止使用童工。</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9、</w:t>
      </w:r>
      <w:r>
        <w:rPr>
          <w:rFonts w:hint="eastAsia" w:ascii="宋体" w:hAnsi="宋体" w:cs="宋体"/>
          <w:bCs/>
          <w:color w:val="000000" w:themeColor="text1"/>
          <w:kern w:val="0"/>
          <w14:textFill>
            <w14:solidFill>
              <w14:schemeClr w14:val="tx1"/>
            </w14:solidFill>
          </w14:textFill>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20" w:firstLineChars="20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13" w:firstLineChars="196"/>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25.2</w:t>
      </w:r>
      <w:r>
        <w:rPr>
          <w:rFonts w:hint="eastAsia" w:ascii="宋体" w:hAnsi="宋体" w:cs="宋体"/>
          <w:color w:val="000000" w:themeColor="text1"/>
          <w:kern w:val="0"/>
          <w14:textFill>
            <w14:solidFill>
              <w14:schemeClr w14:val="tx1"/>
            </w14:solidFill>
          </w14:textFill>
        </w:rPr>
        <w:t xml:space="preserve"> 专用合同条款中未尽事宜，在签订施工合同时双方再商定。</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二、通用合同条款</w:t>
      </w:r>
    </w:p>
    <w:p>
      <w:pPr>
        <w:snapToGrid w:val="0"/>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本文全文应用水利部、国家电力公司和国家工商行政管理局于2000年2月联合颁布的《水利水电土建工程施工合同条件》（GF-2000-0208）的通用合同条款（本文略）。</w:t>
      </w:r>
      <w:bookmarkStart w:id="34" w:name="_Toc312251118"/>
      <w:bookmarkEnd w:id="34"/>
    </w:p>
    <w:p>
      <w:pPr>
        <w:pStyle w:val="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35" w:name="_Toc23660"/>
      <w:bookmarkStart w:id="36" w:name="_Toc32321"/>
      <w:r>
        <w:rPr>
          <w:rFonts w:hint="eastAsia" w:ascii="宋体" w:hAnsi="宋体" w:cs="宋体"/>
          <w:color w:val="000000" w:themeColor="text1"/>
          <w14:textFill>
            <w14:solidFill>
              <w14:schemeClr w14:val="tx1"/>
            </w14:solidFill>
          </w14:textFill>
        </w:rPr>
        <w:t>第四章  评标办法及评审标准</w:t>
      </w:r>
      <w:bookmarkEnd w:id="35"/>
    </w:p>
    <w:p>
      <w:pPr>
        <w:pStyle w:val="23"/>
        <w:spacing w:line="400" w:lineRule="exact"/>
        <w:ind w:firstLine="455" w:firstLineChars="216"/>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 xml:space="preserve"> 一、评标原则</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（一）磋商小组的构成：本采购项目的磋商小组分别由依法组成的评审专家、采购人代表等三人以上单数组成，其中专家人数不少于成员总数的三分之二。</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（二）评标方法：综合评分法，磋商小组将以磋商文件、响应文件为评标依据，对供应商的价格、技术、商务分等方面内容按百分制打分。</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评标方式：以封闭方式进行。</w:t>
      </w:r>
    </w:p>
    <w:p>
      <w:pPr>
        <w:pStyle w:val="23"/>
        <w:spacing w:line="4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r>
        <w:rPr>
          <w:rFonts w:hint="eastAsia" w:hAnsi="宋体" w:cs="宋体"/>
          <w:b/>
          <w:bCs/>
          <w:color w:val="000000" w:themeColor="text1"/>
          <w:szCs w:val="21"/>
          <w14:textFill>
            <w14:solidFill>
              <w14:schemeClr w14:val="tx1"/>
            </w14:solidFill>
          </w14:textFill>
        </w:rPr>
        <w:t>1、价格分</w:t>
      </w:r>
      <w:r>
        <w:rPr>
          <w:rFonts w:hint="eastAsia" w:hAnsi="宋体" w:cs="宋体"/>
          <w:color w:val="000000" w:themeColor="text1"/>
          <w:szCs w:val="21"/>
          <w14:textFill>
            <w14:solidFill>
              <w14:schemeClr w14:val="tx1"/>
            </w14:solidFill>
          </w14:textFill>
        </w:rPr>
        <w:t>…………………………………………………………………………3</w:t>
      </w:r>
      <w:r>
        <w:rPr>
          <w:rFonts w:hint="eastAsia" w:hAnsi="宋体" w:cs="宋体"/>
          <w:b/>
          <w:bCs/>
          <w:color w:val="000000" w:themeColor="text1"/>
          <w:szCs w:val="21"/>
          <w14:textFill>
            <w14:solidFill>
              <w14:schemeClr w14:val="tx1"/>
            </w14:solidFill>
          </w14:textFill>
        </w:rPr>
        <w:t>0分</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按照《政府采购促进中小企业发展暂行办法》（财库[2020]46号）的规定，投标人认定为小型和微型企业且所投产品均为小型、微型企业产品的（必须提供中小企业声明函，否则不予以认定），对投标报价给予5%的扣除，扣除后的价格为评标价，即评标价=投标报价×（1-5%）；大中型企业与小型、微型企业组成联合体投标，其中小型、微型企业的协议合同金额占到联合体协议合同总金额30%以上的，联合体投标报价给予3%的扣除，扣除后的价格为评标价，即评标价=投标报价×（1-3%）；除上述情况外，评标价=投标报价。</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23"/>
        <w:spacing w:line="400" w:lineRule="exact"/>
        <w:ind w:firstLine="411" w:firstLineChars="196"/>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（2）除上述情况外，评审报价=报价。</w:t>
      </w:r>
    </w:p>
    <w:p>
      <w:pPr>
        <w:pStyle w:val="23"/>
        <w:spacing w:line="4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（3）以进入详评的且最后报价最低的供应商的价格为磋商基准价，其价格分为30分。</w:t>
      </w:r>
    </w:p>
    <w:p>
      <w:pPr>
        <w:pStyle w:val="23"/>
        <w:spacing w:line="4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（4）磋商报价得分=（磋商基准价/最后磋商报价）×30分</w:t>
      </w:r>
    </w:p>
    <w:p>
      <w:pPr>
        <w:autoSpaceDE w:val="0"/>
        <w:autoSpaceDN w:val="0"/>
        <w:adjustRightInd w:val="0"/>
        <w:spacing w:line="460" w:lineRule="exact"/>
        <w:ind w:firstLine="422" w:firstLineChars="200"/>
        <w:jc w:val="left"/>
        <w:rPr>
          <w:rFonts w:hint="eastAsia"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2、技术方案分…………………………………………………………………………70分</w:t>
      </w:r>
    </w:p>
    <w:p>
      <w:pPr>
        <w:pStyle w:val="2"/>
      </w:pPr>
    </w:p>
    <w:tbl>
      <w:tblPr>
        <w:tblStyle w:val="42"/>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00"/>
        <w:gridCol w:w="1235"/>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579" w:type="dxa"/>
            <w:vMerge w:val="restart"/>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技术方案分（70分）</w:t>
            </w:r>
          </w:p>
        </w:tc>
        <w:tc>
          <w:tcPr>
            <w:tcW w:w="1200" w:type="dxa"/>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项目管理机构（5分）</w:t>
            </w:r>
          </w:p>
        </w:tc>
        <w:tc>
          <w:tcPr>
            <w:tcW w:w="1235" w:type="dxa"/>
            <w:vAlign w:val="center"/>
          </w:tcPr>
          <w:p>
            <w:pPr>
              <w:spacing w:line="36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项目经理任职资格（5分）</w:t>
            </w:r>
          </w:p>
        </w:tc>
        <w:tc>
          <w:tcPr>
            <w:tcW w:w="5837" w:type="dxa"/>
            <w:vAlign w:val="center"/>
          </w:tcPr>
          <w:p>
            <w:pPr>
              <w:snapToGrid w:val="0"/>
              <w:spacing w:line="360" w:lineRule="exact"/>
              <w:ind w:right="59" w:rightChars="28"/>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拟派任项目经理（或注册建造师）必须与资格审查合格通过的项目经理（或注册建造师）在名称、专业、资格等级等方面一致。</w:t>
            </w:r>
          </w:p>
          <w:p>
            <w:pPr>
              <w:numPr>
                <w:ilvl w:val="0"/>
                <w:numId w:val="8"/>
              </w:numPr>
              <w:spacing w:line="360" w:lineRule="auto"/>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项目经理资质（本项满分3分）：持有水利水电工程专业二级（含二级）注册建造师执业资格以上的得3分。</w:t>
            </w:r>
          </w:p>
          <w:p>
            <w:pPr>
              <w:widowControl/>
              <w:spacing w:line="360" w:lineRule="exact"/>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14:textFill>
                  <w14:solidFill>
                    <w14:schemeClr w14:val="tx1"/>
                  </w14:solidFill>
                </w14:textFill>
              </w:rPr>
              <w:t>（2）项目经理职称（本项满分2分）：</w:t>
            </w:r>
            <w:r>
              <w:rPr>
                <w:rFonts w:hint="eastAsia" w:ascii="宋体" w:hAnsi="宋体" w:cs="宋体"/>
                <w:color w:val="000000" w:themeColor="text1"/>
                <w:lang w:bidi="ar"/>
                <w14:textFill>
                  <w14:solidFill>
                    <w14:schemeClr w14:val="tx1"/>
                  </w14:solidFill>
                </w14:textFill>
              </w:rPr>
              <w:t>工程师及以上职称得2分；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restart"/>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施工组织设计（65分）</w:t>
            </w:r>
          </w:p>
        </w:tc>
        <w:tc>
          <w:tcPr>
            <w:tcW w:w="1235" w:type="dxa"/>
            <w:vAlign w:val="center"/>
          </w:tcPr>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主要施工方法</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5837" w:type="dxa"/>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优（10分）：各主要分部施工方法针对性强，施工技术方案详尽周密，工艺先进、方法科学、可行，能很好的指导具体施工并确保安全。</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良（7分）：各主要分部施工方法符合项目实际，施工技术方案齐全，工艺成熟、方法合理、可行，能指导具体施工并确保安全。</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中（5分）：各主要分部施工方法基本符合项目实际，施工技术方案基本齐全，方法基本合理、基本可行，基本能指导具体施工并确保安全。</w:t>
            </w:r>
          </w:p>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2"/>
                <w14:textFill>
                  <w14:solidFill>
                    <w14:schemeClr w14:val="tx1"/>
                  </w14:solidFill>
                </w14:textFill>
              </w:rPr>
              <w:t>差（3分）：各主要分部施工方法针对性差，施工技术方案差，工艺落后、方法不合理，不能指导具体施工和确保安全。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拟投入的主要物资计划（5分）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优（5分）：投入的施工材料有详细的组织计划且计划周密，投入计划与进度计划呼应，较好满足施工需要，调配投入计划合理、准确。</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良（4分）：投入的施工材料有详细的组织计划，投入计划与进度计划呼应，基本满足施工需要，调配投入计划基本合理、准确。</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中（3分）：投入的施工材料有详细的组织计划，投入计划与进度计划呼应，基本满足施工需要，调配投入计划基本合理。</w:t>
            </w:r>
          </w:p>
          <w:p>
            <w:pPr>
              <w:pStyle w:val="157"/>
              <w:spacing w:line="400" w:lineRule="exact"/>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差（1分）：投入的施工材料的组织计划差，投入计划与进度计划不呼应，不能满足施工需要。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拟投入的主要施工机械、设备计划（5分）</w:t>
            </w:r>
          </w:p>
        </w:tc>
        <w:tc>
          <w:tcPr>
            <w:tcW w:w="5837" w:type="dxa"/>
          </w:tcPr>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优（5分）：投入的施工机械、设备、机具有详细的组织计划且计划周密，设备数量、选型配置、进场时间安排合理，满足施工需要。</w:t>
            </w:r>
          </w:p>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良(4分)：投入的施工机械、设备、机具有组织计划且计划良好，设备数量、选型配置、进场时间安排合理，基本满足施工需要。</w:t>
            </w:r>
          </w:p>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 xml:space="preserve">中(3分)：投入的施工机械、设备、机具有组织计划且计划一般，设备数量、选型配置、进场时间安排合理，基本满足施工需要。 </w:t>
            </w:r>
          </w:p>
          <w:p>
            <w:pPr>
              <w:pStyle w:val="157"/>
              <w:spacing w:line="400" w:lineRule="exact"/>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2"/>
                <w14:textFill>
                  <w14:solidFill>
                    <w14:schemeClr w14:val="tx1"/>
                  </w14:solidFill>
                </w14:textFill>
              </w:rPr>
              <w:t>差（1分)：投入的施工机械、设备、机具无详细的组织计划，设备数量、选型配置、进场时间安排不合理，不能满足施工需要。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劳动力安排计划（5分）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优（5分）：各主要施工工序有详细周密的劳动力安排计划，各工种劳动力安排计划齐全，劳动力投入与进度计划呼应合理，满足施工需要。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良（4分）：各主要施工工序有详细的劳动力安排计划，有各工种劳动力安排计划，劳动力投入合理，满足施工需要。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中（3分）：各主要施工工序应有劳动力安排计划，有各工种劳动力安排计划，劳动力投入基本合理，基本满足施工需要。 </w:t>
            </w:r>
          </w:p>
          <w:p>
            <w:pPr>
              <w:pStyle w:val="157"/>
              <w:spacing w:line="400" w:lineRule="exact"/>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差（1分）：各主要施工工序劳动力安排计划不全，无各工种劳动力安排计划或计划不全，劳动力投入不合理，不能满足施工需要。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确保工程质量的技术组织措施</w:t>
            </w:r>
            <w:r>
              <w:rPr>
                <w:rFonts w:hint="eastAsia" w:ascii="宋体" w:hAnsi="宋体" w:cs="宋体"/>
                <w:color w:val="000000" w:themeColor="text1"/>
                <w:spacing w:val="-10"/>
                <w:kern w:val="0"/>
                <w14:textFill>
                  <w14:solidFill>
                    <w14:schemeClr w14:val="tx1"/>
                  </w14:solidFill>
                </w14:textFill>
              </w:rPr>
              <w:t>（10分）</w:t>
            </w:r>
          </w:p>
        </w:tc>
        <w:tc>
          <w:tcPr>
            <w:tcW w:w="5837" w:type="dxa"/>
          </w:tcPr>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 xml:space="preserve">优（10分）：有专门的质量技术管理班子和制度，且人员配备合理，制度健全。主要工序质量技术保证措施和手段科学合理，自控体系完整，能有效保证技术质量，达到承诺的质量标准。 </w:t>
            </w:r>
          </w:p>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良(7分)：有专门的质量技术管理班子和制度，且人员配备合理，制度健全。主要工序的质量技术保证措施和手段良好，自控体系良好，基本保证技术质量，达到承诺的质量标准。</w:t>
            </w:r>
          </w:p>
          <w:p>
            <w:pPr>
              <w:widowControl/>
              <w:spacing w:line="360" w:lineRule="exact"/>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 xml:space="preserve">中(5分)：有专门的质量技术管理班子和制度，且人员配备合理，制度健全。主要工序的质量技术保证措施和手段一般，自控体系一般，基本保证技术质量，达到承诺的质量标准。 </w:t>
            </w:r>
          </w:p>
          <w:p>
            <w:pPr>
              <w:pStyle w:val="157"/>
              <w:spacing w:line="400" w:lineRule="exact"/>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2"/>
                <w14:textFill>
                  <w14:solidFill>
                    <w14:schemeClr w14:val="tx1"/>
                  </w14:solidFill>
                </w14:textFill>
              </w:rPr>
              <w:t>差(3分)：有专门的质量技术管理班子和制度，人员配备不合理，制度不健全。主要工序无质量技术保证措施和手段，自控体系不完整，不能有效保证技术质量，达不到承诺的质量标准。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确保安全生产的技术组织措施</w:t>
            </w:r>
            <w:r>
              <w:rPr>
                <w:rFonts w:hint="eastAsia" w:ascii="宋体" w:hAnsi="宋体" w:cs="宋体"/>
                <w:color w:val="000000" w:themeColor="text1"/>
                <w:spacing w:val="-10"/>
                <w:kern w:val="0"/>
                <w14:textFill>
                  <w14:solidFill>
                    <w14:schemeClr w14:val="tx1"/>
                  </w14:solidFill>
                </w14:textFill>
              </w:rPr>
              <w:t>（5分）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优（5分）：安全人员配备合理；有健全的安全管理制度，各道工序安全技术措施针对性强，符合实际且高于国家有关安全技术标准要求。现场防火、应急救援、社会治安安全措施得力。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良（4分）：安全人员配备合理；有健全的安全管理制度，各道工序安全技术措施符合实际且满足有关安全技术标准要求。现场防火、应急救援、社会治安安全措施合理。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中（3分）：安全人员配备基本合理，安全管理制度基本健全，各道工序安全技术措施基本符合实际，基本满足有关安全技术标准要求。现场防火、应急救援、社会治安安全措施基本合理。 </w:t>
            </w:r>
          </w:p>
          <w:p>
            <w:pPr>
              <w:pStyle w:val="157"/>
              <w:spacing w:line="400" w:lineRule="exact"/>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差（1分）：安全人员配备不合理，安全管理制度不健全，各道工序安全技术措施基本符合实际，不能满足有关安全技术标准要求。现场防火、应急救援、社会治安安全措施不合理。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确保工期的技术组织措施（10分）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优（10分）：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良（7分）：施工工艺、施工方法、材料选用、劳动力安排、技术等方面有保证工期的具体措施。有施工总进度表或施工网络图，各项计划图表编制合理，安排科学合理，符合本项目施工实际要求。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中（5分）：施工工艺、施工方法、材料选用、劳动力安排、技术等方面有基本的保证措施。有施工总进度表或施工网络图，符合本项目施工实际要求。 </w:t>
            </w:r>
          </w:p>
          <w:p>
            <w:pPr>
              <w:pStyle w:val="157"/>
              <w:spacing w:line="4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差（3分）：施工工艺、施工方法、材料选用、劳动力安排、技术等方面的保证措施不合理。施工总进度表或施工网络图安排不合理。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工程施工的重点和难点及保证措施（10分）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优（10分）：针对本工程的特点，阐述本工程的重点和难点，解决重点和难点问题的方法合理，科学，可行，并能对有效控制工程造价投资有科学可行的建议。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良（7分）：针对本工程的特点，阐述本工程的重点和难点，解决重点和难点问题的方法合理，可行。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中（5分）：针对本工程的特点，所阐述的本工程的重点和难点基本合理，解决重点和难点问题的方法基本可行。 </w:t>
            </w:r>
          </w:p>
          <w:p>
            <w:pPr>
              <w:pStyle w:val="157"/>
              <w:spacing w:line="4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差（3分）：对本工程的特点不了解，未能提供工程的重点和难点，阶段重点和难点的方法不合理。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00" w:type="dxa"/>
            <w:vMerge w:val="continue"/>
          </w:tcPr>
          <w:p>
            <w:pPr>
              <w:autoSpaceDE w:val="0"/>
              <w:autoSpaceDN w:val="0"/>
              <w:adjustRightInd w:val="0"/>
              <w:spacing w:line="460" w:lineRule="exact"/>
              <w:jc w:val="left"/>
              <w:rPr>
                <w:rFonts w:ascii="宋体" w:hAnsi="宋体" w:cs="宋体"/>
                <w:color w:val="000000" w:themeColor="text1"/>
                <w:kern w:val="0"/>
                <w14:textFill>
                  <w14:solidFill>
                    <w14:schemeClr w14:val="tx1"/>
                  </w14:solidFill>
                </w14:textFill>
              </w:rPr>
            </w:pPr>
          </w:p>
        </w:tc>
        <w:tc>
          <w:tcPr>
            <w:tcW w:w="1235" w:type="dxa"/>
            <w:vAlign w:val="center"/>
          </w:tcPr>
          <w:p>
            <w:pPr>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确保文明施工的技术组织措施（5分）</w:t>
            </w:r>
          </w:p>
        </w:tc>
        <w:tc>
          <w:tcPr>
            <w:tcW w:w="5837" w:type="dxa"/>
          </w:tcPr>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优（5分）：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工作计划和实施承诺。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良（4分）：有现场文明施工、环境保护措施，且措施内容应达到《建筑施工安全生产检查标准》（JGJ59-2011）合格标准并符合《广西壮族自治区建筑工程文明施工导则》要求。各项措施周全、具体、有效。 </w:t>
            </w:r>
          </w:p>
          <w:p>
            <w:pPr>
              <w:pStyle w:val="238"/>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 xml:space="preserve">中（3分）：有现场文明施工、环境保护基本措施，措施内容应达到《建筑施工安全生产检查标准》（JGJ59-2011）合格标准并符合《广西壮族自治区建筑工程文明施工导则》要求。 </w:t>
            </w:r>
          </w:p>
          <w:p>
            <w:pPr>
              <w:pStyle w:val="157"/>
              <w:spacing w:line="4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差（1分）:现场文明施工、环境保护基本措施，措施内容不能达到《建筑施工安全生产检查标准》（JGJ59-2011）合格标准，不符合《广西壮族自治区建筑工程文明施工导则》要求。</w:t>
            </w:r>
          </w:p>
        </w:tc>
      </w:tr>
    </w:tbl>
    <w:p>
      <w:pPr>
        <w:widowControl/>
        <w:shd w:val="clear" w:color="auto" w:fill="FFFFFF"/>
        <w:spacing w:line="400" w:lineRule="exact"/>
        <w:ind w:firstLine="422" w:firstLineChars="200"/>
        <w:jc w:val="left"/>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14:textFill>
            <w14:solidFill>
              <w14:schemeClr w14:val="tx1"/>
            </w14:solidFill>
          </w14:textFill>
        </w:rPr>
        <w:t>3、总得分＝1+2</w:t>
      </w:r>
    </w:p>
    <w:p>
      <w:pPr>
        <w:widowControl/>
        <w:shd w:val="clear" w:color="auto" w:fill="FFFFFF"/>
        <w:spacing w:line="400" w:lineRule="exact"/>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三、成交候选供应商推荐原则</w:t>
      </w:r>
    </w:p>
    <w:p>
      <w:pPr>
        <w:widowControl/>
        <w:shd w:val="clear" w:color="auto" w:fill="FFFFFF"/>
        <w:spacing w:line="400" w:lineRule="exact"/>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磋商小组将根据总得分由高到低对供应商排列次序（得分相同时，以磋商报价由低到高顺序排列；得分相同且磋商报价相同的，按技术标优劣顺序排列），并推荐排位前三名为成交候选供应商</w:t>
      </w:r>
      <w:r>
        <w:rPr>
          <w:rFonts w:hint="eastAsia" w:ascii="宋体" w:hAnsi="宋体" w:cs="宋体"/>
          <w:color w:val="000000" w:themeColor="text1"/>
          <w14:textFill>
            <w14:solidFill>
              <w14:schemeClr w14:val="tx1"/>
            </w14:solidFill>
          </w14:textFill>
        </w:rPr>
        <w:t>（如为本须知13.5.3、13.5.4规定的情形，可以推荐2家成交候选供应商）</w:t>
      </w:r>
      <w:r>
        <w:rPr>
          <w:rFonts w:hint="eastAsia" w:ascii="宋体" w:hAnsi="宋体" w:cs="宋体"/>
          <w:color w:val="000000" w:themeColor="text1"/>
          <w:kern w:val="0"/>
          <w14:textFill>
            <w14:solidFill>
              <w14:schemeClr w14:val="tx1"/>
            </w14:solidFill>
          </w14:textFill>
        </w:rPr>
        <w:t>，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widowControl/>
        <w:shd w:val="clear" w:color="auto" w:fill="FFFFFF"/>
        <w:spacing w:line="400" w:lineRule="exact"/>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pStyle w:val="39"/>
        <w:spacing w:before="0" w:after="0" w:line="500" w:lineRule="exact"/>
        <w:rPr>
          <w:rFonts w:ascii="宋体" w:hAnsi="宋体" w:cs="宋体"/>
          <w:color w:val="000000" w:themeColor="text1"/>
          <w:sz w:val="28"/>
          <w:szCs w:val="28"/>
          <w14:textFill>
            <w14:solidFill>
              <w14:schemeClr w14:val="tx1"/>
            </w14:solidFill>
          </w14:textFill>
        </w:rPr>
      </w:pPr>
    </w:p>
    <w:p>
      <w:pPr>
        <w:pStyle w:val="39"/>
        <w:spacing w:before="0" w:after="0" w:line="5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第五章 竞争性磋商响应文件</w:t>
      </w:r>
      <w:bookmarkEnd w:id="36"/>
      <w:r>
        <w:rPr>
          <w:rFonts w:hint="eastAsia" w:ascii="宋体" w:hAnsi="宋体" w:cs="宋体"/>
          <w:color w:val="000000" w:themeColor="text1"/>
          <w:sz w:val="28"/>
          <w:szCs w:val="28"/>
          <w14:textFill>
            <w14:solidFill>
              <w14:schemeClr w14:val="tx1"/>
            </w14:solidFill>
          </w14:textFill>
        </w:rPr>
        <w:t>格式</w:t>
      </w:r>
    </w:p>
    <w:p>
      <w:pPr>
        <w:rPr>
          <w:rFonts w:ascii="宋体" w:hAnsi="宋体" w:cs="宋体"/>
          <w:color w:val="000000" w:themeColor="text1"/>
          <w14:textFill>
            <w14:solidFill>
              <w14:schemeClr w14:val="tx1"/>
            </w14:solidFill>
          </w14:textFill>
        </w:rPr>
      </w:pPr>
    </w:p>
    <w:p>
      <w:pPr>
        <w:pStyle w:val="18"/>
        <w:rPr>
          <w:rFonts w:ascii="宋体" w:hAnsi="宋体" w:cs="宋体"/>
          <w:color w:val="000000" w:themeColor="text1"/>
          <w:sz w:val="21"/>
          <w:szCs w:val="21"/>
          <w14:textFill>
            <w14:solidFill>
              <w14:schemeClr w14:val="tx1"/>
            </w14:solidFill>
          </w14:textFill>
        </w:rPr>
      </w:pPr>
    </w:p>
    <w:p>
      <w:pPr>
        <w:pStyle w:val="13"/>
        <w:ind w:firstLine="467" w:firstLineChars="1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商务标封面</w:t>
      </w:r>
    </w:p>
    <w:p>
      <w:pPr>
        <w:pStyle w:val="13"/>
        <w:ind w:firstLine="467" w:firstLineChars="167"/>
        <w:jc w:val="center"/>
        <w:rPr>
          <w:rFonts w:ascii="宋体" w:hAnsi="宋体" w:cs="宋体"/>
          <w:color w:val="000000" w:themeColor="text1"/>
          <w:sz w:val="28"/>
          <w:szCs w:val="28"/>
          <w14:textFill>
            <w14:solidFill>
              <w14:schemeClr w14:val="tx1"/>
            </w14:solidFill>
          </w14:textFill>
        </w:rPr>
      </w:pPr>
    </w:p>
    <w:p>
      <w:pPr>
        <w:pStyle w:val="183"/>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pPr>
        <w:pStyle w:val="13"/>
        <w:ind w:firstLine="868" w:firstLineChars="310"/>
        <w:rPr>
          <w:rFonts w:ascii="宋体" w:hAnsi="宋体" w:cs="宋体"/>
          <w:color w:val="000000" w:themeColor="text1"/>
          <w:sz w:val="28"/>
          <w:szCs w:val="28"/>
          <w14:textFill>
            <w14:solidFill>
              <w14:schemeClr w14:val="tx1"/>
            </w14:solidFill>
          </w14:textFill>
        </w:rPr>
      </w:pPr>
    </w:p>
    <w:p>
      <w:pPr>
        <w:pStyle w:val="13"/>
        <w:ind w:firstLine="868" w:firstLineChars="310"/>
        <w:rPr>
          <w:rFonts w:ascii="宋体" w:hAnsi="宋体" w:cs="宋体"/>
          <w:color w:val="000000" w:themeColor="text1"/>
          <w:sz w:val="28"/>
          <w:szCs w:val="28"/>
          <w14:textFill>
            <w14:solidFill>
              <w14:schemeClr w14:val="tx1"/>
            </w14:solidFill>
          </w14:textFill>
        </w:rPr>
      </w:pPr>
    </w:p>
    <w:p>
      <w:pPr>
        <w:pStyle w:val="13"/>
        <w:ind w:firstLine="467" w:firstLineChars="167"/>
        <w:jc w:val="center"/>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竞争性磋商</w:t>
      </w:r>
      <w:r>
        <w:rPr>
          <w:rFonts w:hint="eastAsia" w:ascii="宋体" w:hAnsi="宋体" w:cs="宋体"/>
          <w:color w:val="000000" w:themeColor="text1"/>
          <w:sz w:val="28"/>
          <w:szCs w:val="28"/>
          <w14:textFill>
            <w14:solidFill>
              <w14:schemeClr w14:val="tx1"/>
            </w14:solidFill>
          </w14:textFill>
        </w:rPr>
        <w:t>响应文件</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商务标</w:t>
      </w:r>
    </w:p>
    <w:p>
      <w:pPr>
        <w:pStyle w:val="13"/>
        <w:ind w:firstLine="3780" w:firstLineChars="1350"/>
        <w:rPr>
          <w:rFonts w:ascii="宋体" w:hAnsi="宋体" w:cs="宋体"/>
          <w:color w:val="000000" w:themeColor="text1"/>
          <w:sz w:val="28"/>
          <w:szCs w:val="28"/>
          <w14:textFill>
            <w14:solidFill>
              <w14:schemeClr w14:val="tx1"/>
            </w14:solidFill>
          </w14:textFill>
        </w:rPr>
      </w:pPr>
    </w:p>
    <w:p>
      <w:pPr>
        <w:pStyle w:val="13"/>
        <w:ind w:firstLine="868" w:firstLineChars="310"/>
        <w:jc w:val="center"/>
        <w:rPr>
          <w:rFonts w:ascii="宋体" w:hAnsi="宋体" w:cs="宋体"/>
          <w:color w:val="000000" w:themeColor="text1"/>
          <w:sz w:val="28"/>
          <w:szCs w:val="28"/>
          <w14:textFill>
            <w14:solidFill>
              <w14:schemeClr w14:val="tx1"/>
            </w14:solidFill>
          </w14:textFill>
        </w:rPr>
      </w:pPr>
    </w:p>
    <w:p>
      <w:pPr>
        <w:pStyle w:val="13"/>
        <w:ind w:firstLine="868" w:firstLineChars="310"/>
        <w:jc w:val="center"/>
        <w:rPr>
          <w:rFonts w:ascii="宋体" w:hAnsi="宋体" w:cs="宋体"/>
          <w:color w:val="000000" w:themeColor="text1"/>
          <w:sz w:val="28"/>
          <w:szCs w:val="28"/>
          <w14:textFill>
            <w14:solidFill>
              <w14:schemeClr w14:val="tx1"/>
            </w14:solidFill>
          </w14:textFill>
        </w:rPr>
      </w:pPr>
    </w:p>
    <w:p>
      <w:pPr>
        <w:pStyle w:val="13"/>
        <w:ind w:firstLine="2044" w:firstLineChars="73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14:textFill>
            <w14:solidFill>
              <w14:schemeClr w14:val="tx1"/>
            </w14:solidFill>
          </w14:textFill>
        </w:rPr>
        <w:t xml:space="preserve">                   </w:t>
      </w:r>
    </w:p>
    <w:p>
      <w:pPr>
        <w:pStyle w:val="13"/>
        <w:ind w:firstLine="2044" w:firstLineChars="730"/>
        <w:jc w:val="both"/>
        <w:rPr>
          <w:rFonts w:ascii="宋体" w:hAnsi="宋体" w:cs="宋体"/>
          <w:color w:val="000000" w:themeColor="text1"/>
          <w:sz w:val="28"/>
          <w:szCs w:val="28"/>
          <w14:textFill>
            <w14:solidFill>
              <w14:schemeClr w14:val="tx1"/>
            </w14:solidFill>
          </w14:textFill>
        </w:rPr>
      </w:pPr>
    </w:p>
    <w:p>
      <w:pPr>
        <w:pStyle w:val="13"/>
        <w:ind w:firstLine="2044" w:firstLineChars="730"/>
        <w:jc w:val="both"/>
        <w:rPr>
          <w:rFonts w:ascii="宋体" w:hAnsi="宋体" w:cs="宋体"/>
          <w:color w:val="000000" w:themeColor="text1"/>
          <w:sz w:val="28"/>
          <w:szCs w:val="28"/>
          <w14:textFill>
            <w14:solidFill>
              <w14:schemeClr w14:val="tx1"/>
            </w14:solidFill>
          </w14:textFill>
        </w:rPr>
      </w:pPr>
    </w:p>
    <w:p>
      <w:pPr>
        <w:pStyle w:val="13"/>
        <w:ind w:firstLine="2828" w:firstLineChars="1010"/>
        <w:jc w:val="both"/>
        <w:rPr>
          <w:rFonts w:ascii="宋体" w:hAnsi="宋体" w:cs="宋体"/>
          <w:color w:val="000000" w:themeColor="text1"/>
          <w:sz w:val="28"/>
          <w:szCs w:val="28"/>
          <w14:textFill>
            <w14:solidFill>
              <w14:schemeClr w14:val="tx1"/>
            </w14:solidFill>
          </w14:textFill>
        </w:rPr>
      </w:pPr>
    </w:p>
    <w:p>
      <w:pPr>
        <w:pStyle w:val="13"/>
        <w:ind w:firstLine="560" w:firstLineChars="200"/>
        <w:jc w:val="both"/>
        <w:rPr>
          <w:rFonts w:ascii="宋体" w:hAnsi="宋体" w:cs="宋体"/>
          <w:bCs/>
          <w:color w:val="000000" w:themeColor="text1"/>
          <w:sz w:val="28"/>
          <w:szCs w:val="28"/>
          <w:u w:val="single"/>
          <w14:textFill>
            <w14:solidFill>
              <w14:schemeClr w14:val="tx1"/>
            </w14:solidFill>
          </w14:textFill>
        </w:rPr>
      </w:pPr>
    </w:p>
    <w:p>
      <w:pPr>
        <w:pStyle w:val="13"/>
        <w:ind w:firstLine="0"/>
        <w:jc w:val="both"/>
        <w:rPr>
          <w:rFonts w:ascii="宋体" w:hAnsi="宋体" w:cs="宋体"/>
          <w:bCs/>
          <w:color w:val="000000" w:themeColor="text1"/>
          <w:sz w:val="28"/>
          <w:szCs w:val="28"/>
          <w14:textFill>
            <w14:solidFill>
              <w14:schemeClr w14:val="tx1"/>
            </w14:solidFill>
          </w14:textFill>
        </w:rPr>
      </w:pPr>
    </w:p>
    <w:p>
      <w:pPr>
        <w:pStyle w:val="13"/>
        <w:ind w:firstLine="0"/>
        <w:jc w:val="both"/>
        <w:rPr>
          <w:rFonts w:ascii="宋体" w:hAnsi="宋体" w:cs="宋体"/>
          <w:bCs/>
          <w:color w:val="000000" w:themeColor="text1"/>
          <w:sz w:val="28"/>
          <w:szCs w:val="28"/>
          <w14:textFill>
            <w14:solidFill>
              <w14:schemeClr w14:val="tx1"/>
            </w14:solidFill>
          </w14:textFill>
        </w:rPr>
      </w:pPr>
    </w:p>
    <w:p>
      <w:pPr>
        <w:pStyle w:val="13"/>
        <w:jc w:val="both"/>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磋商人：  </w:t>
      </w:r>
      <w:r>
        <w:rPr>
          <w:rFonts w:hint="eastAsia" w:ascii="宋体" w:hAnsi="宋体" w:cs="宋体"/>
          <w:bCs/>
          <w:color w:val="000000" w:themeColor="text1"/>
          <w:sz w:val="28"/>
          <w:szCs w:val="28"/>
          <w:u w:val="single"/>
          <w14:textFill>
            <w14:solidFill>
              <w14:schemeClr w14:val="tx1"/>
            </w14:solidFill>
          </w14:textFill>
        </w:rPr>
        <w:t xml:space="preserve">                              （盖章）</w:t>
      </w:r>
    </w:p>
    <w:p>
      <w:pPr>
        <w:pStyle w:val="13"/>
        <w:jc w:val="both"/>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（签字或签章）</w:t>
      </w:r>
    </w:p>
    <w:p>
      <w:pPr>
        <w:pStyle w:val="13"/>
        <w:ind w:firstLine="560" w:firstLineChars="2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pPr>
        <w:pStyle w:val="13"/>
        <w:ind w:firstLine="422" w:firstLineChars="200"/>
        <w:jc w:val="center"/>
        <w:rPr>
          <w:rFonts w:ascii="宋体" w:hAnsi="宋体" w:cs="宋体"/>
          <w:b/>
          <w:color w:val="000000" w:themeColor="text1"/>
          <w:sz w:val="21"/>
          <w:szCs w:val="21"/>
          <w14:textFill>
            <w14:solidFill>
              <w14:schemeClr w14:val="tx1"/>
            </w14:solidFill>
          </w14:textFill>
        </w:rPr>
      </w:pPr>
    </w:p>
    <w:p>
      <w:pPr>
        <w:pStyle w:val="13"/>
        <w:ind w:firstLine="422" w:firstLineChars="20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目录</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一、法定代表人身份证明书（必须提供，加盖公章）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二、响应文件签署授权委托书原件扫描件及委托代理人身份证正反面原件扫描件（委托代理时必须提供）（详见竞争性磋商响应文件格式）</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三、磋商函（必须提供，加盖公章）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四、磋商函附录（必须提供，加盖公章）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五、磋商报价表（必须提供，加盖公章）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六、已标价的工程量清单报价有关材料（必须提供，加盖公章）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七、磋商人提供营业执照副本、项目经理的注册建造师资质证书、项目经理的安全生产考核合格证书安B证的原件扫描件（必须提供）；</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八、磋商人提供企业资质证书副本的原件扫描件（必须提供）；</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九、磋商人提供安全生产许可证的原件扫描件（必须提供）；</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十、磋商人提供《钦州市政府采购项目投标资格承诺函》（必须提供，加盖公章）；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十一、磋商供应商参加政府采购活动前3年内在经营活动中没有重大违法记录的书面声明。（必须提供，加盖公章）</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二、磋商人符合中小企业划型标准的，按照《政府采购促进中小企业发展暂行办法》（财库[2020]46号）要求，提供中小企业声明函。监狱企业参加政府采购活动时，应当提供由省级以上监狱管理局、戒毒管理局（含新疆生产建设兵团）出具的属于监狱企业的证明文件。(如有请提供)</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三、磋商人符合《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w:t>
      </w:r>
    </w:p>
    <w:p>
      <w:pPr>
        <w:pStyle w:val="13"/>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十四、磋商人其他资料(磋商人认为需要提供或竞争性磋商采购文件需要提供的其他资料，如信誉业绩等材料的原件扫描件）。</w:t>
      </w:r>
    </w:p>
    <w:p>
      <w:pP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pPr>
        <w:pStyle w:val="13"/>
        <w:ind w:firstLine="422" w:firstLineChars="200"/>
        <w:rPr>
          <w:rFonts w:ascii="宋体" w:hAnsi="宋体" w:cs="宋体"/>
          <w:b/>
          <w:color w:val="000000" w:themeColor="text1"/>
          <w:sz w:val="21"/>
          <w:szCs w:val="21"/>
          <w14:textFill>
            <w14:solidFill>
              <w14:schemeClr w14:val="tx1"/>
            </w14:solidFill>
          </w14:textFill>
        </w:rPr>
      </w:pPr>
    </w:p>
    <w:p>
      <w:pPr>
        <w:pStyle w:val="5"/>
        <w:spacing w:line="5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一、法定代表人身份证明书</w:t>
      </w: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spacing w:line="360" w:lineRule="auto"/>
        <w:ind w:firstLine="6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单位名称：</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p>
    <w:p>
      <w:pPr>
        <w:spacing w:line="360" w:lineRule="auto"/>
        <w:ind w:firstLine="612"/>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单位性质：</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日</w:t>
      </w:r>
    </w:p>
    <w:p>
      <w:pPr>
        <w:spacing w:line="360" w:lineRule="auto"/>
        <w:ind w:firstLine="610"/>
        <w:rPr>
          <w:rFonts w:ascii="宋体" w:hAnsi="宋体" w:cs="宋体"/>
          <w:color w:val="000000" w:themeColor="text1"/>
          <w:u w:val="single"/>
          <w14:textFill>
            <w14:solidFill>
              <w14:schemeClr w14:val="tx1"/>
            </w14:solidFill>
          </w14:textFill>
        </w:rPr>
      </w:pP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姓名：</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性别：</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年龄：</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职务：</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w:t>
      </w:r>
      <w:r>
        <w:rPr>
          <w:rFonts w:hint="eastAsia" w:ascii="宋体" w:hAnsi="宋体" w:cs="宋体"/>
          <w:color w:val="000000" w:themeColor="text1"/>
          <w:u w:val="single"/>
          <w14:textFill>
            <w14:solidFill>
              <w14:schemeClr w14:val="tx1"/>
            </w14:solidFill>
          </w14:textFill>
        </w:rPr>
        <w:t xml:space="preserve">（磋商人单位名称）      </w:t>
      </w:r>
      <w:r>
        <w:rPr>
          <w:rFonts w:hint="eastAsia" w:ascii="宋体" w:hAnsi="宋体" w:cs="宋体"/>
          <w:color w:val="000000" w:themeColor="text1"/>
          <w14:textFill>
            <w14:solidFill>
              <w14:schemeClr w14:val="tx1"/>
            </w14:solidFill>
          </w14:textFill>
        </w:rPr>
        <w:t>的法定代表人。</w:t>
      </w: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特此证明。</w:t>
      </w:r>
    </w:p>
    <w:p>
      <w:pPr>
        <w:tabs>
          <w:tab w:val="left" w:pos="720"/>
          <w:tab w:val="left" w:pos="900"/>
        </w:tabs>
        <w:spacing w:line="360" w:lineRule="auto"/>
        <w:ind w:firstLine="422" w:firstLineChars="200"/>
        <w:rPr>
          <w:rFonts w:ascii="宋体" w:hAnsi="宋体" w:cs="宋体"/>
          <w:b/>
          <w:color w:val="000000" w:themeColor="text1"/>
          <w14:textFill>
            <w14:solidFill>
              <w14:schemeClr w14:val="tx1"/>
            </w14:solidFill>
          </w14:textFill>
        </w:rPr>
      </w:pPr>
    </w:p>
    <w:p>
      <w:pPr>
        <w:tabs>
          <w:tab w:val="left" w:pos="720"/>
          <w:tab w:val="left" w:pos="900"/>
        </w:tabs>
        <w:spacing w:line="360" w:lineRule="auto"/>
        <w:ind w:firstLine="3990" w:firstLineChars="1900"/>
        <w:rPr>
          <w:rFonts w:ascii="宋体" w:hAnsi="宋体" w:cs="宋体"/>
          <w:color w:val="000000" w:themeColor="text1"/>
          <w14:textFill>
            <w14:solidFill>
              <w14:schemeClr w14:val="tx1"/>
            </w14:solidFill>
          </w14:textFill>
        </w:rPr>
      </w:pPr>
    </w:p>
    <w:p>
      <w:pPr>
        <w:tabs>
          <w:tab w:val="left" w:pos="720"/>
          <w:tab w:val="left" w:pos="900"/>
        </w:tabs>
        <w:spacing w:line="360" w:lineRule="auto"/>
        <w:ind w:firstLine="4410" w:firstLineChars="2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磋商人：</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 xml:space="preserve">       （盖章）</w:t>
      </w:r>
    </w:p>
    <w:p>
      <w:pPr>
        <w:ind w:firstLine="4410" w:firstLineChars="2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tabs>
          <w:tab w:val="left" w:pos="720"/>
          <w:tab w:val="left" w:pos="900"/>
        </w:tabs>
        <w:spacing w:line="360" w:lineRule="auto"/>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附：法定代表人身份证扫描件</w:t>
      </w:r>
    </w:p>
    <w:p>
      <w:pPr>
        <w:ind w:firstLine="4410" w:firstLineChars="2100"/>
        <w:rPr>
          <w:rFonts w:ascii="宋体" w:hAnsi="宋体" w:cs="宋体"/>
          <w:color w:val="000000" w:themeColor="text1"/>
          <w14:textFill>
            <w14:solidFill>
              <w14:schemeClr w14:val="tx1"/>
            </w14:solidFill>
          </w14:textFill>
        </w:rPr>
      </w:pPr>
    </w:p>
    <w:p>
      <w:pPr>
        <w:ind w:firstLine="405" w:firstLineChars="193"/>
        <w:rPr>
          <w:rFonts w:ascii="宋体" w:hAnsi="宋体" w:cs="宋体"/>
          <w:color w:val="000000" w:themeColor="text1"/>
          <w14:textFill>
            <w14:solidFill>
              <w14:schemeClr w14:val="tx1"/>
            </w14:solidFill>
          </w14:textFill>
        </w:rPr>
      </w:pPr>
    </w:p>
    <w:p>
      <w:pPr>
        <w:pStyle w:val="5"/>
        <w:spacing w:line="5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br w:type="page"/>
      </w:r>
      <w:r>
        <w:rPr>
          <w:rFonts w:hint="eastAsia" w:ascii="宋体" w:hAnsi="宋体" w:cs="宋体"/>
          <w:color w:val="000000" w:themeColor="text1"/>
          <w:sz w:val="21"/>
          <w:szCs w:val="21"/>
          <w14:textFill>
            <w14:solidFill>
              <w14:schemeClr w14:val="tx1"/>
            </w14:solidFill>
          </w14:textFill>
        </w:rPr>
        <w:t>二、响应文件签署授权委托书原件扫描件及委托代理人身份证正反面原件扫描件（委托代理时必须提供）</w:t>
      </w:r>
    </w:p>
    <w:p>
      <w:pPr>
        <w:spacing w:after="156"/>
        <w:rPr>
          <w:rFonts w:ascii="宋体" w:hAnsi="宋体" w:cs="宋体"/>
          <w:b/>
          <w:color w:val="000000" w:themeColor="text1"/>
          <w14:textFill>
            <w14:solidFill>
              <w14:schemeClr w14:val="tx1"/>
            </w14:solidFill>
          </w14:textFill>
        </w:rPr>
      </w:pPr>
    </w:p>
    <w:p>
      <w:pPr>
        <w:spacing w:line="360" w:lineRule="auto"/>
        <w:ind w:firstLine="6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本授权委托书声明：我</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（姓名）系</w:t>
      </w:r>
      <w:r>
        <w:rPr>
          <w:rFonts w:hint="eastAsia" w:ascii="宋体" w:hAnsi="宋体" w:cs="宋体"/>
          <w:color w:val="000000" w:themeColor="text1"/>
          <w:u w:val="single"/>
          <w14:textFill>
            <w14:solidFill>
              <w14:schemeClr w14:val="tx1"/>
            </w14:solidFill>
          </w14:textFill>
        </w:rPr>
        <w:t xml:space="preserve">         （磋商人名称）</w:t>
      </w:r>
      <w:r>
        <w:rPr>
          <w:rFonts w:hint="eastAsia" w:ascii="宋体" w:hAnsi="宋体" w:cs="宋体"/>
          <w:color w:val="000000" w:themeColor="text1"/>
          <w14:textFill>
            <w14:solidFill>
              <w14:schemeClr w14:val="tx1"/>
            </w14:solidFill>
          </w14:textFill>
        </w:rPr>
        <w:t>的法定代表人，现授权委托</w:t>
      </w:r>
      <w:r>
        <w:rPr>
          <w:rFonts w:hint="eastAsia" w:ascii="宋体" w:hAnsi="宋体" w:cs="宋体"/>
          <w:color w:val="000000" w:themeColor="text1"/>
          <w:u w:val="single"/>
          <w14:textFill>
            <w14:solidFill>
              <w14:schemeClr w14:val="tx1"/>
            </w14:solidFill>
          </w14:textFill>
        </w:rPr>
        <w:t xml:space="preserve">       （单位名称）</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 xml:space="preserve">           （姓名）</w:t>
      </w:r>
      <w:r>
        <w:rPr>
          <w:rFonts w:hint="eastAsia" w:ascii="宋体" w:hAnsi="宋体" w:cs="宋体"/>
          <w:color w:val="000000" w:themeColor="text1"/>
          <w14:textFill>
            <w14:solidFill>
              <w14:schemeClr w14:val="tx1"/>
            </w14:solidFill>
          </w14:textFill>
        </w:rPr>
        <w:t>为我公司签署工程的响应文件的法定代表人授权委托代理人，我承认代理人全权代表我所签署的本工程的响应文件的内容。</w:t>
      </w:r>
    </w:p>
    <w:p>
      <w:pPr>
        <w:spacing w:line="360" w:lineRule="auto"/>
        <w:ind w:firstLine="610"/>
        <w:rPr>
          <w:rFonts w:ascii="宋体" w:hAnsi="宋体" w:cs="宋体"/>
          <w:color w:val="000000" w:themeColor="text1"/>
          <w14:textFill>
            <w14:solidFill>
              <w14:schemeClr w14:val="tx1"/>
            </w14:solidFill>
          </w14:textFill>
        </w:rPr>
      </w:pPr>
    </w:p>
    <w:p>
      <w:pPr>
        <w:spacing w:line="360" w:lineRule="auto"/>
        <w:ind w:firstLine="69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代理人无转委托权，特此委托。</w:t>
      </w: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1260"/>
        <w:rPr>
          <w:rFonts w:ascii="宋体" w:hAnsi="宋体" w:cs="宋体"/>
          <w:color w:val="000000" w:themeColor="text1"/>
          <w14:textFill>
            <w14:solidFill>
              <w14:schemeClr w14:val="tx1"/>
            </w14:solidFill>
          </w14:textFill>
        </w:rPr>
      </w:pPr>
    </w:p>
    <w:p>
      <w:pPr>
        <w:ind w:left="2699"/>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代理人：</w:t>
      </w:r>
      <w:r>
        <w:rPr>
          <w:rFonts w:hint="eastAsia" w:ascii="宋体" w:hAnsi="宋体" w:cs="宋体"/>
          <w:color w:val="000000" w:themeColor="text1"/>
          <w:u w:val="single"/>
          <w14:textFill>
            <w14:solidFill>
              <w14:schemeClr w14:val="tx1"/>
            </w14:solidFill>
          </w14:textFill>
        </w:rPr>
        <w:t xml:space="preserve">              （签字）</w:t>
      </w:r>
    </w:p>
    <w:p>
      <w:pPr>
        <w:ind w:left="2699"/>
        <w:rPr>
          <w:rFonts w:ascii="宋体" w:hAnsi="宋体" w:cs="宋体"/>
          <w:color w:val="000000" w:themeColor="text1"/>
          <w:u w:val="single"/>
          <w14:textFill>
            <w14:solidFill>
              <w14:schemeClr w14:val="tx1"/>
            </w14:solidFill>
          </w14:textFill>
        </w:rPr>
      </w:pPr>
    </w:p>
    <w:p>
      <w:pPr>
        <w:ind w:left="269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性别：_______</w:t>
      </w:r>
      <w:r>
        <w:rPr>
          <w:rFonts w:hint="eastAsia" w:ascii="宋体" w:hAnsi="宋体" w:cs="宋体"/>
          <w:color w:val="000000" w:themeColor="text1"/>
          <w:u w:val="single"/>
          <w14:textFill>
            <w14:solidFill>
              <w14:schemeClr w14:val="tx1"/>
            </w14:solidFill>
          </w14:textFill>
        </w:rPr>
        <w:t xml:space="preserve">          </w:t>
      </w:r>
    </w:p>
    <w:p>
      <w:pPr>
        <w:ind w:left="2699"/>
        <w:rPr>
          <w:rFonts w:ascii="宋体" w:hAnsi="宋体" w:cs="宋体"/>
          <w:color w:val="000000" w:themeColor="text1"/>
          <w14:textFill>
            <w14:solidFill>
              <w14:schemeClr w14:val="tx1"/>
            </w14:solidFill>
          </w14:textFill>
        </w:rPr>
      </w:pPr>
    </w:p>
    <w:p>
      <w:pPr>
        <w:ind w:left="2699"/>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年龄：_______</w:t>
      </w:r>
      <w:r>
        <w:rPr>
          <w:rFonts w:hint="eastAsia" w:ascii="宋体" w:hAnsi="宋体" w:cs="宋体"/>
          <w:color w:val="000000" w:themeColor="text1"/>
          <w:u w:val="single"/>
          <w14:textFill>
            <w14:solidFill>
              <w14:schemeClr w14:val="tx1"/>
            </w14:solidFill>
          </w14:textFill>
        </w:rPr>
        <w:t xml:space="preserve">          </w:t>
      </w:r>
    </w:p>
    <w:p>
      <w:pPr>
        <w:ind w:left="2699"/>
        <w:rPr>
          <w:rFonts w:ascii="宋体" w:hAnsi="宋体" w:cs="宋体"/>
          <w:color w:val="000000" w:themeColor="text1"/>
          <w14:textFill>
            <w14:solidFill>
              <w14:schemeClr w14:val="tx1"/>
            </w14:solidFill>
          </w14:textFill>
        </w:rPr>
      </w:pPr>
    </w:p>
    <w:p>
      <w:pPr>
        <w:ind w:left="2699"/>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身份证号码：</w:t>
      </w:r>
      <w:r>
        <w:rPr>
          <w:rFonts w:hint="eastAsia" w:ascii="宋体" w:hAnsi="宋体" w:cs="宋体"/>
          <w:color w:val="000000" w:themeColor="text1"/>
          <w:u w:val="single"/>
          <w14:textFill>
            <w14:solidFill>
              <w14:schemeClr w14:val="tx1"/>
            </w14:solidFill>
          </w14:textFill>
        </w:rPr>
        <w:t xml:space="preserve">                             </w:t>
      </w:r>
    </w:p>
    <w:p>
      <w:pPr>
        <w:ind w:left="2699"/>
        <w:rPr>
          <w:rFonts w:ascii="宋体" w:hAnsi="宋体" w:cs="宋体"/>
          <w:color w:val="000000" w:themeColor="text1"/>
          <w:u w:val="single"/>
          <w14:textFill>
            <w14:solidFill>
              <w14:schemeClr w14:val="tx1"/>
            </w14:solidFill>
          </w14:textFill>
        </w:rPr>
      </w:pPr>
    </w:p>
    <w:p>
      <w:pPr>
        <w:ind w:left="2699"/>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职务：</w:t>
      </w:r>
      <w:r>
        <w:rPr>
          <w:rFonts w:hint="eastAsia" w:ascii="宋体" w:hAnsi="宋体" w:cs="宋体"/>
          <w:color w:val="000000" w:themeColor="text1"/>
          <w:u w:val="single"/>
          <w14:textFill>
            <w14:solidFill>
              <w14:schemeClr w14:val="tx1"/>
            </w14:solidFill>
          </w14:textFill>
        </w:rPr>
        <w:t xml:space="preserve">                                     </w:t>
      </w:r>
    </w:p>
    <w:p>
      <w:pPr>
        <w:ind w:left="2699"/>
        <w:rPr>
          <w:rFonts w:ascii="宋体" w:hAnsi="宋体" w:cs="宋体"/>
          <w:color w:val="000000" w:themeColor="text1"/>
          <w14:textFill>
            <w14:solidFill>
              <w14:schemeClr w14:val="tx1"/>
            </w14:solidFill>
          </w14:textFill>
        </w:rPr>
      </w:pPr>
    </w:p>
    <w:p>
      <w:pPr>
        <w:ind w:left="269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磋商人：</w:t>
      </w:r>
      <w:r>
        <w:rPr>
          <w:rFonts w:hint="eastAsia" w:ascii="宋体" w:hAnsi="宋体" w:cs="宋体"/>
          <w:color w:val="000000" w:themeColor="text1"/>
          <w:u w:val="single"/>
          <w14:textFill>
            <w14:solidFill>
              <w14:schemeClr w14:val="tx1"/>
            </w14:solidFill>
          </w14:textFill>
        </w:rPr>
        <w:t>_             （盖章）</w:t>
      </w:r>
    </w:p>
    <w:p>
      <w:pPr>
        <w:ind w:left="2699"/>
        <w:rPr>
          <w:rFonts w:ascii="宋体" w:hAnsi="宋体" w:cs="宋体"/>
          <w:color w:val="000000" w:themeColor="text1"/>
          <w14:textFill>
            <w14:solidFill>
              <w14:schemeClr w14:val="tx1"/>
            </w14:solidFill>
          </w14:textFill>
        </w:rPr>
      </w:pPr>
    </w:p>
    <w:p>
      <w:pPr>
        <w:ind w:left="269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r>
        <w:rPr>
          <w:rFonts w:hint="eastAsia" w:ascii="宋体" w:hAnsi="宋体" w:cs="宋体"/>
          <w:color w:val="000000" w:themeColor="text1"/>
          <w:u w:val="single"/>
          <w14:textFill>
            <w14:solidFill>
              <w14:schemeClr w14:val="tx1"/>
            </w14:solidFill>
          </w14:textFill>
        </w:rPr>
        <w:t xml:space="preserve">   （签字或签章）</w:t>
      </w:r>
    </w:p>
    <w:p>
      <w:pPr>
        <w:ind w:left="2699"/>
        <w:rPr>
          <w:rFonts w:ascii="宋体" w:hAnsi="宋体" w:cs="宋体"/>
          <w:color w:val="000000" w:themeColor="text1"/>
          <w14:textFill>
            <w14:solidFill>
              <w14:schemeClr w14:val="tx1"/>
            </w14:solidFill>
          </w14:textFill>
        </w:rPr>
      </w:pPr>
    </w:p>
    <w:p>
      <w:pPr>
        <w:ind w:left="2833" w:leftChars="1349" w:firstLine="2100" w:firstLineChars="1000"/>
        <w:rPr>
          <w:rFonts w:ascii="宋体" w:hAnsi="宋体" w:cs="宋体"/>
          <w:color w:val="000000" w:themeColor="text1"/>
          <w14:textFill>
            <w14:solidFill>
              <w14:schemeClr w14:val="tx1"/>
            </w14:solidFill>
          </w14:textFill>
        </w:rPr>
      </w:pPr>
    </w:p>
    <w:p>
      <w:pPr>
        <w:ind w:firstLine="405" w:firstLineChars="19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授权委托日期：   年 月 日</w:t>
      </w:r>
    </w:p>
    <w:p>
      <w:pPr>
        <w:ind w:firstLine="405" w:firstLineChars="193"/>
        <w:jc w:val="center"/>
        <w:rPr>
          <w:rFonts w:ascii="宋体" w:hAnsi="宋体" w:cs="宋体"/>
          <w:color w:val="000000" w:themeColor="text1"/>
          <w14:textFill>
            <w14:solidFill>
              <w14:schemeClr w14:val="tx1"/>
            </w14:solidFill>
          </w14:textFill>
        </w:rPr>
      </w:pPr>
    </w:p>
    <w:p>
      <w:pPr>
        <w:ind w:firstLine="407" w:firstLineChars="193"/>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附：委托代理人身份证正反面原件扫描件</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b/>
          <w:color w:val="000000" w:themeColor="text1"/>
          <w14:textFill>
            <w14:solidFill>
              <w14:schemeClr w14:val="tx1"/>
            </w14:solidFill>
          </w14:textFill>
        </w:rPr>
        <w:t>三、磋商函</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 xml:space="preserve">（采购单位）           </w:t>
      </w:r>
      <w:r>
        <w:rPr>
          <w:rFonts w:hint="eastAsia" w:ascii="宋体" w:hAnsi="宋体" w:cs="宋体"/>
          <w:color w:val="000000" w:themeColor="text1"/>
          <w14:textFill>
            <w14:solidFill>
              <w14:schemeClr w14:val="tx1"/>
            </w14:solidFill>
          </w14:textFill>
        </w:rPr>
        <w:t>：</w:t>
      </w:r>
    </w:p>
    <w:p>
      <w:pPr>
        <w:spacing w:line="380" w:lineRule="exact"/>
        <w:ind w:firstLine="63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1、我公司根据收到并研究了</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）的竞争性磋商采购文件，愿意按竞争性磋商采购文件规定的内容承担该工程的施工任务，严格执行磋商人所承诺的责任和义务。</w:t>
      </w:r>
    </w:p>
    <w:p>
      <w:pPr>
        <w:spacing w:line="380" w:lineRule="exact"/>
        <w:ind w:firstLine="525" w:firstLineChars="250"/>
        <w:rPr>
          <w:rFonts w:ascii="宋体" w:hAnsi="宋体" w:cs="宋体"/>
          <w:bCs/>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pacing w:val="8"/>
          <w14:textFill>
            <w14:solidFill>
              <w14:schemeClr w14:val="tx1"/>
            </w14:solidFill>
          </w14:textFill>
        </w:rPr>
        <w:t>我单位经考察现场和研究上述工程竞争性磋商采购文件的磋商须知前附表及磋商须知、合同条件、工程建设标准及其他有关文件后，我方</w:t>
      </w:r>
      <w:r>
        <w:rPr>
          <w:rFonts w:hint="eastAsia" w:ascii="宋体" w:hAnsi="宋体" w:cs="宋体"/>
          <w:bCs/>
          <w:color w:val="000000" w:themeColor="text1"/>
          <w14:textFill>
            <w14:solidFill>
              <w14:schemeClr w14:val="tx1"/>
            </w14:solidFill>
          </w14:textFill>
        </w:rPr>
        <w:t>愿以：人民币</w:t>
      </w:r>
      <w:r>
        <w:rPr>
          <w:rFonts w:hint="eastAsia" w:ascii="宋体" w:hAnsi="宋体" w:cs="宋体"/>
          <w:bCs/>
          <w:color w:val="000000" w:themeColor="text1"/>
          <w:u w:val="single"/>
          <w14:textFill>
            <w14:solidFill>
              <w14:schemeClr w14:val="tx1"/>
            </w14:solidFill>
          </w14:textFill>
        </w:rPr>
        <w:t xml:space="preserve">（大写）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bCs/>
          <w:color w:val="000000" w:themeColor="text1"/>
          <w:u w:val="single"/>
          <w14:textFill>
            <w14:solidFill>
              <w14:schemeClr w14:val="tx1"/>
            </w14:solidFill>
          </w14:textFill>
        </w:rPr>
        <w:t xml:space="preserve">          （小写）      </w:t>
      </w:r>
      <w:r>
        <w:rPr>
          <w:rFonts w:hint="eastAsia" w:ascii="宋体" w:hAnsi="宋体" w:cs="宋体"/>
          <w:bCs/>
          <w:color w:val="000000" w:themeColor="text1"/>
          <w14:textFill>
            <w14:solidFill>
              <w14:schemeClr w14:val="tx1"/>
            </w14:solidFill>
          </w14:textFill>
        </w:rPr>
        <w:t>的磋商报价</w:t>
      </w:r>
      <w:r>
        <w:rPr>
          <w:rFonts w:hint="eastAsia" w:ascii="宋体" w:hAnsi="宋体" w:cs="宋体"/>
          <w:bCs/>
          <w:color w:val="000000" w:themeColor="text1"/>
          <w:spacing w:val="8"/>
          <w14:textFill>
            <w14:solidFill>
              <w14:schemeClr w14:val="tx1"/>
            </w14:solidFill>
          </w14:textFill>
        </w:rPr>
        <w:t>，</w:t>
      </w:r>
      <w:r>
        <w:rPr>
          <w:rFonts w:hint="eastAsia" w:ascii="宋体" w:hAnsi="宋体" w:cs="宋体"/>
          <w:bCs/>
          <w:color w:val="000000" w:themeColor="text1"/>
          <w14:textFill>
            <w14:solidFill>
              <w14:schemeClr w14:val="tx1"/>
            </w14:solidFill>
          </w14:textFill>
        </w:rPr>
        <w:t>并按上述工程量清单、合</w:t>
      </w:r>
      <w:r>
        <w:rPr>
          <w:rFonts w:hint="eastAsia" w:ascii="宋体" w:hAnsi="宋体" w:cs="宋体"/>
          <w:color w:val="000000" w:themeColor="text1"/>
          <w14:textFill>
            <w14:solidFill>
              <w14:schemeClr w14:val="tx1"/>
            </w14:solidFill>
          </w14:textFill>
        </w:rPr>
        <w:t>同条款、工程建设标准的条件要求承包工程的施工、竣工，并承担任何质量缺陷保修责任。</w:t>
      </w:r>
    </w:p>
    <w:p>
      <w:pPr>
        <w:pStyle w:val="23"/>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3、一旦我方成交，我方保证按合同书中规定的工期</w:t>
      </w:r>
      <w:r>
        <w:rPr>
          <w:rFonts w:hint="eastAsia" w:hAnsi="宋体" w:cs="宋体"/>
          <w:bCs/>
          <w:color w:val="000000" w:themeColor="text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日历天内竣工并移交整个工程，我方保证工程质量达到等级:</w:t>
      </w:r>
      <w:r>
        <w:rPr>
          <w:rFonts w:hint="eastAsia" w:hAnsi="宋体" w:cs="宋体"/>
          <w:bCs/>
          <w:color w:val="000000" w:themeColor="text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spacing w:line="380" w:lineRule="exact"/>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4、我方同意所递交的响应文件在“磋商须知前附表及磋商须知”第13条规定的竞标有效期内有效，在此期间内我方的竞标有可能成交，我方将受此约束。</w:t>
      </w:r>
    </w:p>
    <w:p>
      <w:pPr>
        <w:spacing w:line="380" w:lineRule="exact"/>
        <w:ind w:firstLine="5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5、一旦成交，我公司保证按照竞争性磋商采购文件的要求和与采购人签订的工程施工合同，成立本工程的项目部，按响应文件拟订的项目经理和专业技术人员进驻施工现场实施施工合同。</w:t>
      </w:r>
    </w:p>
    <w:p>
      <w:pPr>
        <w:spacing w:line="380" w:lineRule="exact"/>
        <w:ind w:firstLine="5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cs="宋体"/>
          <w:color w:val="000000" w:themeColor="text1"/>
          <w:spacing w:val="2"/>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发出的成交通知书，应构成我们之间有约束力的合同。</w:t>
      </w:r>
    </w:p>
    <w:p>
      <w:pPr>
        <w:spacing w:line="380" w:lineRule="exact"/>
        <w:rPr>
          <w:rFonts w:ascii="宋体" w:hAnsi="宋体" w:cs="宋体"/>
          <w:color w:val="000000" w:themeColor="text1"/>
          <w14:textFill>
            <w14:solidFill>
              <w14:schemeClr w14:val="tx1"/>
            </w14:solidFill>
          </w14:textFill>
        </w:rPr>
      </w:pP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磋商人：</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（盖章）</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法定代表人或委托代理人：</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（签字或签章）</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开户银行名称：</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银行帐号：</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开户行地址：</w:t>
      </w:r>
      <w:r>
        <w:rPr>
          <w:rFonts w:hint="eastAsia" w:ascii="宋体" w:hAnsi="宋体" w:cs="宋体"/>
          <w:bCs/>
          <w:color w:val="000000" w:themeColor="text1"/>
          <w:u w:val="single"/>
          <w14:textFill>
            <w14:solidFill>
              <w14:schemeClr w14:val="tx1"/>
            </w14:solidFill>
          </w14:textFill>
        </w:rPr>
        <w:t xml:space="preserve">                    </w:t>
      </w:r>
    </w:p>
    <w:p>
      <w:pPr>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年</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月</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3"/>
        <w:jc w:val="center"/>
        <w:rPr>
          <w:rFonts w:hAnsi="宋体" w:cs="宋体"/>
          <w:b/>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br w:type="page"/>
      </w:r>
      <w:r>
        <w:rPr>
          <w:rFonts w:hint="eastAsia" w:hAnsi="宋体" w:cs="宋体"/>
          <w:b/>
          <w:color w:val="000000" w:themeColor="text1"/>
          <w:szCs w:val="21"/>
          <w14:textFill>
            <w14:solidFill>
              <w14:schemeClr w14:val="tx1"/>
            </w14:solidFill>
          </w14:textFill>
        </w:rPr>
        <w:t>四、磋商函附表</w:t>
      </w:r>
    </w:p>
    <w:p>
      <w:pPr>
        <w:pStyle w:val="23"/>
        <w:rPr>
          <w:rFonts w:hAnsi="宋体" w:cs="宋体"/>
          <w:b/>
          <w:color w:val="000000" w:themeColor="text1"/>
          <w:szCs w:val="21"/>
          <w14:textFill>
            <w14:solidFill>
              <w14:schemeClr w14:val="tx1"/>
            </w14:solidFill>
          </w14:textFill>
        </w:rPr>
      </w:pPr>
    </w:p>
    <w:tbl>
      <w:tblPr>
        <w:tblStyle w:val="42"/>
        <w:tblW w:w="8220" w:type="dxa"/>
        <w:jc w:val="center"/>
        <w:tblLayout w:type="fixed"/>
        <w:tblCellMar>
          <w:top w:w="0" w:type="dxa"/>
          <w:left w:w="10" w:type="dxa"/>
          <w:bottom w:w="0" w:type="dxa"/>
          <w:right w:w="10" w:type="dxa"/>
        </w:tblCellMar>
      </w:tblPr>
      <w:tblGrid>
        <w:gridCol w:w="1644"/>
        <w:gridCol w:w="1387"/>
        <w:gridCol w:w="1901"/>
        <w:gridCol w:w="1971"/>
        <w:gridCol w:w="1317"/>
      </w:tblGrid>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序号</w:t>
            </w:r>
          </w:p>
        </w:tc>
        <w:tc>
          <w:tcPr>
            <w:tcW w:w="138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条款名称</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合同条款号</w:t>
            </w:r>
          </w:p>
        </w:tc>
        <w:tc>
          <w:tcPr>
            <w:tcW w:w="197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约定内容</w:t>
            </w:r>
          </w:p>
        </w:tc>
        <w:tc>
          <w:tcPr>
            <w:tcW w:w="13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备注</w:t>
            </w: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1</w:t>
            </w:r>
          </w:p>
        </w:tc>
        <w:tc>
          <w:tcPr>
            <w:tcW w:w="138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项目经理</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1. 1.2.4</w:t>
            </w:r>
          </w:p>
        </w:tc>
        <w:tc>
          <w:tcPr>
            <w:tcW w:w="1971" w:type="dxa"/>
            <w:tcBorders>
              <w:top w:val="single" w:color="auto" w:sz="4" w:space="0"/>
              <w:left w:val="single" w:color="auto" w:sz="4" w:space="0"/>
            </w:tcBorders>
            <w:shd w:val="clear" w:color="auto" w:fill="FFFFFF"/>
            <w:vAlign w:val="center"/>
          </w:tcPr>
          <w:p>
            <w:pPr>
              <w:tabs>
                <w:tab w:val="left" w:leader="underscore" w:pos="1382"/>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姓名：</w:t>
            </w:r>
            <w:r>
              <w:rPr>
                <w:rFonts w:hint="eastAsia" w:ascii="宋体" w:hAnsi="宋体" w:cs="宋体"/>
                <w:color w:val="000000" w:themeColor="text1"/>
                <w:kern w:val="0"/>
                <w:sz w:val="20"/>
                <w:szCs w:val="20"/>
                <w:u w:val="single"/>
                <w:lang w:val="zh-CN" w:bidi="zh-CN"/>
                <w14:textFill>
                  <w14:solidFill>
                    <w14:schemeClr w14:val="tx1"/>
                  </w14:solidFill>
                </w14:textFill>
              </w:rPr>
              <w:tab/>
            </w: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2</w:t>
            </w:r>
          </w:p>
        </w:tc>
        <w:tc>
          <w:tcPr>
            <w:tcW w:w="138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工期</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1. 1.4.3</w:t>
            </w:r>
          </w:p>
        </w:tc>
        <w:tc>
          <w:tcPr>
            <w:tcW w:w="1971" w:type="dxa"/>
            <w:tcBorders>
              <w:top w:val="single" w:color="auto" w:sz="4" w:space="0"/>
              <w:left w:val="single" w:color="auto" w:sz="4" w:space="0"/>
            </w:tcBorders>
            <w:shd w:val="clear" w:color="auto" w:fill="FFFFFF"/>
            <w:vAlign w:val="center"/>
          </w:tcPr>
          <w:p>
            <w:pPr>
              <w:tabs>
                <w:tab w:val="left" w:leader="underscore" w:pos="1212"/>
              </w:tabs>
              <w:jc w:val="left"/>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天数：</w:t>
            </w:r>
            <w:r>
              <w:rPr>
                <w:rFonts w:hint="eastAsia" w:ascii="宋体" w:hAnsi="宋体" w:cs="宋体"/>
                <w:color w:val="000000" w:themeColor="text1"/>
                <w:kern w:val="0"/>
                <w:sz w:val="20"/>
                <w:szCs w:val="20"/>
                <w:u w:val="single"/>
                <w:lang w:val="zh-CN" w:bidi="zh-CN"/>
                <w14:textFill>
                  <w14:solidFill>
                    <w14:schemeClr w14:val="tx1"/>
                  </w14:solidFill>
                </w14:textFill>
              </w:rPr>
              <w:tab/>
            </w:r>
            <w:r>
              <w:rPr>
                <w:rFonts w:hint="eastAsia" w:ascii="宋体" w:hAnsi="宋体" w:cs="宋体"/>
                <w:color w:val="000000" w:themeColor="text1"/>
                <w:kern w:val="0"/>
                <w:sz w:val="20"/>
                <w:szCs w:val="20"/>
                <w:lang w:val="zh-CN" w:bidi="zh-CN"/>
                <w14:textFill>
                  <w14:solidFill>
                    <w14:schemeClr w14:val="tx1"/>
                  </w14:solidFill>
                </w14:textFill>
              </w:rPr>
              <w:t>日历天</w:t>
            </w: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1053"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3</w:t>
            </w:r>
          </w:p>
        </w:tc>
        <w:tc>
          <w:tcPr>
            <w:tcW w:w="1387" w:type="dxa"/>
            <w:tcBorders>
              <w:top w:val="single" w:color="auto" w:sz="4" w:space="0"/>
              <w:left w:val="single" w:color="auto" w:sz="4" w:space="0"/>
            </w:tcBorders>
            <w:shd w:val="clear" w:color="auto" w:fill="FFFFFF"/>
            <w:vAlign w:val="bottom"/>
          </w:tcPr>
          <w:p>
            <w:pPr>
              <w:spacing w:line="271" w:lineRule="exact"/>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缺陷责任期 （工程质量保修期）</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1. 1.4.5</w:t>
            </w:r>
          </w:p>
        </w:tc>
        <w:tc>
          <w:tcPr>
            <w:tcW w:w="1971"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4</w:t>
            </w:r>
          </w:p>
        </w:tc>
        <w:tc>
          <w:tcPr>
            <w:tcW w:w="138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分包</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4.3</w:t>
            </w:r>
          </w:p>
        </w:tc>
        <w:tc>
          <w:tcPr>
            <w:tcW w:w="1971"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5</w:t>
            </w:r>
          </w:p>
        </w:tc>
        <w:tc>
          <w:tcPr>
            <w:tcW w:w="138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价格调整的差额计算</w:t>
            </w:r>
          </w:p>
        </w:tc>
        <w:tc>
          <w:tcPr>
            <w:tcW w:w="190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 xml:space="preserve">16. 1. </w:t>
            </w:r>
            <w:r>
              <w:rPr>
                <w:rFonts w:hint="eastAsia" w:ascii="宋体" w:hAnsi="宋体" w:cs="宋体"/>
                <w:color w:val="000000" w:themeColor="text1"/>
                <w:kern w:val="0"/>
                <w:sz w:val="20"/>
                <w:szCs w:val="20"/>
                <w:lang w:val="zh-CN" w:bidi="zh-CN"/>
                <w14:textFill>
                  <w14:solidFill>
                    <w14:schemeClr w14:val="tx1"/>
                  </w14:solidFill>
                </w14:textFill>
              </w:rPr>
              <w:t>1</w:t>
            </w:r>
          </w:p>
        </w:tc>
        <w:tc>
          <w:tcPr>
            <w:tcW w:w="1971"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见价格指数权重表</w:t>
            </w: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c>
          <w:tcPr>
            <w:tcW w:w="1387" w:type="dxa"/>
            <w:tcBorders>
              <w:top w:val="single" w:color="auto" w:sz="4" w:space="0"/>
              <w:left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901" w:type="dxa"/>
            <w:tcBorders>
              <w:top w:val="single" w:color="auto" w:sz="4" w:space="0"/>
              <w:left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971" w:type="dxa"/>
            <w:tcBorders>
              <w:top w:val="single" w:color="auto" w:sz="4" w:space="0"/>
              <w:left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3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c>
          <w:tcPr>
            <w:tcW w:w="1387" w:type="dxa"/>
            <w:tcBorders>
              <w:top w:val="single" w:color="auto" w:sz="4" w:space="0"/>
              <w:left w:val="single" w:color="auto" w:sz="4" w:space="0"/>
              <w:bottom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901" w:type="dxa"/>
            <w:tcBorders>
              <w:top w:val="single" w:color="auto" w:sz="4" w:space="0"/>
              <w:left w:val="single" w:color="auto" w:sz="4" w:space="0"/>
              <w:bottom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971" w:type="dxa"/>
            <w:tcBorders>
              <w:top w:val="single" w:color="auto" w:sz="4" w:space="0"/>
              <w:left w:val="single" w:color="auto" w:sz="4" w:space="0"/>
              <w:bottom w:val="single" w:color="auto" w:sz="4" w:space="0"/>
            </w:tcBorders>
            <w:shd w:val="clear" w:color="auto" w:fill="FFFFFF"/>
            <w:vAlign w:val="center"/>
          </w:tcPr>
          <w:p>
            <w:pPr>
              <w:tabs>
                <w:tab w:val="left" w:leader="dot" w:pos="324"/>
              </w:tabs>
              <w:jc w:val="center"/>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eastAsia="en-US" w:bidi="en-US"/>
                <w14:textFill>
                  <w14:solidFill>
                    <w14:schemeClr w14:val="tx1"/>
                  </w14:solidFill>
                </w14:textFill>
              </w:rPr>
              <w:tab/>
            </w:r>
          </w:p>
        </w:tc>
        <w:tc>
          <w:tcPr>
            <w:tcW w:w="1317"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3"/>
                <w:szCs w:val="13"/>
                <w:lang w:eastAsia="en-US" w:bidi="en-US"/>
                <w14:textFill>
                  <w14:solidFill>
                    <w14:schemeClr w14:val="tx1"/>
                  </w14:solidFill>
                </w14:textFill>
              </w:rPr>
            </w:pPr>
          </w:p>
        </w:tc>
      </w:tr>
    </w:tbl>
    <w:p>
      <w:pPr>
        <w:pStyle w:val="23"/>
        <w:ind w:firstLine="420"/>
        <w:rPr>
          <w:rFonts w:hAnsi="宋体" w:cs="宋体"/>
          <w:color w:val="000000" w:themeColor="text1"/>
          <w:szCs w:val="21"/>
          <w14:textFill>
            <w14:solidFill>
              <w14:schemeClr w14:val="tx1"/>
            </w14:solidFill>
          </w14:textFill>
        </w:rPr>
      </w:pPr>
    </w:p>
    <w:p>
      <w:pPr>
        <w:pStyle w:val="23"/>
        <w:ind w:firstLine="420"/>
        <w:rPr>
          <w:rFonts w:hAnsi="宋体" w:cs="宋体"/>
          <w:color w:val="000000" w:themeColor="text1"/>
          <w:szCs w:val="21"/>
          <w14:textFill>
            <w14:solidFill>
              <w14:schemeClr w14:val="tx1"/>
            </w14:solidFill>
          </w14:textFill>
        </w:rPr>
      </w:pPr>
    </w:p>
    <w:p>
      <w:pPr>
        <w:pStyle w:val="23"/>
        <w:spacing w:line="500" w:lineRule="exact"/>
        <w:ind w:firstLine="420"/>
        <w:rPr>
          <w:rFonts w:hAnsi="宋体" w:cs="宋体"/>
          <w:color w:val="000000" w:themeColor="text1"/>
          <w:szCs w:val="21"/>
          <w14:textFill>
            <w14:solidFill>
              <w14:schemeClr w14:val="tx1"/>
            </w14:solidFill>
          </w14:textFill>
        </w:rPr>
      </w:pPr>
    </w:p>
    <w:p>
      <w:pPr>
        <w:pStyle w:val="23"/>
        <w:spacing w:line="5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磋商人：</w:t>
      </w:r>
      <w:r>
        <w:rPr>
          <w:rFonts w:hint="eastAsia" w:hAnsi="宋体" w:cs="宋体"/>
          <w:bCs/>
          <w:color w:val="000000" w:themeColor="text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(盖章)</w:t>
      </w:r>
    </w:p>
    <w:p>
      <w:pPr>
        <w:pStyle w:val="23"/>
        <w:spacing w:line="500" w:lineRule="exact"/>
        <w:ind w:firstLine="420"/>
        <w:rPr>
          <w:rFonts w:hAnsi="宋体" w:cs="宋体"/>
          <w:color w:val="000000" w:themeColor="text1"/>
          <w:szCs w:val="21"/>
          <w14:textFill>
            <w14:solidFill>
              <w14:schemeClr w14:val="tx1"/>
            </w14:solidFill>
          </w14:textFill>
        </w:rPr>
      </w:pPr>
    </w:p>
    <w:p>
      <w:pPr>
        <w:pStyle w:val="23"/>
        <w:spacing w:line="50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w:t>
      </w:r>
      <w:r>
        <w:rPr>
          <w:rFonts w:hint="eastAsia" w:hAnsi="宋体" w:cs="宋体"/>
          <w:bCs/>
          <w:color w:val="000000" w:themeColor="text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(签字或签章)</w:t>
      </w:r>
    </w:p>
    <w:p>
      <w:pPr>
        <w:pStyle w:val="23"/>
        <w:spacing w:line="500" w:lineRule="exact"/>
        <w:ind w:firstLine="42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日期：  年  月  日</w:t>
      </w: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2" w:firstLineChars="200"/>
        <w:rPr>
          <w:rFonts w:hAnsi="宋体" w:cs="宋体"/>
          <w:b/>
          <w:bCs/>
          <w:color w:val="000000" w:themeColor="text1"/>
          <w:szCs w:val="21"/>
          <w14:textFill>
            <w14:solidFill>
              <w14:schemeClr w14:val="tx1"/>
            </w14:solidFill>
          </w14:textFill>
        </w:rPr>
      </w:pPr>
    </w:p>
    <w:p>
      <w:pPr>
        <w:pStyle w:val="4"/>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w:t>
      </w:r>
      <w:bookmarkStart w:id="37" w:name="_Toc349639687"/>
      <w:bookmarkStart w:id="38" w:name="_Toc26366"/>
      <w:bookmarkStart w:id="39" w:name="_Toc349215560"/>
      <w:bookmarkStart w:id="40" w:name="_Toc389065358"/>
      <w:bookmarkStart w:id="41" w:name="_Toc349557654"/>
      <w:bookmarkStart w:id="42" w:name="_Toc349558044"/>
      <w:bookmarkStart w:id="43" w:name="_Toc349640339"/>
      <w:bookmarkStart w:id="44" w:name="_Toc349555832"/>
      <w:r>
        <w:rPr>
          <w:rFonts w:hint="eastAsia" w:ascii="宋体" w:hAnsi="宋体" w:cs="宋体"/>
          <w:color w:val="000000" w:themeColor="text1"/>
          <w:sz w:val="21"/>
          <w:szCs w:val="21"/>
          <w14:textFill>
            <w14:solidFill>
              <w14:schemeClr w14:val="tx1"/>
            </w14:solidFill>
          </w14:textFill>
        </w:rPr>
        <w:t>磋商报价表</w:t>
      </w:r>
      <w:bookmarkEnd w:id="37"/>
      <w:bookmarkEnd w:id="38"/>
      <w:bookmarkEnd w:id="39"/>
      <w:bookmarkEnd w:id="40"/>
      <w:bookmarkEnd w:id="41"/>
      <w:bookmarkEnd w:id="42"/>
      <w:bookmarkEnd w:id="43"/>
      <w:bookmarkEnd w:id="44"/>
    </w:p>
    <w:p>
      <w:pPr>
        <w:rPr>
          <w:rFonts w:ascii="宋体" w:hAnsi="宋体" w:cs="宋体"/>
          <w:color w:val="000000" w:themeColor="text1"/>
          <w14:textFill>
            <w14:solidFill>
              <w14:schemeClr w14:val="tx1"/>
            </w14:solidFill>
          </w14:textFill>
        </w:rPr>
      </w:pPr>
    </w:p>
    <w:p>
      <w:pPr>
        <w:ind w:left="-178" w:leftChars="-85" w:right="-512" w:rightChars="-244" w:firstLine="840" w:firstLineChars="4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                         币种：人民币</w:t>
      </w:r>
    </w:p>
    <w:tbl>
      <w:tblPr>
        <w:tblStyle w:val="4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磋商总价</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万元</w:t>
            </w:r>
          </w:p>
        </w:tc>
        <w:tc>
          <w:tcPr>
            <w:tcW w:w="1702"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984"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3116"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发包人提供材料（设备）暂估价（如有）</w:t>
            </w:r>
          </w:p>
        </w:tc>
        <w:tc>
          <w:tcPr>
            <w:tcW w:w="1987" w:type="dxa"/>
            <w:vAlign w:val="center"/>
          </w:tcPr>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万元</w:t>
            </w:r>
          </w:p>
        </w:tc>
        <w:tc>
          <w:tcPr>
            <w:tcW w:w="1702"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宋体" w:hAnsi="宋体" w:cs="宋体"/>
                <w:color w:val="000000" w:themeColor="text1"/>
                <w14:textFill>
                  <w14:solidFill>
                    <w14:schemeClr w14:val="tx1"/>
                  </w14:solidFill>
                </w14:textFill>
              </w:rPr>
            </w:pPr>
          </w:p>
        </w:tc>
        <w:tc>
          <w:tcPr>
            <w:tcW w:w="3116" w:type="dxa"/>
            <w:vAlign w:val="center"/>
          </w:tcPr>
          <w:p>
            <w:pPr>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专业工程暂估价（如有）</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万元</w:t>
            </w:r>
          </w:p>
        </w:tc>
        <w:tc>
          <w:tcPr>
            <w:tcW w:w="1702" w:type="dxa"/>
          </w:tcPr>
          <w:p>
            <w:pPr>
              <w:widowControl/>
              <w:ind w:right="48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宋体" w:hAnsi="宋体" w:cs="宋体"/>
                <w:color w:val="000000" w:themeColor="text1"/>
                <w14:textFill>
                  <w14:solidFill>
                    <w14:schemeClr w14:val="tx1"/>
                  </w14:solidFill>
                </w14:textFill>
              </w:rPr>
            </w:pPr>
          </w:p>
        </w:tc>
        <w:tc>
          <w:tcPr>
            <w:tcW w:w="3116" w:type="dxa"/>
            <w:vAlign w:val="center"/>
          </w:tcPr>
          <w:p>
            <w:pPr>
              <w:widowControl/>
              <w:ind w:firstLine="945" w:firstLineChars="4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暂列金额（如有）</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万元</w:t>
            </w:r>
          </w:p>
        </w:tc>
        <w:tc>
          <w:tcPr>
            <w:tcW w:w="1702" w:type="dxa"/>
          </w:tcPr>
          <w:p>
            <w:pPr>
              <w:widowControl/>
              <w:ind w:right="48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主要材料</w:t>
            </w:r>
          </w:p>
        </w:tc>
        <w:tc>
          <w:tcPr>
            <w:tcW w:w="3116"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钢筋</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吨</w:t>
            </w:r>
          </w:p>
        </w:tc>
        <w:tc>
          <w:tcPr>
            <w:tcW w:w="1702" w:type="dxa"/>
          </w:tcPr>
          <w:p>
            <w:pPr>
              <w:widowControl/>
              <w:jc w:val="righ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pPr>
              <w:widowControl/>
              <w:jc w:val="center"/>
              <w:rPr>
                <w:rFonts w:ascii="宋体" w:hAnsi="宋体" w:cs="宋体"/>
                <w:color w:val="000000" w:themeColor="text1"/>
                <w14:textFill>
                  <w14:solidFill>
                    <w14:schemeClr w14:val="tx1"/>
                  </w14:solidFill>
                </w14:textFill>
              </w:rPr>
            </w:pPr>
          </w:p>
        </w:tc>
        <w:tc>
          <w:tcPr>
            <w:tcW w:w="3116"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水泥（不含商品混凝土用量）</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吨</w:t>
            </w:r>
          </w:p>
        </w:tc>
        <w:tc>
          <w:tcPr>
            <w:tcW w:w="1702" w:type="dxa"/>
          </w:tcPr>
          <w:p>
            <w:pPr>
              <w:widowControl/>
              <w:jc w:val="righ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pPr>
              <w:widowControl/>
              <w:jc w:val="center"/>
              <w:rPr>
                <w:rFonts w:ascii="宋体" w:hAnsi="宋体" w:cs="宋体"/>
                <w:color w:val="000000" w:themeColor="text1"/>
                <w14:textFill>
                  <w14:solidFill>
                    <w14:schemeClr w14:val="tx1"/>
                  </w14:solidFill>
                </w14:textFill>
              </w:rPr>
            </w:pPr>
          </w:p>
        </w:tc>
        <w:tc>
          <w:tcPr>
            <w:tcW w:w="3116" w:type="dxa"/>
            <w:vAlign w:val="center"/>
          </w:tcPr>
          <w:p>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商品混凝土</w:t>
            </w:r>
          </w:p>
        </w:tc>
        <w:tc>
          <w:tcPr>
            <w:tcW w:w="1987" w:type="dxa"/>
            <w:vAlign w:val="center"/>
          </w:tcPr>
          <w:p>
            <w:pPr>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m³</w:t>
            </w:r>
          </w:p>
        </w:tc>
        <w:tc>
          <w:tcPr>
            <w:tcW w:w="1702" w:type="dxa"/>
          </w:tcPr>
          <w:p>
            <w:pPr>
              <w:widowControl/>
              <w:jc w:val="right"/>
              <w:rPr>
                <w:rFonts w:ascii="宋体" w:hAnsi="宋体" w:cs="宋体"/>
                <w:color w:val="000000" w:themeColor="text1"/>
                <w14:textFill>
                  <w14:solidFill>
                    <w14:schemeClr w14:val="tx1"/>
                  </w14:solidFill>
                </w14:textFill>
              </w:rPr>
            </w:pPr>
          </w:p>
        </w:tc>
      </w:tr>
    </w:tbl>
    <w:p>
      <w:pPr>
        <w:spacing w:line="480" w:lineRule="auto"/>
        <w:rPr>
          <w:rFonts w:ascii="宋体" w:hAnsi="宋体" w:cs="宋体"/>
          <w:color w:val="000000" w:themeColor="text1"/>
          <w14:textFill>
            <w14:solidFill>
              <w14:schemeClr w14:val="tx1"/>
            </w14:solidFill>
          </w14:textFill>
        </w:rPr>
      </w:pPr>
    </w:p>
    <w:p>
      <w:pPr>
        <w:spacing w:line="480" w:lineRule="auto"/>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磋商人（盖单位章）：</w:t>
      </w:r>
      <w:r>
        <w:rPr>
          <w:rFonts w:hint="eastAsia" w:ascii="宋体" w:hAnsi="宋体" w:cs="宋体"/>
          <w:bCs/>
          <w:color w:val="000000" w:themeColor="text1"/>
          <w:u w:val="single"/>
          <w14:textFill>
            <w14:solidFill>
              <w14:schemeClr w14:val="tx1"/>
            </w14:solidFill>
          </w14:textFill>
        </w:rPr>
        <w:t xml:space="preserve">               </w:t>
      </w:r>
    </w:p>
    <w:p>
      <w:pPr>
        <w:spacing w:line="480" w:lineRule="auto"/>
        <w:ind w:firstLine="21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法定代表人或其委托代理人（签字或签章）：</w:t>
      </w:r>
      <w:r>
        <w:rPr>
          <w:rFonts w:hint="eastAsia" w:ascii="宋体" w:hAnsi="宋体" w:cs="宋体"/>
          <w:bCs/>
          <w:color w:val="000000" w:themeColor="text1"/>
          <w:u w:val="single"/>
          <w14:textFill>
            <w14:solidFill>
              <w14:schemeClr w14:val="tx1"/>
            </w14:solidFill>
          </w14:textFill>
        </w:rPr>
        <w:t xml:space="preserve">               </w:t>
      </w:r>
    </w:p>
    <w:p>
      <w:pPr>
        <w:spacing w:line="48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spacing w:line="480" w:lineRule="auto"/>
        <w:ind w:firstLine="210" w:firstLineChars="100"/>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pStyle w:val="2"/>
        <w:rPr>
          <w:rFonts w:ascii="宋体" w:hAnsi="宋体" w:cs="宋体"/>
          <w:color w:val="000000" w:themeColor="text1"/>
          <w:sz w:val="21"/>
          <w:szCs w:val="2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spacing w:line="480" w:lineRule="auto"/>
        <w:ind w:firstLine="210" w:firstLineChars="100"/>
        <w:rPr>
          <w:rFonts w:ascii="宋体" w:hAnsi="宋体" w:cs="宋体"/>
          <w:color w:val="000000" w:themeColor="text1"/>
          <w14:textFill>
            <w14:solidFill>
              <w14:schemeClr w14:val="tx1"/>
            </w14:solidFill>
          </w14:textFill>
        </w:rPr>
      </w:pPr>
    </w:p>
    <w:p>
      <w:pPr>
        <w:numPr>
          <w:ilvl w:val="0"/>
          <w:numId w:val="9"/>
        </w:num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已标价的工程量清单报价有关材料</w:t>
      </w:r>
    </w:p>
    <w:p>
      <w:pPr>
        <w:pStyle w:val="2"/>
        <w:rPr>
          <w:rFonts w:ascii="宋体" w:hAnsi="宋体" w:cs="宋体"/>
          <w:color w:val="000000" w:themeColor="text1"/>
          <w:sz w:val="21"/>
          <w:szCs w:val="2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七、磋商人提供营业执照副本、项目经理的注册建造师资质证书、项目经理的安全生产考核合格证书安B证的原件扫描件（必须提供）；</w:t>
      </w: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八、磋商人提供企业资质证书副本的原件扫描件（必须提供）；</w:t>
      </w: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九、磋商人提供安全生产许可证的原件扫描件（必须提供）；</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十、磋商人提供《钦州市政府采购项目投标资格承诺函》</w:t>
      </w:r>
    </w:p>
    <w:p>
      <w:pPr>
        <w:spacing w:line="500" w:lineRule="exact"/>
        <w:ind w:firstLine="422" w:firstLineChars="200"/>
        <w:rPr>
          <w:rFonts w:ascii="宋体" w:hAnsi="宋体" w:cs="宋体"/>
          <w:b/>
          <w:bCs/>
          <w:color w:val="000000" w:themeColor="text1"/>
          <w14:textFill>
            <w14:solidFill>
              <w14:schemeClr w14:val="tx1"/>
            </w14:solidFill>
          </w14:textFill>
        </w:rPr>
      </w:pPr>
    </w:p>
    <w:p>
      <w:pPr>
        <w:snapToGrid w:val="0"/>
        <w:spacing w:before="50" w:after="156" w:afterLines="50" w:line="44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钦州市政府采购项目投标资格承诺函</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本公司郑重承诺，根据《中华人民共和国政府采购法》第二十二条的规定，本公司为参加政府采购活动的合格供应商。即本公司同时满足以下条件：</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1、具有独立承担民事责任的能力。</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2、具有良好的商业信誉和健全的财务会计制度。</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3、具有履行合同所必需的设备和专业技术能力。</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4、有依法缴纳税收和社会保障资金的良好记录。</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5、提交投标文件截止日期前三年内，在经营活动中没有重大违法记录。</w:t>
      </w:r>
    </w:p>
    <w:p>
      <w:pPr>
        <w:pStyle w:val="23"/>
        <w:spacing w:before="54" w:line="440" w:lineRule="exact"/>
        <w:ind w:left="115" w:right="11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6、本公司对上述承诺的真实性负责，并接受政府采购、税务、社会保障等监督管理部门、采购文件规定的资格审查机构、社会公众的监督和检查。如有虚假，将依法承担相应责任。</w:t>
      </w: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firstLine="420" w:firstLineChars="200"/>
        <w:rPr>
          <w:rFonts w:hAnsi="宋体" w:cs="宋体"/>
          <w:color w:val="000000" w:themeColor="text1"/>
          <w:szCs w:val="21"/>
          <w14:textFill>
            <w14:solidFill>
              <w14:schemeClr w14:val="tx1"/>
            </w14:solidFill>
          </w14:textFill>
        </w:rPr>
      </w:pPr>
    </w:p>
    <w:p>
      <w:pPr>
        <w:pStyle w:val="23"/>
        <w:spacing w:before="4" w:line="440" w:lineRule="exact"/>
        <w:ind w:firstLine="420" w:firstLineChars="200"/>
        <w:rPr>
          <w:rFonts w:hAnsi="宋体" w:cs="宋体"/>
          <w:color w:val="000000" w:themeColor="text1"/>
          <w:szCs w:val="21"/>
          <w14:textFill>
            <w14:solidFill>
              <w14:schemeClr w14:val="tx1"/>
            </w14:solidFill>
          </w14:textFill>
        </w:rPr>
      </w:pPr>
    </w:p>
    <w:p>
      <w:pPr>
        <w:pStyle w:val="23"/>
        <w:spacing w:line="440" w:lineRule="exact"/>
        <w:ind w:left="2726" w:firstLine="420" w:firstLineChars="200"/>
        <w:jc w:val="center"/>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磋商人（盖章）：</w:t>
      </w:r>
      <w:r>
        <w:rPr>
          <w:rFonts w:hint="eastAsia" w:hAnsi="宋体" w:cs="宋体"/>
          <w:color w:val="000000" w:themeColor="text1"/>
          <w:szCs w:val="21"/>
          <w:u w:val="single"/>
          <w14:textFill>
            <w14:solidFill>
              <w14:schemeClr w14:val="tx1"/>
            </w14:solidFill>
          </w14:textFill>
        </w:rPr>
        <w:t xml:space="preserve">             </w:t>
      </w:r>
    </w:p>
    <w:p>
      <w:pPr>
        <w:pStyle w:val="23"/>
        <w:spacing w:line="440" w:lineRule="exact"/>
        <w:ind w:left="2726" w:firstLine="420" w:firstLineChars="200"/>
        <w:jc w:val="center"/>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法定代表人或其委托代理人（签字或签章）：</w:t>
      </w:r>
      <w:r>
        <w:rPr>
          <w:rFonts w:hint="eastAsia" w:hAnsi="宋体" w:cs="宋体"/>
          <w:color w:val="000000" w:themeColor="text1"/>
          <w:szCs w:val="21"/>
          <w:u w:val="single"/>
          <w14:textFill>
            <w14:solidFill>
              <w14:schemeClr w14:val="tx1"/>
            </w14:solidFill>
          </w14:textFill>
        </w:rPr>
        <w:t xml:space="preserve">             </w:t>
      </w:r>
    </w:p>
    <w:p>
      <w:pPr>
        <w:pStyle w:val="23"/>
        <w:tabs>
          <w:tab w:val="left" w:pos="6569"/>
          <w:tab w:val="left" w:pos="7207"/>
          <w:tab w:val="left" w:pos="7848"/>
        </w:tabs>
        <w:spacing w:before="166" w:line="440" w:lineRule="exact"/>
        <w:ind w:left="4968"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日期：</w:t>
      </w:r>
      <w:r>
        <w:rPr>
          <w:rFonts w:hint="eastAsia" w:hAnsi="宋体" w:cs="宋体"/>
          <w:color w:val="000000" w:themeColor="text1"/>
          <w:szCs w:val="21"/>
          <w14:textFill>
            <w14:solidFill>
              <w14:schemeClr w14:val="tx1"/>
            </w14:solidFill>
          </w14:textFill>
        </w:rPr>
        <w:tab/>
      </w:r>
      <w:r>
        <w:rPr>
          <w:rFonts w:hint="eastAsia" w:hAnsi="宋体" w:cs="宋体"/>
          <w:color w:val="000000" w:themeColor="text1"/>
          <w:szCs w:val="21"/>
          <w14:textFill>
            <w14:solidFill>
              <w14:schemeClr w14:val="tx1"/>
            </w14:solidFill>
          </w14:textFill>
        </w:rPr>
        <w:t>年</w:t>
      </w:r>
      <w:r>
        <w:rPr>
          <w:rFonts w:hint="eastAsia" w:hAnsi="宋体" w:cs="宋体"/>
          <w:color w:val="000000" w:themeColor="text1"/>
          <w:szCs w:val="21"/>
          <w14:textFill>
            <w14:solidFill>
              <w14:schemeClr w14:val="tx1"/>
            </w14:solidFill>
          </w14:textFill>
        </w:rPr>
        <w:tab/>
      </w:r>
      <w:r>
        <w:rPr>
          <w:rFonts w:hint="eastAsia" w:hAnsi="宋体" w:cs="宋体"/>
          <w:color w:val="000000" w:themeColor="text1"/>
          <w:szCs w:val="21"/>
          <w14:textFill>
            <w14:solidFill>
              <w14:schemeClr w14:val="tx1"/>
            </w14:solidFill>
          </w14:textFill>
        </w:rPr>
        <w:t>月</w:t>
      </w:r>
      <w:r>
        <w:rPr>
          <w:rFonts w:hint="eastAsia" w:hAnsi="宋体" w:cs="宋体"/>
          <w:color w:val="000000" w:themeColor="text1"/>
          <w:szCs w:val="21"/>
          <w14:textFill>
            <w14:solidFill>
              <w14:schemeClr w14:val="tx1"/>
            </w14:solidFill>
          </w14:textFill>
        </w:rPr>
        <w:tab/>
      </w:r>
      <w:r>
        <w:rPr>
          <w:rFonts w:hint="eastAsia" w:hAnsi="宋体" w:cs="宋体"/>
          <w:color w:val="000000" w:themeColor="text1"/>
          <w:szCs w:val="21"/>
          <w14:textFill>
            <w14:solidFill>
              <w14:schemeClr w14:val="tx1"/>
            </w14:solidFill>
          </w14:textFill>
        </w:rPr>
        <w:t>日</w:t>
      </w:r>
    </w:p>
    <w:p>
      <w:pPr>
        <w:spacing w:line="500" w:lineRule="exact"/>
        <w:ind w:firstLine="422" w:firstLineChars="200"/>
        <w:rPr>
          <w:rFonts w:ascii="宋体" w:hAnsi="宋体" w:cs="宋体"/>
          <w:b/>
          <w:bCs/>
          <w:color w:val="000000" w:themeColor="text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pStyle w:val="41"/>
        <w:ind w:firstLine="210"/>
        <w:rPr>
          <w:rFonts w:ascii="宋体" w:hAnsi="宋体" w:cs="宋体"/>
          <w:color w:val="000000" w:themeColor="text1"/>
          <w:sz w:val="21"/>
          <w:szCs w:val="21"/>
          <w14:textFill>
            <w14:solidFill>
              <w14:schemeClr w14:val="tx1"/>
            </w14:solidFill>
          </w14:textFill>
        </w:rPr>
      </w:pPr>
    </w:p>
    <w:p>
      <w:pPr>
        <w:keepNext/>
        <w:keepLines/>
        <w:spacing w:line="360" w:lineRule="auto"/>
        <w:jc w:val="center"/>
        <w:outlineLvl w:val="3"/>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十一、磋商人参加采购活动前3年内在经营活动中没有重大违法记录的书面声明格式</w:t>
      </w:r>
    </w:p>
    <w:p>
      <w:pPr>
        <w:spacing w:line="500" w:lineRule="exact"/>
        <w:jc w:val="left"/>
        <w:outlineLvl w:val="2"/>
        <w:rPr>
          <w:rFonts w:ascii="宋体" w:hAnsi="宋体" w:cs="宋体"/>
          <w:color w:val="000000" w:themeColor="text1"/>
          <w14:textFill>
            <w14:solidFill>
              <w14:schemeClr w14:val="tx1"/>
            </w14:solidFill>
          </w14:textFill>
        </w:rPr>
      </w:pPr>
    </w:p>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参加政府采购活动前三年内在经营活动中没有重大违法记录的书面声明</w:t>
      </w:r>
    </w:p>
    <w:p>
      <w:pPr>
        <w:jc w:val="center"/>
        <w:rPr>
          <w:rFonts w:ascii="宋体" w:hAnsi="宋体" w:cs="宋体"/>
          <w:color w:val="000000" w:themeColor="text1"/>
          <w14:textFill>
            <w14:solidFill>
              <w14:schemeClr w14:val="tx1"/>
            </w14:solidFill>
          </w14:textFill>
        </w:rPr>
      </w:pPr>
    </w:p>
    <w:p>
      <w:pPr>
        <w:spacing w:line="48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钦州市钦北区水利局</w:t>
      </w:r>
      <w:r>
        <w:rPr>
          <w:rFonts w:hint="eastAsia" w:ascii="宋体" w:hAnsi="宋体" w:cs="宋体"/>
          <w:color w:val="000000" w:themeColor="text1"/>
          <w14:textFill>
            <w14:solidFill>
              <w14:schemeClr w14:val="tx1"/>
            </w14:solidFill>
          </w14:textFill>
        </w:rPr>
        <w:t>（采购人名称）：</w:t>
      </w:r>
    </w:p>
    <w:p>
      <w:pPr>
        <w:tabs>
          <w:tab w:val="left" w:pos="7200"/>
        </w:tabs>
        <w:spacing w:line="42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我方愿意参加贵方组织的</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）项目的投标，为便于贵方公正、择优地确定成交人及其投标服务成果和服务，我方就本次投标有关事项郑重声明如下：</w:t>
      </w:r>
    </w:p>
    <w:p>
      <w:pPr>
        <w:snapToGrid w:val="0"/>
        <w:spacing w:before="156" w:beforeLines="50" w:after="50"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我单位郑重声明，在参加采购活动前3年内在经营活动中没有重大违法记录（重大违法记录是指供应商因违法经营受到刑事处罚或者责令停产停业、吊销许可证或者执照、较大数额罚款等行政处罚）。</w:t>
      </w:r>
    </w:p>
    <w:p>
      <w:pPr>
        <w:snapToGrid w:val="0"/>
        <w:spacing w:before="156" w:beforeLines="50" w:after="50"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2.经查询，在规定的查询时间内，“信用中国”和“中国政府采购网”网站我方未被列入失信被执行人、重大税收违法案件当事人名单、政府采购严重违法失信行为记录名单。</w:t>
      </w:r>
    </w:p>
    <w:p>
      <w:pPr>
        <w:snapToGrid w:val="0"/>
        <w:spacing w:before="156" w:beforeLines="50" w:after="50"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以上事项如有虚假或隐瞒，我方愿意承担一切后果，并不再寻求任何旨在减轻或免除法律责任的辩解。</w:t>
      </w:r>
    </w:p>
    <w:p>
      <w:pPr>
        <w:spacing w:line="360" w:lineRule="auto"/>
        <w:ind w:right="480" w:firstLine="3570" w:firstLineChars="1700"/>
        <w:rPr>
          <w:rFonts w:ascii="宋体" w:hAnsi="宋体" w:cs="宋体"/>
          <w:color w:val="000000" w:themeColor="text1"/>
          <w14:textFill>
            <w14:solidFill>
              <w14:schemeClr w14:val="tx1"/>
            </w14:solidFill>
          </w14:textFill>
        </w:rPr>
      </w:pPr>
    </w:p>
    <w:p>
      <w:pPr>
        <w:spacing w:line="300" w:lineRule="auto"/>
        <w:rPr>
          <w:rFonts w:ascii="宋体" w:hAnsi="宋体" w:cs="宋体"/>
          <w:color w:val="000000" w:themeColor="text1"/>
          <w14:textFill>
            <w14:solidFill>
              <w14:schemeClr w14:val="tx1"/>
            </w14:solidFill>
          </w14:textFill>
        </w:rPr>
      </w:pPr>
    </w:p>
    <w:p>
      <w:pPr>
        <w:spacing w:line="50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法定代表人或委托代理人（签字或签章）:</w:t>
      </w:r>
      <w:r>
        <w:rPr>
          <w:rFonts w:hint="eastAsia" w:ascii="宋体" w:hAnsi="宋体" w:cs="宋体"/>
          <w:color w:val="000000" w:themeColor="text1"/>
          <w:u w:val="single"/>
          <w14:textFill>
            <w14:solidFill>
              <w14:schemeClr w14:val="tx1"/>
            </w14:solidFill>
          </w14:textFill>
        </w:rPr>
        <w:t xml:space="preserve">          </w:t>
      </w:r>
    </w:p>
    <w:p>
      <w:pPr>
        <w:spacing w:line="50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磋商人（盖章）：</w:t>
      </w:r>
      <w:r>
        <w:rPr>
          <w:rFonts w:hint="eastAsia" w:ascii="宋体" w:hAnsi="宋体" w:cs="宋体"/>
          <w:color w:val="000000" w:themeColor="text1"/>
          <w:u w:val="single"/>
          <w14:textFill>
            <w14:solidFill>
              <w14:schemeClr w14:val="tx1"/>
            </w14:solidFill>
          </w14:textFill>
        </w:rPr>
        <w:t xml:space="preserve">          </w:t>
      </w:r>
    </w:p>
    <w:p>
      <w:p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spacing w:line="500" w:lineRule="exact"/>
        <w:rPr>
          <w:rFonts w:ascii="宋体" w:hAnsi="宋体" w:cs="宋体"/>
          <w:color w:val="000000" w:themeColor="text1"/>
          <w14:textFill>
            <w14:solidFill>
              <w14:schemeClr w14:val="tx1"/>
            </w14:solidFill>
          </w14:textFill>
        </w:rPr>
      </w:pPr>
    </w:p>
    <w:p>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十二、磋商人符合中小企业划型标准的，按照《政府采购促进中小企业发展暂行办法》（财库[2020]46号）要求，提供中小企业声明函。监狱企业参加政府采购活动时，应当提供由省级以上监狱管理局、戒毒管理局（含新疆生产建设兵团）出具的属于监狱企业的证明文件。(如有请提供)</w:t>
      </w:r>
    </w:p>
    <w:p>
      <w:pPr>
        <w:rPr>
          <w:rFonts w:ascii="宋体" w:hAnsi="宋体" w:cs="宋体"/>
          <w:color w:val="000000" w:themeColor="text1"/>
          <w14:textFill>
            <w14:solidFill>
              <w14:schemeClr w14:val="tx1"/>
            </w14:solidFill>
          </w14:textFill>
        </w:rPr>
      </w:pPr>
    </w:p>
    <w:p>
      <w:pPr>
        <w:spacing w:line="588" w:lineRule="exact"/>
        <w:jc w:val="center"/>
        <w:rPr>
          <w:rFonts w:ascii="宋体" w:hAnsi="宋体" w:cs="宋体"/>
          <w:b/>
          <w:color w:val="000000" w:themeColor="text1"/>
          <w:spacing w:val="6"/>
          <w14:textFill>
            <w14:solidFill>
              <w14:schemeClr w14:val="tx1"/>
            </w14:solidFill>
          </w14:textFill>
        </w:rPr>
      </w:pPr>
      <w:r>
        <w:rPr>
          <w:rFonts w:hint="eastAsia" w:ascii="宋体" w:hAnsi="宋体" w:cs="宋体"/>
          <w:b/>
          <w:color w:val="000000" w:themeColor="text1"/>
          <w:spacing w:val="6"/>
          <w14:textFill>
            <w14:solidFill>
              <w14:schemeClr w14:val="tx1"/>
            </w14:solidFill>
          </w14:textFill>
        </w:rPr>
        <w:t>中小企业声明函</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本公司</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（联合体）</w:t>
      </w:r>
      <w:r>
        <w:rPr>
          <w:rFonts w:hint="eastAsia" w:ascii="宋体" w:hAnsi="宋体" w:cs="宋体"/>
          <w:color w:val="000000" w:themeColor="text1"/>
          <w:spacing w:val="6"/>
          <w:u w:val="single"/>
          <w14:textFill>
            <w14:solidFill>
              <w14:schemeClr w14:val="tx1"/>
            </w14:solidFill>
          </w14:textFill>
        </w:rPr>
        <w:t>郑</w:t>
      </w:r>
      <w:r>
        <w:rPr>
          <w:rFonts w:hint="eastAsia" w:ascii="宋体" w:hAnsi="宋体" w:cs="宋体"/>
          <w:color w:val="000000" w:themeColor="text1"/>
          <w:spacing w:val="6"/>
          <w14:textFill>
            <w14:solidFill>
              <w14:schemeClr w14:val="tx1"/>
            </w14:solidFill>
          </w14:textFill>
        </w:rPr>
        <w:t>重声明，根据《政府采购促进中小企业发展管理办法》（财库﹝2020﹞46 号）的规定，本公司</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（联合体）参加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（单位名称）的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1.</w:t>
      </w:r>
      <w:r>
        <w:rPr>
          <w:rFonts w:hint="eastAsia" w:ascii="宋体" w:hAnsi="宋体" w:cs="宋体"/>
          <w:color w:val="000000" w:themeColor="text1"/>
          <w:spacing w:val="6"/>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u w:val="single"/>
          <w14:textFill>
            <w14:solidFill>
              <w14:schemeClr w14:val="tx1"/>
            </w14:solidFill>
          </w14:textFill>
        </w:rPr>
        <w:t>（标的名称），</w:t>
      </w:r>
      <w:r>
        <w:rPr>
          <w:rFonts w:hint="eastAsia" w:ascii="宋体" w:hAnsi="宋体" w:cs="宋体"/>
          <w:color w:val="000000" w:themeColor="text1"/>
          <w:spacing w:val="6"/>
          <w14:textFill>
            <w14:solidFill>
              <w14:schemeClr w14:val="tx1"/>
            </w14:solidFill>
          </w14:textFill>
        </w:rPr>
        <w:t>属于</w:t>
      </w:r>
      <w:r>
        <w:rPr>
          <w:rFonts w:hint="eastAsia" w:ascii="宋体" w:hAnsi="宋体" w:cs="宋体"/>
          <w:color w:val="000000" w:themeColor="text1"/>
          <w:spacing w:val="6"/>
          <w:u w:val="single"/>
          <w14:textFill>
            <w14:solidFill>
              <w14:schemeClr w14:val="tx1"/>
            </w14:solidFill>
          </w14:textFill>
        </w:rPr>
        <w:t>水利管理业</w:t>
      </w:r>
      <w:r>
        <w:rPr>
          <w:rFonts w:hint="eastAsia" w:ascii="宋体" w:hAnsi="宋体" w:cs="宋体"/>
          <w:color w:val="000000" w:themeColor="text1"/>
          <w:spacing w:val="6"/>
          <w14:textFill>
            <w14:solidFill>
              <w14:schemeClr w14:val="tx1"/>
            </w14:solidFill>
          </w14:textFill>
        </w:rPr>
        <w:t>；承建（承接）企业为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（企业名称），从业人员</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 xml:space="preserve">   人</w:t>
      </w:r>
      <w:r>
        <w:rPr>
          <w:rFonts w:hint="eastAsia" w:ascii="宋体" w:hAnsi="宋体" w:cs="宋体"/>
          <w:color w:val="000000" w:themeColor="text1"/>
          <w:spacing w:val="6"/>
          <w14:textFill>
            <w14:solidFill>
              <w14:schemeClr w14:val="tx1"/>
            </w14:solidFill>
          </w14:textFill>
        </w:rPr>
        <w:t>，营业收入为</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 xml:space="preserve">   万元</w:t>
      </w:r>
      <w:r>
        <w:rPr>
          <w:rFonts w:hint="eastAsia" w:ascii="宋体" w:hAnsi="宋体" w:cs="宋体"/>
          <w:color w:val="000000" w:themeColor="text1"/>
          <w:spacing w:val="6"/>
          <w14:textFill>
            <w14:solidFill>
              <w14:schemeClr w14:val="tx1"/>
            </w14:solidFill>
          </w14:textFill>
        </w:rPr>
        <w:t>，资产总额为</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 xml:space="preserve"> 万元</w:t>
      </w:r>
      <w:r>
        <w:rPr>
          <w:rFonts w:hint="eastAsia" w:ascii="宋体" w:hAnsi="宋体" w:cs="宋体"/>
          <w:color w:val="000000" w:themeColor="text1"/>
          <w:spacing w:val="6"/>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u w:val="single"/>
          <w14:textFill>
            <w14:solidFill>
              <w14:schemeClr w14:val="tx1"/>
            </w14:solidFill>
          </w14:textFill>
        </w:rPr>
        <w:t>（中型企业/小型企业/微型企业）</w:t>
      </w:r>
      <w:r>
        <w:rPr>
          <w:rFonts w:hint="eastAsia" w:ascii="宋体" w:hAnsi="宋体" w:cs="宋体"/>
          <w:color w:val="000000" w:themeColor="text1"/>
          <w:spacing w:val="6"/>
          <w14:textFill>
            <w14:solidFill>
              <w14:schemeClr w14:val="tx1"/>
            </w14:solidFill>
          </w14:textFill>
        </w:rPr>
        <w:t>；</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2.</w:t>
      </w:r>
      <w:r>
        <w:rPr>
          <w:rFonts w:hint="eastAsia" w:ascii="宋体" w:hAnsi="宋体" w:cs="宋体"/>
          <w:color w:val="000000" w:themeColor="text1"/>
          <w:spacing w:val="6"/>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u w:val="single"/>
          <w14:textFill>
            <w14:solidFill>
              <w14:schemeClr w14:val="tx1"/>
            </w14:solidFill>
          </w14:textFill>
        </w:rPr>
        <w:t>（标的名称）</w:t>
      </w:r>
      <w:r>
        <w:rPr>
          <w:rFonts w:hint="eastAsia" w:ascii="宋体" w:hAnsi="宋体" w:cs="宋体"/>
          <w:color w:val="000000" w:themeColor="text1"/>
          <w:spacing w:val="6"/>
          <w14:textFill>
            <w14:solidFill>
              <w14:schemeClr w14:val="tx1"/>
            </w14:solidFill>
          </w14:textFill>
        </w:rPr>
        <w:t>，属于</w:t>
      </w:r>
      <w:r>
        <w:rPr>
          <w:rFonts w:hint="eastAsia" w:ascii="宋体" w:hAnsi="宋体" w:cs="宋体"/>
          <w:color w:val="000000" w:themeColor="text1"/>
          <w:spacing w:val="6"/>
          <w:u w:val="single"/>
          <w14:textFill>
            <w14:solidFill>
              <w14:schemeClr w14:val="tx1"/>
            </w14:solidFill>
          </w14:textFill>
        </w:rPr>
        <w:t>水利管理业</w:t>
      </w:r>
      <w:r>
        <w:rPr>
          <w:rFonts w:hint="eastAsia" w:ascii="宋体" w:hAnsi="宋体" w:cs="宋体"/>
          <w:color w:val="000000" w:themeColor="text1"/>
          <w:spacing w:val="6"/>
          <w14:textFill>
            <w14:solidFill>
              <w14:schemeClr w14:val="tx1"/>
            </w14:solidFill>
          </w14:textFill>
        </w:rPr>
        <w:t>；承建（承接）企业为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（企业名称），从业人员</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 xml:space="preserve">  人</w:t>
      </w:r>
      <w:r>
        <w:rPr>
          <w:rFonts w:hint="eastAsia" w:ascii="宋体" w:hAnsi="宋体" w:cs="宋体"/>
          <w:color w:val="000000" w:themeColor="text1"/>
          <w:spacing w:val="6"/>
          <w14:textFill>
            <w14:solidFill>
              <w14:schemeClr w14:val="tx1"/>
            </w14:solidFill>
          </w14:textFill>
        </w:rPr>
        <w:t>，营业收入为</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万元</w:t>
      </w:r>
      <w:r>
        <w:rPr>
          <w:rFonts w:hint="eastAsia" w:ascii="宋体" w:hAnsi="宋体" w:cs="宋体"/>
          <w:color w:val="000000" w:themeColor="text1"/>
          <w:spacing w:val="6"/>
          <w14:textFill>
            <w14:solidFill>
              <w14:schemeClr w14:val="tx1"/>
            </w14:solidFill>
          </w14:textFill>
        </w:rPr>
        <w:t>，资产总额为</w:t>
      </w:r>
      <w:r>
        <w:rPr>
          <w:rFonts w:hint="eastAsia" w:ascii="宋体" w:hAnsi="宋体" w:cs="宋体"/>
          <w:color w:val="000000" w:themeColor="text1"/>
          <w:spacing w:val="6"/>
          <w:u w:val="single"/>
          <w14:textFill>
            <w14:solidFill>
              <w14:schemeClr w14:val="tx1"/>
            </w14:solidFill>
          </w14:textFill>
        </w:rPr>
        <w:tab/>
      </w:r>
      <w:r>
        <w:rPr>
          <w:rFonts w:hint="eastAsia" w:ascii="宋体" w:hAnsi="宋体" w:cs="宋体"/>
          <w:color w:val="000000" w:themeColor="text1"/>
          <w:spacing w:val="6"/>
          <w:u w:val="single"/>
          <w14:textFill>
            <w14:solidFill>
              <w14:schemeClr w14:val="tx1"/>
            </w14:solidFill>
          </w14:textFill>
        </w:rPr>
        <w:t>万</w:t>
      </w:r>
      <w:r>
        <w:rPr>
          <w:rFonts w:hint="eastAsia" w:ascii="宋体" w:hAnsi="宋体" w:cs="宋体"/>
          <w:color w:val="000000" w:themeColor="text1"/>
          <w:spacing w:val="6"/>
          <w14:textFill>
            <w14:solidFill>
              <w14:schemeClr w14:val="tx1"/>
            </w14:solidFill>
          </w14:textFill>
        </w:rPr>
        <w:t>元，属于</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pacing w:val="6"/>
          <w:u w:val="single"/>
          <w14:textFill>
            <w14:solidFill>
              <w14:schemeClr w14:val="tx1"/>
            </w14:solidFill>
          </w14:textFill>
        </w:rPr>
        <w:t>（中型企业/小型企业/微型企业）</w:t>
      </w:r>
      <w:r>
        <w:rPr>
          <w:rFonts w:hint="eastAsia" w:ascii="宋体" w:hAnsi="宋体" w:cs="宋体"/>
          <w:color w:val="000000" w:themeColor="text1"/>
          <w:spacing w:val="6"/>
          <w14:textFill>
            <w14:solidFill>
              <w14:schemeClr w14:val="tx1"/>
            </w14:solidFill>
          </w14:textFill>
        </w:rPr>
        <w:t>；</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本企业对上述声明内容的真实性负责。如有虚假，将依法承担相应责任。</w:t>
      </w:r>
    </w:p>
    <w:p>
      <w:pPr>
        <w:spacing w:line="540" w:lineRule="exact"/>
        <w:ind w:firstLine="444" w:firstLineChars="200"/>
        <w:jc w:val="left"/>
        <w:rPr>
          <w:rFonts w:ascii="宋体" w:hAnsi="宋体" w:cs="宋体"/>
          <w:color w:val="000000" w:themeColor="text1"/>
          <w:spacing w:val="6"/>
          <w14:textFill>
            <w14:solidFill>
              <w14:schemeClr w14:val="tx1"/>
            </w14:solidFill>
          </w14:textFill>
        </w:rPr>
      </w:pPr>
    </w:p>
    <w:p>
      <w:pPr>
        <w:spacing w:line="540" w:lineRule="exact"/>
        <w:ind w:firstLine="420" w:firstLineChars="200"/>
        <w:jc w:val="left"/>
        <w:rPr>
          <w:rFonts w:ascii="宋体" w:hAnsi="宋体" w:cs="宋体"/>
          <w:color w:val="000000" w:themeColor="text1"/>
          <w:spacing w:val="6"/>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磋商人</w:t>
      </w:r>
      <w:r>
        <w:rPr>
          <w:rFonts w:hint="eastAsia" w:ascii="宋体" w:hAnsi="宋体" w:cs="宋体"/>
          <w:color w:val="000000" w:themeColor="text1"/>
          <w:spacing w:val="6"/>
          <w14:textFill>
            <w14:solidFill>
              <w14:schemeClr w14:val="tx1"/>
            </w14:solidFill>
          </w14:textFill>
        </w:rPr>
        <w:t>（盖章）：</w:t>
      </w:r>
    </w:p>
    <w:p>
      <w:pPr>
        <w:snapToGrid w:val="0"/>
        <w:spacing w:before="156" w:beforeLines="50" w:line="500" w:lineRule="exact"/>
        <w:ind w:left="1467" w:leftChars="650" w:hanging="102" w:hangingChars="46"/>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日期：</w:t>
      </w:r>
    </w:p>
    <w:p>
      <w:pPr>
        <w:pStyle w:val="41"/>
        <w:ind w:firstLine="0" w:firstLineChars="0"/>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三、投标服务提供单位根据《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w:t>
      </w: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0"/>
        <w:jc w:val="both"/>
        <w:rPr>
          <w:rFonts w:ascii="宋体" w:hAnsi="宋体" w:cs="宋体"/>
          <w:color w:val="000000" w:themeColor="text1"/>
          <w:sz w:val="21"/>
          <w:szCs w:val="21"/>
          <w14:textFill>
            <w14:solidFill>
              <w14:schemeClr w14:val="tx1"/>
            </w14:solidFill>
          </w14:textFill>
        </w:rPr>
      </w:pPr>
    </w:p>
    <w:p>
      <w:pPr>
        <w:spacing w:line="588" w:lineRule="exact"/>
        <w:jc w:val="center"/>
        <w:rPr>
          <w:rFonts w:ascii="宋体" w:hAnsi="宋体" w:cs="宋体"/>
          <w:b/>
          <w:color w:val="000000" w:themeColor="text1"/>
          <w:spacing w:val="6"/>
          <w14:textFill>
            <w14:solidFill>
              <w14:schemeClr w14:val="tx1"/>
            </w14:solidFill>
          </w14:textFill>
        </w:rPr>
      </w:pPr>
      <w:r>
        <w:rPr>
          <w:rFonts w:hint="eastAsia" w:ascii="宋体" w:hAnsi="宋体" w:cs="宋体"/>
          <w:b/>
          <w:color w:val="000000" w:themeColor="text1"/>
          <w:spacing w:val="6"/>
          <w14:textFill>
            <w14:solidFill>
              <w14:schemeClr w14:val="tx1"/>
            </w14:solidFill>
          </w14:textFill>
        </w:rPr>
        <w:t>残疾人福利性单位声明函</w:t>
      </w:r>
    </w:p>
    <w:p>
      <w:pPr>
        <w:spacing w:line="588" w:lineRule="exact"/>
        <w:rPr>
          <w:rFonts w:ascii="宋体" w:hAnsi="宋体" w:cs="宋体"/>
          <w:b/>
          <w:color w:val="000000" w:themeColor="text1"/>
          <w:spacing w:val="6"/>
          <w14:textFill>
            <w14:solidFill>
              <w14:schemeClr w14:val="tx1"/>
            </w14:solidFill>
          </w14:textFill>
        </w:rPr>
      </w:pPr>
    </w:p>
    <w:p>
      <w:pPr>
        <w:spacing w:line="588" w:lineRule="exact"/>
        <w:ind w:firstLine="444" w:firstLineChars="20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14:textFill>
            <w14:solidFill>
              <w14:schemeClr w14:val="tx1"/>
            </w14:solidFill>
          </w14:textFill>
        </w:rPr>
        <w:t>〔2017〕 141</w:t>
      </w:r>
      <w:r>
        <w:rPr>
          <w:rFonts w:hint="eastAsia" w:ascii="宋体" w:hAnsi="宋体" w:cs="宋体"/>
          <w:color w:val="000000" w:themeColor="text1"/>
          <w:spacing w:val="6"/>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本单位对上述声明的真实性负责。如有虚假，将依法承担相应责任。</w:t>
      </w:r>
    </w:p>
    <w:p>
      <w:pPr>
        <w:spacing w:line="588" w:lineRule="exact"/>
        <w:ind w:firstLine="444" w:firstLineChars="200"/>
        <w:rPr>
          <w:rFonts w:ascii="宋体" w:hAnsi="宋体" w:cs="宋体"/>
          <w:color w:val="000000" w:themeColor="text1"/>
          <w:spacing w:val="6"/>
          <w14:textFill>
            <w14:solidFill>
              <w14:schemeClr w14:val="tx1"/>
            </w14:solidFill>
          </w14:textFill>
        </w:rPr>
      </w:pPr>
    </w:p>
    <w:p>
      <w:pPr>
        <w:spacing w:line="588" w:lineRule="exact"/>
        <w:ind w:firstLine="444" w:firstLineChars="200"/>
        <w:rPr>
          <w:rFonts w:ascii="宋体" w:hAnsi="宋体" w:cs="宋体"/>
          <w:color w:val="000000" w:themeColor="text1"/>
          <w:spacing w:val="6"/>
          <w14:textFill>
            <w14:solidFill>
              <w14:schemeClr w14:val="tx1"/>
            </w14:solidFill>
          </w14:textFill>
        </w:rPr>
      </w:pPr>
    </w:p>
    <w:p>
      <w:pPr>
        <w:tabs>
          <w:tab w:val="left" w:pos="4860"/>
        </w:tabs>
        <w:spacing w:line="588" w:lineRule="exact"/>
        <w:ind w:right="930" w:firstLine="420" w:firstLineChars="200"/>
        <w:jc w:val="center"/>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14:textFill>
            <w14:solidFill>
              <w14:schemeClr w14:val="tx1"/>
            </w14:solidFill>
          </w14:textFill>
        </w:rPr>
        <w:t>磋商人</w:t>
      </w:r>
      <w:r>
        <w:rPr>
          <w:rFonts w:hint="eastAsia" w:ascii="宋体" w:hAnsi="宋体" w:cs="宋体"/>
          <w:color w:val="000000" w:themeColor="text1"/>
          <w:spacing w:val="6"/>
          <w14:textFill>
            <w14:solidFill>
              <w14:schemeClr w14:val="tx1"/>
            </w14:solidFill>
          </w14:textFill>
        </w:rPr>
        <w:t>（盖章）：</w:t>
      </w:r>
      <w:r>
        <w:rPr>
          <w:rFonts w:hint="eastAsia" w:ascii="宋体" w:hAnsi="宋体" w:cs="宋体"/>
          <w:color w:val="000000" w:themeColor="text1"/>
          <w:u w:val="single"/>
          <w14:textFill>
            <w14:solidFill>
              <w14:schemeClr w14:val="tx1"/>
            </w14:solidFill>
          </w14:textFill>
        </w:rPr>
        <w:t xml:space="preserve">          </w:t>
      </w:r>
    </w:p>
    <w:p>
      <w:pPr>
        <w:autoSpaceDE w:val="0"/>
        <w:autoSpaceDN w:val="0"/>
        <w:spacing w:line="300" w:lineRule="auto"/>
        <w:ind w:left="480" w:right="504" w:hanging="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p>
    <w:p>
      <w:pPr>
        <w:spacing w:line="588"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注：如磋商人为残疾人福利性单位，可提供声明函作为评分项加分依据。但除了提供本声明函外，还须提供工商办理残疾人福利性单位相关证明材料（如残疾人证件等被认定为残疾人福利性单位的相关证明材料）</w:t>
      </w:r>
    </w:p>
    <w:p>
      <w:pPr>
        <w:pStyle w:val="41"/>
        <w:ind w:firstLine="0" w:firstLineChars="0"/>
        <w:rPr>
          <w:rFonts w:ascii="宋体" w:hAnsi="宋体" w:cs="宋体"/>
          <w:color w:val="000000" w:themeColor="text1"/>
          <w:sz w:val="21"/>
          <w:szCs w:val="21"/>
          <w14:textFill>
            <w14:solidFill>
              <w14:schemeClr w14:val="tx1"/>
            </w14:solidFill>
          </w14:textFill>
        </w:rPr>
      </w:pPr>
    </w:p>
    <w:p>
      <w:pPr>
        <w:pStyle w:val="41"/>
        <w:ind w:firstLine="0" w:firstLineChars="0"/>
        <w:rPr>
          <w:rFonts w:ascii="宋体" w:hAnsi="宋体" w:cs="宋体"/>
          <w:color w:val="000000" w:themeColor="text1"/>
          <w:sz w:val="21"/>
          <w:szCs w:val="21"/>
          <w14:textFill>
            <w14:solidFill>
              <w14:schemeClr w14:val="tx1"/>
            </w14:solidFill>
          </w14:textFill>
        </w:rPr>
      </w:pPr>
    </w:p>
    <w:p>
      <w:pPr>
        <w:pStyle w:val="13"/>
        <w:ind w:firstLine="0"/>
        <w:jc w:val="both"/>
        <w:rPr>
          <w:rFonts w:ascii="宋体" w:hAnsi="宋体" w:cs="宋体"/>
          <w:color w:val="000000" w:themeColor="text1"/>
          <w:sz w:val="21"/>
          <w:szCs w:val="2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十四、磋商人其他资料(磋商人认为需要提供或竞争性磋商采购文件需要提供的其他资料，如信誉业绩等材料的原件扫描件）。</w:t>
      </w: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0"/>
        <w:jc w:val="both"/>
        <w:rPr>
          <w:rFonts w:ascii="宋体" w:hAnsi="宋体" w:cs="宋体"/>
          <w:color w:val="000000" w:themeColor="text1"/>
          <w:sz w:val="21"/>
          <w:szCs w:val="2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0"/>
        <w:jc w:val="both"/>
        <w:rPr>
          <w:rFonts w:ascii="宋体" w:hAnsi="宋体" w:cs="宋体"/>
          <w:color w:val="000000" w:themeColor="text1"/>
          <w:sz w:val="21"/>
          <w:szCs w:val="21"/>
          <w14:textFill>
            <w14:solidFill>
              <w14:schemeClr w14:val="tx1"/>
            </w14:solidFill>
          </w14:textFill>
        </w:rPr>
      </w:pP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3"/>
        <w:ind w:firstLine="350" w:firstLineChars="167"/>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技术标封面</w:t>
      </w:r>
    </w:p>
    <w:p>
      <w:pPr>
        <w:pStyle w:val="13"/>
        <w:ind w:firstLine="350" w:firstLineChars="167"/>
        <w:jc w:val="center"/>
        <w:rPr>
          <w:rFonts w:ascii="宋体" w:hAnsi="宋体" w:cs="宋体"/>
          <w:color w:val="000000" w:themeColor="text1"/>
          <w:sz w:val="21"/>
          <w:szCs w:val="21"/>
          <w14:textFill>
            <w14:solidFill>
              <w14:schemeClr w14:val="tx1"/>
            </w14:solidFill>
          </w14:textFill>
        </w:rPr>
      </w:pPr>
    </w:p>
    <w:p>
      <w:pPr>
        <w:pStyle w:val="183"/>
        <w:jc w:val="center"/>
        <w:rPr>
          <w:rFonts w:ascii="宋体" w:hAnsi="宋体" w:cs="宋体"/>
          <w:color w:val="000000" w:themeColor="text1"/>
          <w:szCs w:val="21"/>
          <w:u w:val="single"/>
          <w14:textFill>
            <w14:solidFill>
              <w14:schemeClr w14:val="tx1"/>
            </w14:solidFill>
          </w14:textFill>
        </w:rPr>
      </w:pPr>
    </w:p>
    <w:p>
      <w:pPr>
        <w:pStyle w:val="183"/>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pPr>
        <w:pStyle w:val="13"/>
        <w:ind w:firstLine="868" w:firstLineChars="310"/>
        <w:rPr>
          <w:rFonts w:ascii="宋体" w:hAnsi="宋体" w:cs="宋体"/>
          <w:color w:val="000000" w:themeColor="text1"/>
          <w:sz w:val="28"/>
          <w:szCs w:val="28"/>
          <w:u w:val="single"/>
          <w14:textFill>
            <w14:solidFill>
              <w14:schemeClr w14:val="tx1"/>
            </w14:solidFill>
          </w14:textFill>
        </w:rPr>
      </w:pPr>
    </w:p>
    <w:p>
      <w:pPr>
        <w:pStyle w:val="13"/>
        <w:ind w:firstLine="868" w:firstLineChars="310"/>
        <w:rPr>
          <w:rFonts w:ascii="宋体" w:hAnsi="宋体" w:cs="宋体"/>
          <w:color w:val="000000" w:themeColor="text1"/>
          <w:sz w:val="28"/>
          <w:szCs w:val="28"/>
          <w:u w:val="single"/>
          <w14:textFill>
            <w14:solidFill>
              <w14:schemeClr w14:val="tx1"/>
            </w14:solidFill>
          </w14:textFill>
        </w:rPr>
      </w:pPr>
    </w:p>
    <w:p>
      <w:pPr>
        <w:pStyle w:val="13"/>
        <w:ind w:firstLine="2376" w:firstLineChars="660"/>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竞争性磋商</w:t>
      </w:r>
      <w:r>
        <w:rPr>
          <w:rFonts w:hint="eastAsia" w:ascii="宋体" w:hAnsi="宋体" w:cs="宋体"/>
          <w:color w:val="000000" w:themeColor="text1"/>
          <w:sz w:val="36"/>
          <w:szCs w:val="36"/>
          <w14:textFill>
            <w14:solidFill>
              <w14:schemeClr w14:val="tx1"/>
            </w14:solidFill>
          </w14:textFill>
        </w:rPr>
        <w:t>响应文件</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color w:val="000000" w:themeColor="text1"/>
          <w:sz w:val="36"/>
          <w:szCs w:val="36"/>
          <w14:textFill>
            <w14:solidFill>
              <w14:schemeClr w14:val="tx1"/>
            </w14:solidFill>
          </w14:textFill>
        </w:rPr>
        <w:t>技术标</w:t>
      </w:r>
    </w:p>
    <w:p>
      <w:pPr>
        <w:pStyle w:val="13"/>
        <w:ind w:firstLine="1116" w:firstLineChars="310"/>
        <w:jc w:val="center"/>
        <w:rPr>
          <w:rFonts w:ascii="宋体" w:hAnsi="宋体" w:cs="宋体"/>
          <w:color w:val="000000" w:themeColor="text1"/>
          <w:sz w:val="36"/>
          <w:szCs w:val="36"/>
          <w14:textFill>
            <w14:solidFill>
              <w14:schemeClr w14:val="tx1"/>
            </w14:solidFill>
          </w14:textFill>
        </w:rPr>
      </w:pPr>
    </w:p>
    <w:p>
      <w:pPr>
        <w:pStyle w:val="13"/>
        <w:ind w:firstLine="1116" w:firstLineChars="310"/>
        <w:jc w:val="center"/>
        <w:rPr>
          <w:rFonts w:ascii="宋体" w:hAnsi="宋体" w:cs="宋体"/>
          <w:color w:val="000000" w:themeColor="text1"/>
          <w:sz w:val="36"/>
          <w:szCs w:val="36"/>
          <w14:textFill>
            <w14:solidFill>
              <w14:schemeClr w14:val="tx1"/>
            </w14:solidFill>
          </w14:textFill>
        </w:rPr>
      </w:pPr>
    </w:p>
    <w:p>
      <w:pPr>
        <w:pStyle w:val="13"/>
        <w:ind w:firstLine="2628" w:firstLineChars="730"/>
        <w:jc w:val="both"/>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rPr>
          <w:rFonts w:ascii="宋体" w:hAnsi="宋体" w:cs="宋体"/>
          <w:b/>
          <w:color w:val="000000" w:themeColor="text1"/>
          <w:sz w:val="28"/>
          <w:szCs w:val="28"/>
          <w14:textFill>
            <w14:solidFill>
              <w14:schemeClr w14:val="tx1"/>
            </w14:solidFill>
          </w14:textFill>
        </w:rPr>
      </w:pPr>
    </w:p>
    <w:p>
      <w:pPr>
        <w:pStyle w:val="13"/>
        <w:ind w:firstLine="2828" w:firstLineChars="1010"/>
        <w:jc w:val="both"/>
        <w:rPr>
          <w:rFonts w:ascii="宋体" w:hAnsi="宋体" w:cs="宋体"/>
          <w:color w:val="000000" w:themeColor="text1"/>
          <w:sz w:val="28"/>
          <w:szCs w:val="28"/>
          <w14:textFill>
            <w14:solidFill>
              <w14:schemeClr w14:val="tx1"/>
            </w14:solidFill>
          </w14:textFill>
        </w:rPr>
      </w:pPr>
    </w:p>
    <w:p>
      <w:pPr>
        <w:pStyle w:val="13"/>
        <w:ind w:firstLine="2828" w:firstLineChars="1010"/>
        <w:jc w:val="both"/>
        <w:rPr>
          <w:rFonts w:ascii="宋体" w:hAnsi="宋体" w:cs="宋体"/>
          <w:color w:val="000000" w:themeColor="text1"/>
          <w:sz w:val="28"/>
          <w:szCs w:val="28"/>
          <w14:textFill>
            <w14:solidFill>
              <w14:schemeClr w14:val="tx1"/>
            </w14:solidFill>
          </w14:textFill>
        </w:rPr>
      </w:pPr>
    </w:p>
    <w:p>
      <w:pPr>
        <w:pStyle w:val="13"/>
        <w:ind w:firstLine="0"/>
        <w:jc w:val="both"/>
        <w:rPr>
          <w:rFonts w:ascii="宋体" w:hAnsi="宋体" w:cs="宋体"/>
          <w:bCs/>
          <w:color w:val="000000" w:themeColor="text1"/>
          <w:sz w:val="28"/>
          <w:szCs w:val="28"/>
          <w14:textFill>
            <w14:solidFill>
              <w14:schemeClr w14:val="tx1"/>
            </w14:solidFill>
          </w14:textFill>
        </w:rPr>
      </w:pPr>
    </w:p>
    <w:p>
      <w:pPr>
        <w:pStyle w:val="13"/>
        <w:ind w:firstLine="0"/>
        <w:jc w:val="both"/>
        <w:rPr>
          <w:rFonts w:ascii="宋体" w:hAnsi="宋体" w:cs="宋体"/>
          <w:bCs/>
          <w:color w:val="000000" w:themeColor="text1"/>
          <w:sz w:val="28"/>
          <w:szCs w:val="28"/>
          <w14:textFill>
            <w14:solidFill>
              <w14:schemeClr w14:val="tx1"/>
            </w14:solidFill>
          </w14:textFill>
        </w:rPr>
      </w:pPr>
    </w:p>
    <w:p>
      <w:pPr>
        <w:pStyle w:val="13"/>
        <w:jc w:val="both"/>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磋商人：</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u w:val="single"/>
          <w14:textFill>
            <w14:solidFill>
              <w14:schemeClr w14:val="tx1"/>
            </w14:solidFill>
          </w14:textFill>
        </w:rPr>
        <w:t>（ 盖章）</w:t>
      </w:r>
    </w:p>
    <w:p>
      <w:pPr>
        <w:pStyle w:val="13"/>
        <w:ind w:firstLine="0"/>
        <w:jc w:val="both"/>
        <w:rPr>
          <w:rFonts w:ascii="宋体" w:hAnsi="宋体" w:cs="宋体"/>
          <w:bCs/>
          <w:color w:val="000000" w:themeColor="text1"/>
          <w:sz w:val="28"/>
          <w:szCs w:val="28"/>
          <w14:textFill>
            <w14:solidFill>
              <w14:schemeClr w14:val="tx1"/>
            </w14:solidFill>
          </w14:textFill>
        </w:rPr>
      </w:pPr>
    </w:p>
    <w:p>
      <w:pPr>
        <w:pStyle w:val="13"/>
        <w:jc w:val="both"/>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（签字或签章）</w:t>
      </w:r>
    </w:p>
    <w:p>
      <w:pPr>
        <w:pStyle w:val="13"/>
        <w:ind w:firstLine="0"/>
        <w:jc w:val="both"/>
        <w:rPr>
          <w:rFonts w:ascii="宋体" w:hAnsi="宋体" w:cs="宋体"/>
          <w:color w:val="000000" w:themeColor="text1"/>
          <w:sz w:val="28"/>
          <w:szCs w:val="28"/>
          <w:u w:val="single"/>
          <w14:textFill>
            <w14:solidFill>
              <w14:schemeClr w14:val="tx1"/>
            </w14:solidFill>
          </w14:textFill>
        </w:rPr>
      </w:pPr>
    </w:p>
    <w:p>
      <w:pPr>
        <w:pStyle w:val="13"/>
        <w:ind w:firstLine="0"/>
        <w:rPr>
          <w:rFonts w:ascii="宋体" w:hAnsi="宋体" w:cs="宋体"/>
          <w:color w:val="000000" w:themeColor="text1"/>
          <w:sz w:val="28"/>
          <w:szCs w:val="28"/>
          <w14:textFill>
            <w14:solidFill>
              <w14:schemeClr w14:val="tx1"/>
            </w14:solidFill>
          </w14:textFill>
        </w:rPr>
      </w:pPr>
    </w:p>
    <w:p>
      <w:pPr>
        <w:pStyle w:val="13"/>
        <w:ind w:firstLine="560" w:firstLineChars="2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pPr>
        <w:pStyle w:val="13"/>
        <w:ind w:firstLine="560" w:firstLineChars="200"/>
        <w:jc w:val="center"/>
        <w:rPr>
          <w:rFonts w:ascii="宋体" w:hAnsi="宋体" w:cs="宋体"/>
          <w:color w:val="000000" w:themeColor="text1"/>
          <w:sz w:val="28"/>
          <w:szCs w:val="28"/>
          <w14:textFill>
            <w14:solidFill>
              <w14:schemeClr w14:val="tx1"/>
            </w14:solidFill>
          </w14:textFill>
        </w:rPr>
      </w:pPr>
    </w:p>
    <w:p>
      <w:pPr>
        <w:pStyle w:val="13"/>
        <w:ind w:firstLine="560" w:firstLineChars="200"/>
        <w:jc w:val="center"/>
        <w:rPr>
          <w:rFonts w:ascii="宋体" w:hAnsi="宋体" w:cs="宋体"/>
          <w:color w:val="000000" w:themeColor="text1"/>
          <w:sz w:val="28"/>
          <w:szCs w:val="28"/>
          <w14:textFill>
            <w14:solidFill>
              <w14:schemeClr w14:val="tx1"/>
            </w14:solidFill>
          </w14:textFill>
        </w:rPr>
      </w:pPr>
    </w:p>
    <w:p>
      <w:pP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目录</w:t>
      </w:r>
    </w:p>
    <w:p>
      <w:pPr>
        <w:spacing w:line="460" w:lineRule="exact"/>
        <w:ind w:firstLine="419" w:firstLineChars="195"/>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一、施工组织设计（必须提供）</w:t>
      </w:r>
    </w:p>
    <w:p>
      <w:pPr>
        <w:spacing w:line="460" w:lineRule="exact"/>
        <w:ind w:firstLine="419" w:firstLineChars="195"/>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二、项目管理机构；（必须提供）</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1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①</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项目管理机构配备情况表；</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2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②</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项目经理（注册建造师）简历表；</w:t>
      </w:r>
    </w:p>
    <w:p>
      <w:pPr>
        <w:spacing w:line="460" w:lineRule="exact"/>
        <w:ind w:firstLine="945" w:firstLineChars="440"/>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fldChar w:fldCharType="begin"/>
      </w:r>
      <w:r>
        <w:rPr>
          <w:rFonts w:hint="eastAsia" w:ascii="宋体" w:hAnsi="宋体" w:cs="宋体"/>
          <w:b/>
          <w:bCs/>
          <w:color w:val="000000" w:themeColor="text1"/>
          <w:spacing w:val="2"/>
          <w14:textFill>
            <w14:solidFill>
              <w14:schemeClr w14:val="tx1"/>
            </w14:solidFill>
          </w14:textFill>
        </w:rPr>
        <w:instrText xml:space="preserve"> = 3 \* GB3 </w:instrText>
      </w:r>
      <w:r>
        <w:rPr>
          <w:rFonts w:hint="eastAsia" w:ascii="宋体" w:hAnsi="宋体" w:cs="宋体"/>
          <w:b/>
          <w:bCs/>
          <w:color w:val="000000" w:themeColor="text1"/>
          <w:spacing w:val="2"/>
          <w14:textFill>
            <w14:solidFill>
              <w14:schemeClr w14:val="tx1"/>
            </w14:solidFill>
          </w14:textFill>
        </w:rPr>
        <w:fldChar w:fldCharType="separate"/>
      </w:r>
      <w:r>
        <w:rPr>
          <w:rFonts w:hint="eastAsia" w:ascii="宋体" w:hAnsi="宋体" w:cs="宋体"/>
          <w:b/>
          <w:bCs/>
          <w:color w:val="000000" w:themeColor="text1"/>
          <w:spacing w:val="2"/>
          <w14:textFill>
            <w14:solidFill>
              <w14:schemeClr w14:val="tx1"/>
            </w14:solidFill>
          </w14:textFill>
        </w:rPr>
        <w:t>③</w:t>
      </w:r>
      <w:r>
        <w:rPr>
          <w:rFonts w:hint="eastAsia" w:ascii="宋体" w:hAnsi="宋体" w:cs="宋体"/>
          <w:b/>
          <w:bCs/>
          <w:color w:val="000000" w:themeColor="text1"/>
          <w:spacing w:val="2"/>
          <w14:textFill>
            <w14:solidFill>
              <w14:schemeClr w14:val="tx1"/>
            </w14:solidFill>
          </w14:textFill>
        </w:rPr>
        <w:fldChar w:fldCharType="end"/>
      </w:r>
      <w:r>
        <w:rPr>
          <w:rFonts w:hint="eastAsia" w:ascii="宋体" w:hAnsi="宋体" w:cs="宋体"/>
          <w:b/>
          <w:bCs/>
          <w:color w:val="000000" w:themeColor="text1"/>
          <w:spacing w:val="2"/>
          <w14:textFill>
            <w14:solidFill>
              <w14:schemeClr w14:val="tx1"/>
            </w14:solidFill>
          </w14:textFill>
        </w:rPr>
        <w:t>项目技术负责人简历表。</w:t>
      </w:r>
    </w:p>
    <w:p>
      <w:pPr>
        <w:spacing w:line="460" w:lineRule="exact"/>
        <w:ind w:firstLine="421" w:firstLineChars="196"/>
        <w:rPr>
          <w:rFonts w:ascii="宋体" w:hAnsi="宋体" w:cs="宋体"/>
          <w:b/>
          <w:bCs/>
          <w:color w:val="000000" w:themeColor="text1"/>
          <w:spacing w:val="2"/>
          <w14:textFill>
            <w14:solidFill>
              <w14:schemeClr w14:val="tx1"/>
            </w14:solidFill>
          </w14:textFill>
        </w:rPr>
      </w:pPr>
      <w:r>
        <w:rPr>
          <w:rFonts w:hint="eastAsia" w:ascii="宋体" w:hAnsi="宋体" w:cs="宋体"/>
          <w:b/>
          <w:bCs/>
          <w:color w:val="000000" w:themeColor="text1"/>
          <w:spacing w:val="2"/>
          <w14:textFill>
            <w14:solidFill>
              <w14:schemeClr w14:val="tx1"/>
            </w14:solidFill>
          </w14:textFill>
        </w:rPr>
        <w:t>三、分包计划表</w:t>
      </w: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pStyle w:val="13"/>
        <w:ind w:firstLineChars="200"/>
        <w:jc w:val="center"/>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pStyle w:val="13"/>
        <w:ind w:firstLineChars="200"/>
        <w:jc w:val="both"/>
        <w:rPr>
          <w:rFonts w:ascii="宋体" w:hAnsi="宋体" w:cs="宋体"/>
          <w:color w:val="000000" w:themeColor="text1"/>
          <w:sz w:val="21"/>
          <w:szCs w:val="21"/>
          <w14:textFill>
            <w14:solidFill>
              <w14:schemeClr w14:val="tx1"/>
            </w14:solidFill>
          </w14:textFill>
        </w:rPr>
      </w:pPr>
    </w:p>
    <w:p>
      <w:pPr>
        <w:spacing w:line="360" w:lineRule="exact"/>
        <w:ind w:firstLine="422" w:firstLineChars="200"/>
        <w:jc w:val="center"/>
        <w:rPr>
          <w:rFonts w:ascii="宋体" w:hAnsi="宋体" w:cs="宋体"/>
          <w:color w:val="000000" w:themeColor="text1"/>
          <w14:textFill>
            <w14:solidFill>
              <w14:schemeClr w14:val="tx1"/>
            </w14:solidFill>
          </w14:textFill>
        </w:rPr>
      </w:pPr>
      <w:bookmarkStart w:id="45" w:name="_Toc3270"/>
      <w:bookmarkStart w:id="46" w:name="_Toc389065360"/>
      <w:r>
        <w:rPr>
          <w:rFonts w:hint="eastAsia" w:ascii="宋体" w:hAnsi="宋体" w:cs="宋体"/>
          <w:b/>
          <w:bCs/>
          <w:color w:val="000000" w:themeColor="text1"/>
          <w14:textFill>
            <w14:solidFill>
              <w14:schemeClr w14:val="tx1"/>
            </w14:solidFill>
          </w14:textFill>
        </w:rPr>
        <w:t>一、施工组织设计</w:t>
      </w:r>
      <w:bookmarkEnd w:id="45"/>
      <w:bookmarkEnd w:id="46"/>
    </w:p>
    <w:p>
      <w:pPr>
        <w:numPr>
          <w:ilvl w:val="0"/>
          <w:numId w:val="10"/>
        </w:numPr>
        <w:spacing w:line="352" w:lineRule="exact"/>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施工组织设计应附的文字说明如下(不限于，仅供参考)：</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(1)主要施工方法</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(2)拟投入的主要物资计划</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(3)确保工程质量的技术组织措施</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(4)确保安全生产的技术组织措施</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(5)确保工期的技术组织措施</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(6)确保文明施工的技术组织措施</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(7)工程施工的重点和难点及保证措施</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(8)拟投入的主要施工机械设备</w:t>
      </w:r>
    </w:p>
    <w:p>
      <w:pPr>
        <w:spacing w:line="352" w:lineRule="exact"/>
        <w:ind w:firstLine="200" w:firstLineChars="10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(9)计划劳动力配备......</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2.施工组织设计除采用文字表述外应附下列图表，图表及格式要求附后。</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（1）拟投入本合同工程的主要施工设备表</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（2）拟投入本合同工程的试验和检测仪器设备表</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（3）拟投入本合同工程的劳动力计划表</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（4）拟投入本合同工程的材料进场计划表</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(5)计划开工日期、完工日期和施工进度网络图(或横道图)</w:t>
      </w:r>
    </w:p>
    <w:p>
      <w:pPr>
        <w:spacing w:line="360"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 xml:space="preserve"> (6)临时用地表</w:t>
      </w:r>
    </w:p>
    <w:p>
      <w:pPr>
        <w:pStyle w:val="174"/>
        <w:rPr>
          <w:rFonts w:ascii="宋体" w:hAnsi="宋体"/>
          <w:b/>
          <w:color w:val="000000" w:themeColor="text1"/>
          <w:kern w:val="0"/>
          <w:sz w:val="20"/>
          <w:szCs w:val="20"/>
          <w:lang w:bidi="en-US"/>
          <w14:textFill>
            <w14:solidFill>
              <w14:schemeClr w14:val="tx1"/>
            </w14:solidFill>
          </w14:textFill>
        </w:rPr>
      </w:pPr>
      <w:r>
        <w:rPr>
          <w:rFonts w:hint="eastAsia" w:ascii="宋体" w:hAnsi="宋体"/>
          <w:color w:val="000000" w:themeColor="text1"/>
          <w:sz w:val="20"/>
          <w:szCs w:val="20"/>
          <w:lang w:val="zh-CN" w:bidi="zh-CN"/>
          <w14:textFill>
            <w14:solidFill>
              <w14:schemeClr w14:val="tx1"/>
            </w14:solidFill>
          </w14:textFill>
        </w:rPr>
        <w:br w:type="page"/>
      </w:r>
      <w:r>
        <w:rPr>
          <w:rFonts w:hint="eastAsia" w:ascii="宋体" w:hAnsi="宋体"/>
          <w:b/>
          <w:color w:val="000000" w:themeColor="text1"/>
          <w:kern w:val="0"/>
          <w:sz w:val="20"/>
          <w:szCs w:val="20"/>
          <w:lang w:bidi="en-US"/>
          <w14:textFill>
            <w14:solidFill>
              <w14:schemeClr w14:val="tx1"/>
            </w14:solidFill>
          </w14:textFill>
        </w:rPr>
        <w:t>拟投入本合同的主要施工设备表</w:t>
      </w:r>
    </w:p>
    <w:p>
      <w:pPr>
        <w:jc w:val="left"/>
        <w:rPr>
          <w:rFonts w:ascii="宋体" w:hAnsi="宋体" w:cs="宋体"/>
          <w:color w:val="000000" w:themeColor="text1"/>
          <w:kern w:val="0"/>
          <w:sz w:val="24"/>
          <w:szCs w:val="24"/>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拟投入本合同的主要施工设备表</w:t>
      </w:r>
    </w:p>
    <w:p>
      <w:pPr>
        <w:jc w:val="center"/>
        <w:rPr>
          <w:rFonts w:ascii="宋体" w:hAnsi="宋体" w:cs="宋体"/>
          <w:color w:val="000000" w:themeColor="text1"/>
          <w:kern w:val="0"/>
          <w:sz w:val="24"/>
          <w:szCs w:val="24"/>
          <w:lang w:bidi="en-US"/>
          <w14:textFill>
            <w14:solidFill>
              <w14:schemeClr w14:val="tx1"/>
            </w14:solidFill>
          </w14:textFill>
        </w:rPr>
      </w:pPr>
    </w:p>
    <w:tbl>
      <w:tblPr>
        <w:tblStyle w:val="42"/>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pPr>
              <w:spacing w:line="264" w:lineRule="exact"/>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序 号</w:t>
            </w:r>
          </w:p>
        </w:tc>
        <w:tc>
          <w:tcPr>
            <w:tcW w:w="1133" w:type="dxa"/>
            <w:tcBorders>
              <w:top w:val="single" w:color="auto" w:sz="4" w:space="0"/>
              <w:left w:val="single" w:color="auto" w:sz="4" w:space="0"/>
            </w:tcBorders>
            <w:shd w:val="clear" w:color="auto" w:fill="FFFFFF"/>
            <w:vAlign w:val="center"/>
          </w:tcPr>
          <w:p>
            <w:pPr>
              <w:spacing w:line="269" w:lineRule="exact"/>
              <w:ind w:left="180"/>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施工机械 名 称</w:t>
            </w:r>
          </w:p>
        </w:tc>
        <w:tc>
          <w:tcPr>
            <w:tcW w:w="864" w:type="dxa"/>
            <w:tcBorders>
              <w:top w:val="single" w:color="auto" w:sz="4" w:space="0"/>
              <w:left w:val="single" w:color="auto" w:sz="4" w:space="0"/>
            </w:tcBorders>
            <w:shd w:val="clear" w:color="auto" w:fill="FFFFFF"/>
            <w:vAlign w:val="center"/>
          </w:tcPr>
          <w:p>
            <w:pPr>
              <w:spacing w:after="60"/>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型号</w:t>
            </w:r>
          </w:p>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规格</w:t>
            </w:r>
          </w:p>
        </w:tc>
        <w:tc>
          <w:tcPr>
            <w:tcW w:w="869"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数量</w:t>
            </w:r>
          </w:p>
        </w:tc>
        <w:tc>
          <w:tcPr>
            <w:tcW w:w="864" w:type="dxa"/>
            <w:tcBorders>
              <w:top w:val="single" w:color="auto" w:sz="4" w:space="0"/>
              <w:left w:val="single" w:color="auto" w:sz="4" w:space="0"/>
            </w:tcBorders>
            <w:shd w:val="clear" w:color="auto" w:fill="FFFFFF"/>
            <w:vAlign w:val="center"/>
          </w:tcPr>
          <w:p>
            <w:pPr>
              <w:spacing w:line="266"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制造 年份</w:t>
            </w:r>
          </w:p>
        </w:tc>
        <w:tc>
          <w:tcPr>
            <w:tcW w:w="864" w:type="dxa"/>
            <w:tcBorders>
              <w:top w:val="single" w:color="auto" w:sz="4" w:space="0"/>
              <w:left w:val="single" w:color="auto" w:sz="4" w:space="0"/>
            </w:tcBorders>
            <w:shd w:val="clear" w:color="auto" w:fill="FFFFFF"/>
            <w:vAlign w:val="center"/>
          </w:tcPr>
          <w:p>
            <w:pPr>
              <w:spacing w:line="265" w:lineRule="exact"/>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 xml:space="preserve">额定功率 </w:t>
            </w:r>
            <w:r>
              <w:rPr>
                <w:rFonts w:hint="eastAsia" w:ascii="宋体" w:hAnsi="宋体" w:cs="宋体"/>
                <w:color w:val="000000" w:themeColor="text1"/>
                <w:kern w:val="0"/>
                <w:sz w:val="17"/>
                <w:szCs w:val="17"/>
                <w:lang w:bidi="en-US"/>
                <w14:textFill>
                  <w14:solidFill>
                    <w14:schemeClr w14:val="tx1"/>
                  </w14:solidFill>
                </w14:textFill>
              </w:rPr>
              <w:t>（KW）</w:t>
            </w:r>
            <w:r>
              <w:rPr>
                <w:rFonts w:hint="eastAsia" w:ascii="宋体" w:hAnsi="宋体" w:cs="宋体"/>
                <w:color w:val="000000" w:themeColor="text1"/>
                <w:kern w:val="0"/>
                <w:sz w:val="17"/>
                <w:szCs w:val="17"/>
                <w:lang w:val="zh-CN" w:bidi="zh-CN"/>
                <w14:textFill>
                  <w14:solidFill>
                    <w14:schemeClr w14:val="tx1"/>
                  </w14:solidFill>
                </w14:textFill>
              </w:rPr>
              <w:t>或 生产能力</w:t>
            </w:r>
          </w:p>
        </w:tc>
        <w:tc>
          <w:tcPr>
            <w:tcW w:w="864"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现在何处</w:t>
            </w:r>
          </w:p>
        </w:tc>
        <w:tc>
          <w:tcPr>
            <w:tcW w:w="864" w:type="dxa"/>
            <w:tcBorders>
              <w:top w:val="single" w:color="auto" w:sz="4" w:space="0"/>
              <w:left w:val="single" w:color="auto" w:sz="4" w:space="0"/>
            </w:tcBorders>
            <w:shd w:val="clear" w:color="auto" w:fill="FFFFFF"/>
            <w:vAlign w:val="center"/>
          </w:tcPr>
          <w:p>
            <w:pPr>
              <w:jc w:val="righ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进场时间</w:t>
            </w:r>
          </w:p>
        </w:tc>
        <w:tc>
          <w:tcPr>
            <w:tcW w:w="864" w:type="dxa"/>
            <w:tcBorders>
              <w:top w:val="single" w:color="auto" w:sz="4" w:space="0"/>
              <w:left w:val="single" w:color="auto" w:sz="4" w:space="0"/>
            </w:tcBorders>
            <w:shd w:val="clear" w:color="auto" w:fill="FFFFFF"/>
            <w:vAlign w:val="center"/>
          </w:tcPr>
          <w:p>
            <w:pPr>
              <w:jc w:val="righ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退场时间</w:t>
            </w:r>
          </w:p>
        </w:tc>
        <w:tc>
          <w:tcPr>
            <w:tcW w:w="874" w:type="dxa"/>
            <w:tcBorders>
              <w:top w:val="single" w:color="auto" w:sz="4" w:space="0"/>
              <w:left w:val="single" w:color="auto" w:sz="4" w:space="0"/>
              <w:right w:val="single" w:color="auto" w:sz="4" w:space="0"/>
            </w:tcBorders>
            <w:shd w:val="clear" w:color="auto" w:fill="FFFFFF"/>
            <w:vAlign w:val="center"/>
          </w:tcPr>
          <w:p>
            <w:pPr>
              <w:spacing w:line="257"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用于施工 部位</w:t>
            </w: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9"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bl>
    <w:p>
      <w:pPr>
        <w:tabs>
          <w:tab w:val="left" w:pos="847"/>
          <w:tab w:val="left" w:leader="underscore" w:pos="850"/>
          <w:tab w:val="left" w:leader="underscore" w:pos="1906"/>
          <w:tab w:val="left" w:pos="1908"/>
          <w:tab w:val="left" w:pos="2964"/>
        </w:tabs>
        <w:spacing w:after="420" w:line="353" w:lineRule="exact"/>
        <w:ind w:right="1200"/>
        <w:jc w:val="left"/>
        <w:rPr>
          <w:rFonts w:ascii="宋体" w:hAnsi="宋体" w:cs="宋体"/>
          <w:color w:val="000000" w:themeColor="text1"/>
          <w:kern w:val="0"/>
          <w:sz w:val="20"/>
          <w:szCs w:val="20"/>
          <w:lang w:bidi="zh-CN"/>
          <w14:textFill>
            <w14:solidFill>
              <w14:schemeClr w14:val="tx1"/>
            </w14:solidFill>
          </w14:textFill>
        </w:rPr>
      </w:pPr>
    </w:p>
    <w:p>
      <w:pPr>
        <w:jc w:val="left"/>
        <w:rPr>
          <w:rFonts w:ascii="宋体" w:hAnsi="宋体" w:cs="宋体"/>
          <w:color w:val="000000" w:themeColor="text1"/>
          <w:kern w:val="0"/>
          <w:sz w:val="24"/>
          <w:szCs w:val="24"/>
          <w:lang w:bidi="zh-CN"/>
          <w14:textFill>
            <w14:solidFill>
              <w14:schemeClr w14:val="tx1"/>
            </w14:solidFill>
          </w14:textFill>
        </w:rPr>
      </w:pPr>
      <w:r>
        <w:rPr>
          <w:rFonts w:hint="eastAsia" w:ascii="宋体" w:hAnsi="宋体" w:cs="宋体"/>
          <w:color w:val="000000" w:themeColor="text1"/>
          <w:kern w:val="0"/>
          <w:sz w:val="24"/>
          <w:szCs w:val="24"/>
          <w:lang w:bidi="zh-CN"/>
          <w14:textFill>
            <w14:solidFill>
              <w14:schemeClr w14:val="tx1"/>
            </w14:solidFill>
          </w14:textFill>
        </w:rPr>
        <w:br w:type="page"/>
      </w:r>
    </w:p>
    <w:p>
      <w:pPr>
        <w:jc w:val="left"/>
        <w:rPr>
          <w:rFonts w:ascii="宋体" w:hAnsi="宋体" w:cs="宋体"/>
          <w:b/>
          <w:color w:val="000000" w:themeColor="text1"/>
          <w:kern w:val="0"/>
          <w:sz w:val="20"/>
          <w:szCs w:val="20"/>
          <w:lang w:bidi="en-US"/>
          <w14:textFill>
            <w14:solidFill>
              <w14:schemeClr w14:val="tx1"/>
            </w14:solidFill>
          </w14:textFill>
        </w:rPr>
      </w:pPr>
      <w:r>
        <w:rPr>
          <w:rFonts w:hint="eastAsia" w:ascii="宋体" w:hAnsi="宋体" w:cs="宋体"/>
          <w:b/>
          <w:color w:val="000000" w:themeColor="text1"/>
          <w:kern w:val="0"/>
          <w:sz w:val="20"/>
          <w:szCs w:val="20"/>
          <w:lang w:bidi="en-US"/>
          <w14:textFill>
            <w14:solidFill>
              <w14:schemeClr w14:val="tx1"/>
            </w14:solidFill>
          </w14:textFill>
        </w:rPr>
        <w:t>拟投入本合同工程的试验和检测仪器设备表</w:t>
      </w:r>
    </w:p>
    <w:p>
      <w:pPr>
        <w:jc w:val="left"/>
        <w:rPr>
          <w:rFonts w:ascii="宋体" w:hAnsi="宋体" w:cs="宋体"/>
          <w:color w:val="000000" w:themeColor="text1"/>
          <w:kern w:val="0"/>
          <w:sz w:val="24"/>
          <w:szCs w:val="24"/>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拟投入本合同工程的试验和检测仪器设备表</w:t>
      </w:r>
    </w:p>
    <w:p>
      <w:pPr>
        <w:jc w:val="center"/>
        <w:rPr>
          <w:rFonts w:ascii="宋体" w:hAnsi="宋体" w:cs="宋体"/>
          <w:b/>
          <w:color w:val="000000" w:themeColor="text1"/>
          <w:kern w:val="0"/>
          <w:sz w:val="24"/>
          <w:szCs w:val="24"/>
          <w:lang w:bidi="en-US"/>
          <w14:textFill>
            <w14:solidFill>
              <w14:schemeClr w14:val="tx1"/>
            </w14:solidFill>
          </w14:textFill>
        </w:rPr>
      </w:pPr>
    </w:p>
    <w:tbl>
      <w:tblPr>
        <w:tblStyle w:val="42"/>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序号</w:t>
            </w: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仪器设备名称</w:t>
            </w: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型号规格</w:t>
            </w: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数量</w:t>
            </w: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国别产地</w:t>
            </w: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制造年份</w:t>
            </w:r>
          </w:p>
        </w:tc>
        <w:tc>
          <w:tcPr>
            <w:tcW w:w="902" w:type="dxa"/>
            <w:tcBorders>
              <w:top w:val="single" w:color="auto" w:sz="4" w:space="0"/>
              <w:left w:val="single" w:color="auto" w:sz="4" w:space="0"/>
            </w:tcBorders>
            <w:shd w:val="clear" w:color="auto" w:fill="FFFFFF"/>
            <w:vAlign w:val="center"/>
          </w:tcPr>
          <w:p>
            <w:pPr>
              <w:spacing w:line="264"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己使用台时数</w:t>
            </w: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用途</w:t>
            </w: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416"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bl>
    <w:p>
      <w:pPr>
        <w:spacing w:after="299" w:line="1" w:lineRule="exact"/>
        <w:jc w:val="left"/>
        <w:rPr>
          <w:rFonts w:ascii="宋体" w:hAnsi="宋体" w:cs="宋体"/>
          <w:color w:val="000000" w:themeColor="text1"/>
          <w:kern w:val="0"/>
          <w:sz w:val="24"/>
          <w:szCs w:val="24"/>
          <w:lang w:eastAsia="en-US" w:bidi="en-US"/>
          <w14:textFill>
            <w14:solidFill>
              <w14:schemeClr w14:val="tx1"/>
            </w14:solidFill>
          </w14:textFill>
        </w:rPr>
      </w:pPr>
    </w:p>
    <w:p>
      <w:pPr>
        <w:jc w:val="left"/>
        <w:rPr>
          <w:rFonts w:ascii="宋体" w:hAnsi="宋体" w:cs="宋体"/>
          <w:color w:val="000000" w:themeColor="text1"/>
          <w:kern w:val="0"/>
          <w:sz w:val="24"/>
          <w:szCs w:val="24"/>
          <w:lang w:bidi="zh-CN"/>
          <w14:textFill>
            <w14:solidFill>
              <w14:schemeClr w14:val="tx1"/>
            </w14:solidFill>
          </w14:textFill>
        </w:rPr>
      </w:pPr>
      <w:r>
        <w:rPr>
          <w:rFonts w:hint="eastAsia" w:ascii="宋体" w:hAnsi="宋体" w:cs="宋体"/>
          <w:color w:val="000000" w:themeColor="text1"/>
          <w:kern w:val="0"/>
          <w:sz w:val="24"/>
          <w:szCs w:val="24"/>
          <w:lang w:bidi="zh-CN"/>
          <w14:textFill>
            <w14:solidFill>
              <w14:schemeClr w14:val="tx1"/>
            </w14:solidFill>
          </w14:textFill>
        </w:rPr>
        <w:br w:type="page"/>
      </w:r>
    </w:p>
    <w:p>
      <w:pPr>
        <w:jc w:val="left"/>
        <w:rPr>
          <w:rFonts w:ascii="宋体" w:hAnsi="宋体" w:cs="宋体"/>
          <w:b/>
          <w:color w:val="000000" w:themeColor="text1"/>
          <w:kern w:val="0"/>
          <w:sz w:val="20"/>
          <w:szCs w:val="20"/>
          <w:lang w:bidi="en-US"/>
          <w14:textFill>
            <w14:solidFill>
              <w14:schemeClr w14:val="tx1"/>
            </w14:solidFill>
          </w14:textFill>
        </w:rPr>
      </w:pPr>
      <w:r>
        <w:rPr>
          <w:rFonts w:hint="eastAsia" w:ascii="宋体" w:hAnsi="宋体" w:cs="宋体"/>
          <w:b/>
          <w:color w:val="000000" w:themeColor="text1"/>
          <w:kern w:val="0"/>
          <w:sz w:val="20"/>
          <w:szCs w:val="20"/>
          <w:lang w:bidi="en-US"/>
          <w14:textFill>
            <w14:solidFill>
              <w14:schemeClr w14:val="tx1"/>
            </w14:solidFill>
          </w14:textFill>
        </w:rPr>
        <w:t>拟投入本合同工程的劳动力计划表</w:t>
      </w:r>
    </w:p>
    <w:p>
      <w:pPr>
        <w:jc w:val="left"/>
        <w:rPr>
          <w:rFonts w:ascii="宋体" w:hAnsi="宋体" w:cs="宋体"/>
          <w:b/>
          <w:color w:val="000000" w:themeColor="text1"/>
          <w:kern w:val="0"/>
          <w:sz w:val="20"/>
          <w:szCs w:val="20"/>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拟投入本合同工程的劳动力计划表</w:t>
      </w: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4" name="AutoShape 19"/>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9" o:spid="_x0000_s1026" o:spt="32" type="#_x0000_t32" style="position:absolute;left:0pt;margin-left:-2.05pt;margin-top:13.65pt;height:28.85pt;width:143.5pt;z-index:251659264;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vz2y5AEAAOYDAAAOAAAAZHJzL2Uyb0RvYy54bWytU02P&#10;2jAQvVfqf7B8LwF2QUtEWFXQ7aVqkdr+gMF2Ekv+kscQ+PcdO5RttxcOzcEZe2bezHser5/P1rCT&#10;iqi9a/hsMuVMOeGldl3Df/54+fDEGSZwEox3quEXhfx58/7degi1mvveG6kiIxCH9RAa3qcU6qpC&#10;0SsLOPFBOXK2PlpItI1dJSMMhG5NNZ9Ol9XgowzRC4VIp7vRya+I8R5A37ZaqJ0XR6tcGlGjMpCI&#10;EvY6IN+UbttWifStbVElZhpOTFNZqQjZh7xWmzXUXYTQa3FtAe5p4Q0nC9pR0RvUDhKwY9T/QFkt&#10;okffponwthqJFEWIxWz6RpvvPQRVuJDUGG6i4/+DFV9P+8i0bPgjZw4sXfjHY/KlMputsj5DwJrC&#10;tm4frzsM+5jJntto859osHPR9HLTVJ0TE3Q4e5rPHxcktyDfw3L5sFpk0Oo1O0RMn5W3LBsNxxRB&#10;d33aeufo+nycFWHh9AXTmPg7IZc2jg0NXy3mC6oANI4tjQGZNhAldF3JRW+0fNHG5AyM3WFrIjtB&#10;HonyXRv6KywX2QH2Y1xx5TCoewXyk5MsXQKJ5eiN8NyCVZIzo+hJZatEJtDmnkjSwjiSJAs9Sput&#10;g5eXong5p+svol1HNc/Xn/uS/fo8N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5BoatcAAAAI&#10;AQAADwAAAAAAAAABACAAAAAiAAAAZHJzL2Rvd25yZXYueG1sUEsBAhQAFAAAAAgAh07iQJK/PbLk&#10;AQAA5gMAAA4AAAAAAAAAAQAgAAAAJgEAAGRycy9lMm9Eb2MueG1sUEsFBgAAAAAGAAYAWQEAAHwF&#10;AAAAAA==&#10;">
                <v:fill on="f" focussize="0,0"/>
                <v:stroke color="#000000" joinstyle="round"/>
                <v:imagedata o:title=""/>
                <o:lock v:ext="edit" aspectratio="f"/>
              </v:shape>
            </w:pict>
          </mc:Fallback>
        </mc:AlternateContent>
      </w:r>
    </w:p>
    <w:tbl>
      <w:tblPr>
        <w:tblStyle w:val="42"/>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pPr>
              <w:spacing w:line="266" w:lineRule="exact"/>
              <w:ind w:left="1060" w:firstLine="12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5" name="AutoShape 20"/>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0"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zCqMv5AEAAOYDAAAOAAAAZHJzL2Uyb0RvYy54bWytU02P&#10;2jAQvVfqf7B8LyGptgVEWK2g20vVIm37AwbbSSz5Sx5D4N93bCi02wuHzcEZe2bezHseLx+P1rCD&#10;iqi9a3k9mXKmnPBSu77lv34+f5hxhgmcBOOdavlJIX9cvX+3HMNCNX7wRqrICMThYgwtH1IKi6pC&#10;MSgLOPFBOXJ2PlpItI19JSOMhG5N1Uynn6rRRxmiFwqRTjdnJ78gxnsAfddpoTZe7K1y6YwalYFE&#10;lHDQAfmqdNt1SqQfXYcqMdNyYprKSkXI3uW1Wi1h0UcIgxaXFuCeFl5xsqAdFb1CbSAB20f9H5TV&#10;Inr0XZoIb6szkaIIsainr7R5GSCowoWkxnAVHd8OVnw/bCPTsuUPnDmwdOFP++RLZdYUfcaACwpb&#10;u20ktfIOwzZmsscu2vwnGuxYND1dNVXHxAQd1vXHeT0nuQX5Pjez+ayAVrfsEDF9Vd6ybLQcUwTd&#10;D2ntnaPr87EuwsLhGyaqT4l/EnJp49jY8vlDQ+0LoHHsaAzItIEooetLLnqj5bM2Jmdg7HdrE9kB&#10;8kiUL08B4f4TlotsAIdzXHGdh2VQIL84ydIpkFiO3gjPLVglOTOKnlS2ylgl0OaeSCptHHVwkzZb&#10;Oy9PRfFyTtdferyMap6vv/cl+/Y8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Fr7VdcAAAAJ&#10;AQAADwAAAAAAAAABACAAAAAiAAAAZHJzL2Rvd25yZXYueG1sUEsBAhQAFAAAAAgAh07iQDMKoy/k&#10;AQAA5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kern w:val="0"/>
                <w:sz w:val="18"/>
                <w:szCs w:val="18"/>
                <w:lang w:val="zh-CN" w:bidi="zh-CN"/>
                <w14:textFill>
                  <w14:solidFill>
                    <w14:schemeClr w14:val="tx1"/>
                  </w14:solidFill>
                </w14:textFill>
              </w:rPr>
              <w:t>工种 人数</w:t>
            </w:r>
          </w:p>
          <w:p>
            <w:pPr>
              <w:spacing w:line="266" w:lineRule="exact"/>
              <w:ind w:firstLine="18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时间</w:t>
            </w:r>
          </w:p>
        </w:tc>
        <w:tc>
          <w:tcPr>
            <w:tcW w:w="643" w:type="dxa"/>
            <w:vMerge w:val="restart"/>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vMerge w:val="restart"/>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227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合 计</w:t>
            </w:r>
          </w:p>
        </w:tc>
      </w:tr>
      <w:tr>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vMerge w:val="continue"/>
            <w:tcBorders>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continue"/>
            <w:tcBorders>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vMerge w:val="continue"/>
            <w:tcBorders>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continue"/>
            <w:tcBorders>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vMerge w:val="continue"/>
            <w:tcBorders>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人数</w:t>
            </w:r>
          </w:p>
        </w:tc>
        <w:tc>
          <w:tcPr>
            <w:tcW w:w="114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人工工日数</w:t>
            </w:r>
          </w:p>
        </w:tc>
      </w:tr>
      <w:tr>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年</w:t>
            </w: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ind w:left="1120"/>
              <w:jc w:val="lef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pPr>
              <w:jc w:val="left"/>
              <w:rPr>
                <w:rFonts w:ascii="宋体" w:hAnsi="宋体" w:cs="宋体"/>
                <w:color w:val="000000" w:themeColor="text1"/>
                <w:kern w:val="0"/>
                <w:sz w:val="24"/>
                <w:szCs w:val="24"/>
                <w:lang w:eastAsia="en-US" w:bidi="en-US"/>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pPr>
              <w:tabs>
                <w:tab w:val="left" w:leader="dot" w:pos="326"/>
              </w:tabs>
              <w:jc w:val="right"/>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eastAsia="en-US" w:bidi="en-US"/>
                <w14:textFill>
                  <w14:solidFill>
                    <w14:schemeClr w14:val="tx1"/>
                  </w14:solidFill>
                </w14:textFill>
              </w:rPr>
              <w:tab/>
            </w: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648"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3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8"/>
                <w:szCs w:val="18"/>
                <w:lang w:eastAsia="en-US" w:bidi="en-US"/>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总 计</w:t>
            </w:r>
          </w:p>
        </w:tc>
        <w:tc>
          <w:tcPr>
            <w:tcW w:w="113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bl>
    <w:p>
      <w:pPr>
        <w:spacing w:after="299" w:line="1" w:lineRule="exact"/>
        <w:jc w:val="left"/>
        <w:rPr>
          <w:rFonts w:ascii="宋体" w:hAnsi="宋体" w:cs="宋体"/>
          <w:color w:val="000000" w:themeColor="text1"/>
          <w:kern w:val="0"/>
          <w:sz w:val="24"/>
          <w:szCs w:val="24"/>
          <w:lang w:eastAsia="en-US" w:bidi="en-US"/>
          <w14:textFill>
            <w14:solidFill>
              <w14:schemeClr w14:val="tx1"/>
            </w14:solidFill>
          </w14:textFill>
        </w:rPr>
      </w:pPr>
    </w:p>
    <w:p>
      <w:pPr>
        <w:jc w:val="left"/>
        <w:rPr>
          <w:rFonts w:ascii="宋体" w:hAnsi="宋体" w:cs="宋体"/>
          <w:color w:val="000000" w:themeColor="text1"/>
          <w:kern w:val="0"/>
          <w:sz w:val="24"/>
          <w:szCs w:val="24"/>
          <w:lang w:bidi="zh-CN"/>
          <w14:textFill>
            <w14:solidFill>
              <w14:schemeClr w14:val="tx1"/>
            </w14:solidFill>
          </w14:textFill>
        </w:rPr>
      </w:pPr>
      <w:r>
        <w:rPr>
          <w:rFonts w:hint="eastAsia" w:ascii="宋体" w:hAnsi="宋体" w:cs="宋体"/>
          <w:color w:val="000000" w:themeColor="text1"/>
          <w:kern w:val="0"/>
          <w:sz w:val="24"/>
          <w:szCs w:val="24"/>
          <w:lang w:bidi="zh-CN"/>
          <w14:textFill>
            <w14:solidFill>
              <w14:schemeClr w14:val="tx1"/>
            </w14:solidFill>
          </w14:textFill>
        </w:rPr>
        <w:br w:type="page"/>
      </w:r>
    </w:p>
    <w:p>
      <w:pPr>
        <w:jc w:val="left"/>
        <w:rPr>
          <w:rFonts w:ascii="宋体" w:hAnsi="宋体" w:cs="宋体"/>
          <w:b/>
          <w:color w:val="000000" w:themeColor="text1"/>
          <w:kern w:val="0"/>
          <w:sz w:val="20"/>
          <w:szCs w:val="20"/>
          <w:lang w:bidi="en-US"/>
          <w14:textFill>
            <w14:solidFill>
              <w14:schemeClr w14:val="tx1"/>
            </w14:solidFill>
          </w14:textFill>
        </w:rPr>
      </w:pPr>
      <w:r>
        <w:rPr>
          <w:rFonts w:hint="eastAsia" w:ascii="宋体" w:hAnsi="宋体" w:cs="宋体"/>
          <w:b/>
          <w:color w:val="000000" w:themeColor="text1"/>
          <w:kern w:val="0"/>
          <w:sz w:val="20"/>
          <w:szCs w:val="20"/>
          <w:lang w:bidi="en-US"/>
          <w14:textFill>
            <w14:solidFill>
              <w14:schemeClr w14:val="tx1"/>
            </w14:solidFill>
          </w14:textFill>
        </w:rPr>
        <w:t>拟投入本合同工程的材料进场计划表</w:t>
      </w:r>
    </w:p>
    <w:p>
      <w:pPr>
        <w:jc w:val="left"/>
        <w:rPr>
          <w:rFonts w:ascii="宋体" w:hAnsi="宋体" w:cs="宋体"/>
          <w:b/>
          <w:color w:val="000000" w:themeColor="text1"/>
          <w:kern w:val="0"/>
          <w:sz w:val="20"/>
          <w:szCs w:val="20"/>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拟投入本合同工程的材料进场计划表</w:t>
      </w:r>
    </w:p>
    <w:p>
      <w:pPr>
        <w:jc w:val="center"/>
        <w:rPr>
          <w:rFonts w:ascii="宋体" w:hAnsi="宋体" w:cs="宋体"/>
          <w:b/>
          <w:color w:val="000000" w:themeColor="text1"/>
          <w:kern w:val="0"/>
          <w:sz w:val="24"/>
          <w:szCs w:val="24"/>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p>
    <w:tbl>
      <w:tblPr>
        <w:tblStyle w:val="42"/>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名称</w:t>
            </w:r>
          </w:p>
        </w:tc>
        <w:tc>
          <w:tcPr>
            <w:tcW w:w="902" w:type="dxa"/>
            <w:vMerge w:val="restart"/>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规格</w:t>
            </w:r>
          </w:p>
        </w:tc>
        <w:tc>
          <w:tcPr>
            <w:tcW w:w="907" w:type="dxa"/>
            <w:vMerge w:val="restart"/>
            <w:tcBorders>
              <w:top w:val="single" w:color="auto" w:sz="4" w:space="0"/>
              <w:left w:val="single" w:color="auto" w:sz="4" w:space="0"/>
            </w:tcBorders>
            <w:shd w:val="clear" w:color="auto" w:fill="FFFFFF"/>
            <w:vAlign w:val="center"/>
          </w:tcPr>
          <w:p>
            <w:pPr>
              <w:spacing w:line="269" w:lineRule="exact"/>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计量 单位</w:t>
            </w:r>
          </w:p>
        </w:tc>
        <w:tc>
          <w:tcPr>
            <w:tcW w:w="4535" w:type="dxa"/>
            <w:gridSpan w:val="5"/>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备注</w:t>
            </w:r>
          </w:p>
        </w:tc>
      </w:tr>
      <w:tr>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vMerge w:val="continue"/>
            <w:tcBorders>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vMerge w:val="continue"/>
            <w:tcBorders>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总量</w:t>
            </w: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907" w:type="dxa"/>
            <w:tcBorders>
              <w:top w:val="single" w:color="auto" w:sz="4" w:space="0"/>
              <w:left w:val="single" w:color="auto" w:sz="4" w:space="0"/>
            </w:tcBorders>
            <w:shd w:val="clear" w:color="auto" w:fill="FFFFFF"/>
            <w:vAlign w:val="center"/>
          </w:tcPr>
          <w:p>
            <w:pPr>
              <w:ind w:right="380"/>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月</w:t>
            </w:r>
          </w:p>
        </w:tc>
        <w:tc>
          <w:tcPr>
            <w:tcW w:w="917"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r>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eastAsia="en-US" w:bidi="en-US"/>
                <w14:textFill>
                  <w14:solidFill>
                    <w14:schemeClr w14:val="tx1"/>
                  </w14:solidFill>
                </w14:textFill>
              </w:rPr>
            </w:pPr>
          </w:p>
        </w:tc>
      </w:tr>
    </w:tbl>
    <w:p>
      <w:pPr>
        <w:spacing w:after="299" w:line="1" w:lineRule="exact"/>
        <w:jc w:val="left"/>
        <w:rPr>
          <w:rFonts w:ascii="宋体" w:hAnsi="宋体" w:cs="宋体"/>
          <w:color w:val="000000" w:themeColor="text1"/>
          <w:kern w:val="0"/>
          <w:sz w:val="24"/>
          <w:szCs w:val="24"/>
          <w:lang w:eastAsia="en-US" w:bidi="en-US"/>
          <w14:textFill>
            <w14:solidFill>
              <w14:schemeClr w14:val="tx1"/>
            </w14:solidFill>
          </w14:textFill>
        </w:rPr>
      </w:pPr>
    </w:p>
    <w:p>
      <w:pPr>
        <w:jc w:val="left"/>
        <w:rPr>
          <w:rFonts w:ascii="宋体" w:hAnsi="宋体" w:cs="宋体"/>
          <w:color w:val="000000" w:themeColor="text1"/>
          <w:kern w:val="0"/>
          <w:sz w:val="24"/>
          <w:szCs w:val="24"/>
          <w:lang w:bidi="zh-CN"/>
          <w14:textFill>
            <w14:solidFill>
              <w14:schemeClr w14:val="tx1"/>
            </w14:solidFill>
          </w14:textFill>
        </w:rPr>
      </w:pPr>
      <w:r>
        <w:rPr>
          <w:rFonts w:hint="eastAsia" w:ascii="宋体" w:hAnsi="宋体" w:cs="宋体"/>
          <w:color w:val="000000" w:themeColor="text1"/>
          <w:kern w:val="0"/>
          <w:sz w:val="24"/>
          <w:szCs w:val="24"/>
          <w:lang w:bidi="zh-CN"/>
          <w14:textFill>
            <w14:solidFill>
              <w14:schemeClr w14:val="tx1"/>
            </w14:solidFill>
          </w14:textFill>
        </w:rPr>
        <w:br w:type="page"/>
      </w:r>
    </w:p>
    <w:p>
      <w:pPr>
        <w:jc w:val="left"/>
        <w:rPr>
          <w:rFonts w:ascii="宋体" w:hAnsi="宋体" w:cs="宋体"/>
          <w:b/>
          <w:color w:val="000000" w:themeColor="text1"/>
          <w:kern w:val="0"/>
          <w:sz w:val="20"/>
          <w:szCs w:val="20"/>
          <w:lang w:bidi="en-US"/>
          <w14:textFill>
            <w14:solidFill>
              <w14:schemeClr w14:val="tx1"/>
            </w14:solidFill>
          </w14:textFill>
        </w:rPr>
      </w:pPr>
      <w:r>
        <w:rPr>
          <w:rFonts w:hint="eastAsia" w:ascii="宋体" w:hAnsi="宋体" w:cs="宋体"/>
          <w:b/>
          <w:color w:val="000000" w:themeColor="text1"/>
          <w:kern w:val="0"/>
          <w:sz w:val="20"/>
          <w:szCs w:val="20"/>
          <w:lang w:bidi="en-US"/>
          <w14:textFill>
            <w14:solidFill>
              <w14:schemeClr w14:val="tx1"/>
            </w14:solidFill>
          </w14:textFill>
        </w:rPr>
        <w:t>计划开工日期、完工日期和施工进度网络图（或横道图）</w:t>
      </w:r>
    </w:p>
    <w:p>
      <w:pPr>
        <w:jc w:val="left"/>
        <w:rPr>
          <w:rFonts w:ascii="宋体" w:hAnsi="宋体" w:cs="宋体"/>
          <w:color w:val="000000" w:themeColor="text1"/>
          <w:kern w:val="0"/>
          <w:sz w:val="20"/>
          <w:szCs w:val="20"/>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计划开工日期、完工日期和施工进度网络图（或横道图）</w:t>
      </w:r>
    </w:p>
    <w:p>
      <w:pPr>
        <w:jc w:val="center"/>
        <w:rPr>
          <w:rFonts w:ascii="宋体" w:hAnsi="宋体" w:cs="宋体"/>
          <w:b/>
          <w:color w:val="000000" w:themeColor="text1"/>
          <w:kern w:val="0"/>
          <w:sz w:val="24"/>
          <w:szCs w:val="24"/>
          <w:lang w:bidi="en-US"/>
          <w14:textFill>
            <w14:solidFill>
              <w14:schemeClr w14:val="tx1"/>
            </w14:solidFill>
          </w14:textFill>
        </w:rPr>
      </w:pPr>
    </w:p>
    <w:p>
      <w:pPr>
        <w:numPr>
          <w:ilvl w:val="0"/>
          <w:numId w:val="11"/>
        </w:numPr>
        <w:tabs>
          <w:tab w:val="left" w:pos="747"/>
        </w:tabs>
        <w:spacing w:after="120" w:line="343" w:lineRule="exact"/>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投标人应递交施工进度网络图或施工进度表，说明按招标文件要求的计划工期进行施工的各个关键日期。</w:t>
      </w:r>
    </w:p>
    <w:p>
      <w:pPr>
        <w:numPr>
          <w:ilvl w:val="0"/>
          <w:numId w:val="11"/>
        </w:numPr>
        <w:tabs>
          <w:tab w:val="left" w:pos="754"/>
        </w:tabs>
        <w:spacing w:after="500" w:line="360" w:lineRule="auto"/>
        <w:jc w:val="left"/>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施工进度表可采用网络图（或横道图）表示。</w:t>
      </w:r>
    </w:p>
    <w:p>
      <w:pPr>
        <w:tabs>
          <w:tab w:val="left" w:pos="754"/>
        </w:tabs>
        <w:spacing w:after="500" w:line="360" w:lineRule="auto"/>
        <w:jc w:val="left"/>
        <w:rPr>
          <w:rFonts w:ascii="宋体" w:hAnsi="宋体" w:cs="宋体"/>
          <w:color w:val="000000" w:themeColor="text1"/>
          <w:kern w:val="0"/>
          <w:sz w:val="20"/>
          <w:szCs w:val="20"/>
          <w:lang w:bidi="en-US"/>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br w:type="page"/>
      </w:r>
      <w:r>
        <w:rPr>
          <w:rFonts w:hint="eastAsia" w:ascii="宋体" w:hAnsi="宋体" w:cs="宋体"/>
          <w:color w:val="000000" w:themeColor="text1"/>
          <w:kern w:val="0"/>
          <w:sz w:val="20"/>
          <w:szCs w:val="20"/>
          <w:lang w:bidi="en-US"/>
          <w14:textFill>
            <w14:solidFill>
              <w14:schemeClr w14:val="tx1"/>
            </w14:solidFill>
          </w14:textFill>
        </w:rPr>
        <w:t>临时用地表</w:t>
      </w:r>
    </w:p>
    <w:p>
      <w:pPr>
        <w:jc w:val="center"/>
        <w:rPr>
          <w:rFonts w:ascii="宋体" w:hAnsi="宋体" w:cs="宋体"/>
          <w:b/>
          <w:color w:val="000000" w:themeColor="text1"/>
          <w:kern w:val="0"/>
          <w:sz w:val="24"/>
          <w:szCs w:val="24"/>
          <w:lang w:bidi="en-US"/>
          <w14:textFill>
            <w14:solidFill>
              <w14:schemeClr w14:val="tx1"/>
            </w14:solidFill>
          </w14:textFill>
        </w:rPr>
      </w:pPr>
      <w:r>
        <w:rPr>
          <w:rFonts w:hint="eastAsia" w:ascii="宋体" w:hAnsi="宋体" w:cs="宋体"/>
          <w:b/>
          <w:color w:val="000000" w:themeColor="text1"/>
          <w:kern w:val="0"/>
          <w:sz w:val="24"/>
          <w:szCs w:val="24"/>
          <w:lang w:bidi="en-US"/>
          <w14:textFill>
            <w14:solidFill>
              <w14:schemeClr w14:val="tx1"/>
            </w14:solidFill>
          </w14:textFill>
        </w:rPr>
        <w:t>临时用地表</w:t>
      </w:r>
    </w:p>
    <w:p>
      <w:pPr>
        <w:jc w:val="center"/>
        <w:rPr>
          <w:rFonts w:ascii="宋体" w:hAnsi="宋体" w:cs="宋体"/>
          <w:b/>
          <w:color w:val="000000" w:themeColor="text1"/>
          <w:kern w:val="0"/>
          <w:sz w:val="24"/>
          <w:szCs w:val="24"/>
          <w:lang w:bidi="en-US"/>
          <w14:textFill>
            <w14:solidFill>
              <w14:schemeClr w14:val="tx1"/>
            </w14:solidFill>
          </w14:textFill>
        </w:rPr>
      </w:pPr>
    </w:p>
    <w:p>
      <w:pPr>
        <w:jc w:val="center"/>
        <w:rPr>
          <w:rFonts w:ascii="宋体" w:hAnsi="宋体" w:cs="宋体"/>
          <w:b/>
          <w:color w:val="000000" w:themeColor="text1"/>
          <w:kern w:val="0"/>
          <w:sz w:val="24"/>
          <w:szCs w:val="24"/>
          <w:lang w:bidi="en-US"/>
          <w14:textFill>
            <w14:solidFill>
              <w14:schemeClr w14:val="tx1"/>
            </w14:solidFill>
          </w14:textFill>
        </w:rPr>
      </w:pPr>
    </w:p>
    <w:tbl>
      <w:tblPr>
        <w:tblStyle w:val="42"/>
        <w:tblW w:w="8352" w:type="dxa"/>
        <w:jc w:val="center"/>
        <w:tblLayout w:type="fixed"/>
        <w:tblCellMar>
          <w:top w:w="0" w:type="dxa"/>
          <w:left w:w="10" w:type="dxa"/>
          <w:bottom w:w="0" w:type="dxa"/>
          <w:right w:w="10" w:type="dxa"/>
        </w:tblCellMar>
      </w:tblPr>
      <w:tblGrid>
        <w:gridCol w:w="2093"/>
        <w:gridCol w:w="2083"/>
        <w:gridCol w:w="2083"/>
        <w:gridCol w:w="2093"/>
      </w:tblGrid>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用途</w:t>
            </w:r>
          </w:p>
        </w:tc>
        <w:tc>
          <w:tcPr>
            <w:tcW w:w="2083"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面积（</w:t>
            </w:r>
            <w:r>
              <w:rPr>
                <w:rFonts w:hint="eastAsia" w:ascii="宋体" w:hAnsi="宋体" w:cs="宋体"/>
                <w:color w:val="000000" w:themeColor="text1"/>
                <w:kern w:val="0"/>
                <w:sz w:val="18"/>
                <w:szCs w:val="18"/>
                <w:lang w:val="zh-CN" w:bidi="en-US"/>
                <w14:textFill>
                  <w14:solidFill>
                    <w14:schemeClr w14:val="tx1"/>
                  </w14:solidFill>
                </w14:textFill>
              </w:rPr>
              <w:t>m</w:t>
            </w:r>
            <w:r>
              <w:rPr>
                <w:rFonts w:hint="eastAsia" w:ascii="宋体" w:hAnsi="宋体" w:cs="宋体"/>
                <w:color w:val="000000" w:themeColor="text1"/>
                <w:kern w:val="0"/>
                <w:sz w:val="18"/>
                <w:szCs w:val="18"/>
                <w:vertAlign w:val="superscript"/>
                <w:lang w:val="zh-CN" w:bidi="en-US"/>
                <w14:textFill>
                  <w14:solidFill>
                    <w14:schemeClr w14:val="tx1"/>
                  </w14:solidFill>
                </w14:textFill>
              </w:rPr>
              <w:t>2</w:t>
            </w:r>
            <w:r>
              <w:rPr>
                <w:rFonts w:hint="eastAsia" w:ascii="宋体" w:hAnsi="宋体" w:cs="宋体"/>
                <w:color w:val="000000" w:themeColor="text1"/>
                <w:kern w:val="0"/>
                <w:sz w:val="18"/>
                <w:szCs w:val="18"/>
                <w:lang w:val="zh-CN" w:bidi="zh-CN"/>
                <w14:textFill>
                  <w14:solidFill>
                    <w14:schemeClr w14:val="tx1"/>
                  </w14:solidFill>
                </w14:textFill>
              </w:rPr>
              <w:t>）</w:t>
            </w:r>
          </w:p>
        </w:tc>
        <w:tc>
          <w:tcPr>
            <w:tcW w:w="2083" w:type="dxa"/>
            <w:tcBorders>
              <w:top w:val="single" w:color="auto" w:sz="4" w:space="0"/>
              <w:lef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位置</w:t>
            </w:r>
          </w:p>
        </w:tc>
        <w:tc>
          <w:tcPr>
            <w:tcW w:w="2093"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themeColor="text1"/>
                <w:kern w:val="0"/>
                <w:sz w:val="18"/>
                <w:szCs w:val="18"/>
                <w:lang w:val="zh-CN" w:bidi="zh-CN"/>
                <w14:textFill>
                  <w14:solidFill>
                    <w14:schemeClr w14:val="tx1"/>
                  </w14:solidFill>
                </w14:textFill>
              </w:rPr>
            </w:pPr>
            <w:r>
              <w:rPr>
                <w:rFonts w:hint="eastAsia" w:ascii="宋体" w:hAnsi="宋体" w:cs="宋体"/>
                <w:color w:val="000000" w:themeColor="text1"/>
                <w:kern w:val="0"/>
                <w:sz w:val="18"/>
                <w:szCs w:val="18"/>
                <w:lang w:val="zh-CN" w:bidi="zh-CN"/>
                <w14:textFill>
                  <w14:solidFill>
                    <w14:schemeClr w14:val="tx1"/>
                  </w14:solidFill>
                </w14:textFill>
              </w:rPr>
              <w:t>需用时间</w:t>
            </w: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bl>
    <w:p>
      <w:pPr>
        <w:jc w:val="left"/>
        <w:rPr>
          <w:rFonts w:ascii="宋体" w:hAnsi="宋体" w:cs="宋体"/>
          <w:color w:val="000000" w:themeColor="text1"/>
          <w:kern w:val="0"/>
          <w:sz w:val="24"/>
          <w:szCs w:val="24"/>
          <w:lang w:eastAsia="en-US" w:bidi="en-US"/>
          <w14:textFill>
            <w14:solidFill>
              <w14:schemeClr w14:val="tx1"/>
            </w14:solidFill>
          </w14:textFill>
        </w:rPr>
      </w:pPr>
    </w:p>
    <w:p>
      <w:pPr>
        <w:rPr>
          <w:rFonts w:ascii="宋体" w:hAnsi="宋体" w:cs="宋体"/>
          <w:b/>
          <w:color w:val="000000" w:themeColor="text1"/>
          <w:kern w:val="0"/>
          <w:sz w:val="30"/>
          <w:szCs w:val="30"/>
          <w:lang w:bidi="en-US"/>
          <w14:textFill>
            <w14:solidFill>
              <w14:schemeClr w14:val="tx1"/>
            </w14:solidFill>
          </w14:textFill>
        </w:rPr>
      </w:pPr>
      <w:r>
        <w:rPr>
          <w:rFonts w:hint="eastAsia" w:ascii="宋体" w:hAnsi="宋体" w:cs="宋体"/>
          <w:color w:val="000000" w:themeColor="text1"/>
          <w:szCs w:val="22"/>
          <w14:textFill>
            <w14:solidFill>
              <w14:schemeClr w14:val="tx1"/>
            </w14:solidFill>
          </w14:textFill>
        </w:rPr>
        <w:br w:type="page"/>
      </w:r>
      <w:bookmarkStart w:id="47" w:name="_Toc389065361"/>
      <w:bookmarkStart w:id="48" w:name="_Toc12199"/>
      <w:r>
        <w:rPr>
          <w:rFonts w:hint="eastAsia" w:ascii="宋体" w:hAnsi="宋体" w:cs="宋体"/>
          <w:color w:val="000000" w:themeColor="text1"/>
          <w:sz w:val="30"/>
          <w:szCs w:val="30"/>
          <w14:textFill>
            <w14:solidFill>
              <w14:schemeClr w14:val="tx1"/>
            </w14:solidFill>
          </w14:textFill>
        </w:rPr>
        <w:t>二、</w:t>
      </w:r>
      <w:bookmarkEnd w:id="47"/>
      <w:bookmarkEnd w:id="48"/>
      <w:r>
        <w:rPr>
          <w:rFonts w:hint="eastAsia" w:ascii="宋体" w:hAnsi="宋体" w:cs="宋体"/>
          <w:color w:val="000000" w:themeColor="text1"/>
          <w:sz w:val="30"/>
          <w:szCs w:val="30"/>
          <w14:textFill>
            <w14:solidFill>
              <w14:schemeClr w14:val="tx1"/>
            </w14:solidFill>
          </w14:textFill>
        </w:rPr>
        <w:t>项目管理机构</w:t>
      </w:r>
    </w:p>
    <w:p>
      <w:pPr>
        <w:keepNext/>
        <w:keepLines/>
        <w:spacing w:before="280" w:after="290" w:line="372" w:lineRule="auto"/>
        <w:jc w:val="center"/>
        <w:outlineLvl w:val="4"/>
        <w:rPr>
          <w:rFonts w:ascii="宋体" w:hAnsi="宋体" w:cs="宋体"/>
          <w:b/>
          <w:color w:val="000000" w:themeColor="text1"/>
          <w:kern w:val="0"/>
          <w:sz w:val="28"/>
          <w:szCs w:val="24"/>
          <w:lang w:bidi="en-US"/>
          <w14:textFill>
            <w14:solidFill>
              <w14:schemeClr w14:val="tx1"/>
            </w14:solidFill>
          </w14:textFill>
        </w:rPr>
      </w:pPr>
      <w:bookmarkStart w:id="49" w:name="_Toc91"/>
      <w:bookmarkStart w:id="50" w:name="bookmark2273"/>
      <w:bookmarkStart w:id="51" w:name="_Toc5360"/>
      <w:bookmarkStart w:id="52" w:name="bookmark2272"/>
      <w:bookmarkStart w:id="53" w:name="_Toc891"/>
      <w:bookmarkStart w:id="54" w:name="bookmark2274"/>
      <w:r>
        <w:rPr>
          <w:rFonts w:hint="eastAsia" w:ascii="宋体" w:hAnsi="宋体" w:cs="宋体"/>
          <w:b/>
          <w:color w:val="000000" w:themeColor="text1"/>
          <w:kern w:val="0"/>
          <w:sz w:val="28"/>
          <w:szCs w:val="24"/>
          <w:lang w:bidi="en-US"/>
          <w14:textFill>
            <w14:solidFill>
              <w14:schemeClr w14:val="tx1"/>
            </w14:solidFill>
          </w14:textFill>
        </w:rPr>
        <w:t>（一）拟投入本合同工程施工的项目管理机构组成表</w:t>
      </w:r>
      <w:bookmarkEnd w:id="49"/>
      <w:bookmarkEnd w:id="50"/>
      <w:bookmarkEnd w:id="51"/>
      <w:bookmarkEnd w:id="52"/>
      <w:bookmarkEnd w:id="53"/>
      <w:bookmarkEnd w:id="54"/>
    </w:p>
    <w:p>
      <w:pPr>
        <w:jc w:val="left"/>
        <w:rPr>
          <w:rFonts w:ascii="宋体" w:hAnsi="宋体" w:cs="宋体"/>
          <w:color w:val="000000" w:themeColor="text1"/>
          <w:kern w:val="0"/>
          <w:sz w:val="24"/>
          <w:szCs w:val="24"/>
          <w:lang w:bidi="en-US"/>
          <w14:textFill>
            <w14:solidFill>
              <w14:schemeClr w14:val="tx1"/>
            </w14:solidFill>
          </w14:textFill>
        </w:rPr>
      </w:pPr>
    </w:p>
    <w:tbl>
      <w:tblPr>
        <w:tblStyle w:val="42"/>
        <w:tblW w:w="8354" w:type="dxa"/>
        <w:jc w:val="center"/>
        <w:tblLayout w:type="fixed"/>
        <w:tblCellMar>
          <w:top w:w="0" w:type="dxa"/>
          <w:left w:w="10" w:type="dxa"/>
          <w:bottom w:w="0" w:type="dxa"/>
          <w:right w:w="10" w:type="dxa"/>
        </w:tblCellMar>
      </w:tblPr>
      <w:tblGrid>
        <w:gridCol w:w="1709"/>
        <w:gridCol w:w="854"/>
        <w:gridCol w:w="677"/>
        <w:gridCol w:w="682"/>
        <w:gridCol w:w="682"/>
        <w:gridCol w:w="677"/>
        <w:gridCol w:w="1138"/>
        <w:gridCol w:w="677"/>
        <w:gridCol w:w="1258"/>
      </w:tblGrid>
      <w:tr>
        <w:tblPrEx>
          <w:tblCellMar>
            <w:top w:w="0" w:type="dxa"/>
            <w:left w:w="10" w:type="dxa"/>
            <w:bottom w:w="0" w:type="dxa"/>
            <w:right w:w="10" w:type="dxa"/>
          </w:tblCellMar>
        </w:tblPrEx>
        <w:trPr>
          <w:trHeight w:val="859" w:hRule="exact"/>
          <w:jc w:val="center"/>
        </w:trPr>
        <w:tc>
          <w:tcPr>
            <w:tcW w:w="1709" w:type="dxa"/>
            <w:tcBorders>
              <w:top w:val="single" w:color="auto" w:sz="4" w:space="0"/>
              <w:left w:val="single" w:color="auto" w:sz="4" w:space="0"/>
              <w:bottom w:val="nil"/>
              <w:right w:val="nil"/>
            </w:tcBorders>
            <w:shd w:val="clear" w:color="auto" w:fill="FFFFFF"/>
            <w:vAlign w:val="center"/>
          </w:tcPr>
          <w:p>
            <w:pPr>
              <w:ind w:firstLine="300"/>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工作岗位名称</w:t>
            </w:r>
          </w:p>
        </w:tc>
        <w:tc>
          <w:tcPr>
            <w:tcW w:w="854"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姓名</w:t>
            </w:r>
          </w:p>
        </w:tc>
        <w:tc>
          <w:tcPr>
            <w:tcW w:w="67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性别</w:t>
            </w:r>
          </w:p>
        </w:tc>
        <w:tc>
          <w:tcPr>
            <w:tcW w:w="682" w:type="dxa"/>
            <w:tcBorders>
              <w:top w:val="single" w:color="auto" w:sz="4" w:space="0"/>
              <w:left w:val="single" w:color="auto" w:sz="4" w:space="0"/>
              <w:bottom w:val="nil"/>
              <w:right w:val="nil"/>
            </w:tcBorders>
            <w:shd w:val="clear" w:color="auto" w:fill="FFFFFF"/>
            <w:vAlign w:val="center"/>
          </w:tcPr>
          <w:p>
            <w:pPr>
              <w:spacing w:line="262"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工作职责</w:t>
            </w:r>
          </w:p>
        </w:tc>
        <w:tc>
          <w:tcPr>
            <w:tcW w:w="682"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职称</w:t>
            </w:r>
          </w:p>
        </w:tc>
        <w:tc>
          <w:tcPr>
            <w:tcW w:w="67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专业</w:t>
            </w:r>
          </w:p>
        </w:tc>
        <w:tc>
          <w:tcPr>
            <w:tcW w:w="1138" w:type="dxa"/>
            <w:tcBorders>
              <w:top w:val="single" w:color="auto" w:sz="4" w:space="0"/>
              <w:left w:val="single" w:color="auto" w:sz="4" w:space="0"/>
              <w:bottom w:val="nil"/>
              <w:right w:val="nil"/>
            </w:tcBorders>
            <w:shd w:val="clear" w:color="auto" w:fill="FFFFFF"/>
            <w:vAlign w:val="center"/>
          </w:tcPr>
          <w:p>
            <w:pPr>
              <w:spacing w:line="271"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相关证书名称 及编号</w:t>
            </w:r>
          </w:p>
        </w:tc>
        <w:tc>
          <w:tcPr>
            <w:tcW w:w="677" w:type="dxa"/>
            <w:tcBorders>
              <w:top w:val="single" w:color="auto" w:sz="4" w:space="0"/>
              <w:left w:val="single" w:color="auto" w:sz="4" w:space="0"/>
              <w:bottom w:val="nil"/>
              <w:right w:val="nil"/>
            </w:tcBorders>
            <w:shd w:val="clear" w:color="auto" w:fill="FFFFFF"/>
            <w:vAlign w:val="center"/>
          </w:tcPr>
          <w:p>
            <w:pPr>
              <w:spacing w:line="264" w:lineRule="exact"/>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相关工作年限</w:t>
            </w:r>
          </w:p>
        </w:tc>
        <w:tc>
          <w:tcPr>
            <w:tcW w:w="1258" w:type="dxa"/>
            <w:tcBorders>
              <w:top w:val="single" w:color="auto" w:sz="4" w:space="0"/>
              <w:left w:val="single" w:color="auto" w:sz="4" w:space="0"/>
              <w:bottom w:val="nil"/>
              <w:right w:val="single" w:color="auto" w:sz="4" w:space="0"/>
            </w:tcBorders>
            <w:shd w:val="clear" w:color="auto" w:fill="FFFFFF"/>
            <w:vAlign w:val="center"/>
          </w:tcPr>
          <w:p>
            <w:pPr>
              <w:spacing w:line="262" w:lineRule="exact"/>
              <w:jc w:val="center"/>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val="zh-CN" w:bidi="zh-CN"/>
                <w14:textFill>
                  <w14:solidFill>
                    <w14:schemeClr w14:val="tx1"/>
                  </w14:solidFill>
                </w14:textFill>
              </w:rPr>
              <w:t>备注</w:t>
            </w: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eastAsia="en-US" w:bidi="en-US"/>
                <w14:textFill>
                  <w14:solidFill>
                    <w14:schemeClr w14:val="tx1"/>
                  </w14:solidFill>
                </w14:textFill>
              </w:rPr>
              <w:t>1.</w:t>
            </w:r>
            <w:r>
              <w:rPr>
                <w:rFonts w:hint="eastAsia" w:ascii="宋体" w:hAnsi="宋体" w:cs="宋体"/>
                <w:color w:val="000000" w:themeColor="text1"/>
                <w:kern w:val="0"/>
                <w:sz w:val="17"/>
                <w:szCs w:val="17"/>
                <w:lang w:val="zh-CN" w:bidi="zh-CN"/>
                <w14:textFill>
                  <w14:solidFill>
                    <w14:schemeClr w14:val="tx1"/>
                  </w14:solidFill>
                </w14:textFill>
              </w:rPr>
              <w:t>项目经理</w:t>
            </w: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eastAsia="en-US" w:bidi="en-US"/>
                <w14:textFill>
                  <w14:solidFill>
                    <w14:schemeClr w14:val="tx1"/>
                  </w14:solidFill>
                </w14:textFill>
              </w:rPr>
              <w:t>2.</w:t>
            </w:r>
            <w:r>
              <w:rPr>
                <w:rFonts w:hint="eastAsia" w:ascii="宋体" w:hAnsi="宋体" w:cs="宋体"/>
                <w:color w:val="000000" w:themeColor="text1"/>
                <w:kern w:val="0"/>
                <w:sz w:val="17"/>
                <w:szCs w:val="17"/>
                <w:lang w:val="zh-CN" w:bidi="zh-CN"/>
                <w14:textFill>
                  <w14:solidFill>
                    <w14:schemeClr w14:val="tx1"/>
                  </w14:solidFill>
                </w14:textFill>
              </w:rPr>
              <w:t>技术负责人</w:t>
            </w: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eastAsia="en-US" w:bidi="en-US"/>
                <w14:textFill>
                  <w14:solidFill>
                    <w14:schemeClr w14:val="tx1"/>
                  </w14:solidFill>
                </w14:textFill>
              </w:rPr>
              <w:t>3.</w:t>
            </w:r>
            <w:r>
              <w:rPr>
                <w:rFonts w:hint="eastAsia" w:ascii="宋体" w:hAnsi="宋体" w:cs="宋体"/>
                <w:color w:val="000000" w:themeColor="text1"/>
                <w:kern w:val="0"/>
                <w:sz w:val="17"/>
                <w:szCs w:val="17"/>
                <w:lang w:val="zh-CN" w:bidi="zh-CN"/>
                <w14:textFill>
                  <w14:solidFill>
                    <w14:schemeClr w14:val="tx1"/>
                  </w14:solidFill>
                </w14:textFill>
              </w:rPr>
              <w:t>质量管理员</w:t>
            </w: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r>
              <w:rPr>
                <w:rFonts w:hint="eastAsia" w:ascii="宋体" w:hAnsi="宋体" w:cs="宋体"/>
                <w:color w:val="000000" w:themeColor="text1"/>
                <w:kern w:val="0"/>
                <w:sz w:val="17"/>
                <w:szCs w:val="17"/>
                <w:lang w:eastAsia="en-US" w:bidi="en-US"/>
                <w14:textFill>
                  <w14:solidFill>
                    <w14:schemeClr w14:val="tx1"/>
                  </w14:solidFill>
                </w14:textFill>
              </w:rPr>
              <w:t>4.</w:t>
            </w:r>
            <w:r>
              <w:rPr>
                <w:rFonts w:hint="eastAsia" w:ascii="宋体" w:hAnsi="宋体" w:cs="宋体"/>
                <w:color w:val="000000" w:themeColor="text1"/>
                <w:kern w:val="0"/>
                <w:sz w:val="17"/>
                <w:szCs w:val="17"/>
                <w:lang w:val="zh-CN" w:bidi="zh-CN"/>
                <w14:textFill>
                  <w14:solidFill>
                    <w14:schemeClr w14:val="tx1"/>
                  </w14:solidFill>
                </w14:textFill>
              </w:rPr>
              <w:t>安全管理员</w:t>
            </w: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bottom w:val="nil"/>
              <w:right w:val="nil"/>
            </w:tcBorders>
            <w:shd w:val="clear" w:color="auto" w:fill="FFFFFF"/>
            <w:vAlign w:val="center"/>
          </w:tcPr>
          <w:p>
            <w:pPr>
              <w:jc w:val="left"/>
              <w:rPr>
                <w:rFonts w:ascii="宋体" w:hAnsi="宋体" w:cs="宋体"/>
                <w:color w:val="000000" w:themeColor="text1"/>
                <w:kern w:val="0"/>
                <w:sz w:val="17"/>
                <w:szCs w:val="17"/>
                <w:lang w:val="zh-CN" w:bidi="zh-CN"/>
                <w14:textFill>
                  <w14:solidFill>
                    <w14:schemeClr w14:val="tx1"/>
                  </w14:solidFill>
                </w14:textFill>
              </w:rPr>
            </w:pPr>
          </w:p>
        </w:tc>
        <w:tc>
          <w:tcPr>
            <w:tcW w:w="854"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nil"/>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r>
        <w:tblPrEx>
          <w:tblCellMar>
            <w:top w:w="0" w:type="dxa"/>
            <w:left w:w="10" w:type="dxa"/>
            <w:bottom w:w="0" w:type="dxa"/>
            <w:right w:w="10" w:type="dxa"/>
          </w:tblCellMar>
        </w:tblPrEx>
        <w:trPr>
          <w:trHeight w:val="466" w:hRule="exact"/>
          <w:jc w:val="center"/>
        </w:trPr>
        <w:tc>
          <w:tcPr>
            <w:tcW w:w="1709"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854"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82"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138"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677" w:type="dxa"/>
            <w:tcBorders>
              <w:top w:val="single" w:color="auto" w:sz="4" w:space="0"/>
              <w:left w:val="single" w:color="auto" w:sz="4" w:space="0"/>
              <w:bottom w:val="single" w:color="auto" w:sz="4" w:space="0"/>
              <w:right w:val="nil"/>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themeColor="text1"/>
                <w:kern w:val="0"/>
                <w:sz w:val="10"/>
                <w:szCs w:val="10"/>
                <w:lang w:eastAsia="en-US" w:bidi="en-US"/>
                <w14:textFill>
                  <w14:solidFill>
                    <w14:schemeClr w14:val="tx1"/>
                  </w14:solidFill>
                </w14:textFill>
              </w:rPr>
            </w:pPr>
          </w:p>
        </w:tc>
      </w:tr>
    </w:tbl>
    <w:p>
      <w:pPr>
        <w:spacing w:after="299" w:line="1" w:lineRule="exact"/>
        <w:jc w:val="left"/>
        <w:rPr>
          <w:rFonts w:ascii="宋体" w:hAnsi="宋体" w:cs="宋体"/>
          <w:color w:val="000000" w:themeColor="text1"/>
          <w:kern w:val="0"/>
          <w:sz w:val="24"/>
          <w:szCs w:val="24"/>
          <w:lang w:eastAsia="en-US" w:bidi="en-US"/>
          <w14:textFill>
            <w14:solidFill>
              <w14:schemeClr w14:val="tx1"/>
            </w14:solidFill>
          </w14:textFill>
        </w:rPr>
      </w:pPr>
    </w:p>
    <w:p>
      <w:pPr>
        <w:tabs>
          <w:tab w:val="left" w:leader="underscore" w:pos="6002"/>
          <w:tab w:val="left" w:pos="7061"/>
          <w:tab w:val="left" w:pos="8117"/>
        </w:tabs>
        <w:spacing w:line="351" w:lineRule="exact"/>
        <w:ind w:firstLine="400"/>
        <w:rPr>
          <w:rFonts w:ascii="宋体" w:hAnsi="宋体" w:cs="宋体"/>
          <w:color w:val="000000" w:themeColor="text1"/>
          <w:kern w:val="0"/>
          <w:sz w:val="16"/>
          <w:szCs w:val="16"/>
          <w:lang w:val="zh-CN" w:bidi="zh-CN"/>
          <w14:textFill>
            <w14:solidFill>
              <w14:schemeClr w14:val="tx1"/>
            </w14:solidFill>
          </w14:textFill>
        </w:rPr>
      </w:pPr>
      <w:r>
        <w:rPr>
          <w:rFonts w:hint="eastAsia" w:ascii="宋体" w:hAnsi="宋体" w:cs="宋体"/>
          <w:color w:val="000000" w:themeColor="text1"/>
          <w:kern w:val="0"/>
          <w:sz w:val="16"/>
          <w:szCs w:val="16"/>
          <w:lang w:val="zh-CN" w:bidi="zh-CN"/>
          <w14:textFill>
            <w14:solidFill>
              <w14:schemeClr w14:val="tx1"/>
            </w14:solidFill>
          </w14:textFill>
        </w:rPr>
        <w:t>注：</w:t>
      </w:r>
    </w:p>
    <w:p>
      <w:pPr>
        <w:pStyle w:val="162"/>
        <w:numPr>
          <w:ilvl w:val="0"/>
          <w:numId w:val="12"/>
        </w:numPr>
        <w:tabs>
          <w:tab w:val="left" w:pos="739"/>
        </w:tabs>
        <w:spacing w:line="351" w:lineRule="exact"/>
        <w:ind w:firstLineChars="0"/>
        <w:rPr>
          <w:rFonts w:ascii="宋体" w:hAnsi="宋体" w:cs="宋体"/>
          <w:color w:val="000000" w:themeColor="text1"/>
          <w:kern w:val="0"/>
          <w:sz w:val="16"/>
          <w:szCs w:val="16"/>
          <w:lang w:val="zh-CN" w:bidi="zh-CN"/>
          <w14:textFill>
            <w14:solidFill>
              <w14:schemeClr w14:val="tx1"/>
            </w14:solidFill>
          </w14:textFill>
        </w:rPr>
      </w:pPr>
      <w:bookmarkStart w:id="55" w:name="bookmark2275"/>
      <w:bookmarkEnd w:id="55"/>
      <w:r>
        <w:rPr>
          <w:rFonts w:hint="eastAsia" w:ascii="宋体" w:hAnsi="宋体" w:cs="宋体"/>
          <w:color w:val="000000" w:themeColor="text1"/>
          <w:kern w:val="0"/>
          <w:sz w:val="16"/>
          <w:szCs w:val="16"/>
          <w:lang w:val="zh-CN" w:bidi="zh-CN"/>
          <w14:textFill>
            <w14:solidFill>
              <w14:schemeClr w14:val="tx1"/>
            </w14:solidFill>
          </w14:textFill>
        </w:rPr>
        <w:t>本表所列岗位的所有管理人员的情况均应如实填写。可按以上格式扩展为多页填写。</w:t>
      </w:r>
    </w:p>
    <w:p>
      <w:pPr>
        <w:tabs>
          <w:tab w:val="left" w:pos="742"/>
        </w:tabs>
        <w:spacing w:line="351" w:lineRule="exact"/>
        <w:rPr>
          <w:rFonts w:ascii="宋体" w:hAnsi="宋体" w:cs="宋体"/>
          <w:color w:val="000000" w:themeColor="text1"/>
          <w:kern w:val="0"/>
          <w:sz w:val="16"/>
          <w:szCs w:val="16"/>
          <w:lang w:val="zh-CN" w:bidi="zh-CN"/>
          <w14:textFill>
            <w14:solidFill>
              <w14:schemeClr w14:val="tx1"/>
            </w14:solidFill>
          </w14:textFill>
        </w:rPr>
      </w:pPr>
      <w:bookmarkStart w:id="56" w:name="bookmark2276"/>
      <w:bookmarkEnd w:id="56"/>
      <w:r>
        <w:rPr>
          <w:rFonts w:hint="eastAsia" w:ascii="宋体" w:hAnsi="宋体" w:cs="宋体"/>
          <w:color w:val="000000" w:themeColor="text1"/>
          <w:kern w:val="0"/>
          <w:sz w:val="16"/>
          <w:szCs w:val="16"/>
          <w:lang w:val="zh-CN" w:bidi="zh-CN"/>
          <w14:textFill>
            <w14:solidFill>
              <w14:schemeClr w14:val="tx1"/>
            </w14:solidFill>
          </w14:textFill>
        </w:rPr>
        <w:t>2、项目经理、技术负责人、安全管理员、质量管理员等主要管理人员提供</w:t>
      </w:r>
      <w:bookmarkStart w:id="57" w:name="bookmark2277"/>
      <w:bookmarkEnd w:id="57"/>
      <w:r>
        <w:rPr>
          <w:rFonts w:hint="eastAsia" w:ascii="宋体" w:hAnsi="宋体" w:cs="宋体"/>
          <w:color w:val="000000" w:themeColor="text1"/>
          <w:kern w:val="0"/>
          <w:sz w:val="16"/>
          <w:szCs w:val="16"/>
          <w:lang w:val="zh-CN" w:bidi="zh-CN"/>
          <w14:textFill>
            <w14:solidFill>
              <w14:schemeClr w14:val="tx1"/>
            </w14:solidFill>
          </w14:textFill>
        </w:rPr>
        <w:t>身份证、职称证（如有）等扫描件（按采购文件要求及结合自身情况提供）</w:t>
      </w: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tabs>
          <w:tab w:val="left" w:pos="6882"/>
          <w:tab w:val="left" w:pos="7510"/>
        </w:tabs>
        <w:spacing w:line="350" w:lineRule="exact"/>
        <w:ind w:left="3380"/>
        <w:rPr>
          <w:rFonts w:ascii="宋体" w:hAnsi="宋体" w:cs="宋体"/>
          <w:color w:val="000000" w:themeColor="text1"/>
          <w:kern w:val="0"/>
          <w:sz w:val="20"/>
          <w:szCs w:val="20"/>
          <w:lang w:val="zh-CN" w:bidi="zh-CN"/>
          <w14:textFill>
            <w14:solidFill>
              <w14:schemeClr w14:val="tx1"/>
            </w14:solidFill>
          </w14:textFill>
        </w:rPr>
      </w:pPr>
    </w:p>
    <w:p>
      <w:pPr>
        <w:keepNext/>
        <w:keepLines/>
        <w:spacing w:before="280" w:after="290" w:line="372" w:lineRule="auto"/>
        <w:jc w:val="center"/>
        <w:outlineLvl w:val="4"/>
        <w:rPr>
          <w:rFonts w:ascii="宋体" w:hAnsi="宋体" w:cs="宋体"/>
          <w:b/>
          <w:color w:val="000000" w:themeColor="text1"/>
          <w:kern w:val="0"/>
          <w:sz w:val="28"/>
          <w:szCs w:val="24"/>
          <w:lang w:bidi="en-US"/>
          <w14:textFill>
            <w14:solidFill>
              <w14:schemeClr w14:val="tx1"/>
            </w14:solidFill>
          </w14:textFill>
        </w:rPr>
      </w:pPr>
      <w:bookmarkStart w:id="58" w:name="_Toc531"/>
      <w:r>
        <w:rPr>
          <w:rFonts w:hint="eastAsia" w:ascii="宋体" w:hAnsi="宋体" w:cs="宋体"/>
          <w:b/>
          <w:color w:val="000000" w:themeColor="text1"/>
          <w:kern w:val="0"/>
          <w:sz w:val="28"/>
          <w:szCs w:val="24"/>
          <w:lang w:bidi="en-US"/>
          <w14:textFill>
            <w14:solidFill>
              <w14:schemeClr w14:val="tx1"/>
            </w14:solidFill>
          </w14:textFill>
        </w:rPr>
        <w:t>（二）拟投入本合同工程施工的主要人员简历表</w:t>
      </w:r>
      <w:bookmarkEnd w:id="58"/>
    </w:p>
    <w:tbl>
      <w:tblPr>
        <w:tblStyle w:val="42"/>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4"/>
        <w:gridCol w:w="998"/>
        <w:gridCol w:w="1432"/>
        <w:gridCol w:w="1433"/>
        <w:gridCol w:w="143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tcBorders>
              <w:top w:val="single" w:color="auto" w:sz="4" w:space="0"/>
              <w:left w:val="single" w:color="auto" w:sz="4" w:space="0"/>
              <w:bottom w:val="single" w:color="auto" w:sz="4" w:space="0"/>
              <w:right w:val="single" w:color="auto" w:sz="4" w:space="0"/>
            </w:tcBorders>
            <w:vAlign w:val="center"/>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姓名</w:t>
            </w:r>
          </w:p>
        </w:tc>
        <w:tc>
          <w:tcPr>
            <w:tcW w:w="998"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性别</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出生年月（</w:t>
            </w:r>
            <w:r>
              <w:rPr>
                <w:rFonts w:hint="eastAsia" w:ascii="宋体" w:hAnsi="宋体" w:cs="宋体"/>
                <w:color w:val="000000" w:themeColor="text1"/>
                <w:sz w:val="20"/>
                <w:szCs w:val="20"/>
                <w:lang w:bidi="zh-CN"/>
                <w14:textFill>
                  <w14:solidFill>
                    <w14:schemeClr w14:val="tx1"/>
                  </w14:solidFill>
                </w14:textFill>
              </w:rPr>
              <w:t xml:space="preserve">   岁</w:t>
            </w:r>
            <w:r>
              <w:rPr>
                <w:rFonts w:hint="eastAsia" w:ascii="宋体" w:hAnsi="宋体" w:cs="宋体"/>
                <w:color w:val="000000" w:themeColor="text1"/>
                <w:sz w:val="20"/>
                <w:szCs w:val="20"/>
                <w:lang w:val="zh-CN" w:bidi="zh-CN"/>
                <w14:textFill>
                  <w14:solidFill>
                    <w14:schemeClr w14:val="tx1"/>
                  </w14:solidFill>
                </w14:textFill>
              </w:rPr>
              <w:t>）</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职务</w:t>
            </w:r>
          </w:p>
        </w:tc>
        <w:tc>
          <w:tcPr>
            <w:tcW w:w="998"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职称</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学历</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职执业或职业资格证书名称及编号</w:t>
            </w:r>
          </w:p>
        </w:tc>
        <w:tc>
          <w:tcPr>
            <w:tcW w:w="3863" w:type="dxa"/>
            <w:gridSpan w:val="3"/>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拟在本合同任职</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安全生产考核合格证书</w:t>
            </w:r>
          </w:p>
        </w:tc>
        <w:tc>
          <w:tcPr>
            <w:tcW w:w="3863" w:type="dxa"/>
            <w:gridSpan w:val="3"/>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担任本职工作年限</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毕业学校</w:t>
            </w:r>
          </w:p>
        </w:tc>
        <w:tc>
          <w:tcPr>
            <w:tcW w:w="6729" w:type="dxa"/>
            <w:gridSpan w:val="5"/>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ind w:firstLine="1000" w:firstLineChars="500"/>
              <w:rPr>
                <w:rFonts w:ascii="宋体" w:hAnsi="宋体" w:cs="宋体"/>
                <w:color w:val="000000" w:themeColor="text1"/>
                <w:sz w:val="20"/>
                <w:szCs w:val="20"/>
                <w:lang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年</w:t>
            </w:r>
            <w:r>
              <w:rPr>
                <w:rFonts w:hint="eastAsia" w:ascii="宋体" w:hAnsi="宋体" w:cs="宋体"/>
                <w:color w:val="000000" w:themeColor="text1"/>
                <w:sz w:val="20"/>
                <w:szCs w:val="20"/>
                <w:lang w:bidi="zh-CN"/>
                <w14:textFill>
                  <w14:solidFill>
                    <w14:schemeClr w14:val="tx1"/>
                  </w14:solidFill>
                </w14:textFill>
              </w:rPr>
              <w:t>月毕业于学校专业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5" w:type="dxa"/>
            <w:gridSpan w:val="7"/>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ind w:firstLine="2600" w:firstLineChars="1300"/>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已完成工程项目情况表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建设单位</w:t>
            </w:r>
          </w:p>
        </w:tc>
        <w:tc>
          <w:tcPr>
            <w:tcW w:w="1432"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项目名称</w:t>
            </w: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建设规模</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开、竣工日期</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工程质量</w:t>
            </w: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jc w:val="center"/>
              <w:rPr>
                <w:rFonts w:ascii="宋体" w:hAnsi="宋体" w:cs="宋体"/>
                <w:color w:val="000000" w:themeColor="text1"/>
                <w:sz w:val="20"/>
                <w:szCs w:val="20"/>
                <w:lang w:val="zh-CN" w:bidi="zh-CN"/>
                <w14:textFill>
                  <w14:solidFill>
                    <w14:schemeClr w14:val="tx1"/>
                  </w14:solidFill>
                </w14:textFill>
              </w:rPr>
            </w:pPr>
            <w:r>
              <w:rPr>
                <w:rFonts w:hint="eastAsia" w:ascii="宋体" w:hAnsi="宋体" w:cs="宋体"/>
                <w:color w:val="000000" w:themeColor="text1"/>
                <w:sz w:val="20"/>
                <w:szCs w:val="20"/>
                <w:lang w:val="zh-CN" w:bidi="zh-CN"/>
                <w14:textFill>
                  <w14:solidFill>
                    <w14:schemeClr w14:val="tx1"/>
                  </w14:solidFill>
                </w14:textFill>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gridSpan w:val="2"/>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tcPr>
          <w:p>
            <w:pPr>
              <w:tabs>
                <w:tab w:val="left" w:pos="6882"/>
                <w:tab w:val="left" w:pos="7510"/>
              </w:tabs>
              <w:spacing w:line="350" w:lineRule="exact"/>
              <w:rPr>
                <w:rFonts w:ascii="宋体" w:hAnsi="宋体" w:cs="宋体"/>
                <w:color w:val="000000" w:themeColor="text1"/>
                <w:sz w:val="20"/>
                <w:szCs w:val="20"/>
                <w:lang w:val="zh-CN" w:bidi="zh-CN"/>
                <w14:textFill>
                  <w14:solidFill>
                    <w14:schemeClr w14:val="tx1"/>
                  </w14:solidFill>
                </w14:textFill>
              </w:rPr>
            </w:pPr>
          </w:p>
        </w:tc>
      </w:tr>
    </w:tbl>
    <w:p>
      <w:pPr>
        <w:tabs>
          <w:tab w:val="left" w:pos="6882"/>
          <w:tab w:val="left" w:pos="7510"/>
        </w:tabs>
        <w:spacing w:line="350" w:lineRule="exact"/>
        <w:rPr>
          <w:rFonts w:ascii="宋体" w:hAnsi="宋体" w:cs="宋体"/>
          <w:color w:val="000000" w:themeColor="text1"/>
          <w:kern w:val="0"/>
          <w:sz w:val="20"/>
          <w:szCs w:val="20"/>
          <w:lang w:val="zh-CN" w:bidi="zh-CN"/>
          <w14:textFill>
            <w14:solidFill>
              <w14:schemeClr w14:val="tx1"/>
            </w14:solidFill>
          </w14:textFill>
        </w:rPr>
      </w:pPr>
    </w:p>
    <w:p>
      <w:pPr>
        <w:tabs>
          <w:tab w:val="left" w:pos="854"/>
          <w:tab w:val="left" w:pos="1925"/>
          <w:tab w:val="left" w:pos="2966"/>
          <w:tab w:val="left" w:pos="3014"/>
        </w:tabs>
        <w:spacing w:after="320" w:line="350" w:lineRule="exact"/>
        <w:jc w:val="right"/>
        <w:rPr>
          <w:rFonts w:ascii="宋体" w:hAnsi="宋体" w:cs="宋体"/>
          <w:color w:val="000000" w:themeColor="text1"/>
          <w:kern w:val="0"/>
          <w:sz w:val="20"/>
          <w:szCs w:val="20"/>
          <w:lang w:val="zh-CN" w:bidi="zh-CN"/>
          <w14:textFill>
            <w14:solidFill>
              <w14:schemeClr w14:val="tx1"/>
            </w14:solidFill>
          </w14:textFill>
        </w:rPr>
      </w:pPr>
    </w:p>
    <w:p>
      <w:pPr>
        <w:spacing w:after="320" w:line="353" w:lineRule="exact"/>
        <w:ind w:firstLine="420"/>
        <w:rPr>
          <w:rFonts w:ascii="宋体" w:hAnsi="宋体" w:cs="宋体"/>
          <w:color w:val="000000" w:themeColor="text1"/>
          <w:kern w:val="0"/>
          <w:sz w:val="20"/>
          <w:szCs w:val="20"/>
          <w:lang w:val="zh-CN" w:bidi="zh-CN"/>
          <w14:textFill>
            <w14:solidFill>
              <w14:schemeClr w14:val="tx1"/>
            </w14:solidFill>
          </w14:textFill>
        </w:rPr>
      </w:pPr>
      <w:r>
        <w:rPr>
          <w:rFonts w:hint="eastAsia" w:ascii="宋体" w:hAnsi="宋体" w:cs="宋体"/>
          <w:color w:val="000000" w:themeColor="text1"/>
          <w:kern w:val="0"/>
          <w:sz w:val="20"/>
          <w:szCs w:val="20"/>
          <w:lang w:val="zh-CN" w:bidi="zh-CN"/>
          <w14:textFill>
            <w14:solidFill>
              <w14:schemeClr w14:val="tx1"/>
            </w14:solidFill>
          </w14:textFill>
        </w:rPr>
        <w:t>注：①主要人员指项目经理、技术负责人、安全管理员、质量管理员及其它主要人员。 每个人员按照以上格式填写（可扩展为多页）。</w:t>
      </w:r>
    </w:p>
    <w:p>
      <w:pPr>
        <w:pStyle w:val="4"/>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4"/>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三、拟分包计划表</w:t>
      </w:r>
    </w:p>
    <w:p>
      <w:pPr>
        <w:pStyle w:val="180"/>
        <w:jc w:val="center"/>
        <w:rPr>
          <w:rFonts w:ascii="宋体" w:hAnsi="宋体" w:cs="宋体"/>
          <w:b/>
          <w:color w:val="000000" w:themeColor="text1"/>
          <w:szCs w:val="21"/>
          <w14:textFill>
            <w14:solidFill>
              <w14:schemeClr w14:val="tx1"/>
            </w14:solidFill>
          </w14:textFill>
        </w:rPr>
      </w:pPr>
    </w:p>
    <w:tbl>
      <w:tblPr>
        <w:tblStyle w:val="4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号</w:t>
            </w:r>
          </w:p>
        </w:tc>
        <w:tc>
          <w:tcPr>
            <w:tcW w:w="1843"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拟分包项目名称、范围及理由</w:t>
            </w:r>
          </w:p>
        </w:tc>
        <w:tc>
          <w:tcPr>
            <w:tcW w:w="5111" w:type="dxa"/>
            <w:gridSpan w:val="5"/>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拟选分包人</w:t>
            </w:r>
          </w:p>
        </w:tc>
        <w:tc>
          <w:tcPr>
            <w:tcW w:w="1268"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843"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701" w:type="dxa"/>
            <w:gridSpan w:val="2"/>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拟选分包人名称</w:t>
            </w:r>
          </w:p>
        </w:tc>
        <w:tc>
          <w:tcPr>
            <w:tcW w:w="112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注册地点</w:t>
            </w:r>
          </w:p>
        </w:tc>
        <w:tc>
          <w:tcPr>
            <w:tcW w:w="109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w:t>
            </w:r>
          </w:p>
        </w:tc>
        <w:tc>
          <w:tcPr>
            <w:tcW w:w="119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有关业绩</w:t>
            </w:r>
          </w:p>
        </w:tc>
        <w:tc>
          <w:tcPr>
            <w:tcW w:w="1268" w:type="dxa"/>
            <w:vMerge w:val="continue"/>
            <w:vAlign w:val="center"/>
          </w:tcPr>
          <w:p>
            <w:pPr>
              <w:widowControl/>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pPr>
              <w:jc w:val="center"/>
              <w:rPr>
                <w:rFonts w:ascii="宋体" w:hAnsi="宋体" w:cs="宋体"/>
                <w:color w:val="000000" w:themeColor="text1"/>
                <w14:textFill>
                  <w14:solidFill>
                    <w14:schemeClr w14:val="tx1"/>
                  </w14:solidFill>
                </w14:textFill>
              </w:rPr>
            </w:pPr>
          </w:p>
        </w:tc>
        <w:tc>
          <w:tcPr>
            <w:tcW w:w="1843" w:type="dxa"/>
            <w:vMerge w:val="restart"/>
            <w:vAlign w:val="center"/>
          </w:tcPr>
          <w:p>
            <w:pPr>
              <w:jc w:val="center"/>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843"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843"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pPr>
              <w:jc w:val="center"/>
              <w:rPr>
                <w:rFonts w:ascii="宋体" w:hAnsi="宋体" w:cs="宋体"/>
                <w:color w:val="000000" w:themeColor="text1"/>
                <w14:textFill>
                  <w14:solidFill>
                    <w14:schemeClr w14:val="tx1"/>
                  </w14:solidFill>
                </w14:textFill>
              </w:rPr>
            </w:pPr>
          </w:p>
        </w:tc>
        <w:tc>
          <w:tcPr>
            <w:tcW w:w="1843" w:type="dxa"/>
            <w:vMerge w:val="restart"/>
            <w:vAlign w:val="center"/>
          </w:tcPr>
          <w:p>
            <w:pPr>
              <w:jc w:val="center"/>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843"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1843" w:type="dxa"/>
            <w:vMerge w:val="continue"/>
            <w:vAlign w:val="center"/>
          </w:tcPr>
          <w:p>
            <w:pPr>
              <w:widowControl/>
              <w:jc w:val="left"/>
              <w:rPr>
                <w:rFonts w:ascii="宋体" w:hAnsi="宋体" w:cs="宋体"/>
                <w:color w:val="000000" w:themeColor="text1"/>
                <w14:textFill>
                  <w14:solidFill>
                    <w14:schemeClr w14:val="tx1"/>
                  </w14:solidFill>
                </w14:textFill>
              </w:rPr>
            </w:pPr>
          </w:p>
        </w:tc>
        <w:tc>
          <w:tcPr>
            <w:tcW w:w="75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950" w:type="dxa"/>
            <w:vAlign w:val="center"/>
          </w:tcPr>
          <w:p>
            <w:pPr>
              <w:jc w:val="center"/>
              <w:rPr>
                <w:rFonts w:ascii="宋体" w:hAnsi="宋体" w:cs="宋体"/>
                <w:color w:val="000000" w:themeColor="text1"/>
                <w14:textFill>
                  <w14:solidFill>
                    <w14:schemeClr w14:val="tx1"/>
                  </w14:solidFill>
                </w14:textFill>
              </w:rPr>
            </w:pPr>
          </w:p>
        </w:tc>
        <w:tc>
          <w:tcPr>
            <w:tcW w:w="1123" w:type="dxa"/>
            <w:vAlign w:val="center"/>
          </w:tcPr>
          <w:p>
            <w:pPr>
              <w:jc w:val="center"/>
              <w:rPr>
                <w:rFonts w:ascii="宋体" w:hAnsi="宋体" w:cs="宋体"/>
                <w:color w:val="000000" w:themeColor="text1"/>
                <w14:textFill>
                  <w14:solidFill>
                    <w14:schemeClr w14:val="tx1"/>
                  </w14:solidFill>
                </w14:textFill>
              </w:rPr>
            </w:pPr>
          </w:p>
        </w:tc>
        <w:tc>
          <w:tcPr>
            <w:tcW w:w="1090" w:type="dxa"/>
            <w:vAlign w:val="center"/>
          </w:tcPr>
          <w:p>
            <w:pPr>
              <w:jc w:val="center"/>
              <w:rPr>
                <w:rFonts w:ascii="宋体" w:hAnsi="宋体" w:cs="宋体"/>
                <w:color w:val="000000" w:themeColor="text1"/>
                <w14:textFill>
                  <w14:solidFill>
                    <w14:schemeClr w14:val="tx1"/>
                  </w14:solidFill>
                </w14:textFill>
              </w:rPr>
            </w:pPr>
          </w:p>
        </w:tc>
        <w:tc>
          <w:tcPr>
            <w:tcW w:w="1197" w:type="dxa"/>
            <w:vAlign w:val="center"/>
          </w:tcPr>
          <w:p>
            <w:pPr>
              <w:jc w:val="center"/>
              <w:rPr>
                <w:rFonts w:ascii="宋体" w:hAnsi="宋体" w:cs="宋体"/>
                <w:color w:val="000000" w:themeColor="text1"/>
                <w14:textFill>
                  <w14:solidFill>
                    <w14:schemeClr w14:val="tx1"/>
                  </w14:solidFill>
                </w14:textFill>
              </w:rPr>
            </w:pPr>
          </w:p>
        </w:tc>
        <w:tc>
          <w:tcPr>
            <w:tcW w:w="1268" w:type="dxa"/>
            <w:vAlign w:val="center"/>
          </w:tcPr>
          <w:p>
            <w:pPr>
              <w:jc w:val="center"/>
              <w:rPr>
                <w:rFonts w:ascii="宋体" w:hAnsi="宋体" w:cs="宋体"/>
                <w:color w:val="000000" w:themeColor="text1"/>
                <w14:textFill>
                  <w14:solidFill>
                    <w14:schemeClr w14:val="tx1"/>
                  </w14:solidFill>
                </w14:textFill>
              </w:rPr>
            </w:pPr>
          </w:p>
        </w:tc>
      </w:tr>
    </w:tbl>
    <w:p>
      <w:pPr>
        <w:spacing w:line="440" w:lineRule="exact"/>
        <w:ind w:right="42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备注：本表所列分包仅限于承包人自行施工范围内的非主体、非关键工程。</w:t>
      </w:r>
    </w:p>
    <w:p>
      <w:pPr>
        <w:wordWrap w:val="0"/>
        <w:spacing w:line="440" w:lineRule="exact"/>
        <w:ind w:right="420"/>
        <w:jc w:val="right"/>
        <w:rPr>
          <w:rFonts w:ascii="宋体" w:hAnsi="宋体" w:cs="宋体"/>
          <w:color w:val="000000" w:themeColor="text1"/>
          <w14:textFill>
            <w14:solidFill>
              <w14:schemeClr w14:val="tx1"/>
            </w14:solidFill>
          </w14:textFill>
        </w:rPr>
      </w:pPr>
    </w:p>
    <w:p>
      <w:pPr>
        <w:spacing w:line="440" w:lineRule="exact"/>
        <w:ind w:right="42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spacing w:line="360" w:lineRule="auto"/>
        <w:ind w:firstLine="490"/>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0000000000000000000"/>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gnJ80BAACnAwAADgAAAGRycy9lMm9Eb2MueG1srVPNjtMwEL4j8Q6W&#10;7zRpD0sV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N5w5YenBLz++X37+vvz6xl4n&#10;eXqPFVXde6qLw1sYaGnmOFIwsR7aYNOX+DDKk7jnq7hqiEymS+vVel1SSlJudgi/eLjuA8Z3CixL&#10;Rs0DvV4WVZw+YBxL55LUzcGdNia/oHF/BQhzjKi8AtPtxGScOFlx2A8TvT00Z2LX0xrU3NHWc2be&#10;O1I5bcxshNnYz8bRB33oaNBlnhL9m2OkkfKkqcMISwyTQ++XuU67lhbksZ+rHv6v7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5gnJ80BAACnAwAADgAAAAAAAAABACAAAAAeAQAAZHJzL2Uy&#10;b0RvYy54bWxQSwUGAAAAAAYABgBZAQAAXQ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E55D1"/>
    <w:multiLevelType w:val="multilevel"/>
    <w:tmpl w:val="049E55D1"/>
    <w:lvl w:ilvl="0" w:tentative="0">
      <w:start w:val="1"/>
      <w:numFmt w:val="decimal"/>
      <w:pStyle w:val="142"/>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64"/>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61"/>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47"/>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46"/>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52"/>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53"/>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43"/>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cs="Times New Roman"/>
      </w:rPr>
    </w:lvl>
  </w:abstractNum>
  <w:abstractNum w:abstractNumId="1">
    <w:nsid w:val="0C48645C"/>
    <w:multiLevelType w:val="multilevel"/>
    <w:tmpl w:val="0C48645C"/>
    <w:lvl w:ilvl="0" w:tentative="0">
      <w:start w:val="1"/>
      <w:numFmt w:val="decimal"/>
      <w:pStyle w:val="145"/>
      <w:lvlText w:val="(%1)"/>
      <w:lvlJc w:val="left"/>
      <w:pPr>
        <w:tabs>
          <w:tab w:val="left" w:pos="680"/>
        </w:tabs>
        <w:ind w:left="680" w:hanging="680"/>
      </w:pPr>
      <w:rPr>
        <w:rFonts w:hint="default" w:cs="Times New Roman"/>
        <w:b/>
        <w:bCs/>
        <w:i w:val="0"/>
        <w:iCs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14EF5680"/>
    <w:multiLevelType w:val="singleLevel"/>
    <w:tmpl w:val="14EF5680"/>
    <w:lvl w:ilvl="0" w:tentative="0">
      <w:start w:val="1"/>
      <w:numFmt w:val="decimal"/>
      <w:pStyle w:val="155"/>
      <w:lvlText w:val="%1."/>
      <w:lvlJc w:val="left"/>
      <w:pPr>
        <w:tabs>
          <w:tab w:val="left" w:pos="480"/>
        </w:tabs>
        <w:ind w:left="480" w:hanging="480"/>
      </w:pPr>
      <w:rPr>
        <w:rFonts w:hint="default" w:cs="Times New Roman"/>
        <w:sz w:val="23"/>
        <w:szCs w:val="23"/>
      </w:rPr>
    </w:lvl>
  </w:abstractNum>
  <w:abstractNum w:abstractNumId="3">
    <w:nsid w:val="1C9EC1FF"/>
    <w:multiLevelType w:val="singleLevel"/>
    <w:tmpl w:val="1C9EC1FF"/>
    <w:lvl w:ilvl="0" w:tentative="0">
      <w:start w:val="1"/>
      <w:numFmt w:val="decimal"/>
      <w:suff w:val="nothing"/>
      <w:lvlText w:val="（%1）"/>
      <w:lvlJc w:val="left"/>
    </w:lvl>
  </w:abstractNum>
  <w:abstractNum w:abstractNumId="4">
    <w:nsid w:val="1F1D40C7"/>
    <w:multiLevelType w:val="multilevel"/>
    <w:tmpl w:val="1F1D40C7"/>
    <w:lvl w:ilvl="0" w:tentative="0">
      <w:start w:val="1"/>
      <w:numFmt w:val="japaneseCounting"/>
      <w:lvlText w:val="第%1章"/>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C3189F"/>
    <w:multiLevelType w:val="multilevel"/>
    <w:tmpl w:val="32C318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EC4BDC"/>
    <w:multiLevelType w:val="multilevel"/>
    <w:tmpl w:val="57EC4BDC"/>
    <w:lvl w:ilvl="0" w:tentative="0">
      <w:start w:val="1"/>
      <w:numFmt w:val="chineseCountingThousand"/>
      <w:pStyle w:val="3"/>
      <w:lvlText w:val="第%1条."/>
      <w:lvlJc w:val="left"/>
      <w:pPr>
        <w:tabs>
          <w:tab w:val="left" w:pos="1080"/>
        </w:tabs>
      </w:pPr>
      <w:rPr>
        <w:rFonts w:cs="Times New Roman"/>
      </w:rPr>
    </w:lvl>
    <w:lvl w:ilvl="1" w:tentative="0">
      <w:start w:val="1"/>
      <w:numFmt w:val="decimal"/>
      <w:lvlText w:val="3.%2."/>
      <w:lvlJc w:val="left"/>
      <w:pPr>
        <w:tabs>
          <w:tab w:val="left" w:pos="1140"/>
        </w:tabs>
        <w:ind w:left="420"/>
      </w:pPr>
      <w:rPr>
        <w:rFonts w:hint="eastAsia" w:cs="Times New Roman"/>
        <w:b/>
        <w:bCs/>
        <w:i w:val="0"/>
        <w:iCs w:val="0"/>
        <w:caps w:val="0"/>
        <w:strike w:val="0"/>
        <w:dstrike w:val="0"/>
        <w:shadow w:val="0"/>
        <w:emboss w:val="0"/>
        <w:imprint w:val="0"/>
        <w:vanish w:val="0"/>
        <w:sz w:val="24"/>
        <w:szCs w:val="24"/>
        <w:vertAlign w:val="baseline"/>
      </w:rPr>
    </w:lvl>
    <w:lvl w:ilvl="2" w:tentative="0">
      <w:start w:val="1"/>
      <w:numFmt w:val="decimal"/>
      <w:lvlText w:val="4.%3."/>
      <w:lvlJc w:val="left"/>
      <w:pPr>
        <w:tabs>
          <w:tab w:val="left" w:pos="1560"/>
        </w:tabs>
        <w:ind w:left="840"/>
      </w:pPr>
      <w:rPr>
        <w:rFonts w:hint="eastAsia" w:ascii="宋体" w:eastAsia="宋体" w:cs="Times New Roman"/>
        <w:b/>
        <w:bCs/>
        <w:i w:val="0"/>
        <w:iCs w:val="0"/>
        <w:caps w:val="0"/>
        <w:strike w:val="0"/>
        <w:dstrike w:val="0"/>
        <w:outline w:val="0"/>
        <w:shadow w:val="0"/>
        <w:emboss w:val="0"/>
        <w:imprint w:val="0"/>
        <w:vanish w:val="0"/>
        <w:sz w:val="24"/>
        <w:szCs w:val="24"/>
        <w:vertAlign w:val="baseline"/>
      </w:rPr>
    </w:lvl>
    <w:lvl w:ilvl="3" w:tentative="0">
      <w:start w:val="1"/>
      <w:numFmt w:val="decimal"/>
      <w:lvlText w:val="6.%4."/>
      <w:lvlJc w:val="left"/>
      <w:pPr>
        <w:tabs>
          <w:tab w:val="left" w:pos="1980"/>
        </w:tabs>
        <w:ind w:left="1260"/>
      </w:pPr>
      <w:rPr>
        <w:rFonts w:hint="eastAsia" w:ascii="宋体" w:eastAsia="宋体" w:cs="Times New Roman"/>
        <w:b/>
        <w:bCs/>
        <w:i w:val="0"/>
        <w:iCs w:val="0"/>
        <w:caps w:val="0"/>
        <w:strike w:val="0"/>
        <w:dstrike w:val="0"/>
        <w:outline w:val="0"/>
        <w:shadow w:val="0"/>
        <w:emboss w:val="0"/>
        <w:imprint w:val="0"/>
        <w:vanish w:val="0"/>
        <w:sz w:val="24"/>
        <w:szCs w:val="24"/>
        <w:vertAlign w:val="baseline"/>
      </w:rPr>
    </w:lvl>
    <w:lvl w:ilvl="4" w:tentative="0">
      <w:start w:val="1"/>
      <w:numFmt w:val="decimal"/>
      <w:lvlText w:val="12.%5."/>
      <w:lvlJc w:val="left"/>
      <w:pPr>
        <w:tabs>
          <w:tab w:val="left" w:pos="2400"/>
        </w:tabs>
        <w:ind w:left="1680"/>
      </w:pPr>
      <w:rPr>
        <w:rFonts w:hint="eastAsia" w:ascii="宋体" w:eastAsia="宋体" w:cs="Times New Roman"/>
        <w:b/>
        <w:bCs/>
        <w:i w:val="0"/>
        <w:iCs w:val="0"/>
        <w:caps w:val="0"/>
        <w:strike w:val="0"/>
        <w:dstrike w:val="0"/>
        <w:outline w:val="0"/>
        <w:shadow w:val="0"/>
        <w:emboss w:val="0"/>
        <w:imprint w:val="0"/>
        <w:vanish w:val="0"/>
        <w:sz w:val="24"/>
        <w:szCs w:val="24"/>
        <w:vertAlign w:val="baseline"/>
      </w:rPr>
    </w:lvl>
    <w:lvl w:ilvl="5" w:tentative="0">
      <w:start w:val="10"/>
      <w:numFmt w:val="decimal"/>
      <w:lvlText w:val="%6．"/>
      <w:lvlJc w:val="left"/>
      <w:pPr>
        <w:tabs>
          <w:tab w:val="left" w:pos="2820"/>
        </w:tabs>
        <w:ind w:left="2820" w:hanging="720"/>
      </w:pPr>
      <w:rPr>
        <w:rFonts w:hint="default"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9420846"/>
    <w:multiLevelType w:val="singleLevel"/>
    <w:tmpl w:val="59420846"/>
    <w:lvl w:ilvl="0" w:tentative="0">
      <w:start w:val="1"/>
      <w:numFmt w:val="decimal"/>
      <w:suff w:val="nothing"/>
      <w:lvlText w:val="(%1)"/>
      <w:lvlJc w:val="left"/>
    </w:lvl>
  </w:abstractNum>
  <w:abstractNum w:abstractNumId="8">
    <w:nsid w:val="6AF0C405"/>
    <w:multiLevelType w:val="singleLevel"/>
    <w:tmpl w:val="6AF0C405"/>
    <w:lvl w:ilvl="0" w:tentative="0">
      <w:start w:val="6"/>
      <w:numFmt w:val="chineseCounting"/>
      <w:suff w:val="nothing"/>
      <w:lvlText w:val="%1、"/>
      <w:lvlJc w:val="left"/>
      <w:rPr>
        <w:rFonts w:hint="eastAsia" w:cs="Times New Roman"/>
      </w:rPr>
    </w:lvl>
  </w:abstractNum>
  <w:abstractNum w:abstractNumId="9">
    <w:nsid w:val="6B5030ED"/>
    <w:multiLevelType w:val="singleLevel"/>
    <w:tmpl w:val="6B5030ED"/>
    <w:lvl w:ilvl="0" w:tentative="0">
      <w:start w:val="1"/>
      <w:numFmt w:val="decimal"/>
      <w:pStyle w:val="158"/>
      <w:lvlText w:val="(%1)"/>
      <w:lvlJc w:val="left"/>
      <w:pPr>
        <w:tabs>
          <w:tab w:val="left" w:pos="567"/>
        </w:tabs>
        <w:ind w:left="567" w:hanging="567"/>
      </w:pPr>
      <w:rPr>
        <w:rFonts w:hint="eastAsia" w:cs="Times New Roman"/>
        <w:b/>
        <w:bCs/>
        <w:i w:val="0"/>
        <w:iCs w:val="0"/>
        <w:sz w:val="23"/>
        <w:szCs w:val="23"/>
      </w:rPr>
    </w:lvl>
  </w:abstractNum>
  <w:abstractNum w:abstractNumId="10">
    <w:nsid w:val="77633242"/>
    <w:multiLevelType w:val="singleLevel"/>
    <w:tmpl w:val="7763324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77633244"/>
    <w:multiLevelType w:val="singleLevel"/>
    <w:tmpl w:val="7763324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6"/>
  </w:num>
  <w:num w:numId="2">
    <w:abstractNumId w:val="0"/>
  </w:num>
  <w:num w:numId="3">
    <w:abstractNumId w:val="1"/>
  </w:num>
  <w:num w:numId="4">
    <w:abstractNumId w:val="2"/>
  </w:num>
  <w:num w:numId="5">
    <w:abstractNumId w:val="9"/>
  </w:num>
  <w:num w:numId="6">
    <w:abstractNumId w:val="4"/>
  </w:num>
  <w:num w:numId="7">
    <w:abstractNumId w:val="3"/>
  </w:num>
  <w:num w:numId="8">
    <w:abstractNumId w:val="7"/>
  </w:num>
  <w:num w:numId="9">
    <w:abstractNumId w:val="8"/>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ThmNmZiNTE1M2EyZDcyNTNlMjhkZmQxNTY5ODMifQ=="/>
  </w:docVars>
  <w:rsids>
    <w:rsidRoot w:val="002418ED"/>
    <w:rsid w:val="000014A2"/>
    <w:rsid w:val="00002432"/>
    <w:rsid w:val="0001376F"/>
    <w:rsid w:val="0002304B"/>
    <w:rsid w:val="00023AB5"/>
    <w:rsid w:val="00024C49"/>
    <w:rsid w:val="000257EE"/>
    <w:rsid w:val="00030597"/>
    <w:rsid w:val="00034E94"/>
    <w:rsid w:val="00056B68"/>
    <w:rsid w:val="00056FEF"/>
    <w:rsid w:val="00057752"/>
    <w:rsid w:val="000630EB"/>
    <w:rsid w:val="00063682"/>
    <w:rsid w:val="00065D5A"/>
    <w:rsid w:val="00071BB1"/>
    <w:rsid w:val="00074800"/>
    <w:rsid w:val="0007799F"/>
    <w:rsid w:val="00085BA8"/>
    <w:rsid w:val="000A0240"/>
    <w:rsid w:val="000A28CF"/>
    <w:rsid w:val="000A5ED0"/>
    <w:rsid w:val="000B1AFE"/>
    <w:rsid w:val="000D0C9B"/>
    <w:rsid w:val="000D70F6"/>
    <w:rsid w:val="000E2087"/>
    <w:rsid w:val="000E3F09"/>
    <w:rsid w:val="000E54DB"/>
    <w:rsid w:val="000E7603"/>
    <w:rsid w:val="000F062B"/>
    <w:rsid w:val="000F5BF0"/>
    <w:rsid w:val="00101AF8"/>
    <w:rsid w:val="0010762D"/>
    <w:rsid w:val="00107C9A"/>
    <w:rsid w:val="0011031D"/>
    <w:rsid w:val="001104B7"/>
    <w:rsid w:val="001131E3"/>
    <w:rsid w:val="001236EF"/>
    <w:rsid w:val="00127034"/>
    <w:rsid w:val="00136896"/>
    <w:rsid w:val="00137881"/>
    <w:rsid w:val="001517B4"/>
    <w:rsid w:val="0015297B"/>
    <w:rsid w:val="00160D22"/>
    <w:rsid w:val="0016262D"/>
    <w:rsid w:val="00163A3A"/>
    <w:rsid w:val="00175AED"/>
    <w:rsid w:val="0018680F"/>
    <w:rsid w:val="001A10A0"/>
    <w:rsid w:val="001C2C5D"/>
    <w:rsid w:val="001C30E0"/>
    <w:rsid w:val="001C315D"/>
    <w:rsid w:val="001C4249"/>
    <w:rsid w:val="001D2B86"/>
    <w:rsid w:val="001D452E"/>
    <w:rsid w:val="001D4F53"/>
    <w:rsid w:val="001E32A1"/>
    <w:rsid w:val="001E6DB6"/>
    <w:rsid w:val="001E7DC9"/>
    <w:rsid w:val="001F238E"/>
    <w:rsid w:val="001F5793"/>
    <w:rsid w:val="002041AC"/>
    <w:rsid w:val="00212D84"/>
    <w:rsid w:val="00220F42"/>
    <w:rsid w:val="00224890"/>
    <w:rsid w:val="002269DC"/>
    <w:rsid w:val="00232EFA"/>
    <w:rsid w:val="0023354C"/>
    <w:rsid w:val="00240AC6"/>
    <w:rsid w:val="002418ED"/>
    <w:rsid w:val="00246366"/>
    <w:rsid w:val="00246C1F"/>
    <w:rsid w:val="002472F6"/>
    <w:rsid w:val="002477E0"/>
    <w:rsid w:val="00250696"/>
    <w:rsid w:val="00250BF0"/>
    <w:rsid w:val="00251F98"/>
    <w:rsid w:val="002532DF"/>
    <w:rsid w:val="00256659"/>
    <w:rsid w:val="00261E34"/>
    <w:rsid w:val="00262579"/>
    <w:rsid w:val="0026648C"/>
    <w:rsid w:val="0026708E"/>
    <w:rsid w:val="002672B8"/>
    <w:rsid w:val="00273957"/>
    <w:rsid w:val="00282E75"/>
    <w:rsid w:val="002906F6"/>
    <w:rsid w:val="002A0632"/>
    <w:rsid w:val="002A22AE"/>
    <w:rsid w:val="002A4CB1"/>
    <w:rsid w:val="002B2944"/>
    <w:rsid w:val="002C1B7C"/>
    <w:rsid w:val="002C2C3E"/>
    <w:rsid w:val="002C39A0"/>
    <w:rsid w:val="002C59CF"/>
    <w:rsid w:val="002C7051"/>
    <w:rsid w:val="002D5F2A"/>
    <w:rsid w:val="002E2CEA"/>
    <w:rsid w:val="00303276"/>
    <w:rsid w:val="003041D2"/>
    <w:rsid w:val="00306BE5"/>
    <w:rsid w:val="00307817"/>
    <w:rsid w:val="00320F84"/>
    <w:rsid w:val="003279C1"/>
    <w:rsid w:val="00336387"/>
    <w:rsid w:val="00337ED0"/>
    <w:rsid w:val="00346547"/>
    <w:rsid w:val="003538B6"/>
    <w:rsid w:val="00363E51"/>
    <w:rsid w:val="00367592"/>
    <w:rsid w:val="00376BFA"/>
    <w:rsid w:val="00376C37"/>
    <w:rsid w:val="003772C6"/>
    <w:rsid w:val="00383066"/>
    <w:rsid w:val="003907DC"/>
    <w:rsid w:val="00395214"/>
    <w:rsid w:val="003A7717"/>
    <w:rsid w:val="003A79DF"/>
    <w:rsid w:val="003B3FC0"/>
    <w:rsid w:val="003B7696"/>
    <w:rsid w:val="003B7E8B"/>
    <w:rsid w:val="003C4C7D"/>
    <w:rsid w:val="003C50A4"/>
    <w:rsid w:val="003C5915"/>
    <w:rsid w:val="003D5552"/>
    <w:rsid w:val="003D6A75"/>
    <w:rsid w:val="003E09AA"/>
    <w:rsid w:val="003E7C9C"/>
    <w:rsid w:val="003F17D4"/>
    <w:rsid w:val="003F2CBF"/>
    <w:rsid w:val="003F7B4A"/>
    <w:rsid w:val="003F7BCB"/>
    <w:rsid w:val="003F7DBB"/>
    <w:rsid w:val="00403C24"/>
    <w:rsid w:val="00404A86"/>
    <w:rsid w:val="00405FE8"/>
    <w:rsid w:val="00407E53"/>
    <w:rsid w:val="00414A13"/>
    <w:rsid w:val="004211D1"/>
    <w:rsid w:val="00422FC4"/>
    <w:rsid w:val="00425AA7"/>
    <w:rsid w:val="0043126B"/>
    <w:rsid w:val="00431815"/>
    <w:rsid w:val="004353E0"/>
    <w:rsid w:val="0044406E"/>
    <w:rsid w:val="00446D84"/>
    <w:rsid w:val="00456FE4"/>
    <w:rsid w:val="00460FCD"/>
    <w:rsid w:val="00470083"/>
    <w:rsid w:val="00470F18"/>
    <w:rsid w:val="00472461"/>
    <w:rsid w:val="00472FFB"/>
    <w:rsid w:val="00473FD1"/>
    <w:rsid w:val="00480E69"/>
    <w:rsid w:val="00485BD1"/>
    <w:rsid w:val="00487CDD"/>
    <w:rsid w:val="00496F6F"/>
    <w:rsid w:val="004975BA"/>
    <w:rsid w:val="004B5B04"/>
    <w:rsid w:val="004B604B"/>
    <w:rsid w:val="004B661B"/>
    <w:rsid w:val="004C57DA"/>
    <w:rsid w:val="004D333F"/>
    <w:rsid w:val="004D5646"/>
    <w:rsid w:val="004E0D0A"/>
    <w:rsid w:val="004E49D5"/>
    <w:rsid w:val="004F14A0"/>
    <w:rsid w:val="00506DC4"/>
    <w:rsid w:val="005126BC"/>
    <w:rsid w:val="005228CA"/>
    <w:rsid w:val="00526F20"/>
    <w:rsid w:val="0052705D"/>
    <w:rsid w:val="0053093C"/>
    <w:rsid w:val="00533841"/>
    <w:rsid w:val="00543553"/>
    <w:rsid w:val="00546A96"/>
    <w:rsid w:val="005518BE"/>
    <w:rsid w:val="00556C2D"/>
    <w:rsid w:val="00557988"/>
    <w:rsid w:val="00560684"/>
    <w:rsid w:val="00564AEF"/>
    <w:rsid w:val="00574D24"/>
    <w:rsid w:val="005757F0"/>
    <w:rsid w:val="00580893"/>
    <w:rsid w:val="00583184"/>
    <w:rsid w:val="00586B75"/>
    <w:rsid w:val="00587A99"/>
    <w:rsid w:val="00592A80"/>
    <w:rsid w:val="005949FD"/>
    <w:rsid w:val="005A32B3"/>
    <w:rsid w:val="005A6562"/>
    <w:rsid w:val="005B1167"/>
    <w:rsid w:val="005B1235"/>
    <w:rsid w:val="005C073A"/>
    <w:rsid w:val="005C115F"/>
    <w:rsid w:val="005C592B"/>
    <w:rsid w:val="005D5350"/>
    <w:rsid w:val="005D68E7"/>
    <w:rsid w:val="005E0094"/>
    <w:rsid w:val="005E0314"/>
    <w:rsid w:val="005E312A"/>
    <w:rsid w:val="005E3BEB"/>
    <w:rsid w:val="005E5D80"/>
    <w:rsid w:val="005E6B61"/>
    <w:rsid w:val="005F1F68"/>
    <w:rsid w:val="005F5881"/>
    <w:rsid w:val="005F6473"/>
    <w:rsid w:val="0062268C"/>
    <w:rsid w:val="00623DED"/>
    <w:rsid w:val="0062644F"/>
    <w:rsid w:val="006271C2"/>
    <w:rsid w:val="00627843"/>
    <w:rsid w:val="0063257F"/>
    <w:rsid w:val="0063359A"/>
    <w:rsid w:val="00636B9A"/>
    <w:rsid w:val="00637A90"/>
    <w:rsid w:val="00637D82"/>
    <w:rsid w:val="00645FFC"/>
    <w:rsid w:val="006467DB"/>
    <w:rsid w:val="00652B07"/>
    <w:rsid w:val="00652F80"/>
    <w:rsid w:val="00661399"/>
    <w:rsid w:val="006635C9"/>
    <w:rsid w:val="006653D6"/>
    <w:rsid w:val="0067487A"/>
    <w:rsid w:val="00682900"/>
    <w:rsid w:val="0068407E"/>
    <w:rsid w:val="006A2192"/>
    <w:rsid w:val="006A436E"/>
    <w:rsid w:val="006B03BA"/>
    <w:rsid w:val="006B18D3"/>
    <w:rsid w:val="006B6D6A"/>
    <w:rsid w:val="006C29E5"/>
    <w:rsid w:val="006C309D"/>
    <w:rsid w:val="006C34CF"/>
    <w:rsid w:val="006D48DE"/>
    <w:rsid w:val="006E60BB"/>
    <w:rsid w:val="006F1267"/>
    <w:rsid w:val="006F5836"/>
    <w:rsid w:val="00700BFD"/>
    <w:rsid w:val="00701F9C"/>
    <w:rsid w:val="00705191"/>
    <w:rsid w:val="00706198"/>
    <w:rsid w:val="00715178"/>
    <w:rsid w:val="0071551A"/>
    <w:rsid w:val="00720129"/>
    <w:rsid w:val="0072264F"/>
    <w:rsid w:val="00726C74"/>
    <w:rsid w:val="0072738E"/>
    <w:rsid w:val="0073273B"/>
    <w:rsid w:val="007328EA"/>
    <w:rsid w:val="00733090"/>
    <w:rsid w:val="00737EAA"/>
    <w:rsid w:val="007442E0"/>
    <w:rsid w:val="00746687"/>
    <w:rsid w:val="0075003A"/>
    <w:rsid w:val="00751256"/>
    <w:rsid w:val="00753809"/>
    <w:rsid w:val="00756DA5"/>
    <w:rsid w:val="007615EE"/>
    <w:rsid w:val="0078108B"/>
    <w:rsid w:val="00786127"/>
    <w:rsid w:val="007A140A"/>
    <w:rsid w:val="007A7DC5"/>
    <w:rsid w:val="007B1A94"/>
    <w:rsid w:val="007B3BFD"/>
    <w:rsid w:val="007B790C"/>
    <w:rsid w:val="007C5900"/>
    <w:rsid w:val="007C5C0F"/>
    <w:rsid w:val="007D41A5"/>
    <w:rsid w:val="007D5C47"/>
    <w:rsid w:val="007D5D20"/>
    <w:rsid w:val="007E23C6"/>
    <w:rsid w:val="007E4811"/>
    <w:rsid w:val="007E64F6"/>
    <w:rsid w:val="007F2288"/>
    <w:rsid w:val="007F3E0F"/>
    <w:rsid w:val="007F6C2A"/>
    <w:rsid w:val="0080091A"/>
    <w:rsid w:val="00805ECC"/>
    <w:rsid w:val="00814FDA"/>
    <w:rsid w:val="0081751C"/>
    <w:rsid w:val="00820797"/>
    <w:rsid w:val="00820E2E"/>
    <w:rsid w:val="008222F1"/>
    <w:rsid w:val="00834A26"/>
    <w:rsid w:val="008431F4"/>
    <w:rsid w:val="008477DE"/>
    <w:rsid w:val="00860D24"/>
    <w:rsid w:val="0086353C"/>
    <w:rsid w:val="0087078E"/>
    <w:rsid w:val="008716B9"/>
    <w:rsid w:val="00875BA6"/>
    <w:rsid w:val="00876637"/>
    <w:rsid w:val="008811B3"/>
    <w:rsid w:val="0088518E"/>
    <w:rsid w:val="008939EB"/>
    <w:rsid w:val="00893A36"/>
    <w:rsid w:val="00893A84"/>
    <w:rsid w:val="00895414"/>
    <w:rsid w:val="0089756E"/>
    <w:rsid w:val="008A6D1A"/>
    <w:rsid w:val="008B2087"/>
    <w:rsid w:val="008B31D2"/>
    <w:rsid w:val="008B349F"/>
    <w:rsid w:val="008B3CE0"/>
    <w:rsid w:val="008B6574"/>
    <w:rsid w:val="008D082F"/>
    <w:rsid w:val="008D0BA6"/>
    <w:rsid w:val="008D2BE9"/>
    <w:rsid w:val="008E4088"/>
    <w:rsid w:val="008E6758"/>
    <w:rsid w:val="008E7C49"/>
    <w:rsid w:val="008F2002"/>
    <w:rsid w:val="008F693E"/>
    <w:rsid w:val="00900072"/>
    <w:rsid w:val="009027E3"/>
    <w:rsid w:val="009029B3"/>
    <w:rsid w:val="00912BBD"/>
    <w:rsid w:val="0091575E"/>
    <w:rsid w:val="00917680"/>
    <w:rsid w:val="00920E05"/>
    <w:rsid w:val="00925721"/>
    <w:rsid w:val="00926B9A"/>
    <w:rsid w:val="009335C6"/>
    <w:rsid w:val="00935851"/>
    <w:rsid w:val="0095169E"/>
    <w:rsid w:val="00953071"/>
    <w:rsid w:val="00955002"/>
    <w:rsid w:val="00956064"/>
    <w:rsid w:val="00960737"/>
    <w:rsid w:val="009613BC"/>
    <w:rsid w:val="00966C54"/>
    <w:rsid w:val="009673F3"/>
    <w:rsid w:val="009707B9"/>
    <w:rsid w:val="009737F6"/>
    <w:rsid w:val="00980557"/>
    <w:rsid w:val="00991042"/>
    <w:rsid w:val="0099135B"/>
    <w:rsid w:val="00993E7C"/>
    <w:rsid w:val="009949D5"/>
    <w:rsid w:val="009A149D"/>
    <w:rsid w:val="009B0695"/>
    <w:rsid w:val="009B2668"/>
    <w:rsid w:val="009B5818"/>
    <w:rsid w:val="009C2C89"/>
    <w:rsid w:val="009C4C59"/>
    <w:rsid w:val="009D2F13"/>
    <w:rsid w:val="009E2495"/>
    <w:rsid w:val="009E2943"/>
    <w:rsid w:val="009E2CC5"/>
    <w:rsid w:val="009F15FE"/>
    <w:rsid w:val="009F1600"/>
    <w:rsid w:val="009F68F4"/>
    <w:rsid w:val="009F6ACD"/>
    <w:rsid w:val="00A030DE"/>
    <w:rsid w:val="00A06630"/>
    <w:rsid w:val="00A07608"/>
    <w:rsid w:val="00A12A1A"/>
    <w:rsid w:val="00A163DB"/>
    <w:rsid w:val="00A205FB"/>
    <w:rsid w:val="00A20952"/>
    <w:rsid w:val="00A20A7A"/>
    <w:rsid w:val="00A22DAD"/>
    <w:rsid w:val="00A34128"/>
    <w:rsid w:val="00A37423"/>
    <w:rsid w:val="00A3742A"/>
    <w:rsid w:val="00A70478"/>
    <w:rsid w:val="00A7618E"/>
    <w:rsid w:val="00A776D4"/>
    <w:rsid w:val="00A85D3A"/>
    <w:rsid w:val="00A85F5F"/>
    <w:rsid w:val="00A91C9E"/>
    <w:rsid w:val="00A944C0"/>
    <w:rsid w:val="00A97810"/>
    <w:rsid w:val="00AA4E0E"/>
    <w:rsid w:val="00AA5E21"/>
    <w:rsid w:val="00AA6F9D"/>
    <w:rsid w:val="00AA763A"/>
    <w:rsid w:val="00AB474E"/>
    <w:rsid w:val="00AB5084"/>
    <w:rsid w:val="00AB5E7D"/>
    <w:rsid w:val="00AC459C"/>
    <w:rsid w:val="00AD3FD3"/>
    <w:rsid w:val="00AD42E3"/>
    <w:rsid w:val="00AD484B"/>
    <w:rsid w:val="00AD53C5"/>
    <w:rsid w:val="00AF2A5F"/>
    <w:rsid w:val="00AF5F26"/>
    <w:rsid w:val="00AF7F32"/>
    <w:rsid w:val="00B01008"/>
    <w:rsid w:val="00B0221D"/>
    <w:rsid w:val="00B119C1"/>
    <w:rsid w:val="00B14578"/>
    <w:rsid w:val="00B15087"/>
    <w:rsid w:val="00B20C97"/>
    <w:rsid w:val="00B21F1A"/>
    <w:rsid w:val="00B239FF"/>
    <w:rsid w:val="00B46E6E"/>
    <w:rsid w:val="00B52B82"/>
    <w:rsid w:val="00B540CF"/>
    <w:rsid w:val="00B5575C"/>
    <w:rsid w:val="00B56EC4"/>
    <w:rsid w:val="00B843BE"/>
    <w:rsid w:val="00B87D3E"/>
    <w:rsid w:val="00B9096B"/>
    <w:rsid w:val="00B9480B"/>
    <w:rsid w:val="00BA1BA6"/>
    <w:rsid w:val="00BB57D2"/>
    <w:rsid w:val="00BB5A52"/>
    <w:rsid w:val="00BC0668"/>
    <w:rsid w:val="00BC1F74"/>
    <w:rsid w:val="00BC2F68"/>
    <w:rsid w:val="00BC6558"/>
    <w:rsid w:val="00BD2C39"/>
    <w:rsid w:val="00BE2209"/>
    <w:rsid w:val="00BE7250"/>
    <w:rsid w:val="00C00ACC"/>
    <w:rsid w:val="00C01F53"/>
    <w:rsid w:val="00C06202"/>
    <w:rsid w:val="00C074B4"/>
    <w:rsid w:val="00C15076"/>
    <w:rsid w:val="00C2580F"/>
    <w:rsid w:val="00C27508"/>
    <w:rsid w:val="00C369CB"/>
    <w:rsid w:val="00C373E9"/>
    <w:rsid w:val="00C4459B"/>
    <w:rsid w:val="00C4570F"/>
    <w:rsid w:val="00C466FC"/>
    <w:rsid w:val="00C5149B"/>
    <w:rsid w:val="00C523A2"/>
    <w:rsid w:val="00C529C1"/>
    <w:rsid w:val="00C53BA4"/>
    <w:rsid w:val="00C637D5"/>
    <w:rsid w:val="00C679A7"/>
    <w:rsid w:val="00C7282A"/>
    <w:rsid w:val="00C759E2"/>
    <w:rsid w:val="00C82081"/>
    <w:rsid w:val="00C84926"/>
    <w:rsid w:val="00C84C37"/>
    <w:rsid w:val="00C957E3"/>
    <w:rsid w:val="00CB0F65"/>
    <w:rsid w:val="00CB3531"/>
    <w:rsid w:val="00CD280C"/>
    <w:rsid w:val="00CD5F37"/>
    <w:rsid w:val="00CD7969"/>
    <w:rsid w:val="00CE62D5"/>
    <w:rsid w:val="00CE7A05"/>
    <w:rsid w:val="00CF4CB7"/>
    <w:rsid w:val="00CF7D87"/>
    <w:rsid w:val="00D02750"/>
    <w:rsid w:val="00D05F23"/>
    <w:rsid w:val="00D11CEA"/>
    <w:rsid w:val="00D201D6"/>
    <w:rsid w:val="00D2062C"/>
    <w:rsid w:val="00D21575"/>
    <w:rsid w:val="00D247FA"/>
    <w:rsid w:val="00D260D1"/>
    <w:rsid w:val="00D305C6"/>
    <w:rsid w:val="00D4142A"/>
    <w:rsid w:val="00D4339C"/>
    <w:rsid w:val="00D528ED"/>
    <w:rsid w:val="00D545DC"/>
    <w:rsid w:val="00D56432"/>
    <w:rsid w:val="00D573E5"/>
    <w:rsid w:val="00D57C33"/>
    <w:rsid w:val="00D65FB7"/>
    <w:rsid w:val="00D66A2A"/>
    <w:rsid w:val="00D73CB8"/>
    <w:rsid w:val="00D74A39"/>
    <w:rsid w:val="00D8114D"/>
    <w:rsid w:val="00D81AA3"/>
    <w:rsid w:val="00D83D1C"/>
    <w:rsid w:val="00D84E82"/>
    <w:rsid w:val="00D865C8"/>
    <w:rsid w:val="00D90E4D"/>
    <w:rsid w:val="00D9371E"/>
    <w:rsid w:val="00D977C1"/>
    <w:rsid w:val="00D97DE9"/>
    <w:rsid w:val="00DA42D7"/>
    <w:rsid w:val="00DB0452"/>
    <w:rsid w:val="00DB455C"/>
    <w:rsid w:val="00DC1A87"/>
    <w:rsid w:val="00DC2184"/>
    <w:rsid w:val="00DC4F39"/>
    <w:rsid w:val="00DC51C1"/>
    <w:rsid w:val="00DD2337"/>
    <w:rsid w:val="00DD58AA"/>
    <w:rsid w:val="00DF2D8B"/>
    <w:rsid w:val="00DF6FDB"/>
    <w:rsid w:val="00E00171"/>
    <w:rsid w:val="00E0024B"/>
    <w:rsid w:val="00E01FF0"/>
    <w:rsid w:val="00E039FD"/>
    <w:rsid w:val="00E05743"/>
    <w:rsid w:val="00E1064F"/>
    <w:rsid w:val="00E16EB4"/>
    <w:rsid w:val="00E23A8D"/>
    <w:rsid w:val="00E244CB"/>
    <w:rsid w:val="00E30814"/>
    <w:rsid w:val="00E3120A"/>
    <w:rsid w:val="00E34E04"/>
    <w:rsid w:val="00E37777"/>
    <w:rsid w:val="00E4522F"/>
    <w:rsid w:val="00E46591"/>
    <w:rsid w:val="00E501BB"/>
    <w:rsid w:val="00E55F73"/>
    <w:rsid w:val="00E574A8"/>
    <w:rsid w:val="00E60A62"/>
    <w:rsid w:val="00E60C8C"/>
    <w:rsid w:val="00E66BAF"/>
    <w:rsid w:val="00E70461"/>
    <w:rsid w:val="00E7224F"/>
    <w:rsid w:val="00E734F9"/>
    <w:rsid w:val="00E82AA3"/>
    <w:rsid w:val="00E92ACF"/>
    <w:rsid w:val="00E93ECB"/>
    <w:rsid w:val="00E968F6"/>
    <w:rsid w:val="00EA0392"/>
    <w:rsid w:val="00EA10BB"/>
    <w:rsid w:val="00EC4429"/>
    <w:rsid w:val="00EC79F3"/>
    <w:rsid w:val="00EE2B69"/>
    <w:rsid w:val="00EE462C"/>
    <w:rsid w:val="00EE7999"/>
    <w:rsid w:val="00EF0908"/>
    <w:rsid w:val="00EF1855"/>
    <w:rsid w:val="00EF68F3"/>
    <w:rsid w:val="00F01FC6"/>
    <w:rsid w:val="00F02747"/>
    <w:rsid w:val="00F10E46"/>
    <w:rsid w:val="00F16F62"/>
    <w:rsid w:val="00F17750"/>
    <w:rsid w:val="00F2038F"/>
    <w:rsid w:val="00F23F91"/>
    <w:rsid w:val="00F24E46"/>
    <w:rsid w:val="00F30444"/>
    <w:rsid w:val="00F35D54"/>
    <w:rsid w:val="00F409AE"/>
    <w:rsid w:val="00F437E9"/>
    <w:rsid w:val="00F45F0C"/>
    <w:rsid w:val="00F52AEE"/>
    <w:rsid w:val="00F675F0"/>
    <w:rsid w:val="00F7096A"/>
    <w:rsid w:val="00F728FF"/>
    <w:rsid w:val="00F82954"/>
    <w:rsid w:val="00F8397F"/>
    <w:rsid w:val="00F85C8C"/>
    <w:rsid w:val="00F86DFD"/>
    <w:rsid w:val="00F94C39"/>
    <w:rsid w:val="00F95F98"/>
    <w:rsid w:val="00FB07AC"/>
    <w:rsid w:val="00FC2035"/>
    <w:rsid w:val="00FC25C7"/>
    <w:rsid w:val="00FC35C9"/>
    <w:rsid w:val="00FC7354"/>
    <w:rsid w:val="00FC79ED"/>
    <w:rsid w:val="00FD06A1"/>
    <w:rsid w:val="00FD1E04"/>
    <w:rsid w:val="00FD283A"/>
    <w:rsid w:val="00FE0856"/>
    <w:rsid w:val="00FE1E5F"/>
    <w:rsid w:val="00FE66A4"/>
    <w:rsid w:val="00FF072E"/>
    <w:rsid w:val="00FF361F"/>
    <w:rsid w:val="00FF4380"/>
    <w:rsid w:val="00FF703B"/>
    <w:rsid w:val="012704DB"/>
    <w:rsid w:val="015F2C67"/>
    <w:rsid w:val="01912C7E"/>
    <w:rsid w:val="01D712F7"/>
    <w:rsid w:val="01E81FA3"/>
    <w:rsid w:val="02581A73"/>
    <w:rsid w:val="02777BFD"/>
    <w:rsid w:val="027B5769"/>
    <w:rsid w:val="02A82E12"/>
    <w:rsid w:val="03885BC9"/>
    <w:rsid w:val="04B876FB"/>
    <w:rsid w:val="04ED4EAC"/>
    <w:rsid w:val="07311744"/>
    <w:rsid w:val="073B11D3"/>
    <w:rsid w:val="075704B6"/>
    <w:rsid w:val="07F20CD1"/>
    <w:rsid w:val="089805FD"/>
    <w:rsid w:val="09A456FA"/>
    <w:rsid w:val="0A387753"/>
    <w:rsid w:val="0A552A4D"/>
    <w:rsid w:val="0A5D3BA5"/>
    <w:rsid w:val="0A966ECD"/>
    <w:rsid w:val="0BE12DE2"/>
    <w:rsid w:val="0C2A23F3"/>
    <w:rsid w:val="0C342609"/>
    <w:rsid w:val="0C4E1CAD"/>
    <w:rsid w:val="0C6D435C"/>
    <w:rsid w:val="0CD50E36"/>
    <w:rsid w:val="0D923B5A"/>
    <w:rsid w:val="0DE63B13"/>
    <w:rsid w:val="0F276495"/>
    <w:rsid w:val="0F6570BF"/>
    <w:rsid w:val="0F995C92"/>
    <w:rsid w:val="10426CF0"/>
    <w:rsid w:val="11273C7A"/>
    <w:rsid w:val="1186305E"/>
    <w:rsid w:val="12AF277F"/>
    <w:rsid w:val="134B6BA7"/>
    <w:rsid w:val="137D5A29"/>
    <w:rsid w:val="13B234C6"/>
    <w:rsid w:val="1431595D"/>
    <w:rsid w:val="144A13CC"/>
    <w:rsid w:val="15665530"/>
    <w:rsid w:val="162B0E36"/>
    <w:rsid w:val="167232D9"/>
    <w:rsid w:val="16F94B6D"/>
    <w:rsid w:val="17FC48F2"/>
    <w:rsid w:val="181F42DC"/>
    <w:rsid w:val="187A6476"/>
    <w:rsid w:val="19A9778D"/>
    <w:rsid w:val="1A72516B"/>
    <w:rsid w:val="1A947E2C"/>
    <w:rsid w:val="1AD16643"/>
    <w:rsid w:val="1AFA1194"/>
    <w:rsid w:val="1B883914"/>
    <w:rsid w:val="1B9054B2"/>
    <w:rsid w:val="1C5D337B"/>
    <w:rsid w:val="1CA170E3"/>
    <w:rsid w:val="1D1F42B0"/>
    <w:rsid w:val="1D21751F"/>
    <w:rsid w:val="1D980780"/>
    <w:rsid w:val="1DA75517"/>
    <w:rsid w:val="1DC70DFB"/>
    <w:rsid w:val="1DCA1C2E"/>
    <w:rsid w:val="1DF23CCF"/>
    <w:rsid w:val="1E550C5C"/>
    <w:rsid w:val="1FB62E02"/>
    <w:rsid w:val="1FC05DE5"/>
    <w:rsid w:val="1FE56DE3"/>
    <w:rsid w:val="20061553"/>
    <w:rsid w:val="207D33CF"/>
    <w:rsid w:val="217726A5"/>
    <w:rsid w:val="219F1BD8"/>
    <w:rsid w:val="21C3606D"/>
    <w:rsid w:val="22306679"/>
    <w:rsid w:val="22436A29"/>
    <w:rsid w:val="2257668E"/>
    <w:rsid w:val="226E3D8A"/>
    <w:rsid w:val="22AC39CC"/>
    <w:rsid w:val="23DE19FA"/>
    <w:rsid w:val="24066741"/>
    <w:rsid w:val="24213096"/>
    <w:rsid w:val="24423C1E"/>
    <w:rsid w:val="248A2001"/>
    <w:rsid w:val="24C9269E"/>
    <w:rsid w:val="24FE2F03"/>
    <w:rsid w:val="25A51464"/>
    <w:rsid w:val="25C64874"/>
    <w:rsid w:val="25EA5B86"/>
    <w:rsid w:val="267D620D"/>
    <w:rsid w:val="26DD243D"/>
    <w:rsid w:val="270A586B"/>
    <w:rsid w:val="27591B37"/>
    <w:rsid w:val="2832268C"/>
    <w:rsid w:val="28932FED"/>
    <w:rsid w:val="289B40B0"/>
    <w:rsid w:val="293161DA"/>
    <w:rsid w:val="2941255B"/>
    <w:rsid w:val="2A0E5216"/>
    <w:rsid w:val="2A7152B2"/>
    <w:rsid w:val="2AA1723B"/>
    <w:rsid w:val="2ABC13D1"/>
    <w:rsid w:val="2B257C36"/>
    <w:rsid w:val="2B2F29A0"/>
    <w:rsid w:val="2B9E3201"/>
    <w:rsid w:val="2C5F213E"/>
    <w:rsid w:val="2CD96B71"/>
    <w:rsid w:val="2CE43B32"/>
    <w:rsid w:val="2D5A47AA"/>
    <w:rsid w:val="2E0209A5"/>
    <w:rsid w:val="2F1A43C9"/>
    <w:rsid w:val="2F394933"/>
    <w:rsid w:val="2F543264"/>
    <w:rsid w:val="2FA200F5"/>
    <w:rsid w:val="2FF762B7"/>
    <w:rsid w:val="307C0CE3"/>
    <w:rsid w:val="30BD5A4F"/>
    <w:rsid w:val="30CC0095"/>
    <w:rsid w:val="318B18EE"/>
    <w:rsid w:val="320F1351"/>
    <w:rsid w:val="32B34592"/>
    <w:rsid w:val="33E61466"/>
    <w:rsid w:val="340B56B8"/>
    <w:rsid w:val="348A76E8"/>
    <w:rsid w:val="34DB75B0"/>
    <w:rsid w:val="352525E4"/>
    <w:rsid w:val="358E6188"/>
    <w:rsid w:val="35987D28"/>
    <w:rsid w:val="36063E9A"/>
    <w:rsid w:val="36203281"/>
    <w:rsid w:val="368B3B0A"/>
    <w:rsid w:val="37FA2D45"/>
    <w:rsid w:val="38AF2BBC"/>
    <w:rsid w:val="391D7E0B"/>
    <w:rsid w:val="39460A64"/>
    <w:rsid w:val="39582D44"/>
    <w:rsid w:val="3A1738C4"/>
    <w:rsid w:val="3AEC683B"/>
    <w:rsid w:val="3B9A5B99"/>
    <w:rsid w:val="3BA76847"/>
    <w:rsid w:val="3BE53167"/>
    <w:rsid w:val="3C19310C"/>
    <w:rsid w:val="3C2E55CC"/>
    <w:rsid w:val="3C6D639F"/>
    <w:rsid w:val="3CA942B4"/>
    <w:rsid w:val="3D612CA5"/>
    <w:rsid w:val="3D716F95"/>
    <w:rsid w:val="3DBE30B3"/>
    <w:rsid w:val="3E3C0866"/>
    <w:rsid w:val="3E8B0E8E"/>
    <w:rsid w:val="3F0C02D1"/>
    <w:rsid w:val="3F131C8D"/>
    <w:rsid w:val="3F3A0D7D"/>
    <w:rsid w:val="3F6A5356"/>
    <w:rsid w:val="3FB66D1A"/>
    <w:rsid w:val="3FE70F07"/>
    <w:rsid w:val="40157C88"/>
    <w:rsid w:val="402E43E9"/>
    <w:rsid w:val="40CC66B8"/>
    <w:rsid w:val="40F728A6"/>
    <w:rsid w:val="419D2D01"/>
    <w:rsid w:val="41DB68B8"/>
    <w:rsid w:val="41E77E27"/>
    <w:rsid w:val="41FA3C86"/>
    <w:rsid w:val="42035303"/>
    <w:rsid w:val="43320581"/>
    <w:rsid w:val="4406358E"/>
    <w:rsid w:val="441A154C"/>
    <w:rsid w:val="45434DFE"/>
    <w:rsid w:val="468334EF"/>
    <w:rsid w:val="46936EA4"/>
    <w:rsid w:val="46F72089"/>
    <w:rsid w:val="470568EB"/>
    <w:rsid w:val="473A4206"/>
    <w:rsid w:val="47FD4A05"/>
    <w:rsid w:val="48097FDA"/>
    <w:rsid w:val="481257DB"/>
    <w:rsid w:val="487123E0"/>
    <w:rsid w:val="487773F0"/>
    <w:rsid w:val="49656870"/>
    <w:rsid w:val="49A10856"/>
    <w:rsid w:val="49DB7BCC"/>
    <w:rsid w:val="4A052BA2"/>
    <w:rsid w:val="4A210409"/>
    <w:rsid w:val="4A2812AD"/>
    <w:rsid w:val="4A6D0377"/>
    <w:rsid w:val="4A7E11F3"/>
    <w:rsid w:val="4AA14BDF"/>
    <w:rsid w:val="4AFA1158"/>
    <w:rsid w:val="4B31495A"/>
    <w:rsid w:val="4B3D74C1"/>
    <w:rsid w:val="4C357668"/>
    <w:rsid w:val="4CAD1487"/>
    <w:rsid w:val="4CBF657E"/>
    <w:rsid w:val="4D1678EF"/>
    <w:rsid w:val="4D8F7D25"/>
    <w:rsid w:val="4DA05799"/>
    <w:rsid w:val="4EBC3EF5"/>
    <w:rsid w:val="4EFE3245"/>
    <w:rsid w:val="4F994A0F"/>
    <w:rsid w:val="4FF03193"/>
    <w:rsid w:val="4FF97D5B"/>
    <w:rsid w:val="517A638F"/>
    <w:rsid w:val="521C3F67"/>
    <w:rsid w:val="52847034"/>
    <w:rsid w:val="534547E9"/>
    <w:rsid w:val="53964D45"/>
    <w:rsid w:val="53B073BB"/>
    <w:rsid w:val="541D77BD"/>
    <w:rsid w:val="546450D5"/>
    <w:rsid w:val="553700F3"/>
    <w:rsid w:val="559502BF"/>
    <w:rsid w:val="559D2D4D"/>
    <w:rsid w:val="56312035"/>
    <w:rsid w:val="567E7EB5"/>
    <w:rsid w:val="56897873"/>
    <w:rsid w:val="56D7660F"/>
    <w:rsid w:val="57276637"/>
    <w:rsid w:val="58173AE2"/>
    <w:rsid w:val="58AB7CCE"/>
    <w:rsid w:val="5913345A"/>
    <w:rsid w:val="595E5516"/>
    <w:rsid w:val="5A407735"/>
    <w:rsid w:val="5A4420E9"/>
    <w:rsid w:val="5A6845A3"/>
    <w:rsid w:val="5A8D6BFD"/>
    <w:rsid w:val="5ABC48D0"/>
    <w:rsid w:val="5AEA6513"/>
    <w:rsid w:val="5B2057B4"/>
    <w:rsid w:val="5B754EAE"/>
    <w:rsid w:val="5BC92FE2"/>
    <w:rsid w:val="5C13097E"/>
    <w:rsid w:val="5C1B12E8"/>
    <w:rsid w:val="5D1B58EC"/>
    <w:rsid w:val="5D772B57"/>
    <w:rsid w:val="5DE444D3"/>
    <w:rsid w:val="5F0E52E3"/>
    <w:rsid w:val="5F3841FA"/>
    <w:rsid w:val="5F7808C2"/>
    <w:rsid w:val="5F7B27A6"/>
    <w:rsid w:val="5F8A08C7"/>
    <w:rsid w:val="6005469D"/>
    <w:rsid w:val="603622AE"/>
    <w:rsid w:val="609965FC"/>
    <w:rsid w:val="60C11ADB"/>
    <w:rsid w:val="60F26278"/>
    <w:rsid w:val="617E5D5F"/>
    <w:rsid w:val="61815B25"/>
    <w:rsid w:val="620600FE"/>
    <w:rsid w:val="625B0771"/>
    <w:rsid w:val="626B108D"/>
    <w:rsid w:val="63093F9F"/>
    <w:rsid w:val="632223CA"/>
    <w:rsid w:val="633E564D"/>
    <w:rsid w:val="644E51B4"/>
    <w:rsid w:val="64746C6E"/>
    <w:rsid w:val="64797FAF"/>
    <w:rsid w:val="65194AE2"/>
    <w:rsid w:val="65893B2A"/>
    <w:rsid w:val="65914422"/>
    <w:rsid w:val="65B30CAE"/>
    <w:rsid w:val="65E15826"/>
    <w:rsid w:val="66020763"/>
    <w:rsid w:val="66256F81"/>
    <w:rsid w:val="66935EA2"/>
    <w:rsid w:val="66AA62EF"/>
    <w:rsid w:val="66D93A20"/>
    <w:rsid w:val="675E4AC0"/>
    <w:rsid w:val="68241258"/>
    <w:rsid w:val="68483F5E"/>
    <w:rsid w:val="68654188"/>
    <w:rsid w:val="68F66C8E"/>
    <w:rsid w:val="69F71B4C"/>
    <w:rsid w:val="6A905372"/>
    <w:rsid w:val="6AD45218"/>
    <w:rsid w:val="6BE816B7"/>
    <w:rsid w:val="6BF30539"/>
    <w:rsid w:val="6C2D5C19"/>
    <w:rsid w:val="6C911286"/>
    <w:rsid w:val="6D065F1D"/>
    <w:rsid w:val="6D293AB8"/>
    <w:rsid w:val="6D357E14"/>
    <w:rsid w:val="6D732E5A"/>
    <w:rsid w:val="6E3D3B68"/>
    <w:rsid w:val="6E684745"/>
    <w:rsid w:val="6EA93C7A"/>
    <w:rsid w:val="6EAC575D"/>
    <w:rsid w:val="6F3B2C38"/>
    <w:rsid w:val="6FC969CA"/>
    <w:rsid w:val="6FD86A20"/>
    <w:rsid w:val="70050BE1"/>
    <w:rsid w:val="701B3AAA"/>
    <w:rsid w:val="70370268"/>
    <w:rsid w:val="70456BC4"/>
    <w:rsid w:val="71431EA2"/>
    <w:rsid w:val="71C00BCE"/>
    <w:rsid w:val="723E400B"/>
    <w:rsid w:val="72580F09"/>
    <w:rsid w:val="72B5273C"/>
    <w:rsid w:val="73D8594D"/>
    <w:rsid w:val="73D96006"/>
    <w:rsid w:val="74604020"/>
    <w:rsid w:val="75175B20"/>
    <w:rsid w:val="752723CD"/>
    <w:rsid w:val="75291DC8"/>
    <w:rsid w:val="759025FF"/>
    <w:rsid w:val="75EB4BA5"/>
    <w:rsid w:val="764E542E"/>
    <w:rsid w:val="76A12B58"/>
    <w:rsid w:val="776C5A44"/>
    <w:rsid w:val="7782124A"/>
    <w:rsid w:val="79040036"/>
    <w:rsid w:val="79242615"/>
    <w:rsid w:val="79EE5F19"/>
    <w:rsid w:val="7A12757A"/>
    <w:rsid w:val="7A1C7560"/>
    <w:rsid w:val="7A6C46FD"/>
    <w:rsid w:val="7A7D5F38"/>
    <w:rsid w:val="7AC01624"/>
    <w:rsid w:val="7CAE4A69"/>
    <w:rsid w:val="7CED7B4A"/>
    <w:rsid w:val="7D291FA0"/>
    <w:rsid w:val="7DB70D65"/>
    <w:rsid w:val="7E6E42D6"/>
    <w:rsid w:val="7E9F72B9"/>
    <w:rsid w:val="7F1A56DC"/>
    <w:rsid w:val="7F273959"/>
    <w:rsid w:val="7F4C2CA4"/>
    <w:rsid w:val="7FBD27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ocked="1"/>
    <w:lsdException w:uiPriority="99"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7"/>
    <w:qFormat/>
    <w:uiPriority w:val="0"/>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kern w:val="44"/>
      <w:sz w:val="44"/>
      <w:szCs w:val="20"/>
    </w:rPr>
  </w:style>
  <w:style w:type="paragraph" w:styleId="4">
    <w:name w:val="heading 2"/>
    <w:basedOn w:val="1"/>
    <w:next w:val="1"/>
    <w:link w:val="88"/>
    <w:qFormat/>
    <w:uiPriority w:val="0"/>
    <w:pPr>
      <w:keepNext/>
      <w:keepLines/>
      <w:spacing w:before="260" w:after="260" w:line="416" w:lineRule="auto"/>
      <w:outlineLvl w:val="1"/>
    </w:pPr>
    <w:rPr>
      <w:rFonts w:ascii="Cambria" w:hAnsi="Cambria"/>
      <w:b/>
      <w:kern w:val="0"/>
      <w:sz w:val="32"/>
      <w:szCs w:val="20"/>
    </w:rPr>
  </w:style>
  <w:style w:type="paragraph" w:styleId="5">
    <w:name w:val="heading 3"/>
    <w:basedOn w:val="1"/>
    <w:next w:val="1"/>
    <w:link w:val="89"/>
    <w:qFormat/>
    <w:uiPriority w:val="0"/>
    <w:pPr>
      <w:keepNext/>
      <w:keepLines/>
      <w:spacing w:before="260" w:after="260" w:line="416" w:lineRule="auto"/>
      <w:outlineLvl w:val="2"/>
    </w:pPr>
    <w:rPr>
      <w:b/>
      <w:kern w:val="0"/>
      <w:sz w:val="32"/>
      <w:szCs w:val="20"/>
    </w:rPr>
  </w:style>
  <w:style w:type="paragraph" w:styleId="2">
    <w:name w:val="heading 4"/>
    <w:basedOn w:val="1"/>
    <w:next w:val="1"/>
    <w:link w:val="90"/>
    <w:qFormat/>
    <w:uiPriority w:val="0"/>
    <w:pPr>
      <w:keepNext/>
      <w:keepLines/>
      <w:spacing w:line="360" w:lineRule="auto"/>
      <w:jc w:val="center"/>
      <w:outlineLvl w:val="3"/>
    </w:pPr>
    <w:rPr>
      <w:rFonts w:ascii="Cambria" w:hAnsi="Cambria"/>
      <w:b/>
      <w:kern w:val="0"/>
      <w:sz w:val="36"/>
      <w:szCs w:val="20"/>
    </w:rPr>
  </w:style>
  <w:style w:type="paragraph" w:styleId="6">
    <w:name w:val="heading 5"/>
    <w:basedOn w:val="1"/>
    <w:next w:val="1"/>
    <w:link w:val="91"/>
    <w:qFormat/>
    <w:uiPriority w:val="0"/>
    <w:pPr>
      <w:keepNext/>
      <w:keepLines/>
      <w:spacing w:before="280" w:after="290" w:line="376" w:lineRule="auto"/>
      <w:outlineLvl w:val="4"/>
    </w:pPr>
    <w:rPr>
      <w:b/>
      <w:kern w:val="0"/>
      <w:sz w:val="28"/>
      <w:szCs w:val="20"/>
    </w:rPr>
  </w:style>
  <w:style w:type="paragraph" w:styleId="7">
    <w:name w:val="heading 6"/>
    <w:basedOn w:val="1"/>
    <w:next w:val="1"/>
    <w:link w:val="65"/>
    <w:qFormat/>
    <w:uiPriority w:val="0"/>
    <w:pPr>
      <w:keepNext/>
      <w:keepLines/>
      <w:spacing w:before="240" w:after="64" w:line="316" w:lineRule="auto"/>
      <w:outlineLvl w:val="5"/>
    </w:pPr>
    <w:rPr>
      <w:rFonts w:ascii="Cambria" w:hAnsi="Cambria"/>
      <w:b/>
      <w:bCs/>
      <w:kern w:val="0"/>
      <w:sz w:val="24"/>
      <w:szCs w:val="24"/>
    </w:rPr>
  </w:style>
  <w:style w:type="paragraph" w:styleId="8">
    <w:name w:val="heading 7"/>
    <w:basedOn w:val="1"/>
    <w:next w:val="1"/>
    <w:link w:val="66"/>
    <w:qFormat/>
    <w:uiPriority w:val="99"/>
    <w:pPr>
      <w:keepNext/>
      <w:keepLines/>
      <w:spacing w:before="240" w:after="64" w:line="316" w:lineRule="auto"/>
      <w:outlineLvl w:val="6"/>
    </w:pPr>
    <w:rPr>
      <w:rFonts w:ascii="Calibri" w:hAnsi="Calibri"/>
      <w:b/>
      <w:bCs/>
      <w:kern w:val="0"/>
      <w:sz w:val="24"/>
      <w:szCs w:val="24"/>
    </w:rPr>
  </w:style>
  <w:style w:type="paragraph" w:styleId="9">
    <w:name w:val="heading 8"/>
    <w:basedOn w:val="1"/>
    <w:next w:val="1"/>
    <w:link w:val="67"/>
    <w:qFormat/>
    <w:uiPriority w:val="99"/>
    <w:pPr>
      <w:keepNext/>
      <w:keepLines/>
      <w:spacing w:before="240" w:after="64" w:line="316" w:lineRule="auto"/>
      <w:outlineLvl w:val="7"/>
    </w:pPr>
    <w:rPr>
      <w:rFonts w:ascii="Cambria" w:hAnsi="Cambria"/>
      <w:kern w:val="0"/>
      <w:sz w:val="24"/>
      <w:szCs w:val="24"/>
    </w:rPr>
  </w:style>
  <w:style w:type="paragraph" w:styleId="10">
    <w:name w:val="heading 9"/>
    <w:basedOn w:val="1"/>
    <w:next w:val="1"/>
    <w:link w:val="68"/>
    <w:qFormat/>
    <w:uiPriority w:val="99"/>
    <w:pPr>
      <w:keepNext/>
      <w:keepLines/>
      <w:spacing w:before="240" w:after="64" w:line="316" w:lineRule="auto"/>
      <w:outlineLvl w:val="8"/>
    </w:pPr>
    <w:rPr>
      <w:rFonts w:ascii="Cambria" w:hAnsi="Cambria"/>
      <w:kern w:val="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val="0"/>
      <w:spacing w:line="312" w:lineRule="atLeast"/>
      <w:ind w:left="1260"/>
      <w:jc w:val="left"/>
      <w:textAlignment w:val="baseline"/>
    </w:pPr>
    <w:rPr>
      <w:kern w:val="0"/>
      <w:sz w:val="18"/>
      <w:szCs w:val="18"/>
    </w:rPr>
  </w:style>
  <w:style w:type="paragraph" w:styleId="12">
    <w:name w:val="Note Heading"/>
    <w:basedOn w:val="1"/>
    <w:next w:val="1"/>
    <w:link w:val="69"/>
    <w:semiHidden/>
    <w:qFormat/>
    <w:uiPriority w:val="99"/>
    <w:pPr>
      <w:spacing w:beforeLines="20" w:afterLines="50"/>
      <w:jc w:val="center"/>
    </w:pPr>
    <w:rPr>
      <w:kern w:val="0"/>
      <w:sz w:val="20"/>
      <w:szCs w:val="20"/>
    </w:rPr>
  </w:style>
  <w:style w:type="paragraph" w:styleId="13">
    <w:name w:val="Normal Indent"/>
    <w:basedOn w:val="1"/>
    <w:autoRedefine/>
    <w:qFormat/>
    <w:uiPriority w:val="99"/>
    <w:pPr>
      <w:widowControl/>
      <w:ind w:firstLine="420"/>
      <w:jc w:val="left"/>
    </w:pPr>
    <w:rPr>
      <w:sz w:val="20"/>
      <w:szCs w:val="20"/>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92"/>
    <w:autoRedefine/>
    <w:qFormat/>
    <w:uiPriority w:val="99"/>
    <w:pPr>
      <w:adjustRightInd w:val="0"/>
      <w:spacing w:line="312" w:lineRule="atLeast"/>
      <w:textAlignment w:val="baseline"/>
    </w:pPr>
    <w:rPr>
      <w:rFonts w:ascii="宋体"/>
      <w:kern w:val="0"/>
      <w:sz w:val="18"/>
      <w:szCs w:val="20"/>
    </w:rPr>
  </w:style>
  <w:style w:type="paragraph" w:styleId="16">
    <w:name w:val="annotation text"/>
    <w:basedOn w:val="1"/>
    <w:link w:val="93"/>
    <w:qFormat/>
    <w:uiPriority w:val="99"/>
    <w:pPr>
      <w:adjustRightInd w:val="0"/>
      <w:spacing w:line="312" w:lineRule="atLeast"/>
      <w:jc w:val="left"/>
      <w:textAlignment w:val="baseline"/>
    </w:pPr>
    <w:rPr>
      <w:kern w:val="0"/>
      <w:sz w:val="20"/>
      <w:szCs w:val="20"/>
    </w:rPr>
  </w:style>
  <w:style w:type="paragraph" w:styleId="17">
    <w:name w:val="Salutation"/>
    <w:basedOn w:val="1"/>
    <w:next w:val="1"/>
    <w:link w:val="72"/>
    <w:autoRedefine/>
    <w:semiHidden/>
    <w:qFormat/>
    <w:uiPriority w:val="99"/>
    <w:rPr>
      <w:kern w:val="0"/>
      <w:sz w:val="20"/>
      <w:szCs w:val="20"/>
    </w:rPr>
  </w:style>
  <w:style w:type="paragraph" w:styleId="18">
    <w:name w:val="Body Text"/>
    <w:basedOn w:val="1"/>
    <w:link w:val="73"/>
    <w:qFormat/>
    <w:uiPriority w:val="0"/>
    <w:pPr>
      <w:adjustRightInd w:val="0"/>
      <w:spacing w:line="312" w:lineRule="atLeast"/>
      <w:jc w:val="center"/>
      <w:textAlignment w:val="baseline"/>
    </w:pPr>
    <w:rPr>
      <w:kern w:val="0"/>
      <w:sz w:val="20"/>
      <w:szCs w:val="20"/>
    </w:rPr>
  </w:style>
  <w:style w:type="paragraph" w:styleId="19">
    <w:name w:val="Body Text Indent"/>
    <w:basedOn w:val="1"/>
    <w:link w:val="94"/>
    <w:qFormat/>
    <w:uiPriority w:val="99"/>
    <w:pPr>
      <w:ind w:left="420" w:leftChars="200"/>
      <w:jc w:val="left"/>
    </w:pPr>
    <w:rPr>
      <w:kern w:val="0"/>
      <w:sz w:val="20"/>
      <w:szCs w:val="20"/>
    </w:rPr>
  </w:style>
  <w:style w:type="paragraph" w:styleId="20">
    <w:name w:val="index 4"/>
    <w:basedOn w:val="1"/>
    <w:next w:val="1"/>
    <w:semiHidden/>
    <w:qFormat/>
    <w:uiPriority w:val="99"/>
    <w:pPr>
      <w:ind w:left="600" w:leftChars="600"/>
    </w:pPr>
  </w:style>
  <w:style w:type="paragraph" w:styleId="21">
    <w:name w:val="toc 5"/>
    <w:basedOn w:val="1"/>
    <w:next w:val="1"/>
    <w:autoRedefine/>
    <w:qFormat/>
    <w:uiPriority w:val="39"/>
    <w:pPr>
      <w:adjustRightInd w:val="0"/>
      <w:spacing w:line="312" w:lineRule="atLeast"/>
      <w:ind w:left="840"/>
      <w:jc w:val="left"/>
      <w:textAlignment w:val="baseline"/>
    </w:pPr>
    <w:rPr>
      <w:kern w:val="0"/>
      <w:sz w:val="18"/>
      <w:szCs w:val="18"/>
    </w:rPr>
  </w:style>
  <w:style w:type="paragraph" w:styleId="22">
    <w:name w:val="toc 3"/>
    <w:basedOn w:val="1"/>
    <w:next w:val="1"/>
    <w:autoRedefine/>
    <w:qFormat/>
    <w:uiPriority w:val="39"/>
    <w:pPr>
      <w:adjustRightInd w:val="0"/>
      <w:spacing w:line="312" w:lineRule="atLeast"/>
      <w:ind w:left="420"/>
      <w:jc w:val="left"/>
      <w:textAlignment w:val="baseline"/>
    </w:pPr>
    <w:rPr>
      <w:i/>
      <w:iCs/>
      <w:kern w:val="0"/>
      <w:sz w:val="20"/>
      <w:szCs w:val="20"/>
    </w:rPr>
  </w:style>
  <w:style w:type="paragraph" w:styleId="23">
    <w:name w:val="Plain Text"/>
    <w:basedOn w:val="1"/>
    <w:next w:val="3"/>
    <w:link w:val="95"/>
    <w:autoRedefine/>
    <w:qFormat/>
    <w:uiPriority w:val="99"/>
    <w:rPr>
      <w:rFonts w:ascii="宋体" w:hAnsi="Courier New"/>
      <w:kern w:val="0"/>
      <w:szCs w:val="20"/>
    </w:rPr>
  </w:style>
  <w:style w:type="paragraph" w:styleId="24">
    <w:name w:val="toc 8"/>
    <w:basedOn w:val="1"/>
    <w:next w:val="1"/>
    <w:qFormat/>
    <w:uiPriority w:val="39"/>
    <w:pPr>
      <w:adjustRightInd w:val="0"/>
      <w:spacing w:line="312" w:lineRule="atLeast"/>
      <w:ind w:left="1470"/>
      <w:jc w:val="left"/>
      <w:textAlignment w:val="baseline"/>
    </w:pPr>
    <w:rPr>
      <w:kern w:val="0"/>
      <w:sz w:val="18"/>
      <w:szCs w:val="18"/>
    </w:rPr>
  </w:style>
  <w:style w:type="paragraph" w:styleId="25">
    <w:name w:val="Date"/>
    <w:basedOn w:val="1"/>
    <w:next w:val="1"/>
    <w:link w:val="118"/>
    <w:qFormat/>
    <w:uiPriority w:val="99"/>
    <w:pPr>
      <w:ind w:left="100" w:leftChars="2500"/>
    </w:pPr>
    <w:rPr>
      <w:rFonts w:ascii="Calibri" w:hAnsi="Calibri" w:cs="Calibri"/>
    </w:rPr>
  </w:style>
  <w:style w:type="paragraph" w:styleId="26">
    <w:name w:val="Body Text Indent 2"/>
    <w:basedOn w:val="1"/>
    <w:link w:val="111"/>
    <w:qFormat/>
    <w:uiPriority w:val="99"/>
    <w:pPr>
      <w:spacing w:after="120" w:line="480" w:lineRule="auto"/>
      <w:ind w:left="420" w:leftChars="200"/>
    </w:pPr>
    <w:rPr>
      <w:kern w:val="0"/>
      <w:sz w:val="24"/>
      <w:szCs w:val="20"/>
    </w:rPr>
  </w:style>
  <w:style w:type="paragraph" w:styleId="27">
    <w:name w:val="Balloon Text"/>
    <w:basedOn w:val="1"/>
    <w:link w:val="96"/>
    <w:qFormat/>
    <w:uiPriority w:val="99"/>
    <w:rPr>
      <w:kern w:val="0"/>
      <w:sz w:val="18"/>
      <w:szCs w:val="20"/>
    </w:rPr>
  </w:style>
  <w:style w:type="paragraph" w:styleId="28">
    <w:name w:val="footer"/>
    <w:basedOn w:val="1"/>
    <w:link w:val="97"/>
    <w:autoRedefine/>
    <w:qFormat/>
    <w:uiPriority w:val="99"/>
    <w:pPr>
      <w:tabs>
        <w:tab w:val="center" w:pos="4153"/>
        <w:tab w:val="right" w:pos="8306"/>
      </w:tabs>
      <w:snapToGrid w:val="0"/>
      <w:jc w:val="left"/>
    </w:pPr>
    <w:rPr>
      <w:kern w:val="0"/>
      <w:sz w:val="18"/>
      <w:szCs w:val="20"/>
    </w:rPr>
  </w:style>
  <w:style w:type="paragraph" w:styleId="29">
    <w:name w:val="header"/>
    <w:basedOn w:val="1"/>
    <w:link w:val="98"/>
    <w:qFormat/>
    <w:uiPriority w:val="99"/>
    <w:pPr>
      <w:pBdr>
        <w:bottom w:val="single" w:color="auto" w:sz="6" w:space="1"/>
      </w:pBdr>
      <w:tabs>
        <w:tab w:val="center" w:pos="4153"/>
        <w:tab w:val="right" w:pos="8306"/>
      </w:tabs>
      <w:snapToGrid w:val="0"/>
      <w:jc w:val="center"/>
    </w:pPr>
    <w:rPr>
      <w:kern w:val="0"/>
      <w:sz w:val="18"/>
      <w:szCs w:val="20"/>
    </w:rPr>
  </w:style>
  <w:style w:type="paragraph" w:styleId="30">
    <w:name w:val="toc 1"/>
    <w:basedOn w:val="1"/>
    <w:next w:val="1"/>
    <w:qFormat/>
    <w:uiPriority w:val="39"/>
    <w:pPr>
      <w:adjustRightInd w:val="0"/>
      <w:spacing w:before="120" w:after="120" w:line="312" w:lineRule="atLeast"/>
      <w:jc w:val="left"/>
      <w:textAlignment w:val="baseline"/>
    </w:pPr>
    <w:rPr>
      <w:b/>
      <w:bCs/>
      <w:caps/>
      <w:kern w:val="0"/>
      <w:sz w:val="20"/>
      <w:szCs w:val="20"/>
    </w:rPr>
  </w:style>
  <w:style w:type="paragraph" w:styleId="31">
    <w:name w:val="toc 4"/>
    <w:basedOn w:val="1"/>
    <w:next w:val="1"/>
    <w:qFormat/>
    <w:uiPriority w:val="39"/>
    <w:pPr>
      <w:adjustRightInd w:val="0"/>
      <w:spacing w:line="312" w:lineRule="atLeast"/>
      <w:ind w:left="630"/>
      <w:jc w:val="left"/>
      <w:textAlignment w:val="baseline"/>
    </w:pPr>
    <w:rPr>
      <w:kern w:val="0"/>
      <w:sz w:val="18"/>
      <w:szCs w:val="18"/>
    </w:rPr>
  </w:style>
  <w:style w:type="paragraph" w:styleId="32">
    <w:name w:val="Subtitle"/>
    <w:basedOn w:val="1"/>
    <w:next w:val="1"/>
    <w:link w:val="124"/>
    <w:qFormat/>
    <w:uiPriority w:val="99"/>
    <w:pPr>
      <w:spacing w:before="240" w:after="60" w:line="312" w:lineRule="auto"/>
      <w:jc w:val="center"/>
      <w:outlineLvl w:val="1"/>
    </w:pPr>
    <w:rPr>
      <w:rFonts w:ascii="Cambria" w:hAnsi="Cambria"/>
      <w:b/>
      <w:kern w:val="28"/>
      <w:sz w:val="32"/>
      <w:szCs w:val="20"/>
    </w:rPr>
  </w:style>
  <w:style w:type="paragraph" w:styleId="33">
    <w:name w:val="footnote text"/>
    <w:basedOn w:val="1"/>
    <w:link w:val="102"/>
    <w:autoRedefine/>
    <w:semiHidden/>
    <w:qFormat/>
    <w:uiPriority w:val="99"/>
    <w:pPr>
      <w:adjustRightInd w:val="0"/>
      <w:spacing w:line="312" w:lineRule="atLeast"/>
      <w:jc w:val="left"/>
    </w:pPr>
    <w:rPr>
      <w:kern w:val="0"/>
      <w:sz w:val="18"/>
      <w:szCs w:val="20"/>
    </w:rPr>
  </w:style>
  <w:style w:type="paragraph" w:styleId="34">
    <w:name w:val="toc 6"/>
    <w:basedOn w:val="1"/>
    <w:next w:val="1"/>
    <w:autoRedefine/>
    <w:qFormat/>
    <w:uiPriority w:val="39"/>
    <w:pPr>
      <w:adjustRightInd w:val="0"/>
      <w:spacing w:line="312" w:lineRule="atLeast"/>
      <w:ind w:left="1050"/>
      <w:jc w:val="left"/>
      <w:textAlignment w:val="baseline"/>
    </w:pPr>
    <w:rPr>
      <w:kern w:val="0"/>
      <w:sz w:val="18"/>
      <w:szCs w:val="18"/>
    </w:rPr>
  </w:style>
  <w:style w:type="paragraph" w:styleId="35">
    <w:name w:val="Body Text Indent 3"/>
    <w:basedOn w:val="1"/>
    <w:link w:val="83"/>
    <w:autoRedefine/>
    <w:qFormat/>
    <w:uiPriority w:val="99"/>
    <w:pPr>
      <w:adjustRightInd w:val="0"/>
      <w:spacing w:line="360" w:lineRule="auto"/>
      <w:ind w:firstLine="480"/>
      <w:textAlignment w:val="baseline"/>
    </w:pPr>
    <w:rPr>
      <w:kern w:val="0"/>
      <w:sz w:val="16"/>
      <w:szCs w:val="16"/>
    </w:rPr>
  </w:style>
  <w:style w:type="paragraph" w:styleId="36">
    <w:name w:val="toc 2"/>
    <w:basedOn w:val="1"/>
    <w:next w:val="1"/>
    <w:autoRedefine/>
    <w:qFormat/>
    <w:uiPriority w:val="39"/>
    <w:pPr>
      <w:adjustRightInd w:val="0"/>
      <w:spacing w:line="312" w:lineRule="atLeast"/>
      <w:ind w:left="210"/>
      <w:jc w:val="left"/>
      <w:textAlignment w:val="baseline"/>
    </w:pPr>
    <w:rPr>
      <w:smallCaps/>
      <w:kern w:val="0"/>
      <w:sz w:val="20"/>
      <w:szCs w:val="20"/>
    </w:rPr>
  </w:style>
  <w:style w:type="paragraph" w:styleId="37">
    <w:name w:val="toc 9"/>
    <w:basedOn w:val="1"/>
    <w:next w:val="1"/>
    <w:autoRedefine/>
    <w:qFormat/>
    <w:uiPriority w:val="39"/>
    <w:pPr>
      <w:adjustRightInd w:val="0"/>
      <w:spacing w:line="312" w:lineRule="atLeast"/>
      <w:ind w:left="1680"/>
      <w:jc w:val="left"/>
      <w:textAlignment w:val="baseline"/>
    </w:pPr>
    <w:rPr>
      <w:kern w:val="0"/>
      <w:sz w:val="18"/>
      <w:szCs w:val="18"/>
    </w:r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99"/>
    <w:autoRedefine/>
    <w:qFormat/>
    <w:uiPriority w:val="99"/>
    <w:pPr>
      <w:spacing w:before="240" w:after="60"/>
      <w:jc w:val="center"/>
      <w:outlineLvl w:val="0"/>
    </w:pPr>
    <w:rPr>
      <w:rFonts w:ascii="Cambria" w:hAnsi="Cambria"/>
      <w:b/>
      <w:kern w:val="0"/>
      <w:sz w:val="32"/>
      <w:szCs w:val="20"/>
    </w:rPr>
  </w:style>
  <w:style w:type="paragraph" w:styleId="40">
    <w:name w:val="annotation subject"/>
    <w:basedOn w:val="16"/>
    <w:next w:val="16"/>
    <w:link w:val="100"/>
    <w:autoRedefine/>
    <w:semiHidden/>
    <w:qFormat/>
    <w:uiPriority w:val="99"/>
    <w:rPr>
      <w:b/>
    </w:rPr>
  </w:style>
  <w:style w:type="paragraph" w:styleId="41">
    <w:name w:val="Body Text First Indent"/>
    <w:basedOn w:val="18"/>
    <w:link w:val="86"/>
    <w:autoRedefine/>
    <w:qFormat/>
    <w:locked/>
    <w:uiPriority w:val="99"/>
    <w:pPr>
      <w:adjustRightInd/>
      <w:spacing w:after="120" w:line="240" w:lineRule="auto"/>
      <w:ind w:firstLine="420" w:firstLineChars="100"/>
      <w:jc w:val="both"/>
    </w:pPr>
    <w:rPr>
      <w:szCs w:val="24"/>
    </w:rPr>
  </w:style>
  <w:style w:type="table" w:styleId="43">
    <w:name w:val="Table Grid"/>
    <w:basedOn w:val="42"/>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99"/>
    <w:rPr>
      <w:rFonts w:cs="Times New Roman"/>
      <w:b/>
    </w:rPr>
  </w:style>
  <w:style w:type="character" w:styleId="46">
    <w:name w:val="page number"/>
    <w:basedOn w:val="44"/>
    <w:autoRedefine/>
    <w:qFormat/>
    <w:uiPriority w:val="99"/>
    <w:rPr>
      <w:rFonts w:cs="Times New Roman"/>
    </w:rPr>
  </w:style>
  <w:style w:type="character" w:styleId="47">
    <w:name w:val="FollowedHyperlink"/>
    <w:basedOn w:val="44"/>
    <w:autoRedefine/>
    <w:qFormat/>
    <w:uiPriority w:val="99"/>
    <w:rPr>
      <w:rFonts w:cs="Times New Roman"/>
      <w:color w:val="auto"/>
      <w:u w:val="none"/>
    </w:rPr>
  </w:style>
  <w:style w:type="character" w:styleId="48">
    <w:name w:val="Emphasis"/>
    <w:basedOn w:val="44"/>
    <w:autoRedefine/>
    <w:qFormat/>
    <w:locked/>
    <w:uiPriority w:val="99"/>
    <w:rPr>
      <w:rFonts w:cs="Times New Roman"/>
      <w:i/>
    </w:rPr>
  </w:style>
  <w:style w:type="character" w:styleId="49">
    <w:name w:val="HTML Definition"/>
    <w:basedOn w:val="44"/>
    <w:autoRedefine/>
    <w:qFormat/>
    <w:uiPriority w:val="99"/>
    <w:rPr>
      <w:rFonts w:cs="Times New Roman"/>
    </w:rPr>
  </w:style>
  <w:style w:type="character" w:styleId="50">
    <w:name w:val="HTML Typewriter"/>
    <w:basedOn w:val="44"/>
    <w:autoRedefine/>
    <w:qFormat/>
    <w:uiPriority w:val="99"/>
    <w:rPr>
      <w:rFonts w:ascii="monospace" w:hAnsi="monospace" w:cs="Times New Roman"/>
      <w:sz w:val="20"/>
    </w:rPr>
  </w:style>
  <w:style w:type="character" w:styleId="51">
    <w:name w:val="HTML Acronym"/>
    <w:basedOn w:val="44"/>
    <w:autoRedefine/>
    <w:qFormat/>
    <w:uiPriority w:val="99"/>
    <w:rPr>
      <w:rFonts w:cs="Times New Roman"/>
    </w:rPr>
  </w:style>
  <w:style w:type="character" w:styleId="52">
    <w:name w:val="HTML Variable"/>
    <w:basedOn w:val="44"/>
    <w:autoRedefine/>
    <w:qFormat/>
    <w:uiPriority w:val="99"/>
    <w:rPr>
      <w:rFonts w:cs="Times New Roman"/>
    </w:rPr>
  </w:style>
  <w:style w:type="character" w:styleId="53">
    <w:name w:val="Hyperlink"/>
    <w:basedOn w:val="44"/>
    <w:autoRedefine/>
    <w:qFormat/>
    <w:uiPriority w:val="99"/>
    <w:rPr>
      <w:rFonts w:cs="Times New Roman"/>
      <w:color w:val="auto"/>
      <w:u w:val="none"/>
    </w:rPr>
  </w:style>
  <w:style w:type="character" w:styleId="54">
    <w:name w:val="HTML Code"/>
    <w:basedOn w:val="44"/>
    <w:autoRedefine/>
    <w:qFormat/>
    <w:uiPriority w:val="99"/>
    <w:rPr>
      <w:rFonts w:ascii="monospace" w:hAnsi="monospace" w:cs="Times New Roman"/>
      <w:sz w:val="20"/>
    </w:rPr>
  </w:style>
  <w:style w:type="character" w:styleId="55">
    <w:name w:val="annotation reference"/>
    <w:basedOn w:val="44"/>
    <w:autoRedefine/>
    <w:qFormat/>
    <w:uiPriority w:val="99"/>
    <w:rPr>
      <w:rFonts w:cs="Times New Roman"/>
      <w:sz w:val="21"/>
    </w:rPr>
  </w:style>
  <w:style w:type="character" w:styleId="56">
    <w:name w:val="HTML Cite"/>
    <w:basedOn w:val="44"/>
    <w:autoRedefine/>
    <w:qFormat/>
    <w:uiPriority w:val="99"/>
    <w:rPr>
      <w:rFonts w:cs="Times New Roman"/>
    </w:rPr>
  </w:style>
  <w:style w:type="character" w:styleId="57">
    <w:name w:val="HTML Keyboard"/>
    <w:basedOn w:val="44"/>
    <w:autoRedefine/>
    <w:qFormat/>
    <w:uiPriority w:val="99"/>
    <w:rPr>
      <w:rFonts w:ascii="monospace" w:hAnsi="monospace" w:cs="Times New Roman"/>
      <w:sz w:val="20"/>
    </w:rPr>
  </w:style>
  <w:style w:type="character" w:styleId="58">
    <w:name w:val="HTML Sample"/>
    <w:basedOn w:val="44"/>
    <w:autoRedefine/>
    <w:qFormat/>
    <w:uiPriority w:val="99"/>
    <w:rPr>
      <w:rFonts w:ascii="monospace" w:hAnsi="monospace" w:cs="Times New Roman"/>
    </w:rPr>
  </w:style>
  <w:style w:type="paragraph" w:customStyle="1" w:styleId="59">
    <w:name w:val="正文（缩进）"/>
    <w:basedOn w:val="1"/>
    <w:autoRedefine/>
    <w:qFormat/>
    <w:uiPriority w:val="0"/>
    <w:pPr>
      <w:spacing w:beforeLines="50" w:line="360" w:lineRule="auto"/>
      <w:ind w:firstLine="480" w:firstLineChars="200"/>
    </w:pPr>
    <w:rPr>
      <w:kern w:val="0"/>
      <w:sz w:val="24"/>
    </w:rPr>
  </w:style>
  <w:style w:type="character" w:customStyle="1" w:styleId="60">
    <w:name w:val="Heading 1 Char"/>
    <w:basedOn w:val="44"/>
    <w:autoRedefine/>
    <w:qFormat/>
    <w:locked/>
    <w:uiPriority w:val="99"/>
    <w:rPr>
      <w:rFonts w:eastAsia="宋体" w:cs="Times New Roman"/>
      <w:b/>
      <w:kern w:val="44"/>
      <w:sz w:val="44"/>
      <w:lang w:val="en-US" w:eastAsia="zh-CN"/>
    </w:rPr>
  </w:style>
  <w:style w:type="character" w:customStyle="1" w:styleId="61">
    <w:name w:val="Heading 2 Char"/>
    <w:basedOn w:val="44"/>
    <w:autoRedefine/>
    <w:qFormat/>
    <w:locked/>
    <w:uiPriority w:val="99"/>
    <w:rPr>
      <w:rFonts w:ascii="Arial" w:hAnsi="Arial" w:eastAsia="黑体" w:cs="Times New Roman"/>
      <w:b/>
      <w:kern w:val="2"/>
      <w:sz w:val="32"/>
      <w:lang w:val="en-US" w:eastAsia="zh-CN"/>
    </w:rPr>
  </w:style>
  <w:style w:type="character" w:customStyle="1" w:styleId="62">
    <w:name w:val="Heading 3 Char"/>
    <w:basedOn w:val="44"/>
    <w:autoRedefine/>
    <w:qFormat/>
    <w:locked/>
    <w:uiPriority w:val="99"/>
    <w:rPr>
      <w:rFonts w:cs="Times New Roman"/>
      <w:b/>
      <w:kern w:val="2"/>
      <w:sz w:val="32"/>
    </w:rPr>
  </w:style>
  <w:style w:type="character" w:customStyle="1" w:styleId="63">
    <w:name w:val="Heading 4 Char"/>
    <w:basedOn w:val="44"/>
    <w:autoRedefine/>
    <w:qFormat/>
    <w:locked/>
    <w:uiPriority w:val="99"/>
    <w:rPr>
      <w:rFonts w:ascii="Arial" w:hAnsi="Arial" w:eastAsia="宋体" w:cs="Times New Roman"/>
      <w:b/>
      <w:kern w:val="2"/>
      <w:sz w:val="28"/>
      <w:lang w:val="en-US" w:eastAsia="zh-CN"/>
    </w:rPr>
  </w:style>
  <w:style w:type="character" w:customStyle="1" w:styleId="64">
    <w:name w:val="Heading 5 Char"/>
    <w:basedOn w:val="44"/>
    <w:qFormat/>
    <w:locked/>
    <w:uiPriority w:val="99"/>
    <w:rPr>
      <w:rFonts w:eastAsia="宋体" w:cs="Times New Roman"/>
      <w:b/>
      <w:kern w:val="2"/>
      <w:sz w:val="28"/>
      <w:lang w:val="en-US" w:eastAsia="zh-CN"/>
    </w:rPr>
  </w:style>
  <w:style w:type="character" w:customStyle="1" w:styleId="65">
    <w:name w:val="标题 6 Char"/>
    <w:basedOn w:val="44"/>
    <w:link w:val="7"/>
    <w:autoRedefine/>
    <w:qFormat/>
    <w:locked/>
    <w:uiPriority w:val="0"/>
    <w:rPr>
      <w:rFonts w:ascii="Cambria" w:hAnsi="Cambria" w:eastAsia="宋体" w:cs="Times New Roman"/>
      <w:b/>
      <w:sz w:val="24"/>
    </w:rPr>
  </w:style>
  <w:style w:type="character" w:customStyle="1" w:styleId="66">
    <w:name w:val="标题 7 Char"/>
    <w:basedOn w:val="44"/>
    <w:link w:val="8"/>
    <w:autoRedefine/>
    <w:qFormat/>
    <w:locked/>
    <w:uiPriority w:val="99"/>
    <w:rPr>
      <w:rFonts w:ascii="Calibri" w:hAnsi="Calibri" w:eastAsia="宋体" w:cs="Times New Roman"/>
      <w:b/>
      <w:sz w:val="24"/>
    </w:rPr>
  </w:style>
  <w:style w:type="character" w:customStyle="1" w:styleId="67">
    <w:name w:val="标题 8 Char"/>
    <w:basedOn w:val="44"/>
    <w:link w:val="9"/>
    <w:autoRedefine/>
    <w:qFormat/>
    <w:locked/>
    <w:uiPriority w:val="99"/>
    <w:rPr>
      <w:rFonts w:ascii="Cambria" w:hAnsi="Cambria" w:eastAsia="宋体" w:cs="Times New Roman"/>
      <w:sz w:val="24"/>
    </w:rPr>
  </w:style>
  <w:style w:type="character" w:customStyle="1" w:styleId="68">
    <w:name w:val="标题 9 Char"/>
    <w:basedOn w:val="44"/>
    <w:link w:val="10"/>
    <w:autoRedefine/>
    <w:qFormat/>
    <w:locked/>
    <w:uiPriority w:val="99"/>
    <w:rPr>
      <w:rFonts w:ascii="Cambria" w:hAnsi="Cambria" w:eastAsia="宋体" w:cs="Times New Roman"/>
      <w:sz w:val="21"/>
    </w:rPr>
  </w:style>
  <w:style w:type="character" w:customStyle="1" w:styleId="69">
    <w:name w:val="注释标题 Char1"/>
    <w:basedOn w:val="44"/>
    <w:link w:val="12"/>
    <w:semiHidden/>
    <w:qFormat/>
    <w:locked/>
    <w:uiPriority w:val="99"/>
    <w:rPr>
      <w:rFonts w:ascii="Times New Roman" w:hAnsi="Times New Roman" w:eastAsia="宋体" w:cs="Times New Roman"/>
    </w:rPr>
  </w:style>
  <w:style w:type="character" w:customStyle="1" w:styleId="70">
    <w:name w:val="Document Map Char"/>
    <w:basedOn w:val="44"/>
    <w:autoRedefine/>
    <w:qFormat/>
    <w:locked/>
    <w:uiPriority w:val="99"/>
    <w:rPr>
      <w:rFonts w:eastAsia="宋体" w:cs="Times New Roman"/>
      <w:kern w:val="2"/>
      <w:sz w:val="24"/>
      <w:lang w:val="en-US" w:eastAsia="zh-CN"/>
    </w:rPr>
  </w:style>
  <w:style w:type="character" w:customStyle="1" w:styleId="71">
    <w:name w:val="Comment Text Char"/>
    <w:basedOn w:val="44"/>
    <w:qFormat/>
    <w:locked/>
    <w:uiPriority w:val="99"/>
    <w:rPr>
      <w:rFonts w:cs="Times New Roman"/>
      <w:sz w:val="24"/>
    </w:rPr>
  </w:style>
  <w:style w:type="character" w:customStyle="1" w:styleId="72">
    <w:name w:val="称呼 Char1"/>
    <w:basedOn w:val="44"/>
    <w:link w:val="17"/>
    <w:autoRedefine/>
    <w:semiHidden/>
    <w:qFormat/>
    <w:locked/>
    <w:uiPriority w:val="99"/>
    <w:rPr>
      <w:rFonts w:ascii="Times New Roman" w:hAnsi="Times New Roman" w:eastAsia="宋体" w:cs="Times New Roman"/>
    </w:rPr>
  </w:style>
  <w:style w:type="character" w:customStyle="1" w:styleId="73">
    <w:name w:val="正文文本 Char2"/>
    <w:basedOn w:val="44"/>
    <w:link w:val="18"/>
    <w:autoRedefine/>
    <w:semiHidden/>
    <w:qFormat/>
    <w:locked/>
    <w:uiPriority w:val="99"/>
    <w:rPr>
      <w:rFonts w:ascii="Times New Roman" w:hAnsi="Times New Roman" w:eastAsia="宋体" w:cs="Times New Roman"/>
    </w:rPr>
  </w:style>
  <w:style w:type="character" w:customStyle="1" w:styleId="74">
    <w:name w:val="Body Text Indent Char"/>
    <w:basedOn w:val="44"/>
    <w:qFormat/>
    <w:locked/>
    <w:uiPriority w:val="99"/>
    <w:rPr>
      <w:rFonts w:ascii="宋体" w:hAnsi="宋体" w:eastAsia="宋体" w:cs="Times New Roman"/>
      <w:kern w:val="2"/>
      <w:sz w:val="21"/>
      <w:lang w:val="en-US" w:eastAsia="zh-CN"/>
    </w:rPr>
  </w:style>
  <w:style w:type="character" w:customStyle="1" w:styleId="75">
    <w:name w:val="Plain Text Char"/>
    <w:basedOn w:val="44"/>
    <w:autoRedefine/>
    <w:qFormat/>
    <w:locked/>
    <w:uiPriority w:val="99"/>
    <w:rPr>
      <w:rFonts w:ascii="宋体" w:hAnsi="Courier New" w:eastAsia="宋体" w:cs="Times New Roman"/>
      <w:sz w:val="24"/>
    </w:rPr>
  </w:style>
  <w:style w:type="character" w:customStyle="1" w:styleId="76">
    <w:name w:val="Date Char"/>
    <w:basedOn w:val="44"/>
    <w:qFormat/>
    <w:locked/>
    <w:uiPriority w:val="99"/>
    <w:rPr>
      <w:rFonts w:ascii="Times New Roman" w:hAnsi="Times New Roman" w:eastAsia="宋体" w:cs="Times New Roman"/>
    </w:rPr>
  </w:style>
  <w:style w:type="character" w:customStyle="1" w:styleId="77">
    <w:name w:val="Body Text Indent 2 Char"/>
    <w:basedOn w:val="44"/>
    <w:qFormat/>
    <w:locked/>
    <w:uiPriority w:val="99"/>
    <w:rPr>
      <w:rFonts w:ascii="Times New Roman" w:hAnsi="Times New Roman" w:eastAsia="宋体" w:cs="Times New Roman"/>
    </w:rPr>
  </w:style>
  <w:style w:type="character" w:customStyle="1" w:styleId="78">
    <w:name w:val="Balloon Text Char"/>
    <w:basedOn w:val="44"/>
    <w:qFormat/>
    <w:locked/>
    <w:uiPriority w:val="99"/>
    <w:rPr>
      <w:rFonts w:cs="Times New Roman"/>
      <w:sz w:val="18"/>
    </w:rPr>
  </w:style>
  <w:style w:type="character" w:customStyle="1" w:styleId="79">
    <w:name w:val="Footer Char"/>
    <w:basedOn w:val="44"/>
    <w:autoRedefine/>
    <w:qFormat/>
    <w:locked/>
    <w:uiPriority w:val="99"/>
    <w:rPr>
      <w:rFonts w:eastAsia="宋体" w:cs="Times New Roman"/>
      <w:kern w:val="2"/>
      <w:sz w:val="18"/>
      <w:lang w:val="en-US" w:eastAsia="zh-CN"/>
    </w:rPr>
  </w:style>
  <w:style w:type="character" w:customStyle="1" w:styleId="80">
    <w:name w:val="Header Char"/>
    <w:basedOn w:val="44"/>
    <w:autoRedefine/>
    <w:qFormat/>
    <w:locked/>
    <w:uiPriority w:val="99"/>
    <w:rPr>
      <w:rFonts w:eastAsia="宋体" w:cs="Times New Roman"/>
      <w:kern w:val="2"/>
      <w:sz w:val="18"/>
      <w:lang w:val="en-US" w:eastAsia="zh-CN"/>
    </w:rPr>
  </w:style>
  <w:style w:type="character" w:customStyle="1" w:styleId="81">
    <w:name w:val="Subtitle Char"/>
    <w:basedOn w:val="44"/>
    <w:qFormat/>
    <w:locked/>
    <w:uiPriority w:val="99"/>
    <w:rPr>
      <w:rFonts w:ascii="Cambria" w:hAnsi="Cambria" w:eastAsia="宋体" w:cs="Times New Roman"/>
      <w:b/>
      <w:kern w:val="28"/>
      <w:sz w:val="32"/>
    </w:rPr>
  </w:style>
  <w:style w:type="character" w:customStyle="1" w:styleId="82">
    <w:name w:val="Footnote Text Char"/>
    <w:basedOn w:val="44"/>
    <w:qFormat/>
    <w:locked/>
    <w:uiPriority w:val="99"/>
    <w:rPr>
      <w:rFonts w:ascii="Times New Roman" w:hAnsi="Times New Roman" w:eastAsia="宋体" w:cs="Times New Roman"/>
      <w:sz w:val="18"/>
    </w:rPr>
  </w:style>
  <w:style w:type="character" w:customStyle="1" w:styleId="83">
    <w:name w:val="正文文本缩进 3 Char1"/>
    <w:basedOn w:val="44"/>
    <w:link w:val="35"/>
    <w:semiHidden/>
    <w:qFormat/>
    <w:locked/>
    <w:uiPriority w:val="99"/>
    <w:rPr>
      <w:rFonts w:ascii="Times New Roman" w:hAnsi="Times New Roman" w:eastAsia="宋体" w:cs="Times New Roman"/>
      <w:sz w:val="16"/>
    </w:rPr>
  </w:style>
  <w:style w:type="character" w:customStyle="1" w:styleId="84">
    <w:name w:val="Title Char"/>
    <w:basedOn w:val="44"/>
    <w:autoRedefine/>
    <w:qFormat/>
    <w:locked/>
    <w:uiPriority w:val="99"/>
    <w:rPr>
      <w:rFonts w:ascii="Cambria" w:hAnsi="Cambria" w:cs="Times New Roman"/>
      <w:b/>
      <w:sz w:val="32"/>
    </w:rPr>
  </w:style>
  <w:style w:type="character" w:customStyle="1" w:styleId="85">
    <w:name w:val="Comment Subject Char"/>
    <w:basedOn w:val="71"/>
    <w:autoRedefine/>
    <w:qFormat/>
    <w:locked/>
    <w:uiPriority w:val="99"/>
    <w:rPr>
      <w:rFonts w:cs="Times New Roman"/>
      <w:b/>
      <w:sz w:val="24"/>
    </w:rPr>
  </w:style>
  <w:style w:type="character" w:customStyle="1" w:styleId="86">
    <w:name w:val="正文首行缩进 Char"/>
    <w:basedOn w:val="73"/>
    <w:link w:val="41"/>
    <w:autoRedefine/>
    <w:semiHidden/>
    <w:qFormat/>
    <w:locked/>
    <w:uiPriority w:val="99"/>
    <w:rPr>
      <w:rFonts w:ascii="Times New Roman" w:hAnsi="Times New Roman" w:eastAsia="宋体" w:cs="Times New Roman"/>
      <w:sz w:val="21"/>
      <w:szCs w:val="21"/>
    </w:rPr>
  </w:style>
  <w:style w:type="character" w:customStyle="1" w:styleId="87">
    <w:name w:val="标题 1 Char"/>
    <w:link w:val="3"/>
    <w:autoRedefine/>
    <w:qFormat/>
    <w:locked/>
    <w:uiPriority w:val="0"/>
    <w:rPr>
      <w:rFonts w:eastAsia="理德小标宋简"/>
      <w:b/>
      <w:kern w:val="44"/>
      <w:sz w:val="44"/>
    </w:rPr>
  </w:style>
  <w:style w:type="character" w:customStyle="1" w:styleId="88">
    <w:name w:val="标题 2 Char"/>
    <w:link w:val="4"/>
    <w:autoRedefine/>
    <w:qFormat/>
    <w:locked/>
    <w:uiPriority w:val="0"/>
    <w:rPr>
      <w:rFonts w:ascii="Cambria" w:hAnsi="Cambria" w:eastAsia="宋体"/>
      <w:b/>
      <w:sz w:val="32"/>
    </w:rPr>
  </w:style>
  <w:style w:type="character" w:customStyle="1" w:styleId="89">
    <w:name w:val="标题 3 Char"/>
    <w:link w:val="5"/>
    <w:autoRedefine/>
    <w:qFormat/>
    <w:locked/>
    <w:uiPriority w:val="0"/>
    <w:rPr>
      <w:rFonts w:ascii="Times New Roman" w:hAnsi="Times New Roman" w:eastAsia="宋体"/>
      <w:b/>
      <w:sz w:val="32"/>
    </w:rPr>
  </w:style>
  <w:style w:type="character" w:customStyle="1" w:styleId="90">
    <w:name w:val="标题 4 Char"/>
    <w:link w:val="2"/>
    <w:qFormat/>
    <w:locked/>
    <w:uiPriority w:val="0"/>
    <w:rPr>
      <w:rFonts w:ascii="Cambria" w:hAnsi="Cambria" w:eastAsia="宋体"/>
      <w:b/>
      <w:sz w:val="36"/>
    </w:rPr>
  </w:style>
  <w:style w:type="character" w:customStyle="1" w:styleId="91">
    <w:name w:val="标题 5 Char"/>
    <w:link w:val="6"/>
    <w:qFormat/>
    <w:locked/>
    <w:uiPriority w:val="0"/>
    <w:rPr>
      <w:rFonts w:ascii="Times New Roman" w:hAnsi="Times New Roman" w:eastAsia="宋体"/>
      <w:b/>
      <w:sz w:val="28"/>
    </w:rPr>
  </w:style>
  <w:style w:type="character" w:customStyle="1" w:styleId="92">
    <w:name w:val="文档结构图 Char1"/>
    <w:link w:val="15"/>
    <w:qFormat/>
    <w:locked/>
    <w:uiPriority w:val="99"/>
    <w:rPr>
      <w:rFonts w:ascii="宋体" w:hAnsi="Times New Roman" w:eastAsia="宋体"/>
      <w:sz w:val="18"/>
    </w:rPr>
  </w:style>
  <w:style w:type="character" w:customStyle="1" w:styleId="93">
    <w:name w:val="批注文字 Char1"/>
    <w:link w:val="16"/>
    <w:qFormat/>
    <w:locked/>
    <w:uiPriority w:val="99"/>
    <w:rPr>
      <w:rFonts w:ascii="Times New Roman" w:hAnsi="Times New Roman" w:eastAsia="宋体"/>
    </w:rPr>
  </w:style>
  <w:style w:type="character" w:customStyle="1" w:styleId="94">
    <w:name w:val="正文文本缩进 Char1"/>
    <w:link w:val="19"/>
    <w:semiHidden/>
    <w:qFormat/>
    <w:locked/>
    <w:uiPriority w:val="99"/>
    <w:rPr>
      <w:rFonts w:ascii="Times New Roman" w:hAnsi="Times New Roman" w:eastAsia="宋体"/>
    </w:rPr>
  </w:style>
  <w:style w:type="character" w:customStyle="1" w:styleId="95">
    <w:name w:val="纯文本 Char3"/>
    <w:link w:val="23"/>
    <w:autoRedefine/>
    <w:semiHidden/>
    <w:qFormat/>
    <w:locked/>
    <w:uiPriority w:val="99"/>
    <w:rPr>
      <w:rFonts w:ascii="宋体" w:hAnsi="Courier New" w:eastAsia="宋体"/>
      <w:sz w:val="21"/>
    </w:rPr>
  </w:style>
  <w:style w:type="character" w:customStyle="1" w:styleId="96">
    <w:name w:val="批注框文本 Char1"/>
    <w:link w:val="27"/>
    <w:autoRedefine/>
    <w:qFormat/>
    <w:locked/>
    <w:uiPriority w:val="99"/>
    <w:rPr>
      <w:rFonts w:ascii="Times New Roman" w:hAnsi="Times New Roman" w:eastAsia="宋体"/>
      <w:sz w:val="18"/>
    </w:rPr>
  </w:style>
  <w:style w:type="character" w:customStyle="1" w:styleId="97">
    <w:name w:val="页脚 Char1"/>
    <w:link w:val="28"/>
    <w:autoRedefine/>
    <w:semiHidden/>
    <w:qFormat/>
    <w:locked/>
    <w:uiPriority w:val="99"/>
    <w:rPr>
      <w:rFonts w:ascii="Times New Roman" w:hAnsi="Times New Roman" w:eastAsia="宋体"/>
      <w:sz w:val="18"/>
    </w:rPr>
  </w:style>
  <w:style w:type="character" w:customStyle="1" w:styleId="98">
    <w:name w:val="页眉 Char1"/>
    <w:link w:val="29"/>
    <w:autoRedefine/>
    <w:semiHidden/>
    <w:qFormat/>
    <w:locked/>
    <w:uiPriority w:val="99"/>
    <w:rPr>
      <w:rFonts w:ascii="Times New Roman" w:hAnsi="Times New Roman" w:eastAsia="宋体"/>
      <w:sz w:val="18"/>
    </w:rPr>
  </w:style>
  <w:style w:type="character" w:customStyle="1" w:styleId="99">
    <w:name w:val="标题 Char1"/>
    <w:link w:val="39"/>
    <w:autoRedefine/>
    <w:qFormat/>
    <w:locked/>
    <w:uiPriority w:val="99"/>
    <w:rPr>
      <w:rFonts w:ascii="Cambria" w:hAnsi="Cambria" w:eastAsia="宋体"/>
      <w:b/>
      <w:sz w:val="32"/>
    </w:rPr>
  </w:style>
  <w:style w:type="character" w:customStyle="1" w:styleId="100">
    <w:name w:val="批注主题 Char1"/>
    <w:link w:val="40"/>
    <w:autoRedefine/>
    <w:qFormat/>
    <w:locked/>
    <w:uiPriority w:val="99"/>
    <w:rPr>
      <w:rFonts w:ascii="Times New Roman" w:hAnsi="Times New Roman" w:eastAsia="宋体"/>
      <w:b/>
    </w:rPr>
  </w:style>
  <w:style w:type="character" w:customStyle="1" w:styleId="101">
    <w:name w:val="正文文本 Char"/>
    <w:autoRedefine/>
    <w:qFormat/>
    <w:uiPriority w:val="0"/>
    <w:rPr>
      <w:rFonts w:ascii="楷体_GB2312" w:eastAsia="楷体_GB2312"/>
      <w:b/>
      <w:sz w:val="48"/>
    </w:rPr>
  </w:style>
  <w:style w:type="character" w:customStyle="1" w:styleId="102">
    <w:name w:val="脚注文本 Char1"/>
    <w:link w:val="33"/>
    <w:autoRedefine/>
    <w:qFormat/>
    <w:locked/>
    <w:uiPriority w:val="99"/>
    <w:rPr>
      <w:sz w:val="18"/>
    </w:rPr>
  </w:style>
  <w:style w:type="character" w:customStyle="1" w:styleId="103">
    <w:name w:val="明显引用 Char1"/>
    <w:autoRedefine/>
    <w:qFormat/>
    <w:locked/>
    <w:uiPriority w:val="99"/>
    <w:rPr>
      <w:b/>
      <w:i/>
      <w:color w:val="4F81BD"/>
    </w:rPr>
  </w:style>
  <w:style w:type="paragraph" w:styleId="104">
    <w:name w:val="Intense Quote"/>
    <w:basedOn w:val="1"/>
    <w:next w:val="1"/>
    <w:link w:val="105"/>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5">
    <w:name w:val="明显引用 Char2"/>
    <w:basedOn w:val="44"/>
    <w:link w:val="104"/>
    <w:autoRedefine/>
    <w:qFormat/>
    <w:locked/>
    <w:uiPriority w:val="99"/>
    <w:rPr>
      <w:rFonts w:ascii="Times New Roman" w:hAnsi="Times New Roman" w:eastAsia="宋体" w:cs="Times New Roman"/>
      <w:b/>
      <w:i/>
      <w:color w:val="4F81BD"/>
    </w:rPr>
  </w:style>
  <w:style w:type="character" w:customStyle="1" w:styleId="106">
    <w:name w:val="页眉 Char"/>
    <w:autoRedefine/>
    <w:qFormat/>
    <w:uiPriority w:val="0"/>
    <w:rPr>
      <w:sz w:val="18"/>
    </w:rPr>
  </w:style>
  <w:style w:type="character" w:customStyle="1" w:styleId="107">
    <w:name w:val="批注框文本 Char"/>
    <w:autoRedefine/>
    <w:qFormat/>
    <w:uiPriority w:val="0"/>
    <w:rPr>
      <w:sz w:val="18"/>
    </w:rPr>
  </w:style>
  <w:style w:type="character" w:customStyle="1" w:styleId="108">
    <w:name w:val="l2"/>
    <w:basedOn w:val="44"/>
    <w:autoRedefine/>
    <w:qFormat/>
    <w:uiPriority w:val="99"/>
    <w:rPr>
      <w:rFonts w:cs="Times New Roman"/>
    </w:rPr>
  </w:style>
  <w:style w:type="character" w:customStyle="1" w:styleId="109">
    <w:name w:val="文档结构图 Char"/>
    <w:autoRedefine/>
    <w:qFormat/>
    <w:uiPriority w:val="0"/>
    <w:rPr>
      <w:rFonts w:ascii="宋体"/>
      <w:sz w:val="18"/>
    </w:rPr>
  </w:style>
  <w:style w:type="character" w:customStyle="1" w:styleId="110">
    <w:name w:val="正文文本 Char1"/>
    <w:autoRedefine/>
    <w:qFormat/>
    <w:locked/>
    <w:uiPriority w:val="99"/>
    <w:rPr>
      <w:kern w:val="2"/>
      <w:sz w:val="22"/>
    </w:rPr>
  </w:style>
  <w:style w:type="character" w:customStyle="1" w:styleId="111">
    <w:name w:val="正文文本缩进 2 Char1"/>
    <w:link w:val="26"/>
    <w:autoRedefine/>
    <w:qFormat/>
    <w:locked/>
    <w:uiPriority w:val="99"/>
    <w:rPr>
      <w:sz w:val="24"/>
    </w:rPr>
  </w:style>
  <w:style w:type="character" w:customStyle="1" w:styleId="112">
    <w:name w:val="正文文本缩进 2 Char"/>
    <w:autoRedefine/>
    <w:qFormat/>
    <w:uiPriority w:val="99"/>
    <w:rPr>
      <w:kern w:val="2"/>
      <w:sz w:val="22"/>
    </w:rPr>
  </w:style>
  <w:style w:type="character" w:customStyle="1" w:styleId="113">
    <w:name w:val="r2"/>
    <w:basedOn w:val="44"/>
    <w:autoRedefine/>
    <w:qFormat/>
    <w:uiPriority w:val="99"/>
    <w:rPr>
      <w:rFonts w:cs="Times New Roman"/>
    </w:rPr>
  </w:style>
  <w:style w:type="character" w:customStyle="1" w:styleId="114">
    <w:name w:val="批注主题 Char"/>
    <w:autoRedefine/>
    <w:qFormat/>
    <w:uiPriority w:val="99"/>
    <w:rPr>
      <w:b/>
    </w:rPr>
  </w:style>
  <w:style w:type="character" w:customStyle="1" w:styleId="115">
    <w:name w:val="副标题 Char"/>
    <w:autoRedefine/>
    <w:qFormat/>
    <w:uiPriority w:val="99"/>
    <w:rPr>
      <w:rFonts w:ascii="Cambria" w:hAnsi="Cambria"/>
      <w:b/>
      <w:kern w:val="28"/>
      <w:sz w:val="32"/>
    </w:rPr>
  </w:style>
  <w:style w:type="character" w:customStyle="1" w:styleId="116">
    <w:name w:val="明显引用 Char"/>
    <w:link w:val="117"/>
    <w:autoRedefine/>
    <w:qFormat/>
    <w:locked/>
    <w:uiPriority w:val="99"/>
    <w:rPr>
      <w:b/>
      <w:i/>
      <w:color w:val="4F81BD"/>
      <w:kern w:val="2"/>
      <w:sz w:val="22"/>
    </w:rPr>
  </w:style>
  <w:style w:type="paragraph" w:customStyle="1" w:styleId="117">
    <w:name w:val="明显引用1"/>
    <w:basedOn w:val="1"/>
    <w:next w:val="1"/>
    <w:link w:val="116"/>
    <w:autoRedefine/>
    <w:qFormat/>
    <w:uiPriority w:val="99"/>
    <w:pPr>
      <w:pBdr>
        <w:bottom w:val="single" w:color="4F81BD" w:sz="4" w:space="4"/>
      </w:pBdr>
      <w:spacing w:before="200" w:after="280"/>
      <w:ind w:left="936" w:right="936"/>
    </w:pPr>
    <w:rPr>
      <w:b/>
      <w:i/>
      <w:color w:val="4F81BD"/>
      <w:sz w:val="22"/>
      <w:szCs w:val="20"/>
    </w:rPr>
  </w:style>
  <w:style w:type="character" w:customStyle="1" w:styleId="118">
    <w:name w:val="日期 Char"/>
    <w:basedOn w:val="44"/>
    <w:link w:val="25"/>
    <w:autoRedefine/>
    <w:qFormat/>
    <w:locked/>
    <w:uiPriority w:val="99"/>
    <w:rPr>
      <w:rFonts w:cs="Times New Roman"/>
    </w:rPr>
  </w:style>
  <w:style w:type="character" w:customStyle="1" w:styleId="119">
    <w:name w:val="引用 Char1"/>
    <w:autoRedefine/>
    <w:qFormat/>
    <w:locked/>
    <w:uiPriority w:val="99"/>
    <w:rPr>
      <w:i/>
      <w:color w:val="000000"/>
    </w:rPr>
  </w:style>
  <w:style w:type="paragraph" w:styleId="120">
    <w:name w:val="Quote"/>
    <w:basedOn w:val="1"/>
    <w:next w:val="1"/>
    <w:link w:val="121"/>
    <w:autoRedefine/>
    <w:qFormat/>
    <w:uiPriority w:val="99"/>
    <w:rPr>
      <w:i/>
      <w:iCs/>
      <w:color w:val="000000"/>
      <w:kern w:val="0"/>
      <w:sz w:val="20"/>
      <w:szCs w:val="20"/>
    </w:rPr>
  </w:style>
  <w:style w:type="character" w:customStyle="1" w:styleId="121">
    <w:name w:val="引用 Char2"/>
    <w:basedOn w:val="44"/>
    <w:link w:val="120"/>
    <w:autoRedefine/>
    <w:qFormat/>
    <w:locked/>
    <w:uiPriority w:val="99"/>
    <w:rPr>
      <w:rFonts w:ascii="Times New Roman" w:hAnsi="Times New Roman" w:eastAsia="宋体" w:cs="Times New Roman"/>
      <w:i/>
      <w:color w:val="000000"/>
    </w:rPr>
  </w:style>
  <w:style w:type="character" w:customStyle="1" w:styleId="122">
    <w:name w:val="注释标题 Char"/>
    <w:semiHidden/>
    <w:qFormat/>
    <w:uiPriority w:val="99"/>
    <w:rPr>
      <w:sz w:val="24"/>
    </w:rPr>
  </w:style>
  <w:style w:type="character" w:customStyle="1" w:styleId="123">
    <w:name w:val="正文文本缩进 3 Char"/>
    <w:autoRedefine/>
    <w:qFormat/>
    <w:uiPriority w:val="99"/>
    <w:rPr>
      <w:rFonts w:ascii="宋体"/>
      <w:sz w:val="28"/>
    </w:rPr>
  </w:style>
  <w:style w:type="character" w:customStyle="1" w:styleId="124">
    <w:name w:val="副标题 Char1"/>
    <w:link w:val="32"/>
    <w:autoRedefine/>
    <w:qFormat/>
    <w:locked/>
    <w:uiPriority w:val="99"/>
    <w:rPr>
      <w:rFonts w:ascii="Cambria" w:hAnsi="Cambria"/>
      <w:b/>
      <w:kern w:val="28"/>
      <w:sz w:val="32"/>
    </w:rPr>
  </w:style>
  <w:style w:type="character" w:customStyle="1" w:styleId="125">
    <w:name w:val="称呼 Char"/>
    <w:autoRedefine/>
    <w:semiHidden/>
    <w:qFormat/>
    <w:uiPriority w:val="99"/>
    <w:rPr>
      <w:sz w:val="24"/>
    </w:rPr>
  </w:style>
  <w:style w:type="character" w:customStyle="1" w:styleId="126">
    <w:name w:val="批注文字 Char"/>
    <w:autoRedefine/>
    <w:qFormat/>
    <w:uiPriority w:val="99"/>
  </w:style>
  <w:style w:type="character" w:customStyle="1" w:styleId="127">
    <w:name w:val="纯文本 Char2"/>
    <w:qFormat/>
    <w:uiPriority w:val="99"/>
    <w:rPr>
      <w:rFonts w:ascii="宋体" w:hAnsi="Courier New"/>
      <w:kern w:val="2"/>
      <w:sz w:val="21"/>
    </w:rPr>
  </w:style>
  <w:style w:type="character" w:customStyle="1" w:styleId="128">
    <w:name w:val="标题4 Char Char"/>
    <w:link w:val="129"/>
    <w:autoRedefine/>
    <w:qFormat/>
    <w:locked/>
    <w:uiPriority w:val="99"/>
    <w:rPr>
      <w:rFonts w:ascii="Arial" w:hAnsi="Arial"/>
      <w:b/>
      <w:sz w:val="32"/>
    </w:rPr>
  </w:style>
  <w:style w:type="paragraph" w:customStyle="1" w:styleId="129">
    <w:name w:val="标题4"/>
    <w:basedOn w:val="4"/>
    <w:next w:val="20"/>
    <w:link w:val="128"/>
    <w:qFormat/>
    <w:uiPriority w:val="99"/>
    <w:pPr>
      <w:spacing w:before="60" w:after="60" w:line="412" w:lineRule="auto"/>
    </w:pPr>
    <w:rPr>
      <w:rFonts w:ascii="Arial" w:hAnsi="Arial"/>
    </w:rPr>
  </w:style>
  <w:style w:type="character" w:customStyle="1" w:styleId="130">
    <w:name w:val="标题5 Char Char"/>
    <w:link w:val="131"/>
    <w:autoRedefine/>
    <w:qFormat/>
    <w:locked/>
    <w:uiPriority w:val="99"/>
    <w:rPr>
      <w:rFonts w:ascii="Arial" w:hAnsi="Arial"/>
      <w:b/>
      <w:sz w:val="32"/>
    </w:rPr>
  </w:style>
  <w:style w:type="paragraph" w:customStyle="1" w:styleId="131">
    <w:name w:val="标题5"/>
    <w:basedOn w:val="5"/>
    <w:link w:val="130"/>
    <w:qFormat/>
    <w:uiPriority w:val="99"/>
    <w:pPr>
      <w:spacing w:line="412" w:lineRule="auto"/>
    </w:pPr>
    <w:rPr>
      <w:rFonts w:ascii="Arial" w:hAnsi="Arial"/>
    </w:rPr>
  </w:style>
  <w:style w:type="character" w:customStyle="1" w:styleId="132">
    <w:name w:val="纯文本 Char"/>
    <w:qFormat/>
    <w:uiPriority w:val="99"/>
    <w:rPr>
      <w:rFonts w:ascii="宋体" w:hAnsi="Courier New"/>
      <w:sz w:val="21"/>
    </w:rPr>
  </w:style>
  <w:style w:type="character" w:customStyle="1" w:styleId="133">
    <w:name w:val="页脚 Char"/>
    <w:qFormat/>
    <w:uiPriority w:val="99"/>
    <w:rPr>
      <w:sz w:val="18"/>
    </w:rPr>
  </w:style>
  <w:style w:type="character" w:customStyle="1" w:styleId="134">
    <w:name w:val="标题 Char"/>
    <w:qFormat/>
    <w:uiPriority w:val="0"/>
    <w:rPr>
      <w:rFonts w:ascii="Arial" w:hAnsi="Arial"/>
      <w:b/>
      <w:sz w:val="32"/>
    </w:rPr>
  </w:style>
  <w:style w:type="character" w:customStyle="1" w:styleId="135">
    <w:name w:val="脚注文本 Char"/>
    <w:autoRedefine/>
    <w:qFormat/>
    <w:uiPriority w:val="99"/>
    <w:rPr>
      <w:kern w:val="2"/>
      <w:sz w:val="18"/>
    </w:rPr>
  </w:style>
  <w:style w:type="character" w:customStyle="1" w:styleId="136">
    <w:name w:val="正文文本缩进 Char"/>
    <w:autoRedefine/>
    <w:qFormat/>
    <w:uiPriority w:val="99"/>
    <w:rPr>
      <w:sz w:val="24"/>
    </w:rPr>
  </w:style>
  <w:style w:type="character" w:customStyle="1" w:styleId="137">
    <w:name w:val="纯文本 Char1"/>
    <w:autoRedefine/>
    <w:qFormat/>
    <w:uiPriority w:val="99"/>
    <w:rPr>
      <w:rFonts w:ascii="宋体" w:hAnsi="Courier New" w:eastAsia="宋体"/>
      <w:sz w:val="20"/>
    </w:rPr>
  </w:style>
  <w:style w:type="character" w:customStyle="1" w:styleId="138">
    <w:name w:val="引用 Char"/>
    <w:link w:val="139"/>
    <w:qFormat/>
    <w:locked/>
    <w:uiPriority w:val="99"/>
    <w:rPr>
      <w:i/>
      <w:color w:val="000000"/>
      <w:kern w:val="2"/>
      <w:sz w:val="22"/>
    </w:rPr>
  </w:style>
  <w:style w:type="paragraph" w:customStyle="1" w:styleId="139">
    <w:name w:val="引用1"/>
    <w:basedOn w:val="1"/>
    <w:next w:val="1"/>
    <w:link w:val="138"/>
    <w:qFormat/>
    <w:uiPriority w:val="99"/>
    <w:rPr>
      <w:i/>
      <w:color w:val="000000"/>
      <w:sz w:val="22"/>
      <w:szCs w:val="20"/>
    </w:rPr>
  </w:style>
  <w:style w:type="character" w:customStyle="1" w:styleId="140">
    <w:name w:val="普通文字 Char Char2"/>
    <w:autoRedefine/>
    <w:qFormat/>
    <w:uiPriority w:val="99"/>
    <w:rPr>
      <w:rFonts w:ascii="宋体" w:hAnsi="Courier New" w:eastAsia="宋体"/>
      <w:kern w:val="2"/>
      <w:sz w:val="21"/>
      <w:lang w:val="en-US" w:eastAsia="zh-CN"/>
    </w:rPr>
  </w:style>
  <w:style w:type="paragraph" w:customStyle="1" w:styleId="141">
    <w:name w:val="Table Paragraph"/>
    <w:basedOn w:val="1"/>
    <w:autoRedefine/>
    <w:qFormat/>
    <w:uiPriority w:val="99"/>
    <w:pPr>
      <w:autoSpaceDE w:val="0"/>
      <w:autoSpaceDN w:val="0"/>
      <w:adjustRightInd w:val="0"/>
      <w:jc w:val="left"/>
    </w:pPr>
    <w:rPr>
      <w:rFonts w:ascii="黑体" w:eastAsia="黑体" w:cs="黑体"/>
      <w:kern w:val="0"/>
      <w:sz w:val="24"/>
      <w:szCs w:val="24"/>
    </w:rPr>
  </w:style>
  <w:style w:type="paragraph" w:customStyle="1" w:styleId="142">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43">
    <w:name w:val="Level 8"/>
    <w:basedOn w:val="1"/>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44">
    <w:name w:val="05 Body"/>
    <w:basedOn w:val="1"/>
    <w:autoRedefine/>
    <w:qFormat/>
    <w:uiPriority w:val="99"/>
    <w:pPr>
      <w:widowControl/>
      <w:spacing w:line="290" w:lineRule="auto"/>
    </w:pPr>
    <w:rPr>
      <w:rFonts w:ascii="Arial" w:hAnsi="Arial" w:cs="Arial"/>
      <w:kern w:val="20"/>
      <w:sz w:val="24"/>
      <w:szCs w:val="24"/>
      <w:lang w:val="en-GB" w:eastAsia="en-US"/>
    </w:rPr>
  </w:style>
  <w:style w:type="paragraph" w:customStyle="1" w:styleId="145">
    <w:name w:val="Parties"/>
    <w:basedOn w:val="1"/>
    <w:autoRedefine/>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46">
    <w:name w:val="Level 5"/>
    <w:basedOn w:val="147"/>
    <w:autoRedefine/>
    <w:qFormat/>
    <w:uiPriority w:val="99"/>
    <w:pPr>
      <w:numPr>
        <w:ilvl w:val="4"/>
      </w:numPr>
      <w:tabs>
        <w:tab w:val="left" w:pos="1361"/>
      </w:tabs>
      <w:outlineLvl w:val="4"/>
    </w:pPr>
  </w:style>
  <w:style w:type="paragraph" w:customStyle="1" w:styleId="147">
    <w:name w:val="Level 4"/>
    <w:basedOn w:val="1"/>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48">
    <w:name w:val="Body"/>
    <w:basedOn w:val="1"/>
    <w:autoRedefine/>
    <w:qFormat/>
    <w:uiPriority w:val="99"/>
    <w:pPr>
      <w:widowControl/>
      <w:spacing w:after="140" w:line="290" w:lineRule="auto"/>
    </w:pPr>
    <w:rPr>
      <w:rFonts w:ascii="Arial" w:hAnsi="Arial" w:cs="Arial"/>
      <w:kern w:val="20"/>
      <w:sz w:val="20"/>
      <w:szCs w:val="20"/>
      <w:lang w:val="en-GB" w:eastAsia="en-US"/>
    </w:rPr>
  </w:style>
  <w:style w:type="paragraph" w:customStyle="1" w:styleId="149">
    <w:name w:val="Char"/>
    <w:basedOn w:val="1"/>
    <w:qFormat/>
    <w:uiPriority w:val="99"/>
    <w:pPr>
      <w:snapToGrid w:val="0"/>
      <w:spacing w:line="440" w:lineRule="atLeast"/>
    </w:pPr>
    <w:rPr>
      <w:rFonts w:ascii="宋体" w:cs="宋体"/>
      <w:sz w:val="24"/>
      <w:szCs w:val="24"/>
    </w:rPr>
  </w:style>
  <w:style w:type="paragraph" w:customStyle="1" w:styleId="150">
    <w:name w:val="样式 标题 2 + Times New Roman 四号 非加粗 段前: 5 磅 段后: 0 磅 行距: 固定值 20..."/>
    <w:basedOn w:val="4"/>
    <w:next w:val="1"/>
    <w:autoRedefine/>
    <w:qFormat/>
    <w:uiPriority w:val="99"/>
    <w:pPr>
      <w:spacing w:before="100" w:after="0" w:line="400" w:lineRule="exact"/>
    </w:pPr>
    <w:rPr>
      <w:rFonts w:ascii="Times New Roman" w:hAnsi="Times New Roman" w:eastAsia="黑体"/>
      <w:b w:val="0"/>
      <w:sz w:val="28"/>
      <w:szCs w:val="28"/>
    </w:rPr>
  </w:style>
  <w:style w:type="paragraph" w:customStyle="1" w:styleId="151">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52">
    <w:name w:val="Level 6"/>
    <w:basedOn w:val="146"/>
    <w:qFormat/>
    <w:uiPriority w:val="99"/>
    <w:pPr>
      <w:numPr>
        <w:ilvl w:val="5"/>
      </w:numPr>
      <w:outlineLvl w:val="5"/>
    </w:pPr>
  </w:style>
  <w:style w:type="paragraph" w:customStyle="1" w:styleId="153">
    <w:name w:val="Level 7"/>
    <w:basedOn w:val="1"/>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54">
    <w:name w:val="WPSOffice手动目录 1"/>
    <w:qFormat/>
    <w:uiPriority w:val="99"/>
    <w:rPr>
      <w:rFonts w:ascii="Times New Roman" w:hAnsi="Times New Roman" w:eastAsia="宋体" w:cs="Times New Roman"/>
      <w:lang w:val="en-US" w:eastAsia="zh-CN" w:bidi="ar-SA"/>
    </w:rPr>
  </w:style>
  <w:style w:type="paragraph" w:customStyle="1" w:styleId="155">
    <w:name w:val="04 Recitals"/>
    <w:basedOn w:val="144"/>
    <w:autoRedefine/>
    <w:qFormat/>
    <w:uiPriority w:val="99"/>
    <w:pPr>
      <w:numPr>
        <w:ilvl w:val="0"/>
        <w:numId w:val="4"/>
      </w:numPr>
    </w:pPr>
  </w:style>
  <w:style w:type="paragraph" w:customStyle="1" w:styleId="156">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5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8">
    <w:name w:val="02 Parties"/>
    <w:basedOn w:val="1"/>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59">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60">
    <w:name w:val="Char Char Char Char Char Char Char"/>
    <w:basedOn w:val="1"/>
    <w:qFormat/>
    <w:uiPriority w:val="99"/>
    <w:rPr>
      <w:rFonts w:ascii="仿宋_GB2312" w:eastAsia="仿宋_GB2312" w:cs="仿宋_GB2312"/>
      <w:spacing w:val="-4"/>
      <w:sz w:val="32"/>
      <w:szCs w:val="32"/>
    </w:rPr>
  </w:style>
  <w:style w:type="paragraph" w:customStyle="1" w:styleId="161">
    <w:name w:val="Level 3"/>
    <w:basedOn w:val="1"/>
    <w:autoRedefine/>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62">
    <w:name w:val="List Paragraph"/>
    <w:basedOn w:val="1"/>
    <w:qFormat/>
    <w:uiPriority w:val="99"/>
    <w:pPr>
      <w:ind w:firstLine="420" w:firstLineChars="200"/>
    </w:pPr>
  </w:style>
  <w:style w:type="paragraph" w:customStyle="1" w:styleId="163">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64">
    <w:name w:val="Level 2"/>
    <w:basedOn w:val="1"/>
    <w:next w:val="1"/>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65">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6">
    <w:name w:val="Heading 81"/>
    <w:basedOn w:val="1"/>
    <w:autoRedefine/>
    <w:qFormat/>
    <w:uiPriority w:val="99"/>
    <w:pPr>
      <w:autoSpaceDE w:val="0"/>
      <w:autoSpaceDN w:val="0"/>
      <w:ind w:left="765"/>
      <w:jc w:val="left"/>
      <w:outlineLvl w:val="8"/>
    </w:pPr>
    <w:rPr>
      <w:rFonts w:ascii="宋体" w:hAnsi="宋体" w:cs="宋体"/>
      <w:b/>
      <w:bCs/>
      <w:kern w:val="0"/>
      <w:lang w:val="zh-CN"/>
    </w:rPr>
  </w:style>
  <w:style w:type="paragraph" w:customStyle="1" w:styleId="167">
    <w:name w:val="标题 81"/>
    <w:basedOn w:val="1"/>
    <w:qFormat/>
    <w:uiPriority w:val="99"/>
    <w:pPr>
      <w:autoSpaceDE w:val="0"/>
      <w:autoSpaceDN w:val="0"/>
      <w:ind w:left="765"/>
      <w:jc w:val="left"/>
      <w:outlineLvl w:val="8"/>
    </w:pPr>
    <w:rPr>
      <w:rFonts w:ascii="宋体" w:hAnsi="宋体" w:cs="宋体"/>
      <w:b/>
      <w:bCs/>
      <w:kern w:val="0"/>
      <w:lang w:val="zh-CN"/>
    </w:rPr>
  </w:style>
  <w:style w:type="character" w:customStyle="1" w:styleId="168">
    <w:name w:val="fontstyle01"/>
    <w:autoRedefine/>
    <w:qFormat/>
    <w:uiPriority w:val="99"/>
    <w:rPr>
      <w:rFonts w:ascii="Times New Roman" w:hAnsi="Times New Roman" w:eastAsia="宋体"/>
      <w:color w:val="000000"/>
      <w:sz w:val="22"/>
    </w:rPr>
  </w:style>
  <w:style w:type="paragraph" w:customStyle="1" w:styleId="169">
    <w:name w:val="_Style 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1"/>
    <w:basedOn w:val="1"/>
    <w:next w:val="23"/>
    <w:qFormat/>
    <w:uiPriority w:val="99"/>
    <w:rPr>
      <w:rFonts w:ascii="宋体" w:hAnsi="Courier New"/>
      <w:szCs w:val="20"/>
    </w:rPr>
  </w:style>
  <w:style w:type="paragraph" w:customStyle="1" w:styleId="171">
    <w:name w:val="2"/>
    <w:basedOn w:val="1"/>
    <w:next w:val="23"/>
    <w:autoRedefine/>
    <w:qFormat/>
    <w:uiPriority w:val="99"/>
    <w:rPr>
      <w:rFonts w:ascii="宋体" w:hAnsi="Courier New"/>
      <w:szCs w:val="20"/>
    </w:rPr>
  </w:style>
  <w:style w:type="paragraph" w:customStyle="1" w:styleId="172">
    <w:name w:val="标题 1_0"/>
    <w:basedOn w:val="173"/>
    <w:next w:val="173"/>
    <w:qFormat/>
    <w:uiPriority w:val="99"/>
    <w:pPr>
      <w:keepNext/>
      <w:keepLines/>
      <w:spacing w:line="360" w:lineRule="auto"/>
      <w:outlineLvl w:val="0"/>
    </w:pPr>
    <w:rPr>
      <w:rFonts w:ascii="Times New Roman" w:hAnsi="Times New Roman" w:eastAsia="黑体" w:cs="Times New Roman"/>
      <w:b/>
      <w:bCs/>
      <w:kern w:val="44"/>
      <w:sz w:val="32"/>
      <w:szCs w:val="32"/>
    </w:rPr>
  </w:style>
  <w:style w:type="paragraph" w:customStyle="1" w:styleId="173">
    <w:name w:val="正文_2_0"/>
    <w:basedOn w:val="174"/>
    <w:qFormat/>
    <w:uiPriority w:val="99"/>
  </w:style>
  <w:style w:type="paragraph" w:customStyle="1" w:styleId="174">
    <w:name w:val="正文_3"/>
    <w:basedOn w:val="175"/>
    <w:qFormat/>
    <w:uiPriority w:val="0"/>
    <w:rPr>
      <w:rFonts w:cs="宋体"/>
      <w:szCs w:val="21"/>
    </w:rPr>
  </w:style>
  <w:style w:type="paragraph" w:customStyle="1" w:styleId="1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标题 4_0"/>
    <w:basedOn w:val="177"/>
    <w:next w:val="178"/>
    <w:qFormat/>
    <w:uiPriority w:val="0"/>
    <w:pPr>
      <w:keepNext/>
      <w:keepLines/>
      <w:spacing w:line="360" w:lineRule="auto"/>
      <w:outlineLvl w:val="3"/>
    </w:pPr>
    <w:rPr>
      <w:rFonts w:ascii="Arial" w:hAnsi="Arial"/>
      <w:b/>
      <w:bCs/>
      <w:szCs w:val="28"/>
    </w:rPr>
  </w:style>
  <w:style w:type="paragraph" w:customStyle="1" w:styleId="17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正文_2"/>
    <w:basedOn w:val="174"/>
    <w:next w:val="176"/>
    <w:autoRedefine/>
    <w:qFormat/>
    <w:uiPriority w:val="0"/>
    <w:rPr>
      <w:szCs w:val="22"/>
    </w:rPr>
  </w:style>
  <w:style w:type="paragraph" w:customStyle="1" w:styleId="179">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8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3">
    <w:name w:val="正文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4">
    <w:name w:val="正文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5">
    <w:name w:val="标题 2_0"/>
    <w:basedOn w:val="177"/>
    <w:next w:val="177"/>
    <w:qFormat/>
    <w:uiPriority w:val="99"/>
    <w:pPr>
      <w:keepNext/>
      <w:keepLines/>
      <w:spacing w:before="260" w:after="260" w:line="416" w:lineRule="auto"/>
      <w:outlineLvl w:val="1"/>
    </w:pPr>
    <w:rPr>
      <w:rFonts w:ascii="Cambria" w:hAnsi="Cambria"/>
      <w:b/>
      <w:bCs/>
      <w:sz w:val="32"/>
      <w:szCs w:val="32"/>
    </w:rPr>
  </w:style>
  <w:style w:type="paragraph" w:customStyle="1" w:styleId="18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7">
    <w:name w:val="标题 4_0_0"/>
    <w:basedOn w:val="188"/>
    <w:next w:val="189"/>
    <w:qFormat/>
    <w:uiPriority w:val="99"/>
    <w:pPr>
      <w:keepNext/>
      <w:keepLines/>
      <w:spacing w:line="360" w:lineRule="auto"/>
      <w:outlineLvl w:val="3"/>
    </w:pPr>
    <w:rPr>
      <w:rFonts w:ascii="Arial" w:hAnsi="Arial"/>
      <w:b/>
      <w:bCs/>
      <w:szCs w:val="28"/>
    </w:rPr>
  </w:style>
  <w:style w:type="paragraph" w:customStyle="1" w:styleId="188">
    <w:name w:val="正文_0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正文_2_0_0"/>
    <w:basedOn w:val="186"/>
    <w:next w:val="187"/>
    <w:autoRedefine/>
    <w:qFormat/>
    <w:uiPriority w:val="99"/>
  </w:style>
  <w:style w:type="paragraph" w:customStyle="1" w:styleId="190">
    <w:name w:val="标题 3_0"/>
    <w:basedOn w:val="189"/>
    <w:next w:val="173"/>
    <w:qFormat/>
    <w:uiPriority w:val="99"/>
    <w:pPr>
      <w:keepNext/>
      <w:keepLines/>
      <w:spacing w:before="260" w:after="260" w:line="416" w:lineRule="auto"/>
      <w:outlineLvl w:val="2"/>
    </w:pPr>
    <w:rPr>
      <w:rFonts w:ascii="Times New Roman" w:hAnsi="Times New Roman"/>
      <w:b/>
      <w:bCs/>
      <w:sz w:val="32"/>
      <w:szCs w:val="32"/>
    </w:rPr>
  </w:style>
  <w:style w:type="paragraph" w:customStyle="1" w:styleId="191">
    <w:name w:val="纯文本_0"/>
    <w:basedOn w:val="173"/>
    <w:autoRedefine/>
    <w:qFormat/>
    <w:uiPriority w:val="99"/>
    <w:rPr>
      <w:rFonts w:ascii="宋体" w:hAnsi="Courier New" w:cs="Times New Roman"/>
      <w:sz w:val="24"/>
      <w:szCs w:val="24"/>
    </w:rPr>
  </w:style>
  <w:style w:type="paragraph" w:customStyle="1" w:styleId="192">
    <w:name w:val="标题 3_1"/>
    <w:basedOn w:val="174"/>
    <w:next w:val="174"/>
    <w:qFormat/>
    <w:uiPriority w:val="99"/>
    <w:pPr>
      <w:keepNext/>
      <w:keepLines/>
      <w:spacing w:before="260" w:after="260" w:line="416" w:lineRule="auto"/>
      <w:outlineLvl w:val="2"/>
    </w:pPr>
    <w:rPr>
      <w:rFonts w:ascii="Times New Roman" w:hAnsi="Times New Roman" w:cs="Times New Roman"/>
      <w:b/>
      <w:bCs/>
      <w:sz w:val="32"/>
      <w:szCs w:val="32"/>
    </w:rPr>
  </w:style>
  <w:style w:type="paragraph" w:customStyle="1" w:styleId="193">
    <w:name w:val="正文_2_0_0_0"/>
    <w:basedOn w:val="186"/>
    <w:autoRedefine/>
    <w:qFormat/>
    <w:uiPriority w:val="99"/>
  </w:style>
  <w:style w:type="paragraph" w:customStyle="1" w:styleId="194">
    <w:name w:val="标题 4_1"/>
    <w:basedOn w:val="173"/>
    <w:next w:val="173"/>
    <w:qFormat/>
    <w:uiPriority w:val="99"/>
    <w:pPr>
      <w:keepNext/>
      <w:keepLines/>
      <w:spacing w:before="280" w:after="290" w:line="372" w:lineRule="auto"/>
      <w:outlineLvl w:val="3"/>
    </w:pPr>
    <w:rPr>
      <w:rFonts w:ascii="Cambria" w:hAnsi="Cambria" w:cs="Times New Roman"/>
      <w:b/>
      <w:bCs/>
      <w:kern w:val="0"/>
      <w:sz w:val="28"/>
      <w:szCs w:val="28"/>
    </w:rPr>
  </w:style>
  <w:style w:type="paragraph" w:customStyle="1" w:styleId="195">
    <w:name w:val="正文文本_0"/>
    <w:basedOn w:val="186"/>
    <w:qFormat/>
    <w:uiPriority w:val="99"/>
    <w:pPr>
      <w:adjustRightInd w:val="0"/>
      <w:spacing w:after="60" w:line="360" w:lineRule="atLeast"/>
      <w:ind w:left="72" w:leftChars="30" w:right="30" w:rightChars="30"/>
      <w:jc w:val="center"/>
      <w:textAlignment w:val="baseline"/>
    </w:pPr>
  </w:style>
  <w:style w:type="character" w:customStyle="1" w:styleId="196">
    <w:name w:val="hover3"/>
    <w:basedOn w:val="44"/>
    <w:qFormat/>
    <w:uiPriority w:val="99"/>
    <w:rPr>
      <w:rFonts w:cs="Times New Roman"/>
      <w:shd w:val="clear" w:color="auto" w:fill="9370DB"/>
    </w:rPr>
  </w:style>
  <w:style w:type="character" w:customStyle="1" w:styleId="197">
    <w:name w:val="hover1"/>
    <w:basedOn w:val="44"/>
    <w:qFormat/>
    <w:uiPriority w:val="99"/>
    <w:rPr>
      <w:rFonts w:cs="Times New Roman"/>
      <w:shd w:val="clear" w:color="auto" w:fill="9370DB"/>
    </w:rPr>
  </w:style>
  <w:style w:type="paragraph" w:customStyle="1" w:styleId="198">
    <w:name w:val="正文1"/>
    <w:autoRedefine/>
    <w:qFormat/>
    <w:uiPriority w:val="99"/>
    <w:rPr>
      <w:rFonts w:ascii="Times New Roman" w:hAnsi="Times New Roman" w:eastAsia="宋体" w:cs="Times New Roman"/>
      <w:sz w:val="24"/>
      <w:szCs w:val="24"/>
      <w:lang w:val="en-US" w:eastAsia="zh-CN" w:bidi="ar-SA"/>
    </w:rPr>
  </w:style>
  <w:style w:type="character" w:customStyle="1" w:styleId="199">
    <w:name w:val="hover"/>
    <w:basedOn w:val="44"/>
    <w:qFormat/>
    <w:uiPriority w:val="99"/>
    <w:rPr>
      <w:rFonts w:cs="Times New Roman"/>
      <w:shd w:val="clear" w:color="auto" w:fill="9370DB"/>
    </w:rPr>
  </w:style>
  <w:style w:type="character" w:customStyle="1" w:styleId="200">
    <w:name w:val="批注文字 Char Char"/>
    <w:qFormat/>
    <w:uiPriority w:val="99"/>
    <w:rPr>
      <w:rFonts w:ascii="宋体" w:hAnsi="Times New Roman" w:eastAsia="宋体"/>
      <w:sz w:val="20"/>
    </w:rPr>
  </w:style>
  <w:style w:type="character" w:customStyle="1" w:styleId="201">
    <w:name w:val="Char Char21"/>
    <w:qFormat/>
    <w:uiPriority w:val="99"/>
    <w:rPr>
      <w:rFonts w:ascii="Arial" w:hAnsi="Arial" w:eastAsia="黑体"/>
      <w:b/>
      <w:sz w:val="32"/>
    </w:rPr>
  </w:style>
  <w:style w:type="character" w:customStyle="1" w:styleId="202">
    <w:name w:val="不明显参考1"/>
    <w:qFormat/>
    <w:uiPriority w:val="99"/>
    <w:rPr>
      <w:smallCaps/>
      <w:color w:val="auto"/>
      <w:u w:val="single"/>
    </w:rPr>
  </w:style>
  <w:style w:type="character" w:customStyle="1" w:styleId="203">
    <w:name w:val="Char Char20"/>
    <w:autoRedefine/>
    <w:qFormat/>
    <w:uiPriority w:val="99"/>
    <w:rPr>
      <w:rFonts w:ascii="Times New Roman" w:hAnsi="Times New Roman" w:eastAsia="宋体"/>
      <w:b/>
      <w:sz w:val="32"/>
    </w:rPr>
  </w:style>
  <w:style w:type="character" w:customStyle="1" w:styleId="204">
    <w:name w:val="Char Char6"/>
    <w:autoRedefine/>
    <w:qFormat/>
    <w:uiPriority w:val="99"/>
    <w:rPr>
      <w:rFonts w:eastAsia="宋体"/>
      <w:b/>
      <w:kern w:val="44"/>
      <w:sz w:val="44"/>
      <w:lang w:val="en-US" w:eastAsia="zh-CN"/>
    </w:rPr>
  </w:style>
  <w:style w:type="character" w:customStyle="1" w:styleId="205">
    <w:name w:val="Char Char18"/>
    <w:autoRedefine/>
    <w:qFormat/>
    <w:uiPriority w:val="99"/>
    <w:rPr>
      <w:rFonts w:ascii="Times New Roman" w:hAnsi="Times New Roman" w:eastAsia="宋体"/>
      <w:b/>
      <w:sz w:val="28"/>
    </w:rPr>
  </w:style>
  <w:style w:type="character" w:customStyle="1" w:styleId="206">
    <w:name w:val="Comment Text Char1"/>
    <w:autoRedefine/>
    <w:qFormat/>
    <w:uiPriority w:val="99"/>
    <w:rPr>
      <w:sz w:val="24"/>
    </w:rPr>
  </w:style>
  <w:style w:type="character" w:customStyle="1" w:styleId="207">
    <w:name w:val="批注文字 Char2"/>
    <w:autoRedefine/>
    <w:qFormat/>
    <w:locked/>
    <w:uiPriority w:val="99"/>
    <w:rPr>
      <w:rFonts w:eastAsia="宋体"/>
      <w:kern w:val="2"/>
      <w:sz w:val="24"/>
      <w:lang w:val="en-US" w:eastAsia="zh-CN"/>
    </w:rPr>
  </w:style>
  <w:style w:type="character" w:customStyle="1" w:styleId="208">
    <w:name w:val="Char Char24"/>
    <w:autoRedefine/>
    <w:qFormat/>
    <w:uiPriority w:val="99"/>
    <w:rPr>
      <w:rFonts w:eastAsia="宋体"/>
      <w:b/>
      <w:kern w:val="44"/>
      <w:sz w:val="44"/>
      <w:lang w:val="en-US" w:eastAsia="zh-CN"/>
    </w:rPr>
  </w:style>
  <w:style w:type="character" w:customStyle="1" w:styleId="209">
    <w:name w:val="Char Char9"/>
    <w:qFormat/>
    <w:uiPriority w:val="99"/>
    <w:rPr>
      <w:rFonts w:eastAsia="宋体"/>
      <w:b/>
      <w:kern w:val="44"/>
      <w:sz w:val="44"/>
      <w:lang w:val="en-US" w:eastAsia="zh-CN"/>
    </w:rPr>
  </w:style>
  <w:style w:type="character" w:customStyle="1" w:styleId="210">
    <w:name w:val="Heading 3 Char1"/>
    <w:qFormat/>
    <w:uiPriority w:val="99"/>
    <w:rPr>
      <w:rFonts w:eastAsia="宋体"/>
      <w:b/>
      <w:kern w:val="2"/>
      <w:sz w:val="32"/>
      <w:lang w:val="en-US" w:eastAsia="zh-CN"/>
    </w:rPr>
  </w:style>
  <w:style w:type="character" w:customStyle="1" w:styleId="211">
    <w:name w:val="Char Char22"/>
    <w:qFormat/>
    <w:uiPriority w:val="99"/>
    <w:rPr>
      <w:rFonts w:ascii="Times New Roman" w:hAnsi="Times New Roman" w:eastAsia="宋体"/>
      <w:b/>
      <w:kern w:val="44"/>
      <w:sz w:val="44"/>
    </w:rPr>
  </w:style>
  <w:style w:type="character" w:customStyle="1" w:styleId="212">
    <w:name w:val="明显参考1"/>
    <w:autoRedefine/>
    <w:qFormat/>
    <w:uiPriority w:val="99"/>
    <w:rPr>
      <w:b/>
      <w:smallCaps/>
      <w:color w:val="auto"/>
      <w:spacing w:val="5"/>
      <w:u w:val="single"/>
    </w:rPr>
  </w:style>
  <w:style w:type="character" w:customStyle="1" w:styleId="213">
    <w:name w:val="明显强调1"/>
    <w:qFormat/>
    <w:uiPriority w:val="99"/>
    <w:rPr>
      <w:b/>
      <w:i/>
      <w:color w:val="4F81BD"/>
    </w:rPr>
  </w:style>
  <w:style w:type="character" w:customStyle="1" w:styleId="214">
    <w:name w:val="标题 Char2"/>
    <w:qFormat/>
    <w:uiPriority w:val="99"/>
    <w:rPr>
      <w:rFonts w:ascii="Cambria" w:hAnsi="Cambria" w:eastAsia="宋体"/>
      <w:b/>
      <w:sz w:val="32"/>
    </w:rPr>
  </w:style>
  <w:style w:type="character" w:customStyle="1" w:styleId="215">
    <w:name w:val="Char Char23"/>
    <w:qFormat/>
    <w:uiPriority w:val="99"/>
    <w:rPr>
      <w:rFonts w:eastAsia="宋体"/>
      <w:b/>
      <w:kern w:val="44"/>
      <w:sz w:val="44"/>
      <w:lang w:val="en-US" w:eastAsia="zh-CN"/>
    </w:rPr>
  </w:style>
  <w:style w:type="character" w:customStyle="1" w:styleId="216">
    <w:name w:val="Char Char91"/>
    <w:qFormat/>
    <w:uiPriority w:val="99"/>
    <w:rPr>
      <w:rFonts w:eastAsia="宋体"/>
      <w:b/>
      <w:kern w:val="44"/>
      <w:sz w:val="44"/>
      <w:lang w:val="en-US" w:eastAsia="zh-CN"/>
    </w:rPr>
  </w:style>
  <w:style w:type="character" w:customStyle="1" w:styleId="217">
    <w:name w:val="Char Char181"/>
    <w:qFormat/>
    <w:uiPriority w:val="99"/>
    <w:rPr>
      <w:b/>
      <w:kern w:val="44"/>
      <w:sz w:val="44"/>
    </w:rPr>
  </w:style>
  <w:style w:type="character" w:customStyle="1" w:styleId="218">
    <w:name w:val="Char Char19"/>
    <w:qFormat/>
    <w:uiPriority w:val="99"/>
    <w:rPr>
      <w:rFonts w:ascii="Arial" w:hAnsi="Arial" w:eastAsia="宋体"/>
      <w:b/>
      <w:sz w:val="28"/>
    </w:rPr>
  </w:style>
  <w:style w:type="character" w:customStyle="1" w:styleId="219">
    <w:name w:val="日期 Char1"/>
    <w:autoRedefine/>
    <w:qFormat/>
    <w:uiPriority w:val="99"/>
    <w:rPr>
      <w:rFonts w:ascii="Times New Roman" w:hAnsi="Times New Roman" w:eastAsia="宋体"/>
      <w:sz w:val="24"/>
    </w:rPr>
  </w:style>
  <w:style w:type="character" w:customStyle="1" w:styleId="220">
    <w:name w:val="书籍标题1"/>
    <w:qFormat/>
    <w:uiPriority w:val="99"/>
    <w:rPr>
      <w:b/>
      <w:smallCaps/>
      <w:spacing w:val="5"/>
    </w:rPr>
  </w:style>
  <w:style w:type="character" w:customStyle="1" w:styleId="221">
    <w:name w:val="不明显强调1"/>
    <w:autoRedefine/>
    <w:qFormat/>
    <w:uiPriority w:val="99"/>
    <w:rPr>
      <w:i/>
      <w:color w:val="808080"/>
    </w:rPr>
  </w:style>
  <w:style w:type="character" w:customStyle="1" w:styleId="222">
    <w:name w:val="textcontents"/>
    <w:qFormat/>
    <w:uiPriority w:val="99"/>
  </w:style>
  <w:style w:type="paragraph" w:customStyle="1" w:styleId="223">
    <w:name w:val="样式1"/>
    <w:basedOn w:val="1"/>
    <w:next w:val="2"/>
    <w:qFormat/>
    <w:uiPriority w:val="99"/>
    <w:pPr>
      <w:spacing w:line="360" w:lineRule="auto"/>
      <w:ind w:firstLine="420" w:firstLineChars="200"/>
    </w:pPr>
    <w:rPr>
      <w:rFonts w:ascii="宋体" w:hAnsi="宋体" w:cs="宋体"/>
      <w:szCs w:val="22"/>
    </w:rPr>
  </w:style>
  <w:style w:type="paragraph" w:customStyle="1" w:styleId="224">
    <w:name w:val="TOC 标题1"/>
    <w:basedOn w:val="3"/>
    <w:next w:val="1"/>
    <w:qFormat/>
    <w:uiPriority w:val="99"/>
    <w:pPr>
      <w:keepNext/>
      <w:keepLines/>
      <w:numPr>
        <w:numId w:val="0"/>
      </w:numPr>
      <w:tabs>
        <w:tab w:val="clear" w:pos="1080"/>
      </w:tabs>
      <w:overflowPunct/>
      <w:autoSpaceDE/>
      <w:autoSpaceDN/>
      <w:adjustRightInd/>
      <w:snapToGrid/>
      <w:spacing w:before="340" w:after="330" w:line="576" w:lineRule="auto"/>
      <w:textAlignment w:val="auto"/>
      <w:outlineLvl w:val="9"/>
    </w:pPr>
    <w:rPr>
      <w:rFonts w:ascii="Calibri" w:hAnsi="Calibri" w:eastAsia="黑体" w:cs="Calibri"/>
      <w:lang w:val="zh-CN"/>
    </w:rPr>
  </w:style>
  <w:style w:type="paragraph" w:customStyle="1" w:styleId="225">
    <w:name w:val="空半行"/>
    <w:basedOn w:val="1"/>
    <w:autoRedefine/>
    <w:qFormat/>
    <w:uiPriority w:val="99"/>
    <w:pPr>
      <w:adjustRightInd w:val="0"/>
      <w:spacing w:line="120" w:lineRule="exact"/>
      <w:textAlignment w:val="baseline"/>
    </w:pPr>
    <w:rPr>
      <w:rFonts w:ascii="Calibri" w:hAnsi="Calibri" w:eastAsia="仿宋_GB2312"/>
      <w:color w:val="FFFFFF"/>
      <w:kern w:val="0"/>
      <w:sz w:val="30"/>
      <w:szCs w:val="30"/>
    </w:rPr>
  </w:style>
  <w:style w:type="paragraph" w:customStyle="1" w:styleId="226">
    <w:name w:val="p0"/>
    <w:basedOn w:val="1"/>
    <w:autoRedefine/>
    <w:qFormat/>
    <w:uiPriority w:val="99"/>
    <w:pPr>
      <w:widowControl/>
    </w:pPr>
    <w:rPr>
      <w:rFonts w:ascii="Calibri" w:hAnsi="Calibri" w:cs="Calibri"/>
      <w:kern w:val="0"/>
      <w:szCs w:val="22"/>
    </w:rPr>
  </w:style>
  <w:style w:type="paragraph" w:customStyle="1" w:styleId="227">
    <w:name w:val="列出段落2"/>
    <w:basedOn w:val="1"/>
    <w:qFormat/>
    <w:uiPriority w:val="99"/>
    <w:pPr>
      <w:ind w:firstLine="420" w:firstLineChars="200"/>
    </w:pPr>
    <w:rPr>
      <w:rFonts w:ascii="Calibri" w:hAnsi="Calibri" w:cs="Calibri"/>
      <w:szCs w:val="22"/>
    </w:rPr>
  </w:style>
  <w:style w:type="paragraph" w:customStyle="1" w:styleId="228">
    <w:name w:val="修订2"/>
    <w:autoRedefine/>
    <w:semiHidden/>
    <w:qFormat/>
    <w:uiPriority w:val="99"/>
    <w:rPr>
      <w:rFonts w:ascii="Times New Roman" w:hAnsi="Times New Roman" w:eastAsia="宋体" w:cs="Times New Roman"/>
      <w:kern w:val="2"/>
      <w:sz w:val="21"/>
      <w:szCs w:val="21"/>
      <w:lang w:val="en-US" w:eastAsia="zh-CN" w:bidi="ar-SA"/>
    </w:rPr>
  </w:style>
  <w:style w:type="paragraph" w:customStyle="1" w:styleId="229">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0">
    <w:name w:val="2-2ji"/>
    <w:basedOn w:val="4"/>
    <w:autoRedefine/>
    <w:qFormat/>
    <w:uiPriority w:val="99"/>
    <w:pPr>
      <w:spacing w:before="0" w:after="0" w:line="360" w:lineRule="auto"/>
      <w:jc w:val="center"/>
    </w:pPr>
    <w:rPr>
      <w:rFonts w:ascii="宋体" w:hAnsi="宋体" w:cs="宋体"/>
      <w:sz w:val="36"/>
      <w:szCs w:val="36"/>
      <w:lang w:val="zh-CN"/>
    </w:rPr>
  </w:style>
  <w:style w:type="paragraph" w:customStyle="1" w:styleId="23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customStyle="1" w:styleId="233">
    <w:name w:val="列出段落1"/>
    <w:basedOn w:val="1"/>
    <w:qFormat/>
    <w:uiPriority w:val="99"/>
    <w:pPr>
      <w:ind w:firstLine="420" w:firstLineChars="200"/>
    </w:pPr>
    <w:rPr>
      <w:rFonts w:ascii="Calibri" w:hAnsi="Calibri" w:cs="Calibri"/>
      <w:szCs w:val="22"/>
    </w:rPr>
  </w:style>
  <w:style w:type="paragraph" w:customStyle="1" w:styleId="234">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5">
    <w:name w:val="Char1"/>
    <w:basedOn w:val="1"/>
    <w:autoRedefine/>
    <w:qFormat/>
    <w:uiPriority w:val="99"/>
    <w:pPr>
      <w:widowControl/>
      <w:spacing w:after="160" w:line="240" w:lineRule="exact"/>
      <w:jc w:val="left"/>
    </w:pPr>
    <w:rPr>
      <w:rFonts w:ascii="Calibri" w:hAnsi="Calibri"/>
      <w:szCs w:val="22"/>
    </w:rPr>
  </w:style>
  <w:style w:type="paragraph" w:customStyle="1" w:styleId="236">
    <w:name w:val="_Style 37"/>
    <w:basedOn w:val="1"/>
    <w:next w:val="1"/>
    <w:autoRedefine/>
    <w:qFormat/>
    <w:uiPriority w:val="99"/>
    <w:rPr>
      <w:rFonts w:ascii="Calibri" w:hAnsi="Calibri"/>
      <w:szCs w:val="22"/>
    </w:rPr>
  </w:style>
  <w:style w:type="paragraph" w:customStyle="1" w:styleId="237">
    <w:name w:val="样式 标题 3 + (中文) 黑体 小四 非加粗 段前: 7.8 磅 段后: 0 磅 行距: 固定值 20 磅"/>
    <w:basedOn w:val="5"/>
    <w:qFormat/>
    <w:uiPriority w:val="99"/>
    <w:pPr>
      <w:spacing w:before="0" w:after="0" w:line="400" w:lineRule="exact"/>
    </w:pPr>
    <w:rPr>
      <w:rFonts w:eastAsia="黑体"/>
      <w:b w:val="0"/>
      <w:lang w:val="zh-CN"/>
    </w:rPr>
  </w:style>
  <w:style w:type="paragraph" w:customStyle="1" w:styleId="238">
    <w:name w:val="Normal_0"/>
    <w:next w:val="239"/>
    <w:qFormat/>
    <w:uiPriority w:val="0"/>
    <w:pPr>
      <w:widowControl w:val="0"/>
      <w:jc w:val="both"/>
    </w:pPr>
    <w:rPr>
      <w:rFonts w:ascii="Calibri" w:hAnsi="Calibri" w:eastAsia="宋体" w:cs="Times New Roman"/>
      <w:lang w:val="en-US" w:eastAsia="zh-CN" w:bidi="ar-SA"/>
    </w:rPr>
  </w:style>
  <w:style w:type="paragraph" w:customStyle="1" w:styleId="239">
    <w:name w:val="11111"/>
    <w:basedOn w:val="238"/>
    <w:next w:val="238"/>
    <w:qFormat/>
    <w:uiPriority w:val="99"/>
    <w:rPr>
      <w:rFonts w:ascii="宋体" w:hAnsi="宋体" w:cs="宋体"/>
      <w:sz w:val="24"/>
    </w:rPr>
  </w:style>
  <w:style w:type="paragraph" w:customStyle="1" w:styleId="240">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1">
    <w:name w:val="Normal_1"/>
    <w:qFormat/>
    <w:uiPriority w:val="0"/>
    <w:rPr>
      <w:rFonts w:ascii="Times New Roman" w:hAnsi="Times New Roman" w:eastAsia="宋体" w:cs="Times New Roman"/>
      <w:sz w:val="24"/>
      <w:szCs w:val="24"/>
      <w:lang w:val="en-US" w:eastAsia="zh-CN" w:bidi="ar-SA"/>
    </w:rPr>
  </w:style>
  <w:style w:type="character" w:customStyle="1" w:styleId="242">
    <w:name w:val="NormalCharacter"/>
    <w:qFormat/>
    <w:uiPriority w:val="0"/>
  </w:style>
  <w:style w:type="table" w:customStyle="1" w:styleId="243">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4">
    <w:name w:val="Heading #1|1_"/>
    <w:link w:val="245"/>
    <w:qFormat/>
    <w:uiPriority w:val="0"/>
    <w:rPr>
      <w:rFonts w:ascii="宋体" w:hAnsi="宋体" w:cs="宋体"/>
      <w:sz w:val="38"/>
      <w:szCs w:val="38"/>
      <w:lang w:val="zh-CN" w:bidi="zh-CN"/>
    </w:rPr>
  </w:style>
  <w:style w:type="paragraph" w:customStyle="1" w:styleId="245">
    <w:name w:val="Heading #1|1"/>
    <w:basedOn w:val="1"/>
    <w:link w:val="244"/>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46">
    <w:name w:val="Body text|4_"/>
    <w:link w:val="247"/>
    <w:qFormat/>
    <w:uiPriority w:val="0"/>
    <w:rPr>
      <w:rFonts w:ascii="宋体" w:hAnsi="宋体" w:cs="宋体"/>
      <w:b/>
      <w:bCs/>
      <w:sz w:val="17"/>
      <w:szCs w:val="17"/>
      <w:lang w:val="zh-CN" w:bidi="zh-CN"/>
    </w:rPr>
  </w:style>
  <w:style w:type="paragraph" w:customStyle="1" w:styleId="247">
    <w:name w:val="Body text|4"/>
    <w:basedOn w:val="1"/>
    <w:link w:val="246"/>
    <w:autoRedefine/>
    <w:qFormat/>
    <w:uiPriority w:val="0"/>
    <w:pPr>
      <w:spacing w:line="281" w:lineRule="exact"/>
      <w:jc w:val="center"/>
    </w:pPr>
    <w:rPr>
      <w:rFonts w:ascii="宋体" w:hAnsi="宋体" w:cs="宋体"/>
      <w:b/>
      <w:bCs/>
      <w:kern w:val="0"/>
      <w:sz w:val="17"/>
      <w:szCs w:val="17"/>
      <w:lang w:val="zh-CN" w:bidi="zh-CN"/>
    </w:rPr>
  </w:style>
  <w:style w:type="character" w:customStyle="1" w:styleId="248">
    <w:name w:val="Heading #4|1_"/>
    <w:link w:val="249"/>
    <w:qFormat/>
    <w:uiPriority w:val="0"/>
    <w:rPr>
      <w:rFonts w:ascii="宋体" w:hAnsi="宋体" w:cs="宋体"/>
      <w:lang w:val="zh-CN" w:bidi="zh-CN"/>
    </w:rPr>
  </w:style>
  <w:style w:type="paragraph" w:customStyle="1" w:styleId="249">
    <w:name w:val="Heading #4|1"/>
    <w:basedOn w:val="1"/>
    <w:link w:val="248"/>
    <w:qFormat/>
    <w:uiPriority w:val="0"/>
    <w:pPr>
      <w:spacing w:after="120"/>
      <w:outlineLvl w:val="3"/>
    </w:pPr>
    <w:rPr>
      <w:rFonts w:ascii="宋体" w:hAnsi="宋体" w:cs="宋体"/>
      <w:kern w:val="0"/>
      <w:sz w:val="20"/>
      <w:szCs w:val="20"/>
      <w:lang w:val="zh-CN" w:bidi="zh-CN"/>
    </w:rPr>
  </w:style>
  <w:style w:type="character" w:customStyle="1" w:styleId="250">
    <w:name w:val="Body text|1_"/>
    <w:link w:val="251"/>
    <w:autoRedefine/>
    <w:qFormat/>
    <w:uiPriority w:val="0"/>
    <w:rPr>
      <w:rFonts w:ascii="宋体" w:hAnsi="宋体" w:cs="宋体"/>
      <w:lang w:val="zh-CN" w:bidi="zh-CN"/>
    </w:rPr>
  </w:style>
  <w:style w:type="paragraph" w:customStyle="1" w:styleId="251">
    <w:name w:val="Body text|1"/>
    <w:basedOn w:val="1"/>
    <w:link w:val="250"/>
    <w:autoRedefine/>
    <w:qFormat/>
    <w:uiPriority w:val="0"/>
    <w:pPr>
      <w:spacing w:line="360" w:lineRule="auto"/>
      <w:ind w:firstLine="400"/>
    </w:pPr>
    <w:rPr>
      <w:rFonts w:ascii="宋体" w:hAnsi="宋体" w:cs="宋体"/>
      <w:kern w:val="0"/>
      <w:sz w:val="20"/>
      <w:szCs w:val="20"/>
      <w:lang w:val="zh-CN" w:bidi="zh-CN"/>
    </w:rPr>
  </w:style>
  <w:style w:type="character" w:customStyle="1" w:styleId="252">
    <w:name w:val="Body text|2_"/>
    <w:link w:val="253"/>
    <w:autoRedefine/>
    <w:qFormat/>
    <w:uiPriority w:val="0"/>
  </w:style>
  <w:style w:type="paragraph" w:customStyle="1" w:styleId="253">
    <w:name w:val="Body text|2"/>
    <w:basedOn w:val="1"/>
    <w:link w:val="252"/>
    <w:autoRedefine/>
    <w:qFormat/>
    <w:uiPriority w:val="0"/>
    <w:pPr>
      <w:spacing w:after="30"/>
      <w:ind w:firstLine="420"/>
    </w:pPr>
    <w:rPr>
      <w:kern w:val="0"/>
      <w:sz w:val="20"/>
      <w:szCs w:val="20"/>
    </w:rPr>
  </w:style>
  <w:style w:type="character" w:customStyle="1" w:styleId="254">
    <w:name w:val="Header or footer|2_"/>
    <w:link w:val="255"/>
    <w:autoRedefine/>
    <w:qFormat/>
    <w:uiPriority w:val="0"/>
    <w:rPr>
      <w:lang w:val="zh-CN" w:bidi="zh-CN"/>
    </w:rPr>
  </w:style>
  <w:style w:type="paragraph" w:customStyle="1" w:styleId="255">
    <w:name w:val="Header or footer|2"/>
    <w:basedOn w:val="1"/>
    <w:link w:val="254"/>
    <w:autoRedefine/>
    <w:qFormat/>
    <w:uiPriority w:val="0"/>
    <w:rPr>
      <w:kern w:val="0"/>
      <w:sz w:val="20"/>
      <w:szCs w:val="20"/>
      <w:lang w:val="zh-CN" w:bidi="zh-CN"/>
    </w:rPr>
  </w:style>
  <w:style w:type="character" w:customStyle="1" w:styleId="256">
    <w:name w:val="Table of contents|1_"/>
    <w:link w:val="257"/>
    <w:autoRedefine/>
    <w:qFormat/>
    <w:uiPriority w:val="0"/>
    <w:rPr>
      <w:rFonts w:ascii="宋体" w:hAnsi="宋体" w:cs="宋体"/>
      <w:lang w:val="zh-CN" w:bidi="zh-CN"/>
    </w:rPr>
  </w:style>
  <w:style w:type="paragraph" w:customStyle="1" w:styleId="257">
    <w:name w:val="Table of contents|1"/>
    <w:basedOn w:val="1"/>
    <w:link w:val="256"/>
    <w:autoRedefine/>
    <w:qFormat/>
    <w:uiPriority w:val="0"/>
    <w:pPr>
      <w:spacing w:after="100"/>
      <w:ind w:firstLine="600"/>
    </w:pPr>
    <w:rPr>
      <w:rFonts w:ascii="宋体" w:hAnsi="宋体" w:cs="宋体"/>
      <w:kern w:val="0"/>
      <w:sz w:val="20"/>
      <w:szCs w:val="20"/>
      <w:lang w:val="zh-CN" w:bidi="zh-CN"/>
    </w:rPr>
  </w:style>
  <w:style w:type="character" w:customStyle="1" w:styleId="258">
    <w:name w:val="Body text|5_"/>
    <w:link w:val="259"/>
    <w:autoRedefine/>
    <w:qFormat/>
    <w:uiPriority w:val="0"/>
    <w:rPr>
      <w:rFonts w:ascii="宋体" w:hAnsi="宋体" w:cs="宋体"/>
      <w:sz w:val="52"/>
      <w:szCs w:val="52"/>
      <w:lang w:val="zh-CN" w:bidi="zh-CN"/>
    </w:rPr>
  </w:style>
  <w:style w:type="paragraph" w:customStyle="1" w:styleId="259">
    <w:name w:val="Body text|5"/>
    <w:basedOn w:val="1"/>
    <w:link w:val="258"/>
    <w:autoRedefine/>
    <w:qFormat/>
    <w:uiPriority w:val="0"/>
    <w:pPr>
      <w:jc w:val="center"/>
    </w:pPr>
    <w:rPr>
      <w:rFonts w:ascii="宋体" w:hAnsi="宋体" w:cs="宋体"/>
      <w:kern w:val="0"/>
      <w:sz w:val="52"/>
      <w:szCs w:val="52"/>
      <w:lang w:val="zh-CN" w:bidi="zh-CN"/>
    </w:rPr>
  </w:style>
  <w:style w:type="character" w:customStyle="1" w:styleId="260">
    <w:name w:val="Heading #2|1_"/>
    <w:link w:val="261"/>
    <w:autoRedefine/>
    <w:qFormat/>
    <w:uiPriority w:val="0"/>
    <w:rPr>
      <w:rFonts w:ascii="宋体" w:hAnsi="宋体" w:cs="宋体"/>
      <w:sz w:val="34"/>
      <w:szCs w:val="34"/>
      <w:lang w:val="zh-CN" w:bidi="zh-CN"/>
    </w:rPr>
  </w:style>
  <w:style w:type="paragraph" w:customStyle="1" w:styleId="261">
    <w:name w:val="Heading #2|1"/>
    <w:basedOn w:val="1"/>
    <w:link w:val="260"/>
    <w:autoRedefine/>
    <w:qFormat/>
    <w:uiPriority w:val="0"/>
    <w:pPr>
      <w:spacing w:after="900"/>
      <w:jc w:val="center"/>
      <w:outlineLvl w:val="1"/>
    </w:pPr>
    <w:rPr>
      <w:rFonts w:ascii="宋体" w:hAnsi="宋体" w:cs="宋体"/>
      <w:kern w:val="0"/>
      <w:sz w:val="34"/>
      <w:szCs w:val="34"/>
      <w:lang w:val="zh-CN" w:bidi="zh-CN"/>
    </w:rPr>
  </w:style>
  <w:style w:type="character" w:customStyle="1" w:styleId="262">
    <w:name w:val="Other|1_"/>
    <w:link w:val="263"/>
    <w:autoRedefine/>
    <w:qFormat/>
    <w:uiPriority w:val="0"/>
    <w:rPr>
      <w:rFonts w:ascii="宋体" w:hAnsi="宋体" w:cs="宋体"/>
      <w:lang w:val="zh-CN" w:bidi="zh-CN"/>
    </w:rPr>
  </w:style>
  <w:style w:type="paragraph" w:customStyle="1" w:styleId="263">
    <w:name w:val="Other|1"/>
    <w:basedOn w:val="1"/>
    <w:link w:val="262"/>
    <w:autoRedefine/>
    <w:qFormat/>
    <w:uiPriority w:val="0"/>
    <w:pPr>
      <w:spacing w:line="360" w:lineRule="auto"/>
      <w:ind w:firstLine="400"/>
    </w:pPr>
    <w:rPr>
      <w:rFonts w:ascii="宋体" w:hAnsi="宋体" w:cs="宋体"/>
      <w:kern w:val="0"/>
      <w:sz w:val="20"/>
      <w:szCs w:val="20"/>
      <w:lang w:val="zh-CN" w:bidi="zh-CN"/>
    </w:rPr>
  </w:style>
  <w:style w:type="character" w:customStyle="1" w:styleId="264">
    <w:name w:val="Body text|6_"/>
    <w:link w:val="265"/>
    <w:autoRedefine/>
    <w:qFormat/>
    <w:uiPriority w:val="0"/>
    <w:rPr>
      <w:rFonts w:ascii="Arial" w:hAnsi="Arial" w:eastAsia="Arial" w:cs="Arial"/>
      <w:lang w:val="zh-CN"/>
    </w:rPr>
  </w:style>
  <w:style w:type="paragraph" w:customStyle="1" w:styleId="265">
    <w:name w:val="Body text|6"/>
    <w:basedOn w:val="1"/>
    <w:link w:val="264"/>
    <w:autoRedefine/>
    <w:qFormat/>
    <w:uiPriority w:val="0"/>
    <w:pPr>
      <w:ind w:hanging="2220"/>
    </w:pPr>
    <w:rPr>
      <w:rFonts w:ascii="Arial" w:hAnsi="Arial" w:eastAsia="Arial"/>
      <w:kern w:val="0"/>
      <w:sz w:val="20"/>
      <w:szCs w:val="20"/>
      <w:lang w:val="zh-CN"/>
    </w:rPr>
  </w:style>
  <w:style w:type="character" w:customStyle="1" w:styleId="266">
    <w:name w:val="Header or footer|1_"/>
    <w:link w:val="267"/>
    <w:autoRedefine/>
    <w:qFormat/>
    <w:uiPriority w:val="0"/>
    <w:rPr>
      <w:sz w:val="17"/>
      <w:szCs w:val="17"/>
      <w:lang w:val="zh-CN" w:bidi="zh-CN"/>
    </w:rPr>
  </w:style>
  <w:style w:type="paragraph" w:customStyle="1" w:styleId="267">
    <w:name w:val="Header or footer|1"/>
    <w:basedOn w:val="1"/>
    <w:link w:val="266"/>
    <w:autoRedefine/>
    <w:qFormat/>
    <w:uiPriority w:val="0"/>
    <w:pPr>
      <w:jc w:val="center"/>
    </w:pPr>
    <w:rPr>
      <w:kern w:val="0"/>
      <w:sz w:val="17"/>
      <w:szCs w:val="17"/>
      <w:lang w:val="zh-CN" w:bidi="zh-CN"/>
    </w:rPr>
  </w:style>
  <w:style w:type="character" w:customStyle="1" w:styleId="268">
    <w:name w:val="Body text|3_"/>
    <w:link w:val="269"/>
    <w:autoRedefine/>
    <w:qFormat/>
    <w:uiPriority w:val="0"/>
    <w:rPr>
      <w:rFonts w:ascii="宋体" w:hAnsi="宋体" w:cs="宋体"/>
      <w:lang w:val="zh-CN" w:bidi="zh-CN"/>
    </w:rPr>
  </w:style>
  <w:style w:type="paragraph" w:customStyle="1" w:styleId="269">
    <w:name w:val="Body text|3"/>
    <w:basedOn w:val="1"/>
    <w:link w:val="268"/>
    <w:autoRedefine/>
    <w:qFormat/>
    <w:uiPriority w:val="0"/>
    <w:pPr>
      <w:spacing w:after="340"/>
    </w:pPr>
    <w:rPr>
      <w:rFonts w:ascii="宋体" w:hAnsi="宋体" w:cs="宋体"/>
      <w:kern w:val="0"/>
      <w:sz w:val="20"/>
      <w:szCs w:val="20"/>
      <w:lang w:val="zh-CN" w:bidi="zh-CN"/>
    </w:rPr>
  </w:style>
  <w:style w:type="character" w:customStyle="1" w:styleId="270">
    <w:name w:val="Heading #3|1_"/>
    <w:link w:val="271"/>
    <w:autoRedefine/>
    <w:qFormat/>
    <w:uiPriority w:val="0"/>
    <w:rPr>
      <w:rFonts w:ascii="宋体" w:hAnsi="宋体" w:cs="宋体"/>
      <w:sz w:val="28"/>
      <w:szCs w:val="28"/>
      <w:lang w:val="zh-CN" w:bidi="zh-CN"/>
    </w:rPr>
  </w:style>
  <w:style w:type="paragraph" w:customStyle="1" w:styleId="271">
    <w:name w:val="Heading #3|1"/>
    <w:basedOn w:val="1"/>
    <w:link w:val="270"/>
    <w:autoRedefine/>
    <w:qFormat/>
    <w:uiPriority w:val="0"/>
    <w:pPr>
      <w:spacing w:after="570"/>
      <w:jc w:val="center"/>
      <w:outlineLvl w:val="2"/>
    </w:pPr>
    <w:rPr>
      <w:rFonts w:ascii="宋体" w:hAnsi="宋体" w:cs="宋体"/>
      <w:kern w:val="0"/>
      <w:sz w:val="28"/>
      <w:szCs w:val="28"/>
      <w:lang w:val="zh-CN" w:bidi="zh-CN"/>
    </w:rPr>
  </w:style>
  <w:style w:type="character" w:customStyle="1" w:styleId="272">
    <w:name w:val="Table caption|1_"/>
    <w:link w:val="273"/>
    <w:autoRedefine/>
    <w:qFormat/>
    <w:uiPriority w:val="0"/>
    <w:rPr>
      <w:rFonts w:ascii="宋体" w:hAnsi="宋体" w:cs="宋体"/>
      <w:lang w:val="zh-CN" w:bidi="zh-CN"/>
    </w:rPr>
  </w:style>
  <w:style w:type="paragraph" w:customStyle="1" w:styleId="273">
    <w:name w:val="Table caption|1"/>
    <w:basedOn w:val="1"/>
    <w:link w:val="272"/>
    <w:autoRedefine/>
    <w:qFormat/>
    <w:uiPriority w:val="0"/>
    <w:rPr>
      <w:rFonts w:ascii="宋体" w:hAnsi="宋体" w:cs="宋体"/>
      <w:kern w:val="0"/>
      <w:sz w:val="20"/>
      <w:szCs w:val="20"/>
      <w:lang w:val="zh-CN" w:bidi="zh-CN"/>
    </w:rPr>
  </w:style>
  <w:style w:type="character" w:customStyle="1" w:styleId="274">
    <w:name w:val="Body text|7_"/>
    <w:link w:val="275"/>
    <w:autoRedefine/>
    <w:qFormat/>
    <w:uiPriority w:val="0"/>
    <w:rPr>
      <w:rFonts w:ascii="Courier New" w:hAnsi="Courier New" w:eastAsia="Courier New" w:cs="Courier New"/>
      <w:b/>
      <w:bCs/>
      <w:sz w:val="8"/>
      <w:szCs w:val="8"/>
      <w:lang w:val="zh-CN"/>
    </w:rPr>
  </w:style>
  <w:style w:type="paragraph" w:customStyle="1" w:styleId="275">
    <w:name w:val="Body text|7"/>
    <w:basedOn w:val="1"/>
    <w:link w:val="274"/>
    <w:autoRedefine/>
    <w:qFormat/>
    <w:uiPriority w:val="0"/>
    <w:pPr>
      <w:ind w:hanging="1760"/>
    </w:pPr>
    <w:rPr>
      <w:rFonts w:ascii="Courier New" w:hAnsi="Courier New" w:eastAsia="Courier New"/>
      <w:b/>
      <w:bCs/>
      <w:kern w:val="0"/>
      <w:sz w:val="8"/>
      <w:szCs w:val="8"/>
      <w:lang w:val="zh-CN"/>
    </w:rPr>
  </w:style>
  <w:style w:type="character" w:styleId="276">
    <w:name w:val="Placeholder Text"/>
    <w:autoRedefine/>
    <w:unhideWhenUsed/>
    <w:qFormat/>
    <w:uiPriority w:val="99"/>
    <w:rPr>
      <w:color w:val="808080"/>
    </w:rPr>
  </w:style>
  <w:style w:type="paragraph" w:customStyle="1" w:styleId="277">
    <w:name w:val="div_Section0"/>
    <w:basedOn w:val="1"/>
    <w:autoRedefine/>
    <w:qFormat/>
    <w:uiPriority w:val="0"/>
    <w:rPr>
      <w:rFonts w:ascii="Calibri" w:hAnsi="Calibri"/>
      <w:szCs w:val="22"/>
    </w:rPr>
  </w:style>
  <w:style w:type="paragraph" w:customStyle="1" w:styleId="278">
    <w:name w:val="标题 5_0"/>
    <w:basedOn w:val="174"/>
    <w:next w:val="174"/>
    <w:autoRedefine/>
    <w:unhideWhenUsed/>
    <w:qFormat/>
    <w:uiPriority w:val="0"/>
    <w:pPr>
      <w:keepNext/>
      <w:keepLines/>
      <w:spacing w:before="280" w:after="290" w:line="372" w:lineRule="auto"/>
      <w:jc w:val="left"/>
      <w:outlineLvl w:val="4"/>
    </w:pPr>
    <w:rPr>
      <w:rFonts w:ascii="Times New Roman" w:hAnsi="Times New Roman" w:eastAsia="Times New Roman" w:cs="Times New Roman"/>
      <w:b/>
      <w:color w:val="000000"/>
      <w:kern w:val="0"/>
      <w:sz w:val="28"/>
      <w:szCs w:val="24"/>
      <w:lang w:eastAsia="en-US" w:bidi="en-US"/>
    </w:rPr>
  </w:style>
  <w:style w:type="paragraph" w:customStyle="1" w:styleId="279">
    <w:name w:val="Body text|1_0"/>
    <w:basedOn w:val="174"/>
    <w:link w:val="280"/>
    <w:autoRedefine/>
    <w:qFormat/>
    <w:uiPriority w:val="0"/>
    <w:pPr>
      <w:spacing w:line="360" w:lineRule="auto"/>
      <w:ind w:firstLine="400"/>
      <w:jc w:val="left"/>
    </w:pPr>
    <w:rPr>
      <w:rFonts w:ascii="宋体" w:hAnsi="宋体"/>
      <w:kern w:val="0"/>
      <w:sz w:val="20"/>
      <w:szCs w:val="20"/>
      <w:lang w:val="zh-CN" w:bidi="zh-CN"/>
    </w:rPr>
  </w:style>
  <w:style w:type="character" w:customStyle="1" w:styleId="280">
    <w:name w:val="Body text|1__0"/>
    <w:link w:val="279"/>
    <w:autoRedefine/>
    <w:qFormat/>
    <w:uiPriority w:val="0"/>
    <w:rPr>
      <w:rFonts w:ascii="宋体" w:hAnsi="宋体" w:cs="宋体"/>
      <w:lang w:val="zh-CN" w:bidi="zh-CN"/>
    </w:rPr>
  </w:style>
  <w:style w:type="paragraph" w:customStyle="1" w:styleId="281">
    <w:name w:val="Other|1_0"/>
    <w:basedOn w:val="174"/>
    <w:link w:val="282"/>
    <w:autoRedefine/>
    <w:qFormat/>
    <w:uiPriority w:val="0"/>
    <w:pPr>
      <w:spacing w:line="360" w:lineRule="auto"/>
      <w:ind w:firstLine="400"/>
      <w:jc w:val="left"/>
    </w:pPr>
    <w:rPr>
      <w:rFonts w:ascii="宋体" w:hAnsi="宋体"/>
      <w:kern w:val="0"/>
      <w:sz w:val="20"/>
      <w:szCs w:val="20"/>
      <w:lang w:val="zh-CN" w:bidi="zh-CN"/>
    </w:rPr>
  </w:style>
  <w:style w:type="character" w:customStyle="1" w:styleId="282">
    <w:name w:val="Other|1__0"/>
    <w:link w:val="281"/>
    <w:autoRedefine/>
    <w:qFormat/>
    <w:uiPriority w:val="0"/>
    <w:rPr>
      <w:rFonts w:ascii="宋体" w:hAnsi="宋体" w:cs="宋体"/>
      <w:lang w:val="zh-CN" w:bidi="zh-CN"/>
    </w:rPr>
  </w:style>
  <w:style w:type="paragraph" w:customStyle="1" w:styleId="283">
    <w:name w:val="List Paragraph1"/>
    <w:basedOn w:val="1"/>
    <w:autoRedefine/>
    <w:qFormat/>
    <w:uiPriority w:val="99"/>
    <w:pPr>
      <w:widowControl/>
      <w:spacing w:after="200" w:line="276" w:lineRule="auto"/>
      <w:ind w:left="720"/>
      <w:jc w:val="left"/>
    </w:pPr>
    <w:rPr>
      <w:rFonts w:ascii="Calibri" w:hAnsi="Calibri"/>
      <w:kern w:val="0"/>
      <w:sz w:val="22"/>
      <w:szCs w:val="22"/>
    </w:rPr>
  </w:style>
  <w:style w:type="character" w:customStyle="1" w:styleId="284">
    <w:name w:val="hover2"/>
    <w:basedOn w:val="44"/>
    <w:autoRedefine/>
    <w:qFormat/>
    <w:uiPriority w:val="0"/>
    <w:rPr>
      <w:color w:val="2590EB"/>
    </w:rPr>
  </w:style>
  <w:style w:type="character" w:customStyle="1" w:styleId="285">
    <w:name w:val="mini-outputtext1"/>
    <w:basedOn w:val="44"/>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82756-4CBB-442F-92C3-F6FABE740B0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37816</Words>
  <Characters>40257</Characters>
  <Lines>323</Lines>
  <Paragraphs>91</Paragraphs>
  <TotalTime>34</TotalTime>
  <ScaleCrop>false</ScaleCrop>
  <LinksUpToDate>false</LinksUpToDate>
  <CharactersWithSpaces>42820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2021-11-24T02:37:00Z</dcterms:created>
  <dc:creator>NTKO</dc:creator>
  <cp:lastModifiedBy>Administrator</cp:lastModifiedBy>
  <cp:lastPrinted>2024-04-07T05:41:00Z</cp:lastPrinted>
  <dcterms:modified xsi:type="dcterms:W3CDTF">2024-04-07T09:39:50Z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ED51B0BBA8394D12941DA83E7896A8C3</vt:lpwstr>
  </property>
</Properties>
</file>