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bookmarkStart w:id="0" w:name="_Hlk92961273"/>
      <w:bookmarkEnd w:id="0"/>
    </w:p>
    <w:p>
      <w:pPr>
        <w:rPr>
          <w:color w:val="auto"/>
        </w:rPr>
      </w:pPr>
    </w:p>
    <w:p>
      <w:pPr>
        <w:rPr>
          <w:color w:val="auto"/>
        </w:rPr>
      </w:pPr>
    </w:p>
    <w:p>
      <w:pPr>
        <w:rPr>
          <w:color w:val="auto"/>
        </w:rPr>
      </w:pPr>
    </w:p>
    <w:p>
      <w:pPr>
        <w:spacing w:before="156" w:beforeLines="50" w:line="780" w:lineRule="exact"/>
        <w:jc w:val="center"/>
        <w:rPr>
          <w:rFonts w:ascii="方正小标宋_GBK" w:hAnsi="黑体" w:eastAsia="方正小标宋_GBK"/>
          <w:b/>
          <w:color w:val="auto"/>
          <w:sz w:val="84"/>
          <w:szCs w:val="84"/>
        </w:rPr>
      </w:pPr>
      <w:r>
        <w:rPr>
          <w:rFonts w:hint="eastAsia" w:ascii="方正小标宋_GBK" w:hAnsi="黑体" w:eastAsia="方正小标宋_GBK"/>
          <w:b/>
          <w:color w:val="auto"/>
          <w:sz w:val="84"/>
          <w:szCs w:val="84"/>
        </w:rPr>
        <w:t>竞争性磋商采购文件</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500" w:lineRule="exact"/>
        <w:ind w:left="3520" w:hanging="3520" w:hangingChars="1100"/>
        <w:rPr>
          <w:rFonts w:hint="default" w:ascii="方正小标宋_GBK" w:hAnsi="微软雅黑" w:eastAsia="方正小标宋_GBK"/>
          <w:color w:val="auto"/>
          <w:sz w:val="32"/>
          <w:szCs w:val="32"/>
          <w:lang w:val="en-US" w:eastAsia="zh-CN"/>
        </w:rPr>
      </w:pPr>
      <w:r>
        <w:rPr>
          <w:rFonts w:hint="eastAsia" w:ascii="方正小标宋_GBK" w:hAnsi="微软雅黑" w:eastAsia="方正小标宋_GBK"/>
          <w:color w:val="auto"/>
          <w:sz w:val="32"/>
          <w:szCs w:val="32"/>
        </w:rPr>
        <w:t xml:space="preserve"> </w:t>
      </w:r>
      <w:r>
        <w:rPr>
          <w:rFonts w:ascii="方正小标宋_GBK" w:hAnsi="微软雅黑" w:eastAsia="方正小标宋_GBK"/>
          <w:color w:val="auto"/>
          <w:sz w:val="32"/>
          <w:szCs w:val="32"/>
        </w:rPr>
        <w:t xml:space="preserve">          </w:t>
      </w:r>
      <w:r>
        <w:rPr>
          <w:rFonts w:hint="eastAsia" w:ascii="方正小标宋_GBK" w:hAnsi="微软雅黑" w:eastAsia="方正小标宋_GBK"/>
          <w:color w:val="auto"/>
          <w:sz w:val="32"/>
          <w:szCs w:val="32"/>
        </w:rPr>
        <w:t>项目名称:</w:t>
      </w:r>
      <w:r>
        <w:rPr>
          <w:rFonts w:hint="eastAsia" w:ascii="方正小标宋_GBK" w:hAnsi="微软雅黑" w:eastAsia="方正小标宋_GBK"/>
          <w:color w:val="auto"/>
          <w:sz w:val="32"/>
          <w:szCs w:val="32"/>
          <w:lang w:val="en-US" w:eastAsia="zh-CN"/>
        </w:rPr>
        <w:t>广西壮族自治区沿海公路发展中心机关2024-2026年物业管理服务</w:t>
      </w:r>
    </w:p>
    <w:p>
      <w:pPr>
        <w:spacing w:line="500" w:lineRule="exact"/>
        <w:rPr>
          <w:rFonts w:hint="eastAsia" w:ascii="方正小标宋_GBK" w:hAnsi="微软雅黑" w:eastAsia="方正小标宋_GBK"/>
          <w:color w:val="auto"/>
          <w:sz w:val="32"/>
          <w:szCs w:val="32"/>
          <w:lang w:eastAsia="zh-CN"/>
        </w:rPr>
      </w:pPr>
      <w:r>
        <w:rPr>
          <w:rFonts w:hint="eastAsia" w:ascii="方正小标宋_GBK" w:hAnsi="微软雅黑" w:eastAsia="方正小标宋_GBK"/>
          <w:color w:val="auto"/>
          <w:sz w:val="32"/>
          <w:szCs w:val="32"/>
        </w:rPr>
        <w:t xml:space="preserve"> </w:t>
      </w:r>
      <w:r>
        <w:rPr>
          <w:rFonts w:ascii="方正小标宋_GBK" w:hAnsi="微软雅黑" w:eastAsia="方正小标宋_GBK"/>
          <w:color w:val="auto"/>
          <w:sz w:val="32"/>
          <w:szCs w:val="32"/>
        </w:rPr>
        <w:t xml:space="preserve">          </w:t>
      </w:r>
      <w:r>
        <w:rPr>
          <w:rFonts w:hint="eastAsia" w:ascii="方正小标宋_GBK" w:hAnsi="微软雅黑" w:eastAsia="方正小标宋_GBK"/>
          <w:color w:val="auto"/>
          <w:sz w:val="32"/>
          <w:szCs w:val="32"/>
        </w:rPr>
        <w:t>项目编号:</w:t>
      </w:r>
      <w:r>
        <w:rPr>
          <w:rFonts w:hint="eastAsia" w:ascii="方正小标宋_GBK" w:hAnsi="微软雅黑" w:eastAsia="方正小标宋_GBK"/>
          <w:color w:val="auto"/>
          <w:sz w:val="32"/>
          <w:szCs w:val="32"/>
          <w:lang w:eastAsia="zh-CN"/>
        </w:rPr>
        <w:t>QZZC2024-C3-00010-CGZX</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360" w:lineRule="exact"/>
        <w:jc w:val="center"/>
        <w:rPr>
          <w:rFonts w:ascii="方正小标宋_GBK" w:hAnsi="微软雅黑" w:eastAsia="方正小标宋_GBK"/>
          <w:color w:val="auto"/>
          <w:sz w:val="32"/>
          <w:szCs w:val="32"/>
        </w:rPr>
      </w:pPr>
      <w:r>
        <w:rPr>
          <w:rFonts w:hint="eastAsia" w:ascii="方正小标宋_GBK" w:hAnsi="微软雅黑" w:eastAsia="方正小标宋_GBK"/>
          <w:color w:val="auto"/>
          <w:sz w:val="32"/>
          <w:szCs w:val="32"/>
        </w:rPr>
        <w:t>钦州市政府采购中心</w:t>
      </w:r>
    </w:p>
    <w:p>
      <w:pPr>
        <w:tabs>
          <w:tab w:val="left" w:pos="360"/>
        </w:tabs>
        <w:spacing w:line="440" w:lineRule="exact"/>
        <w:jc w:val="center"/>
        <w:rPr>
          <w:rFonts w:ascii="仿宋_GB2312" w:hAnsi="宋体" w:eastAsia="仿宋_GB2312"/>
          <w:color w:val="auto"/>
          <w:sz w:val="32"/>
          <w:szCs w:val="32"/>
        </w:rPr>
      </w:pPr>
      <w:r>
        <w:rPr>
          <w:rFonts w:hint="eastAsia" w:ascii="方正小标宋_GBK" w:hAnsi="微软雅黑" w:eastAsia="方正小标宋_GBK"/>
          <w:color w:val="auto"/>
          <w:sz w:val="32"/>
          <w:szCs w:val="32"/>
        </w:rPr>
        <w:t>2024年</w:t>
      </w:r>
      <w:r>
        <w:rPr>
          <w:rFonts w:hint="eastAsia" w:ascii="方正小标宋_GBK" w:hAnsi="微软雅黑" w:eastAsia="方正小标宋_GBK"/>
          <w:color w:val="auto"/>
          <w:sz w:val="32"/>
          <w:szCs w:val="32"/>
          <w:lang w:val="en-US" w:eastAsia="zh-CN"/>
        </w:rPr>
        <w:t>6</w:t>
      </w:r>
      <w:r>
        <w:rPr>
          <w:rFonts w:hint="eastAsia" w:ascii="方正小标宋_GBK" w:hAnsi="微软雅黑" w:eastAsia="方正小标宋_GBK"/>
          <w:color w:val="auto"/>
          <w:sz w:val="32"/>
          <w:szCs w:val="32"/>
        </w:rPr>
        <w:t>月</w:t>
      </w:r>
    </w:p>
    <w:p>
      <w:pPr>
        <w:rPr>
          <w:color w:val="auto"/>
        </w:rPr>
      </w:pPr>
    </w:p>
    <w:p>
      <w:pPr>
        <w:rPr>
          <w:color w:val="auto"/>
        </w:rPr>
      </w:pPr>
    </w:p>
    <w:p>
      <w:pPr>
        <w:spacing w:line="640" w:lineRule="exact"/>
        <w:jc w:val="center"/>
        <w:rPr>
          <w:rFonts w:ascii="方正小标宋_GBK" w:hAnsi="宋体" w:eastAsia="方正小标宋_GBK"/>
          <w:b/>
          <w:color w:val="auto"/>
          <w:sz w:val="32"/>
          <w:szCs w:val="32"/>
        </w:rPr>
      </w:pPr>
      <w:r>
        <w:rPr>
          <w:rFonts w:hint="eastAsia" w:ascii="方正小标宋_GBK" w:hAnsi="宋体" w:eastAsia="方正小标宋_GBK"/>
          <w:b/>
          <w:color w:val="auto"/>
          <w:sz w:val="44"/>
          <w:szCs w:val="44"/>
        </w:rPr>
        <w:t>目   录</w:t>
      </w:r>
    </w:p>
    <w:p>
      <w:pPr>
        <w:rPr>
          <w:color w:val="auto"/>
        </w:rPr>
      </w:pPr>
    </w:p>
    <w:p>
      <w:pPr>
        <w:pStyle w:val="27"/>
        <w:tabs>
          <w:tab w:val="right" w:leader="dot" w:pos="9514"/>
        </w:tabs>
        <w:spacing w:line="1000" w:lineRule="exact"/>
        <w:rPr>
          <w:rFonts w:asciiTheme="minorHAnsi" w:hAnsiTheme="minorHAnsi" w:eastAsiaTheme="minorEastAsia" w:cstheme="minorBidi"/>
          <w:color w:val="auto"/>
          <w:sz w:val="28"/>
          <w:szCs w:val="28"/>
        </w:rPr>
      </w:pPr>
      <w:bookmarkStart w:id="1" w:name="_Toc354479497"/>
      <w:r>
        <w:rPr>
          <w:rFonts w:hint="eastAsia" w:ascii="方正小标宋_GBK" w:hAnsi="仿宋" w:eastAsia="方正小标宋_GBK"/>
          <w:b/>
          <w:color w:val="auto"/>
          <w:sz w:val="28"/>
          <w:szCs w:val="28"/>
        </w:rPr>
        <w:fldChar w:fldCharType="begin"/>
      </w:r>
      <w:r>
        <w:rPr>
          <w:rFonts w:hint="eastAsia" w:ascii="方正小标宋_GBK" w:hAnsi="仿宋" w:eastAsia="方正小标宋_GBK"/>
          <w:b/>
          <w:color w:val="auto"/>
          <w:sz w:val="28"/>
          <w:szCs w:val="28"/>
        </w:rPr>
        <w:instrText xml:space="preserve"> TOC \o "1-1" \h \z \u </w:instrText>
      </w:r>
      <w:r>
        <w:rPr>
          <w:rFonts w:hint="eastAsia" w:ascii="方正小标宋_GBK" w:hAnsi="仿宋" w:eastAsia="方正小标宋_GBK"/>
          <w:b/>
          <w:color w:val="auto"/>
          <w:sz w:val="28"/>
          <w:szCs w:val="28"/>
        </w:rPr>
        <w:fldChar w:fldCharType="separate"/>
      </w:r>
      <w:r>
        <w:rPr>
          <w:color w:val="auto"/>
        </w:rPr>
        <w:fldChar w:fldCharType="begin"/>
      </w:r>
      <w:r>
        <w:rPr>
          <w:color w:val="auto"/>
        </w:rPr>
        <w:instrText xml:space="preserve"> HYPERLINK \l "_Toc92355023" </w:instrText>
      </w:r>
      <w:r>
        <w:rPr>
          <w:color w:val="auto"/>
        </w:rPr>
        <w:fldChar w:fldCharType="separate"/>
      </w:r>
      <w:r>
        <w:rPr>
          <w:rStyle w:val="43"/>
          <w:rFonts w:ascii="方正小标宋_GBK" w:hAnsi="宋体" w:eastAsia="方正小标宋_GBK"/>
          <w:color w:val="auto"/>
          <w:sz w:val="28"/>
          <w:szCs w:val="28"/>
        </w:rPr>
        <w:t>第一章  竞争性磋商公告</w:t>
      </w:r>
      <w:r>
        <w:rPr>
          <w:color w:val="auto"/>
          <w:sz w:val="28"/>
          <w:szCs w:val="28"/>
        </w:rPr>
        <w:tab/>
      </w:r>
      <w:r>
        <w:rPr>
          <w:color w:val="auto"/>
          <w:sz w:val="28"/>
          <w:szCs w:val="28"/>
        </w:rPr>
        <w:fldChar w:fldCharType="begin"/>
      </w:r>
      <w:r>
        <w:rPr>
          <w:color w:val="auto"/>
          <w:sz w:val="28"/>
          <w:szCs w:val="28"/>
        </w:rPr>
        <w:instrText xml:space="preserve"> PAGEREF _Toc92355023 \h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27"/>
        <w:tabs>
          <w:tab w:val="right" w:leader="dot" w:pos="9514"/>
        </w:tabs>
        <w:spacing w:line="10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"_Toc92355024" </w:instrText>
      </w:r>
      <w:r>
        <w:rPr>
          <w:color w:val="auto"/>
        </w:rPr>
        <w:fldChar w:fldCharType="separate"/>
      </w:r>
      <w:r>
        <w:rPr>
          <w:rStyle w:val="43"/>
          <w:rFonts w:ascii="方正小标宋_GBK" w:hAnsi="宋体" w:eastAsia="方正小标宋_GBK"/>
          <w:color w:val="auto"/>
          <w:sz w:val="28"/>
          <w:szCs w:val="28"/>
        </w:rPr>
        <w:t xml:space="preserve">第二章  </w:t>
      </w:r>
      <w:r>
        <w:rPr>
          <w:rStyle w:val="43"/>
          <w:rFonts w:hint="eastAsia" w:ascii="方正小标宋_GBK" w:hAnsi="宋体" w:eastAsia="方正小标宋_GBK"/>
          <w:color w:val="auto"/>
          <w:sz w:val="28"/>
          <w:szCs w:val="28"/>
          <w:lang w:val="en-US" w:eastAsia="zh-CN"/>
        </w:rPr>
        <w:t>项目</w:t>
      </w:r>
      <w:r>
        <w:rPr>
          <w:rStyle w:val="43"/>
          <w:rFonts w:ascii="方正小标宋_GBK" w:hAnsi="宋体" w:eastAsia="方正小标宋_GBK"/>
          <w:color w:val="auto"/>
          <w:sz w:val="28"/>
          <w:szCs w:val="28"/>
        </w:rPr>
        <w:t>需求</w:t>
      </w:r>
      <w:r>
        <w:rPr>
          <w:color w:val="auto"/>
          <w:sz w:val="28"/>
          <w:szCs w:val="28"/>
        </w:rPr>
        <w:tab/>
      </w:r>
      <w:r>
        <w:rPr>
          <w:color w:val="auto"/>
          <w:sz w:val="28"/>
          <w:szCs w:val="28"/>
        </w:rPr>
        <w:fldChar w:fldCharType="begin"/>
      </w:r>
      <w:r>
        <w:rPr>
          <w:color w:val="auto"/>
          <w:sz w:val="28"/>
          <w:szCs w:val="28"/>
        </w:rPr>
        <w:instrText xml:space="preserve"> PAGEREF _Toc92355024 \h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27"/>
        <w:tabs>
          <w:tab w:val="right" w:leader="dot" w:pos="9514"/>
        </w:tabs>
        <w:spacing w:line="10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"_Toc92355025" </w:instrText>
      </w:r>
      <w:r>
        <w:rPr>
          <w:color w:val="auto"/>
        </w:rPr>
        <w:fldChar w:fldCharType="separate"/>
      </w:r>
      <w:r>
        <w:rPr>
          <w:rStyle w:val="43"/>
          <w:rFonts w:ascii="方正小标宋简体" w:eastAsia="方正小标宋简体"/>
          <w:color w:val="auto"/>
          <w:sz w:val="28"/>
          <w:szCs w:val="28"/>
        </w:rPr>
        <w:t>第三章  供应商须知</w:t>
      </w:r>
      <w:r>
        <w:rPr>
          <w:color w:val="auto"/>
          <w:sz w:val="28"/>
          <w:szCs w:val="28"/>
        </w:rPr>
        <w:tab/>
      </w:r>
      <w:r>
        <w:rPr>
          <w:color w:val="auto"/>
          <w:sz w:val="28"/>
          <w:szCs w:val="28"/>
        </w:rPr>
        <w:fldChar w:fldCharType="begin"/>
      </w:r>
      <w:r>
        <w:rPr>
          <w:color w:val="auto"/>
          <w:sz w:val="28"/>
          <w:szCs w:val="28"/>
        </w:rPr>
        <w:instrText xml:space="preserve"> PAGEREF _Toc92355025 \h </w:instrText>
      </w:r>
      <w:r>
        <w:rPr>
          <w:color w:val="auto"/>
          <w:sz w:val="28"/>
          <w:szCs w:val="28"/>
        </w:rPr>
        <w:fldChar w:fldCharType="separate"/>
      </w:r>
      <w:r>
        <w:rPr>
          <w:color w:val="auto"/>
          <w:sz w:val="28"/>
          <w:szCs w:val="28"/>
        </w:rPr>
        <w:t>12</w:t>
      </w:r>
      <w:r>
        <w:rPr>
          <w:color w:val="auto"/>
          <w:sz w:val="28"/>
          <w:szCs w:val="28"/>
        </w:rPr>
        <w:fldChar w:fldCharType="end"/>
      </w:r>
      <w:r>
        <w:rPr>
          <w:color w:val="auto"/>
          <w:sz w:val="28"/>
          <w:szCs w:val="28"/>
        </w:rPr>
        <w:fldChar w:fldCharType="end"/>
      </w:r>
    </w:p>
    <w:p>
      <w:pPr>
        <w:pStyle w:val="27"/>
        <w:tabs>
          <w:tab w:val="right" w:leader="dot" w:pos="9514"/>
        </w:tabs>
        <w:spacing w:line="10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"_Toc92355026" </w:instrText>
      </w:r>
      <w:r>
        <w:rPr>
          <w:color w:val="auto"/>
        </w:rPr>
        <w:fldChar w:fldCharType="separate"/>
      </w:r>
      <w:r>
        <w:rPr>
          <w:rStyle w:val="43"/>
          <w:rFonts w:ascii="方正小标宋_GBK" w:hAnsi="宋体" w:eastAsia="方正小标宋_GBK"/>
          <w:color w:val="auto"/>
          <w:sz w:val="28"/>
          <w:szCs w:val="28"/>
        </w:rPr>
        <w:t>第四章  评定标准及推荐原则</w:t>
      </w:r>
      <w:r>
        <w:rPr>
          <w:color w:val="auto"/>
          <w:sz w:val="28"/>
          <w:szCs w:val="28"/>
        </w:rPr>
        <w:tab/>
      </w:r>
      <w:r>
        <w:rPr>
          <w:color w:val="auto"/>
          <w:sz w:val="28"/>
          <w:szCs w:val="28"/>
        </w:rPr>
        <w:fldChar w:fldCharType="begin"/>
      </w:r>
      <w:r>
        <w:rPr>
          <w:color w:val="auto"/>
          <w:sz w:val="28"/>
          <w:szCs w:val="28"/>
        </w:rPr>
        <w:instrText xml:space="preserve"> PAGEREF _Toc92355026 \h </w:instrText>
      </w:r>
      <w:r>
        <w:rPr>
          <w:color w:val="auto"/>
          <w:sz w:val="28"/>
          <w:szCs w:val="28"/>
        </w:rPr>
        <w:fldChar w:fldCharType="separate"/>
      </w:r>
      <w:r>
        <w:rPr>
          <w:color w:val="auto"/>
          <w:sz w:val="28"/>
          <w:szCs w:val="28"/>
        </w:rPr>
        <w:t>24</w:t>
      </w:r>
      <w:r>
        <w:rPr>
          <w:color w:val="auto"/>
          <w:sz w:val="28"/>
          <w:szCs w:val="28"/>
        </w:rPr>
        <w:fldChar w:fldCharType="end"/>
      </w:r>
      <w:r>
        <w:rPr>
          <w:color w:val="auto"/>
          <w:sz w:val="28"/>
          <w:szCs w:val="28"/>
        </w:rPr>
        <w:fldChar w:fldCharType="end"/>
      </w:r>
    </w:p>
    <w:p>
      <w:pPr>
        <w:pStyle w:val="27"/>
        <w:tabs>
          <w:tab w:val="right" w:leader="dot" w:pos="9514"/>
        </w:tabs>
        <w:spacing w:line="10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"_Toc92355027" </w:instrText>
      </w:r>
      <w:r>
        <w:rPr>
          <w:color w:val="auto"/>
        </w:rPr>
        <w:fldChar w:fldCharType="separate"/>
      </w:r>
      <w:r>
        <w:rPr>
          <w:rStyle w:val="43"/>
          <w:rFonts w:ascii="方正小标宋_GBK" w:eastAsia="方正小标宋_GBK"/>
          <w:color w:val="auto"/>
          <w:sz w:val="28"/>
          <w:szCs w:val="28"/>
        </w:rPr>
        <w:t>第五章  合同文本</w:t>
      </w:r>
      <w:r>
        <w:rPr>
          <w:color w:val="auto"/>
          <w:sz w:val="28"/>
          <w:szCs w:val="28"/>
        </w:rPr>
        <w:tab/>
      </w:r>
      <w:r>
        <w:rPr>
          <w:color w:val="auto"/>
          <w:sz w:val="28"/>
          <w:szCs w:val="28"/>
        </w:rPr>
        <w:fldChar w:fldCharType="begin"/>
      </w:r>
      <w:r>
        <w:rPr>
          <w:color w:val="auto"/>
          <w:sz w:val="28"/>
          <w:szCs w:val="28"/>
        </w:rPr>
        <w:instrText xml:space="preserve"> PAGEREF _Toc92355027 \h </w:instrText>
      </w:r>
      <w:r>
        <w:rPr>
          <w:color w:val="auto"/>
          <w:sz w:val="28"/>
          <w:szCs w:val="28"/>
        </w:rPr>
        <w:fldChar w:fldCharType="separate"/>
      </w:r>
      <w:r>
        <w:rPr>
          <w:color w:val="auto"/>
          <w:sz w:val="28"/>
          <w:szCs w:val="28"/>
        </w:rPr>
        <w:t>28</w:t>
      </w:r>
      <w:r>
        <w:rPr>
          <w:color w:val="auto"/>
          <w:sz w:val="28"/>
          <w:szCs w:val="28"/>
        </w:rPr>
        <w:fldChar w:fldCharType="end"/>
      </w:r>
      <w:r>
        <w:rPr>
          <w:color w:val="auto"/>
          <w:sz w:val="28"/>
          <w:szCs w:val="28"/>
        </w:rPr>
        <w:fldChar w:fldCharType="end"/>
      </w:r>
    </w:p>
    <w:p>
      <w:pPr>
        <w:pStyle w:val="27"/>
        <w:tabs>
          <w:tab w:val="right" w:leader="dot" w:pos="9514"/>
        </w:tabs>
        <w:spacing w:line="10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"_Toc92355028" </w:instrText>
      </w:r>
      <w:r>
        <w:rPr>
          <w:color w:val="auto"/>
        </w:rPr>
        <w:fldChar w:fldCharType="separate"/>
      </w:r>
      <w:r>
        <w:rPr>
          <w:rStyle w:val="43"/>
          <w:rFonts w:ascii="方正小标宋_GBK" w:hAnsi="方正小标宋_GBK" w:eastAsia="方正小标宋_GBK"/>
          <w:color w:val="auto"/>
          <w:sz w:val="28"/>
          <w:szCs w:val="28"/>
        </w:rPr>
        <w:t>第六章  响应文件格式</w:t>
      </w:r>
      <w:r>
        <w:rPr>
          <w:color w:val="auto"/>
          <w:sz w:val="28"/>
          <w:szCs w:val="28"/>
        </w:rPr>
        <w:tab/>
      </w:r>
      <w:r>
        <w:rPr>
          <w:color w:val="auto"/>
          <w:sz w:val="28"/>
          <w:szCs w:val="28"/>
        </w:rPr>
        <w:fldChar w:fldCharType="begin"/>
      </w:r>
      <w:r>
        <w:rPr>
          <w:color w:val="auto"/>
          <w:sz w:val="28"/>
          <w:szCs w:val="28"/>
        </w:rPr>
        <w:instrText xml:space="preserve"> PAGEREF _Toc92355028 \h </w:instrText>
      </w:r>
      <w:r>
        <w:rPr>
          <w:color w:val="auto"/>
          <w:sz w:val="28"/>
          <w:szCs w:val="28"/>
        </w:rPr>
        <w:fldChar w:fldCharType="separate"/>
      </w:r>
      <w:r>
        <w:rPr>
          <w:color w:val="auto"/>
          <w:sz w:val="28"/>
          <w:szCs w:val="28"/>
        </w:rPr>
        <w:t>35</w:t>
      </w:r>
      <w:r>
        <w:rPr>
          <w:color w:val="auto"/>
          <w:sz w:val="28"/>
          <w:szCs w:val="28"/>
        </w:rPr>
        <w:fldChar w:fldCharType="end"/>
      </w:r>
      <w:r>
        <w:rPr>
          <w:color w:val="auto"/>
          <w:sz w:val="28"/>
          <w:szCs w:val="28"/>
        </w:rPr>
        <w:fldChar w:fldCharType="end"/>
      </w:r>
    </w:p>
    <w:p>
      <w:pPr>
        <w:rPr>
          <w:color w:val="auto"/>
        </w:rPr>
        <w:sectPr>
          <w:footerReference r:id="rId4" w:type="first"/>
          <w:footerReference r:id="rId3" w:type="default"/>
          <w:pgSz w:w="11906" w:h="16838"/>
          <w:pgMar w:top="936" w:right="1191" w:bottom="936" w:left="1191" w:header="851" w:footer="992" w:gutter="0"/>
          <w:pgNumType w:start="1"/>
          <w:cols w:space="720" w:num="1"/>
          <w:docGrid w:type="lines" w:linePitch="312" w:charSpace="0"/>
        </w:sectPr>
      </w:pPr>
      <w:r>
        <w:rPr>
          <w:rFonts w:hint="eastAsia"/>
          <w:color w:val="auto"/>
        </w:rPr>
        <w:fldChar w:fldCharType="end"/>
      </w:r>
    </w:p>
    <w:p>
      <w:pPr>
        <w:rPr>
          <w:color w:val="auto"/>
        </w:rPr>
      </w:pPr>
    </w:p>
    <w:p>
      <w:pPr>
        <w:widowControl/>
        <w:jc w:val="left"/>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spacing w:line="400" w:lineRule="exact"/>
        <w:rPr>
          <w:rFonts w:ascii="方正小标宋_GBK" w:hAnsi="宋体" w:eastAsia="方正小标宋_GBK"/>
          <w:color w:val="auto"/>
        </w:rPr>
      </w:pPr>
      <w:bookmarkStart w:id="2" w:name="_Toc92355023"/>
      <w:r>
        <w:rPr>
          <w:rFonts w:hint="eastAsia" w:ascii="方正小标宋_GBK" w:hAnsi="宋体" w:eastAsia="方正小标宋_GBK"/>
          <w:color w:val="auto"/>
        </w:rPr>
        <w:t>第一章  竞争性磋商公告</w:t>
      </w:r>
      <w:bookmarkEnd w:id="1"/>
      <w:bookmarkEnd w:id="2"/>
    </w:p>
    <w:p>
      <w:pPr>
        <w:spacing w:line="600" w:lineRule="exact"/>
        <w:jc w:val="center"/>
        <w:rPr>
          <w:rFonts w:ascii="黑体" w:hAnsi="宋体" w:eastAsia="黑体"/>
          <w:b/>
          <w:color w:val="auto"/>
          <w:sz w:val="32"/>
          <w:szCs w:val="32"/>
        </w:rPr>
      </w:pPr>
      <w:r>
        <w:rPr>
          <w:rFonts w:ascii="黑体" w:hAnsi="宋体" w:eastAsia="黑体"/>
          <w:b/>
          <w:color w:val="auto"/>
          <w:sz w:val="32"/>
          <w:szCs w:val="32"/>
        </w:rPr>
        <w:br w:type="page"/>
      </w:r>
    </w:p>
    <w:p>
      <w:pPr>
        <w:rPr>
          <w:color w:val="auto"/>
        </w:rPr>
      </w:pPr>
    </w:p>
    <w:p>
      <w:pPr>
        <w:spacing w:line="600" w:lineRule="exact"/>
        <w:jc w:val="center"/>
        <w:rPr>
          <w:rFonts w:ascii="方正小标宋_GBK" w:hAnsi="宋体" w:eastAsia="方正小标宋_GBK"/>
          <w:b/>
          <w:color w:val="auto"/>
          <w:sz w:val="34"/>
          <w:szCs w:val="34"/>
        </w:rPr>
      </w:pPr>
      <w:r>
        <w:rPr>
          <w:rFonts w:hint="eastAsia" w:ascii="方正小标宋_GBK" w:hAnsi="宋体" w:eastAsia="方正小标宋_GBK"/>
          <w:b/>
          <w:color w:val="auto"/>
          <w:sz w:val="34"/>
          <w:szCs w:val="34"/>
        </w:rPr>
        <w:t>钦州市政府采购中心关于</w:t>
      </w:r>
      <w:r>
        <w:rPr>
          <w:rFonts w:hint="eastAsia" w:ascii="方正小标宋_GBK" w:hAnsi="宋体" w:eastAsia="方正小标宋_GBK"/>
          <w:b/>
          <w:color w:val="auto"/>
          <w:sz w:val="34"/>
          <w:szCs w:val="34"/>
          <w:lang w:val="en-US" w:eastAsia="zh-CN"/>
        </w:rPr>
        <w:t>广西壮族自治区沿海公路发展中心机关 2024-2026年物业管理服务</w:t>
      </w:r>
      <w:r>
        <w:rPr>
          <w:rFonts w:hint="eastAsia" w:ascii="方正小标宋_GBK" w:hAnsi="宋体" w:eastAsia="方正小标宋_GBK"/>
          <w:b/>
          <w:color w:val="auto"/>
          <w:sz w:val="34"/>
          <w:szCs w:val="34"/>
        </w:rPr>
        <w:t>(</w:t>
      </w:r>
      <w:r>
        <w:rPr>
          <w:rFonts w:hint="eastAsia" w:ascii="方正小标宋_GBK" w:hAnsi="宋体" w:eastAsia="方正小标宋_GBK"/>
          <w:b/>
          <w:color w:val="auto"/>
          <w:sz w:val="34"/>
          <w:szCs w:val="34"/>
          <w:lang w:eastAsia="zh-CN"/>
        </w:rPr>
        <w:t>QZZC2024-C3-00010-CGZX</w:t>
      </w:r>
      <w:r>
        <w:rPr>
          <w:rFonts w:hint="eastAsia" w:ascii="方正小标宋_GBK" w:hAnsi="宋体" w:eastAsia="方正小标宋_GBK"/>
          <w:b/>
          <w:color w:val="auto"/>
          <w:sz w:val="34"/>
          <w:szCs w:val="34"/>
        </w:rPr>
        <w:t>)的竞争性磋商公告</w:t>
      </w:r>
    </w:p>
    <w:p>
      <w:pPr>
        <w:pBdr>
          <w:top w:val="single" w:color="auto" w:sz="4" w:space="0"/>
          <w:left w:val="single" w:color="auto" w:sz="4" w:space="4"/>
          <w:bottom w:val="single" w:color="auto" w:sz="4" w:space="1"/>
          <w:right w:val="single" w:color="auto" w:sz="4" w:space="4"/>
        </w:pBdr>
        <w:spacing w:line="400" w:lineRule="exact"/>
        <w:rPr>
          <w:rFonts w:ascii="方正小标宋简体" w:hAnsi="宋体" w:eastAsia="方正小标宋简体"/>
          <w:b/>
          <w:color w:val="auto"/>
          <w:sz w:val="32"/>
          <w:szCs w:val="32"/>
        </w:rPr>
      </w:pPr>
      <w:bookmarkStart w:id="3" w:name="_Toc38370138"/>
      <w:r>
        <w:rPr>
          <w:rFonts w:hint="eastAsia" w:ascii="宋体" w:hAnsi="宋体"/>
          <w:color w:val="auto"/>
          <w:szCs w:val="21"/>
        </w:rPr>
        <w:t>项目概况</w:t>
      </w:r>
    </w:p>
    <w:p>
      <w:pPr>
        <w:pBdr>
          <w:top w:val="single" w:color="auto" w:sz="4" w:space="0"/>
          <w:left w:val="single" w:color="auto" w:sz="4" w:space="4"/>
          <w:bottom w:val="single" w:color="auto" w:sz="4" w:space="1"/>
          <w:right w:val="single" w:color="auto" w:sz="4" w:space="4"/>
        </w:pBdr>
        <w:spacing w:line="400" w:lineRule="exact"/>
        <w:ind w:firstLine="420" w:firstLineChars="200"/>
        <w:rPr>
          <w:rFonts w:ascii="宋体" w:hAnsi="宋体"/>
          <w:color w:val="auto"/>
          <w:szCs w:val="21"/>
        </w:rPr>
      </w:pPr>
      <w:r>
        <w:rPr>
          <w:rFonts w:hint="eastAsia" w:ascii="宋体" w:hAnsi="宋体"/>
          <w:color w:val="auto"/>
          <w:szCs w:val="21"/>
          <w:lang w:val="en-US" w:eastAsia="zh-CN"/>
        </w:rPr>
        <w:t>广西壮族自治区沿海公路发展中心机关2024-2026年物业管理服务</w:t>
      </w:r>
      <w:r>
        <w:rPr>
          <w:rFonts w:hint="eastAsia" w:ascii="宋体" w:hAnsi="宋体"/>
          <w:color w:val="auto"/>
          <w:szCs w:val="21"/>
        </w:rPr>
        <w:t>项目的潜在供应商应在广西政府采购云平台（https://www.gcy.zfcg.gxzf.gov.cn/）获取采购文件，并于2024</w:t>
      </w:r>
      <w:r>
        <w:rPr>
          <w:rFonts w:hint="eastAsia" w:ascii="宋体" w:hAnsi="宋体"/>
          <w:bCs/>
          <w:color w:val="auto"/>
          <w:szCs w:val="21"/>
        </w:rPr>
        <w:t>年</w:t>
      </w:r>
      <w:r>
        <w:rPr>
          <w:rFonts w:hint="eastAsia" w:ascii="宋体" w:hAnsi="宋体"/>
          <w:bCs/>
          <w:color w:val="auto"/>
          <w:szCs w:val="21"/>
          <w:lang w:val="en-US" w:eastAsia="zh-CN"/>
        </w:rPr>
        <w:t>6</w:t>
      </w:r>
      <w:r>
        <w:rPr>
          <w:rFonts w:hint="eastAsia" w:ascii="宋体" w:hAnsi="宋体"/>
          <w:bCs/>
          <w:color w:val="auto"/>
          <w:szCs w:val="21"/>
        </w:rPr>
        <w:t>月</w:t>
      </w:r>
      <w:r>
        <w:rPr>
          <w:rFonts w:hint="eastAsia" w:ascii="宋体" w:hAnsi="宋体"/>
          <w:bCs/>
          <w:color w:val="auto"/>
          <w:szCs w:val="21"/>
          <w:lang w:val="en-US" w:eastAsia="zh-CN"/>
        </w:rPr>
        <w:t>25</w:t>
      </w:r>
      <w:r>
        <w:rPr>
          <w:rFonts w:hint="eastAsia" w:ascii="宋体" w:hAnsi="宋体"/>
          <w:bCs/>
          <w:color w:val="auto"/>
          <w:szCs w:val="21"/>
        </w:rPr>
        <w:t>日</w:t>
      </w:r>
      <w:r>
        <w:rPr>
          <w:color w:val="auto"/>
        </w:rPr>
        <w:t>09:30</w:t>
      </w:r>
      <w:r>
        <w:rPr>
          <w:rFonts w:hint="eastAsia" w:ascii="宋体" w:hAnsi="宋体"/>
          <w:bCs/>
          <w:color w:val="auto"/>
          <w:szCs w:val="21"/>
        </w:rPr>
        <w:t>（北京时间）前提交响应</w:t>
      </w:r>
      <w:r>
        <w:rPr>
          <w:rFonts w:ascii="宋体" w:hAnsi="宋体"/>
          <w:bCs/>
          <w:color w:val="auto"/>
          <w:szCs w:val="21"/>
        </w:rPr>
        <w:t>文件</w:t>
      </w:r>
      <w:r>
        <w:rPr>
          <w:rFonts w:hint="eastAsia" w:ascii="宋体" w:hAnsi="宋体"/>
          <w:color w:val="auto"/>
          <w:szCs w:val="21"/>
        </w:rPr>
        <w:t>。</w:t>
      </w:r>
    </w:p>
    <w:bookmarkEnd w:id="3"/>
    <w:p>
      <w:pPr>
        <w:spacing w:line="400" w:lineRule="exact"/>
        <w:rPr>
          <w:b/>
          <w:color w:val="auto"/>
        </w:rPr>
      </w:pPr>
      <w:bookmarkStart w:id="4" w:name="_Toc28359079"/>
      <w:bookmarkStart w:id="5" w:name="_Toc28359002"/>
      <w:bookmarkStart w:id="6" w:name="_Toc35393621"/>
      <w:bookmarkStart w:id="7" w:name="_Toc35393790"/>
      <w:bookmarkStart w:id="8" w:name="_Hlk24379207"/>
      <w:bookmarkStart w:id="9" w:name="_Toc38370146"/>
      <w:r>
        <w:rPr>
          <w:rFonts w:hint="eastAsia"/>
          <w:b/>
          <w:color w:val="auto"/>
        </w:rPr>
        <w:t>一、项目基本情况</w:t>
      </w:r>
      <w:bookmarkEnd w:id="4"/>
      <w:bookmarkEnd w:id="5"/>
      <w:bookmarkEnd w:id="6"/>
      <w:bookmarkEnd w:id="7"/>
    </w:p>
    <w:p>
      <w:pPr>
        <w:spacing w:line="400" w:lineRule="exact"/>
        <w:ind w:firstLine="420"/>
        <w:rPr>
          <w:rFonts w:hint="eastAsia" w:eastAsia="宋体"/>
          <w:color w:val="auto"/>
          <w:lang w:eastAsia="zh-CN"/>
        </w:rPr>
      </w:pPr>
      <w:r>
        <w:rPr>
          <w:rFonts w:hint="eastAsia"/>
          <w:color w:val="auto"/>
        </w:rPr>
        <w:t>项目编号：</w:t>
      </w:r>
      <w:r>
        <w:rPr>
          <w:rFonts w:hint="eastAsia" w:ascii="宋体" w:hAnsi="宋体"/>
          <w:bCs/>
          <w:color w:val="auto"/>
          <w:lang w:eastAsia="zh-CN"/>
        </w:rPr>
        <w:t>QZZC2024-C3-00010-CGZX</w:t>
      </w:r>
    </w:p>
    <w:p>
      <w:pPr>
        <w:spacing w:line="400" w:lineRule="exact"/>
        <w:ind w:firstLine="420"/>
        <w:rPr>
          <w:color w:val="auto"/>
        </w:rPr>
      </w:pPr>
      <w:r>
        <w:rPr>
          <w:rFonts w:hint="eastAsia"/>
          <w:color w:val="auto"/>
        </w:rPr>
        <w:t>项目名称：</w:t>
      </w:r>
      <w:r>
        <w:rPr>
          <w:rFonts w:hint="eastAsia" w:ascii="宋体" w:hAnsi="宋体"/>
          <w:color w:val="auto"/>
          <w:szCs w:val="21"/>
          <w:lang w:val="en-US" w:eastAsia="zh-CN"/>
        </w:rPr>
        <w:t>广西壮族自治区沿海公路发展中心机关2024-2026年物业管理服务</w:t>
      </w:r>
    </w:p>
    <w:bookmarkEnd w:id="8"/>
    <w:p>
      <w:pPr>
        <w:spacing w:line="400" w:lineRule="exact"/>
        <w:ind w:firstLine="420"/>
        <w:rPr>
          <w:rFonts w:hint="default" w:eastAsia="宋体"/>
          <w:color w:val="auto"/>
          <w:lang w:val="en-US" w:eastAsia="zh-CN"/>
        </w:rPr>
      </w:pPr>
      <w:r>
        <w:rPr>
          <w:rFonts w:hint="eastAsia"/>
          <w:color w:val="auto"/>
        </w:rPr>
        <w:t>预算总金额(元</w:t>
      </w:r>
      <w:r>
        <w:rPr>
          <w:color w:val="auto"/>
        </w:rPr>
        <w:t>)</w:t>
      </w:r>
      <w:r>
        <w:rPr>
          <w:rFonts w:hint="eastAsia"/>
          <w:color w:val="auto"/>
        </w:rPr>
        <w:t>：</w:t>
      </w:r>
      <w:r>
        <w:rPr>
          <w:rFonts w:hint="eastAsia"/>
          <w:color w:val="auto"/>
          <w:lang w:val="en-US" w:eastAsia="zh-CN"/>
        </w:rPr>
        <w:t>1520000.00</w:t>
      </w:r>
    </w:p>
    <w:p>
      <w:pPr>
        <w:spacing w:line="400" w:lineRule="exact"/>
        <w:ind w:firstLine="420"/>
        <w:rPr>
          <w:color w:val="auto"/>
        </w:rPr>
      </w:pPr>
      <w:r>
        <w:rPr>
          <w:rFonts w:hint="eastAsia"/>
          <w:color w:val="auto"/>
        </w:rPr>
        <w:t>采购需求：</w:t>
      </w:r>
    </w:p>
    <w:p>
      <w:pPr>
        <w:spacing w:line="400" w:lineRule="exact"/>
        <w:ind w:firstLine="420"/>
        <w:rPr>
          <w:color w:val="auto"/>
        </w:rPr>
      </w:pPr>
    </w:p>
    <w:p>
      <w:pPr>
        <w:spacing w:line="400" w:lineRule="exact"/>
        <w:ind w:firstLine="420"/>
        <w:rPr>
          <w:bCs/>
          <w:color w:val="auto"/>
        </w:rPr>
      </w:pPr>
      <w:r>
        <w:rPr>
          <w:rFonts w:hint="eastAsia"/>
          <w:color w:val="auto"/>
        </w:rPr>
        <w:t>标项名称：</w:t>
      </w:r>
      <w:r>
        <w:rPr>
          <w:rFonts w:hint="eastAsia" w:ascii="宋体" w:hAnsi="宋体"/>
          <w:color w:val="auto"/>
          <w:szCs w:val="21"/>
          <w:lang w:val="en-US" w:eastAsia="zh-CN"/>
        </w:rPr>
        <w:t>广西壮族自治区沿海公路发展中心机关2024-2026年物业管理服务</w:t>
      </w:r>
    </w:p>
    <w:p>
      <w:pPr>
        <w:spacing w:line="400" w:lineRule="exact"/>
        <w:ind w:firstLine="420"/>
        <w:rPr>
          <w:rFonts w:hint="eastAsia" w:eastAsia="宋体"/>
          <w:color w:val="auto"/>
          <w:lang w:val="en-US" w:eastAsia="zh-CN"/>
        </w:rPr>
      </w:pPr>
      <w:r>
        <w:rPr>
          <w:rFonts w:hint="eastAsia"/>
          <w:bCs/>
          <w:color w:val="auto"/>
        </w:rPr>
        <w:t>数量：</w:t>
      </w:r>
      <w:r>
        <w:rPr>
          <w:rFonts w:hint="eastAsia"/>
          <w:bCs/>
          <w:color w:val="auto"/>
          <w:lang w:val="en-US" w:eastAsia="zh-CN"/>
        </w:rPr>
        <w:t>1</w:t>
      </w:r>
    </w:p>
    <w:p>
      <w:pPr>
        <w:spacing w:line="400" w:lineRule="exact"/>
        <w:ind w:firstLine="420"/>
        <w:rPr>
          <w:color w:val="auto"/>
        </w:rPr>
      </w:pPr>
      <w:r>
        <w:rPr>
          <w:rFonts w:hint="eastAsia"/>
          <w:color w:val="auto"/>
        </w:rPr>
        <w:t>预算金额(元</w:t>
      </w:r>
      <w:r>
        <w:rPr>
          <w:color w:val="auto"/>
        </w:rPr>
        <w:t>)</w:t>
      </w:r>
      <w:r>
        <w:rPr>
          <w:rFonts w:hint="eastAsia"/>
          <w:color w:val="auto"/>
        </w:rPr>
        <w:t>：</w:t>
      </w:r>
      <w:r>
        <w:rPr>
          <w:rFonts w:hint="eastAsia"/>
          <w:color w:val="auto"/>
          <w:lang w:val="en-US" w:eastAsia="zh-CN"/>
        </w:rPr>
        <w:t>1520000.00</w:t>
      </w:r>
    </w:p>
    <w:p>
      <w:pPr>
        <w:spacing w:line="400" w:lineRule="exact"/>
        <w:ind w:firstLine="420"/>
        <w:rPr>
          <w:rFonts w:hint="default" w:eastAsia="宋体"/>
          <w:color w:val="auto"/>
          <w:lang w:val="en-US" w:eastAsia="zh-CN"/>
        </w:rPr>
      </w:pPr>
      <w:r>
        <w:rPr>
          <w:rFonts w:hint="eastAsia"/>
          <w:color w:val="auto"/>
        </w:rPr>
        <w:t>简要规格描述或项目基本概况介绍、用途：</w:t>
      </w:r>
      <w:r>
        <w:rPr>
          <w:rFonts w:hint="eastAsia"/>
          <w:color w:val="auto"/>
          <w:lang w:val="en-US" w:eastAsia="zh-CN"/>
        </w:rPr>
        <w:t>详见采购文件第二章《项目需求》</w:t>
      </w:r>
    </w:p>
    <w:p>
      <w:pPr>
        <w:spacing w:line="400" w:lineRule="exact"/>
        <w:ind w:firstLine="420"/>
        <w:rPr>
          <w:color w:val="auto"/>
        </w:rPr>
      </w:pPr>
      <w:r>
        <w:rPr>
          <w:rFonts w:hint="eastAsia"/>
          <w:color w:val="auto"/>
        </w:rPr>
        <w:t>最高限价(如有</w:t>
      </w:r>
      <w:r>
        <w:rPr>
          <w:color w:val="auto"/>
        </w:rPr>
        <w:t>)</w:t>
      </w:r>
      <w:r>
        <w:rPr>
          <w:rFonts w:hint="eastAsia"/>
          <w:color w:val="auto"/>
        </w:rPr>
        <w:t>：</w:t>
      </w:r>
    </w:p>
    <w:p>
      <w:pPr>
        <w:spacing w:line="400" w:lineRule="exact"/>
        <w:ind w:firstLine="420"/>
        <w:rPr>
          <w:rFonts w:hint="eastAsia" w:eastAsia="宋体"/>
          <w:color w:val="auto"/>
          <w:lang w:val="en-US" w:eastAsia="zh-CN"/>
        </w:rPr>
      </w:pPr>
      <w:r>
        <w:rPr>
          <w:rFonts w:hint="eastAsia"/>
          <w:color w:val="auto"/>
        </w:rPr>
        <w:t>合同履行期限：</w:t>
      </w:r>
      <w:r>
        <w:rPr>
          <w:rFonts w:hint="eastAsia"/>
          <w:color w:val="auto"/>
          <w:lang w:val="en-US" w:eastAsia="zh-CN"/>
        </w:rPr>
        <w:t>2年</w:t>
      </w:r>
    </w:p>
    <w:p>
      <w:pPr>
        <w:spacing w:line="400" w:lineRule="exact"/>
        <w:ind w:firstLine="420"/>
        <w:rPr>
          <w:color w:val="auto"/>
        </w:rPr>
      </w:pPr>
      <w:r>
        <w:rPr>
          <w:rFonts w:hint="eastAsia"/>
          <w:color w:val="auto"/>
        </w:rPr>
        <w:t>本标项</w:t>
      </w:r>
      <w:r>
        <w:rPr>
          <w:rFonts w:hint="eastAsia"/>
          <w:color w:val="auto"/>
          <w:lang w:val="en-US" w:eastAsia="zh-CN"/>
        </w:rPr>
        <w:t>（否）</w:t>
      </w:r>
      <w:r>
        <w:rPr>
          <w:rFonts w:hint="eastAsia"/>
          <w:color w:val="auto"/>
        </w:rPr>
        <w:t>接受联合体投标。</w:t>
      </w:r>
    </w:p>
    <w:p>
      <w:pPr>
        <w:spacing w:line="400" w:lineRule="exact"/>
        <w:ind w:firstLine="420"/>
        <w:rPr>
          <w:color w:val="auto"/>
        </w:rPr>
      </w:pPr>
      <w:r>
        <w:rPr>
          <w:rFonts w:hint="eastAsia"/>
          <w:color w:val="auto"/>
        </w:rPr>
        <w:t>备注：</w:t>
      </w:r>
    </w:p>
    <w:p>
      <w:pPr>
        <w:spacing w:line="400" w:lineRule="exact"/>
        <w:ind w:firstLine="420"/>
        <w:rPr>
          <w:color w:val="auto"/>
        </w:rPr>
      </w:pPr>
    </w:p>
    <w:p>
      <w:pPr>
        <w:spacing w:line="400" w:lineRule="exact"/>
        <w:rPr>
          <w:b/>
          <w:color w:val="auto"/>
        </w:rPr>
      </w:pPr>
      <w:bookmarkStart w:id="10" w:name="_Toc28359003"/>
      <w:bookmarkStart w:id="11" w:name="_Toc35393622"/>
      <w:bookmarkStart w:id="12" w:name="_Toc28359080"/>
      <w:bookmarkStart w:id="13" w:name="_Toc35393791"/>
      <w:r>
        <w:rPr>
          <w:rFonts w:hint="eastAsia"/>
          <w:b/>
          <w:color w:val="auto"/>
        </w:rPr>
        <w:t>二、申请人的资格要求：</w:t>
      </w:r>
      <w:bookmarkEnd w:id="10"/>
      <w:bookmarkEnd w:id="11"/>
      <w:bookmarkEnd w:id="12"/>
      <w:bookmarkEnd w:id="13"/>
      <w:bookmarkStart w:id="14" w:name="_Toc28359004"/>
      <w:bookmarkStart w:id="15" w:name="_Toc35393623"/>
      <w:bookmarkStart w:id="16" w:name="_Toc28359081"/>
      <w:bookmarkStart w:id="17" w:name="_Toc35393792"/>
    </w:p>
    <w:p>
      <w:pPr>
        <w:spacing w:line="400" w:lineRule="exact"/>
        <w:ind w:firstLine="420"/>
        <w:rPr>
          <w:b/>
          <w:color w:val="auto"/>
        </w:rPr>
      </w:pPr>
      <w:bookmarkStart w:id="18" w:name="_Hlk111714912"/>
      <w:r>
        <w:rPr>
          <w:rFonts w:hint="eastAsia"/>
          <w:color w:val="auto"/>
        </w:rPr>
        <w:t>1.满足《中华人民共和国政府采购法》第二十二条规定</w:t>
      </w:r>
    </w:p>
    <w:p>
      <w:pPr>
        <w:spacing w:line="400" w:lineRule="exact"/>
        <w:ind w:firstLine="420"/>
        <w:rPr>
          <w:rFonts w:ascii="宋体" w:hAnsi="宋体"/>
          <w:color w:val="auto"/>
          <w:szCs w:val="21"/>
        </w:rPr>
      </w:pPr>
      <w:r>
        <w:rPr>
          <w:rFonts w:hint="eastAsia"/>
          <w:color w:val="auto"/>
        </w:rPr>
        <w:t>2.落实政府采购政策需满足的资格要求：</w:t>
      </w:r>
      <w:r>
        <w:rPr>
          <w:rFonts w:hint="eastAsia"/>
          <w:color w:val="auto"/>
          <w:highlight w:val="none"/>
        </w:rPr>
        <w:t>本项目属于专门面向</w:t>
      </w:r>
      <w:r>
        <w:rPr>
          <w:rFonts w:hint="eastAsia"/>
          <w:color w:val="auto"/>
          <w:highlight w:val="none"/>
          <w:lang w:val="en-US" w:eastAsia="zh-CN"/>
        </w:rPr>
        <w:t>中小</w:t>
      </w:r>
      <w:r>
        <w:rPr>
          <w:rFonts w:hint="eastAsia"/>
          <w:color w:val="auto"/>
          <w:highlight w:val="none"/>
        </w:rPr>
        <w:t>企业项目，供应商应为</w:t>
      </w:r>
      <w:r>
        <w:rPr>
          <w:rFonts w:hint="eastAsia"/>
          <w:color w:val="auto"/>
          <w:highlight w:val="none"/>
          <w:lang w:val="en-US" w:eastAsia="zh-CN"/>
        </w:rPr>
        <w:t>中小</w:t>
      </w:r>
      <w:r>
        <w:rPr>
          <w:rFonts w:hint="eastAsia"/>
          <w:color w:val="auto"/>
          <w:highlight w:val="none"/>
        </w:rPr>
        <w:t>企业或监狱企业或残疾人福利性单位 </w:t>
      </w:r>
    </w:p>
    <w:p>
      <w:pPr>
        <w:spacing w:line="400" w:lineRule="exact"/>
        <w:ind w:firstLine="435"/>
        <w:rPr>
          <w:color w:val="auto"/>
        </w:rPr>
      </w:pPr>
      <w:r>
        <w:rPr>
          <w:rFonts w:hint="eastAsia"/>
          <w:color w:val="auto"/>
        </w:rPr>
        <w:t>3.本项目的特定资格要求：无</w:t>
      </w:r>
    </w:p>
    <w:bookmarkEnd w:id="18"/>
    <w:p>
      <w:pPr>
        <w:spacing w:line="400" w:lineRule="exact"/>
        <w:rPr>
          <w:b/>
          <w:color w:val="auto"/>
        </w:rPr>
      </w:pPr>
      <w:r>
        <w:rPr>
          <w:rFonts w:hint="eastAsia"/>
          <w:b/>
          <w:color w:val="auto"/>
        </w:rPr>
        <w:t>三、获取采购文件</w:t>
      </w:r>
      <w:bookmarkEnd w:id="14"/>
      <w:bookmarkEnd w:id="15"/>
      <w:bookmarkEnd w:id="16"/>
      <w:bookmarkEnd w:id="17"/>
    </w:p>
    <w:p>
      <w:pPr>
        <w:spacing w:line="400" w:lineRule="exact"/>
        <w:ind w:firstLine="420"/>
        <w:jc w:val="left"/>
        <w:rPr>
          <w:color w:val="auto"/>
        </w:rPr>
      </w:pPr>
      <w:bookmarkStart w:id="19" w:name="_Toc38370141"/>
      <w:r>
        <w:rPr>
          <w:rFonts w:hint="eastAsia"/>
          <w:color w:val="auto"/>
        </w:rPr>
        <w:t>时间：2024年</w:t>
      </w:r>
      <w:r>
        <w:rPr>
          <w:rFonts w:hint="eastAsia"/>
          <w:color w:val="auto"/>
          <w:lang w:val="en-US" w:eastAsia="zh-CN"/>
        </w:rPr>
        <w:t>6</w:t>
      </w:r>
      <w:r>
        <w:rPr>
          <w:rFonts w:hint="eastAsia"/>
          <w:color w:val="auto"/>
        </w:rPr>
        <w:t>月</w:t>
      </w:r>
      <w:r>
        <w:rPr>
          <w:rFonts w:hint="eastAsia"/>
          <w:color w:val="auto"/>
          <w:lang w:val="en-US" w:eastAsia="zh-CN"/>
        </w:rPr>
        <w:t>13</w:t>
      </w:r>
      <w:r>
        <w:rPr>
          <w:rFonts w:hint="eastAsia"/>
          <w:color w:val="auto"/>
        </w:rPr>
        <w:t>日至2024年</w:t>
      </w:r>
      <w:r>
        <w:rPr>
          <w:rFonts w:hint="eastAsia"/>
          <w:color w:val="auto"/>
          <w:lang w:val="en-US" w:eastAsia="zh-CN"/>
        </w:rPr>
        <w:t>6</w:t>
      </w:r>
      <w:r>
        <w:rPr>
          <w:rFonts w:hint="eastAsia"/>
          <w:color w:val="auto"/>
        </w:rPr>
        <w:t>月</w:t>
      </w:r>
      <w:r>
        <w:rPr>
          <w:rFonts w:hint="eastAsia"/>
          <w:color w:val="auto"/>
          <w:lang w:val="en-US" w:eastAsia="zh-CN"/>
        </w:rPr>
        <w:t>20</w:t>
      </w:r>
      <w:r>
        <w:rPr>
          <w:rFonts w:hint="eastAsia"/>
          <w:color w:val="auto"/>
        </w:rPr>
        <w:t>日，每天上午00:00至12:00，下午12:00至23:59（北京时间，法定节假日除外）</w:t>
      </w:r>
    </w:p>
    <w:p>
      <w:pPr>
        <w:spacing w:line="400" w:lineRule="exact"/>
        <w:ind w:firstLine="420"/>
        <w:rPr>
          <w:color w:val="auto"/>
        </w:rPr>
      </w:pPr>
      <w:r>
        <w:rPr>
          <w:rFonts w:hint="eastAsia"/>
          <w:color w:val="auto"/>
        </w:rPr>
        <w:t>地点(网址</w:t>
      </w:r>
      <w:r>
        <w:rPr>
          <w:color w:val="auto"/>
        </w:rPr>
        <w:t>)</w:t>
      </w:r>
      <w:r>
        <w:rPr>
          <w:rFonts w:hint="eastAsia"/>
          <w:color w:val="auto"/>
        </w:rPr>
        <w:t>：</w:t>
      </w:r>
      <w:bookmarkStart w:id="20" w:name="_Hlk164066481"/>
      <w:r>
        <w:rPr>
          <w:rFonts w:hint="eastAsia" w:ascii="宋体" w:hAnsi="宋体"/>
          <w:color w:val="auto"/>
          <w:szCs w:val="21"/>
        </w:rPr>
        <w:t>广西政府采购云平台（https://www.gcy.zfcg.gxzf.gov.cn/）</w:t>
      </w:r>
      <w:bookmarkEnd w:id="20"/>
    </w:p>
    <w:p>
      <w:pPr>
        <w:spacing w:line="400" w:lineRule="exact"/>
        <w:ind w:firstLine="420"/>
        <w:rPr>
          <w:color w:val="auto"/>
        </w:rPr>
      </w:pPr>
      <w:r>
        <w:rPr>
          <w:rFonts w:hint="eastAsia"/>
          <w:color w:val="auto"/>
        </w:rPr>
        <w:t>方式：供应商登录广西政府采购云平台(以下称“政采云平台”)在线获取采购文件（进入“项目采购”应用选择项目，获取采购文件）</w:t>
      </w:r>
    </w:p>
    <w:p>
      <w:pPr>
        <w:spacing w:line="400" w:lineRule="exact"/>
        <w:ind w:firstLine="420"/>
        <w:rPr>
          <w:color w:val="auto"/>
        </w:rPr>
      </w:pPr>
      <w:r>
        <w:rPr>
          <w:rFonts w:hint="eastAsia"/>
          <w:color w:val="auto"/>
        </w:rPr>
        <w:t>售价(元</w:t>
      </w:r>
      <w:r>
        <w:rPr>
          <w:color w:val="auto"/>
        </w:rPr>
        <w:t>)</w:t>
      </w:r>
      <w:r>
        <w:rPr>
          <w:rFonts w:hint="eastAsia"/>
          <w:color w:val="auto"/>
        </w:rPr>
        <w:t>：0</w:t>
      </w:r>
    </w:p>
    <w:p>
      <w:pPr>
        <w:spacing w:line="400" w:lineRule="exact"/>
        <w:rPr>
          <w:b/>
          <w:color w:val="auto"/>
        </w:rPr>
      </w:pPr>
      <w:r>
        <w:rPr>
          <w:rFonts w:hint="eastAsia"/>
          <w:b/>
          <w:bCs/>
          <w:color w:val="auto"/>
        </w:rPr>
        <w:t>四、</w:t>
      </w:r>
      <w:bookmarkEnd w:id="19"/>
      <w:bookmarkStart w:id="21" w:name="_Toc28359005"/>
      <w:bookmarkStart w:id="22" w:name="_Toc28359082"/>
      <w:bookmarkStart w:id="23" w:name="_Toc35393793"/>
      <w:bookmarkStart w:id="24" w:name="_Toc35393624"/>
      <w:r>
        <w:rPr>
          <w:rFonts w:hint="eastAsia"/>
          <w:b/>
          <w:color w:val="auto"/>
        </w:rPr>
        <w:t>响应文件</w:t>
      </w:r>
      <w:bookmarkEnd w:id="21"/>
      <w:bookmarkEnd w:id="22"/>
      <w:r>
        <w:rPr>
          <w:rFonts w:hint="eastAsia"/>
          <w:b/>
          <w:color w:val="auto"/>
        </w:rPr>
        <w:t>提交</w:t>
      </w:r>
      <w:bookmarkEnd w:id="23"/>
      <w:bookmarkEnd w:id="24"/>
    </w:p>
    <w:p>
      <w:pPr>
        <w:spacing w:line="400" w:lineRule="exact"/>
        <w:ind w:firstLine="420"/>
        <w:rPr>
          <w:color w:val="auto"/>
        </w:rPr>
      </w:pPr>
      <w:r>
        <w:rPr>
          <w:rFonts w:hint="eastAsia"/>
          <w:color w:val="auto"/>
        </w:rPr>
        <w:t>截止时间：2024年</w:t>
      </w:r>
      <w:r>
        <w:rPr>
          <w:rFonts w:hint="eastAsia"/>
          <w:color w:val="auto"/>
          <w:lang w:val="en-US" w:eastAsia="zh-CN"/>
        </w:rPr>
        <w:t>6</w:t>
      </w:r>
      <w:r>
        <w:rPr>
          <w:rFonts w:hint="eastAsia"/>
          <w:color w:val="auto"/>
        </w:rPr>
        <w:t>月</w:t>
      </w:r>
      <w:r>
        <w:rPr>
          <w:rFonts w:hint="eastAsia"/>
          <w:color w:val="auto"/>
          <w:lang w:val="en-US" w:eastAsia="zh-CN"/>
        </w:rPr>
        <w:t>25</w:t>
      </w:r>
      <w:r>
        <w:rPr>
          <w:rFonts w:hint="eastAsia"/>
          <w:color w:val="auto"/>
        </w:rPr>
        <w:t>日</w:t>
      </w:r>
      <w:r>
        <w:rPr>
          <w:color w:val="auto"/>
        </w:rPr>
        <w:t>09:30</w:t>
      </w:r>
      <w:r>
        <w:rPr>
          <w:rFonts w:hint="eastAsia"/>
          <w:color w:val="auto"/>
        </w:rPr>
        <w:t>（北京时间）</w:t>
      </w:r>
    </w:p>
    <w:p>
      <w:pPr>
        <w:spacing w:line="400" w:lineRule="exact"/>
        <w:ind w:firstLine="420"/>
        <w:rPr>
          <w:rFonts w:ascii="宋体" w:hAnsi="宋体" w:cs="Courier New"/>
          <w:color w:val="auto"/>
          <w:szCs w:val="21"/>
        </w:rPr>
      </w:pPr>
      <w:r>
        <w:rPr>
          <w:rFonts w:hint="eastAsia"/>
          <w:color w:val="auto"/>
        </w:rPr>
        <w:t>地点(网址）：</w:t>
      </w:r>
      <w:r>
        <w:rPr>
          <w:rFonts w:hint="eastAsia" w:ascii="宋体" w:hAnsi="宋体"/>
          <w:color w:val="auto"/>
          <w:szCs w:val="21"/>
        </w:rPr>
        <w:t>广西政府采购云平台（https://www.gcy.zfcg.gxzf.gov.cn/）</w:t>
      </w:r>
    </w:p>
    <w:p>
      <w:pPr>
        <w:spacing w:line="400" w:lineRule="exact"/>
        <w:rPr>
          <w:rFonts w:ascii="宋体" w:hAnsi="宋体" w:cs="Courier New"/>
          <w:b/>
          <w:bCs/>
          <w:color w:val="auto"/>
          <w:szCs w:val="21"/>
        </w:rPr>
      </w:pPr>
      <w:r>
        <w:rPr>
          <w:rFonts w:hint="eastAsia" w:ascii="宋体" w:hAnsi="宋体" w:cs="Courier New"/>
          <w:b/>
          <w:bCs/>
          <w:color w:val="auto"/>
          <w:szCs w:val="21"/>
        </w:rPr>
        <w:t>五、响应文件开启</w:t>
      </w:r>
    </w:p>
    <w:p>
      <w:pPr>
        <w:spacing w:line="400" w:lineRule="exact"/>
        <w:ind w:firstLine="420" w:firstLineChars="200"/>
        <w:rPr>
          <w:rFonts w:ascii="宋体" w:hAnsi="宋体" w:cs="Courier New"/>
          <w:color w:val="auto"/>
          <w:szCs w:val="21"/>
        </w:rPr>
      </w:pPr>
      <w:r>
        <w:rPr>
          <w:rFonts w:hint="eastAsia" w:ascii="宋体" w:hAnsi="宋体" w:cs="Courier New"/>
          <w:color w:val="auto"/>
          <w:szCs w:val="21"/>
        </w:rPr>
        <w:t>开启时间：</w:t>
      </w:r>
      <w:r>
        <w:rPr>
          <w:rFonts w:hint="eastAsia"/>
          <w:color w:val="auto"/>
        </w:rPr>
        <w:t>2024年</w:t>
      </w:r>
      <w:r>
        <w:rPr>
          <w:rFonts w:hint="eastAsia"/>
          <w:color w:val="auto"/>
          <w:lang w:val="en-US" w:eastAsia="zh-CN"/>
        </w:rPr>
        <w:t>6</w:t>
      </w:r>
      <w:r>
        <w:rPr>
          <w:rFonts w:hint="eastAsia"/>
          <w:color w:val="auto"/>
        </w:rPr>
        <w:t>月</w:t>
      </w:r>
      <w:r>
        <w:rPr>
          <w:rFonts w:hint="eastAsia"/>
          <w:color w:val="auto"/>
          <w:lang w:val="en-US" w:eastAsia="zh-CN"/>
        </w:rPr>
        <w:t>25</w:t>
      </w:r>
      <w:r>
        <w:rPr>
          <w:rFonts w:hint="eastAsia"/>
          <w:color w:val="auto"/>
        </w:rPr>
        <w:t>日</w:t>
      </w:r>
      <w:r>
        <w:rPr>
          <w:color w:val="auto"/>
        </w:rPr>
        <w:t>09:30</w:t>
      </w:r>
      <w:r>
        <w:rPr>
          <w:rFonts w:hint="eastAsia"/>
          <w:color w:val="auto"/>
        </w:rPr>
        <w:t>（北京时间）</w:t>
      </w:r>
      <w:bookmarkStart w:id="213" w:name="_GoBack"/>
      <w:bookmarkEnd w:id="213"/>
    </w:p>
    <w:p>
      <w:pPr>
        <w:spacing w:line="400" w:lineRule="exact"/>
        <w:ind w:firstLine="420"/>
        <w:rPr>
          <w:rFonts w:ascii="宋体" w:hAnsi="宋体" w:cs="Courier New"/>
          <w:color w:val="auto"/>
          <w:szCs w:val="21"/>
        </w:rPr>
      </w:pPr>
      <w:r>
        <w:rPr>
          <w:rFonts w:hint="eastAsia" w:ascii="宋体" w:hAnsi="宋体" w:cs="Courier New"/>
          <w:color w:val="auto"/>
          <w:szCs w:val="21"/>
        </w:rPr>
        <w:t>地点：</w:t>
      </w:r>
      <w:bookmarkStart w:id="25" w:name="_Toc35393625"/>
      <w:bookmarkStart w:id="26" w:name="_Toc28359007"/>
      <w:bookmarkStart w:id="27" w:name="_Toc28359084"/>
      <w:bookmarkStart w:id="28" w:name="_Toc35393794"/>
      <w:r>
        <w:rPr>
          <w:rFonts w:hint="eastAsia"/>
          <w:color w:val="auto"/>
        </w:rPr>
        <w:t>广西钦州市金海湾东大街8号市政务服务中心三楼开标室</w:t>
      </w:r>
    </w:p>
    <w:p>
      <w:pPr>
        <w:spacing w:line="400" w:lineRule="exact"/>
        <w:rPr>
          <w:b/>
          <w:color w:val="auto"/>
        </w:rPr>
      </w:pPr>
      <w:r>
        <w:rPr>
          <w:rFonts w:hint="eastAsia"/>
          <w:b/>
          <w:color w:val="auto"/>
        </w:rPr>
        <w:t>六、公告期限</w:t>
      </w:r>
      <w:bookmarkEnd w:id="25"/>
      <w:bookmarkEnd w:id="26"/>
      <w:bookmarkEnd w:id="27"/>
      <w:bookmarkEnd w:id="28"/>
    </w:p>
    <w:p>
      <w:pPr>
        <w:spacing w:line="400" w:lineRule="exact"/>
        <w:ind w:firstLine="420"/>
        <w:rPr>
          <w:color w:val="auto"/>
        </w:rPr>
      </w:pPr>
      <w:r>
        <w:rPr>
          <w:rFonts w:hint="eastAsia"/>
          <w:color w:val="auto"/>
        </w:rPr>
        <w:t>自本公告发布之日起</w:t>
      </w:r>
      <w:r>
        <w:rPr>
          <w:color w:val="auto"/>
        </w:rPr>
        <w:t>5</w:t>
      </w:r>
      <w:r>
        <w:rPr>
          <w:rFonts w:hint="eastAsia"/>
          <w:color w:val="auto"/>
        </w:rPr>
        <w:t>个工作日。</w:t>
      </w:r>
    </w:p>
    <w:p>
      <w:pPr>
        <w:spacing w:line="400" w:lineRule="exact"/>
        <w:rPr>
          <w:b/>
          <w:color w:val="auto"/>
        </w:rPr>
      </w:pPr>
      <w:bookmarkStart w:id="29" w:name="_Toc35393796"/>
      <w:bookmarkStart w:id="30" w:name="_Toc28359085"/>
      <w:bookmarkStart w:id="31" w:name="_Toc35393627"/>
      <w:bookmarkStart w:id="32" w:name="_Toc28359008"/>
      <w:r>
        <w:rPr>
          <w:rFonts w:hint="eastAsia"/>
          <w:b/>
          <w:color w:val="auto"/>
        </w:rPr>
        <w:t>七、其他补充事宜</w:t>
      </w:r>
    </w:p>
    <w:p>
      <w:pPr>
        <w:spacing w:line="400" w:lineRule="exact"/>
        <w:ind w:firstLine="420"/>
        <w:rPr>
          <w:b/>
          <w:color w:val="auto"/>
        </w:rPr>
      </w:pPr>
      <w:r>
        <w:rPr>
          <w:rFonts w:hint="eastAsia"/>
          <w:color w:val="auto"/>
        </w:rPr>
        <w:t>1</w:t>
      </w:r>
      <w:r>
        <w:rPr>
          <w:color w:val="auto"/>
        </w:rPr>
        <w:t>.</w:t>
      </w:r>
      <w:r>
        <w:rPr>
          <w:rFonts w:hint="eastAsia"/>
          <w:bCs/>
          <w:color w:val="auto"/>
        </w:rPr>
        <w:t>本项目须要落实的政府采购政策</w:t>
      </w:r>
      <w:r>
        <w:rPr>
          <w:rFonts w:hint="eastAsia"/>
          <w:b/>
          <w:color w:val="auto"/>
        </w:rPr>
        <w:t>：</w:t>
      </w:r>
    </w:p>
    <w:p>
      <w:pPr>
        <w:spacing w:line="400" w:lineRule="exact"/>
        <w:ind w:firstLine="420"/>
        <w:rPr>
          <w:rFonts w:hint="eastAsia"/>
          <w:color w:val="auto"/>
        </w:rPr>
      </w:pPr>
      <w:r>
        <w:rPr>
          <w:rFonts w:hint="eastAsia"/>
          <w:color w:val="auto"/>
        </w:rPr>
        <w:t>(1)财政部 工业和信息化部关于印发《政府采购促进中小企业发展管理办法》的通知(财库﹝2020﹞46号)</w:t>
      </w:r>
    </w:p>
    <w:p>
      <w:pPr>
        <w:spacing w:line="400" w:lineRule="exact"/>
        <w:ind w:firstLine="420"/>
        <w:rPr>
          <w:rFonts w:hint="eastAsia"/>
          <w:color w:val="auto"/>
        </w:rPr>
      </w:pPr>
      <w:r>
        <w:rPr>
          <w:rFonts w:hint="eastAsia"/>
          <w:color w:val="auto"/>
        </w:rPr>
        <w:t>(2)财政部 司法部关于政府采购支持监狱企业发展有关问题的通知 (财库﹝2014﹞68号)</w:t>
      </w:r>
    </w:p>
    <w:p>
      <w:pPr>
        <w:spacing w:line="400" w:lineRule="exact"/>
        <w:ind w:firstLine="420"/>
        <w:rPr>
          <w:rFonts w:hint="eastAsia"/>
          <w:color w:val="auto"/>
        </w:rPr>
      </w:pPr>
      <w:r>
        <w:rPr>
          <w:rFonts w:hint="eastAsia"/>
          <w:color w:val="auto"/>
        </w:rPr>
        <w:t>(3)财政部 民政部 中国残疾人联合会关于促进残疾人就业政府采购政策的通知 (财库﹝2017﹞141号)</w:t>
      </w:r>
    </w:p>
    <w:p>
      <w:pPr>
        <w:spacing w:line="400" w:lineRule="exact"/>
        <w:ind w:firstLine="420"/>
        <w:rPr>
          <w:rFonts w:hint="default" w:eastAsia="宋体"/>
          <w:b/>
          <w:color w:val="auto"/>
          <w:lang w:val="en-US" w:eastAsia="zh-CN"/>
        </w:rPr>
      </w:pPr>
      <w:r>
        <w:rPr>
          <w:color w:val="auto"/>
        </w:rPr>
        <w:t>2.</w:t>
      </w:r>
      <w:r>
        <w:rPr>
          <w:rFonts w:hint="eastAsia"/>
          <w:color w:val="auto"/>
        </w:rPr>
        <w:t>磋商保证金：</w:t>
      </w:r>
      <w:r>
        <w:rPr>
          <w:rFonts w:hint="eastAsia"/>
          <w:color w:val="auto"/>
          <w:lang w:val="en-US" w:eastAsia="zh-CN"/>
        </w:rPr>
        <w:t>10000.00元。</w:t>
      </w:r>
    </w:p>
    <w:p>
      <w:pPr>
        <w:spacing w:line="400" w:lineRule="exact"/>
        <w:ind w:firstLine="420"/>
        <w:rPr>
          <w:color w:val="auto"/>
        </w:rPr>
      </w:pPr>
      <w:r>
        <w:rPr>
          <w:rFonts w:hint="eastAsia"/>
          <w:color w:val="auto"/>
        </w:rPr>
        <w:t>提交形式:以支票、汇票、本票、网上银行支付或者金融机构、担保机构出具的保函等非现金形式提交。</w:t>
      </w:r>
    </w:p>
    <w:p>
      <w:pPr>
        <w:spacing w:line="400" w:lineRule="exact"/>
        <w:ind w:firstLine="420"/>
        <w:rPr>
          <w:b/>
          <w:color w:val="auto"/>
        </w:rPr>
      </w:pPr>
      <w:bookmarkStart w:id="33" w:name="_Hlk91771226"/>
      <w:r>
        <w:rPr>
          <w:rFonts w:hint="eastAsia"/>
          <w:color w:val="auto"/>
        </w:rPr>
        <w:t>以支票、汇票、本票、保函等方式提交保证金的，供应商必须将票据、保函等原件</w:t>
      </w:r>
      <w:bookmarkStart w:id="34" w:name="_Hlk92356410"/>
      <w:r>
        <w:rPr>
          <w:rFonts w:hint="eastAsia"/>
          <w:color w:val="auto"/>
        </w:rPr>
        <w:t>于响应文件</w:t>
      </w:r>
      <w:bookmarkEnd w:id="34"/>
      <w:r>
        <w:rPr>
          <w:rFonts w:hint="eastAsia"/>
          <w:color w:val="auto"/>
        </w:rPr>
        <w:t>提交截止时间前递交至本中心财务室（</w:t>
      </w:r>
      <w:r>
        <w:rPr>
          <w:rFonts w:hint="eastAsia" w:ascii="宋体" w:hAnsi="宋体" w:cs="宋体"/>
          <w:bCs/>
          <w:color w:val="auto"/>
          <w:kern w:val="0"/>
          <w:szCs w:val="21"/>
        </w:rPr>
        <w:t>地址:广西钦州市钦南区水东街区金海湾东大街8号市政务服务中心二楼市采购中心财务室，</w:t>
      </w:r>
      <w:r>
        <w:rPr>
          <w:rFonts w:hint="eastAsia"/>
          <w:color w:val="auto"/>
        </w:rPr>
        <w:t>联系方式:0</w:t>
      </w:r>
      <w:r>
        <w:rPr>
          <w:color w:val="auto"/>
        </w:rPr>
        <w:t>777</w:t>
      </w:r>
      <w:r>
        <w:rPr>
          <w:rFonts w:hint="eastAsia"/>
          <w:color w:val="auto"/>
        </w:rPr>
        <w:t>-</w:t>
      </w:r>
      <w:r>
        <w:rPr>
          <w:color w:val="auto"/>
        </w:rPr>
        <w:t>2886026</w:t>
      </w:r>
      <w:r>
        <w:rPr>
          <w:rFonts w:hint="eastAsia"/>
          <w:color w:val="auto"/>
        </w:rPr>
        <w:t>）。</w:t>
      </w:r>
    </w:p>
    <w:bookmarkEnd w:id="33"/>
    <w:p>
      <w:pPr>
        <w:spacing w:line="400" w:lineRule="exact"/>
        <w:ind w:firstLine="420"/>
        <w:rPr>
          <w:color w:val="auto"/>
        </w:rPr>
      </w:pPr>
      <w:r>
        <w:rPr>
          <w:rFonts w:hint="eastAsia"/>
          <w:color w:val="auto"/>
        </w:rPr>
        <w:t>网上银行支付形式提交的，供应商必须于响应文件提交截止时间前从供应商账户缴存至本中心银行账户（以到账时间为准）。</w:t>
      </w:r>
    </w:p>
    <w:p>
      <w:pPr>
        <w:spacing w:line="400" w:lineRule="exact"/>
        <w:ind w:firstLine="420"/>
        <w:rPr>
          <w:color w:val="auto"/>
        </w:rPr>
      </w:pPr>
      <w:r>
        <w:rPr>
          <w:rFonts w:hint="eastAsia"/>
          <w:color w:val="auto"/>
        </w:rPr>
        <w:t>本中心银行账户：</w:t>
      </w:r>
    </w:p>
    <w:p>
      <w:pPr>
        <w:spacing w:line="400" w:lineRule="exact"/>
        <w:ind w:firstLine="420"/>
        <w:rPr>
          <w:color w:val="auto"/>
        </w:rPr>
      </w:pPr>
      <w:r>
        <w:rPr>
          <w:rFonts w:hint="eastAsia"/>
          <w:color w:val="auto"/>
        </w:rPr>
        <w:t>开户名称:钦州市政府采购中心</w:t>
      </w:r>
    </w:p>
    <w:p>
      <w:pPr>
        <w:spacing w:line="400" w:lineRule="exact"/>
        <w:ind w:firstLine="420"/>
        <w:rPr>
          <w:color w:val="auto"/>
        </w:rPr>
      </w:pPr>
      <w:r>
        <w:rPr>
          <w:rFonts w:hint="eastAsia"/>
          <w:color w:val="auto"/>
        </w:rPr>
        <w:t>开户银行:中国工商银行股份有限公司钦州市永福东支行</w:t>
      </w:r>
    </w:p>
    <w:p>
      <w:pPr>
        <w:spacing w:line="400" w:lineRule="exact"/>
        <w:ind w:firstLine="420"/>
        <w:rPr>
          <w:color w:val="auto"/>
        </w:rPr>
      </w:pPr>
      <w:r>
        <w:rPr>
          <w:rFonts w:hint="eastAsia"/>
          <w:color w:val="auto"/>
        </w:rPr>
        <w:t>银行账号:2115591229100078724</w:t>
      </w:r>
    </w:p>
    <w:p>
      <w:pPr>
        <w:spacing w:line="400" w:lineRule="exact"/>
        <w:ind w:firstLine="420"/>
        <w:rPr>
          <w:color w:val="auto"/>
        </w:rPr>
      </w:pPr>
      <w:r>
        <w:rPr>
          <w:rFonts w:hint="eastAsia"/>
          <w:color w:val="auto"/>
        </w:rPr>
        <w:t>注：供应商无法选择以上开户银行的，请选择“中国工商银行股份有限公司钦州分行”进行缴存。</w:t>
      </w:r>
    </w:p>
    <w:p>
      <w:pPr>
        <w:spacing w:line="400" w:lineRule="exact"/>
        <w:ind w:firstLine="420"/>
        <w:rPr>
          <w:color w:val="auto"/>
        </w:rPr>
      </w:pPr>
      <w:r>
        <w:rPr>
          <w:color w:val="auto"/>
        </w:rPr>
        <w:t>3.</w:t>
      </w:r>
      <w:bookmarkStart w:id="35" w:name="_Hlk91598380"/>
      <w:r>
        <w:rPr>
          <w:rFonts w:hint="eastAsia"/>
          <w:color w:val="auto"/>
        </w:rPr>
        <w:t>全流程电子化</w:t>
      </w:r>
      <w:bookmarkEnd w:id="35"/>
      <w:r>
        <w:rPr>
          <w:rFonts w:hint="eastAsia"/>
          <w:color w:val="auto"/>
        </w:rPr>
        <w:t>要求：</w:t>
      </w:r>
    </w:p>
    <w:p>
      <w:pPr>
        <w:spacing w:line="400" w:lineRule="exact"/>
        <w:ind w:firstLine="420"/>
        <w:rPr>
          <w:color w:val="auto"/>
        </w:rPr>
      </w:pPr>
      <w:r>
        <w:rPr>
          <w:rFonts w:hint="eastAsia"/>
          <w:color w:val="auto"/>
        </w:rPr>
        <w:t>本项目为全流程电子化项目，供应商应做好参与全流程电子化交易的充分准备，熟悉掌握电子化采购项目操作指南</w:t>
      </w:r>
      <w:bookmarkStart w:id="36" w:name="_Hlk147760538"/>
      <w:r>
        <w:rPr>
          <w:rFonts w:hint="eastAsia"/>
          <w:color w:val="auto"/>
        </w:rPr>
        <w:t>(操作指南：</w:t>
      </w:r>
      <w:r>
        <w:rPr>
          <w:color w:val="auto"/>
        </w:rPr>
        <w:fldChar w:fldCharType="begin"/>
      </w:r>
      <w:r>
        <w:rPr>
          <w:color w:val="auto"/>
        </w:rPr>
        <w:instrText xml:space="preserve"> HYPERLINK "https://helpcenter.zcygov.cn/document/" \l "/document/dashboard?siteCode=beijing&amp;channel=dt" </w:instrText>
      </w:r>
      <w:r>
        <w:rPr>
          <w:color w:val="auto"/>
        </w:rPr>
        <w:fldChar w:fldCharType="separate"/>
      </w:r>
      <w:r>
        <w:rPr>
          <w:rStyle w:val="43"/>
          <w:rFonts w:hint="eastAsia"/>
          <w:color w:val="auto"/>
        </w:rPr>
        <w:t>政采云电子卖场首页右上角—服务中心—帮助文档—项目采购</w:t>
      </w:r>
      <w:r>
        <w:rPr>
          <w:rStyle w:val="43"/>
          <w:rFonts w:hint="eastAsia"/>
          <w:color w:val="auto"/>
        </w:rPr>
        <w:fldChar w:fldCharType="end"/>
      </w:r>
      <w:r>
        <w:rPr>
          <w:rFonts w:hint="eastAsia"/>
          <w:color w:val="auto"/>
        </w:rPr>
        <w:t>)，及时完成CA申领和绑定(操作指南：</w:t>
      </w:r>
      <w:r>
        <w:rPr>
          <w:color w:val="auto"/>
        </w:rPr>
        <w:fldChar w:fldCharType="begin"/>
      </w:r>
      <w:r>
        <w:rPr>
          <w:color w:val="auto"/>
        </w:rPr>
        <w:instrText xml:space="preserve"> HYPERLINK "https://helpcenter.zcygov.cn/document/" \l "/document/detail?siteCode=beijing&amp;manualId=795&amp;topicId=4081" </w:instrText>
      </w:r>
      <w:r>
        <w:rPr>
          <w:color w:val="auto"/>
        </w:rPr>
        <w:fldChar w:fldCharType="separate"/>
      </w:r>
      <w:r>
        <w:rPr>
          <w:rStyle w:val="43"/>
          <w:rFonts w:hint="eastAsia"/>
          <w:color w:val="auto"/>
        </w:rPr>
        <w:t>政采云电子卖场首页右上角—帮助文档—入驻与配置—CA管理</w:t>
      </w:r>
      <w:r>
        <w:rPr>
          <w:rStyle w:val="43"/>
          <w:rFonts w:hint="eastAsia"/>
          <w:color w:val="auto"/>
        </w:rPr>
        <w:fldChar w:fldCharType="end"/>
      </w:r>
      <w:r>
        <w:rPr>
          <w:rFonts w:hint="eastAsia"/>
          <w:color w:val="auto"/>
        </w:rPr>
        <w:t>；CA证书申领路径：</w:t>
      </w:r>
      <w:r>
        <w:rPr>
          <w:color w:val="auto"/>
        </w:rPr>
        <w:fldChar w:fldCharType="begin"/>
      </w:r>
      <w:r>
        <w:rPr>
          <w:color w:val="auto"/>
        </w:rPr>
        <w:instrText xml:space="preserve"> HYPERLINK "https://helpcenter.zcygov.cn/document/" \l "/document/detail?siteCode=beijing&amp;manualId=795&amp;topicId=4083" </w:instrText>
      </w:r>
      <w:r>
        <w:rPr>
          <w:color w:val="auto"/>
        </w:rPr>
        <w:fldChar w:fldCharType="separate"/>
      </w:r>
      <w:r>
        <w:rPr>
          <w:rStyle w:val="43"/>
          <w:rFonts w:hint="eastAsia"/>
          <w:color w:val="auto"/>
        </w:rPr>
        <w:t>政采云平台—我的工作台右上角—CA管理—CA证书申领</w:t>
      </w:r>
      <w:r>
        <w:rPr>
          <w:rStyle w:val="43"/>
          <w:rFonts w:hint="eastAsia"/>
          <w:color w:val="auto"/>
        </w:rPr>
        <w:fldChar w:fldCharType="end"/>
      </w:r>
      <w:r>
        <w:rPr>
          <w:rFonts w:hint="eastAsia"/>
          <w:color w:val="auto"/>
        </w:rPr>
        <w:t>)</w:t>
      </w:r>
      <w:bookmarkEnd w:id="36"/>
      <w:r>
        <w:rPr>
          <w:rFonts w:hint="eastAsia"/>
          <w:color w:val="auto"/>
        </w:rPr>
        <w:t>。因未注册入库、未办理CA数字证书、CA证书故障、操作不当等原因造成谈判失败等后果由供应商承担。</w:t>
      </w:r>
    </w:p>
    <w:p>
      <w:pPr>
        <w:spacing w:line="400" w:lineRule="exact"/>
        <w:ind w:firstLine="420"/>
        <w:rPr>
          <w:color w:val="auto"/>
        </w:rPr>
      </w:pPr>
      <w:r>
        <w:rPr>
          <w:color w:val="auto"/>
        </w:rPr>
        <w:t>(1)</w:t>
      </w:r>
      <w:r>
        <w:rPr>
          <w:rFonts w:hint="eastAsia"/>
          <w:color w:val="auto"/>
        </w:rPr>
        <w:t>依法获取采购文件：供应商须在获取采购文件时间内登录</w:t>
      </w:r>
      <w:r>
        <w:rPr>
          <w:color w:val="auto"/>
        </w:rPr>
        <w:fldChar w:fldCharType="begin"/>
      </w:r>
      <w:r>
        <w:rPr>
          <w:color w:val="auto"/>
        </w:rPr>
        <w:instrText xml:space="preserve"> HYPERLINK "https://www.zcygov.cn/" </w:instrText>
      </w:r>
      <w:r>
        <w:rPr>
          <w:color w:val="auto"/>
        </w:rPr>
        <w:fldChar w:fldCharType="separate"/>
      </w:r>
      <w:r>
        <w:rPr>
          <w:rStyle w:val="43"/>
          <w:rFonts w:hint="eastAsia"/>
          <w:color w:val="auto"/>
        </w:rPr>
        <w:t>政府采购云平台</w:t>
      </w:r>
      <w:r>
        <w:rPr>
          <w:rStyle w:val="43"/>
          <w:rFonts w:hint="eastAsia"/>
          <w:color w:val="auto"/>
        </w:rPr>
        <w:fldChar w:fldCharType="end"/>
      </w:r>
      <w:r>
        <w:rPr>
          <w:rFonts w:hint="eastAsia"/>
          <w:color w:val="auto"/>
        </w:rPr>
        <w:t>申请下载采购文件才视作依法获取采购文件。</w:t>
      </w:r>
    </w:p>
    <w:p>
      <w:pPr>
        <w:spacing w:line="400" w:lineRule="exact"/>
        <w:ind w:firstLine="420"/>
        <w:rPr>
          <w:b/>
          <w:color w:val="auto"/>
        </w:rPr>
      </w:pPr>
      <w:r>
        <w:rPr>
          <w:rFonts w:hint="eastAsia"/>
          <w:color w:val="auto"/>
        </w:rPr>
        <w:t>(</w:t>
      </w:r>
      <w:r>
        <w:rPr>
          <w:color w:val="auto"/>
        </w:rPr>
        <w:t>2)</w:t>
      </w:r>
      <w:r>
        <w:rPr>
          <w:rFonts w:hint="eastAsia"/>
          <w:color w:val="auto"/>
        </w:rPr>
        <w:t>供应商应通过广西政府采购云平台客户端制作响应文件，供应商自行前往下载安装（</w:t>
      </w:r>
      <w:r>
        <w:rPr>
          <w:color w:val="auto"/>
        </w:rPr>
        <w:fldChar w:fldCharType="begin"/>
      </w:r>
      <w:r>
        <w:rPr>
          <w:color w:val="auto"/>
        </w:rPr>
        <w:instrText xml:space="preserve"> HYPERLINK "https://sitecdn.zcycdn.com/zcy-client/bidding-client-new/official/guangxi/GuangXiSetup.exe" </w:instrText>
      </w:r>
      <w:r>
        <w:rPr>
          <w:color w:val="auto"/>
        </w:rPr>
        <w:fldChar w:fldCharType="separate"/>
      </w:r>
      <w:r>
        <w:rPr>
          <w:rFonts w:hint="eastAsia"/>
          <w:color w:val="auto"/>
        </w:rPr>
        <w:t>客户端下载</w:t>
      </w:r>
      <w:r>
        <w:rPr>
          <w:rFonts w:hint="eastAsia"/>
          <w:color w:val="auto"/>
        </w:rPr>
        <w:fldChar w:fldCharType="end"/>
      </w:r>
      <w:r>
        <w:rPr>
          <w:rFonts w:hint="eastAsia"/>
          <w:color w:val="auto"/>
        </w:rPr>
        <w:t>）。</w:t>
      </w:r>
    </w:p>
    <w:p>
      <w:pPr>
        <w:spacing w:line="400" w:lineRule="exact"/>
        <w:ind w:firstLine="420"/>
        <w:rPr>
          <w:color w:val="auto"/>
        </w:rPr>
      </w:pPr>
      <w:r>
        <w:rPr>
          <w:rFonts w:hint="eastAsia"/>
          <w:color w:val="auto"/>
        </w:rPr>
        <w:t>(</w:t>
      </w:r>
      <w:r>
        <w:rPr>
          <w:color w:val="auto"/>
        </w:rPr>
        <w:t>3)</w:t>
      </w:r>
      <w:r>
        <w:rPr>
          <w:rFonts w:hint="eastAsia"/>
          <w:color w:val="auto"/>
        </w:rPr>
        <w:t>供应商须按照采购文件和政府采购云平台的要求进行编制、上传、加密、提交、解密响应文件，响应文件提交截止时间后，政府采购云平台自动提取全部响应文件，各供应商须在提交截止时间后30分钟内对已上传政府采购云平台的响应文件进行解密，参与本项目的全部供应商在规定的解密时限内解密完成或解密时限结束后，我中心开启响应文件；供应商在解密时限内未完成解密的，政府采购云平台默认为供应商放弃参与本项目。</w:t>
      </w:r>
    </w:p>
    <w:p>
      <w:pPr>
        <w:spacing w:line="400" w:lineRule="exact"/>
        <w:ind w:firstLine="420"/>
        <w:rPr>
          <w:b/>
          <w:color w:val="auto"/>
        </w:rPr>
      </w:pPr>
      <w:r>
        <w:rPr>
          <w:rFonts w:hint="eastAsia"/>
          <w:color w:val="auto"/>
        </w:rPr>
        <w:t>(</w:t>
      </w:r>
      <w:r>
        <w:rPr>
          <w:color w:val="auto"/>
        </w:rPr>
        <w:t>4)</w:t>
      </w:r>
      <w:r>
        <w:rPr>
          <w:rFonts w:hint="eastAsia"/>
          <w:color w:val="auto"/>
        </w:rPr>
        <w:t>供应商法定代表人或委托代理人须按时登录</w:t>
      </w:r>
      <w:bookmarkStart w:id="37" w:name="_Hlk90367388"/>
      <w:r>
        <w:rPr>
          <w:rFonts w:hint="eastAsia" w:ascii="宋体" w:hAnsi="宋体" w:cs="Courier New"/>
          <w:color w:val="auto"/>
          <w:szCs w:val="21"/>
        </w:rPr>
        <w:t>政采云远程开标大厅</w:t>
      </w:r>
      <w:bookmarkEnd w:id="37"/>
      <w:r>
        <w:rPr>
          <w:rFonts w:hint="eastAsia"/>
          <w:color w:val="auto"/>
        </w:rPr>
        <w:t>，保持全程在线并关注评审磋商进度，评审期间磋商小组提出澄清等要求时，供应商须在规定时间内进行应答，否则按采购文件或政采云平台的相关规定执行。</w:t>
      </w:r>
    </w:p>
    <w:p>
      <w:pPr>
        <w:spacing w:line="400" w:lineRule="exact"/>
        <w:ind w:firstLine="420"/>
        <w:rPr>
          <w:rFonts w:hAnsi="宋体"/>
          <w:color w:val="auto"/>
        </w:rPr>
      </w:pPr>
      <w:r>
        <w:rPr>
          <w:rFonts w:hint="eastAsia"/>
          <w:color w:val="auto"/>
        </w:rPr>
        <w:t>(</w:t>
      </w:r>
      <w:r>
        <w:rPr>
          <w:color w:val="auto"/>
        </w:rPr>
        <w:t>5)</w:t>
      </w:r>
      <w:r>
        <w:rPr>
          <w:rFonts w:hint="eastAsia"/>
          <w:color w:val="auto"/>
        </w:rPr>
        <w:t>供应商参与磋商过程中涉及政府采购云平台的问题，请咨询政采云</w:t>
      </w:r>
      <w:r>
        <w:rPr>
          <w:rFonts w:hint="eastAsia" w:hAnsi="宋体"/>
          <w:color w:val="auto"/>
        </w:rPr>
        <w:t>技术支持热线：</w:t>
      </w:r>
      <w:r>
        <w:rPr>
          <w:rFonts w:hAnsi="宋体"/>
          <w:color w:val="auto"/>
        </w:rPr>
        <w:t>95763</w:t>
      </w:r>
      <w:r>
        <w:rPr>
          <w:rFonts w:hint="eastAsia" w:hAnsi="宋体"/>
          <w:color w:val="auto"/>
        </w:rPr>
        <w:t>。</w:t>
      </w:r>
    </w:p>
    <w:p>
      <w:pPr>
        <w:spacing w:line="400" w:lineRule="exact"/>
        <w:ind w:firstLine="420"/>
        <w:jc w:val="left"/>
        <w:rPr>
          <w:rFonts w:hAnsi="宋体"/>
          <w:color w:val="auto"/>
        </w:rPr>
      </w:pPr>
      <w:r>
        <w:rPr>
          <w:rFonts w:hAnsi="宋体"/>
          <w:color w:val="auto"/>
        </w:rPr>
        <w:t>4.</w:t>
      </w:r>
      <w:r>
        <w:rPr>
          <w:rFonts w:hint="eastAsia" w:hAnsi="宋体"/>
          <w:color w:val="auto"/>
        </w:rPr>
        <w:t>查询媒体：中国政府采购网、</w:t>
      </w:r>
      <w:r>
        <w:rPr>
          <w:color w:val="auto"/>
        </w:rPr>
        <w:fldChar w:fldCharType="begin"/>
      </w:r>
      <w:r>
        <w:rPr>
          <w:color w:val="auto"/>
        </w:rPr>
        <w:instrText xml:space="preserve"> HYPERLINK "http://zfcg.gxzf.gov.cn/" </w:instrText>
      </w:r>
      <w:r>
        <w:rPr>
          <w:color w:val="auto"/>
        </w:rPr>
        <w:fldChar w:fldCharType="separate"/>
      </w:r>
      <w:r>
        <w:rPr>
          <w:rStyle w:val="43"/>
          <w:rFonts w:hint="eastAsia" w:hAnsi="宋体"/>
          <w:color w:val="auto"/>
          <w:u w:val="none"/>
        </w:rPr>
        <w:t>广西政府采购网</w:t>
      </w:r>
      <w:r>
        <w:rPr>
          <w:rStyle w:val="43"/>
          <w:rFonts w:hint="eastAsia" w:hAnsi="宋体"/>
          <w:color w:val="auto"/>
          <w:u w:val="none"/>
        </w:rPr>
        <w:fldChar w:fldCharType="end"/>
      </w:r>
      <w:r>
        <w:rPr>
          <w:rFonts w:hint="eastAsia" w:hAnsi="宋体"/>
          <w:color w:val="auto"/>
        </w:rPr>
        <w:t>。</w:t>
      </w:r>
    </w:p>
    <w:p>
      <w:pPr>
        <w:spacing w:line="400" w:lineRule="exact"/>
        <w:ind w:firstLine="420"/>
        <w:jc w:val="left"/>
        <w:rPr>
          <w:rFonts w:hAnsi="宋体"/>
          <w:color w:val="auto"/>
        </w:rPr>
      </w:pPr>
      <w:bookmarkStart w:id="38" w:name="_Hlk107409555"/>
      <w:bookmarkStart w:id="39" w:name="_Hlk108515619"/>
      <w:r>
        <w:rPr>
          <w:rFonts w:hAnsi="宋体"/>
          <w:color w:val="auto"/>
        </w:rPr>
        <w:t>5.</w:t>
      </w:r>
      <w:r>
        <w:rPr>
          <w:rFonts w:hint="eastAsia" w:hAnsi="宋体"/>
          <w:color w:val="auto"/>
        </w:rPr>
        <w:t>钦州市政府采购中心联系方式：</w:t>
      </w:r>
    </w:p>
    <w:p>
      <w:pPr>
        <w:spacing w:line="400" w:lineRule="exact"/>
        <w:ind w:firstLine="420"/>
        <w:jc w:val="left"/>
        <w:rPr>
          <w:rFonts w:hAnsi="宋体"/>
          <w:color w:val="auto"/>
        </w:rPr>
      </w:pPr>
      <w:r>
        <w:rPr>
          <w:rFonts w:hAnsi="宋体"/>
          <w:color w:val="auto"/>
        </w:rPr>
        <w:t>(1)</w:t>
      </w:r>
      <w:r>
        <w:rPr>
          <w:rFonts w:hint="eastAsia" w:hAnsi="宋体"/>
          <w:color w:val="auto"/>
        </w:rPr>
        <w:t>采购部(采购文件</w:t>
      </w:r>
      <w:r>
        <w:rPr>
          <w:rFonts w:hAnsi="宋体"/>
          <w:color w:val="auto"/>
        </w:rPr>
        <w:t>)</w:t>
      </w:r>
    </w:p>
    <w:p>
      <w:pPr>
        <w:spacing w:line="400" w:lineRule="exact"/>
        <w:ind w:firstLine="420"/>
        <w:jc w:val="left"/>
        <w:rPr>
          <w:rFonts w:hAnsi="宋体"/>
          <w:color w:val="auto"/>
        </w:rPr>
      </w:pPr>
      <w:r>
        <w:rPr>
          <w:rFonts w:hint="eastAsia" w:hAnsi="宋体"/>
          <w:color w:val="auto"/>
        </w:rPr>
        <w:t>联系人：</w:t>
      </w:r>
      <w:r>
        <w:rPr>
          <w:rFonts w:hint="eastAsia" w:hAnsi="宋体"/>
          <w:color w:val="auto"/>
          <w:lang w:val="en-US" w:eastAsia="zh-CN"/>
        </w:rPr>
        <w:t>苏晓婷</w:t>
      </w:r>
      <w:r>
        <w:rPr>
          <w:rFonts w:hint="eastAsia" w:hAnsi="宋体"/>
          <w:color w:val="auto"/>
        </w:rPr>
        <w:t xml:space="preserve"> </w:t>
      </w:r>
      <w:r>
        <w:rPr>
          <w:rFonts w:hAnsi="宋体"/>
          <w:color w:val="auto"/>
        </w:rPr>
        <w:t xml:space="preserve"> </w:t>
      </w:r>
      <w:r>
        <w:rPr>
          <w:rFonts w:hint="eastAsia" w:hAnsi="宋体"/>
          <w:color w:val="auto"/>
        </w:rPr>
        <w:t xml:space="preserve"> 联系方式：0777-2886022</w:t>
      </w:r>
    </w:p>
    <w:p>
      <w:pPr>
        <w:spacing w:line="400" w:lineRule="exact"/>
        <w:ind w:firstLine="420"/>
        <w:jc w:val="left"/>
        <w:rPr>
          <w:rFonts w:hAnsi="宋体"/>
          <w:color w:val="auto"/>
        </w:rPr>
      </w:pPr>
      <w:r>
        <w:rPr>
          <w:rFonts w:hint="eastAsia" w:hAnsi="宋体"/>
          <w:color w:val="auto"/>
        </w:rPr>
        <w:t>(</w:t>
      </w:r>
      <w:r>
        <w:rPr>
          <w:rFonts w:hAnsi="宋体"/>
          <w:color w:val="auto"/>
        </w:rPr>
        <w:t>2)</w:t>
      </w:r>
      <w:r>
        <w:rPr>
          <w:rFonts w:hint="eastAsia" w:hAnsi="宋体"/>
          <w:color w:val="auto"/>
        </w:rPr>
        <w:t>综合二部(保证金、评审、磋商、成交及合同管理)</w:t>
      </w:r>
    </w:p>
    <w:p>
      <w:pPr>
        <w:spacing w:line="400" w:lineRule="exact"/>
        <w:ind w:firstLine="420"/>
        <w:jc w:val="left"/>
        <w:rPr>
          <w:rFonts w:hAnsi="宋体"/>
          <w:color w:val="auto"/>
        </w:rPr>
      </w:pPr>
      <w:r>
        <w:rPr>
          <w:rFonts w:hint="eastAsia" w:hAnsi="宋体"/>
          <w:color w:val="auto"/>
        </w:rPr>
        <w:t xml:space="preserve">联系人：陈启梅、陈侃 </w:t>
      </w:r>
      <w:r>
        <w:rPr>
          <w:rFonts w:hAnsi="宋体"/>
          <w:color w:val="auto"/>
        </w:rPr>
        <w:t xml:space="preserve">  </w:t>
      </w:r>
      <w:r>
        <w:rPr>
          <w:rFonts w:hint="eastAsia" w:hAnsi="宋体"/>
          <w:color w:val="auto"/>
        </w:rPr>
        <w:t>联系方式：0777-2886006</w:t>
      </w:r>
      <w:bookmarkEnd w:id="38"/>
    </w:p>
    <w:bookmarkEnd w:id="39"/>
    <w:p>
      <w:pPr>
        <w:spacing w:line="400" w:lineRule="exact"/>
        <w:rPr>
          <w:b/>
          <w:color w:val="auto"/>
        </w:rPr>
      </w:pPr>
      <w:r>
        <w:rPr>
          <w:rFonts w:hint="eastAsia"/>
          <w:b/>
          <w:color w:val="auto"/>
        </w:rPr>
        <w:t>八、对本次采购项目提出询问，请按</w:t>
      </w:r>
      <w:r>
        <w:rPr>
          <w:b/>
          <w:color w:val="auto"/>
        </w:rPr>
        <w:t>以下方式</w:t>
      </w:r>
      <w:r>
        <w:rPr>
          <w:rFonts w:hint="eastAsia"/>
          <w:b/>
          <w:color w:val="auto"/>
        </w:rPr>
        <w:t>联系</w:t>
      </w:r>
      <w:bookmarkEnd w:id="29"/>
      <w:bookmarkEnd w:id="30"/>
      <w:bookmarkEnd w:id="31"/>
      <w:bookmarkEnd w:id="32"/>
    </w:p>
    <w:p>
      <w:pPr>
        <w:spacing w:line="400" w:lineRule="exact"/>
        <w:ind w:firstLine="420" w:firstLineChars="200"/>
        <w:rPr>
          <w:color w:val="auto"/>
        </w:rPr>
      </w:pPr>
      <w:r>
        <w:rPr>
          <w:rFonts w:hint="eastAsia"/>
          <w:color w:val="auto"/>
        </w:rPr>
        <w:t>1.采购人信息</w:t>
      </w:r>
      <w:bookmarkEnd w:id="9"/>
    </w:p>
    <w:p>
      <w:pPr>
        <w:spacing w:line="400" w:lineRule="exact"/>
        <w:ind w:firstLine="420" w:firstLineChars="200"/>
        <w:rPr>
          <w:rFonts w:hint="default" w:ascii="宋体" w:hAnsi="宋体"/>
          <w:color w:val="auto"/>
          <w:szCs w:val="21"/>
          <w:lang w:val="en-US" w:eastAsia="zh-CN"/>
        </w:rPr>
      </w:pPr>
      <w:r>
        <w:rPr>
          <w:rFonts w:hint="eastAsia"/>
          <w:color w:val="auto"/>
        </w:rPr>
        <w:t>名称：</w:t>
      </w:r>
      <w:r>
        <w:rPr>
          <w:rFonts w:hint="eastAsia" w:ascii="宋体" w:hAnsi="宋体"/>
          <w:color w:val="auto"/>
          <w:szCs w:val="21"/>
          <w:lang w:val="en-US" w:eastAsia="zh-CN"/>
        </w:rPr>
        <w:t>广西壮族自治区沿海公路发展中心</w:t>
      </w:r>
    </w:p>
    <w:p>
      <w:pPr>
        <w:spacing w:line="400" w:lineRule="exact"/>
        <w:ind w:firstLine="420" w:firstLineChars="200"/>
        <w:rPr>
          <w:rFonts w:hint="eastAsia" w:ascii="宋体" w:hAnsi="宋体"/>
          <w:color w:val="auto"/>
          <w:szCs w:val="21"/>
          <w:lang w:val="en-US" w:eastAsia="zh-CN"/>
        </w:rPr>
      </w:pPr>
      <w:bookmarkStart w:id="40" w:name="_Toc38370147"/>
      <w:r>
        <w:rPr>
          <w:rFonts w:hint="eastAsia" w:ascii="宋体" w:hAnsi="宋体"/>
          <w:color w:val="auto"/>
          <w:szCs w:val="21"/>
          <w:lang w:val="en-US" w:eastAsia="zh-CN"/>
        </w:rPr>
        <w:t>地址：钦州市钦南区建设街通达巷二号 </w:t>
      </w:r>
    </w:p>
    <w:p>
      <w:pPr>
        <w:spacing w:line="400" w:lineRule="exact"/>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项目联系人：宁宇宁</w:t>
      </w:r>
    </w:p>
    <w:p>
      <w:pPr>
        <w:spacing w:line="400" w:lineRule="exact"/>
        <w:ind w:firstLine="420" w:firstLineChars="200"/>
        <w:rPr>
          <w:rFonts w:hint="default" w:ascii="宋体" w:hAnsi="宋体"/>
          <w:color w:val="auto"/>
          <w:szCs w:val="21"/>
          <w:lang w:val="en-US" w:eastAsia="zh-CN"/>
        </w:rPr>
      </w:pPr>
      <w:r>
        <w:rPr>
          <w:rFonts w:hint="eastAsia" w:ascii="宋体" w:hAnsi="宋体"/>
          <w:color w:val="auto"/>
          <w:szCs w:val="21"/>
          <w:lang w:val="en-US" w:eastAsia="zh-CN"/>
        </w:rPr>
        <w:t>项目联系方式：0777-2852312</w:t>
      </w:r>
    </w:p>
    <w:p>
      <w:pPr>
        <w:spacing w:line="400" w:lineRule="exact"/>
        <w:ind w:firstLine="420" w:firstLineChars="200"/>
        <w:rPr>
          <w:color w:val="auto"/>
        </w:rPr>
      </w:pPr>
    </w:p>
    <w:bookmarkEnd w:id="40"/>
    <w:p>
      <w:pPr>
        <w:spacing w:line="400" w:lineRule="exact"/>
        <w:ind w:firstLine="420" w:firstLineChars="200"/>
        <w:rPr>
          <w:color w:val="auto"/>
        </w:rPr>
      </w:pPr>
      <w:r>
        <w:rPr>
          <w:rFonts w:hint="eastAsia"/>
          <w:color w:val="auto"/>
        </w:rPr>
        <w:t>2.采购代理机构信息</w:t>
      </w:r>
    </w:p>
    <w:p>
      <w:pPr>
        <w:spacing w:line="400" w:lineRule="exact"/>
        <w:ind w:firstLine="420" w:firstLineChars="200"/>
        <w:rPr>
          <w:color w:val="auto"/>
        </w:rPr>
      </w:pPr>
      <w:r>
        <w:rPr>
          <w:rFonts w:hint="eastAsia"/>
          <w:color w:val="auto"/>
        </w:rPr>
        <w:t>名称：钦州市政府采购中心</w:t>
      </w:r>
    </w:p>
    <w:p>
      <w:pPr>
        <w:spacing w:line="400" w:lineRule="exact"/>
        <w:ind w:firstLine="420" w:firstLineChars="200"/>
        <w:rPr>
          <w:color w:val="auto"/>
        </w:rPr>
      </w:pPr>
      <w:r>
        <w:rPr>
          <w:rFonts w:hint="eastAsia"/>
          <w:color w:val="auto"/>
        </w:rPr>
        <w:t>地址：钦州市金海湾东大街8号</w:t>
      </w:r>
    </w:p>
    <w:p>
      <w:pPr>
        <w:spacing w:line="400" w:lineRule="exact"/>
        <w:ind w:firstLine="420" w:firstLineChars="200"/>
        <w:rPr>
          <w:rFonts w:hint="eastAsia" w:eastAsia="宋体"/>
          <w:color w:val="auto"/>
          <w:lang w:val="en-US" w:eastAsia="zh-CN"/>
        </w:rPr>
      </w:pPr>
      <w:r>
        <w:rPr>
          <w:rFonts w:hint="eastAsia"/>
          <w:color w:val="auto"/>
        </w:rPr>
        <w:t>项目联系人：</w:t>
      </w:r>
      <w:r>
        <w:rPr>
          <w:rFonts w:hint="eastAsia"/>
          <w:color w:val="auto"/>
          <w:lang w:val="en-US" w:eastAsia="zh-CN"/>
        </w:rPr>
        <w:t>苏晓婷</w:t>
      </w:r>
    </w:p>
    <w:p>
      <w:pPr>
        <w:spacing w:line="400" w:lineRule="exact"/>
        <w:ind w:firstLine="420" w:firstLineChars="200"/>
        <w:rPr>
          <w:rFonts w:hint="default" w:eastAsia="宋体"/>
          <w:color w:val="auto"/>
          <w:lang w:val="en-US" w:eastAsia="zh-CN"/>
        </w:rPr>
      </w:pPr>
      <w:r>
        <w:rPr>
          <w:rFonts w:hint="eastAsia"/>
          <w:color w:val="auto"/>
        </w:rPr>
        <w:t>项目联系方式：</w:t>
      </w:r>
      <w:bookmarkStart w:id="41" w:name="_Toc28359087"/>
      <w:bookmarkStart w:id="42" w:name="_Toc28359010"/>
      <w:r>
        <w:rPr>
          <w:rFonts w:hint="eastAsia"/>
          <w:color w:val="auto"/>
          <w:lang w:val="en-US" w:eastAsia="zh-CN"/>
        </w:rPr>
        <w:t>0777-2886022</w:t>
      </w:r>
    </w:p>
    <w:p>
      <w:pPr>
        <w:widowControl/>
        <w:jc w:val="left"/>
        <w:rPr>
          <w:color w:val="auto"/>
        </w:rPr>
      </w:pPr>
      <w:r>
        <w:rPr>
          <w:color w:val="auto"/>
        </w:rPr>
        <w:br w:type="page"/>
      </w:r>
    </w:p>
    <w:p>
      <w:pPr>
        <w:rPr>
          <w:color w:val="auto"/>
        </w:rPr>
      </w:pPr>
    </w:p>
    <w:bookmarkEnd w:id="41"/>
    <w:bookmarkEnd w:id="42"/>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spacing w:line="400" w:lineRule="exact"/>
        <w:rPr>
          <w:rFonts w:ascii="方正小标宋_GBK" w:hAnsi="宋体" w:eastAsia="方正小标宋_GBK"/>
          <w:color w:val="auto"/>
        </w:rPr>
      </w:pPr>
      <w:bookmarkStart w:id="43" w:name="_Toc92355024"/>
      <w:r>
        <w:rPr>
          <w:rFonts w:hint="eastAsia" w:ascii="方正小标宋_GBK" w:hAnsi="宋体" w:eastAsia="方正小标宋_GBK"/>
          <w:color w:val="auto"/>
        </w:rPr>
        <w:t>第二章  项目需求</w:t>
      </w:r>
      <w:bookmarkEnd w:id="43"/>
    </w:p>
    <w:p>
      <w:pPr>
        <w:widowControl/>
        <w:spacing w:line="460" w:lineRule="exact"/>
        <w:jc w:val="left"/>
        <w:rPr>
          <w:rFonts w:ascii="宋体" w:hAnsi="宋体"/>
          <w:color w:val="auto"/>
          <w:szCs w:val="21"/>
        </w:rPr>
      </w:pPr>
      <w:r>
        <w:rPr>
          <w:rFonts w:ascii="宋体" w:hAnsi="宋体"/>
          <w:b/>
          <w:color w:val="auto"/>
          <w:szCs w:val="21"/>
        </w:rPr>
        <w:br w:type="page"/>
      </w:r>
      <w:bookmarkStart w:id="44" w:name="_Toc354479498"/>
      <w:bookmarkStart w:id="45" w:name="_Toc358477280"/>
    </w:p>
    <w:p>
      <w:pPr>
        <w:widowControl/>
        <w:spacing w:line="460" w:lineRule="exact"/>
        <w:jc w:val="left"/>
        <w:rPr>
          <w:rFonts w:ascii="宋体" w:hAnsi="宋体"/>
          <w:color w:val="auto"/>
          <w:szCs w:val="21"/>
        </w:rPr>
      </w:pPr>
    </w:p>
    <w:p>
      <w:pPr>
        <w:spacing w:line="440" w:lineRule="exact"/>
        <w:jc w:val="center"/>
        <w:rPr>
          <w:rFonts w:hint="eastAsia" w:ascii="宋体" w:hAnsi="宋体" w:eastAsia="宋体"/>
          <w:b/>
          <w:color w:val="auto"/>
          <w:sz w:val="32"/>
          <w:szCs w:val="32"/>
          <w:lang w:eastAsia="zh-CN"/>
        </w:rPr>
      </w:pPr>
      <w:r>
        <w:rPr>
          <w:rFonts w:hint="eastAsia" w:ascii="宋体" w:hAnsi="宋体"/>
          <w:b/>
          <w:color w:val="auto"/>
          <w:sz w:val="32"/>
          <w:szCs w:val="32"/>
        </w:rPr>
        <w:t>项目</w:t>
      </w:r>
      <w:r>
        <w:rPr>
          <w:rFonts w:hint="eastAsia" w:ascii="宋体" w:hAnsi="宋体"/>
          <w:b/>
          <w:color w:val="auto"/>
          <w:sz w:val="32"/>
          <w:szCs w:val="32"/>
          <w:lang w:val="en-US" w:eastAsia="zh-CN"/>
        </w:rPr>
        <w:t>需求</w:t>
      </w:r>
    </w:p>
    <w:p>
      <w:pPr>
        <w:spacing w:line="360" w:lineRule="auto"/>
        <w:jc w:val="left"/>
        <w:rPr>
          <w:rFonts w:hint="eastAsia" w:ascii="宋体" w:hAnsi="宋体" w:cs="宋体"/>
          <w:color w:val="auto"/>
          <w:szCs w:val="21"/>
        </w:rPr>
      </w:pPr>
      <w:r>
        <w:rPr>
          <w:rFonts w:hint="eastAsia" w:ascii="宋体" w:hAnsi="宋体" w:cs="宋体"/>
          <w:color w:val="auto"/>
          <w:szCs w:val="21"/>
        </w:rPr>
        <w:t>说明：</w:t>
      </w:r>
    </w:p>
    <w:p>
      <w:pPr>
        <w:spacing w:line="360" w:lineRule="auto"/>
        <w:ind w:firstLine="424" w:firstLineChars="202"/>
        <w:jc w:val="left"/>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 标注“★”号的内容条款，必须满足或优于。</w:t>
      </w:r>
    </w:p>
    <w:p>
      <w:pPr>
        <w:spacing w:line="360" w:lineRule="auto"/>
        <w:ind w:firstLine="424" w:firstLineChars="202"/>
        <w:jc w:val="left"/>
        <w:rPr>
          <w:rFonts w:hint="eastAsia" w:ascii="宋体" w:hAnsi="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w:t>
      </w:r>
      <w:r>
        <w:rPr>
          <w:rFonts w:hint="eastAsia" w:ascii="宋体" w:hAnsi="宋体"/>
          <w:color w:val="auto"/>
          <w:szCs w:val="21"/>
        </w:rPr>
        <w:t>磋商文件中可能实质性变动的内容：</w:t>
      </w:r>
      <w:r>
        <w:rPr>
          <w:rFonts w:hint="eastAsia" w:ascii="宋体" w:hAnsi="宋体" w:cs="宋体"/>
          <w:color w:val="auto"/>
          <w:kern w:val="0"/>
          <w:szCs w:val="21"/>
          <w:u w:val="single"/>
        </w:rPr>
        <w:t>采购需求的技术、服务要求以及合同草案条款</w:t>
      </w:r>
    </w:p>
    <w:tbl>
      <w:tblPr>
        <w:tblStyle w:val="3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1"/>
        <w:gridCol w:w="1267"/>
        <w:gridCol w:w="864"/>
        <w:gridCol w:w="795"/>
        <w:gridCol w:w="6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olor w:val="auto"/>
                <w:szCs w:val="21"/>
              </w:rPr>
            </w:pPr>
            <w:r>
              <w:rPr>
                <w:rFonts w:hint="eastAsia" w:ascii="宋体" w:hAnsi="宋体"/>
                <w:color w:val="auto"/>
              </w:rPr>
              <w:t>序号</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auto"/>
              </w:rPr>
            </w:pPr>
            <w:r>
              <w:rPr>
                <w:rFonts w:hint="eastAsia" w:ascii="宋体" w:hAnsi="宋体"/>
                <w:color w:val="auto"/>
              </w:rPr>
              <w:t>标的的名称</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auto"/>
              </w:rPr>
            </w:pPr>
            <w:r>
              <w:rPr>
                <w:rFonts w:hint="eastAsia" w:ascii="宋体" w:hAnsi="宋体"/>
                <w:color w:val="auto"/>
              </w:rPr>
              <w:t>数量及</w:t>
            </w:r>
          </w:p>
          <w:p>
            <w:pPr>
              <w:spacing w:line="360" w:lineRule="auto"/>
              <w:jc w:val="center"/>
              <w:rPr>
                <w:rFonts w:hint="eastAsia" w:ascii="宋体" w:hAnsi="宋体"/>
                <w:color w:val="auto"/>
              </w:rPr>
            </w:pPr>
            <w:r>
              <w:rPr>
                <w:rFonts w:hint="eastAsia" w:ascii="宋体" w:hAnsi="宋体"/>
                <w:color w:val="auto"/>
              </w:rPr>
              <w:t>单位</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auto"/>
              </w:rPr>
            </w:pPr>
            <w:r>
              <w:rPr>
                <w:rFonts w:hint="eastAsia" w:ascii="宋体" w:hAnsi="宋体" w:cs="Arial"/>
                <w:color w:val="auto"/>
              </w:rPr>
              <w:t>所属行业</w:t>
            </w:r>
          </w:p>
        </w:tc>
        <w:tc>
          <w:tcPr>
            <w:tcW w:w="62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auto"/>
              </w:rPr>
            </w:pPr>
            <w:r>
              <w:rPr>
                <w:rFonts w:hint="eastAsia" w:ascii="宋体" w:hAnsi="宋体" w:cs="宋体"/>
                <w:bCs/>
                <w:color w:val="auto"/>
                <w:kern w:val="0"/>
                <w:szCs w:val="21"/>
              </w:rPr>
              <w:t>★</w:t>
            </w:r>
            <w:r>
              <w:rPr>
                <w:rFonts w:hint="eastAsia" w:ascii="宋体" w:hAnsi="宋体"/>
                <w:color w:val="auto"/>
              </w:rPr>
              <w:t>服务</w:t>
            </w:r>
            <w:r>
              <w:rPr>
                <w:rFonts w:hint="eastAsia" w:ascii="宋体" w:hAnsi="宋体"/>
                <w:color w:val="auto"/>
                <w:lang w:val="en-US" w:eastAsia="zh-CN"/>
              </w:rPr>
              <w:t>要</w:t>
            </w:r>
            <w:r>
              <w:rPr>
                <w:rFonts w:hint="eastAsia" w:ascii="宋体" w:hAnsi="宋体"/>
                <w:color w:val="auto"/>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auto"/>
              </w:rPr>
            </w:pPr>
            <w:r>
              <w:rPr>
                <w:rFonts w:hint="eastAsia" w:ascii="宋体" w:hAnsi="宋体"/>
                <w:color w:val="auto"/>
              </w:rPr>
              <w:t>1</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auto"/>
              </w:rPr>
            </w:pPr>
            <w:r>
              <w:rPr>
                <w:rFonts w:hint="eastAsia" w:ascii="宋体" w:hAnsi="宋体"/>
                <w:color w:val="auto"/>
                <w:szCs w:val="21"/>
                <w:lang w:val="en-US" w:eastAsia="zh-CN"/>
              </w:rPr>
              <w:t>广西壮族自治区沿海公路发展中心机关 2024-2026年物业管理服务</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olor w:val="auto"/>
              </w:rPr>
            </w:pPr>
            <w:r>
              <w:rPr>
                <w:rFonts w:hint="eastAsia" w:ascii="宋体" w:hAnsi="宋体"/>
                <w:color w:val="auto"/>
              </w:rPr>
              <w:t>1项</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360" w:lineRule="auto"/>
              <w:rPr>
                <w:rFonts w:hint="eastAsia" w:ascii="宋体" w:hAnsi="宋体" w:cs="Arial"/>
                <w:color w:val="auto"/>
              </w:rPr>
            </w:pPr>
            <w:r>
              <w:rPr>
                <w:rFonts w:hint="eastAsia" w:ascii="宋体" w:hAnsi="宋体" w:cs="Arial"/>
                <w:color w:val="auto"/>
              </w:rPr>
              <w:t>物业管理</w:t>
            </w:r>
          </w:p>
        </w:tc>
        <w:tc>
          <w:tcPr>
            <w:tcW w:w="6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ind w:firstLine="413" w:firstLineChars="196"/>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一、项目概况</w:t>
            </w:r>
          </w:p>
          <w:p>
            <w:pPr>
              <w:widowControl/>
              <w:spacing w:line="520" w:lineRule="exact"/>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项目名称：</w:t>
            </w:r>
            <w:r>
              <w:rPr>
                <w:rFonts w:hint="eastAsia"/>
                <w:color w:val="auto"/>
                <w:lang w:val="en-US" w:eastAsia="zh-CN"/>
              </w:rPr>
              <w:t>广西壮族自治区沿海公路发展中心机关 2024-2026年物业管理服务</w:t>
            </w:r>
          </w:p>
          <w:p>
            <w:pPr>
              <w:widowControl/>
              <w:spacing w:line="520" w:lineRule="exact"/>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位置：钦州市建设街通达巷2号</w:t>
            </w:r>
          </w:p>
          <w:p>
            <w:pPr>
              <w:widowControl/>
              <w:spacing w:line="520" w:lineRule="exact"/>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范围：钦州市建设街通达巷2号沿海公路发展中心办公区、机关大院、干部交流房。</w:t>
            </w:r>
          </w:p>
          <w:p>
            <w:pPr>
              <w:widowControl/>
              <w:spacing w:line="520" w:lineRule="exact"/>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预算金额：壹佰伍拾贰万元整（¥1520000.00）</w:t>
            </w:r>
          </w:p>
          <w:p>
            <w:pPr>
              <w:widowControl/>
              <w:spacing w:line="520" w:lineRule="exact"/>
              <w:ind w:firstLine="413" w:firstLineChars="196"/>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lang w:val="en-US" w:eastAsia="zh-CN"/>
              </w:rPr>
              <w:t>二</w:t>
            </w:r>
            <w:r>
              <w:rPr>
                <w:rFonts w:hint="eastAsia" w:ascii="宋体" w:hAnsi="宋体" w:eastAsia="宋体" w:cs="宋体"/>
                <w:b/>
                <w:bCs w:val="0"/>
                <w:color w:val="auto"/>
                <w:kern w:val="0"/>
                <w:sz w:val="21"/>
                <w:szCs w:val="21"/>
              </w:rPr>
              <w:t>、服务项目的具体内容</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（一）房屋公共区域（地面、墙面、门窗、楼梯、通道等）和办公区域（办公桌椅、沙发、茶几、柜子、窗帘、地毯等）的日常清洁。</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（二）办公楼外公共区域和办公楼内的卫生防疫、保洁、保养、清洗、消毒、杀虫、灭鼠、垃圾收集清运、管道疏通、化粪池清理、日常卫生工具和常用消耗品放置等。</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区域内公共场所的消防安全、建筑安全防范和公共秩序、治安秩序维护，包括门卫、保安管理，管理服务标识设置与维护、车辆行驶、停放管理及秩序维护，门岗执勤、巡视、防盗、防火、灭火，并配合、协助公安机关及有关部门处理物业管理辖区内一切与治安、维稳有关的工作。</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（四）办公区域内举办的各类会务服务。</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（五）水电维修服务。</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（六）门前三包、综合治理等服务。</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（七）共同约定其他服务内容。</w:t>
            </w:r>
          </w:p>
          <w:p>
            <w:pPr>
              <w:widowControl/>
              <w:spacing w:line="520" w:lineRule="exact"/>
              <w:ind w:firstLine="413" w:firstLineChars="196"/>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lang w:val="en-US" w:eastAsia="zh-CN"/>
              </w:rPr>
              <w:t>三</w:t>
            </w:r>
            <w:r>
              <w:rPr>
                <w:rFonts w:hint="eastAsia" w:ascii="宋体" w:hAnsi="宋体" w:eastAsia="宋体" w:cs="宋体"/>
                <w:b/>
                <w:bCs w:val="0"/>
                <w:color w:val="auto"/>
                <w:kern w:val="0"/>
                <w:sz w:val="21"/>
                <w:szCs w:val="21"/>
              </w:rPr>
              <w:t>、物业管理服务标准</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（一）环境卫生与保洁服务</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1.清洁所有办公室、会议室内外及公共环境，每天保持清洁。中心领导办公室及接待室至少每天清洁1次，公共场所每天清扫1次，并每天至少2次保洁巡视，保证无杂物、废弃物，无污垢、纸屑、烟头等。</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2.楼道地面干净，无污渍、积水、杂物，扶手干净、无积尘、其他部位无明显积尘，无蜘蛛网。</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3.垃圾日产日清，每天将垃圾清运至环卫部门指定的地点，垃圾箱外表干净，无异味。</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4.公共厕所保持清洁，无污渍、无异味，每天清扫2次，及时清理化粪池。</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5.定期进行“四害”消杀清理工作，每年不少于四次，效果达到《鼠、蚊、蝇、蟑螂控制标准》（全爱卫会发〔1997〕第5号）。</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6.对电梯进行日常保洁消毒，不锈钢表面无手印、灰尘、污迹，每天更换电梯地垫并清洗备用，确保干净无污迹。</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（二）安防与保障服务</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1.安全保卫服务队伍必须由经过专业培训的专业人员组成，</w:t>
            </w:r>
            <w:r>
              <w:rPr>
                <w:rFonts w:hint="eastAsia" w:ascii="宋体" w:hAnsi="宋体" w:eastAsia="宋体" w:cs="宋体"/>
                <w:b w:val="0"/>
                <w:bCs w:val="0"/>
                <w:color w:val="auto"/>
                <w:kern w:val="0"/>
                <w:sz w:val="21"/>
                <w:szCs w:val="21"/>
              </w:rPr>
              <w:t>持保安员证。</w:t>
            </w:r>
            <w:r>
              <w:rPr>
                <w:rFonts w:hint="eastAsia" w:ascii="宋体" w:hAnsi="宋体" w:eastAsia="宋体" w:cs="宋体"/>
                <w:color w:val="auto"/>
                <w:kern w:val="0"/>
                <w:sz w:val="21"/>
                <w:szCs w:val="21"/>
              </w:rPr>
              <w:t>服务期人员年龄控制在50岁以下。</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负责日常公共秩序维护和管理。按照安全保卫责任目标，科学、合理安排安全守卫、安全巡逻等防范工作。服从沿海公路发展中心的安全管理指挥，遵守沿海公路发展中心安全管理制度，做好安全防范。建立安全应急预案和单位消防档案并报沿海公路发展中心备案，及时妥善处理突发事件，确保公共安全；及时劝阻、制止区域内各类治安案件和一切妨害安全和公共秩序的行为，协助配合当地公安机关及有关部门处理区域内一切与治安有关的事件。发生各类案件、灾害、事故时，负责救助工作、保护好现场、及时向公安机关和沿海公路发展中心报告并协助调查。</w:t>
            </w:r>
          </w:p>
          <w:p>
            <w:pPr>
              <w:widowControl/>
              <w:spacing w:line="520" w:lineRule="exact"/>
              <w:ind w:firstLine="464" w:firstLineChars="221"/>
              <w:rPr>
                <w:rFonts w:hint="eastAsia" w:ascii="宋体" w:hAnsi="宋体" w:eastAsia="宋体" w:cs="宋体"/>
                <w:strike/>
                <w:dstrike w:val="0"/>
                <w:color w:val="auto"/>
                <w:kern w:val="0"/>
                <w:sz w:val="21"/>
                <w:szCs w:val="21"/>
                <w:highlight w:val="yellow"/>
              </w:rPr>
            </w:pPr>
            <w:r>
              <w:rPr>
                <w:rFonts w:hint="eastAsia" w:ascii="宋体" w:hAnsi="宋体" w:eastAsia="宋体" w:cs="宋体"/>
                <w:color w:val="auto"/>
                <w:kern w:val="0"/>
                <w:sz w:val="21"/>
                <w:szCs w:val="21"/>
              </w:rPr>
              <w:t>3.区域内实行24小时三班倒值班制度。上班时穿工作服并配戴工作牌；热情接待来访和来电人员，认真做好登记工作，在不违背保密制度的原则下，有问必答，并将需要处理的问题通知有关部门，让来访者满意而归；衣容整洁，语言亲切，微笑服务，爱岗敬业，树立良好的精神面貌，维护好单位形象；爱护公物，对损坏公物的人和事，要坚决制止并及时反映，值班期间必须尽职尽责，不准擅离职守，不准出现睡岗、脱岗等现象。</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做到24小时值班巡逻，特别是办公大楼楼层从晚上8点到次日8点至少每2小时巡查一次并做好巡查记录。守卫、巡逻中及时发现、正确处置安全隐患和险情，每晚10点关闭办公楼走道灯光并检查办公室门是否关闭锁好。</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5.对火灾、治安等突发事件有应急预案并及时采取相应措施。</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6.接受沿海公路发展中心及辖区社区、公安部门的业务指导和工作监督。</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7.建立健全车辆进出、停放管理制度，做好车辆出入登记和停放管理，管控外来车辆，纠正违章乱停行为，保证车辆有序进出、停放和消防通道畅通，不许擅自放入外来车辆，停车场地整洁，标线清楚。</w:t>
            </w:r>
          </w:p>
          <w:p>
            <w:pPr>
              <w:widowControl/>
              <w:spacing w:line="520" w:lineRule="exact"/>
              <w:ind w:left="674" w:leftChars="221" w:hanging="210" w:hangingChars="1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（三）绿化服务</w:t>
            </w:r>
          </w:p>
          <w:p>
            <w:pPr>
              <w:widowControl/>
              <w:spacing w:line="520" w:lineRule="exact"/>
              <w:ind w:left="674" w:leftChars="221" w:hanging="210" w:hangingChars="1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1.因地因时适宜浇水，每天至少一次，冬季每天下午三</w:t>
            </w:r>
          </w:p>
          <w:p>
            <w:pPr>
              <w:widowControl/>
              <w:spacing w:line="52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点左右浇水。春天视土壤的湿度而定浇水时间、次数。</w:t>
            </w:r>
          </w:p>
          <w:p>
            <w:pPr>
              <w:widowControl/>
              <w:spacing w:line="52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2.治病以预防为主，每月喷洒防病虫药物一次，对严重病虫害的植物加强管理，做到及时发现及时处理。</w:t>
            </w:r>
          </w:p>
          <w:p>
            <w:pPr>
              <w:widowControl/>
              <w:spacing w:line="52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3.及时清理绿化地的杂草杂物，花圃、草地的杂草清除时要连根拔起、拔净，边松土边除杂草。乔木营养圈内做到无杂草、杂物。</w:t>
            </w:r>
          </w:p>
          <w:p>
            <w:pPr>
              <w:widowControl/>
              <w:spacing w:line="52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4.整形修剪，因植物的生长情况而定，保证乔木无枯枝黄叶，绿篱成形，面平边直，控制草花高度。</w:t>
            </w:r>
            <w:r>
              <w:rPr>
                <w:rFonts w:hint="eastAsia" w:ascii="宋体" w:hAnsi="宋体" w:eastAsia="宋体" w:cs="宋体"/>
                <w:color w:val="auto"/>
                <w:kern w:val="0"/>
                <w:sz w:val="21"/>
                <w:szCs w:val="21"/>
              </w:rPr>
              <w:cr/>
            </w:r>
            <w:r>
              <w:rPr>
                <w:rFonts w:hint="eastAsia" w:ascii="宋体" w:hAnsi="宋体" w:eastAsia="宋体" w:cs="宋体"/>
                <w:color w:val="auto"/>
                <w:kern w:val="0"/>
                <w:sz w:val="21"/>
                <w:szCs w:val="21"/>
              </w:rPr>
              <w:t xml:space="preserve">   （四）会议室会务服务</w:t>
            </w:r>
          </w:p>
          <w:p>
            <w:pPr>
              <w:widowControl/>
              <w:spacing w:line="52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负责各会议室的清洁保洁、音响电器设备、会场布置及会议服务工作。会议室会务员要求30岁以下，身高1.56米以上，身体健康，形象佳，中专以上文化程度，举止礼貌、待人热情周到的女性，积极主动做好茶水服务工作。</w:t>
            </w:r>
          </w:p>
          <w:p>
            <w:pPr>
              <w:widowControl/>
              <w:spacing w:line="52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（五）水电维修服务</w:t>
            </w:r>
          </w:p>
          <w:p>
            <w:pPr>
              <w:widowControl/>
              <w:spacing w:line="52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1.要求持证上岗，掌握供电维修技术，负责小区内供水、供电、消防等设施设备，定期检查维护和养护工作，确保设备正常运行使用。</w:t>
            </w:r>
          </w:p>
          <w:p>
            <w:pPr>
              <w:widowControl/>
              <w:spacing w:line="52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2.了解熟悉所辖物业辖区的供水、供电、空调、设施设备等情况，掌握相关设备的操作程序和应急处理措施。</w:t>
            </w:r>
          </w:p>
          <w:p>
            <w:pPr>
              <w:widowControl/>
              <w:spacing w:line="52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3.定期对所辖物业的配电设备，按照相关的维修保养规程，进行日常维护和例行保养。</w:t>
            </w:r>
          </w:p>
          <w:p>
            <w:pPr>
              <w:widowControl/>
              <w:spacing w:line="52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4.遇到突发停电或发生其他突发事故时，应保持清醒头脑，按照操作规程及时排除故障，采取应急措施，不得延误。</w:t>
            </w:r>
            <w:r>
              <w:rPr>
                <w:rFonts w:hint="eastAsia" w:ascii="宋体" w:hAnsi="宋体" w:eastAsia="宋体" w:cs="宋体"/>
                <w:color w:val="auto"/>
                <w:kern w:val="0"/>
                <w:sz w:val="21"/>
                <w:szCs w:val="21"/>
              </w:rPr>
              <w:cr/>
            </w:r>
            <w:r>
              <w:rPr>
                <w:rFonts w:hint="eastAsia" w:ascii="宋体" w:hAnsi="宋体" w:eastAsia="宋体" w:cs="宋体"/>
                <w:color w:val="auto"/>
                <w:kern w:val="0"/>
                <w:sz w:val="21"/>
                <w:szCs w:val="21"/>
              </w:rPr>
              <w:t xml:space="preserve">   （六）门前三包、综合治理服务</w:t>
            </w:r>
          </w:p>
          <w:p>
            <w:pPr>
              <w:widowControl/>
              <w:spacing w:line="520" w:lineRule="exact"/>
              <w:ind w:firstLine="464" w:firstLineChars="22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负责服务区域的门前三包以及社区的综合治理等工作。</w:t>
            </w:r>
          </w:p>
          <w:p>
            <w:pPr>
              <w:widowControl/>
              <w:spacing w:line="520" w:lineRule="exact"/>
              <w:ind w:firstLine="413" w:firstLineChars="196"/>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lang w:val="en-US" w:eastAsia="zh-CN"/>
              </w:rPr>
              <w:t>四</w:t>
            </w:r>
            <w:r>
              <w:rPr>
                <w:rFonts w:hint="eastAsia" w:ascii="宋体" w:hAnsi="宋体" w:eastAsia="宋体" w:cs="宋体"/>
                <w:b/>
                <w:bCs w:val="0"/>
                <w:color w:val="auto"/>
                <w:kern w:val="0"/>
                <w:sz w:val="21"/>
                <w:szCs w:val="21"/>
              </w:rPr>
              <w:t>、人员岗位配置要求</w:t>
            </w:r>
          </w:p>
          <w:p>
            <w:pPr>
              <w:widowControl/>
              <w:spacing w:line="520" w:lineRule="exact"/>
              <w:ind w:firstLine="411" w:firstLineChars="196"/>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人员配置为24人。</w:t>
            </w:r>
          </w:p>
          <w:p>
            <w:pPr>
              <w:widowControl/>
              <w:spacing w:line="520" w:lineRule="exact"/>
              <w:ind w:firstLine="411" w:firstLineChars="196"/>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（一）保安员配置：</w:t>
            </w:r>
            <w:r>
              <w:rPr>
                <w:rFonts w:hint="eastAsia" w:ascii="宋体" w:hAnsi="宋体" w:cs="宋体"/>
                <w:color w:val="auto"/>
                <w:kern w:val="0"/>
                <w:sz w:val="21"/>
                <w:szCs w:val="21"/>
                <w:lang w:val="en-US" w:eastAsia="zh-CN"/>
              </w:rPr>
              <w:t>12人，其中</w:t>
            </w:r>
            <w:r>
              <w:rPr>
                <w:rFonts w:hint="eastAsia" w:ascii="宋体" w:hAnsi="宋体" w:eastAsia="宋体" w:cs="宋体"/>
                <w:color w:val="auto"/>
                <w:kern w:val="0"/>
                <w:sz w:val="21"/>
                <w:szCs w:val="21"/>
              </w:rPr>
              <w:t>大门岗4人、办公大堂1人、干部交流用房值班3人、大院巡逻岗4人</w:t>
            </w:r>
            <w:r>
              <w:rPr>
                <w:rFonts w:hint="eastAsia" w:ascii="宋体" w:hAnsi="宋体" w:eastAsia="宋体" w:cs="宋体"/>
                <w:b/>
                <w:bCs/>
                <w:color w:val="auto"/>
                <w:kern w:val="0"/>
                <w:sz w:val="21"/>
                <w:szCs w:val="21"/>
              </w:rPr>
              <w:t>（所有保安员必须持保安员证，且在响应文件中提供上岗相关资格证书）</w:t>
            </w:r>
          </w:p>
          <w:p>
            <w:pPr>
              <w:widowControl/>
              <w:spacing w:line="520" w:lineRule="exact"/>
              <w:ind w:firstLine="411" w:firstLineChars="196"/>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（二）保洁员配置：6人</w:t>
            </w:r>
          </w:p>
          <w:p>
            <w:pPr>
              <w:widowControl/>
              <w:spacing w:line="520" w:lineRule="exact"/>
              <w:ind w:firstLine="411" w:firstLineChars="196"/>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（三）绿化护理员配置：2人</w:t>
            </w:r>
          </w:p>
          <w:p>
            <w:pPr>
              <w:widowControl/>
              <w:spacing w:line="520" w:lineRule="exact"/>
              <w:ind w:firstLine="411" w:firstLineChars="196"/>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（四）机关会务员配置：2人</w:t>
            </w:r>
          </w:p>
          <w:p>
            <w:pPr>
              <w:widowControl/>
              <w:spacing w:line="520" w:lineRule="exact"/>
              <w:ind w:firstLine="411" w:firstLineChars="196"/>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（五）水电维修员配置：1人</w:t>
            </w:r>
            <w:r>
              <w:rPr>
                <w:rFonts w:hint="eastAsia" w:ascii="宋体" w:hAnsi="宋体" w:eastAsia="宋体" w:cs="宋体"/>
                <w:b/>
                <w:bCs/>
                <w:color w:val="auto"/>
                <w:kern w:val="0"/>
                <w:sz w:val="21"/>
                <w:szCs w:val="21"/>
              </w:rPr>
              <w:t>（必须持证上岗，掌握供电维修技术，且在响应文件中提供上岗相关资格证书）</w:t>
            </w:r>
          </w:p>
          <w:p>
            <w:pPr>
              <w:widowControl/>
              <w:spacing w:line="520" w:lineRule="exact"/>
              <w:ind w:firstLine="411" w:firstLineChars="196"/>
              <w:rPr>
                <w:rFonts w:hint="eastAsia" w:ascii="宋体" w:hAnsi="宋体" w:eastAsia="宋体"/>
                <w:color w:val="auto"/>
                <w:szCs w:val="21"/>
                <w:lang w:val="en-US" w:eastAsia="zh-CN"/>
              </w:rPr>
            </w:pPr>
            <w:r>
              <w:rPr>
                <w:rFonts w:hint="eastAsia" w:ascii="宋体" w:hAnsi="宋体" w:eastAsia="宋体" w:cs="宋体"/>
                <w:color w:val="auto"/>
                <w:kern w:val="0"/>
                <w:sz w:val="21"/>
                <w:szCs w:val="21"/>
              </w:rPr>
              <w:t>（六）主管配置：1名。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1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rPr>
                <w:rFonts w:hint="eastAsia" w:ascii="宋体" w:hAnsi="宋体" w:eastAsia="宋体"/>
                <w:b/>
                <w:bCs/>
                <w:color w:val="auto"/>
                <w:kern w:val="0"/>
                <w:lang w:eastAsia="zh-CN"/>
              </w:rPr>
            </w:pPr>
            <w:r>
              <w:rPr>
                <w:rFonts w:hint="eastAsia" w:ascii="宋体" w:hAnsi="宋体" w:cs="宋体"/>
                <w:bCs/>
                <w:color w:val="auto"/>
                <w:kern w:val="0"/>
                <w:szCs w:val="21"/>
              </w:rPr>
              <w:t>★</w:t>
            </w:r>
            <w:r>
              <w:rPr>
                <w:rFonts w:hint="eastAsia" w:ascii="宋体" w:hAnsi="宋体"/>
                <w:color w:val="auto"/>
                <w:szCs w:val="21"/>
              </w:rPr>
              <w:t>一、</w:t>
            </w:r>
            <w:r>
              <w:rPr>
                <w:rFonts w:hint="eastAsia" w:ascii="宋体" w:hAnsi="宋体"/>
                <w:b/>
                <w:color w:val="auto"/>
                <w:szCs w:val="21"/>
              </w:rPr>
              <w:t>商务</w:t>
            </w:r>
            <w:r>
              <w:rPr>
                <w:rFonts w:hint="eastAsia" w:ascii="宋体" w:hAnsi="宋体"/>
                <w:b/>
                <w:color w:val="auto"/>
                <w:szCs w:val="21"/>
                <w:lang w:val="en-US"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1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color w:val="auto"/>
              </w:rPr>
            </w:pPr>
            <w:r>
              <w:rPr>
                <w:rFonts w:hint="eastAsia" w:ascii="宋体" w:hAnsi="宋体" w:cs="宋体"/>
                <w:color w:val="auto"/>
                <w:kern w:val="0"/>
                <w:szCs w:val="21"/>
                <w:lang w:val="en-US" w:eastAsia="zh-CN"/>
              </w:rPr>
              <w:t>1.</w:t>
            </w:r>
            <w:r>
              <w:rPr>
                <w:rFonts w:hint="eastAsia" w:ascii="宋体" w:hAnsi="宋体" w:cs="宋体"/>
                <w:color w:val="auto"/>
                <w:kern w:val="0"/>
                <w:szCs w:val="21"/>
              </w:rPr>
              <w:t>成交供应商应在成交通知书发出后</w:t>
            </w:r>
            <w:r>
              <w:rPr>
                <w:rFonts w:hint="eastAsia" w:ascii="宋体" w:hAnsi="宋体" w:cs="宋体"/>
                <w:color w:val="auto"/>
                <w:kern w:val="0"/>
                <w:szCs w:val="21"/>
                <w:u w:val="single"/>
                <w:lang w:val="en-US" w:eastAsia="zh-CN"/>
              </w:rPr>
              <w:t>10</w:t>
            </w:r>
            <w:r>
              <w:rPr>
                <w:rFonts w:hint="eastAsia" w:ascii="宋体" w:hAnsi="宋体" w:cs="宋体"/>
                <w:color w:val="auto"/>
                <w:kern w:val="0"/>
                <w:szCs w:val="21"/>
              </w:rPr>
              <w:t>日内与采购人签订合同。</w:t>
            </w:r>
          </w:p>
          <w:p>
            <w:pPr>
              <w:spacing w:line="400" w:lineRule="exact"/>
              <w:rPr>
                <w:rFonts w:hint="default" w:ascii="宋体" w:hAnsi="宋体"/>
                <w:color w:val="auto"/>
                <w:szCs w:val="21"/>
                <w:lang w:val="en-US" w:eastAsia="zh-CN"/>
              </w:rPr>
            </w:pPr>
            <w:r>
              <w:rPr>
                <w:rFonts w:hint="eastAsia"/>
                <w:color w:val="auto"/>
                <w:lang w:val="en-US" w:eastAsia="zh-CN"/>
              </w:rPr>
              <w:t>2</w:t>
            </w:r>
            <w:r>
              <w:rPr>
                <w:rFonts w:hint="eastAsia"/>
                <w:color w:val="auto"/>
              </w:rPr>
              <w:t>.交付地点：</w:t>
            </w:r>
            <w:r>
              <w:rPr>
                <w:rFonts w:hint="eastAsia" w:ascii="宋体" w:hAnsi="宋体"/>
                <w:color w:val="auto"/>
                <w:szCs w:val="21"/>
                <w:lang w:val="en-US" w:eastAsia="zh-CN"/>
              </w:rPr>
              <w:t>钦州市钦南区建设街通达巷二号广西壮族自治区沿海公路发展中心大院。</w:t>
            </w:r>
          </w:p>
          <w:p>
            <w:pPr>
              <w:autoSpaceDE w:val="0"/>
              <w:autoSpaceDN w:val="0"/>
              <w:adjustRightInd w:val="0"/>
              <w:spacing w:line="400" w:lineRule="exact"/>
              <w:rPr>
                <w:rFonts w:hint="eastAsia"/>
                <w:color w:val="auto"/>
              </w:rPr>
            </w:pPr>
            <w:r>
              <w:rPr>
                <w:rFonts w:hint="eastAsia"/>
                <w:color w:val="auto"/>
                <w:lang w:val="en-US" w:eastAsia="zh-CN"/>
              </w:rPr>
              <w:t>3</w:t>
            </w:r>
            <w:r>
              <w:rPr>
                <w:rFonts w:hint="eastAsia"/>
                <w:color w:val="auto"/>
              </w:rPr>
              <w:t>.服务期限：</w:t>
            </w:r>
            <w:r>
              <w:rPr>
                <w:rFonts w:hint="eastAsia"/>
                <w:color w:val="auto"/>
                <w:lang w:val="en-US" w:eastAsia="zh-CN"/>
              </w:rPr>
              <w:t>2</w:t>
            </w:r>
            <w:r>
              <w:rPr>
                <w:rFonts w:hint="eastAsia"/>
                <w:color w:val="auto"/>
              </w:rPr>
              <w:t>年，自签订合同之日起至本项目服务期满止。</w:t>
            </w:r>
          </w:p>
          <w:p>
            <w:pPr>
              <w:spacing w:line="360" w:lineRule="auto"/>
              <w:rPr>
                <w:rFonts w:hint="eastAsia"/>
                <w:color w:val="auto"/>
              </w:rPr>
            </w:pPr>
            <w:r>
              <w:rPr>
                <w:rFonts w:hint="eastAsia"/>
                <w:color w:val="auto"/>
                <w:lang w:val="en-US" w:eastAsia="zh-CN"/>
              </w:rPr>
              <w:t>4</w:t>
            </w:r>
            <w:r>
              <w:rPr>
                <w:rFonts w:hint="eastAsia"/>
                <w:color w:val="auto"/>
              </w:rPr>
              <w:t>.付款</w:t>
            </w:r>
            <w:r>
              <w:rPr>
                <w:color w:val="auto"/>
              </w:rPr>
              <w:t>方式：</w:t>
            </w:r>
            <w:r>
              <w:rPr>
                <w:rFonts w:hint="eastAsia" w:ascii="宋体" w:hAnsi="宋体" w:eastAsia="宋体" w:cs="宋体"/>
                <w:color w:val="auto"/>
                <w:kern w:val="0"/>
                <w:sz w:val="21"/>
                <w:szCs w:val="21"/>
              </w:rPr>
              <w:t>成交供应商</w:t>
            </w:r>
            <w:r>
              <w:rPr>
                <w:rFonts w:hint="eastAsia" w:ascii="宋体" w:hAnsi="宋体" w:cs="宋体"/>
                <w:color w:val="auto"/>
                <w:kern w:val="0"/>
                <w:sz w:val="21"/>
                <w:szCs w:val="21"/>
                <w:lang w:val="en-US" w:eastAsia="zh-CN"/>
              </w:rPr>
              <w:t>每月25日前</w:t>
            </w:r>
            <w:r>
              <w:rPr>
                <w:rFonts w:hint="eastAsia" w:ascii="宋体" w:hAnsi="宋体" w:eastAsia="宋体" w:cs="宋体"/>
                <w:color w:val="auto"/>
                <w:kern w:val="0"/>
                <w:sz w:val="21"/>
                <w:szCs w:val="21"/>
              </w:rPr>
              <w:t>按国家有关财税规定开具发票，</w:t>
            </w:r>
            <w:r>
              <w:rPr>
                <w:rFonts w:hint="eastAsia" w:ascii="宋体" w:hAnsi="宋体" w:cs="宋体"/>
                <w:color w:val="auto"/>
                <w:kern w:val="0"/>
                <w:sz w:val="21"/>
                <w:szCs w:val="21"/>
                <w:lang w:val="en-US" w:eastAsia="zh-CN"/>
              </w:rPr>
              <w:t>采购人</w:t>
            </w:r>
            <w:r>
              <w:rPr>
                <w:rFonts w:hint="eastAsia" w:ascii="宋体" w:hAnsi="宋体" w:eastAsia="宋体" w:cs="宋体"/>
                <w:color w:val="auto"/>
                <w:kern w:val="0"/>
                <w:sz w:val="21"/>
                <w:szCs w:val="21"/>
              </w:rPr>
              <w:t>按月度结算费用。</w:t>
            </w:r>
          </w:p>
          <w:p>
            <w:pPr>
              <w:spacing w:line="360" w:lineRule="auto"/>
              <w:jc w:val="left"/>
              <w:rPr>
                <w:rFonts w:hint="eastAsia"/>
                <w:color w:val="auto"/>
              </w:rPr>
            </w:pPr>
            <w:r>
              <w:rPr>
                <w:rFonts w:hint="eastAsia"/>
                <w:color w:val="auto"/>
                <w:lang w:val="en-US" w:eastAsia="zh-CN"/>
              </w:rPr>
              <w:t>5</w:t>
            </w:r>
            <w:r>
              <w:rPr>
                <w:rFonts w:hint="eastAsia"/>
                <w:color w:val="auto"/>
              </w:rPr>
              <w:t>.</w:t>
            </w:r>
            <w:r>
              <w:rPr>
                <w:color w:val="auto"/>
              </w:rPr>
              <w:t xml:space="preserve"> </w:t>
            </w:r>
            <w:r>
              <w:rPr>
                <w:rFonts w:hint="eastAsia"/>
                <w:color w:val="auto"/>
              </w:rPr>
              <w:t>服务要求</w:t>
            </w:r>
          </w:p>
          <w:p>
            <w:pPr>
              <w:spacing w:line="360" w:lineRule="auto"/>
              <w:jc w:val="left"/>
              <w:rPr>
                <w:rFonts w:hint="eastAsia"/>
                <w:color w:val="auto"/>
              </w:rPr>
            </w:pPr>
            <w:r>
              <w:rPr>
                <w:rFonts w:hint="eastAsia"/>
                <w:color w:val="auto"/>
              </w:rPr>
              <w:t>（1）处理问题响应时间：接到采购人处理问题通知后30分钟内到达采购人指定现场。</w:t>
            </w:r>
          </w:p>
          <w:p>
            <w:pPr>
              <w:spacing w:line="360" w:lineRule="auto"/>
              <w:jc w:val="left"/>
              <w:rPr>
                <w:rFonts w:hint="eastAsia"/>
                <w:color w:val="auto"/>
              </w:rPr>
            </w:pPr>
            <w:r>
              <w:rPr>
                <w:rFonts w:hint="eastAsia"/>
                <w:color w:val="auto"/>
              </w:rPr>
              <w:t>（2）如遇采购人等上级领导临时交办特殊紧急事件，按采购人要求进行特殊处理。</w:t>
            </w:r>
          </w:p>
          <w:p>
            <w:pPr>
              <w:spacing w:line="360" w:lineRule="auto"/>
              <w:jc w:val="left"/>
              <w:rPr>
                <w:rFonts w:hint="eastAsia"/>
                <w:color w:val="auto"/>
              </w:rPr>
            </w:pPr>
            <w:r>
              <w:rPr>
                <w:rFonts w:hint="eastAsia"/>
                <w:color w:val="auto"/>
              </w:rPr>
              <w:t>（3）成交供应商需按照合同约定人数及岗位配备齐全，各岗位人员资格要求满足或优于磋商文件要求。</w:t>
            </w:r>
          </w:p>
          <w:p>
            <w:pPr>
              <w:widowControl/>
              <w:spacing w:line="520" w:lineRule="exact"/>
              <w:rPr>
                <w:rFonts w:hint="default" w:ascii="宋体" w:hAnsi="宋体" w:cs="宋体"/>
                <w:color w:val="auto"/>
                <w:kern w:val="0"/>
                <w:sz w:val="21"/>
                <w:szCs w:val="21"/>
                <w:lang w:val="en-US" w:eastAsia="zh-CN"/>
              </w:rPr>
            </w:pPr>
            <w:r>
              <w:rPr>
                <w:rFonts w:hint="eastAsia"/>
                <w:color w:val="auto"/>
                <w:lang w:val="en-US" w:eastAsia="zh-CN"/>
              </w:rPr>
              <w:t>6</w:t>
            </w:r>
            <w:r>
              <w:rPr>
                <w:rFonts w:hint="eastAsia"/>
                <w:color w:val="auto"/>
              </w:rPr>
              <w:t>.</w:t>
            </w:r>
            <w:r>
              <w:rPr>
                <w:rFonts w:hint="eastAsia"/>
                <w:color w:val="auto"/>
                <w:lang w:val="en-US" w:eastAsia="zh-CN"/>
              </w:rPr>
              <w:t>报价要求：</w:t>
            </w:r>
            <w:r>
              <w:rPr>
                <w:rFonts w:hint="eastAsia" w:ascii="宋体" w:hAnsi="宋体" w:eastAsia="宋体" w:cs="宋体"/>
                <w:color w:val="auto"/>
                <w:kern w:val="0"/>
                <w:sz w:val="21"/>
                <w:szCs w:val="21"/>
              </w:rPr>
              <w:t>本项目报价包含服务期内所有费用，包括但不限于工资、社保、个人意外险、税金等。其中，人员工资和社会保险需符合钦州市最新相关标准。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b/>
                <w:color w:val="auto"/>
                <w:szCs w:val="21"/>
              </w:rPr>
            </w:pPr>
            <w:r>
              <w:rPr>
                <w:rFonts w:ascii="宋体" w:hAnsi="宋体"/>
                <w:b/>
                <w:color w:val="auto"/>
                <w:szCs w:val="21"/>
              </w:rPr>
              <w:t>二</w:t>
            </w:r>
            <w:r>
              <w:rPr>
                <w:rFonts w:hint="eastAsia" w:ascii="宋体" w:hAnsi="宋体"/>
                <w:b/>
                <w:color w:val="auto"/>
                <w:szCs w:val="21"/>
              </w:rPr>
              <w:t>、验收标准</w:t>
            </w:r>
          </w:p>
        </w:tc>
        <w:tc>
          <w:tcPr>
            <w:tcW w:w="7903"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180"/>
                <w:tab w:val="left" w:pos="1620"/>
              </w:tabs>
              <w:spacing w:line="360" w:lineRule="auto"/>
              <w:rPr>
                <w:rFonts w:ascii="宋体" w:hAnsi="宋体" w:cs="宋体"/>
                <w:bCs/>
                <w:color w:val="auto"/>
                <w:szCs w:val="21"/>
              </w:rPr>
            </w:pPr>
            <w:r>
              <w:rPr>
                <w:rFonts w:hint="eastAsia" w:ascii="宋体" w:hAnsi="宋体" w:cs="宋体"/>
                <w:bCs/>
                <w:color w:val="auto"/>
                <w:szCs w:val="21"/>
              </w:rPr>
              <w:t>符合现行国家相关标准、行业标准、地方标准或者其他标准、规范。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olor w:val="auto"/>
                <w:szCs w:val="21"/>
              </w:rPr>
            </w:pPr>
            <w:r>
              <w:rPr>
                <w:rFonts w:ascii="宋体" w:hAnsi="宋体"/>
                <w:b/>
                <w:color w:val="auto"/>
                <w:szCs w:val="21"/>
              </w:rPr>
              <w:t>三</w:t>
            </w:r>
            <w:r>
              <w:rPr>
                <w:rFonts w:hint="eastAsia" w:ascii="宋体" w:hAnsi="宋体"/>
                <w:b/>
                <w:color w:val="auto"/>
                <w:szCs w:val="21"/>
              </w:rPr>
              <w:t>、其他要求</w:t>
            </w:r>
          </w:p>
        </w:tc>
        <w:tc>
          <w:tcPr>
            <w:tcW w:w="790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color w:val="auto"/>
                <w:highlight w:val="none"/>
              </w:rPr>
            </w:pPr>
            <w:r>
              <w:rPr>
                <w:rFonts w:hint="eastAsia"/>
                <w:color w:val="auto"/>
              </w:rPr>
              <w:t>1.供应商应根据项目要求提供</w:t>
            </w:r>
            <w:r>
              <w:rPr>
                <w:rFonts w:hint="eastAsia" w:ascii="Times New Roman" w:hAnsi="Times New Roman" w:eastAsia="宋体" w:cs="Times New Roman"/>
                <w:color w:val="auto"/>
                <w:highlight w:val="none"/>
              </w:rPr>
              <w:t>具体的</w:t>
            </w:r>
            <w:r>
              <w:rPr>
                <w:rFonts w:hint="eastAsia" w:ascii="Times New Roman" w:hAnsi="Times New Roman" w:eastAsia="宋体" w:cs="Times New Roman"/>
                <w:color w:val="auto"/>
                <w:highlight w:val="none"/>
                <w:lang w:val="en-US" w:eastAsia="zh-CN"/>
              </w:rPr>
              <w:t>技术</w:t>
            </w:r>
            <w:r>
              <w:rPr>
                <w:rFonts w:hint="eastAsia" w:ascii="Times New Roman" w:hAnsi="Times New Roman" w:eastAsia="宋体" w:cs="Times New Roman"/>
                <w:color w:val="auto"/>
                <w:highlight w:val="none"/>
              </w:rPr>
              <w:t>方案（包括但不限于供应商能按本项目《服务要求》以及</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商务</w:t>
            </w:r>
            <w:r>
              <w:rPr>
                <w:rFonts w:hint="eastAsia" w:ascii="Times New Roman" w:hAnsi="Times New Roman" w:eastAsia="宋体" w:cs="Times New Roman"/>
                <w:color w:val="auto"/>
                <w:highlight w:val="none"/>
              </w:rPr>
              <w:t>要求</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所做出的管理规章制度及档案建立管理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物资配置及日常管理方案</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应急方案</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人员配置方案</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服务承</w:t>
            </w:r>
            <w:r>
              <w:rPr>
                <w:rFonts w:hint="eastAsia" w:ascii="宋体" w:hAnsi="宋体" w:cs="Courier New"/>
                <w:color w:val="auto"/>
                <w:szCs w:val="20"/>
              </w:rPr>
              <w:t>诺</w:t>
            </w:r>
            <w:r>
              <w:rPr>
                <w:rFonts w:hint="eastAsia"/>
                <w:color w:val="auto"/>
                <w:highlight w:val="none"/>
                <w:lang w:val="en-US" w:eastAsia="zh-CN"/>
              </w:rPr>
              <w:t>等</w:t>
            </w:r>
            <w:r>
              <w:rPr>
                <w:rFonts w:hint="eastAsia"/>
                <w:color w:val="auto"/>
                <w:highlight w:val="none"/>
              </w:rPr>
              <w:t>）。</w:t>
            </w:r>
          </w:p>
          <w:p>
            <w:pPr>
              <w:widowControl/>
              <w:spacing w:line="520" w:lineRule="exact"/>
              <w:rPr>
                <w:rFonts w:hint="eastAsia"/>
                <w:color w:val="auto"/>
                <w:lang w:val="en-US" w:eastAsia="zh-CN"/>
              </w:rPr>
            </w:pPr>
            <w:r>
              <w:rPr>
                <w:rFonts w:hint="eastAsia" w:ascii="宋体" w:hAnsi="宋体" w:cs="宋体"/>
                <w:color w:val="auto"/>
                <w:kern w:val="0"/>
                <w:sz w:val="21"/>
                <w:szCs w:val="21"/>
                <w:lang w:val="en-US" w:eastAsia="zh-CN"/>
              </w:rPr>
              <w:t>2.</w:t>
            </w:r>
            <w:r>
              <w:rPr>
                <w:rFonts w:hint="eastAsia" w:ascii="宋体" w:hAnsi="宋体" w:eastAsia="宋体" w:cs="宋体"/>
                <w:color w:val="auto"/>
                <w:kern w:val="0"/>
                <w:sz w:val="21"/>
                <w:szCs w:val="21"/>
              </w:rPr>
              <w:t>供应商一旦成交，不得以任何理由转包本项目。</w:t>
            </w:r>
          </w:p>
          <w:p>
            <w:pPr>
              <w:spacing w:line="360" w:lineRule="auto"/>
              <w:rPr>
                <w:rFonts w:hint="eastAsia"/>
                <w:color w:val="auto"/>
              </w:rPr>
            </w:pPr>
            <w:r>
              <w:rPr>
                <w:rFonts w:hint="eastAsia"/>
                <w:color w:val="auto"/>
                <w:lang w:val="en-US" w:eastAsia="zh-CN"/>
              </w:rPr>
              <w:t>3</w:t>
            </w:r>
            <w:r>
              <w:rPr>
                <w:rFonts w:hint="eastAsia"/>
                <w:color w:val="auto"/>
              </w:rPr>
              <w:t>.成交供应商应严格执行国家、自治区、</w:t>
            </w:r>
            <w:r>
              <w:rPr>
                <w:rFonts w:hint="eastAsia"/>
                <w:color w:val="auto"/>
                <w:lang w:val="en-US" w:eastAsia="zh-CN"/>
              </w:rPr>
              <w:t>钦州</w:t>
            </w:r>
            <w:r>
              <w:rPr>
                <w:rFonts w:hint="eastAsia"/>
                <w:color w:val="auto"/>
              </w:rPr>
              <w:t>市有关物业管理法律法规规定和物业管理服务合同，实施专业化统一管理。</w:t>
            </w:r>
          </w:p>
          <w:p>
            <w:pPr>
              <w:spacing w:line="360" w:lineRule="auto"/>
              <w:rPr>
                <w:rFonts w:hint="eastAsia"/>
                <w:color w:val="auto"/>
              </w:rPr>
            </w:pPr>
            <w:r>
              <w:rPr>
                <w:rFonts w:hint="eastAsia"/>
                <w:color w:val="auto"/>
                <w:lang w:val="en-US" w:eastAsia="zh-CN"/>
              </w:rPr>
              <w:t>4</w:t>
            </w:r>
            <w:r>
              <w:rPr>
                <w:rFonts w:hint="eastAsia"/>
                <w:color w:val="auto"/>
              </w:rPr>
              <w:t>.成交供应商必须按照《劳动合同法》的规定与员工签订劳动合同并依据国家、广西和</w:t>
            </w:r>
            <w:r>
              <w:rPr>
                <w:rFonts w:hint="eastAsia"/>
                <w:color w:val="auto"/>
                <w:lang w:val="en-US" w:eastAsia="zh-CN"/>
              </w:rPr>
              <w:t>钦州</w:t>
            </w:r>
            <w:r>
              <w:rPr>
                <w:rFonts w:hint="eastAsia"/>
                <w:color w:val="auto"/>
              </w:rPr>
              <w:t>市有关最低工资标准的规定要求以及缴纳各种社会保险的规定要求向员工支付工资和缴纳社保及其他保险。供应商的报价中必须按该条款要求充分考虑人员配置要求中各类人员的工资、福利、加班费、社保及其他应缴保险。</w:t>
            </w:r>
          </w:p>
          <w:p>
            <w:pPr>
              <w:spacing w:line="440" w:lineRule="exact"/>
              <w:jc w:val="left"/>
              <w:rPr>
                <w:rFonts w:ascii="宋体" w:hAnsi="宋体" w:cs="宋体"/>
                <w:color w:val="auto"/>
                <w:kern w:val="0"/>
                <w:szCs w:val="21"/>
              </w:rPr>
            </w:pPr>
            <w:r>
              <w:rPr>
                <w:rFonts w:hint="eastAsia" w:ascii="宋体" w:hAnsi="宋体" w:cs="宋体"/>
                <w:color w:val="auto"/>
                <w:kern w:val="0"/>
                <w:szCs w:val="21"/>
                <w:lang w:val="en-US" w:eastAsia="zh-CN"/>
              </w:rPr>
              <w:t>5.</w:t>
            </w:r>
            <w:r>
              <w:rPr>
                <w:rFonts w:hint="eastAsia" w:ascii="宋体" w:hAnsi="宋体" w:cs="宋体"/>
                <w:color w:val="auto"/>
                <w:kern w:val="0"/>
                <w:szCs w:val="21"/>
              </w:rPr>
              <w:t>供应商在采购活动中提供虚假材料，以及提供的服务与响应文件不一致的，报采购监管部门查处。</w:t>
            </w:r>
          </w:p>
          <w:p>
            <w:pPr>
              <w:spacing w:line="440" w:lineRule="exact"/>
              <w:jc w:val="left"/>
              <w:rPr>
                <w:color w:val="auto"/>
              </w:rPr>
            </w:pPr>
            <w:r>
              <w:rPr>
                <w:rFonts w:hint="eastAsia" w:ascii="宋体" w:hAnsi="宋体" w:cs="宋体"/>
                <w:color w:val="auto"/>
                <w:kern w:val="0"/>
                <w:szCs w:val="21"/>
                <w:lang w:val="en-US" w:eastAsia="zh-CN"/>
              </w:rPr>
              <w:t>6.</w:t>
            </w:r>
            <w:r>
              <w:rPr>
                <w:rFonts w:hint="eastAsia" w:ascii="宋体" w:hAnsi="宋体" w:cs="宋体"/>
                <w:color w:val="auto"/>
                <w:kern w:val="0"/>
                <w:szCs w:val="21"/>
              </w:rPr>
              <w:t>成交供应商所供服务不按响应文件履约的，将按照《中华人民共和国政府采购法》及其实施条例、《政府采购竞争性磋商采购方式管理暂行办法》等有关规定等严肃处理。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170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default"/>
                <w:color w:val="auto"/>
                <w:lang w:val="en-US" w:eastAsia="zh-CN"/>
              </w:rPr>
            </w:pPr>
            <w:r>
              <w:rPr>
                <w:rFonts w:hint="eastAsia"/>
                <w:b/>
                <w:bCs/>
                <w:color w:val="auto"/>
              </w:rPr>
              <w:t>四、</w:t>
            </w:r>
            <w:r>
              <w:rPr>
                <w:rFonts w:hint="eastAsia"/>
                <w:b/>
                <w:bCs/>
                <w:color w:val="auto"/>
                <w:lang w:val="en-US" w:eastAsia="zh-CN"/>
              </w:rPr>
              <w:t>现场踏勘</w:t>
            </w:r>
          </w:p>
        </w:tc>
        <w:tc>
          <w:tcPr>
            <w:tcW w:w="790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20" w:firstLineChars="200"/>
              <w:rPr>
                <w:rFonts w:hint="eastAsia"/>
                <w:color w:val="auto"/>
              </w:rPr>
            </w:pPr>
            <w:r>
              <w:rPr>
                <w:rFonts w:hint="eastAsia"/>
                <w:color w:val="auto"/>
              </w:rPr>
              <w:t>为保证项目质量，</w:t>
            </w:r>
            <w:r>
              <w:rPr>
                <w:rFonts w:hint="eastAsia"/>
                <w:color w:val="auto"/>
                <w:lang w:val="en-US" w:eastAsia="zh-CN"/>
              </w:rPr>
              <w:t>竞标人</w:t>
            </w:r>
            <w:r>
              <w:rPr>
                <w:rFonts w:hint="eastAsia"/>
                <w:color w:val="auto"/>
              </w:rPr>
              <w:t>应对项目有全面的了解，采购人和钦州市政府采购中心将组织</w:t>
            </w:r>
            <w:r>
              <w:rPr>
                <w:rFonts w:hint="eastAsia"/>
                <w:color w:val="auto"/>
                <w:lang w:val="en-US" w:eastAsia="zh-CN"/>
              </w:rPr>
              <w:t>竞标</w:t>
            </w:r>
            <w:r>
              <w:rPr>
                <w:rFonts w:hint="eastAsia"/>
                <w:color w:val="auto"/>
              </w:rPr>
              <w:t>人统一实地踏勘，以便能做出合理报价。否则由于项目了解不透切导致</w:t>
            </w:r>
            <w:r>
              <w:rPr>
                <w:rFonts w:hint="eastAsia"/>
                <w:color w:val="auto"/>
                <w:lang w:val="en-US" w:eastAsia="zh-CN"/>
              </w:rPr>
              <w:t>竞标</w:t>
            </w:r>
            <w:r>
              <w:rPr>
                <w:rFonts w:hint="eastAsia"/>
                <w:color w:val="auto"/>
              </w:rPr>
              <w:t>失误的后果由</w:t>
            </w:r>
            <w:r>
              <w:rPr>
                <w:rFonts w:hint="eastAsia"/>
                <w:color w:val="auto"/>
                <w:lang w:val="en-US" w:eastAsia="zh-CN"/>
              </w:rPr>
              <w:t>竞标</w:t>
            </w:r>
            <w:r>
              <w:rPr>
                <w:rFonts w:hint="eastAsia"/>
                <w:color w:val="auto"/>
              </w:rPr>
              <w:t>人自行承担，现场踏勘所发生的一切费用均由</w:t>
            </w:r>
            <w:r>
              <w:rPr>
                <w:rFonts w:hint="eastAsia"/>
                <w:color w:val="auto"/>
                <w:lang w:val="en-US" w:eastAsia="zh-CN"/>
              </w:rPr>
              <w:t>竞标</w:t>
            </w:r>
            <w:r>
              <w:rPr>
                <w:rFonts w:hint="eastAsia"/>
                <w:color w:val="auto"/>
              </w:rPr>
              <w:t>人自行承担。现场勘查须携带的资料：</w:t>
            </w:r>
            <w:r>
              <w:rPr>
                <w:rFonts w:hint="eastAsia"/>
                <w:color w:val="auto"/>
                <w:lang w:val="en-US" w:eastAsia="zh-CN"/>
              </w:rPr>
              <w:t>竞标</w:t>
            </w:r>
            <w:r>
              <w:rPr>
                <w:rFonts w:hint="eastAsia"/>
                <w:color w:val="auto"/>
              </w:rPr>
              <w:t>人代表持获取采购文件回执函、单位介绍信原件或授权委托书、个人身份证原件。现场踏勘集中时间：2024年</w:t>
            </w:r>
            <w:r>
              <w:rPr>
                <w:rFonts w:hint="eastAsia"/>
                <w:color w:val="auto"/>
                <w:lang w:val="en-US" w:eastAsia="zh-CN"/>
              </w:rPr>
              <w:t>6</w:t>
            </w:r>
            <w:r>
              <w:rPr>
                <w:rFonts w:hint="eastAsia"/>
                <w:color w:val="auto"/>
              </w:rPr>
              <w:t>月</w:t>
            </w:r>
            <w:r>
              <w:rPr>
                <w:rFonts w:hint="eastAsia"/>
                <w:color w:val="auto"/>
                <w:lang w:val="en-US" w:eastAsia="zh-CN"/>
              </w:rPr>
              <w:t>21</w:t>
            </w:r>
            <w:r>
              <w:rPr>
                <w:rFonts w:hint="eastAsia"/>
                <w:color w:val="auto"/>
              </w:rPr>
              <w:t>日</w:t>
            </w:r>
            <w:r>
              <w:rPr>
                <w:rFonts w:hint="eastAsia"/>
                <w:color w:val="auto"/>
                <w:lang w:val="en-US" w:eastAsia="zh-CN"/>
              </w:rPr>
              <w:t>下</w:t>
            </w:r>
            <w:r>
              <w:rPr>
                <w:rFonts w:hint="eastAsia"/>
                <w:color w:val="auto"/>
              </w:rPr>
              <w:t>午</w:t>
            </w:r>
            <w:r>
              <w:rPr>
                <w:rFonts w:hint="eastAsia"/>
                <w:color w:val="auto"/>
                <w:lang w:val="en-US" w:eastAsia="zh-CN"/>
              </w:rPr>
              <w:t>3</w:t>
            </w:r>
            <w:r>
              <w:rPr>
                <w:rFonts w:hint="eastAsia"/>
                <w:color w:val="auto"/>
              </w:rPr>
              <w:t>时</w:t>
            </w:r>
            <w:r>
              <w:rPr>
                <w:rFonts w:hint="eastAsia"/>
                <w:color w:val="auto"/>
                <w:lang w:val="en-US" w:eastAsia="zh-CN"/>
              </w:rPr>
              <w:t>00</w:t>
            </w:r>
            <w:r>
              <w:rPr>
                <w:rFonts w:hint="eastAsia"/>
                <w:color w:val="auto"/>
              </w:rPr>
              <w:t>分，过期不候。集中地点：</w:t>
            </w:r>
            <w:r>
              <w:rPr>
                <w:rFonts w:hint="eastAsia" w:ascii="宋体" w:hAnsi="宋体"/>
                <w:color w:val="auto"/>
                <w:szCs w:val="21"/>
                <w:lang w:val="en-US" w:eastAsia="zh-CN"/>
              </w:rPr>
              <w:t>广西壮族自治区沿海公路发展中心（钦州市钦南区建设街通达巷二号）</w:t>
            </w:r>
            <w:r>
              <w:rPr>
                <w:rFonts w:hint="eastAsia"/>
                <w:color w:val="auto"/>
              </w:rPr>
              <w:t>；联系人：</w:t>
            </w:r>
            <w:r>
              <w:rPr>
                <w:rFonts w:hint="eastAsia" w:ascii="宋体" w:hAnsi="宋体"/>
                <w:color w:val="auto"/>
                <w:szCs w:val="21"/>
                <w:lang w:val="en-US" w:eastAsia="zh-CN"/>
              </w:rPr>
              <w:t>宁宇宁</w:t>
            </w:r>
            <w:r>
              <w:rPr>
                <w:rFonts w:hint="eastAsia"/>
                <w:color w:val="auto"/>
              </w:rPr>
              <w:t>；联系电话：</w:t>
            </w:r>
            <w:r>
              <w:rPr>
                <w:rFonts w:hint="eastAsia" w:ascii="宋体" w:hAnsi="宋体"/>
                <w:color w:val="auto"/>
                <w:szCs w:val="21"/>
                <w:lang w:val="en-US" w:eastAsia="zh-CN"/>
              </w:rPr>
              <w:t>0777-2852312</w:t>
            </w:r>
            <w:r>
              <w:rPr>
                <w:rFonts w:hint="eastAsia"/>
                <w:color w:val="auto"/>
              </w:rPr>
              <w:t>。</w:t>
            </w:r>
          </w:p>
        </w:tc>
      </w:tr>
    </w:tbl>
    <w:p>
      <w:pPr>
        <w:spacing w:line="360" w:lineRule="auto"/>
        <w:ind w:firstLine="308" w:firstLineChars="147"/>
        <w:jc w:val="left"/>
        <w:rPr>
          <w:rFonts w:ascii="宋体" w:hAnsi="宋体" w:cs="Arial"/>
          <w:bCs/>
          <w:color w:val="auto"/>
          <w:szCs w:val="21"/>
          <w:u w:val="single"/>
        </w:rPr>
      </w:pPr>
    </w:p>
    <w:p>
      <w:pPr>
        <w:widowControl/>
        <w:spacing w:line="460" w:lineRule="exact"/>
        <w:jc w:val="left"/>
        <w:rPr>
          <w:rFonts w:ascii="宋体" w:hAnsi="宋体"/>
          <w:color w:val="auto"/>
          <w:szCs w:val="21"/>
        </w:rPr>
      </w:pPr>
    </w:p>
    <w:p>
      <w:pPr>
        <w:widowControl/>
        <w:spacing w:line="460" w:lineRule="exact"/>
        <w:jc w:val="left"/>
        <w:rPr>
          <w:rFonts w:ascii="宋体" w:hAnsi="宋体"/>
          <w:color w:val="auto"/>
          <w:szCs w:val="21"/>
        </w:rPr>
      </w:pPr>
    </w:p>
    <w:p>
      <w:pPr>
        <w:widowControl/>
        <w:spacing w:line="460" w:lineRule="exact"/>
        <w:jc w:val="left"/>
        <w:rPr>
          <w:rFonts w:ascii="宋体" w:hAnsi="宋体"/>
          <w:color w:val="auto"/>
          <w:szCs w:val="21"/>
        </w:rPr>
      </w:pPr>
    </w:p>
    <w:p>
      <w:pPr>
        <w:spacing w:line="396" w:lineRule="exact"/>
        <w:rPr>
          <w:rFonts w:ascii="宋体" w:hAnsi="宋体"/>
          <w:color w:val="auto"/>
          <w:szCs w:val="21"/>
        </w:rPr>
      </w:pPr>
    </w:p>
    <w:p>
      <w:pPr>
        <w:widowControl/>
        <w:jc w:val="left"/>
        <w:rPr>
          <w:rFonts w:ascii="宋体" w:hAnsi="宋体"/>
          <w:color w:val="auto"/>
          <w:szCs w:val="21"/>
        </w:rPr>
      </w:pPr>
    </w:p>
    <w:p>
      <w:pPr>
        <w:widowControl/>
        <w:jc w:val="left"/>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color w:val="auto"/>
        </w:rPr>
      </w:pPr>
    </w:p>
    <w:p>
      <w:pPr>
        <w:pStyle w:val="2"/>
        <w:spacing w:line="400" w:lineRule="exact"/>
        <w:rPr>
          <w:rFonts w:ascii="方正小标宋简体" w:eastAsia="方正小标宋简体"/>
          <w:color w:val="auto"/>
        </w:rPr>
      </w:pPr>
      <w:bookmarkStart w:id="46" w:name="_Toc92355025"/>
      <w:r>
        <w:rPr>
          <w:rFonts w:hint="eastAsia" w:ascii="方正小标宋简体" w:eastAsia="方正小标宋简体"/>
          <w:color w:val="auto"/>
        </w:rPr>
        <w:t>第三章  供应商须知</w:t>
      </w:r>
      <w:bookmarkEnd w:id="44"/>
      <w:bookmarkEnd w:id="45"/>
      <w:bookmarkEnd w:id="46"/>
    </w:p>
    <w:p>
      <w:pPr>
        <w:jc w:val="center"/>
        <w:rPr>
          <w:rFonts w:ascii="仿宋_GB2312" w:hAnsi="宋体" w:eastAsia="仿宋_GB2312"/>
          <w:b/>
          <w:color w:val="auto"/>
          <w:sz w:val="32"/>
          <w:szCs w:val="32"/>
        </w:rPr>
      </w:pPr>
      <w:bookmarkStart w:id="47" w:name="_Toc354479499"/>
      <w:bookmarkStart w:id="48" w:name="_Toc358477281"/>
      <w:bookmarkStart w:id="49" w:name="_Toc350325671"/>
      <w:bookmarkStart w:id="50" w:name="_Toc357157408"/>
      <w:r>
        <w:rPr>
          <w:rFonts w:ascii="仿宋_GB2312" w:hAnsi="宋体" w:eastAsia="仿宋_GB2312"/>
          <w:b/>
          <w:color w:val="auto"/>
          <w:sz w:val="32"/>
          <w:szCs w:val="32"/>
        </w:rPr>
        <w:br w:type="page"/>
      </w:r>
    </w:p>
    <w:p>
      <w:pPr>
        <w:rPr>
          <w:color w:val="auto"/>
        </w:rPr>
      </w:pPr>
    </w:p>
    <w:p>
      <w:pPr>
        <w:jc w:val="center"/>
        <w:rPr>
          <w:rFonts w:ascii="黑体" w:hAnsi="黑体" w:eastAsia="黑体"/>
          <w:b/>
          <w:color w:val="auto"/>
          <w:sz w:val="32"/>
          <w:szCs w:val="32"/>
        </w:rPr>
      </w:pPr>
      <w:r>
        <w:rPr>
          <w:rFonts w:hint="eastAsia" w:ascii="黑体" w:hAnsi="黑体" w:eastAsia="黑体"/>
          <w:b/>
          <w:color w:val="auto"/>
          <w:sz w:val="32"/>
          <w:szCs w:val="32"/>
        </w:rPr>
        <w:t>一、供应商须知前附表</w:t>
      </w:r>
    </w:p>
    <w:tbl>
      <w:tblPr>
        <w:tblStyle w:val="36"/>
        <w:tblW w:w="9351" w:type="dxa"/>
        <w:jc w:val="center"/>
        <w:tblLayout w:type="fixed"/>
        <w:tblCellMar>
          <w:top w:w="0" w:type="dxa"/>
          <w:left w:w="108" w:type="dxa"/>
          <w:bottom w:w="0" w:type="dxa"/>
          <w:right w:w="108" w:type="dxa"/>
        </w:tblCellMar>
      </w:tblPr>
      <w:tblGrid>
        <w:gridCol w:w="704"/>
        <w:gridCol w:w="8647"/>
      </w:tblGrid>
      <w:tr>
        <w:tblPrEx>
          <w:tblCellMar>
            <w:top w:w="0" w:type="dxa"/>
            <w:left w:w="108" w:type="dxa"/>
            <w:bottom w:w="0" w:type="dxa"/>
            <w:right w:w="108" w:type="dxa"/>
          </w:tblCellMar>
        </w:tblPrEx>
        <w:trPr>
          <w:trHeight w:val="502"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cs="宋体"/>
                <w:color w:val="auto"/>
                <w:kern w:val="0"/>
                <w:szCs w:val="21"/>
              </w:rPr>
            </w:pPr>
            <w:r>
              <w:rPr>
                <w:rFonts w:hint="eastAsia" w:ascii="宋体" w:hAnsi="宋体" w:cs="宋体"/>
                <w:color w:val="auto"/>
                <w:kern w:val="0"/>
                <w:szCs w:val="21"/>
              </w:rPr>
              <w:t>页码</w:t>
            </w:r>
          </w:p>
        </w:tc>
        <w:tc>
          <w:tcPr>
            <w:tcW w:w="864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宋体" w:hAnsi="宋体" w:cs="宋体"/>
                <w:color w:val="auto"/>
                <w:kern w:val="0"/>
                <w:szCs w:val="21"/>
              </w:rPr>
            </w:pPr>
            <w:r>
              <w:rPr>
                <w:rFonts w:hint="eastAsia" w:ascii="宋体" w:hAnsi="宋体" w:cs="宋体"/>
                <w:color w:val="auto"/>
                <w:kern w:val="0"/>
                <w:szCs w:val="21"/>
              </w:rPr>
              <w:t>内    容</w:t>
            </w:r>
          </w:p>
        </w:tc>
      </w:tr>
      <w:tr>
        <w:tblPrEx>
          <w:tblCellMar>
            <w:top w:w="0" w:type="dxa"/>
            <w:left w:w="108" w:type="dxa"/>
            <w:bottom w:w="0" w:type="dxa"/>
            <w:right w:w="108" w:type="dxa"/>
          </w:tblCellMar>
        </w:tblPrEx>
        <w:trPr>
          <w:trHeight w:val="119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1</w:t>
            </w:r>
          </w:p>
        </w:tc>
        <w:tc>
          <w:tcPr>
            <w:tcW w:w="8647" w:type="dxa"/>
            <w:tcBorders>
              <w:top w:val="single" w:color="000000" w:sz="4" w:space="0"/>
              <w:left w:val="nil"/>
              <w:bottom w:val="single" w:color="000000" w:sz="4" w:space="0"/>
              <w:right w:val="single" w:color="000000" w:sz="4" w:space="0"/>
            </w:tcBorders>
            <w:vAlign w:val="center"/>
          </w:tcPr>
          <w:p>
            <w:pPr>
              <w:spacing w:line="440" w:lineRule="exact"/>
              <w:ind w:right="-334" w:rightChars="-159"/>
              <w:rPr>
                <w:rStyle w:val="43"/>
                <w:color w:val="auto"/>
                <w:szCs w:val="21"/>
                <w:u w:val="none"/>
              </w:rPr>
            </w:pPr>
            <w:r>
              <w:rPr>
                <w:rFonts w:ascii="宋体" w:hAnsi="宋体" w:cs="宋体"/>
                <w:color w:val="auto"/>
                <w:kern w:val="0"/>
                <w:szCs w:val="21"/>
              </w:rPr>
              <w:fldChar w:fldCharType="begin"/>
            </w:r>
            <w:r>
              <w:rPr>
                <w:rFonts w:ascii="宋体" w:hAnsi="宋体" w:cs="宋体"/>
                <w:color w:val="auto"/>
                <w:kern w:val="0"/>
                <w:szCs w:val="21"/>
              </w:rPr>
              <w:instrText xml:space="preserve"> </w:instrText>
            </w:r>
            <w:r>
              <w:rPr>
                <w:rFonts w:hint="eastAsia" w:ascii="宋体" w:hAnsi="宋体" w:cs="宋体"/>
                <w:color w:val="auto"/>
                <w:kern w:val="0"/>
                <w:szCs w:val="21"/>
              </w:rPr>
              <w:instrText xml:space="preserve">HYPERLINK </w:instrText>
            </w:r>
            <w:r>
              <w:rPr>
                <w:rFonts w:ascii="宋体" w:hAnsi="宋体" w:cs="宋体"/>
                <w:color w:val="auto"/>
                <w:kern w:val="0"/>
                <w:szCs w:val="21"/>
              </w:rPr>
              <w:instrText xml:space="preserve"> \l "_一、总_则" </w:instrText>
            </w:r>
            <w:r>
              <w:rPr>
                <w:rFonts w:ascii="宋体" w:hAnsi="宋体" w:cs="宋体"/>
                <w:color w:val="auto"/>
                <w:kern w:val="0"/>
                <w:szCs w:val="21"/>
              </w:rPr>
              <w:fldChar w:fldCharType="separate"/>
            </w:r>
            <w:r>
              <w:rPr>
                <w:rStyle w:val="43"/>
                <w:rFonts w:hint="eastAsia" w:ascii="宋体" w:hAnsi="宋体" w:cs="宋体"/>
                <w:color w:val="auto"/>
                <w:kern w:val="0"/>
                <w:szCs w:val="21"/>
                <w:u w:val="none"/>
              </w:rPr>
              <w:t>项目名称：</w:t>
            </w:r>
            <w:r>
              <w:rPr>
                <w:rFonts w:hint="eastAsia" w:ascii="宋体" w:hAnsi="宋体"/>
                <w:color w:val="auto"/>
                <w:szCs w:val="21"/>
                <w:lang w:val="en-US" w:eastAsia="zh-CN"/>
              </w:rPr>
              <w:t>广西壮族自治区沿海公路发展中心机关 2024-2026年物业管理服务</w:t>
            </w:r>
          </w:p>
          <w:p>
            <w:pPr>
              <w:widowControl/>
              <w:spacing w:line="440" w:lineRule="exact"/>
              <w:rPr>
                <w:rFonts w:ascii="宋体" w:hAnsi="宋体"/>
                <w:color w:val="auto"/>
                <w:szCs w:val="21"/>
              </w:rPr>
            </w:pPr>
            <w:r>
              <w:rPr>
                <w:rStyle w:val="43"/>
                <w:rFonts w:hint="eastAsia" w:ascii="宋体" w:hAnsi="宋体"/>
                <w:color w:val="auto"/>
                <w:szCs w:val="21"/>
                <w:u w:val="none"/>
              </w:rPr>
              <w:t>项目编号：</w:t>
            </w:r>
            <w:r>
              <w:rPr>
                <w:rFonts w:ascii="宋体" w:hAnsi="宋体" w:cs="宋体"/>
                <w:color w:val="auto"/>
                <w:kern w:val="0"/>
                <w:szCs w:val="21"/>
              </w:rPr>
              <w:fldChar w:fldCharType="end"/>
            </w:r>
            <w:r>
              <w:rPr>
                <w:rFonts w:hint="eastAsia" w:ascii="宋体" w:hAnsi="宋体"/>
                <w:bCs/>
                <w:color w:val="auto"/>
                <w:lang w:eastAsia="zh-CN"/>
              </w:rPr>
              <w:t>QZZC2024-C3-00010-CGZX</w:t>
            </w:r>
          </w:p>
        </w:tc>
      </w:tr>
      <w:tr>
        <w:tblPrEx>
          <w:tblCellMar>
            <w:top w:w="0" w:type="dxa"/>
            <w:left w:w="108" w:type="dxa"/>
            <w:bottom w:w="0" w:type="dxa"/>
            <w:right w:w="108" w:type="dxa"/>
          </w:tblCellMar>
        </w:tblPrEx>
        <w:trPr>
          <w:trHeight w:val="1136"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2</w:t>
            </w:r>
          </w:p>
        </w:tc>
        <w:tc>
          <w:tcPr>
            <w:tcW w:w="8647" w:type="dxa"/>
            <w:tcBorders>
              <w:top w:val="single" w:color="000000" w:sz="4" w:space="0"/>
              <w:left w:val="nil"/>
              <w:bottom w:val="single" w:color="000000" w:sz="4" w:space="0"/>
              <w:right w:val="single" w:color="000000" w:sz="4" w:space="0"/>
            </w:tcBorders>
            <w:vAlign w:val="center"/>
          </w:tcPr>
          <w:p>
            <w:pPr>
              <w:spacing w:line="440" w:lineRule="exact"/>
              <w:rPr>
                <w:rStyle w:val="43"/>
                <w:rFonts w:ascii="宋体" w:hAnsi="宋体"/>
                <w:color w:val="auto"/>
                <w:szCs w:val="21"/>
                <w:u w:val="none"/>
              </w:rPr>
            </w:pPr>
            <w:r>
              <w:rPr>
                <w:rStyle w:val="43"/>
                <w:rFonts w:ascii="宋体" w:hAnsi="宋体"/>
                <w:color w:val="auto"/>
                <w:szCs w:val="21"/>
                <w:u w:val="none"/>
              </w:rPr>
              <w:fldChar w:fldCharType="begin"/>
            </w:r>
            <w:r>
              <w:rPr>
                <w:rStyle w:val="43"/>
                <w:rFonts w:ascii="宋体" w:hAnsi="宋体"/>
                <w:color w:val="auto"/>
                <w:szCs w:val="21"/>
                <w:u w:val="none"/>
              </w:rPr>
              <w:instrText xml:space="preserve"> </w:instrText>
            </w:r>
            <w:r>
              <w:rPr>
                <w:rStyle w:val="43"/>
                <w:rFonts w:hint="eastAsia" w:ascii="宋体" w:hAnsi="宋体"/>
                <w:color w:val="auto"/>
                <w:szCs w:val="21"/>
                <w:u w:val="none"/>
              </w:rPr>
              <w:instrText xml:space="preserve">HYPERLINK </w:instrText>
            </w:r>
            <w:r>
              <w:rPr>
                <w:rStyle w:val="43"/>
                <w:rFonts w:ascii="宋体" w:hAnsi="宋体"/>
                <w:color w:val="auto"/>
                <w:szCs w:val="21"/>
                <w:u w:val="none"/>
              </w:rPr>
              <w:instrText xml:space="preserve"> \l "_一、总_则" </w:instrText>
            </w:r>
            <w:r>
              <w:rPr>
                <w:rStyle w:val="43"/>
                <w:rFonts w:ascii="宋体" w:hAnsi="宋体"/>
                <w:color w:val="auto"/>
                <w:szCs w:val="21"/>
                <w:u w:val="none"/>
              </w:rPr>
              <w:fldChar w:fldCharType="separate"/>
            </w:r>
            <w:r>
              <w:rPr>
                <w:rStyle w:val="43"/>
                <w:rFonts w:hint="eastAsia" w:ascii="宋体" w:hAnsi="宋体"/>
                <w:color w:val="auto"/>
                <w:szCs w:val="21"/>
                <w:u w:val="none"/>
              </w:rPr>
              <w:t>供应商资格：</w:t>
            </w:r>
          </w:p>
          <w:p>
            <w:pPr>
              <w:spacing w:line="440" w:lineRule="exact"/>
              <w:rPr>
                <w:rStyle w:val="43"/>
                <w:rFonts w:ascii="宋体" w:hAnsi="宋体"/>
                <w:color w:val="auto"/>
                <w:szCs w:val="21"/>
                <w:u w:val="none"/>
              </w:rPr>
            </w:pPr>
            <w:r>
              <w:rPr>
                <w:rStyle w:val="43"/>
                <w:rFonts w:hint="eastAsia" w:ascii="宋体" w:hAnsi="宋体"/>
                <w:color w:val="auto"/>
                <w:szCs w:val="21"/>
                <w:u w:val="none"/>
              </w:rPr>
              <w:t>1.满足《中华人民共和国政府采购法》第二十二条规定</w:t>
            </w:r>
          </w:p>
          <w:p>
            <w:pPr>
              <w:spacing w:line="400" w:lineRule="exact"/>
              <w:rPr>
                <w:rStyle w:val="43"/>
                <w:rFonts w:ascii="宋体" w:hAnsi="宋体"/>
                <w:color w:val="auto"/>
                <w:szCs w:val="21"/>
                <w:u w:val="none"/>
              </w:rPr>
            </w:pPr>
            <w:r>
              <w:rPr>
                <w:rStyle w:val="43"/>
                <w:rFonts w:hint="eastAsia" w:ascii="宋体" w:hAnsi="宋体"/>
                <w:color w:val="auto"/>
                <w:szCs w:val="21"/>
                <w:u w:val="none"/>
              </w:rPr>
              <w:t>2.落实政府采购政策需满足的资格要求：</w:t>
            </w:r>
            <w:r>
              <w:rPr>
                <w:rFonts w:hint="eastAsia"/>
                <w:color w:val="auto"/>
                <w:highlight w:val="none"/>
              </w:rPr>
              <w:t>本项目属于专门面向</w:t>
            </w:r>
            <w:r>
              <w:rPr>
                <w:rFonts w:hint="eastAsia"/>
                <w:color w:val="auto"/>
                <w:highlight w:val="none"/>
                <w:lang w:val="en-US" w:eastAsia="zh-CN"/>
              </w:rPr>
              <w:t>中小</w:t>
            </w:r>
            <w:r>
              <w:rPr>
                <w:rFonts w:hint="eastAsia"/>
                <w:color w:val="auto"/>
                <w:highlight w:val="none"/>
              </w:rPr>
              <w:t>企业项目，供应商应为</w:t>
            </w:r>
            <w:r>
              <w:rPr>
                <w:rFonts w:hint="eastAsia"/>
                <w:color w:val="auto"/>
                <w:highlight w:val="none"/>
                <w:lang w:val="en-US" w:eastAsia="zh-CN"/>
              </w:rPr>
              <w:t>中小</w:t>
            </w:r>
            <w:r>
              <w:rPr>
                <w:rFonts w:hint="eastAsia"/>
                <w:color w:val="auto"/>
                <w:highlight w:val="none"/>
              </w:rPr>
              <w:t>企业或监狱企业或残疾人福利性单位 </w:t>
            </w:r>
          </w:p>
          <w:p>
            <w:pPr>
              <w:spacing w:line="440" w:lineRule="exact"/>
              <w:rPr>
                <w:rFonts w:ascii="宋体" w:hAnsi="宋体"/>
                <w:color w:val="auto"/>
                <w:szCs w:val="21"/>
              </w:rPr>
            </w:pPr>
            <w:r>
              <w:rPr>
                <w:rStyle w:val="43"/>
                <w:rFonts w:hint="eastAsia" w:ascii="宋体" w:hAnsi="宋体"/>
                <w:color w:val="auto"/>
                <w:szCs w:val="21"/>
                <w:u w:val="none"/>
              </w:rPr>
              <w:t>3.本项目的特定资格要求：无</w:t>
            </w:r>
            <w:r>
              <w:rPr>
                <w:rStyle w:val="43"/>
                <w:rFonts w:ascii="宋体" w:hAnsi="宋体"/>
                <w:color w:val="auto"/>
                <w:szCs w:val="21"/>
                <w:u w:val="none"/>
              </w:rPr>
              <w:fldChar w:fldCharType="end"/>
            </w:r>
          </w:p>
        </w:tc>
      </w:tr>
      <w:tr>
        <w:tblPrEx>
          <w:tblCellMar>
            <w:top w:w="0" w:type="dxa"/>
            <w:left w:w="108" w:type="dxa"/>
            <w:bottom w:w="0" w:type="dxa"/>
            <w:right w:w="108" w:type="dxa"/>
          </w:tblCellMar>
        </w:tblPrEx>
        <w:trPr>
          <w:trHeight w:val="1112"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color w:val="auto"/>
                <w:kern w:val="0"/>
                <w:szCs w:val="21"/>
              </w:rPr>
            </w:pPr>
            <w:r>
              <w:rPr>
                <w:rFonts w:ascii="宋体" w:hAnsi="宋体" w:cs="宋体"/>
                <w:color w:val="auto"/>
                <w:kern w:val="0"/>
                <w:szCs w:val="21"/>
              </w:rPr>
              <w:t>3</w:t>
            </w:r>
          </w:p>
        </w:tc>
        <w:tc>
          <w:tcPr>
            <w:tcW w:w="8647" w:type="dxa"/>
            <w:tcBorders>
              <w:top w:val="single" w:color="000000" w:sz="4" w:space="0"/>
              <w:left w:val="nil"/>
              <w:bottom w:val="single" w:color="000000" w:sz="4" w:space="0"/>
              <w:right w:val="single" w:color="000000" w:sz="4" w:space="0"/>
            </w:tcBorders>
            <w:vAlign w:val="center"/>
          </w:tcPr>
          <w:p>
            <w:pPr>
              <w:spacing w:line="440" w:lineRule="exact"/>
              <w:rPr>
                <w:rFonts w:ascii="宋体" w:hAnsi="宋体"/>
                <w:color w:val="auto"/>
              </w:rPr>
            </w:pPr>
            <w:r>
              <w:rPr>
                <w:color w:val="auto"/>
              </w:rPr>
              <w:fldChar w:fldCharType="begin"/>
            </w:r>
            <w:r>
              <w:rPr>
                <w:color w:val="auto"/>
              </w:rPr>
              <w:instrText xml:space="preserve"> HYPERLINK \l "_（五）报价" </w:instrText>
            </w:r>
            <w:r>
              <w:rPr>
                <w:color w:val="auto"/>
              </w:rPr>
              <w:fldChar w:fldCharType="separate"/>
            </w:r>
            <w:r>
              <w:rPr>
                <w:rStyle w:val="43"/>
                <w:rFonts w:hint="eastAsia" w:ascii="宋体" w:hAnsi="宋体" w:cs="宋体"/>
                <w:color w:val="auto"/>
                <w:kern w:val="0"/>
                <w:szCs w:val="21"/>
                <w:u w:val="none"/>
              </w:rPr>
              <w:t>报价：供应商的报价必须按采购文件或政府采购云平台规定的格式填写，并在规定时间内提交最后报价。</w:t>
            </w:r>
            <w:r>
              <w:rPr>
                <w:rStyle w:val="43"/>
                <w:rFonts w:hint="eastAsia" w:ascii="宋体" w:hAnsi="宋体" w:cs="宋体"/>
                <w:color w:val="auto"/>
                <w:kern w:val="0"/>
                <w:szCs w:val="21"/>
                <w:u w:val="none"/>
              </w:rPr>
              <w:fldChar w:fldCharType="end"/>
            </w:r>
          </w:p>
        </w:tc>
      </w:tr>
      <w:tr>
        <w:tblPrEx>
          <w:tblCellMar>
            <w:top w:w="0" w:type="dxa"/>
            <w:left w:w="108" w:type="dxa"/>
            <w:bottom w:w="0" w:type="dxa"/>
            <w:right w:w="108" w:type="dxa"/>
          </w:tblCellMar>
        </w:tblPrEx>
        <w:trPr>
          <w:trHeight w:val="2636"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color w:val="auto"/>
                <w:kern w:val="0"/>
                <w:szCs w:val="21"/>
              </w:rPr>
            </w:pPr>
            <w:r>
              <w:rPr>
                <w:rFonts w:ascii="宋体" w:hAnsi="宋体" w:cs="宋体"/>
                <w:color w:val="auto"/>
                <w:kern w:val="0"/>
                <w:szCs w:val="21"/>
              </w:rPr>
              <w:t>4</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Style w:val="43"/>
                <w:rFonts w:ascii="宋体" w:hAnsi="宋体" w:cs="宋体"/>
                <w:color w:val="auto"/>
                <w:kern w:val="0"/>
                <w:szCs w:val="21"/>
                <w:u w:val="none"/>
              </w:rPr>
            </w:pPr>
            <w:r>
              <w:rPr>
                <w:rFonts w:ascii="宋体" w:hAnsi="宋体" w:cs="宋体"/>
                <w:color w:val="auto"/>
                <w:kern w:val="0"/>
                <w:szCs w:val="21"/>
              </w:rPr>
              <w:fldChar w:fldCharType="begin"/>
            </w:r>
            <w:r>
              <w:rPr>
                <w:rFonts w:ascii="宋体" w:hAnsi="宋体" w:cs="宋体"/>
                <w:color w:val="auto"/>
                <w:kern w:val="0"/>
                <w:szCs w:val="21"/>
              </w:rPr>
              <w:instrText xml:space="preserve"> </w:instrText>
            </w:r>
            <w:r>
              <w:rPr>
                <w:rFonts w:hint="eastAsia" w:ascii="宋体" w:hAnsi="宋体" w:cs="宋体"/>
                <w:color w:val="auto"/>
                <w:kern w:val="0"/>
                <w:szCs w:val="21"/>
              </w:rPr>
              <w:instrText xml:space="preserve">HYPERLINK </w:instrText>
            </w:r>
            <w:r>
              <w:rPr>
                <w:rFonts w:ascii="宋体" w:hAnsi="宋体" w:cs="宋体"/>
                <w:color w:val="auto"/>
                <w:kern w:val="0"/>
                <w:szCs w:val="21"/>
              </w:rPr>
              <w:instrText xml:space="preserve"> \l "_（六）磋商保证金" </w:instrText>
            </w:r>
            <w:r>
              <w:rPr>
                <w:rFonts w:ascii="宋体" w:hAnsi="宋体" w:cs="宋体"/>
                <w:color w:val="auto"/>
                <w:kern w:val="0"/>
                <w:szCs w:val="21"/>
              </w:rPr>
              <w:fldChar w:fldCharType="separate"/>
            </w:r>
            <w:r>
              <w:rPr>
                <w:rStyle w:val="43"/>
                <w:rFonts w:hint="eastAsia" w:ascii="宋体" w:hAnsi="宋体" w:cs="宋体"/>
                <w:color w:val="auto"/>
                <w:kern w:val="0"/>
                <w:szCs w:val="21"/>
                <w:u w:val="none"/>
              </w:rPr>
              <w:t>磋商保证金：</w:t>
            </w:r>
            <w:r>
              <w:rPr>
                <w:rFonts w:hint="eastAsia"/>
                <w:color w:val="auto"/>
                <w:lang w:val="en-US" w:eastAsia="zh-CN"/>
              </w:rPr>
              <w:t>10000.00元</w:t>
            </w:r>
          </w:p>
          <w:p>
            <w:pPr>
              <w:widowControl/>
              <w:spacing w:line="440" w:lineRule="exact"/>
              <w:rPr>
                <w:rStyle w:val="43"/>
                <w:color w:val="auto"/>
                <w:szCs w:val="21"/>
                <w:u w:val="none"/>
              </w:rPr>
            </w:pPr>
            <w:r>
              <w:rPr>
                <w:rStyle w:val="43"/>
                <w:rFonts w:hint="eastAsia" w:ascii="宋体"/>
                <w:color w:val="auto"/>
                <w:szCs w:val="21"/>
                <w:u w:val="none"/>
              </w:rPr>
              <w:t>注：1</w:t>
            </w:r>
            <w:r>
              <w:rPr>
                <w:rStyle w:val="43"/>
                <w:rFonts w:ascii="宋体"/>
                <w:color w:val="auto"/>
                <w:szCs w:val="21"/>
                <w:u w:val="none"/>
              </w:rPr>
              <w:t>.</w:t>
            </w:r>
            <w:r>
              <w:rPr>
                <w:rStyle w:val="43"/>
                <w:rFonts w:hint="eastAsia"/>
                <w:color w:val="auto"/>
                <w:szCs w:val="21"/>
                <w:u w:val="none"/>
              </w:rPr>
              <w:t>以支票、汇票、本票、保函等方式提交保证金的，供应商必须将票据、保函等原件于响应文件提交截止时间前递交至本中心财务室。</w:t>
            </w:r>
          </w:p>
          <w:p>
            <w:pPr>
              <w:widowControl/>
              <w:spacing w:line="440" w:lineRule="exact"/>
              <w:rPr>
                <w:rFonts w:ascii="宋体" w:hAnsi="宋体" w:cs="宋体"/>
                <w:color w:val="auto"/>
                <w:kern w:val="0"/>
                <w:szCs w:val="21"/>
              </w:rPr>
            </w:pPr>
            <w:r>
              <w:rPr>
                <w:rStyle w:val="43"/>
                <w:color w:val="auto"/>
                <w:szCs w:val="21"/>
                <w:u w:val="none"/>
              </w:rPr>
              <w:t>2.</w:t>
            </w:r>
            <w:r>
              <w:rPr>
                <w:rStyle w:val="43"/>
                <w:rFonts w:hint="eastAsia"/>
                <w:color w:val="auto"/>
                <w:szCs w:val="21"/>
                <w:u w:val="none"/>
              </w:rPr>
              <w:t>网上银行支付形式提交保证金的，供应商必须于响应文件提交截止时间前从供应商账户缴存至本中心银行账户（以到账时间为准）。</w:t>
            </w:r>
            <w:r>
              <w:rPr>
                <w:rFonts w:ascii="宋体" w:hAnsi="宋体" w:cs="宋体"/>
                <w:color w:val="auto"/>
                <w:kern w:val="0"/>
                <w:szCs w:val="21"/>
              </w:rPr>
              <w:fldChar w:fldCharType="end"/>
            </w:r>
          </w:p>
        </w:tc>
      </w:tr>
      <w:tr>
        <w:tblPrEx>
          <w:tblCellMar>
            <w:top w:w="0" w:type="dxa"/>
            <w:left w:w="108" w:type="dxa"/>
            <w:bottom w:w="0" w:type="dxa"/>
            <w:right w:w="108" w:type="dxa"/>
          </w:tblCellMar>
        </w:tblPrEx>
        <w:trPr>
          <w:trHeight w:val="2173"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5</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Style w:val="43"/>
                <w:rFonts w:ascii="宋体" w:hAnsi="宋体"/>
                <w:color w:val="auto"/>
                <w:szCs w:val="21"/>
                <w:u w:val="none"/>
              </w:rPr>
            </w:pPr>
            <w:r>
              <w:rPr>
                <w:rFonts w:ascii="宋体" w:hAnsi="宋体" w:cs="宋体"/>
                <w:color w:val="auto"/>
                <w:kern w:val="0"/>
                <w:szCs w:val="21"/>
              </w:rPr>
              <w:fldChar w:fldCharType="begin"/>
            </w:r>
            <w:r>
              <w:rPr>
                <w:rFonts w:ascii="宋体" w:hAnsi="宋体" w:cs="宋体"/>
                <w:color w:val="auto"/>
                <w:kern w:val="0"/>
                <w:szCs w:val="21"/>
              </w:rPr>
              <w:instrText xml:space="preserve"> </w:instrText>
            </w:r>
            <w:r>
              <w:rPr>
                <w:rFonts w:hint="eastAsia" w:ascii="宋体" w:hAnsi="宋体" w:cs="宋体"/>
                <w:color w:val="auto"/>
                <w:kern w:val="0"/>
                <w:szCs w:val="21"/>
              </w:rPr>
              <w:instrText xml:space="preserve">HYPERLINK </w:instrText>
            </w:r>
            <w:r>
              <w:rPr>
                <w:rFonts w:ascii="宋体" w:hAnsi="宋体" w:cs="宋体"/>
                <w:color w:val="auto"/>
                <w:kern w:val="0"/>
                <w:szCs w:val="21"/>
              </w:rPr>
              <w:instrText xml:space="preserve"> \l "_四、响应文件开启" </w:instrText>
            </w:r>
            <w:r>
              <w:rPr>
                <w:rFonts w:ascii="宋体" w:hAnsi="宋体" w:cs="宋体"/>
                <w:color w:val="auto"/>
                <w:kern w:val="0"/>
                <w:szCs w:val="21"/>
              </w:rPr>
              <w:fldChar w:fldCharType="separate"/>
            </w:r>
            <w:r>
              <w:rPr>
                <w:rStyle w:val="43"/>
                <w:rFonts w:hint="eastAsia" w:ascii="宋体" w:hAnsi="宋体" w:cs="宋体"/>
                <w:color w:val="auto"/>
                <w:kern w:val="0"/>
                <w:szCs w:val="21"/>
                <w:u w:val="none"/>
              </w:rPr>
              <w:t>响应文件提交截止时间及开启时间：</w:t>
            </w:r>
            <w:r>
              <w:rPr>
                <w:rStyle w:val="43"/>
                <w:rFonts w:hint="eastAsia" w:ascii="宋体" w:hAnsi="宋体"/>
                <w:color w:val="auto"/>
                <w:szCs w:val="21"/>
                <w:u w:val="none"/>
              </w:rPr>
              <w:t>2024年</w:t>
            </w:r>
            <w:r>
              <w:rPr>
                <w:rStyle w:val="43"/>
                <w:rFonts w:hint="eastAsia" w:ascii="宋体" w:hAnsi="宋体"/>
                <w:color w:val="auto"/>
                <w:szCs w:val="21"/>
                <w:u w:val="none"/>
                <w:lang w:val="en-US" w:eastAsia="zh-CN"/>
              </w:rPr>
              <w:t>6</w:t>
            </w:r>
            <w:r>
              <w:rPr>
                <w:rStyle w:val="43"/>
                <w:rFonts w:hint="eastAsia" w:ascii="宋体" w:hAnsi="宋体"/>
                <w:color w:val="auto"/>
                <w:szCs w:val="21"/>
                <w:u w:val="none"/>
              </w:rPr>
              <w:t>月</w:t>
            </w:r>
            <w:r>
              <w:rPr>
                <w:rStyle w:val="43"/>
                <w:rFonts w:hint="eastAsia" w:ascii="宋体" w:hAnsi="宋体"/>
                <w:color w:val="auto"/>
                <w:szCs w:val="21"/>
                <w:u w:val="none"/>
                <w:lang w:val="en-US" w:eastAsia="zh-CN"/>
              </w:rPr>
              <w:t>25</w:t>
            </w:r>
            <w:r>
              <w:rPr>
                <w:rStyle w:val="43"/>
                <w:rFonts w:hint="eastAsia" w:ascii="宋体" w:hAnsi="宋体"/>
                <w:color w:val="auto"/>
                <w:szCs w:val="21"/>
                <w:u w:val="none"/>
              </w:rPr>
              <w:t>日</w:t>
            </w:r>
            <w:r>
              <w:rPr>
                <w:rStyle w:val="43"/>
                <w:rFonts w:ascii="宋体" w:hAnsi="宋体"/>
                <w:color w:val="auto"/>
                <w:szCs w:val="21"/>
                <w:u w:val="none"/>
              </w:rPr>
              <w:t>09</w:t>
            </w:r>
            <w:r>
              <w:rPr>
                <w:rStyle w:val="43"/>
                <w:rFonts w:hint="eastAsia" w:ascii="宋体" w:hAnsi="宋体"/>
                <w:color w:val="auto"/>
                <w:szCs w:val="21"/>
                <w:u w:val="none"/>
              </w:rPr>
              <w:t>时</w:t>
            </w:r>
            <w:r>
              <w:rPr>
                <w:rStyle w:val="43"/>
                <w:rFonts w:ascii="宋体" w:hAnsi="宋体"/>
                <w:color w:val="auto"/>
                <w:szCs w:val="21"/>
                <w:u w:val="none"/>
              </w:rPr>
              <w:t>3</w:t>
            </w:r>
            <w:r>
              <w:rPr>
                <w:rStyle w:val="43"/>
                <w:rFonts w:hint="eastAsia" w:ascii="宋体" w:hAnsi="宋体"/>
                <w:color w:val="auto"/>
                <w:szCs w:val="21"/>
                <w:u w:val="none"/>
              </w:rPr>
              <w:t>0分。</w:t>
            </w:r>
          </w:p>
          <w:p>
            <w:pPr>
              <w:widowControl/>
              <w:spacing w:line="440" w:lineRule="exact"/>
              <w:rPr>
                <w:color w:val="auto"/>
              </w:rPr>
            </w:pPr>
            <w:r>
              <w:rPr>
                <w:rStyle w:val="43"/>
                <w:rFonts w:hint="eastAsia"/>
                <w:b/>
                <w:color w:val="auto"/>
                <w:szCs w:val="21"/>
                <w:u w:val="none"/>
              </w:rPr>
              <w:t>注意事项：</w:t>
            </w:r>
            <w:r>
              <w:rPr>
                <w:rStyle w:val="43"/>
                <w:rFonts w:hint="eastAsia"/>
                <w:bCs/>
                <w:color w:val="auto"/>
                <w:u w:val="none"/>
              </w:rPr>
              <w:t>供应商法定代表人或委托代理人须按时登录政采云远程开标大厅，保持全程在线并关注评审磋商进度，评审期间磋商小组提出澄清等要求时，供应商须在规定时间内进行在线应答，否则按采购文件或政采云平台的相关规定执行。</w:t>
            </w:r>
            <w:r>
              <w:rPr>
                <w:rFonts w:ascii="宋体" w:hAnsi="宋体" w:cs="宋体"/>
                <w:color w:val="auto"/>
                <w:kern w:val="0"/>
                <w:szCs w:val="21"/>
              </w:rPr>
              <w:fldChar w:fldCharType="end"/>
            </w:r>
          </w:p>
        </w:tc>
      </w:tr>
      <w:tr>
        <w:tblPrEx>
          <w:tblCellMar>
            <w:top w:w="0" w:type="dxa"/>
            <w:left w:w="108" w:type="dxa"/>
            <w:bottom w:w="0" w:type="dxa"/>
            <w:right w:w="108" w:type="dxa"/>
          </w:tblCellMar>
        </w:tblPrEx>
        <w:trPr>
          <w:trHeight w:val="92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6</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Style w:val="43"/>
                <w:rFonts w:ascii="宋体" w:hAnsi="宋体" w:cs="宋体"/>
                <w:color w:val="auto"/>
                <w:kern w:val="0"/>
                <w:szCs w:val="21"/>
                <w:u w:val="none"/>
              </w:rPr>
            </w:pPr>
            <w:r>
              <w:rPr>
                <w:rFonts w:ascii="宋体" w:hAnsi="宋体" w:cs="宋体"/>
                <w:color w:val="auto"/>
                <w:kern w:val="0"/>
                <w:szCs w:val="21"/>
              </w:rPr>
              <w:fldChar w:fldCharType="begin"/>
            </w:r>
            <w:r>
              <w:rPr>
                <w:rFonts w:ascii="宋体" w:hAnsi="宋体" w:cs="宋体"/>
                <w:color w:val="auto"/>
                <w:kern w:val="0"/>
                <w:szCs w:val="21"/>
              </w:rPr>
              <w:instrText xml:space="preserve"> HYPERLINK  \l "_五、评审与磋商" </w:instrText>
            </w:r>
            <w:r>
              <w:rPr>
                <w:rFonts w:ascii="宋体" w:hAnsi="宋体" w:cs="宋体"/>
                <w:color w:val="auto"/>
                <w:kern w:val="0"/>
                <w:szCs w:val="21"/>
              </w:rPr>
              <w:fldChar w:fldCharType="separate"/>
            </w:r>
            <w:r>
              <w:rPr>
                <w:rStyle w:val="43"/>
                <w:rFonts w:ascii="宋体" w:hAnsi="宋体" w:cs="宋体"/>
                <w:color w:val="auto"/>
                <w:kern w:val="0"/>
                <w:szCs w:val="21"/>
                <w:u w:val="none"/>
              </w:rPr>
              <w:t>评审及磋商：</w:t>
            </w:r>
          </w:p>
          <w:p>
            <w:pPr>
              <w:widowControl/>
              <w:spacing w:line="440" w:lineRule="exact"/>
              <w:rPr>
                <w:rFonts w:ascii="宋体" w:hAnsi="宋体" w:cs="宋体"/>
                <w:color w:val="auto"/>
                <w:kern w:val="0"/>
                <w:szCs w:val="21"/>
              </w:rPr>
            </w:pPr>
            <w:r>
              <w:rPr>
                <w:rStyle w:val="43"/>
                <w:rFonts w:hint="eastAsia" w:ascii="宋体" w:hAnsi="宋体" w:cs="宋体"/>
                <w:color w:val="auto"/>
                <w:kern w:val="0"/>
                <w:szCs w:val="21"/>
                <w:u w:val="none"/>
              </w:rPr>
              <w:t>磋商小组成员根据磋商文件规定的评审程序、评审方法和评审标准进行独立评审，与符合条件的供应商就采购货物和服务事宜进行磋商，供应商按照磋商文件的要求提交报价。</w:t>
            </w:r>
            <w:r>
              <w:rPr>
                <w:rFonts w:ascii="宋体" w:hAnsi="宋体" w:cs="宋体"/>
                <w:color w:val="auto"/>
                <w:kern w:val="0"/>
                <w:szCs w:val="21"/>
              </w:rPr>
              <w:fldChar w:fldCharType="end"/>
            </w:r>
          </w:p>
        </w:tc>
      </w:tr>
      <w:tr>
        <w:tblPrEx>
          <w:tblCellMar>
            <w:top w:w="0" w:type="dxa"/>
            <w:left w:w="108" w:type="dxa"/>
            <w:bottom w:w="0" w:type="dxa"/>
            <w:right w:w="108" w:type="dxa"/>
          </w:tblCellMar>
        </w:tblPrEx>
        <w:trPr>
          <w:trHeight w:val="801"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color w:val="auto"/>
                <w:kern w:val="0"/>
                <w:szCs w:val="21"/>
              </w:rPr>
            </w:pPr>
            <w:r>
              <w:rPr>
                <w:rFonts w:ascii="宋体" w:hAnsi="宋体" w:cs="宋体"/>
                <w:color w:val="auto"/>
                <w:kern w:val="0"/>
                <w:szCs w:val="21"/>
              </w:rPr>
              <w:t>7</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Fonts w:ascii="宋体" w:hAnsi="宋体" w:cs="宋体"/>
                <w:color w:val="auto"/>
                <w:kern w:val="0"/>
                <w:szCs w:val="21"/>
              </w:rPr>
            </w:pPr>
            <w:r>
              <w:rPr>
                <w:color w:val="auto"/>
              </w:rPr>
              <w:fldChar w:fldCharType="begin"/>
            </w:r>
            <w:r>
              <w:rPr>
                <w:color w:val="auto"/>
              </w:rPr>
              <w:instrText xml:space="preserve"> HYPERLINK \l "_第四章__评定标准及推荐原则" </w:instrText>
            </w:r>
            <w:r>
              <w:rPr>
                <w:color w:val="auto"/>
              </w:rPr>
              <w:fldChar w:fldCharType="separate"/>
            </w:r>
            <w:r>
              <w:rPr>
                <w:rStyle w:val="43"/>
                <w:rFonts w:hint="eastAsia" w:ascii="宋体" w:hAnsi="宋体" w:cs="宋体"/>
                <w:color w:val="auto"/>
                <w:kern w:val="0"/>
                <w:szCs w:val="21"/>
                <w:u w:val="none"/>
              </w:rPr>
              <w:t>评定方法：</w:t>
            </w:r>
            <w:r>
              <w:rPr>
                <w:rStyle w:val="43"/>
                <w:rFonts w:hint="eastAsia"/>
                <w:color w:val="auto"/>
                <w:u w:val="none"/>
              </w:rPr>
              <w:t>详见第四章《评定标准及推荐原则》。</w:t>
            </w:r>
            <w:r>
              <w:rPr>
                <w:rStyle w:val="43"/>
                <w:rFonts w:hint="eastAsia"/>
                <w:color w:val="auto"/>
                <w:u w:val="none"/>
              </w:rPr>
              <w:fldChar w:fldCharType="end"/>
            </w:r>
          </w:p>
        </w:tc>
      </w:tr>
      <w:tr>
        <w:tblPrEx>
          <w:tblCellMar>
            <w:top w:w="0" w:type="dxa"/>
            <w:left w:w="108" w:type="dxa"/>
            <w:bottom w:w="0" w:type="dxa"/>
            <w:right w:w="108" w:type="dxa"/>
          </w:tblCellMar>
        </w:tblPrEx>
        <w:trPr>
          <w:trHeight w:val="1136"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color w:val="auto"/>
                <w:kern w:val="0"/>
                <w:szCs w:val="21"/>
              </w:rPr>
            </w:pPr>
            <w:r>
              <w:rPr>
                <w:rFonts w:ascii="宋体" w:hAnsi="宋体" w:cs="宋体"/>
                <w:color w:val="auto"/>
                <w:kern w:val="0"/>
                <w:szCs w:val="21"/>
              </w:rPr>
              <w:t>8</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Fonts w:ascii="宋体" w:hAnsi="宋体" w:cs="宋体"/>
                <w:color w:val="auto"/>
                <w:kern w:val="0"/>
                <w:szCs w:val="21"/>
              </w:rPr>
            </w:pPr>
            <w:r>
              <w:rPr>
                <w:color w:val="auto"/>
              </w:rPr>
              <w:fldChar w:fldCharType="begin"/>
            </w:r>
            <w:r>
              <w:rPr>
                <w:color w:val="auto"/>
              </w:rPr>
              <w:instrText xml:space="preserve"> HYPERLINK \l "_十、其他事项" </w:instrText>
            </w:r>
            <w:r>
              <w:rPr>
                <w:color w:val="auto"/>
              </w:rPr>
              <w:fldChar w:fldCharType="separate"/>
            </w:r>
            <w:r>
              <w:rPr>
                <w:rStyle w:val="43"/>
                <w:rFonts w:hint="eastAsia" w:ascii="宋体" w:hAnsi="宋体" w:cs="宋体"/>
                <w:color w:val="auto"/>
                <w:kern w:val="0"/>
                <w:szCs w:val="21"/>
                <w:u w:val="none"/>
              </w:rPr>
              <w:t>代理服务费：按钦州市物价局“钦市价费〔2013﹞4号”文件，以差额定率累进法计算。成交供应商须按成交金额缴纳相应的代理服务费。</w:t>
            </w:r>
            <w:r>
              <w:rPr>
                <w:rStyle w:val="43"/>
                <w:rFonts w:hint="eastAsia" w:ascii="宋体" w:hAnsi="宋体" w:cs="宋体"/>
                <w:color w:val="auto"/>
                <w:kern w:val="0"/>
                <w:szCs w:val="21"/>
                <w:u w:val="none"/>
              </w:rPr>
              <w:fldChar w:fldCharType="end"/>
            </w:r>
          </w:p>
        </w:tc>
      </w:tr>
    </w:tbl>
    <w:p>
      <w:pPr>
        <w:rPr>
          <w:color w:val="auto"/>
        </w:rPr>
      </w:pPr>
      <w:bookmarkStart w:id="51" w:name="_Toc420505403"/>
    </w:p>
    <w:p>
      <w:pPr>
        <w:jc w:val="center"/>
        <w:rPr>
          <w:rFonts w:ascii="黑体" w:hAnsi="黑体" w:eastAsia="黑体"/>
          <w:b/>
          <w:bCs/>
          <w:color w:val="auto"/>
          <w:sz w:val="32"/>
          <w:szCs w:val="32"/>
        </w:rPr>
      </w:pPr>
      <w:r>
        <w:rPr>
          <w:rFonts w:hint="eastAsia" w:ascii="黑体" w:hAnsi="黑体" w:eastAsia="黑体"/>
          <w:b/>
          <w:bCs/>
          <w:color w:val="auto"/>
          <w:sz w:val="32"/>
          <w:szCs w:val="32"/>
        </w:rPr>
        <w:t>二、供应商须知</w:t>
      </w:r>
      <w:bookmarkEnd w:id="51"/>
    </w:p>
    <w:p>
      <w:pPr>
        <w:pStyle w:val="3"/>
        <w:spacing w:line="420" w:lineRule="exact"/>
        <w:rPr>
          <w:color w:val="auto"/>
        </w:rPr>
      </w:pPr>
      <w:bookmarkStart w:id="52" w:name="_一、总_则"/>
      <w:bookmarkEnd w:id="52"/>
      <w:r>
        <w:rPr>
          <w:rFonts w:hint="eastAsia"/>
          <w:color w:val="auto"/>
        </w:rPr>
        <w:t>一、总　则</w:t>
      </w:r>
    </w:p>
    <w:p>
      <w:pPr>
        <w:spacing w:line="406" w:lineRule="exact"/>
        <w:ind w:firstLine="210" w:firstLineChars="100"/>
        <w:rPr>
          <w:rFonts w:ascii="宋体" w:hAnsi="宋体"/>
          <w:color w:val="auto"/>
          <w:szCs w:val="21"/>
        </w:rPr>
      </w:pPr>
      <w:r>
        <w:rPr>
          <w:rFonts w:hint="eastAsia" w:ascii="宋体" w:hAnsi="宋体"/>
          <w:color w:val="auto"/>
          <w:szCs w:val="21"/>
        </w:rPr>
        <w:t>（一）适用范围</w:t>
      </w:r>
    </w:p>
    <w:p>
      <w:pPr>
        <w:spacing w:line="406" w:lineRule="exact"/>
        <w:ind w:right="-334" w:rightChars="-159" w:firstLine="420"/>
        <w:rPr>
          <w:color w:val="auto"/>
          <w:szCs w:val="21"/>
        </w:rPr>
      </w:pPr>
      <w:r>
        <w:rPr>
          <w:rFonts w:ascii="宋体"/>
          <w:color w:val="auto"/>
        </w:rPr>
        <w:t>1.</w:t>
      </w:r>
      <w:r>
        <w:rPr>
          <w:rFonts w:hint="eastAsia" w:ascii="宋体"/>
          <w:color w:val="auto"/>
        </w:rPr>
        <w:t>项目名称：</w:t>
      </w:r>
      <w:r>
        <w:rPr>
          <w:rFonts w:hint="eastAsia" w:ascii="宋体" w:hAnsi="宋体"/>
          <w:color w:val="auto"/>
          <w:szCs w:val="21"/>
          <w:lang w:val="en-US" w:eastAsia="zh-CN"/>
        </w:rPr>
        <w:t>广西壮族自治区沿海公路发展中心机关 2024-2026年物业管理服务</w:t>
      </w:r>
    </w:p>
    <w:p>
      <w:pPr>
        <w:spacing w:line="406" w:lineRule="exact"/>
        <w:ind w:right="-334" w:rightChars="-159" w:firstLine="420"/>
        <w:rPr>
          <w:rFonts w:hint="eastAsia" w:eastAsia="宋体"/>
          <w:color w:val="auto"/>
          <w:lang w:eastAsia="zh-CN"/>
        </w:rPr>
      </w:pPr>
      <w:r>
        <w:rPr>
          <w:color w:val="auto"/>
          <w:szCs w:val="21"/>
        </w:rPr>
        <w:t>2.</w:t>
      </w:r>
      <w:r>
        <w:rPr>
          <w:rFonts w:hint="eastAsia"/>
          <w:color w:val="auto"/>
        </w:rPr>
        <w:t>项目编号：</w:t>
      </w:r>
      <w:r>
        <w:rPr>
          <w:rFonts w:hint="eastAsia"/>
          <w:color w:val="auto"/>
          <w:lang w:eastAsia="zh-CN"/>
        </w:rPr>
        <w:t>QZZC2024-C3-00010-CGZX</w:t>
      </w:r>
    </w:p>
    <w:p>
      <w:pPr>
        <w:spacing w:line="406" w:lineRule="exact"/>
        <w:ind w:right="-334" w:rightChars="-159" w:firstLine="420"/>
        <w:rPr>
          <w:color w:val="auto"/>
          <w:szCs w:val="21"/>
        </w:rPr>
      </w:pPr>
      <w:r>
        <w:rPr>
          <w:rFonts w:hint="eastAsia" w:hAnsi="宋体"/>
          <w:color w:val="auto"/>
        </w:rPr>
        <w:t>本文件仅适用于本文件中所叙述的货物、服务类政府采购项目。</w:t>
      </w:r>
    </w:p>
    <w:p>
      <w:pPr>
        <w:spacing w:line="406" w:lineRule="exact"/>
        <w:ind w:firstLine="210" w:firstLineChars="100"/>
        <w:rPr>
          <w:rFonts w:ascii="宋体" w:hAnsi="宋体"/>
          <w:color w:val="auto"/>
          <w:szCs w:val="21"/>
        </w:rPr>
      </w:pPr>
      <w:r>
        <w:rPr>
          <w:rFonts w:hint="eastAsia" w:ascii="宋体" w:hAnsi="宋体"/>
          <w:color w:val="auto"/>
          <w:szCs w:val="21"/>
        </w:rPr>
        <w:t>（二）定义</w:t>
      </w:r>
    </w:p>
    <w:p>
      <w:pPr>
        <w:spacing w:line="406" w:lineRule="exact"/>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w:t>
      </w:r>
      <w:r>
        <w:rPr>
          <w:rFonts w:ascii="宋体" w:hAnsi="宋体"/>
          <w:color w:val="auto"/>
          <w:szCs w:val="21"/>
        </w:rPr>
        <w:t>采购人</w:t>
      </w:r>
      <w:r>
        <w:rPr>
          <w:rFonts w:hint="eastAsia" w:ascii="宋体" w:hAnsi="宋体"/>
          <w:color w:val="auto"/>
          <w:szCs w:val="21"/>
        </w:rPr>
        <w:t>”</w:t>
      </w:r>
      <w:r>
        <w:rPr>
          <w:rFonts w:ascii="宋体" w:hAnsi="宋体"/>
          <w:color w:val="auto"/>
          <w:szCs w:val="21"/>
        </w:rPr>
        <w:t>是指依法进行政府采购的国家机关、事业单位、团体组织。</w:t>
      </w:r>
    </w:p>
    <w:p>
      <w:pPr>
        <w:spacing w:line="406" w:lineRule="exact"/>
        <w:ind w:firstLine="420" w:firstLineChars="200"/>
        <w:rPr>
          <w:rFonts w:ascii="宋体" w:hAnsi="宋体"/>
          <w:color w:val="auto"/>
          <w:szCs w:val="21"/>
        </w:rPr>
      </w:pPr>
      <w:r>
        <w:rPr>
          <w:rFonts w:hint="eastAsia" w:ascii="宋体" w:hAnsi="宋体"/>
          <w:color w:val="auto"/>
          <w:szCs w:val="21"/>
        </w:rPr>
        <w:t>2.“供应商”是指响应本文件要求，参加磋商的法人或其他组织。如果该供应商在本次采购项目中成交,即成为“成交供应商”。</w:t>
      </w:r>
    </w:p>
    <w:p>
      <w:pPr>
        <w:spacing w:line="406" w:lineRule="exact"/>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w:t>
      </w:r>
      <w:r>
        <w:rPr>
          <w:rFonts w:hint="eastAsia" w:ascii="宋体" w:hAnsi="宋体"/>
          <w:color w:val="auto"/>
          <w:szCs w:val="21"/>
        </w:rPr>
        <w:t>“采购代理机构”是指</w:t>
      </w:r>
      <w:r>
        <w:rPr>
          <w:rFonts w:hint="eastAsia" w:ascii="宋体" w:hAnsi="宋体"/>
          <w:color w:val="auto"/>
        </w:rPr>
        <w:t>钦州市政府采购中心。</w:t>
      </w:r>
    </w:p>
    <w:p>
      <w:pPr>
        <w:spacing w:line="406" w:lineRule="exact"/>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w:t>
      </w:r>
      <w:r>
        <w:rPr>
          <w:rFonts w:hint="eastAsia" w:ascii="宋体" w:hAnsi="宋体"/>
          <w:color w:val="auto"/>
          <w:szCs w:val="21"/>
        </w:rPr>
        <w:t>“货物和服务”是指本次采购文件中所采购的各种形态和种类的产品以及其提供的服务。</w:t>
      </w:r>
    </w:p>
    <w:p>
      <w:pPr>
        <w:spacing w:line="406" w:lineRule="exact"/>
        <w:ind w:firstLine="420" w:firstLineChars="200"/>
        <w:rPr>
          <w:rFonts w:ascii="宋体" w:hAnsi="宋体"/>
          <w:color w:val="auto"/>
          <w:szCs w:val="21"/>
        </w:rPr>
      </w:pPr>
      <w:r>
        <w:rPr>
          <w:rFonts w:hint="eastAsia" w:ascii="宋体" w:hAnsi="宋体"/>
          <w:color w:val="auto"/>
          <w:szCs w:val="21"/>
        </w:rPr>
        <w:t>5</w:t>
      </w:r>
      <w:r>
        <w:rPr>
          <w:rFonts w:ascii="宋体" w:hAnsi="宋体"/>
          <w:color w:val="auto"/>
          <w:szCs w:val="21"/>
        </w:rPr>
        <w:t>.</w:t>
      </w:r>
      <w:r>
        <w:rPr>
          <w:rFonts w:hint="eastAsia" w:ascii="宋体" w:hAnsi="宋体"/>
          <w:color w:val="auto"/>
          <w:szCs w:val="21"/>
        </w:rPr>
        <w:t>“竞争性磋商采购文件”是指采用竞争性磋商方式进行政府采购的指导文件，简称“磋商文件”或“采购文件”。</w:t>
      </w:r>
    </w:p>
    <w:p>
      <w:pPr>
        <w:spacing w:line="406" w:lineRule="exact"/>
        <w:ind w:firstLine="420" w:firstLineChars="200"/>
        <w:rPr>
          <w:rFonts w:ascii="宋体" w:hAnsi="宋体"/>
          <w:color w:val="auto"/>
          <w:szCs w:val="21"/>
        </w:rPr>
      </w:pPr>
      <w:r>
        <w:rPr>
          <w:rFonts w:ascii="宋体" w:hAnsi="宋体"/>
          <w:color w:val="auto"/>
          <w:szCs w:val="21"/>
        </w:rPr>
        <w:t>6.</w:t>
      </w:r>
      <w:r>
        <w:rPr>
          <w:rFonts w:hint="eastAsia" w:ascii="宋体" w:hAnsi="宋体"/>
          <w:color w:val="auto"/>
          <w:szCs w:val="21"/>
        </w:rPr>
        <w:t>“响应文件”是指供应商根据采购文件要求，编制包含技术、服务和报价等所有内容的响应文件。</w:t>
      </w:r>
    </w:p>
    <w:p>
      <w:pPr>
        <w:spacing w:line="406" w:lineRule="exact"/>
        <w:ind w:firstLine="420" w:firstLineChars="200"/>
        <w:rPr>
          <w:rFonts w:ascii="宋体" w:hAnsi="宋体"/>
          <w:color w:val="auto"/>
          <w:szCs w:val="21"/>
        </w:rPr>
      </w:pPr>
      <w:r>
        <w:rPr>
          <w:rFonts w:ascii="宋体" w:hAnsi="宋体"/>
          <w:color w:val="auto"/>
          <w:szCs w:val="21"/>
        </w:rPr>
        <w:t>7.</w:t>
      </w:r>
      <w:r>
        <w:rPr>
          <w:rFonts w:hint="eastAsia" w:ascii="宋体" w:hAnsi="宋体"/>
          <w:color w:val="auto"/>
          <w:szCs w:val="21"/>
        </w:rPr>
        <w:t>“书面形式”</w:t>
      </w:r>
      <w:r>
        <w:rPr>
          <w:rFonts w:ascii="Helvetica" w:hAnsi="Helvetica"/>
          <w:color w:val="auto"/>
          <w:szCs w:val="21"/>
        </w:rPr>
        <w:t>是</w:t>
      </w:r>
      <w:r>
        <w:rPr>
          <w:rFonts w:hint="eastAsia" w:ascii="Helvetica" w:hAnsi="Helvetica"/>
          <w:color w:val="auto"/>
          <w:szCs w:val="21"/>
        </w:rPr>
        <w:t>指</w:t>
      </w:r>
      <w:r>
        <w:rPr>
          <w:rFonts w:ascii="Helvetica" w:hAnsi="Helvetica"/>
          <w:color w:val="auto"/>
          <w:szCs w:val="21"/>
        </w:rPr>
        <w:t>合同书、信件、电报、电传、传真等可以有形地表现所载内容的形式。</w:t>
      </w:r>
    </w:p>
    <w:p>
      <w:pPr>
        <w:spacing w:line="406" w:lineRule="exact"/>
        <w:ind w:firstLine="211" w:firstLineChars="100"/>
        <w:rPr>
          <w:rFonts w:ascii="宋体" w:hAnsi="宋体"/>
          <w:b/>
          <w:color w:val="auto"/>
          <w:szCs w:val="21"/>
        </w:rPr>
      </w:pPr>
      <w:r>
        <w:rPr>
          <w:rFonts w:hint="eastAsia" w:ascii="宋体" w:hAnsi="宋体"/>
          <w:b/>
          <w:color w:val="auto"/>
          <w:szCs w:val="21"/>
        </w:rPr>
        <w:t>（三）供应商资格</w:t>
      </w:r>
    </w:p>
    <w:p>
      <w:pPr>
        <w:spacing w:line="406" w:lineRule="exact"/>
        <w:ind w:firstLine="420" w:firstLineChars="200"/>
        <w:rPr>
          <w:rFonts w:hint="eastAsia"/>
          <w:color w:val="auto"/>
          <w:lang w:val="en-US" w:eastAsia="zh-CN"/>
        </w:rPr>
      </w:pPr>
      <w:r>
        <w:rPr>
          <w:rFonts w:hint="eastAsia"/>
          <w:color w:val="auto"/>
          <w:lang w:val="en-US" w:eastAsia="zh-CN"/>
        </w:rPr>
        <w:t>供应商的资格要求详见“供应商须知前附表”。</w:t>
      </w:r>
    </w:p>
    <w:p>
      <w:pPr>
        <w:spacing w:line="406" w:lineRule="exact"/>
        <w:ind w:firstLine="211" w:firstLineChars="100"/>
        <w:rPr>
          <w:b/>
          <w:bCs/>
          <w:color w:val="auto"/>
        </w:rPr>
      </w:pPr>
      <w:r>
        <w:rPr>
          <w:rFonts w:hint="eastAsia"/>
          <w:b/>
          <w:bCs/>
          <w:color w:val="auto"/>
        </w:rPr>
        <w:t>（四）采购方式</w:t>
      </w:r>
    </w:p>
    <w:p>
      <w:pPr>
        <w:snapToGrid w:val="0"/>
        <w:spacing w:line="406" w:lineRule="exact"/>
        <w:ind w:firstLine="420" w:firstLineChars="200"/>
        <w:rPr>
          <w:rFonts w:ascii="宋体" w:hAnsi="宋体"/>
          <w:color w:val="auto"/>
          <w:szCs w:val="21"/>
        </w:rPr>
      </w:pPr>
      <w:r>
        <w:rPr>
          <w:rFonts w:hint="eastAsia" w:ascii="宋体" w:hAnsi="宋体"/>
          <w:color w:val="auto"/>
          <w:szCs w:val="21"/>
        </w:rPr>
        <w:t>竞争性磋商</w:t>
      </w:r>
    </w:p>
    <w:p>
      <w:pPr>
        <w:spacing w:line="406" w:lineRule="exact"/>
        <w:ind w:firstLine="211" w:firstLineChars="100"/>
        <w:rPr>
          <w:b/>
          <w:bCs/>
          <w:color w:val="auto"/>
        </w:rPr>
      </w:pPr>
      <w:bookmarkStart w:id="53" w:name="_Toc254970530"/>
      <w:bookmarkStart w:id="54" w:name="_Toc352700410"/>
      <w:bookmarkStart w:id="55" w:name="_Toc353785281"/>
      <w:bookmarkStart w:id="56" w:name="_Toc254970671"/>
      <w:r>
        <w:rPr>
          <w:rFonts w:hint="eastAsia"/>
          <w:b/>
          <w:bCs/>
          <w:color w:val="auto"/>
        </w:rPr>
        <w:t>（五）代理委托</w:t>
      </w:r>
      <w:bookmarkEnd w:id="53"/>
      <w:bookmarkEnd w:id="54"/>
      <w:bookmarkEnd w:id="55"/>
      <w:bookmarkEnd w:id="56"/>
    </w:p>
    <w:p>
      <w:pPr>
        <w:snapToGrid w:val="0"/>
        <w:spacing w:line="406" w:lineRule="exact"/>
        <w:ind w:firstLine="420" w:firstLineChars="200"/>
        <w:rPr>
          <w:rFonts w:ascii="宋体" w:hAnsi="宋体" w:cs="Courier New"/>
          <w:bCs/>
          <w:color w:val="auto"/>
          <w:szCs w:val="21"/>
        </w:rPr>
      </w:pPr>
      <w:r>
        <w:rPr>
          <w:rFonts w:hint="eastAsia" w:ascii="宋体" w:hAnsi="宋体" w:cs="Courier New"/>
          <w:bCs/>
          <w:color w:val="auto"/>
          <w:szCs w:val="21"/>
        </w:rPr>
        <w:t>委托磋商的供应商须提供授权委托书（格式见第六章）。</w:t>
      </w:r>
    </w:p>
    <w:p>
      <w:pPr>
        <w:spacing w:line="406" w:lineRule="exact"/>
        <w:ind w:firstLine="211" w:firstLineChars="100"/>
        <w:rPr>
          <w:b/>
          <w:bCs/>
          <w:color w:val="auto"/>
        </w:rPr>
      </w:pPr>
      <w:bookmarkStart w:id="57" w:name="_Toc352700411"/>
      <w:bookmarkStart w:id="58" w:name="_Toc254970672"/>
      <w:bookmarkStart w:id="59" w:name="_Toc353785282"/>
      <w:bookmarkStart w:id="60" w:name="_Toc254970531"/>
      <w:r>
        <w:rPr>
          <w:rFonts w:hint="eastAsia"/>
          <w:b/>
          <w:bCs/>
          <w:color w:val="auto"/>
        </w:rPr>
        <w:t>（六）磋商费用</w:t>
      </w:r>
      <w:bookmarkEnd w:id="57"/>
      <w:bookmarkEnd w:id="58"/>
      <w:bookmarkEnd w:id="59"/>
      <w:bookmarkEnd w:id="60"/>
    </w:p>
    <w:p>
      <w:pPr>
        <w:snapToGrid w:val="0"/>
        <w:spacing w:line="406" w:lineRule="exact"/>
        <w:ind w:firstLine="420" w:firstLineChars="200"/>
        <w:rPr>
          <w:rFonts w:ascii="宋体" w:hAnsi="宋体"/>
          <w:color w:val="auto"/>
          <w:szCs w:val="21"/>
        </w:rPr>
      </w:pPr>
      <w:r>
        <w:rPr>
          <w:rFonts w:hint="eastAsia" w:ascii="宋体" w:hAnsi="宋体"/>
          <w:color w:val="auto"/>
          <w:szCs w:val="21"/>
        </w:rPr>
        <w:t>供应商自行承担所有与磋商有关的全部费用。</w:t>
      </w:r>
    </w:p>
    <w:p>
      <w:pPr>
        <w:spacing w:line="406" w:lineRule="exact"/>
        <w:ind w:firstLine="211" w:firstLineChars="100"/>
        <w:rPr>
          <w:b/>
          <w:bCs/>
          <w:color w:val="auto"/>
        </w:rPr>
      </w:pPr>
      <w:bookmarkStart w:id="61" w:name="_Toc352700413"/>
      <w:bookmarkStart w:id="62" w:name="_Toc353785283"/>
      <w:r>
        <w:rPr>
          <w:rFonts w:hint="eastAsia"/>
          <w:b/>
          <w:bCs/>
          <w:color w:val="auto"/>
        </w:rPr>
        <w:t>（七）转包与分包</w:t>
      </w:r>
      <w:bookmarkEnd w:id="61"/>
      <w:bookmarkEnd w:id="62"/>
    </w:p>
    <w:p>
      <w:pPr>
        <w:snapToGrid w:val="0"/>
        <w:spacing w:line="406" w:lineRule="exact"/>
        <w:ind w:firstLine="420" w:firstLineChars="200"/>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本项目不允许转包。</w:t>
      </w:r>
    </w:p>
    <w:p>
      <w:pPr>
        <w:snapToGrid w:val="0"/>
        <w:spacing w:line="406" w:lineRule="exact"/>
        <w:ind w:firstLine="420" w:firstLineChars="200"/>
        <w:rPr>
          <w:rFonts w:ascii="宋体" w:hAns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采购人允许采用分包方式履行合同的，应当在采购文件中明确可以分包履行的具体内容、金额或者比例。</w:t>
      </w:r>
    </w:p>
    <w:p>
      <w:pPr>
        <w:snapToGrid w:val="0"/>
        <w:spacing w:line="406" w:lineRule="exact"/>
        <w:ind w:firstLine="420" w:firstLineChars="200"/>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依据《政府采购促进中小企业发展管理办法》规定享受扶持政策获得政府采购合同的，小微企业不得将合同分包给大中型企业，中型企业不得将合同分包给大型企业。</w:t>
      </w:r>
    </w:p>
    <w:p>
      <w:pPr>
        <w:spacing w:line="406" w:lineRule="exact"/>
        <w:ind w:firstLine="211" w:firstLineChars="100"/>
        <w:rPr>
          <w:b/>
          <w:bCs/>
          <w:color w:val="auto"/>
        </w:rPr>
      </w:pPr>
      <w:bookmarkStart w:id="63" w:name="_Toc254970673"/>
      <w:bookmarkStart w:id="64" w:name="_Toc254970532"/>
      <w:bookmarkStart w:id="65" w:name="_Toc352700414"/>
      <w:bookmarkStart w:id="66" w:name="_Toc353785284"/>
      <w:r>
        <w:rPr>
          <w:rFonts w:hint="eastAsia"/>
          <w:b/>
          <w:bCs/>
          <w:color w:val="auto"/>
        </w:rPr>
        <w:t>（八）特别说明</w:t>
      </w:r>
      <w:bookmarkEnd w:id="63"/>
      <w:bookmarkEnd w:id="64"/>
      <w:bookmarkEnd w:id="65"/>
      <w:bookmarkEnd w:id="66"/>
    </w:p>
    <w:p>
      <w:pPr>
        <w:pStyle w:val="21"/>
        <w:snapToGrid w:val="0"/>
        <w:spacing w:line="406" w:lineRule="exact"/>
        <w:ind w:firstLine="420"/>
        <w:rPr>
          <w:rFonts w:hAnsi="宋体"/>
          <w:color w:val="auto"/>
        </w:rPr>
      </w:pPr>
      <w:r>
        <w:rPr>
          <w:rFonts w:hAnsi="宋体"/>
          <w:color w:val="auto"/>
        </w:rPr>
        <w:t>1.</w:t>
      </w:r>
      <w:r>
        <w:rPr>
          <w:rFonts w:hint="eastAsia" w:hAnsi="宋体"/>
          <w:color w:val="auto"/>
        </w:rPr>
        <w:t>单位负责人为同一人或者存在直接控股、管理关系的不同的供应商，不得参加同一合同项下的政府采购活动，否则其响应文件将被视为无效。为采购项目提供整体设计、规范编制或者项目管理、监理、检测等服务的供应商，不得再参加该采购项目的其他采购活动。</w:t>
      </w:r>
    </w:p>
    <w:p>
      <w:pPr>
        <w:pStyle w:val="21"/>
        <w:snapToGrid w:val="0"/>
        <w:spacing w:line="406" w:lineRule="exact"/>
        <w:ind w:firstLine="420"/>
        <w:rPr>
          <w:rFonts w:hAnsi="宋体"/>
          <w:color w:val="auto"/>
        </w:rPr>
      </w:pPr>
      <w:r>
        <w:rPr>
          <w:rFonts w:hAnsi="宋体"/>
          <w:color w:val="auto"/>
        </w:rPr>
        <w:t>2.</w:t>
      </w:r>
      <w:r>
        <w:rPr>
          <w:rFonts w:hint="eastAsia" w:hAnsi="宋体"/>
          <w:color w:val="auto"/>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本中心将终止竞争性磋商采购活动，发布项目终止公告并说明原因，重新开展采购活动。</w:t>
      </w:r>
    </w:p>
    <w:p>
      <w:pPr>
        <w:spacing w:line="406" w:lineRule="exact"/>
        <w:ind w:firstLine="211" w:firstLineChars="100"/>
        <w:rPr>
          <w:b/>
          <w:bCs/>
          <w:color w:val="auto"/>
        </w:rPr>
      </w:pPr>
      <w:bookmarkStart w:id="67" w:name="_Toc254970533"/>
      <w:bookmarkStart w:id="68" w:name="_Toc352700415"/>
      <w:bookmarkStart w:id="69" w:name="_Toc353785285"/>
      <w:bookmarkStart w:id="70" w:name="_Toc254970674"/>
      <w:r>
        <w:rPr>
          <w:rFonts w:hint="eastAsia"/>
          <w:b/>
          <w:bCs/>
          <w:color w:val="auto"/>
        </w:rPr>
        <w:t>（九）询问、质疑和投诉</w:t>
      </w:r>
      <w:bookmarkEnd w:id="67"/>
      <w:bookmarkEnd w:id="68"/>
      <w:bookmarkEnd w:id="69"/>
      <w:bookmarkEnd w:id="70"/>
    </w:p>
    <w:p>
      <w:pPr>
        <w:pStyle w:val="21"/>
        <w:snapToGrid w:val="0"/>
        <w:spacing w:line="406" w:lineRule="exact"/>
        <w:ind w:firstLine="420"/>
        <w:rPr>
          <w:rFonts w:hAnsi="宋体"/>
          <w:bCs/>
          <w:color w:val="auto"/>
        </w:rPr>
      </w:pPr>
      <w:r>
        <w:rPr>
          <w:rFonts w:hAnsi="宋体"/>
          <w:bCs/>
          <w:color w:val="auto"/>
        </w:rPr>
        <w:t>1.</w:t>
      </w:r>
      <w:r>
        <w:rPr>
          <w:rFonts w:hint="eastAsia" w:ascii="Arial" w:hAnsi="Arial" w:cs="Arial"/>
          <w:color w:val="auto"/>
          <w:kern w:val="0"/>
        </w:rPr>
        <w:t>供应商</w:t>
      </w:r>
      <w:r>
        <w:rPr>
          <w:rFonts w:ascii="Arial" w:hAnsi="Arial" w:cs="Arial"/>
          <w:color w:val="auto"/>
          <w:kern w:val="0"/>
        </w:rPr>
        <w:t>对政府采购活动事项有疑问的，可以向采购人</w:t>
      </w:r>
      <w:r>
        <w:rPr>
          <w:rFonts w:hint="eastAsia" w:ascii="Arial" w:hAnsi="Arial" w:cs="Arial"/>
          <w:color w:val="auto"/>
          <w:kern w:val="0"/>
        </w:rPr>
        <w:t>或本中心</w:t>
      </w:r>
      <w:r>
        <w:rPr>
          <w:rFonts w:ascii="Arial" w:hAnsi="Arial" w:cs="Arial"/>
          <w:color w:val="auto"/>
          <w:kern w:val="0"/>
        </w:rPr>
        <w:t>提出询问，采购人</w:t>
      </w:r>
      <w:r>
        <w:rPr>
          <w:rFonts w:hint="eastAsia" w:ascii="Arial" w:hAnsi="Arial" w:cs="Arial"/>
          <w:color w:val="auto"/>
          <w:kern w:val="0"/>
        </w:rPr>
        <w:t>或本中心当在3个工作日内对供应商依法提出的询问作出答复</w:t>
      </w:r>
      <w:r>
        <w:rPr>
          <w:rFonts w:ascii="Arial" w:hAnsi="Arial" w:cs="Arial"/>
          <w:color w:val="auto"/>
          <w:kern w:val="0"/>
        </w:rPr>
        <w:t>，但答复的内容不得涉及商业秘密。</w:t>
      </w:r>
    </w:p>
    <w:p>
      <w:pPr>
        <w:pStyle w:val="21"/>
        <w:snapToGrid w:val="0"/>
        <w:spacing w:line="406" w:lineRule="exact"/>
        <w:ind w:firstLine="420"/>
        <w:rPr>
          <w:rFonts w:hAnsi="宋体"/>
          <w:bCs/>
          <w:color w:val="auto"/>
        </w:rPr>
      </w:pPr>
      <w:r>
        <w:rPr>
          <w:rFonts w:hAnsi="宋体"/>
          <w:bCs/>
          <w:color w:val="auto"/>
        </w:rPr>
        <w:t>2.</w:t>
      </w:r>
      <w:r>
        <w:rPr>
          <w:rFonts w:hint="eastAsia" w:hAnsi="宋体"/>
          <w:bCs/>
          <w:color w:val="auto"/>
        </w:rPr>
        <w:t>供应商认为采购文件、采购过程或成交结果使自己的合法权益受到损害的，</w:t>
      </w:r>
      <w:r>
        <w:rPr>
          <w:rFonts w:hAnsi="宋体"/>
          <w:bCs/>
          <w:color w:val="auto"/>
        </w:rPr>
        <w:t>可以在知道或者应知其权益受到损害之日起7个工作日内</w:t>
      </w:r>
      <w:r>
        <w:rPr>
          <w:rFonts w:hint="eastAsia" w:hAnsi="宋体"/>
          <w:bCs/>
          <w:color w:val="auto"/>
        </w:rPr>
        <w:t>，</w:t>
      </w:r>
      <w:r>
        <w:rPr>
          <w:rFonts w:cs="Arial"/>
          <w:color w:val="auto"/>
        </w:rPr>
        <w:t>以书面形式(</w:t>
      </w:r>
      <w:r>
        <w:rPr>
          <w:rFonts w:hint="eastAsia" w:cs="Arial"/>
          <w:color w:val="auto"/>
        </w:rPr>
        <w:t>政采云平台</w:t>
      </w:r>
      <w:r>
        <w:rPr>
          <w:rFonts w:cs="Arial"/>
          <w:color w:val="auto"/>
        </w:rPr>
        <w:t>)</w:t>
      </w:r>
      <w:r>
        <w:rPr>
          <w:rFonts w:hint="eastAsia" w:cs="Arial"/>
          <w:color w:val="auto"/>
        </w:rPr>
        <w:t>向</w:t>
      </w:r>
      <w:r>
        <w:rPr>
          <w:rFonts w:cs="Arial"/>
          <w:color w:val="auto"/>
        </w:rPr>
        <w:t>采购人、</w:t>
      </w:r>
      <w:r>
        <w:rPr>
          <w:rFonts w:hint="eastAsia" w:cs="Arial"/>
          <w:color w:val="auto"/>
        </w:rPr>
        <w:t>本中心</w:t>
      </w:r>
      <w:r>
        <w:rPr>
          <w:rFonts w:cs="Arial"/>
          <w:color w:val="auto"/>
        </w:rPr>
        <w:t>提出质疑。</w:t>
      </w:r>
      <w:r>
        <w:rPr>
          <w:rFonts w:hint="eastAsia" w:hAnsi="宋体"/>
          <w:bCs/>
          <w:color w:val="auto"/>
        </w:rPr>
        <w:t>供应商必须在法定质疑期内一次性提出针对同一采购程序环节的质疑。</w:t>
      </w:r>
      <w:r>
        <w:rPr>
          <w:rFonts w:hint="eastAsia" w:hAnsi="宋体" w:cs="宋体"/>
          <w:color w:val="auto"/>
        </w:rPr>
        <w:t>供应商应知其权益受到损害之日，是指：</w:t>
      </w:r>
    </w:p>
    <w:p>
      <w:pPr>
        <w:pStyle w:val="21"/>
        <w:adjustRightInd w:val="0"/>
        <w:snapToGrid w:val="0"/>
        <w:spacing w:line="406" w:lineRule="exact"/>
        <w:ind w:firstLine="308" w:firstLineChars="147"/>
        <w:rPr>
          <w:rFonts w:hAnsi="宋体"/>
          <w:bCs/>
          <w:color w:val="auto"/>
        </w:rPr>
      </w:pPr>
      <w:r>
        <w:rPr>
          <w:rFonts w:hint="eastAsia" w:hAnsi="宋体"/>
          <w:bCs/>
          <w:color w:val="auto"/>
        </w:rPr>
        <w:t>(</w:t>
      </w:r>
      <w:r>
        <w:rPr>
          <w:rFonts w:hAnsi="宋体"/>
          <w:bCs/>
          <w:color w:val="auto"/>
        </w:rPr>
        <w:t>1)</w:t>
      </w:r>
      <w:r>
        <w:rPr>
          <w:rFonts w:hint="eastAsia" w:hAnsi="宋体"/>
          <w:bCs/>
          <w:color w:val="auto"/>
        </w:rPr>
        <w:t>对采购文件提出质疑的，为获取采购文件之日；</w:t>
      </w:r>
    </w:p>
    <w:p>
      <w:pPr>
        <w:pStyle w:val="21"/>
        <w:adjustRightInd w:val="0"/>
        <w:snapToGrid w:val="0"/>
        <w:spacing w:line="406" w:lineRule="exact"/>
        <w:ind w:firstLine="308" w:firstLineChars="147"/>
        <w:rPr>
          <w:rFonts w:hAnsi="宋体"/>
          <w:bCs/>
          <w:color w:val="auto"/>
        </w:rPr>
      </w:pPr>
      <w:r>
        <w:rPr>
          <w:rFonts w:hint="eastAsia" w:hAnsi="宋体"/>
          <w:bCs/>
          <w:color w:val="auto"/>
        </w:rPr>
        <w:t>(</w:t>
      </w:r>
      <w:r>
        <w:rPr>
          <w:rFonts w:hAnsi="宋体"/>
          <w:bCs/>
          <w:color w:val="auto"/>
        </w:rPr>
        <w:t>2)</w:t>
      </w:r>
      <w:r>
        <w:rPr>
          <w:rFonts w:hint="eastAsia" w:hAnsi="宋体"/>
          <w:bCs/>
          <w:color w:val="auto"/>
        </w:rPr>
        <w:t>对采购过程提出质疑的，为各采购程序环节结束之日；</w:t>
      </w:r>
    </w:p>
    <w:p>
      <w:pPr>
        <w:widowControl/>
        <w:adjustRightInd w:val="0"/>
        <w:snapToGrid w:val="0"/>
        <w:spacing w:line="406" w:lineRule="exact"/>
        <w:ind w:firstLine="102" w:firstLineChars="49"/>
        <w:jc w:val="left"/>
        <w:rPr>
          <w:rFonts w:ascii="宋体" w:hAnsi="宋体" w:cs="Courier New"/>
          <w:bCs/>
          <w:color w:val="auto"/>
          <w:szCs w:val="21"/>
        </w:rPr>
      </w:pPr>
      <w:r>
        <w:rPr>
          <w:rFonts w:hint="eastAsia" w:ascii="宋体" w:hAnsi="宋体" w:cs="Courier New"/>
          <w:bCs/>
          <w:color w:val="auto"/>
          <w:szCs w:val="21"/>
        </w:rPr>
        <w:t xml:space="preserve">  (</w:t>
      </w:r>
      <w:r>
        <w:rPr>
          <w:rFonts w:ascii="宋体" w:hAnsi="宋体" w:cs="Courier New"/>
          <w:bCs/>
          <w:color w:val="auto"/>
          <w:szCs w:val="21"/>
        </w:rPr>
        <w:t>3)</w:t>
      </w:r>
      <w:r>
        <w:rPr>
          <w:rFonts w:hint="eastAsia" w:ascii="宋体" w:hAnsi="宋体" w:cs="Courier New"/>
          <w:bCs/>
          <w:color w:val="auto"/>
          <w:szCs w:val="21"/>
        </w:rPr>
        <w:t>对成交结果提出质疑的，为成交结果公告期限届满之日。</w:t>
      </w:r>
    </w:p>
    <w:p>
      <w:pPr>
        <w:widowControl/>
        <w:adjustRightInd w:val="0"/>
        <w:snapToGrid w:val="0"/>
        <w:spacing w:line="406" w:lineRule="exact"/>
        <w:ind w:firstLine="420"/>
        <w:jc w:val="left"/>
        <w:rPr>
          <w:rFonts w:ascii="宋体" w:hAnsi="宋体" w:cs="Courier New"/>
          <w:bCs/>
          <w:color w:val="auto"/>
          <w:szCs w:val="21"/>
        </w:rPr>
      </w:pPr>
      <w:r>
        <w:rPr>
          <w:rFonts w:ascii="宋体" w:hAnsi="宋体" w:cs="Courier New"/>
          <w:bCs/>
          <w:color w:val="auto"/>
          <w:szCs w:val="21"/>
        </w:rPr>
        <w:t>3.</w:t>
      </w:r>
      <w:r>
        <w:rPr>
          <w:rFonts w:hint="eastAsia" w:hAnsi="宋体"/>
          <w:color w:val="auto"/>
        </w:rPr>
        <w:t>供应商对采购人、本中心质疑答复不满意或者采购人、本中心未在规定时间内作出答复的，可以在答复期满后十五个工作日内向同级采购监管部门投诉。</w:t>
      </w:r>
    </w:p>
    <w:p>
      <w:pPr>
        <w:pStyle w:val="21"/>
        <w:snapToGrid w:val="0"/>
        <w:spacing w:line="406" w:lineRule="exact"/>
        <w:ind w:firstLine="420"/>
        <w:rPr>
          <w:rFonts w:hAnsi="宋体"/>
          <w:bCs/>
          <w:color w:val="auto"/>
        </w:rPr>
      </w:pPr>
      <w:r>
        <w:rPr>
          <w:rFonts w:hAnsi="宋体"/>
          <w:bCs/>
          <w:color w:val="auto"/>
        </w:rPr>
        <w:t>4.</w:t>
      </w:r>
      <w:r>
        <w:rPr>
          <w:rFonts w:hint="eastAsia" w:hAnsi="宋体"/>
          <w:bCs/>
          <w:color w:val="auto"/>
        </w:rPr>
        <w:t>质疑、投诉应当采用书面形式，质疑书、投诉书均应明确阐述采购文件、采购过程或成交结果中使自己合法权益受到损害的实质性内容，提供相关事实、依据和证据及其来源或线索，便于有关单位调查、答复和处理。（质疑、投诉不接受传真形式）</w:t>
      </w:r>
    </w:p>
    <w:p>
      <w:pPr>
        <w:spacing w:line="406" w:lineRule="exact"/>
        <w:ind w:firstLine="420"/>
        <w:rPr>
          <w:color w:val="auto"/>
        </w:rPr>
      </w:pPr>
      <w:r>
        <w:rPr>
          <w:rFonts w:hint="eastAsia"/>
          <w:color w:val="auto"/>
        </w:rPr>
        <w:t>质疑部门联系方式：钦州市政府采购中心    0777-288600</w:t>
      </w:r>
      <w:r>
        <w:rPr>
          <w:color w:val="auto"/>
        </w:rPr>
        <w:t>2</w:t>
      </w:r>
    </w:p>
    <w:p>
      <w:pPr>
        <w:spacing w:line="406" w:lineRule="exact"/>
        <w:ind w:firstLine="420"/>
        <w:rPr>
          <w:color w:val="auto"/>
        </w:rPr>
      </w:pPr>
      <w:r>
        <w:rPr>
          <w:rFonts w:hint="eastAsia"/>
          <w:color w:val="auto"/>
        </w:rPr>
        <w:t>采购监管部门联系方式：广西壮族自治区财政厅政府采购监督管理处   0771-5339851</w:t>
      </w:r>
    </w:p>
    <w:p>
      <w:pPr>
        <w:spacing w:line="406" w:lineRule="exact"/>
        <w:ind w:firstLine="211" w:firstLineChars="100"/>
        <w:rPr>
          <w:b/>
          <w:bCs/>
          <w:color w:val="auto"/>
        </w:rPr>
      </w:pPr>
      <w:r>
        <w:rPr>
          <w:rFonts w:hint="eastAsia"/>
          <w:b/>
          <w:bCs/>
          <w:color w:val="auto"/>
        </w:rPr>
        <w:t xml:space="preserve">（十）查询媒体 </w:t>
      </w:r>
      <w:r>
        <w:rPr>
          <w:rFonts w:hint="eastAsia"/>
          <w:color w:val="auto"/>
        </w:rPr>
        <w:t>中国政府采购网、</w:t>
      </w:r>
      <w:r>
        <w:rPr>
          <w:color w:val="auto"/>
        </w:rPr>
        <w:fldChar w:fldCharType="begin"/>
      </w:r>
      <w:r>
        <w:rPr>
          <w:color w:val="auto"/>
        </w:rPr>
        <w:instrText xml:space="preserve"> HYPERLINK "http://zfcg.gxzf.gov.cn/" </w:instrText>
      </w:r>
      <w:r>
        <w:rPr>
          <w:color w:val="auto"/>
        </w:rPr>
        <w:fldChar w:fldCharType="separate"/>
      </w:r>
      <w:r>
        <w:rPr>
          <w:rStyle w:val="43"/>
          <w:rFonts w:hint="eastAsia" w:hAnsi="宋体"/>
          <w:color w:val="auto"/>
          <w:u w:val="none"/>
        </w:rPr>
        <w:t>广西政府采购网</w:t>
      </w:r>
      <w:r>
        <w:rPr>
          <w:rStyle w:val="43"/>
          <w:rFonts w:hint="eastAsia" w:hAnsi="宋体"/>
          <w:color w:val="auto"/>
          <w:u w:val="none"/>
        </w:rPr>
        <w:fldChar w:fldCharType="end"/>
      </w:r>
      <w:r>
        <w:rPr>
          <w:rFonts w:hint="eastAsia" w:hAnsi="宋体"/>
          <w:color w:val="auto"/>
        </w:rPr>
        <w:t>。</w:t>
      </w:r>
    </w:p>
    <w:p>
      <w:pPr>
        <w:pStyle w:val="3"/>
        <w:spacing w:line="406" w:lineRule="exact"/>
        <w:rPr>
          <w:color w:val="auto"/>
        </w:rPr>
      </w:pPr>
      <w:bookmarkStart w:id="71" w:name="_Toc352700416"/>
      <w:bookmarkStart w:id="72" w:name="_Toc353785286"/>
      <w:r>
        <w:rPr>
          <w:rFonts w:hint="eastAsia"/>
          <w:color w:val="auto"/>
        </w:rPr>
        <w:t>二、竞争性磋商采购文件</w:t>
      </w:r>
      <w:bookmarkEnd w:id="71"/>
      <w:bookmarkEnd w:id="72"/>
    </w:p>
    <w:p>
      <w:pPr>
        <w:spacing w:line="406" w:lineRule="exact"/>
        <w:ind w:firstLine="211" w:firstLineChars="100"/>
        <w:rPr>
          <w:b/>
          <w:bCs/>
          <w:color w:val="auto"/>
        </w:rPr>
      </w:pPr>
      <w:bookmarkStart w:id="73" w:name="_Toc353785287"/>
      <w:bookmarkStart w:id="74" w:name="_Toc352700417"/>
      <w:r>
        <w:rPr>
          <w:rFonts w:hint="eastAsia"/>
          <w:b/>
          <w:bCs/>
          <w:color w:val="auto"/>
        </w:rPr>
        <w:t>（一）竞争性磋商采购文件的组成</w:t>
      </w:r>
      <w:bookmarkEnd w:id="73"/>
      <w:bookmarkEnd w:id="74"/>
    </w:p>
    <w:p>
      <w:pPr>
        <w:pStyle w:val="21"/>
        <w:snapToGrid w:val="0"/>
        <w:spacing w:line="406" w:lineRule="exact"/>
        <w:ind w:firstLine="420" w:firstLineChars="200"/>
        <w:rPr>
          <w:rFonts w:hAnsi="宋体"/>
          <w:color w:val="auto"/>
        </w:rPr>
      </w:pPr>
      <w:r>
        <w:rPr>
          <w:rFonts w:hint="eastAsia" w:hAnsi="宋体"/>
          <w:color w:val="auto"/>
        </w:rPr>
        <w:t>第一章 竞争性磋商公告</w:t>
      </w:r>
    </w:p>
    <w:p>
      <w:pPr>
        <w:pStyle w:val="21"/>
        <w:snapToGrid w:val="0"/>
        <w:spacing w:line="406" w:lineRule="exact"/>
        <w:ind w:firstLine="420" w:firstLineChars="200"/>
        <w:rPr>
          <w:rFonts w:hAnsi="宋体"/>
          <w:color w:val="auto"/>
        </w:rPr>
      </w:pPr>
      <w:r>
        <w:rPr>
          <w:rFonts w:hint="eastAsia" w:hAnsi="宋体"/>
          <w:color w:val="auto"/>
        </w:rPr>
        <w:t>第二章 项目需求</w:t>
      </w:r>
    </w:p>
    <w:p>
      <w:pPr>
        <w:pStyle w:val="21"/>
        <w:snapToGrid w:val="0"/>
        <w:spacing w:line="406" w:lineRule="exact"/>
        <w:ind w:firstLine="420" w:firstLineChars="200"/>
        <w:rPr>
          <w:rFonts w:hAnsi="宋体"/>
          <w:color w:val="auto"/>
        </w:rPr>
      </w:pPr>
      <w:r>
        <w:rPr>
          <w:rFonts w:hint="eastAsia" w:hAnsi="宋体"/>
          <w:color w:val="auto"/>
        </w:rPr>
        <w:t>第三章 供应商须知</w:t>
      </w:r>
    </w:p>
    <w:p>
      <w:pPr>
        <w:pStyle w:val="21"/>
        <w:snapToGrid w:val="0"/>
        <w:spacing w:line="406" w:lineRule="exact"/>
        <w:ind w:firstLine="420" w:firstLineChars="200"/>
        <w:rPr>
          <w:rFonts w:hAnsi="宋体"/>
          <w:color w:val="auto"/>
        </w:rPr>
      </w:pPr>
      <w:r>
        <w:rPr>
          <w:rFonts w:hint="eastAsia" w:hAnsi="宋体"/>
          <w:color w:val="auto"/>
        </w:rPr>
        <w:t>第四章 评定标准及推荐原则</w:t>
      </w:r>
    </w:p>
    <w:p>
      <w:pPr>
        <w:pStyle w:val="21"/>
        <w:snapToGrid w:val="0"/>
        <w:spacing w:line="406" w:lineRule="exact"/>
        <w:ind w:firstLine="420" w:firstLineChars="200"/>
        <w:rPr>
          <w:rFonts w:hAnsi="宋体"/>
          <w:color w:val="auto"/>
        </w:rPr>
      </w:pPr>
      <w:r>
        <w:rPr>
          <w:rFonts w:hint="eastAsia" w:hAnsi="宋体"/>
          <w:color w:val="auto"/>
        </w:rPr>
        <w:t>第五章 合同文本</w:t>
      </w:r>
    </w:p>
    <w:p>
      <w:pPr>
        <w:pStyle w:val="21"/>
        <w:snapToGrid w:val="0"/>
        <w:spacing w:line="406" w:lineRule="exact"/>
        <w:ind w:firstLine="420" w:firstLineChars="200"/>
        <w:rPr>
          <w:rFonts w:hAnsi="宋体"/>
          <w:color w:val="auto"/>
        </w:rPr>
      </w:pPr>
      <w:r>
        <w:rPr>
          <w:rFonts w:hint="eastAsia" w:hAnsi="宋体"/>
          <w:color w:val="auto"/>
        </w:rPr>
        <w:t>第六章 响应文件格式</w:t>
      </w:r>
    </w:p>
    <w:p>
      <w:pPr>
        <w:spacing w:line="406" w:lineRule="exact"/>
        <w:ind w:firstLine="211" w:firstLineChars="100"/>
        <w:rPr>
          <w:b/>
          <w:bCs/>
          <w:color w:val="auto"/>
        </w:rPr>
      </w:pPr>
      <w:bookmarkStart w:id="75" w:name="_Toc353785289"/>
      <w:bookmarkStart w:id="76" w:name="_Toc352700419"/>
      <w:r>
        <w:rPr>
          <w:rFonts w:hint="eastAsia"/>
          <w:b/>
          <w:bCs/>
          <w:color w:val="auto"/>
        </w:rPr>
        <w:t>（二）竞争性磋商采购文件的澄清与修改</w:t>
      </w:r>
      <w:bookmarkEnd w:id="75"/>
      <w:bookmarkEnd w:id="76"/>
    </w:p>
    <w:p>
      <w:pPr>
        <w:pStyle w:val="21"/>
        <w:snapToGrid w:val="0"/>
        <w:spacing w:line="406" w:lineRule="exact"/>
        <w:ind w:firstLine="420"/>
        <w:jc w:val="left"/>
        <w:rPr>
          <w:rFonts w:hAnsi="宋体"/>
          <w:color w:val="auto"/>
        </w:rPr>
      </w:pPr>
      <w:r>
        <w:rPr>
          <w:rFonts w:hint="eastAsia" w:hAnsi="宋体"/>
          <w:color w:val="auto"/>
        </w:rPr>
        <w:t>1</w:t>
      </w:r>
      <w:r>
        <w:rPr>
          <w:rFonts w:hAnsi="宋体"/>
          <w:color w:val="auto"/>
        </w:rPr>
        <w:t>.</w:t>
      </w:r>
      <w:r>
        <w:rPr>
          <w:rFonts w:hint="eastAsia" w:hAnsi="宋体"/>
          <w:color w:val="auto"/>
        </w:rPr>
        <w:t>提交首次响应文件截止之日前，采购人、本中心或者磋商小组可以对已发出的磋商文件进行必要的澄清或者修改，澄清或者修改的内容作为磋商文件的组成部分。澄清或者修改应当在原公告发布媒体上发布澄清公告。澄清或者修改的内容可能影响响应文件编制的，采购人、本中心应当在提交首次响应文件截止至少</w:t>
      </w:r>
      <w:r>
        <w:rPr>
          <w:rFonts w:hAnsi="宋体"/>
          <w:color w:val="auto"/>
        </w:rPr>
        <w:t>5</w:t>
      </w:r>
      <w:r>
        <w:rPr>
          <w:rFonts w:hint="eastAsia" w:hAnsi="宋体"/>
          <w:color w:val="auto"/>
        </w:rPr>
        <w:t>日前，以书面形式通知所有依法获取磋商文件的供应商，不足</w:t>
      </w:r>
      <w:r>
        <w:rPr>
          <w:rFonts w:hAnsi="宋体"/>
          <w:color w:val="auto"/>
        </w:rPr>
        <w:t>5</w:t>
      </w:r>
      <w:r>
        <w:rPr>
          <w:rFonts w:hint="eastAsia" w:hAnsi="宋体"/>
          <w:color w:val="auto"/>
        </w:rPr>
        <w:t>日的，采购人、本中心应当顺延提交首次响应文件截止之日。</w:t>
      </w:r>
    </w:p>
    <w:p>
      <w:pPr>
        <w:pStyle w:val="21"/>
        <w:snapToGrid w:val="0"/>
        <w:spacing w:line="406" w:lineRule="exact"/>
        <w:ind w:firstLine="420"/>
        <w:jc w:val="left"/>
        <w:rPr>
          <w:rFonts w:hAnsi="宋体"/>
          <w:color w:val="auto"/>
        </w:rPr>
      </w:pPr>
      <w:r>
        <w:rPr>
          <w:rFonts w:hint="eastAsia" w:hAnsi="宋体"/>
          <w:color w:val="auto"/>
        </w:rPr>
        <w:t>2</w:t>
      </w:r>
      <w:r>
        <w:rPr>
          <w:rFonts w:hAnsi="宋体"/>
          <w:color w:val="auto"/>
        </w:rPr>
        <w:t>.</w:t>
      </w:r>
      <w:r>
        <w:rPr>
          <w:rFonts w:hint="eastAsia" w:hAnsi="宋体"/>
          <w:color w:val="auto"/>
        </w:rPr>
        <w:t>提供期限届满后，获取磋商文件的供应商不足3家的，本中心可以顺延提供期限，并予公告。</w:t>
      </w:r>
    </w:p>
    <w:p>
      <w:pPr>
        <w:pStyle w:val="3"/>
        <w:spacing w:line="406" w:lineRule="exact"/>
        <w:rPr>
          <w:color w:val="auto"/>
        </w:rPr>
      </w:pPr>
      <w:bookmarkStart w:id="77" w:name="_三、响应文件"/>
      <w:bookmarkEnd w:id="77"/>
      <w:r>
        <w:rPr>
          <w:rFonts w:hint="eastAsia"/>
          <w:color w:val="auto"/>
        </w:rPr>
        <w:t>三、响应文件</w:t>
      </w:r>
    </w:p>
    <w:p>
      <w:pPr>
        <w:spacing w:line="406" w:lineRule="exact"/>
        <w:ind w:firstLine="211" w:firstLineChars="100"/>
        <w:rPr>
          <w:rFonts w:hAnsi="宋体"/>
          <w:b/>
          <w:bCs/>
          <w:color w:val="auto"/>
        </w:rPr>
      </w:pPr>
      <w:r>
        <w:rPr>
          <w:rFonts w:hint="eastAsia" w:hAnsi="宋体"/>
          <w:b/>
          <w:bCs/>
          <w:color w:val="auto"/>
        </w:rPr>
        <w:t>（一）供应商的风险</w:t>
      </w:r>
    </w:p>
    <w:p>
      <w:pPr>
        <w:spacing w:line="406" w:lineRule="exact"/>
        <w:ind w:firstLine="420"/>
        <w:rPr>
          <w:rFonts w:hAnsi="宋体"/>
          <w:color w:val="auto"/>
        </w:rPr>
      </w:pPr>
      <w:r>
        <w:rPr>
          <w:rFonts w:hAnsi="宋体"/>
          <w:color w:val="auto"/>
        </w:rPr>
        <w:t>1.</w:t>
      </w:r>
      <w:r>
        <w:rPr>
          <w:rFonts w:hint="eastAsia" w:hAnsi="宋体"/>
          <w:color w:val="auto"/>
        </w:rPr>
        <w:t>供应商应当按照磋商文件的要求编制响应文件，并对其提交的响应文件的真实性、合法性承担法律责任。</w:t>
      </w:r>
    </w:p>
    <w:p>
      <w:pPr>
        <w:spacing w:line="406" w:lineRule="exact"/>
        <w:ind w:firstLine="420"/>
        <w:rPr>
          <w:rFonts w:hAnsi="宋体"/>
          <w:color w:val="auto"/>
        </w:rPr>
      </w:pPr>
      <w:r>
        <w:rPr>
          <w:rFonts w:hAnsi="宋体"/>
          <w:color w:val="auto"/>
        </w:rPr>
        <w:t>2.</w:t>
      </w:r>
      <w:r>
        <w:rPr>
          <w:rFonts w:hint="eastAsia" w:hAnsi="宋体"/>
          <w:color w:val="auto"/>
        </w:rPr>
        <w:t>供应商在采购活动中提供任何虚假材料的，磋商小组将报财政部门查处。</w:t>
      </w:r>
    </w:p>
    <w:p>
      <w:pPr>
        <w:snapToGrid w:val="0"/>
        <w:spacing w:line="406" w:lineRule="exact"/>
        <w:ind w:firstLine="211" w:firstLineChars="100"/>
        <w:rPr>
          <w:rFonts w:ascii="宋体" w:hAnsi="宋体"/>
          <w:b/>
          <w:color w:val="auto"/>
          <w:szCs w:val="21"/>
        </w:rPr>
      </w:pPr>
      <w:r>
        <w:rPr>
          <w:rFonts w:hint="eastAsia" w:hAnsi="宋体"/>
          <w:b/>
          <w:bCs/>
          <w:color w:val="auto"/>
        </w:rPr>
        <w:t>（二）</w:t>
      </w:r>
      <w:r>
        <w:rPr>
          <w:rFonts w:hint="eastAsia" w:ascii="宋体" w:hAnsi="宋体"/>
          <w:b/>
          <w:color w:val="auto"/>
          <w:szCs w:val="21"/>
        </w:rPr>
        <w:t>响应文件的组成</w:t>
      </w:r>
    </w:p>
    <w:p>
      <w:pPr>
        <w:snapToGrid w:val="0"/>
        <w:spacing w:line="406" w:lineRule="exact"/>
        <w:ind w:firstLine="422"/>
        <w:rPr>
          <w:rFonts w:ascii="宋体" w:hAnsi="宋体"/>
          <w:b/>
          <w:color w:val="auto"/>
          <w:szCs w:val="21"/>
        </w:rPr>
      </w:pPr>
      <w:bookmarkStart w:id="78" w:name="_Hlk92285760"/>
      <w:r>
        <w:rPr>
          <w:rFonts w:ascii="宋体" w:hAnsi="宋体"/>
          <w:b/>
          <w:color w:val="auto"/>
          <w:szCs w:val="21"/>
        </w:rPr>
        <w:t>1.</w:t>
      </w:r>
      <w:r>
        <w:rPr>
          <w:rFonts w:hint="eastAsia" w:ascii="宋体" w:hAnsi="宋体"/>
          <w:b/>
          <w:color w:val="auto"/>
          <w:szCs w:val="21"/>
        </w:rPr>
        <w:t>资格文件：</w:t>
      </w:r>
    </w:p>
    <w:p>
      <w:pPr>
        <w:tabs>
          <w:tab w:val="left" w:pos="3870"/>
          <w:tab w:val="left" w:pos="4085"/>
        </w:tabs>
        <w:snapToGrid w:val="0"/>
        <w:spacing w:line="406" w:lineRule="exact"/>
        <w:ind w:firstLine="420"/>
        <w:rPr>
          <w:rFonts w:ascii="宋体" w:hAnsi="宋体"/>
          <w:color w:val="auto"/>
          <w:szCs w:val="21"/>
        </w:rPr>
      </w:pPr>
      <w:r>
        <w:rPr>
          <w:rFonts w:hint="eastAsia" w:ascii="宋体" w:hAnsi="宋体" w:cs="宋体"/>
          <w:bCs/>
          <w:color w:val="auto"/>
          <w:kern w:val="0"/>
          <w:szCs w:val="21"/>
        </w:rPr>
        <w:t>★</w:t>
      </w:r>
      <w:bookmarkStart w:id="79" w:name="_Hlk90369149"/>
      <w:r>
        <w:rPr>
          <w:rFonts w:hint="eastAsia" w:ascii="宋体" w:hAnsi="宋体"/>
          <w:color w:val="auto"/>
          <w:szCs w:val="21"/>
        </w:rPr>
        <w:t>(</w:t>
      </w:r>
      <w:r>
        <w:rPr>
          <w:rFonts w:ascii="宋体" w:hAnsi="宋体"/>
          <w:color w:val="auto"/>
          <w:szCs w:val="21"/>
        </w:rPr>
        <w:t>1)</w:t>
      </w:r>
      <w:r>
        <w:rPr>
          <w:rFonts w:hint="eastAsia" w:ascii="宋体" w:hAnsi="宋体"/>
          <w:color w:val="auto"/>
          <w:szCs w:val="21"/>
        </w:rPr>
        <w:t>法人或者其他组织的营业执照等证明文件</w:t>
      </w:r>
    </w:p>
    <w:bookmarkEnd w:id="79"/>
    <w:p>
      <w:pPr>
        <w:tabs>
          <w:tab w:val="left" w:pos="3870"/>
          <w:tab w:val="left" w:pos="4085"/>
        </w:tabs>
        <w:snapToGrid w:val="0"/>
        <w:spacing w:line="406" w:lineRule="exact"/>
        <w:ind w:firstLine="420"/>
        <w:rPr>
          <w:rFonts w:ascii="宋体" w:hAnsi="宋体" w:cs="宋体"/>
          <w:color w:val="auto"/>
          <w:szCs w:val="21"/>
        </w:rPr>
      </w:pPr>
      <w:r>
        <w:rPr>
          <w:rFonts w:hint="eastAsia" w:ascii="宋体" w:hAnsi="宋体" w:cs="宋体"/>
          <w:bCs/>
          <w:color w:val="auto"/>
          <w:kern w:val="0"/>
          <w:szCs w:val="21"/>
        </w:rPr>
        <w:t>★(</w:t>
      </w:r>
      <w:r>
        <w:rPr>
          <w:rFonts w:ascii="宋体" w:hAnsi="宋体" w:cs="宋体"/>
          <w:bCs/>
          <w:color w:val="auto"/>
          <w:kern w:val="0"/>
          <w:szCs w:val="21"/>
        </w:rPr>
        <w:t>2)</w:t>
      </w:r>
      <w:r>
        <w:rPr>
          <w:rFonts w:hint="eastAsia" w:ascii="宋体" w:hAnsi="宋体"/>
          <w:color w:val="auto"/>
          <w:szCs w:val="21"/>
        </w:rPr>
        <w:t>供应商具备参加政府采购活动条件的承诺书</w:t>
      </w:r>
      <w:r>
        <w:rPr>
          <w:rFonts w:hint="eastAsia" w:ascii="宋体" w:hAnsi="宋体" w:cs="宋体"/>
          <w:color w:val="auto"/>
          <w:szCs w:val="21"/>
        </w:rPr>
        <w:t>(格式见第六章</w:t>
      </w:r>
      <w:r>
        <w:rPr>
          <w:rFonts w:ascii="宋体" w:hAnsi="宋体" w:cs="宋体"/>
          <w:color w:val="auto"/>
          <w:szCs w:val="21"/>
        </w:rPr>
        <w:t>）</w:t>
      </w:r>
    </w:p>
    <w:p>
      <w:pPr>
        <w:tabs>
          <w:tab w:val="left" w:pos="3870"/>
          <w:tab w:val="left" w:pos="4085"/>
        </w:tabs>
        <w:snapToGrid w:val="0"/>
        <w:spacing w:line="406" w:lineRule="exact"/>
        <w:ind w:firstLine="420"/>
        <w:rPr>
          <w:rFonts w:hAnsi="宋体"/>
          <w:color w:val="auto"/>
          <w:spacing w:val="-4"/>
        </w:rPr>
      </w:pPr>
      <w:r>
        <w:rPr>
          <w:rFonts w:hint="eastAsia" w:ascii="宋体" w:hAnsi="宋体" w:cs="宋体"/>
          <w:bCs/>
          <w:color w:val="auto"/>
          <w:kern w:val="0"/>
          <w:szCs w:val="21"/>
        </w:rPr>
        <w:t>★(</w:t>
      </w:r>
      <w:r>
        <w:rPr>
          <w:rFonts w:ascii="宋体" w:hAnsi="宋体" w:cs="宋体"/>
          <w:bCs/>
          <w:color w:val="auto"/>
          <w:kern w:val="0"/>
          <w:szCs w:val="21"/>
        </w:rPr>
        <w:t>3)</w:t>
      </w:r>
      <w:r>
        <w:rPr>
          <w:rFonts w:hint="eastAsia" w:hAnsi="宋体"/>
          <w:color w:val="auto"/>
          <w:spacing w:val="-4"/>
        </w:rPr>
        <w:t>参加政府采购活动前3年内在经营活动中没有重大违法记录的书面声明</w:t>
      </w:r>
      <w:bookmarkStart w:id="80" w:name="_Hlk108683109"/>
      <w:r>
        <w:rPr>
          <w:rFonts w:hint="eastAsia" w:hAnsi="宋体"/>
          <w:color w:val="auto"/>
          <w:spacing w:val="-4"/>
        </w:rPr>
        <w:t>(格式见第六章)</w:t>
      </w:r>
      <w:bookmarkEnd w:id="80"/>
    </w:p>
    <w:p>
      <w:pPr>
        <w:tabs>
          <w:tab w:val="left" w:pos="3870"/>
          <w:tab w:val="left" w:pos="4085"/>
        </w:tabs>
        <w:snapToGrid w:val="0"/>
        <w:spacing w:line="406" w:lineRule="exact"/>
        <w:ind w:firstLine="420"/>
        <w:rPr>
          <w:rFonts w:ascii="宋体" w:hAnsi="宋体" w:cs="宋体"/>
          <w:bCs/>
          <w:color w:val="auto"/>
          <w:kern w:val="0"/>
          <w:szCs w:val="21"/>
        </w:rPr>
      </w:pPr>
      <w:bookmarkStart w:id="81" w:name="_Hlk111726071"/>
      <w:r>
        <w:rPr>
          <w:rFonts w:hint="eastAsia" w:ascii="宋体" w:hAnsi="宋体" w:cs="宋体"/>
          <w:bCs/>
          <w:color w:val="auto"/>
          <w:kern w:val="0"/>
          <w:szCs w:val="21"/>
        </w:rPr>
        <w:t>★(</w:t>
      </w:r>
      <w:r>
        <w:rPr>
          <w:rFonts w:ascii="宋体" w:hAnsi="宋体" w:cs="宋体"/>
          <w:bCs/>
          <w:color w:val="auto"/>
          <w:kern w:val="0"/>
          <w:szCs w:val="21"/>
        </w:rPr>
        <w:t>4)</w:t>
      </w:r>
      <w:r>
        <w:rPr>
          <w:rFonts w:hint="eastAsia" w:ascii="宋体" w:hAnsi="宋体" w:cs="宋体"/>
          <w:color w:val="auto"/>
          <w:szCs w:val="21"/>
        </w:rPr>
        <w:t>《中小企业声明函》（属于残疾人福利性单位的提供残疾人福利性单位声明函，属于监狱企业的提供由省级以上监狱管理局、戒毒管理局（含新疆生产建设兵团）出具的属于监狱企业的证明文件）(格式见第六章)</w:t>
      </w:r>
    </w:p>
    <w:bookmarkEnd w:id="81"/>
    <w:p>
      <w:pPr>
        <w:snapToGrid w:val="0"/>
        <w:spacing w:line="406" w:lineRule="exact"/>
        <w:ind w:firstLine="422"/>
        <w:rPr>
          <w:rFonts w:ascii="宋体" w:hAnsi="宋体"/>
          <w:b/>
          <w:color w:val="auto"/>
          <w:szCs w:val="21"/>
        </w:rPr>
      </w:pPr>
      <w:r>
        <w:rPr>
          <w:rFonts w:ascii="宋体" w:hAnsi="宋体"/>
          <w:b/>
          <w:color w:val="auto"/>
          <w:szCs w:val="21"/>
        </w:rPr>
        <w:t>2.</w:t>
      </w:r>
      <w:r>
        <w:rPr>
          <w:rFonts w:hint="eastAsia" w:ascii="宋体" w:hAnsi="宋体"/>
          <w:b/>
          <w:color w:val="auto"/>
          <w:szCs w:val="21"/>
        </w:rPr>
        <w:t>商务技术文件：</w:t>
      </w:r>
    </w:p>
    <w:p>
      <w:pPr>
        <w:snapToGrid w:val="0"/>
        <w:spacing w:line="406" w:lineRule="exact"/>
        <w:ind w:firstLine="422" w:firstLineChars="200"/>
        <w:rPr>
          <w:rFonts w:ascii="宋体" w:hAnsi="宋体"/>
          <w:color w:val="auto"/>
          <w:szCs w:val="21"/>
        </w:rPr>
      </w:pPr>
      <w:r>
        <w:rPr>
          <w:rFonts w:hint="eastAsia" w:ascii="宋体" w:hAnsi="宋体"/>
          <w:b/>
          <w:color w:val="auto"/>
          <w:szCs w:val="21"/>
        </w:rPr>
        <w:t xml:space="preserve"> </w:t>
      </w:r>
      <w:r>
        <w:rPr>
          <w:rFonts w:ascii="宋体" w:hAnsi="宋体"/>
          <w:b/>
          <w:color w:val="auto"/>
          <w:szCs w:val="21"/>
        </w:rPr>
        <w:t xml:space="preserve"> </w:t>
      </w:r>
      <w:r>
        <w:rPr>
          <w:rFonts w:ascii="宋体" w:hAnsi="宋体"/>
          <w:color w:val="auto"/>
          <w:szCs w:val="21"/>
        </w:rPr>
        <w:t>(1)</w:t>
      </w:r>
      <w:bookmarkStart w:id="82" w:name="_Hlk97803518"/>
      <w:r>
        <w:rPr>
          <w:rFonts w:hint="eastAsia" w:ascii="宋体" w:hAnsi="宋体"/>
          <w:color w:val="auto"/>
          <w:szCs w:val="21"/>
        </w:rPr>
        <w:t>磋商保证金票据或转账凭证(户名、账号及开户行等信息清晰可辨）</w:t>
      </w:r>
      <w:bookmarkEnd w:id="82"/>
    </w:p>
    <w:p>
      <w:pPr>
        <w:snapToGrid w:val="0"/>
        <w:spacing w:line="406" w:lineRule="exact"/>
        <w:ind w:firstLine="420" w:firstLineChars="200"/>
        <w:rPr>
          <w:rFonts w:ascii="宋体" w:hAnsi="宋体"/>
          <w:color w:val="auto"/>
          <w:szCs w:val="21"/>
        </w:rPr>
      </w:pPr>
      <w:r>
        <w:rPr>
          <w:rFonts w:hint="eastAsia" w:ascii="宋体" w:hAnsi="宋体" w:cs="宋体"/>
          <w:bCs/>
          <w:color w:val="auto"/>
          <w:kern w:val="0"/>
          <w:szCs w:val="21"/>
        </w:rPr>
        <w:t>★</w:t>
      </w:r>
      <w:r>
        <w:rPr>
          <w:rFonts w:hint="eastAsia" w:ascii="宋体" w:hAnsi="宋体"/>
          <w:color w:val="auto"/>
          <w:szCs w:val="21"/>
        </w:rPr>
        <w:t>(</w:t>
      </w:r>
      <w:r>
        <w:rPr>
          <w:rFonts w:ascii="宋体" w:hAnsi="宋体"/>
          <w:color w:val="auto"/>
          <w:szCs w:val="21"/>
        </w:rPr>
        <w:t>2)</w:t>
      </w:r>
      <w:r>
        <w:rPr>
          <w:rFonts w:hint="eastAsia" w:ascii="宋体" w:hAnsi="宋体"/>
          <w:color w:val="auto"/>
          <w:szCs w:val="21"/>
        </w:rPr>
        <w:t>磋商函（格式见第六章）</w:t>
      </w:r>
    </w:p>
    <w:p>
      <w:pPr>
        <w:tabs>
          <w:tab w:val="left" w:pos="3870"/>
          <w:tab w:val="left" w:pos="4085"/>
        </w:tabs>
        <w:snapToGrid w:val="0"/>
        <w:spacing w:line="406" w:lineRule="exact"/>
        <w:ind w:firstLine="420" w:firstLineChars="200"/>
        <w:rPr>
          <w:rFonts w:ascii="宋体" w:hAnsi="宋体"/>
          <w:color w:val="auto"/>
          <w:szCs w:val="21"/>
        </w:rPr>
      </w:pPr>
      <w:r>
        <w:rPr>
          <w:rFonts w:hint="eastAsia" w:ascii="宋体" w:hAnsi="宋体" w:cs="宋体"/>
          <w:bCs/>
          <w:color w:val="auto"/>
          <w:kern w:val="0"/>
          <w:szCs w:val="21"/>
        </w:rPr>
        <w:t>★</w:t>
      </w:r>
      <w:r>
        <w:rPr>
          <w:rFonts w:hint="eastAsia" w:ascii="宋体" w:hAnsi="宋体"/>
          <w:color w:val="auto"/>
          <w:szCs w:val="21"/>
        </w:rPr>
        <w:t>(</w:t>
      </w:r>
      <w:r>
        <w:rPr>
          <w:rFonts w:ascii="宋体" w:hAnsi="宋体"/>
          <w:color w:val="auto"/>
          <w:szCs w:val="21"/>
        </w:rPr>
        <w:t>3)</w:t>
      </w:r>
      <w:r>
        <w:rPr>
          <w:rFonts w:hint="eastAsia" w:ascii="宋体" w:hAnsi="宋体"/>
          <w:color w:val="auto"/>
          <w:szCs w:val="21"/>
        </w:rPr>
        <w:t>法定代表人身份证</w:t>
      </w:r>
    </w:p>
    <w:p>
      <w:pPr>
        <w:tabs>
          <w:tab w:val="left" w:pos="3870"/>
          <w:tab w:val="left" w:pos="4085"/>
        </w:tabs>
        <w:snapToGrid w:val="0"/>
        <w:spacing w:line="406"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法定代表人授权委托书和代理人身份证（委托代理时必须提供，格式见第六章）</w:t>
      </w:r>
    </w:p>
    <w:p>
      <w:pPr>
        <w:snapToGrid w:val="0"/>
        <w:spacing w:line="406" w:lineRule="exact"/>
        <w:ind w:firstLine="422" w:firstLineChars="200"/>
        <w:rPr>
          <w:rFonts w:ascii="宋体" w:hAnsi="宋体"/>
          <w:color w:val="auto"/>
          <w:szCs w:val="21"/>
        </w:rPr>
      </w:pPr>
      <w:r>
        <w:rPr>
          <w:rFonts w:hint="eastAsia" w:ascii="宋体" w:hAnsi="宋体"/>
          <w:b/>
          <w:color w:val="auto"/>
          <w:szCs w:val="21"/>
        </w:rPr>
        <w:t>★</w:t>
      </w:r>
      <w:r>
        <w:rPr>
          <w:rFonts w:hint="eastAsia" w:ascii="宋体" w:hAnsi="宋体"/>
          <w:color w:val="auto"/>
          <w:szCs w:val="21"/>
        </w:rPr>
        <w:t>(</w:t>
      </w:r>
      <w:r>
        <w:rPr>
          <w:rFonts w:ascii="宋体" w:hAnsi="宋体"/>
          <w:color w:val="auto"/>
          <w:szCs w:val="21"/>
        </w:rPr>
        <w:t>5)</w:t>
      </w:r>
      <w:r>
        <w:rPr>
          <w:rFonts w:ascii="宋体" w:hAnsi="宋体"/>
          <w:color w:val="auto"/>
        </w:rPr>
        <w:t>商务响应表(格式见第六章)</w:t>
      </w:r>
    </w:p>
    <w:p>
      <w:pPr>
        <w:snapToGrid w:val="0"/>
        <w:spacing w:line="406" w:lineRule="exact"/>
        <w:ind w:firstLine="422" w:firstLineChars="200"/>
        <w:rPr>
          <w:rFonts w:ascii="宋体" w:hAnsi="宋体"/>
          <w:color w:val="auto"/>
        </w:rPr>
      </w:pPr>
      <w:r>
        <w:rPr>
          <w:rFonts w:hint="eastAsia" w:ascii="宋体" w:hAnsi="宋体"/>
          <w:b/>
          <w:color w:val="auto"/>
          <w:szCs w:val="21"/>
        </w:rPr>
        <w:t>★</w:t>
      </w:r>
      <w:r>
        <w:rPr>
          <w:rFonts w:hint="eastAsia" w:ascii="宋体" w:hAnsi="宋体"/>
          <w:color w:val="auto"/>
        </w:rPr>
        <w:t>(</w:t>
      </w:r>
      <w:r>
        <w:rPr>
          <w:rFonts w:ascii="宋体" w:hAnsi="宋体"/>
          <w:color w:val="auto"/>
        </w:rPr>
        <w:t>6)</w:t>
      </w:r>
      <w:r>
        <w:rPr>
          <w:rFonts w:hint="eastAsia" w:ascii="宋体" w:hAnsi="宋体"/>
          <w:color w:val="auto"/>
          <w:szCs w:val="21"/>
        </w:rPr>
        <w:t>技术响应表</w:t>
      </w:r>
      <w:bookmarkStart w:id="83" w:name="_Hlk92285954"/>
      <w:r>
        <w:rPr>
          <w:rFonts w:ascii="宋体" w:hAnsi="宋体"/>
          <w:color w:val="auto"/>
        </w:rPr>
        <w:t>(格式见第六章)</w:t>
      </w:r>
      <w:bookmarkEnd w:id="83"/>
    </w:p>
    <w:p>
      <w:pPr>
        <w:snapToGrid w:val="0"/>
        <w:spacing w:line="406" w:lineRule="exact"/>
        <w:ind w:firstLine="422" w:firstLineChars="200"/>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w:t>
      </w:r>
      <w:r>
        <w:rPr>
          <w:rFonts w:hint="eastAsia" w:ascii="宋体" w:hAnsi="宋体"/>
          <w:color w:val="auto"/>
          <w:szCs w:val="21"/>
          <w:lang w:val="en-US" w:eastAsia="zh-CN"/>
        </w:rPr>
        <w:t>7</w:t>
      </w:r>
      <w:r>
        <w:rPr>
          <w:rFonts w:hint="eastAsia" w:ascii="宋体" w:hAnsi="宋体"/>
          <w:color w:val="auto"/>
          <w:szCs w:val="21"/>
        </w:rPr>
        <w:t>)</w:t>
      </w:r>
      <w:r>
        <w:rPr>
          <w:rFonts w:hint="eastAsia" w:ascii="宋体" w:hAnsi="宋体"/>
          <w:color w:val="auto"/>
          <w:szCs w:val="21"/>
          <w:lang w:val="en-US" w:eastAsia="zh-CN"/>
        </w:rPr>
        <w:t>技术</w:t>
      </w:r>
      <w:r>
        <w:rPr>
          <w:rFonts w:hint="eastAsia" w:ascii="宋体" w:hAnsi="宋体"/>
          <w:color w:val="auto"/>
          <w:szCs w:val="21"/>
        </w:rPr>
        <w:t>方案（格式自拟）</w:t>
      </w:r>
    </w:p>
    <w:p>
      <w:pPr>
        <w:snapToGrid w:val="0"/>
        <w:spacing w:line="406" w:lineRule="exact"/>
        <w:ind w:firstLine="630" w:firstLineChars="300"/>
        <w:rPr>
          <w:rFonts w:hint="eastAsia" w:ascii="宋体" w:hAnsi="宋体"/>
          <w:color w:val="auto"/>
          <w:szCs w:val="21"/>
          <w:lang w:val="en-US" w:eastAsia="zh-CN"/>
        </w:rPr>
      </w:pP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项目实施人员一览表</w:t>
      </w:r>
      <w:r>
        <w:rPr>
          <w:rFonts w:ascii="宋体" w:hAnsi="宋体"/>
          <w:color w:val="auto"/>
        </w:rPr>
        <w:t>(格式见第六章)</w:t>
      </w:r>
    </w:p>
    <w:p>
      <w:pPr>
        <w:snapToGrid w:val="0"/>
        <w:spacing w:line="406" w:lineRule="exact"/>
        <w:ind w:firstLine="630" w:firstLineChars="300"/>
        <w:rPr>
          <w:color w:val="auto"/>
        </w:rPr>
      </w:pPr>
      <w:r>
        <w:rPr>
          <w:rFonts w:hint="eastAsia" w:ascii="宋体" w:hAnsi="宋体"/>
          <w:color w:val="auto"/>
          <w:szCs w:val="21"/>
        </w:rPr>
        <w:t>(</w:t>
      </w:r>
      <w:r>
        <w:rPr>
          <w:rFonts w:hint="eastAsia" w:ascii="宋体" w:hAnsi="宋体"/>
          <w:color w:val="auto"/>
          <w:szCs w:val="21"/>
          <w:lang w:val="en-US" w:eastAsia="zh-CN"/>
        </w:rPr>
        <w:t>9</w:t>
      </w:r>
      <w:r>
        <w:rPr>
          <w:rFonts w:hint="eastAsia" w:ascii="宋体" w:hAnsi="宋体"/>
          <w:color w:val="auto"/>
          <w:szCs w:val="21"/>
        </w:rPr>
        <w:t>)供应商认为有必要提</w:t>
      </w:r>
      <w:r>
        <w:rPr>
          <w:rFonts w:hint="eastAsia" w:ascii="宋体" w:hAnsi="宋体"/>
          <w:bCs/>
          <w:color w:val="auto"/>
          <w:szCs w:val="21"/>
        </w:rPr>
        <w:t>供的声明或材料</w:t>
      </w:r>
    </w:p>
    <w:p>
      <w:pPr>
        <w:snapToGrid w:val="0"/>
        <w:spacing w:line="406" w:lineRule="exact"/>
        <w:ind w:firstLine="422"/>
        <w:rPr>
          <w:rFonts w:ascii="宋体" w:hAnsi="宋体"/>
          <w:b/>
          <w:color w:val="auto"/>
          <w:szCs w:val="21"/>
        </w:rPr>
      </w:pPr>
      <w:r>
        <w:rPr>
          <w:rFonts w:ascii="宋体" w:hAnsi="宋体"/>
          <w:b/>
          <w:color w:val="auto"/>
          <w:szCs w:val="21"/>
        </w:rPr>
        <w:t>3.</w:t>
      </w:r>
      <w:r>
        <w:rPr>
          <w:rFonts w:hint="eastAsia" w:ascii="宋体" w:hAnsi="宋体"/>
          <w:b/>
          <w:color w:val="auto"/>
          <w:szCs w:val="21"/>
        </w:rPr>
        <w:t>报价文件</w:t>
      </w:r>
    </w:p>
    <w:p>
      <w:pPr>
        <w:snapToGrid w:val="0"/>
        <w:spacing w:line="406" w:lineRule="exact"/>
        <w:rPr>
          <w:rFonts w:ascii="宋体" w:hAnsi="宋体"/>
          <w:bCs/>
          <w:color w:val="auto"/>
          <w:szCs w:val="21"/>
        </w:rPr>
      </w:pPr>
      <w:bookmarkStart w:id="84" w:name="_Hlk92265738"/>
      <w:r>
        <w:rPr>
          <w:rFonts w:hint="eastAsia" w:ascii="宋体" w:hAnsi="宋体"/>
          <w:bCs/>
          <w:color w:val="auto"/>
          <w:szCs w:val="21"/>
        </w:rPr>
        <w:t xml:space="preserve"> </w:t>
      </w:r>
      <w:r>
        <w:rPr>
          <w:rFonts w:ascii="宋体" w:hAnsi="宋体"/>
          <w:bCs/>
          <w:color w:val="auto"/>
          <w:szCs w:val="21"/>
        </w:rPr>
        <w:t xml:space="preserve">   </w:t>
      </w:r>
      <w:r>
        <w:rPr>
          <w:rFonts w:hint="eastAsia" w:ascii="宋体" w:hAnsi="宋体"/>
          <w:bCs/>
          <w:color w:val="auto"/>
          <w:szCs w:val="21"/>
        </w:rPr>
        <w:t>★报价明细表</w:t>
      </w:r>
      <w:bookmarkEnd w:id="84"/>
      <w:r>
        <w:rPr>
          <w:rFonts w:hint="eastAsia" w:ascii="宋体" w:hAnsi="宋体"/>
          <w:bCs/>
          <w:color w:val="auto"/>
          <w:szCs w:val="21"/>
        </w:rPr>
        <w:t>(格式见第六章)。</w:t>
      </w:r>
    </w:p>
    <w:bookmarkEnd w:id="78"/>
    <w:p>
      <w:pPr>
        <w:snapToGrid w:val="0"/>
        <w:spacing w:line="406" w:lineRule="exact"/>
        <w:ind w:firstLine="422"/>
        <w:rPr>
          <w:rFonts w:ascii="宋体" w:hAnsi="宋体"/>
          <w:color w:val="auto"/>
          <w:szCs w:val="21"/>
        </w:rPr>
      </w:pPr>
      <w:r>
        <w:rPr>
          <w:rFonts w:hint="eastAsia" w:ascii="宋体" w:hAnsi="宋体"/>
          <w:color w:val="auto"/>
          <w:szCs w:val="21"/>
        </w:rPr>
        <w:t>注：①标注★号的材料均为必须提供的材料须由供应商加盖公章，授权委托书必须由法定代表人签名，否则视为无效响应文件。</w:t>
      </w:r>
    </w:p>
    <w:p>
      <w:pPr>
        <w:spacing w:line="406" w:lineRule="exact"/>
        <w:ind w:firstLine="210" w:firstLineChars="100"/>
        <w:rPr>
          <w:rFonts w:ascii="宋体" w:hAnsi="宋体" w:cs="Courier New"/>
          <w:color w:val="auto"/>
          <w:szCs w:val="21"/>
        </w:rPr>
      </w:pPr>
      <w:bookmarkStart w:id="85" w:name="_Hlk90906323"/>
      <w:r>
        <w:rPr>
          <w:rFonts w:hint="eastAsia" w:ascii="宋体" w:hAnsi="宋体"/>
          <w:color w:val="auto"/>
          <w:szCs w:val="21"/>
        </w:rPr>
        <w:t>②</w:t>
      </w:r>
      <w:bookmarkStart w:id="86" w:name="_Hlk111726335"/>
      <w:r>
        <w:rPr>
          <w:rFonts w:hint="eastAsia" w:ascii="宋体" w:hAnsi="宋体" w:cs="Courier New"/>
          <w:color w:val="auto"/>
          <w:szCs w:val="21"/>
        </w:rPr>
        <w:t>供应商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供应商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见第六章），并对声明的真实性负责。</w:t>
      </w:r>
      <w:bookmarkEnd w:id="86"/>
    </w:p>
    <w:p>
      <w:pPr>
        <w:spacing w:line="406" w:lineRule="exact"/>
        <w:ind w:firstLine="211" w:firstLineChars="100"/>
        <w:rPr>
          <w:rFonts w:ascii="宋体" w:hAnsi="宋体"/>
          <w:b/>
          <w:bCs/>
          <w:color w:val="auto"/>
          <w:szCs w:val="21"/>
        </w:rPr>
      </w:pPr>
      <w:r>
        <w:rPr>
          <w:rFonts w:hint="eastAsia" w:ascii="宋体" w:hAnsi="宋体"/>
          <w:b/>
          <w:color w:val="auto"/>
          <w:szCs w:val="21"/>
        </w:rPr>
        <w:t>（三）</w:t>
      </w:r>
      <w:bookmarkStart w:id="87" w:name="_Toc352700422"/>
      <w:bookmarkStart w:id="88" w:name="_Toc254970678"/>
      <w:bookmarkStart w:id="89" w:name="_Toc353785292"/>
      <w:bookmarkStart w:id="90" w:name="_Toc254970537"/>
      <w:r>
        <w:rPr>
          <w:rFonts w:hint="eastAsia" w:ascii="宋体" w:hAnsi="宋体"/>
          <w:b/>
          <w:bCs/>
          <w:color w:val="auto"/>
          <w:szCs w:val="21"/>
        </w:rPr>
        <w:t>响应文件的编制、签署及加密</w:t>
      </w:r>
    </w:p>
    <w:p>
      <w:pPr>
        <w:spacing w:line="406" w:lineRule="exact"/>
        <w:ind w:firstLine="420"/>
        <w:rPr>
          <w:rFonts w:ascii="宋体" w:hAnsi="宋体"/>
          <w:color w:val="auto"/>
          <w:szCs w:val="21"/>
        </w:rPr>
      </w:pPr>
      <w:r>
        <w:rPr>
          <w:rFonts w:ascii="宋体" w:hAnsi="宋体"/>
          <w:color w:val="auto"/>
          <w:szCs w:val="21"/>
        </w:rPr>
        <w:t>1.</w:t>
      </w:r>
      <w:r>
        <w:rPr>
          <w:rFonts w:hint="eastAsia" w:ascii="宋体" w:hAnsi="宋体"/>
          <w:color w:val="auto"/>
          <w:szCs w:val="21"/>
        </w:rPr>
        <w:t>供应商应认真阅读、并充分理解采购文件的全部内容(包括所有的补充、修改内容)，承诺履行其各项条款的规定并按要求编制，响应文件应为电子文件或扫描件(样品除外)。</w:t>
      </w:r>
    </w:p>
    <w:p>
      <w:pPr>
        <w:spacing w:line="406" w:lineRule="exact"/>
        <w:ind w:firstLine="420"/>
        <w:rPr>
          <w:rFonts w:ascii="宋体" w:hAnsi="宋体"/>
          <w:color w:val="auto"/>
          <w:szCs w:val="21"/>
        </w:rPr>
      </w:pPr>
      <w:r>
        <w:rPr>
          <w:rFonts w:ascii="宋体" w:hAnsi="宋体"/>
          <w:color w:val="auto"/>
          <w:szCs w:val="21"/>
        </w:rPr>
        <w:t>2.</w:t>
      </w:r>
      <w:r>
        <w:rPr>
          <w:rFonts w:hint="eastAsia" w:ascii="宋体" w:hAnsi="宋体"/>
          <w:color w:val="auto"/>
          <w:szCs w:val="21"/>
        </w:rPr>
        <w:t>供应商应通过政采云投标客户端编制加密响应文件。</w:t>
      </w:r>
    </w:p>
    <w:p>
      <w:pPr>
        <w:spacing w:line="406" w:lineRule="exact"/>
        <w:ind w:firstLine="420"/>
        <w:rPr>
          <w:rFonts w:ascii="宋体" w:hAnsi="宋体"/>
          <w:color w:val="auto"/>
          <w:szCs w:val="21"/>
        </w:rPr>
      </w:pPr>
      <w:r>
        <w:rPr>
          <w:rFonts w:ascii="宋体" w:hAnsi="宋体"/>
          <w:color w:val="auto"/>
          <w:szCs w:val="21"/>
        </w:rPr>
        <w:t>3.</w:t>
      </w:r>
      <w:r>
        <w:rPr>
          <w:rFonts w:hint="eastAsia" w:ascii="宋体" w:hAnsi="宋体"/>
          <w:color w:val="auto"/>
          <w:szCs w:val="21"/>
        </w:rPr>
        <w:t>响应文件由资格文件、商务技术文件和报价文件组成，供应商应按规定的顺序编制并标注页码、准确设置评审关联点，未设置或未正确设置关联点而导致响应文件被误读、漏读或者查找不到相关响应内容的责任和后果由供应商承担。</w:t>
      </w:r>
    </w:p>
    <w:p>
      <w:pPr>
        <w:spacing w:line="406" w:lineRule="exact"/>
        <w:rPr>
          <w:rFonts w:ascii="宋体" w:hAnsi="宋体"/>
          <w:b/>
          <w:bCs/>
          <w:color w:val="auto"/>
          <w:szCs w:val="21"/>
        </w:rPr>
      </w:pPr>
      <w:r>
        <w:rPr>
          <w:rFonts w:ascii="宋体" w:hAnsi="宋体"/>
          <w:color w:val="auto"/>
          <w:szCs w:val="21"/>
        </w:rPr>
        <w:tab/>
      </w:r>
      <w:r>
        <w:rPr>
          <w:rFonts w:ascii="宋体" w:hAnsi="宋体"/>
          <w:b/>
          <w:bCs/>
          <w:color w:val="auto"/>
          <w:szCs w:val="21"/>
        </w:rPr>
        <w:t>4.</w:t>
      </w:r>
      <w:r>
        <w:rPr>
          <w:rFonts w:hint="eastAsia" w:ascii="宋体" w:hAnsi="宋体"/>
          <w:b/>
          <w:bCs/>
          <w:color w:val="auto"/>
          <w:szCs w:val="21"/>
        </w:rPr>
        <w:t>响应文件由供应商在规定位置由法定代表人或授权委托人签名（可为电子签名）、填写供应商名称并加盖公章(简称“盖章”，可为电子公章)，供应商名称应写全称。</w:t>
      </w:r>
    </w:p>
    <w:p>
      <w:pPr>
        <w:snapToGrid w:val="0"/>
        <w:spacing w:line="406" w:lineRule="exact"/>
        <w:ind w:firstLine="210" w:firstLineChars="100"/>
        <w:rPr>
          <w:rFonts w:ascii="宋体" w:hAnsi="宋体"/>
          <w:b/>
          <w:bCs/>
          <w:color w:val="auto"/>
          <w:szCs w:val="21"/>
        </w:rPr>
      </w:pPr>
      <w:r>
        <w:rPr>
          <w:rFonts w:ascii="宋体" w:hAnsi="宋体"/>
          <w:color w:val="auto"/>
          <w:szCs w:val="21"/>
        </w:rPr>
        <w:tab/>
      </w:r>
      <w:r>
        <w:rPr>
          <w:rFonts w:ascii="宋体" w:hAnsi="宋体"/>
          <w:color w:val="auto"/>
          <w:szCs w:val="21"/>
        </w:rPr>
        <w:t>5.</w:t>
      </w:r>
      <w:r>
        <w:rPr>
          <w:rFonts w:hint="eastAsia" w:ascii="宋体" w:hAnsi="宋体"/>
          <w:color w:val="auto"/>
          <w:szCs w:val="21"/>
        </w:rPr>
        <w:t>响应文件内容不完整、编排混乱、不清晰等原因导致被误读或漏读的责任和后果由供应商承担。</w:t>
      </w:r>
    </w:p>
    <w:bookmarkEnd w:id="85"/>
    <w:p>
      <w:pPr>
        <w:spacing w:line="406" w:lineRule="exact"/>
        <w:ind w:firstLine="211" w:firstLineChars="100"/>
        <w:rPr>
          <w:color w:val="auto"/>
        </w:rPr>
      </w:pPr>
      <w:r>
        <w:rPr>
          <w:rFonts w:hint="eastAsia"/>
          <w:b/>
          <w:bCs/>
          <w:color w:val="auto"/>
        </w:rPr>
        <w:t>（四）响应文件的语言及计量</w:t>
      </w:r>
      <w:bookmarkEnd w:id="87"/>
      <w:bookmarkEnd w:id="88"/>
      <w:bookmarkEnd w:id="89"/>
      <w:bookmarkEnd w:id="90"/>
    </w:p>
    <w:p>
      <w:pPr>
        <w:snapToGrid w:val="0"/>
        <w:spacing w:line="406" w:lineRule="exact"/>
        <w:ind w:firstLine="420"/>
        <w:rPr>
          <w:rFonts w:ascii="宋体" w:hAnsi="宋体"/>
          <w:color w:val="auto"/>
          <w:szCs w:val="21"/>
        </w:rPr>
      </w:pPr>
      <w:r>
        <w:rPr>
          <w:rFonts w:ascii="宋体" w:hAnsi="宋体"/>
          <w:color w:val="auto"/>
          <w:szCs w:val="21"/>
        </w:rPr>
        <w:t>1.</w:t>
      </w:r>
      <w:r>
        <w:rPr>
          <w:rFonts w:hint="eastAsia" w:ascii="宋体" w:hAnsi="宋体"/>
          <w:color w:val="auto"/>
          <w:szCs w:val="21"/>
        </w:rPr>
        <w:t>响应文件以及供应商与采购人、本中心就有关事宜的所有来往函电，均应以中文汉语书写。除签名、盖章、专用名称等特殊情形外，以中文汉语以外的文字表述的视为无效文件。</w:t>
      </w:r>
    </w:p>
    <w:p>
      <w:pPr>
        <w:snapToGrid w:val="0"/>
        <w:spacing w:line="406" w:lineRule="exact"/>
        <w:ind w:firstLine="420"/>
        <w:rPr>
          <w:rFonts w:ascii="宋体" w:hAnsi="宋体"/>
          <w:color w:val="auto"/>
          <w:szCs w:val="21"/>
        </w:rPr>
      </w:pPr>
      <w:r>
        <w:rPr>
          <w:rFonts w:ascii="宋体" w:hAnsi="宋体"/>
          <w:color w:val="auto"/>
          <w:szCs w:val="21"/>
        </w:rPr>
        <w:t>2.响应</w:t>
      </w:r>
      <w:r>
        <w:rPr>
          <w:rFonts w:hint="eastAsia" w:ascii="宋体" w:hAnsi="宋体"/>
          <w:color w:val="auto"/>
          <w:szCs w:val="21"/>
        </w:rPr>
        <w:t>文件的计量单位，采购文件已有明确规定的，使用采购文件规定的计量单位；采购文件没有规定的，应采用中华人民共和国法定计量单位（货币单位：人民币元），否则视为无效响应文件。</w:t>
      </w:r>
    </w:p>
    <w:p>
      <w:pPr>
        <w:pStyle w:val="3"/>
        <w:spacing w:before="0" w:after="0" w:line="406" w:lineRule="exact"/>
        <w:ind w:firstLine="211" w:firstLineChars="100"/>
        <w:rPr>
          <w:rFonts w:ascii="宋体" w:hAnsi="宋体" w:eastAsia="宋体"/>
          <w:color w:val="auto"/>
          <w:sz w:val="21"/>
          <w:szCs w:val="21"/>
        </w:rPr>
      </w:pPr>
      <w:bookmarkStart w:id="91" w:name="_（五）报价"/>
      <w:bookmarkEnd w:id="91"/>
      <w:bookmarkStart w:id="92" w:name="_Toc254970679"/>
      <w:bookmarkStart w:id="93" w:name="_Toc352700423"/>
      <w:bookmarkStart w:id="94" w:name="_Toc254970538"/>
      <w:bookmarkStart w:id="95" w:name="_Toc353785293"/>
      <w:r>
        <w:rPr>
          <w:rFonts w:hint="eastAsia" w:ascii="宋体" w:hAnsi="宋体" w:eastAsia="宋体"/>
          <w:color w:val="auto"/>
          <w:sz w:val="21"/>
          <w:szCs w:val="21"/>
        </w:rPr>
        <w:t>（五）报价</w:t>
      </w:r>
      <w:bookmarkEnd w:id="92"/>
      <w:bookmarkEnd w:id="93"/>
      <w:bookmarkEnd w:id="94"/>
      <w:bookmarkEnd w:id="95"/>
    </w:p>
    <w:p>
      <w:pPr>
        <w:pStyle w:val="21"/>
        <w:snapToGrid w:val="0"/>
        <w:spacing w:line="406" w:lineRule="exact"/>
        <w:ind w:firstLine="420"/>
        <w:rPr>
          <w:rFonts w:hAnsi="宋体"/>
          <w:color w:val="auto"/>
        </w:rPr>
      </w:pPr>
      <w:r>
        <w:rPr>
          <w:rFonts w:hAnsi="宋体"/>
          <w:color w:val="auto"/>
        </w:rPr>
        <w:t>1.</w:t>
      </w:r>
      <w:r>
        <w:rPr>
          <w:rFonts w:hint="eastAsia" w:hAnsi="宋体"/>
          <w:color w:val="auto"/>
        </w:rPr>
        <w:t>采购文件中未列明，而供应商认为必需的费用也须列入总报价。在合同实施时，采购人将不予支付成交供应商没有列入总报价的项目费用，并认为此项费用已包含在总报价中。</w:t>
      </w:r>
    </w:p>
    <w:p>
      <w:pPr>
        <w:pStyle w:val="21"/>
        <w:snapToGrid w:val="0"/>
        <w:spacing w:line="406" w:lineRule="exact"/>
        <w:ind w:firstLine="420"/>
        <w:rPr>
          <w:color w:val="auto"/>
        </w:rPr>
      </w:pPr>
      <w:r>
        <w:rPr>
          <w:rFonts w:hAnsi="宋体"/>
          <w:color w:val="auto"/>
        </w:rPr>
        <w:t>2</w:t>
      </w:r>
      <w:r>
        <w:rPr>
          <w:rFonts w:hint="eastAsia" w:hAnsi="宋体"/>
          <w:color w:val="auto"/>
        </w:rPr>
        <w:t>供应商</w:t>
      </w:r>
      <w:r>
        <w:rPr>
          <w:rFonts w:hint="eastAsia"/>
          <w:color w:val="auto"/>
        </w:rPr>
        <w:t>必须就《项目需求》货物和服务的内容作完整唯一报价</w:t>
      </w:r>
      <w:r>
        <w:rPr>
          <w:rFonts w:hint="eastAsia" w:hAnsi="宋体"/>
          <w:color w:val="auto"/>
        </w:rPr>
        <w:t>，有选择的或有条件的报价视为无效响应文件。</w:t>
      </w:r>
    </w:p>
    <w:p>
      <w:pPr>
        <w:tabs>
          <w:tab w:val="left" w:pos="525"/>
        </w:tabs>
        <w:snapToGrid w:val="0"/>
        <w:spacing w:line="406" w:lineRule="exact"/>
        <w:ind w:firstLine="420"/>
        <w:rPr>
          <w:rFonts w:ascii="宋体" w:hAnsi="宋体"/>
          <w:color w:val="auto"/>
          <w:szCs w:val="21"/>
        </w:rPr>
      </w:pPr>
      <w:r>
        <w:rPr>
          <w:rFonts w:ascii="宋体" w:hAnsi="宋体"/>
          <w:color w:val="auto"/>
          <w:szCs w:val="21"/>
        </w:rPr>
        <w:t>3.</w:t>
      </w:r>
      <w:r>
        <w:rPr>
          <w:rFonts w:hint="eastAsia" w:ascii="宋体" w:hAnsi="宋体"/>
          <w:color w:val="auto"/>
          <w:szCs w:val="21"/>
        </w:rPr>
        <w:t>供应商的报价必须按采购文件或政府采购云平台规定的格式填写，并在规定时间内提交最后报价。</w:t>
      </w:r>
    </w:p>
    <w:p>
      <w:pPr>
        <w:tabs>
          <w:tab w:val="left" w:pos="525"/>
        </w:tabs>
        <w:snapToGrid w:val="0"/>
        <w:spacing w:line="406" w:lineRule="exact"/>
        <w:ind w:firstLine="420"/>
        <w:rPr>
          <w:rFonts w:ascii="宋体" w:hAnsi="宋体"/>
          <w:color w:val="auto"/>
          <w:szCs w:val="21"/>
        </w:rPr>
      </w:pPr>
      <w:r>
        <w:rPr>
          <w:rFonts w:ascii="宋体" w:hAnsi="宋体"/>
          <w:color w:val="auto"/>
          <w:szCs w:val="21"/>
        </w:rPr>
        <w:t>4.</w:t>
      </w:r>
      <w:r>
        <w:rPr>
          <w:rFonts w:hint="eastAsia" w:ascii="宋体" w:hAnsi="宋体"/>
          <w:color w:val="auto"/>
          <w:szCs w:val="21"/>
        </w:rPr>
        <w:t>最后报价是供应商响应文件的有效组成部分。</w:t>
      </w:r>
    </w:p>
    <w:p>
      <w:pPr>
        <w:pStyle w:val="3"/>
        <w:spacing w:before="0" w:after="0" w:line="406" w:lineRule="exact"/>
        <w:ind w:firstLine="211" w:firstLineChars="100"/>
        <w:rPr>
          <w:rFonts w:ascii="宋体" w:hAnsi="宋体" w:eastAsia="宋体"/>
          <w:color w:val="auto"/>
          <w:sz w:val="21"/>
          <w:szCs w:val="21"/>
        </w:rPr>
      </w:pPr>
      <w:bookmarkStart w:id="96" w:name="_（六）磋商保证金"/>
      <w:bookmarkEnd w:id="96"/>
      <w:bookmarkStart w:id="97" w:name="_Toc352700425"/>
      <w:bookmarkStart w:id="98" w:name="_Toc254970541"/>
      <w:bookmarkStart w:id="99" w:name="_Toc254970682"/>
      <w:bookmarkStart w:id="100" w:name="_Toc353785295"/>
      <w:r>
        <w:rPr>
          <w:rFonts w:hint="eastAsia" w:ascii="宋体" w:hAnsi="宋体" w:eastAsia="宋体"/>
          <w:color w:val="auto"/>
          <w:sz w:val="21"/>
          <w:szCs w:val="21"/>
        </w:rPr>
        <w:t>（六）磋商保证金</w:t>
      </w:r>
      <w:bookmarkEnd w:id="97"/>
      <w:bookmarkEnd w:id="98"/>
      <w:bookmarkEnd w:id="99"/>
      <w:bookmarkEnd w:id="100"/>
    </w:p>
    <w:p>
      <w:pPr>
        <w:snapToGrid w:val="0"/>
        <w:spacing w:line="406" w:lineRule="exact"/>
        <w:ind w:firstLine="420" w:firstLineChars="200"/>
        <w:rPr>
          <w:rFonts w:hint="default" w:ascii="宋体" w:hAnsi="宋体" w:eastAsia="宋体"/>
          <w:color w:val="auto"/>
          <w:szCs w:val="21"/>
          <w:lang w:val="en-US" w:eastAsia="zh-CN"/>
        </w:rPr>
      </w:pPr>
      <w:bookmarkStart w:id="101" w:name="_Toc353785296"/>
      <w:bookmarkStart w:id="102" w:name="_Toc254970683"/>
      <w:bookmarkStart w:id="103" w:name="_Toc352700426"/>
      <w:bookmarkStart w:id="104" w:name="_Toc254970542"/>
      <w:r>
        <w:rPr>
          <w:rFonts w:hint="eastAsia" w:ascii="宋体" w:hAnsi="宋体"/>
          <w:color w:val="auto"/>
          <w:szCs w:val="21"/>
        </w:rPr>
        <w:t>1</w:t>
      </w:r>
      <w:r>
        <w:rPr>
          <w:rFonts w:ascii="宋体" w:hAnsi="宋体"/>
          <w:color w:val="auto"/>
          <w:szCs w:val="21"/>
        </w:rPr>
        <w:t>.</w:t>
      </w:r>
      <w:r>
        <w:rPr>
          <w:rFonts w:hint="eastAsia" w:ascii="宋体" w:hAnsi="宋体"/>
          <w:color w:val="auto"/>
          <w:szCs w:val="21"/>
        </w:rPr>
        <w:t>磋商保证金金额：</w:t>
      </w:r>
      <w:r>
        <w:rPr>
          <w:rFonts w:hint="eastAsia" w:ascii="宋体" w:hAnsi="宋体"/>
          <w:color w:val="auto"/>
          <w:szCs w:val="21"/>
          <w:lang w:val="en-US" w:eastAsia="zh-CN"/>
        </w:rPr>
        <w:t>供应商须按“供应商须知前附表”的规定提交磋商保证金。</w:t>
      </w:r>
    </w:p>
    <w:p>
      <w:pPr>
        <w:snapToGrid w:val="0"/>
        <w:spacing w:line="406"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提交形式：以支票、汇票、本票、网上银行支付</w:t>
      </w:r>
      <w:bookmarkStart w:id="105" w:name="_Hlk91771269"/>
      <w:r>
        <w:rPr>
          <w:rFonts w:hint="eastAsia" w:ascii="宋体" w:hAnsi="宋体"/>
          <w:color w:val="auto"/>
          <w:szCs w:val="21"/>
        </w:rPr>
        <w:t>或者金融机构、担保机构出具的保函</w:t>
      </w:r>
      <w:bookmarkEnd w:id="105"/>
      <w:r>
        <w:rPr>
          <w:rFonts w:hint="eastAsia" w:ascii="宋体" w:hAnsi="宋体"/>
          <w:color w:val="auto"/>
          <w:szCs w:val="21"/>
        </w:rPr>
        <w:t>等非现金形式提交。</w:t>
      </w:r>
    </w:p>
    <w:p>
      <w:pPr>
        <w:snapToGrid w:val="0"/>
        <w:spacing w:line="406" w:lineRule="exact"/>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以支票、汇票、本票或者金融机构、担保机构出具的保函等形式提交保证金的，供应商必须将票据、保函等原件于响应文件提交截止时间前递交至本中心财务室（地址:广西钦州市钦南区水东街区金海湾东大街8号市政务服务中心二楼市采购中心财务室，联系方式:0777-2886026）。</w:t>
      </w:r>
    </w:p>
    <w:p>
      <w:pPr>
        <w:snapToGrid w:val="0"/>
        <w:spacing w:line="406"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以网上银行形式提交保证金的，供应商必须于响应文件提交截止时间前</w:t>
      </w:r>
      <w:bookmarkStart w:id="106" w:name="_Hlk92456464"/>
      <w:r>
        <w:rPr>
          <w:rFonts w:hint="eastAsia" w:ascii="宋体" w:hAnsi="宋体"/>
          <w:color w:val="auto"/>
          <w:szCs w:val="21"/>
        </w:rPr>
        <w:t>从供应商账户缴存至</w:t>
      </w:r>
      <w:bookmarkEnd w:id="106"/>
      <w:r>
        <w:rPr>
          <w:rFonts w:hint="eastAsia" w:ascii="宋体" w:hAnsi="宋体"/>
          <w:color w:val="auto"/>
          <w:szCs w:val="21"/>
        </w:rPr>
        <w:t>本中心银行账户并确保到账，否则视为无效保证金。</w:t>
      </w:r>
    </w:p>
    <w:p>
      <w:pPr>
        <w:snapToGrid w:val="0"/>
        <w:spacing w:line="406" w:lineRule="exact"/>
        <w:rPr>
          <w:rFonts w:ascii="宋体" w:hAnsi="宋体"/>
          <w:bCs/>
          <w:color w:val="auto"/>
          <w:szCs w:val="21"/>
        </w:rPr>
      </w:pPr>
      <w:r>
        <w:rPr>
          <w:rFonts w:hint="eastAsia" w:ascii="宋体" w:hAnsi="宋体"/>
          <w:bCs/>
          <w:color w:val="auto"/>
          <w:szCs w:val="21"/>
        </w:rPr>
        <w:tab/>
      </w:r>
      <w:r>
        <w:rPr>
          <w:rFonts w:hint="eastAsia" w:ascii="宋体" w:hAnsi="宋体"/>
          <w:bCs/>
          <w:color w:val="auto"/>
          <w:szCs w:val="21"/>
        </w:rPr>
        <w:t>本中心银行账户：</w:t>
      </w:r>
    </w:p>
    <w:p>
      <w:pPr>
        <w:snapToGrid w:val="0"/>
        <w:spacing w:line="406" w:lineRule="exact"/>
        <w:rPr>
          <w:rFonts w:ascii="宋体" w:hAnsi="宋体"/>
          <w:color w:val="auto"/>
          <w:szCs w:val="21"/>
        </w:rPr>
      </w:pPr>
      <w:r>
        <w:rPr>
          <w:rFonts w:hint="eastAsia" w:ascii="宋体" w:hAnsi="宋体"/>
          <w:bCs/>
          <w:color w:val="auto"/>
          <w:szCs w:val="21"/>
        </w:rPr>
        <w:tab/>
      </w:r>
      <w:r>
        <w:rPr>
          <w:rFonts w:hint="eastAsia" w:ascii="宋体" w:hAnsi="宋体"/>
          <w:bCs/>
          <w:color w:val="auto"/>
          <w:szCs w:val="21"/>
        </w:rPr>
        <w:t>开户名称：钦州市政府采购中心</w:t>
      </w:r>
    </w:p>
    <w:p>
      <w:pPr>
        <w:snapToGrid w:val="0"/>
        <w:spacing w:line="406" w:lineRule="exact"/>
        <w:rPr>
          <w:rFonts w:ascii="宋体" w:hAnsi="宋体"/>
          <w:color w:val="auto"/>
          <w:szCs w:val="21"/>
        </w:rPr>
      </w:pPr>
      <w:r>
        <w:rPr>
          <w:rFonts w:hint="eastAsia" w:ascii="宋体" w:hAnsi="宋体"/>
          <w:bCs/>
          <w:color w:val="auto"/>
          <w:szCs w:val="21"/>
        </w:rPr>
        <w:tab/>
      </w:r>
      <w:r>
        <w:rPr>
          <w:rFonts w:hint="eastAsia" w:ascii="宋体" w:hAnsi="宋体"/>
          <w:bCs/>
          <w:color w:val="auto"/>
          <w:szCs w:val="21"/>
        </w:rPr>
        <w:t>开户银行：中国工商银行股份有限公司钦州市永福东支行</w:t>
      </w:r>
    </w:p>
    <w:p>
      <w:pPr>
        <w:snapToGrid w:val="0"/>
        <w:spacing w:line="406" w:lineRule="exact"/>
        <w:rPr>
          <w:rFonts w:ascii="宋体" w:hAnsi="宋体"/>
          <w:bCs/>
          <w:color w:val="auto"/>
          <w:szCs w:val="21"/>
        </w:rPr>
      </w:pPr>
      <w:r>
        <w:rPr>
          <w:rFonts w:hint="eastAsia" w:ascii="宋体" w:hAnsi="宋体"/>
          <w:bCs/>
          <w:color w:val="auto"/>
          <w:szCs w:val="21"/>
        </w:rPr>
        <w:tab/>
      </w:r>
      <w:r>
        <w:rPr>
          <w:rFonts w:hint="eastAsia" w:ascii="宋体" w:hAnsi="宋体"/>
          <w:bCs/>
          <w:color w:val="auto"/>
          <w:szCs w:val="21"/>
        </w:rPr>
        <w:t>银行账号：2115591229100078724</w:t>
      </w:r>
    </w:p>
    <w:p>
      <w:pPr>
        <w:snapToGrid w:val="0"/>
        <w:spacing w:line="406" w:lineRule="exact"/>
        <w:ind w:firstLine="420"/>
        <w:rPr>
          <w:rFonts w:ascii="宋体" w:hAnsi="宋体"/>
          <w:color w:val="auto"/>
          <w:szCs w:val="21"/>
        </w:rPr>
      </w:pPr>
      <w:r>
        <w:rPr>
          <w:rFonts w:hint="eastAsia" w:ascii="宋体" w:hAnsi="宋体"/>
          <w:bCs/>
          <w:color w:val="auto"/>
          <w:szCs w:val="21"/>
        </w:rPr>
        <w:t>注：供应商无法选择以上开户银行的，请选择“中国工商银行股份有限公司钦州分行”进行缴存。</w:t>
      </w:r>
    </w:p>
    <w:p>
      <w:pPr>
        <w:snapToGrid w:val="0"/>
        <w:spacing w:line="406" w:lineRule="exact"/>
        <w:rPr>
          <w:rFonts w:ascii="宋体" w:hAnsi="宋体"/>
          <w:color w:val="auto"/>
          <w:szCs w:val="21"/>
        </w:rPr>
      </w:pPr>
      <w:r>
        <w:rPr>
          <w:rFonts w:hint="eastAsia" w:ascii="宋体" w:hAnsi="宋体"/>
          <w:color w:val="auto"/>
          <w:szCs w:val="21"/>
        </w:rPr>
        <w:tab/>
      </w:r>
      <w:r>
        <w:rPr>
          <w:rFonts w:ascii="宋体" w:hAnsi="宋体"/>
          <w:color w:val="auto"/>
          <w:szCs w:val="21"/>
        </w:rPr>
        <w:t>3.</w:t>
      </w:r>
      <w:r>
        <w:rPr>
          <w:rFonts w:hint="eastAsia" w:ascii="宋体" w:hAnsi="宋体"/>
          <w:color w:val="auto"/>
          <w:szCs w:val="21"/>
        </w:rPr>
        <w:t>磋商小组将以供应商递交的支票、汇票、本票、保函原件以及本中心财务室出具的《保证金收缴情况表》作为评审依据，对未按规定提交保证金的响应文件作无效处理。</w:t>
      </w:r>
    </w:p>
    <w:p>
      <w:pPr>
        <w:snapToGrid w:val="0"/>
        <w:spacing w:line="406" w:lineRule="exact"/>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rPr>
        <w:t>保证金的退付：</w:t>
      </w:r>
    </w:p>
    <w:tbl>
      <w:tblPr>
        <w:tblStyle w:val="36"/>
        <w:tblW w:w="9781"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4394"/>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l2br w:val="single" w:color="auto" w:sz="4" w:space="0"/>
            </w:tcBorders>
            <w:vAlign w:val="center"/>
          </w:tcPr>
          <w:p>
            <w:pPr>
              <w:spacing w:line="406" w:lineRule="exact"/>
              <w:rPr>
                <w:color w:val="auto"/>
                <w:sz w:val="18"/>
                <w:szCs w:val="18"/>
              </w:rPr>
            </w:pPr>
            <w:r>
              <w:rPr>
                <w:rFonts w:hint="eastAsia"/>
                <w:color w:val="auto"/>
                <w:szCs w:val="21"/>
              </w:rPr>
              <w:t xml:space="preserve">     </w:t>
            </w:r>
            <w:r>
              <w:rPr>
                <w:color w:val="auto"/>
                <w:szCs w:val="21"/>
              </w:rPr>
              <w:t xml:space="preserve">   </w:t>
            </w:r>
            <w:r>
              <w:rPr>
                <w:rFonts w:hint="eastAsia"/>
                <w:color w:val="auto"/>
                <w:sz w:val="18"/>
                <w:szCs w:val="18"/>
              </w:rPr>
              <w:t>提交形式</w:t>
            </w:r>
          </w:p>
          <w:p>
            <w:pPr>
              <w:spacing w:line="406" w:lineRule="exact"/>
              <w:rPr>
                <w:color w:val="auto"/>
                <w:sz w:val="18"/>
                <w:szCs w:val="18"/>
              </w:rPr>
            </w:pPr>
            <w:r>
              <w:rPr>
                <w:rFonts w:hint="eastAsia"/>
                <w:color w:val="auto"/>
                <w:sz w:val="18"/>
                <w:szCs w:val="18"/>
              </w:rPr>
              <w:t xml:space="preserve"> 供应商</w:t>
            </w:r>
          </w:p>
        </w:tc>
        <w:tc>
          <w:tcPr>
            <w:tcW w:w="4394" w:type="dxa"/>
            <w:vAlign w:val="center"/>
          </w:tcPr>
          <w:p>
            <w:pPr>
              <w:spacing w:line="406" w:lineRule="exact"/>
              <w:jc w:val="center"/>
              <w:rPr>
                <w:color w:val="auto"/>
                <w:szCs w:val="21"/>
              </w:rPr>
            </w:pPr>
            <w:r>
              <w:rPr>
                <w:rFonts w:hint="eastAsia"/>
                <w:color w:val="auto"/>
                <w:szCs w:val="21"/>
              </w:rPr>
              <w:t>网上银行形式</w:t>
            </w:r>
          </w:p>
        </w:tc>
        <w:tc>
          <w:tcPr>
            <w:tcW w:w="3544" w:type="dxa"/>
            <w:vAlign w:val="center"/>
          </w:tcPr>
          <w:p>
            <w:pPr>
              <w:snapToGrid w:val="0"/>
              <w:spacing w:line="406" w:lineRule="exact"/>
              <w:jc w:val="center"/>
              <w:rPr>
                <w:rFonts w:ascii="宋体"/>
                <w:color w:val="auto"/>
                <w:szCs w:val="21"/>
              </w:rPr>
            </w:pPr>
            <w:r>
              <w:rPr>
                <w:rFonts w:hint="eastAsia"/>
                <w:color w:val="auto"/>
                <w:szCs w:val="21"/>
              </w:rPr>
              <w:t>支票、汇票、本票、保函等形式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center"/>
          </w:tcPr>
          <w:p>
            <w:pPr>
              <w:spacing w:line="406" w:lineRule="exact"/>
              <w:jc w:val="center"/>
              <w:rPr>
                <w:color w:val="auto"/>
                <w:szCs w:val="21"/>
              </w:rPr>
            </w:pPr>
            <w:r>
              <w:rPr>
                <w:rFonts w:hint="eastAsia" w:ascii="宋体"/>
                <w:color w:val="auto"/>
                <w:szCs w:val="21"/>
              </w:rPr>
              <w:t>未成交供应商</w:t>
            </w:r>
          </w:p>
        </w:tc>
        <w:tc>
          <w:tcPr>
            <w:tcW w:w="4394" w:type="dxa"/>
            <w:vAlign w:val="center"/>
          </w:tcPr>
          <w:p>
            <w:pPr>
              <w:spacing w:line="406" w:lineRule="exact"/>
              <w:rPr>
                <w:color w:val="auto"/>
                <w:szCs w:val="21"/>
              </w:rPr>
            </w:pPr>
            <w:r>
              <w:rPr>
                <w:rFonts w:hint="eastAsia" w:ascii="宋体"/>
                <w:color w:val="auto"/>
                <w:szCs w:val="21"/>
              </w:rPr>
              <w:t>成交通知书(结果公告)发出之日起四个工作日内以</w:t>
            </w:r>
            <w:r>
              <w:rPr>
                <w:rFonts w:hint="eastAsia"/>
                <w:color w:val="auto"/>
                <w:szCs w:val="21"/>
              </w:rPr>
              <w:t>网上银行形式</w:t>
            </w:r>
            <w:r>
              <w:rPr>
                <w:rFonts w:hint="eastAsia" w:ascii="宋体"/>
                <w:color w:val="auto"/>
                <w:szCs w:val="21"/>
              </w:rPr>
              <w:t>退回到供应商银行账户。</w:t>
            </w:r>
          </w:p>
        </w:tc>
        <w:tc>
          <w:tcPr>
            <w:tcW w:w="3544" w:type="dxa"/>
            <w:vAlign w:val="center"/>
          </w:tcPr>
          <w:p>
            <w:pPr>
              <w:spacing w:line="406" w:lineRule="exact"/>
              <w:rPr>
                <w:color w:val="auto"/>
                <w:szCs w:val="21"/>
              </w:rPr>
            </w:pPr>
            <w:r>
              <w:rPr>
                <w:rFonts w:hint="eastAsia"/>
                <w:color w:val="auto"/>
                <w:szCs w:val="21"/>
              </w:rPr>
              <w:t>成交通知书(结果公告)发出之日起四个工作日内退还。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center"/>
          </w:tcPr>
          <w:p>
            <w:pPr>
              <w:spacing w:line="406" w:lineRule="exact"/>
              <w:jc w:val="center"/>
              <w:rPr>
                <w:color w:val="auto"/>
                <w:szCs w:val="21"/>
              </w:rPr>
            </w:pPr>
            <w:r>
              <w:rPr>
                <w:rFonts w:hint="eastAsia" w:ascii="宋体"/>
                <w:color w:val="auto"/>
                <w:szCs w:val="21"/>
              </w:rPr>
              <w:t>成交供应商</w:t>
            </w:r>
          </w:p>
        </w:tc>
        <w:tc>
          <w:tcPr>
            <w:tcW w:w="4394" w:type="dxa"/>
            <w:vAlign w:val="center"/>
          </w:tcPr>
          <w:p>
            <w:pPr>
              <w:spacing w:line="406" w:lineRule="exact"/>
              <w:rPr>
                <w:color w:val="auto"/>
                <w:szCs w:val="21"/>
              </w:rPr>
            </w:pPr>
            <w:r>
              <w:rPr>
                <w:rFonts w:hint="eastAsia" w:ascii="宋体"/>
                <w:color w:val="auto"/>
                <w:szCs w:val="21"/>
              </w:rPr>
              <w:t>在政府采购合同签订之日起四个工作日内以</w:t>
            </w:r>
            <w:r>
              <w:rPr>
                <w:rFonts w:hint="eastAsia"/>
                <w:color w:val="auto"/>
                <w:szCs w:val="21"/>
              </w:rPr>
              <w:t>网上银行形式</w:t>
            </w:r>
            <w:r>
              <w:rPr>
                <w:rFonts w:hint="eastAsia" w:ascii="宋体"/>
                <w:color w:val="auto"/>
                <w:szCs w:val="21"/>
              </w:rPr>
              <w:t>退回到供应商银行账户。</w:t>
            </w:r>
          </w:p>
        </w:tc>
        <w:tc>
          <w:tcPr>
            <w:tcW w:w="3544" w:type="dxa"/>
            <w:vAlign w:val="center"/>
          </w:tcPr>
          <w:p>
            <w:pPr>
              <w:spacing w:line="406" w:lineRule="exact"/>
              <w:rPr>
                <w:color w:val="auto"/>
                <w:szCs w:val="21"/>
              </w:rPr>
            </w:pPr>
            <w:r>
              <w:rPr>
                <w:rFonts w:hint="eastAsia" w:hAnsi="宋体"/>
                <w:color w:val="auto"/>
              </w:rPr>
              <w:t>在政府采购合同签订之日起</w:t>
            </w:r>
            <w:r>
              <w:rPr>
                <w:rFonts w:hint="eastAsia" w:ascii="宋体"/>
                <w:color w:val="auto"/>
                <w:szCs w:val="21"/>
              </w:rPr>
              <w:t>四个工作日内</w:t>
            </w:r>
            <w:r>
              <w:rPr>
                <w:rFonts w:hint="eastAsia"/>
                <w:color w:val="auto"/>
                <w:szCs w:val="21"/>
              </w:rPr>
              <w:t>退还。</w:t>
            </w:r>
          </w:p>
        </w:tc>
      </w:tr>
    </w:tbl>
    <w:p>
      <w:pPr>
        <w:widowControl/>
        <w:spacing w:line="406" w:lineRule="exact"/>
        <w:ind w:firstLine="315" w:firstLineChars="150"/>
        <w:jc w:val="left"/>
        <w:rPr>
          <w:rFonts w:ascii="宋体" w:hAnsi="宋体"/>
          <w:color w:val="auto"/>
          <w:szCs w:val="21"/>
        </w:rPr>
      </w:pPr>
      <w:r>
        <w:rPr>
          <w:rFonts w:hint="eastAsia" w:ascii="宋体" w:hAnsi="宋体"/>
          <w:color w:val="auto"/>
          <w:szCs w:val="21"/>
        </w:rPr>
        <w:t>注：</w:t>
      </w:r>
      <w:r>
        <w:rPr>
          <w:rFonts w:hint="eastAsia"/>
          <w:color w:val="auto"/>
          <w:szCs w:val="21"/>
        </w:rPr>
        <w:t>因供应商自身原因导致无法及时退还的除外</w:t>
      </w:r>
    </w:p>
    <w:p>
      <w:pPr>
        <w:widowControl/>
        <w:spacing w:line="406" w:lineRule="exact"/>
        <w:ind w:firstLine="315" w:firstLineChars="150"/>
        <w:jc w:val="left"/>
        <w:rPr>
          <w:rFonts w:hAnsi="宋体"/>
          <w:color w:val="auto"/>
        </w:rPr>
      </w:pPr>
      <w:r>
        <w:rPr>
          <w:rFonts w:ascii="宋体" w:hAnsi="宋体"/>
          <w:color w:val="auto"/>
          <w:szCs w:val="21"/>
        </w:rPr>
        <w:t>5.</w:t>
      </w:r>
      <w:r>
        <w:rPr>
          <w:rFonts w:hint="eastAsia" w:ascii="宋体" w:hAnsi="宋体"/>
          <w:color w:val="auto"/>
          <w:szCs w:val="21"/>
        </w:rPr>
        <w:t>供应商有下列情形之一的，保证金将不予退还：</w:t>
      </w:r>
    </w:p>
    <w:p>
      <w:pPr>
        <w:widowControl/>
        <w:spacing w:line="406" w:lineRule="exact"/>
        <w:ind w:firstLine="420" w:firstLineChars="200"/>
        <w:jc w:val="left"/>
        <w:rPr>
          <w:color w:val="auto"/>
        </w:rPr>
      </w:pPr>
      <w:r>
        <w:rPr>
          <w:rFonts w:hint="eastAsia"/>
          <w:color w:val="auto"/>
        </w:rPr>
        <w:t>(</w:t>
      </w:r>
      <w:r>
        <w:rPr>
          <w:color w:val="auto"/>
        </w:rPr>
        <w:t>1)</w:t>
      </w:r>
      <w:r>
        <w:rPr>
          <w:rFonts w:hint="eastAsia"/>
          <w:color w:val="auto"/>
        </w:rPr>
        <w:t>供应商在响应文件提交截止时间后撤回响应文件的；</w:t>
      </w:r>
    </w:p>
    <w:p>
      <w:pPr>
        <w:widowControl/>
        <w:spacing w:line="406" w:lineRule="exact"/>
        <w:ind w:firstLine="420" w:firstLineChars="200"/>
        <w:jc w:val="left"/>
        <w:rPr>
          <w:color w:val="auto"/>
        </w:rPr>
      </w:pPr>
      <w:r>
        <w:rPr>
          <w:rFonts w:hint="eastAsia"/>
          <w:color w:val="auto"/>
        </w:rPr>
        <w:t>(</w:t>
      </w:r>
      <w:r>
        <w:rPr>
          <w:color w:val="auto"/>
        </w:rPr>
        <w:t>2)</w:t>
      </w:r>
      <w:r>
        <w:rPr>
          <w:rFonts w:hint="eastAsia"/>
          <w:color w:val="auto"/>
        </w:rPr>
        <w:t>供应商在响应文件中提供虚假材料的；</w:t>
      </w:r>
    </w:p>
    <w:p>
      <w:pPr>
        <w:widowControl/>
        <w:spacing w:line="406" w:lineRule="exact"/>
        <w:ind w:firstLine="420" w:firstLineChars="200"/>
        <w:jc w:val="left"/>
        <w:rPr>
          <w:color w:val="auto"/>
        </w:rPr>
      </w:pPr>
      <w:r>
        <w:rPr>
          <w:rFonts w:hint="eastAsia"/>
          <w:color w:val="auto"/>
        </w:rPr>
        <w:t>(</w:t>
      </w:r>
      <w:r>
        <w:rPr>
          <w:color w:val="auto"/>
        </w:rPr>
        <w:t>3)</w:t>
      </w:r>
      <w:r>
        <w:rPr>
          <w:rFonts w:hint="eastAsia"/>
          <w:color w:val="auto"/>
        </w:rPr>
        <w:t>除因不可抗力或磋商文件认可的情形以外，成交供应商不与采购人签订合同的；</w:t>
      </w:r>
    </w:p>
    <w:p>
      <w:pPr>
        <w:widowControl/>
        <w:spacing w:line="406" w:lineRule="exact"/>
        <w:ind w:firstLine="420" w:firstLineChars="200"/>
        <w:jc w:val="left"/>
        <w:rPr>
          <w:color w:val="auto"/>
        </w:rPr>
      </w:pPr>
      <w:r>
        <w:rPr>
          <w:rFonts w:hint="eastAsia"/>
          <w:color w:val="auto"/>
        </w:rPr>
        <w:t>(</w:t>
      </w:r>
      <w:r>
        <w:rPr>
          <w:color w:val="auto"/>
        </w:rPr>
        <w:t>4)</w:t>
      </w:r>
      <w:r>
        <w:rPr>
          <w:rFonts w:hint="eastAsia"/>
          <w:color w:val="auto"/>
        </w:rPr>
        <w:t>供应商与采购人、其他供应商或采购代理机构恶意串通的；</w:t>
      </w:r>
    </w:p>
    <w:p>
      <w:pPr>
        <w:widowControl/>
        <w:spacing w:line="406" w:lineRule="exact"/>
        <w:ind w:firstLine="420" w:firstLineChars="200"/>
        <w:jc w:val="left"/>
        <w:rPr>
          <w:color w:val="auto"/>
        </w:rPr>
      </w:pPr>
      <w:r>
        <w:rPr>
          <w:rFonts w:hint="eastAsia"/>
          <w:color w:val="auto"/>
        </w:rPr>
        <w:t>(</w:t>
      </w:r>
      <w:r>
        <w:rPr>
          <w:color w:val="auto"/>
        </w:rPr>
        <w:t>5)</w:t>
      </w:r>
      <w:r>
        <w:rPr>
          <w:rFonts w:hint="eastAsia"/>
          <w:color w:val="auto"/>
        </w:rPr>
        <w:t>采购文件规定的其他情形。</w:t>
      </w:r>
    </w:p>
    <w:bookmarkEnd w:id="101"/>
    <w:bookmarkEnd w:id="102"/>
    <w:bookmarkEnd w:id="103"/>
    <w:bookmarkEnd w:id="104"/>
    <w:p>
      <w:pPr>
        <w:spacing w:line="406" w:lineRule="exact"/>
        <w:ind w:firstLine="211" w:firstLineChars="100"/>
        <w:rPr>
          <w:b/>
          <w:bCs/>
          <w:color w:val="auto"/>
        </w:rPr>
      </w:pPr>
      <w:r>
        <w:rPr>
          <w:rFonts w:hint="eastAsia"/>
          <w:b/>
          <w:bCs/>
          <w:color w:val="auto"/>
        </w:rPr>
        <w:t>（七）响应文件的上传、提交、修改、撤回</w:t>
      </w:r>
    </w:p>
    <w:p>
      <w:pPr>
        <w:snapToGrid w:val="0"/>
        <w:spacing w:line="406" w:lineRule="exact"/>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响应文件的上传和提交:供应商须将编制好的加密响应文件上传至政府采购云平台，并在响应文件提交截止时间前提交，否则</w:t>
      </w:r>
      <w:bookmarkStart w:id="107" w:name="_Hlk91772691"/>
      <w:r>
        <w:rPr>
          <w:rFonts w:hint="eastAsia" w:ascii="宋体" w:hAnsi="宋体"/>
          <w:color w:val="auto"/>
          <w:szCs w:val="21"/>
        </w:rPr>
        <w:t>政府采购云平台</w:t>
      </w:r>
      <w:bookmarkEnd w:id="107"/>
      <w:r>
        <w:rPr>
          <w:rFonts w:hint="eastAsia" w:ascii="宋体" w:hAnsi="宋体"/>
          <w:color w:val="auto"/>
          <w:szCs w:val="21"/>
        </w:rPr>
        <w:t>将予以拒收。</w:t>
      </w:r>
    </w:p>
    <w:p>
      <w:pPr>
        <w:snapToGrid w:val="0"/>
        <w:spacing w:line="406"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响应文件的修改和撤回：</w:t>
      </w:r>
      <w:r>
        <w:rPr>
          <w:rFonts w:hint="eastAsia"/>
          <w:color w:val="auto"/>
          <w:szCs w:val="21"/>
        </w:rPr>
        <w:t>供应商在提交响应文件截止时间前，可以对所提交的响应文件进行补充、修改或者撤回</w:t>
      </w:r>
      <w:r>
        <w:rPr>
          <w:rFonts w:hint="eastAsia" w:ascii="宋体" w:hAnsi="宋体"/>
          <w:color w:val="auto"/>
          <w:szCs w:val="21"/>
        </w:rPr>
        <w:t>。补充或者修改响应文件的，应当先行撤回原响应文件，补充、修改后重新上传、提交。响应文件提交截止时间前未完成重新提交的，视为撤回响应文件，响应文件提交截止时间后提交响应文件的，政府采购云平台将予以拒收。响应文件提交截止时间后，供应商不得撤回响应文件。</w:t>
      </w:r>
      <w:r>
        <w:rPr>
          <w:rFonts w:hint="eastAsia"/>
          <w:color w:val="auto"/>
          <w:szCs w:val="21"/>
        </w:rPr>
        <w:t>补充、修改的内容作为响应文件的组成部分。补充、修改的内容与响应文件不一致的，以补充、修改的内容为准。</w:t>
      </w:r>
    </w:p>
    <w:p>
      <w:pPr>
        <w:pStyle w:val="3"/>
        <w:spacing w:line="406" w:lineRule="exact"/>
        <w:rPr>
          <w:color w:val="auto"/>
        </w:rPr>
      </w:pPr>
      <w:bookmarkStart w:id="108" w:name="_四、响应文件开启"/>
      <w:bookmarkEnd w:id="108"/>
      <w:r>
        <w:rPr>
          <w:rFonts w:hint="eastAsia"/>
          <w:color w:val="auto"/>
        </w:rPr>
        <w:t>四、</w:t>
      </w:r>
      <w:bookmarkStart w:id="109" w:name="_Toc352700430"/>
      <w:bookmarkStart w:id="110" w:name="_Toc353785300"/>
      <w:r>
        <w:rPr>
          <w:rFonts w:hint="eastAsia"/>
          <w:color w:val="auto"/>
        </w:rPr>
        <w:t>响应文件开启</w:t>
      </w:r>
    </w:p>
    <w:bookmarkEnd w:id="109"/>
    <w:bookmarkEnd w:id="110"/>
    <w:p>
      <w:pPr>
        <w:spacing w:line="406" w:lineRule="exact"/>
        <w:ind w:firstLine="210" w:firstLineChars="100"/>
        <w:rPr>
          <w:rFonts w:ascii="方正小标宋_GBK" w:hAnsi="Arial" w:eastAsia="方正小标宋_GBK"/>
          <w:bCs/>
          <w:color w:val="auto"/>
          <w:sz w:val="24"/>
        </w:rPr>
      </w:pPr>
      <w:r>
        <w:rPr>
          <w:rFonts w:hint="eastAsia"/>
          <w:color w:val="auto"/>
        </w:rPr>
        <w:t>（一）本中心将在响应文件提交截止时间后在</w:t>
      </w:r>
      <w:bookmarkStart w:id="111" w:name="_Hlk90300735"/>
      <w:r>
        <w:rPr>
          <w:rFonts w:hint="eastAsia"/>
          <w:color w:val="auto"/>
        </w:rPr>
        <w:t>政采云远程开标大厅</w:t>
      </w:r>
      <w:bookmarkEnd w:id="111"/>
      <w:r>
        <w:rPr>
          <w:rFonts w:hint="eastAsia"/>
          <w:color w:val="auto"/>
        </w:rPr>
        <w:t>进行响应文件开启，供应商法定代表人或委托代理人须按时登录</w:t>
      </w:r>
      <w:bookmarkStart w:id="112" w:name="_Hlk90300780"/>
      <w:r>
        <w:rPr>
          <w:rFonts w:hint="eastAsia"/>
          <w:color w:val="auto"/>
        </w:rPr>
        <w:t>政采云远程开标大厅</w:t>
      </w:r>
      <w:bookmarkEnd w:id="112"/>
      <w:r>
        <w:rPr>
          <w:rFonts w:hint="eastAsia"/>
          <w:color w:val="auto"/>
        </w:rPr>
        <w:t>（政府采购云平台-应用中心-项目采购-开标评标），保持全程在线并关注评审、磋商进度，评审期间磋商小组提出澄清等要求时，供应商须在规定时间内进行应答，否则按采购文件或政采云平台的相关规定执行。</w:t>
      </w:r>
      <w:bookmarkStart w:id="113" w:name="_Toc352700431"/>
      <w:bookmarkStart w:id="114" w:name="_Toc353785301"/>
    </w:p>
    <w:p>
      <w:pPr>
        <w:spacing w:line="406" w:lineRule="exact"/>
        <w:ind w:firstLine="210" w:firstLineChars="100"/>
        <w:rPr>
          <w:rFonts w:ascii="方正小标宋_GBK" w:hAnsi="Arial" w:eastAsia="方正小标宋_GBK"/>
          <w:bCs/>
          <w:color w:val="auto"/>
          <w:sz w:val="24"/>
        </w:rPr>
      </w:pPr>
      <w:r>
        <w:rPr>
          <w:rFonts w:hint="eastAsia"/>
          <w:color w:val="auto"/>
        </w:rPr>
        <w:t>（二）</w:t>
      </w:r>
      <w:bookmarkEnd w:id="113"/>
      <w:bookmarkEnd w:id="114"/>
      <w:r>
        <w:rPr>
          <w:rFonts w:hint="eastAsia"/>
          <w:color w:val="auto"/>
        </w:rPr>
        <w:t>解密</w:t>
      </w:r>
    </w:p>
    <w:p>
      <w:pPr>
        <w:spacing w:line="406" w:lineRule="exact"/>
        <w:ind w:firstLine="420" w:firstLineChars="200"/>
        <w:rPr>
          <w:color w:val="auto"/>
        </w:rPr>
      </w:pPr>
      <w:r>
        <w:rPr>
          <w:rFonts w:hint="eastAsia"/>
          <w:color w:val="auto"/>
        </w:rPr>
        <w:t>响应文件提交时间截止后，我中心将向各提交响应文件的供应商发出电子加密响应文件解密通知，供应商代表应当在接到解密通知后30分钟内对已加密的电子响应文件进行在线解密。供应商未在规定时间内完成解密的，政府采购云平台视为供应商自主放弃磋商。</w:t>
      </w:r>
    </w:p>
    <w:p>
      <w:pPr>
        <w:spacing w:line="406" w:lineRule="exact"/>
        <w:ind w:firstLine="211" w:firstLineChars="100"/>
        <w:rPr>
          <w:b/>
          <w:bCs/>
          <w:color w:val="auto"/>
        </w:rPr>
      </w:pPr>
      <w:r>
        <w:rPr>
          <w:rFonts w:hint="eastAsia"/>
          <w:b/>
          <w:bCs/>
          <w:color w:val="auto"/>
        </w:rPr>
        <w:t>（三）资格审查</w:t>
      </w:r>
    </w:p>
    <w:p>
      <w:pPr>
        <w:spacing w:line="406" w:lineRule="exact"/>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采购人依法对供应商的资格进行审查，资格性审查时，如发现下列情形之一的，响应文件将被视为无效：</w:t>
      </w:r>
    </w:p>
    <w:p>
      <w:pPr>
        <w:spacing w:line="406" w:lineRule="exact"/>
        <w:ind w:firstLine="420" w:firstLineChars="200"/>
        <w:rPr>
          <w:rFonts w:ascii="宋体" w:hAnsi="宋体"/>
          <w:color w:val="auto"/>
          <w:szCs w:val="21"/>
        </w:rPr>
      </w:pPr>
      <w:r>
        <w:rPr>
          <w:rFonts w:hint="eastAsia" w:ascii="宋体" w:hAnsi="宋体"/>
          <w:color w:val="auto"/>
          <w:szCs w:val="21"/>
        </w:rPr>
        <w:t>(1)超越了按照法律法规规定必须获得行政许可或者行政审批的经营范围的；</w:t>
      </w:r>
    </w:p>
    <w:p>
      <w:pPr>
        <w:spacing w:line="406" w:lineRule="exact"/>
        <w:ind w:firstLine="420" w:firstLineChars="200"/>
        <w:rPr>
          <w:rFonts w:ascii="宋体" w:hAnsi="宋体"/>
          <w:color w:val="auto"/>
          <w:szCs w:val="21"/>
        </w:rPr>
      </w:pPr>
      <w:r>
        <w:rPr>
          <w:rFonts w:hint="eastAsia" w:ascii="宋体" w:hAnsi="宋体"/>
          <w:color w:val="auto"/>
          <w:szCs w:val="21"/>
        </w:rPr>
        <w:t>(2)资格证明文件不全的，或者不符合采购文件标明的资格要求的。</w:t>
      </w:r>
    </w:p>
    <w:p>
      <w:pPr>
        <w:snapToGrid w:val="0"/>
        <w:spacing w:line="406" w:lineRule="exact"/>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采购人或本中心将通过信用中国网站（www.creditchina.gov.cn）、中国政府采购网（www.ccgp.gov.cn）等渠道查询供应商的信用信息记录。供应商被列入失信被执行人、重大税收违法案件当事人名单、政府采购严重违法失信行为记录名单且有效期在响应文件递交截止时间的，将被拒绝参与本项目政府采购活动。</w:t>
      </w:r>
    </w:p>
    <w:p>
      <w:pPr>
        <w:pStyle w:val="3"/>
        <w:spacing w:line="406" w:lineRule="exact"/>
        <w:rPr>
          <w:rFonts w:ascii="宋体" w:hAnsi="宋体"/>
          <w:color w:val="auto"/>
          <w:szCs w:val="21"/>
        </w:rPr>
      </w:pPr>
      <w:bookmarkStart w:id="115" w:name="_五、评审与磋商"/>
      <w:bookmarkEnd w:id="115"/>
      <w:bookmarkStart w:id="116" w:name="_Toc254970686"/>
      <w:bookmarkStart w:id="117" w:name="_Toc352700432"/>
      <w:bookmarkStart w:id="118" w:name="_Toc254970545"/>
      <w:bookmarkStart w:id="119" w:name="_Toc353785302"/>
      <w:r>
        <w:rPr>
          <w:rFonts w:hint="eastAsia"/>
          <w:color w:val="auto"/>
        </w:rPr>
        <w:t>五、</w:t>
      </w:r>
      <w:bookmarkEnd w:id="116"/>
      <w:bookmarkEnd w:id="117"/>
      <w:bookmarkEnd w:id="118"/>
      <w:bookmarkEnd w:id="119"/>
      <w:r>
        <w:rPr>
          <w:rFonts w:hint="eastAsia" w:ascii="宋体" w:hAnsi="宋体"/>
          <w:color w:val="auto"/>
          <w:szCs w:val="21"/>
        </w:rPr>
        <w:t>评审与磋商</w:t>
      </w:r>
    </w:p>
    <w:p>
      <w:pPr>
        <w:snapToGrid w:val="0"/>
        <w:spacing w:line="406" w:lineRule="exact"/>
        <w:ind w:firstLine="211" w:firstLineChars="100"/>
        <w:rPr>
          <w:rFonts w:ascii="宋体" w:hAnsi="宋体"/>
          <w:b/>
          <w:bCs/>
          <w:color w:val="auto"/>
          <w:szCs w:val="21"/>
        </w:rPr>
      </w:pPr>
      <w:bookmarkStart w:id="120" w:name="_Toc353785303"/>
      <w:bookmarkStart w:id="121" w:name="_Toc352700433"/>
      <w:r>
        <w:rPr>
          <w:rFonts w:hint="eastAsia" w:ascii="宋体" w:hAnsi="宋体"/>
          <w:b/>
          <w:bCs/>
          <w:color w:val="auto"/>
          <w:szCs w:val="21"/>
        </w:rPr>
        <w:t>（一）评审原则：</w:t>
      </w:r>
    </w:p>
    <w:p>
      <w:pPr>
        <w:snapToGrid w:val="0"/>
        <w:spacing w:line="406" w:lineRule="exact"/>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磋商小组必须公平、公正、客观，不带任何倾向性和启发性；不得向外界透露任何与评审有关的内容；任何单位和个人不得干扰、影响评审的正常进行；磋商小组及有关工作人员不得私下接触供应商。</w:t>
      </w:r>
    </w:p>
    <w:p>
      <w:pPr>
        <w:snapToGrid w:val="0"/>
        <w:spacing w:line="406" w:lineRule="exact"/>
        <w:ind w:firstLine="420" w:firstLineChars="200"/>
        <w:rPr>
          <w:rFonts w:ascii="宋体" w:hAnsi="宋体" w:cs="Courier New"/>
          <w:color w:val="auto"/>
          <w:szCs w:val="21"/>
        </w:rPr>
      </w:pPr>
      <w:r>
        <w:rPr>
          <w:rFonts w:ascii="宋体" w:hAnsi="宋体"/>
          <w:color w:val="auto"/>
          <w:szCs w:val="21"/>
        </w:rPr>
        <w:t>2.</w:t>
      </w:r>
      <w:r>
        <w:rPr>
          <w:rFonts w:hint="eastAsia" w:ascii="宋体" w:hAnsi="宋体" w:cs="Courier New"/>
          <w:color w:val="auto"/>
          <w:szCs w:val="21"/>
        </w:rPr>
        <w:t>本项目采用不公开方式评审，评审的依据为采购文件和响应文件。</w:t>
      </w:r>
    </w:p>
    <w:p>
      <w:pPr>
        <w:snapToGrid w:val="0"/>
        <w:spacing w:line="406" w:lineRule="exact"/>
        <w:ind w:firstLine="211" w:firstLineChars="100"/>
        <w:rPr>
          <w:rFonts w:ascii="宋体" w:hAnsi="宋体"/>
          <w:b/>
          <w:bCs/>
          <w:color w:val="auto"/>
          <w:szCs w:val="21"/>
        </w:rPr>
      </w:pPr>
      <w:r>
        <w:rPr>
          <w:rFonts w:hint="eastAsia"/>
          <w:b/>
          <w:bCs/>
          <w:color w:val="auto"/>
        </w:rPr>
        <w:t>（二）成立磋商小组</w:t>
      </w:r>
    </w:p>
    <w:p>
      <w:pPr>
        <w:snapToGrid w:val="0"/>
        <w:spacing w:line="406" w:lineRule="exact"/>
        <w:ind w:firstLine="420" w:firstLineChars="200"/>
        <w:rPr>
          <w:rFonts w:ascii="宋体" w:hAnsi="宋体"/>
          <w:color w:val="auto"/>
          <w:szCs w:val="21"/>
        </w:rPr>
      </w:pPr>
      <w:r>
        <w:rPr>
          <w:rFonts w:hint="eastAsia" w:ascii="宋体" w:hAnsi="宋体" w:cs="Courier New"/>
          <w:bCs/>
          <w:color w:val="auto"/>
          <w:szCs w:val="21"/>
        </w:rPr>
        <w:t>磋商小组</w:t>
      </w:r>
      <w:bookmarkEnd w:id="120"/>
      <w:bookmarkEnd w:id="121"/>
      <w:r>
        <w:rPr>
          <w:rFonts w:hint="eastAsia" w:ascii="宋体" w:hAnsi="宋体" w:cs="Courier New"/>
          <w:bCs/>
          <w:color w:val="auto"/>
          <w:szCs w:val="21"/>
        </w:rPr>
        <w:t>由采购人代表和评审专家共3人以上单数组成，其中评审专家人数不得少于磋商小组成员总数的2/3。</w:t>
      </w:r>
    </w:p>
    <w:p>
      <w:pPr>
        <w:spacing w:line="406" w:lineRule="exact"/>
        <w:ind w:firstLine="211" w:firstLineChars="100"/>
        <w:rPr>
          <w:rFonts w:ascii="宋体" w:hAnsi="宋体" w:cs="Courier New"/>
          <w:color w:val="auto"/>
          <w:szCs w:val="21"/>
        </w:rPr>
      </w:pPr>
      <w:r>
        <w:rPr>
          <w:rFonts w:hint="eastAsia" w:ascii="宋体" w:hAnsi="宋体"/>
          <w:b/>
          <w:bCs/>
          <w:color w:val="auto"/>
          <w:szCs w:val="21"/>
        </w:rPr>
        <w:t>（三）实质性审查</w:t>
      </w:r>
    </w:p>
    <w:p>
      <w:pPr>
        <w:snapToGrid w:val="0"/>
        <w:spacing w:line="406" w:lineRule="exact"/>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磋商小组成员根据磋商文件规定的评审程序、评审方法和评审标准进行独立评审。未实质性响应磋商文件的响应文件按无效响应处理，磋商小组应当告知提交响应文件的供应商。</w:t>
      </w:r>
    </w:p>
    <w:p>
      <w:pPr>
        <w:snapToGrid w:val="0"/>
        <w:spacing w:line="406" w:lineRule="exact"/>
        <w:ind w:firstLine="422" w:firstLineChars="200"/>
        <w:rPr>
          <w:rFonts w:ascii="宋体" w:hAnsi="宋体"/>
          <w:b/>
          <w:bCs/>
          <w:color w:val="auto"/>
          <w:szCs w:val="21"/>
        </w:rPr>
      </w:pPr>
      <w:r>
        <w:rPr>
          <w:rFonts w:hint="eastAsia" w:ascii="宋体" w:hAnsi="宋体"/>
          <w:b/>
          <w:bCs/>
          <w:color w:val="auto"/>
          <w:szCs w:val="21"/>
        </w:rPr>
        <w:t>2</w:t>
      </w:r>
      <w:r>
        <w:rPr>
          <w:rFonts w:ascii="宋体" w:hAnsi="宋体"/>
          <w:b/>
          <w:bCs/>
          <w:color w:val="auto"/>
          <w:szCs w:val="21"/>
        </w:rPr>
        <w:t>.</w:t>
      </w:r>
      <w:r>
        <w:rPr>
          <w:rFonts w:hint="eastAsia" w:ascii="宋体" w:hAnsi="宋体"/>
          <w:b/>
          <w:bCs/>
          <w:color w:val="auto"/>
          <w:szCs w:val="21"/>
        </w:rPr>
        <w:t>实质性审查时，如发现下列情形之一的，响应文件将被视为无效：</w:t>
      </w:r>
    </w:p>
    <w:p>
      <w:pPr>
        <w:snapToGrid w:val="0"/>
        <w:spacing w:line="406" w:lineRule="exact"/>
        <w:ind w:firstLine="525" w:firstLineChars="250"/>
        <w:rPr>
          <w:rFonts w:ascii="宋体" w:hAnsi="宋体"/>
          <w:color w:val="auto"/>
          <w:szCs w:val="21"/>
        </w:rPr>
      </w:pPr>
      <w:r>
        <w:rPr>
          <w:rFonts w:hint="eastAsia" w:ascii="宋体" w:hAnsi="宋体"/>
          <w:color w:val="auto"/>
          <w:szCs w:val="21"/>
        </w:rPr>
        <w:t>①应交未交磋商保证金的；</w:t>
      </w:r>
    </w:p>
    <w:p>
      <w:pPr>
        <w:snapToGrid w:val="0"/>
        <w:spacing w:line="406" w:lineRule="exact"/>
        <w:ind w:firstLine="525" w:firstLineChars="250"/>
        <w:rPr>
          <w:rFonts w:ascii="宋体" w:hAnsi="宋体"/>
          <w:color w:val="auto"/>
          <w:szCs w:val="21"/>
        </w:rPr>
      </w:pPr>
      <w:r>
        <w:rPr>
          <w:rFonts w:hint="eastAsia" w:ascii="宋体" w:hAnsi="宋体"/>
          <w:color w:val="auto"/>
          <w:szCs w:val="21"/>
        </w:rPr>
        <w:t>②响应文件未按响应文件编制要求提供或内容虚假的；</w:t>
      </w:r>
    </w:p>
    <w:p>
      <w:pPr>
        <w:snapToGrid w:val="0"/>
        <w:spacing w:line="406" w:lineRule="exact"/>
        <w:ind w:firstLine="525" w:firstLineChars="250"/>
        <w:rPr>
          <w:rFonts w:ascii="宋体" w:hAnsi="宋体"/>
          <w:color w:val="auto"/>
          <w:szCs w:val="21"/>
        </w:rPr>
      </w:pPr>
      <w:r>
        <w:rPr>
          <w:rFonts w:hint="eastAsia" w:ascii="宋体" w:hAnsi="宋体"/>
          <w:color w:val="auto"/>
          <w:szCs w:val="21"/>
        </w:rPr>
        <w:t>③响应文件无法定代表人或其委托代理人签署、未提供授权委托书，或未按规定盖章的；</w:t>
      </w:r>
    </w:p>
    <w:p>
      <w:pPr>
        <w:snapToGrid w:val="0"/>
        <w:spacing w:line="406" w:lineRule="exact"/>
        <w:ind w:firstLine="525" w:firstLineChars="250"/>
        <w:rPr>
          <w:rFonts w:ascii="宋体" w:hAnsi="宋体"/>
          <w:color w:val="auto"/>
          <w:szCs w:val="21"/>
        </w:rPr>
      </w:pPr>
      <w:r>
        <w:rPr>
          <w:rFonts w:hint="eastAsia" w:ascii="宋体" w:hAnsi="宋体"/>
          <w:color w:val="auto"/>
          <w:szCs w:val="21"/>
        </w:rPr>
        <w:t>④供应商代表未能出具身份证明或与法定代表人委托代理人身份不符的；</w:t>
      </w:r>
    </w:p>
    <w:p>
      <w:pPr>
        <w:snapToGrid w:val="0"/>
        <w:spacing w:line="406" w:lineRule="exact"/>
        <w:ind w:firstLine="525" w:firstLineChars="250"/>
        <w:rPr>
          <w:rFonts w:ascii="宋体" w:hAnsi="宋体"/>
          <w:color w:val="auto"/>
          <w:szCs w:val="21"/>
        </w:rPr>
      </w:pPr>
      <w:r>
        <w:rPr>
          <w:rFonts w:hint="eastAsia" w:ascii="宋体" w:hAnsi="宋体"/>
          <w:color w:val="auto"/>
          <w:szCs w:val="21"/>
        </w:rPr>
        <w:t>⑤经磋商未实质性响应采购文件采购需求的技术、服务要求的；</w:t>
      </w:r>
    </w:p>
    <w:p>
      <w:pPr>
        <w:snapToGrid w:val="0"/>
        <w:spacing w:line="406" w:lineRule="exact"/>
        <w:ind w:firstLine="525" w:firstLineChars="250"/>
        <w:rPr>
          <w:rFonts w:ascii="宋体" w:hAnsi="宋体"/>
          <w:color w:val="auto"/>
          <w:szCs w:val="21"/>
        </w:rPr>
      </w:pPr>
      <w:r>
        <w:rPr>
          <w:rFonts w:hint="eastAsia" w:ascii="宋体" w:hAnsi="宋体"/>
          <w:color w:val="auto"/>
          <w:szCs w:val="21"/>
        </w:rPr>
        <w:t>⑥经磋商</w:t>
      </w:r>
      <w:r>
        <w:rPr>
          <w:rFonts w:hint="eastAsia" w:ascii="宋体" w:hAnsi="宋体"/>
          <w:color w:val="auto"/>
          <w:spacing w:val="-4"/>
          <w:szCs w:val="21"/>
        </w:rPr>
        <w:t>不符合采购文件要求的质量标准，或者与采购文件中的技术指标、功能、服务事项发生较大偏离，已不符合采购人需求的；</w:t>
      </w:r>
    </w:p>
    <w:p>
      <w:pPr>
        <w:snapToGrid w:val="0"/>
        <w:spacing w:line="406" w:lineRule="exact"/>
        <w:ind w:firstLine="505" w:firstLineChars="250"/>
        <w:rPr>
          <w:rFonts w:ascii="宋体" w:hAnsi="宋体"/>
          <w:color w:val="auto"/>
          <w:szCs w:val="21"/>
        </w:rPr>
      </w:pPr>
      <w:r>
        <w:rPr>
          <w:rFonts w:hint="eastAsia" w:ascii="宋体" w:hAnsi="宋体"/>
          <w:color w:val="auto"/>
          <w:spacing w:val="-4"/>
          <w:szCs w:val="21"/>
        </w:rPr>
        <w:t>⑦</w:t>
      </w:r>
      <w:r>
        <w:rPr>
          <w:rFonts w:hint="eastAsia" w:ascii="宋体" w:hAnsi="宋体"/>
          <w:color w:val="auto"/>
          <w:szCs w:val="21"/>
        </w:rPr>
        <w:t>响应文件有采购人不能接受的附加条件的；</w:t>
      </w:r>
    </w:p>
    <w:p>
      <w:pPr>
        <w:snapToGrid w:val="0"/>
        <w:spacing w:line="406" w:lineRule="exact"/>
        <w:ind w:firstLine="525" w:firstLineChars="250"/>
        <w:rPr>
          <w:rFonts w:ascii="宋体" w:hAnsi="宋体"/>
          <w:color w:val="auto"/>
          <w:spacing w:val="-4"/>
          <w:szCs w:val="21"/>
        </w:rPr>
      </w:pPr>
      <w:r>
        <w:rPr>
          <w:rFonts w:hint="eastAsia" w:ascii="宋体" w:hAnsi="宋体"/>
          <w:color w:val="auto"/>
          <w:szCs w:val="21"/>
        </w:rPr>
        <w:t>⑧</w:t>
      </w:r>
      <w:r>
        <w:rPr>
          <w:rFonts w:hint="eastAsia" w:ascii="宋体" w:hAnsi="宋体"/>
          <w:color w:val="auto"/>
          <w:spacing w:val="-4"/>
          <w:szCs w:val="21"/>
        </w:rPr>
        <w:t>响应文件技术方案不明确，存在一个或一个以上备选(替代)响应方案的；</w:t>
      </w:r>
    </w:p>
    <w:p>
      <w:pPr>
        <w:snapToGrid w:val="0"/>
        <w:spacing w:line="406" w:lineRule="exact"/>
        <w:ind w:firstLine="505" w:firstLineChars="250"/>
        <w:rPr>
          <w:rFonts w:ascii="宋体" w:hAnsi="宋体"/>
          <w:color w:val="auto"/>
          <w:szCs w:val="21"/>
        </w:rPr>
      </w:pPr>
      <w:r>
        <w:rPr>
          <w:rFonts w:hint="eastAsia" w:ascii="宋体" w:hAnsi="宋体"/>
          <w:color w:val="auto"/>
          <w:spacing w:val="-4"/>
          <w:szCs w:val="21"/>
        </w:rPr>
        <w:t>⑨</w:t>
      </w:r>
      <w:r>
        <w:rPr>
          <w:rFonts w:hint="eastAsia" w:ascii="宋体" w:hAnsi="宋体"/>
          <w:color w:val="auto"/>
          <w:szCs w:val="21"/>
        </w:rPr>
        <w:t>响应文件的实质性内容未使用中文表述、意思表述不明确、前后矛盾或者使用计量单位不符合采购文件要求的。</w:t>
      </w:r>
    </w:p>
    <w:p>
      <w:pPr>
        <w:spacing w:line="406" w:lineRule="exact"/>
        <w:ind w:firstLine="211" w:firstLineChars="100"/>
        <w:rPr>
          <w:b/>
          <w:bCs/>
          <w:color w:val="auto"/>
        </w:rPr>
      </w:pPr>
      <w:r>
        <w:rPr>
          <w:rFonts w:hint="eastAsia"/>
          <w:b/>
          <w:bCs/>
          <w:color w:val="auto"/>
        </w:rPr>
        <w:t>（四）磋商</w:t>
      </w:r>
    </w:p>
    <w:p>
      <w:pPr>
        <w:pStyle w:val="21"/>
        <w:spacing w:line="406" w:lineRule="exact"/>
        <w:ind w:firstLine="420" w:firstLineChars="200"/>
        <w:rPr>
          <w:rFonts w:hAnsi="宋体"/>
          <w:bCs/>
          <w:color w:val="auto"/>
        </w:rPr>
      </w:pPr>
      <w:r>
        <w:rPr>
          <w:rFonts w:hint="eastAsia" w:hAnsi="宋体"/>
          <w:bCs/>
          <w:color w:val="auto"/>
        </w:rPr>
        <w:t>1</w:t>
      </w:r>
      <w:r>
        <w:rPr>
          <w:rFonts w:hAnsi="宋体"/>
          <w:bCs/>
          <w:color w:val="auto"/>
        </w:rPr>
        <w:t>.</w:t>
      </w:r>
      <w:r>
        <w:rPr>
          <w:rFonts w:hint="eastAsia" w:hAnsi="宋体"/>
          <w:bCs/>
          <w:color w:val="auto"/>
        </w:rPr>
        <w:t>磋商小组所有成员应当集中与单一供应商分别进行磋商，并给予所有参加磋商的供应商平等的磋商机会。</w:t>
      </w:r>
    </w:p>
    <w:p>
      <w:pPr>
        <w:pStyle w:val="21"/>
        <w:spacing w:line="406" w:lineRule="exact"/>
        <w:ind w:firstLine="420" w:firstLineChars="200"/>
        <w:rPr>
          <w:rFonts w:hAnsi="宋体"/>
          <w:bCs/>
          <w:color w:val="auto"/>
        </w:rPr>
      </w:pPr>
      <w:r>
        <w:rPr>
          <w:rFonts w:hAnsi="宋体"/>
          <w:bCs/>
          <w:color w:val="auto"/>
        </w:rPr>
        <w:t>2.</w:t>
      </w:r>
      <w:r>
        <w:rPr>
          <w:rFonts w:hint="eastAsia" w:hAnsi="宋体"/>
          <w:bCs/>
          <w:color w:val="auto"/>
        </w:rPr>
        <w:t>磋商小组可以根据磋商文件和磋商情况实质性变动采购需求中的技术、服务要求以及合同草案条款，但不得变动磋商文件中的其他内容。实质性变动的内容，须经采购人代表确认。</w:t>
      </w:r>
    </w:p>
    <w:p>
      <w:pPr>
        <w:pStyle w:val="21"/>
        <w:spacing w:line="406" w:lineRule="exact"/>
        <w:ind w:firstLine="420" w:firstLineChars="200"/>
        <w:rPr>
          <w:rFonts w:hAnsi="宋体"/>
          <w:bCs/>
          <w:color w:val="auto"/>
        </w:rPr>
      </w:pPr>
      <w:r>
        <w:rPr>
          <w:rFonts w:hAnsi="宋体"/>
          <w:bCs/>
          <w:color w:val="auto"/>
        </w:rPr>
        <w:t>3.</w:t>
      </w:r>
      <w:r>
        <w:rPr>
          <w:rFonts w:hint="eastAsia" w:hAnsi="宋体"/>
          <w:bCs/>
          <w:color w:val="auto"/>
        </w:rPr>
        <w:t>对磋商文件作出的实质性变动是磋商文件的有效组成部分，磋商小组应当及时以书面形式同时通知所有参加磋商的供应商。</w:t>
      </w:r>
    </w:p>
    <w:p>
      <w:pPr>
        <w:pStyle w:val="21"/>
        <w:spacing w:line="406" w:lineRule="exact"/>
        <w:ind w:firstLine="420" w:firstLineChars="200"/>
        <w:rPr>
          <w:rFonts w:hAnsi="宋体"/>
          <w:bCs/>
          <w:color w:val="auto"/>
        </w:rPr>
      </w:pPr>
      <w:r>
        <w:rPr>
          <w:rFonts w:hAnsi="宋体"/>
          <w:bCs/>
          <w:color w:val="auto"/>
        </w:rPr>
        <w:t>4.</w:t>
      </w:r>
      <w:r>
        <w:rPr>
          <w:rFonts w:hint="eastAsia" w:hAnsi="宋体"/>
          <w:bCs/>
          <w:color w:val="auto"/>
        </w:rPr>
        <w:t>供应商应当按照磋商文件的变动情况和磋商小组的要求重新提交响应文件，并由其法定代表人或授权代表签名或者加盖公章。由授权代表签名的，应当附法定代表人授权书。供应商为自然人的，应当由本人签名并附身份证明。逾时不提交的，视同退出磋商。</w:t>
      </w:r>
    </w:p>
    <w:p>
      <w:pPr>
        <w:pStyle w:val="21"/>
        <w:spacing w:line="406" w:lineRule="exact"/>
        <w:ind w:firstLine="420" w:firstLineChars="200"/>
        <w:rPr>
          <w:rFonts w:hAnsi="宋体"/>
          <w:bCs/>
          <w:color w:val="auto"/>
        </w:rPr>
      </w:pPr>
      <w:r>
        <w:rPr>
          <w:rFonts w:hAnsi="宋体"/>
          <w:bCs/>
          <w:color w:val="auto"/>
        </w:rPr>
        <w:t>5.</w:t>
      </w:r>
      <w:r>
        <w:rPr>
          <w:rFonts w:hint="eastAsia" w:hAnsi="宋体"/>
          <w:bCs/>
          <w:color w:val="auto"/>
        </w:rPr>
        <w:t>已提交响应文件的供应商，在提交最后报价之前，可以根据磋商情况退出磋商。</w:t>
      </w:r>
    </w:p>
    <w:p>
      <w:pPr>
        <w:spacing w:line="406" w:lineRule="exact"/>
        <w:ind w:firstLine="211" w:firstLineChars="100"/>
        <w:rPr>
          <w:b/>
          <w:bCs/>
          <w:color w:val="auto"/>
        </w:rPr>
      </w:pPr>
      <w:r>
        <w:rPr>
          <w:rFonts w:hint="eastAsia"/>
          <w:b/>
          <w:bCs/>
          <w:color w:val="auto"/>
        </w:rPr>
        <w:t>（五）最后报价</w:t>
      </w:r>
    </w:p>
    <w:p>
      <w:pPr>
        <w:spacing w:line="406" w:lineRule="exact"/>
        <w:ind w:firstLine="420" w:firstLineChars="200"/>
        <w:rPr>
          <w:color w:val="auto"/>
        </w:rPr>
      </w:pPr>
      <w:r>
        <w:rPr>
          <w:color w:val="auto"/>
        </w:rPr>
        <w:t>1.</w:t>
      </w:r>
      <w:r>
        <w:rPr>
          <w:rFonts w:hint="eastAsia"/>
          <w:color w:val="auto"/>
        </w:rPr>
        <w:t>磋商文件能够详细列明采购标的的技术、服务要求的，磋商结束后，磋商小组应当要求所有实质性响应的供应商在规定时间内提交最后报价，提交最后报价的供应商不得少于3家。</w:t>
      </w:r>
    </w:p>
    <w:p>
      <w:pPr>
        <w:spacing w:line="406" w:lineRule="exact"/>
        <w:ind w:firstLine="420" w:firstLineChars="200"/>
        <w:rPr>
          <w:color w:val="auto"/>
        </w:rPr>
      </w:pPr>
      <w:r>
        <w:rPr>
          <w:rFonts w:hint="eastAsia"/>
          <w:color w:val="auto"/>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6" w:lineRule="exact"/>
        <w:ind w:firstLine="420" w:firstLineChars="200"/>
        <w:rPr>
          <w:color w:val="auto"/>
        </w:rPr>
      </w:pPr>
      <w:bookmarkStart w:id="122" w:name="_Hlk101270484"/>
      <w:r>
        <w:rPr>
          <w:rFonts w:hint="eastAsia"/>
          <w:color w:val="auto"/>
        </w:rPr>
        <w:t>市场竞争不充分的科研项目，以及需要扶持的科技成果转化项目</w:t>
      </w:r>
      <w:bookmarkEnd w:id="122"/>
      <w:r>
        <w:rPr>
          <w:rFonts w:hint="eastAsia"/>
          <w:color w:val="auto"/>
        </w:rPr>
        <w:t>提交最后报价的供应商可以为2家。</w:t>
      </w:r>
    </w:p>
    <w:p>
      <w:pPr>
        <w:spacing w:line="406" w:lineRule="exact"/>
        <w:ind w:firstLine="420" w:firstLineChars="200"/>
        <w:rPr>
          <w:color w:val="auto"/>
        </w:rPr>
      </w:pPr>
      <w:r>
        <w:rPr>
          <w:color w:val="auto"/>
        </w:rPr>
        <w:t>2.</w:t>
      </w:r>
      <w:r>
        <w:rPr>
          <w:rFonts w:hint="eastAsia"/>
          <w:color w:val="auto"/>
        </w:rPr>
        <w:t>最后报价应由其法定代表人或授权代表签名或者加盖公章，最后报价即系供应商响应报价。</w:t>
      </w:r>
    </w:p>
    <w:p>
      <w:pPr>
        <w:snapToGrid w:val="0"/>
        <w:spacing w:line="406" w:lineRule="exact"/>
        <w:ind w:firstLine="422" w:firstLineChars="200"/>
        <w:rPr>
          <w:rFonts w:ascii="宋体" w:hAnsi="宋体"/>
          <w:color w:val="auto"/>
          <w:szCs w:val="21"/>
        </w:rPr>
      </w:pPr>
      <w:r>
        <w:rPr>
          <w:rFonts w:hint="eastAsia"/>
          <w:b/>
          <w:bCs/>
          <w:color w:val="auto"/>
        </w:rPr>
        <w:t>3</w:t>
      </w:r>
      <w:r>
        <w:rPr>
          <w:b/>
          <w:bCs/>
          <w:color w:val="auto"/>
        </w:rPr>
        <w:t>.</w:t>
      </w:r>
      <w:r>
        <w:rPr>
          <w:rFonts w:hint="eastAsia" w:ascii="宋体" w:hAnsi="宋体" w:cs="Courier New"/>
          <w:b/>
          <w:color w:val="auto"/>
          <w:szCs w:val="21"/>
        </w:rPr>
        <w:t>在报价评审时，如发现下列情形之一的，响应文件将被视为无效：</w:t>
      </w:r>
    </w:p>
    <w:p>
      <w:pPr>
        <w:snapToGrid w:val="0"/>
        <w:spacing w:line="406"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报价未采用人民币或者未按照采购文件标明的币种报价的；</w:t>
      </w:r>
    </w:p>
    <w:p>
      <w:pPr>
        <w:snapToGrid w:val="0"/>
        <w:spacing w:line="406"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报价明细表中货物品牌、规格、型号、服务事项未明确或与响应文件中相应内容不一致的；</w:t>
      </w:r>
    </w:p>
    <w:p>
      <w:pPr>
        <w:snapToGrid w:val="0"/>
        <w:spacing w:line="406" w:lineRule="exact"/>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报价具有选择性的；</w:t>
      </w:r>
    </w:p>
    <w:p>
      <w:pPr>
        <w:snapToGrid w:val="0"/>
        <w:spacing w:line="406" w:lineRule="exact"/>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rPr>
        <w:t>报价未按采购文件或政府采购云平台规定的格式填写，或未在规定时间内提交最后报价的。</w:t>
      </w:r>
    </w:p>
    <w:p>
      <w:pPr>
        <w:spacing w:line="406" w:lineRule="exact"/>
        <w:ind w:firstLine="211" w:firstLineChars="100"/>
        <w:rPr>
          <w:b/>
          <w:bCs/>
          <w:color w:val="auto"/>
        </w:rPr>
      </w:pPr>
      <w:r>
        <w:rPr>
          <w:rFonts w:hint="eastAsia"/>
          <w:b/>
          <w:bCs/>
          <w:color w:val="auto"/>
        </w:rPr>
        <w:t>（六）澄清、说明或者更正的形式</w:t>
      </w:r>
    </w:p>
    <w:p>
      <w:pPr>
        <w:pStyle w:val="21"/>
        <w:spacing w:line="406" w:lineRule="exact"/>
        <w:ind w:firstLine="420"/>
        <w:rPr>
          <w:rFonts w:hAnsi="宋体"/>
          <w:bCs/>
          <w:color w:val="auto"/>
        </w:rPr>
      </w:pPr>
      <w:r>
        <w:rPr>
          <w:rFonts w:hint="eastAsia" w:hAnsi="宋体"/>
          <w:bCs/>
          <w:color w:val="auto"/>
        </w:rPr>
        <w:t>1</w:t>
      </w:r>
      <w:r>
        <w:rPr>
          <w:rFonts w:hAnsi="宋体"/>
          <w:bCs/>
          <w:color w:val="auto"/>
        </w:rPr>
        <w:t>.</w:t>
      </w:r>
      <w:r>
        <w:rPr>
          <w:rFonts w:hint="eastAsia" w:hAnsi="宋体"/>
          <w:bCs/>
          <w:color w:val="auto"/>
        </w:rPr>
        <w:t>磋商小组在对响应文件的有效性、完整性和响应程度进行审查时，可以要求供应商对响应文件中含义不明确、同类问题表述不一致或者有明显文字和计算错误的内容等作出必要的</w:t>
      </w:r>
      <w:bookmarkStart w:id="123" w:name="_Hlk92462362"/>
      <w:r>
        <w:rPr>
          <w:rFonts w:hint="eastAsia" w:hAnsi="宋体"/>
          <w:bCs/>
          <w:color w:val="auto"/>
        </w:rPr>
        <w:t>澄清、说明或者更正</w:t>
      </w:r>
      <w:bookmarkEnd w:id="123"/>
      <w:r>
        <w:rPr>
          <w:rFonts w:hint="eastAsia" w:hAnsi="宋体"/>
          <w:bCs/>
          <w:color w:val="auto"/>
        </w:rPr>
        <w:t>。供应商的澄清、说明或者更正不得超出响应文件的范围或者改变响应文件的实质性内容。</w:t>
      </w:r>
    </w:p>
    <w:p>
      <w:pPr>
        <w:pStyle w:val="21"/>
        <w:spacing w:line="406" w:lineRule="exact"/>
        <w:ind w:firstLine="420"/>
        <w:rPr>
          <w:rFonts w:hAnsi="宋体"/>
          <w:bCs/>
          <w:color w:val="auto"/>
        </w:rPr>
      </w:pPr>
      <w:r>
        <w:rPr>
          <w:rFonts w:hint="eastAsia" w:hAnsi="宋体"/>
          <w:bCs/>
          <w:color w:val="auto"/>
        </w:rPr>
        <w:t>2</w:t>
      </w:r>
      <w:r>
        <w:rPr>
          <w:rFonts w:hAnsi="宋体"/>
          <w:bCs/>
          <w:color w:val="auto"/>
        </w:rPr>
        <w:t>.</w:t>
      </w:r>
      <w:r>
        <w:rPr>
          <w:rFonts w:hint="eastAsia" w:hAnsi="宋体"/>
          <w:bCs/>
          <w:color w:val="auto"/>
        </w:rPr>
        <w:t>磋商小组要求供应商澄清、说明或者更正响应文件应当以书面形式作出。供应商的澄清、说明或者更正应当由法定代表人或其授权代表签名或者加盖公章。由授权代表签名的，应当附法定代表人授权书。供应商为自然人的，应当由本人签名并附身份证明。</w:t>
      </w:r>
    </w:p>
    <w:p>
      <w:pPr>
        <w:spacing w:line="406" w:lineRule="exact"/>
        <w:ind w:firstLine="211" w:firstLineChars="100"/>
        <w:rPr>
          <w:b/>
          <w:bCs/>
          <w:color w:val="auto"/>
        </w:rPr>
      </w:pPr>
      <w:r>
        <w:rPr>
          <w:rFonts w:hint="eastAsia"/>
          <w:b/>
          <w:bCs/>
          <w:color w:val="auto"/>
        </w:rPr>
        <w:t>（七）综合评分</w:t>
      </w:r>
    </w:p>
    <w:p>
      <w:pPr>
        <w:spacing w:line="406" w:lineRule="exact"/>
        <w:ind w:firstLine="420" w:firstLineChars="200"/>
        <w:rPr>
          <w:rFonts w:ascii="宋体" w:hAnsi="Courier New" w:cs="Courier New"/>
          <w:color w:val="auto"/>
          <w:szCs w:val="21"/>
        </w:rPr>
      </w:pPr>
      <w:r>
        <w:rPr>
          <w:rFonts w:hint="eastAsia" w:ascii="宋体" w:hAnsi="Courier New" w:cs="Courier New"/>
          <w:color w:val="auto"/>
          <w:szCs w:val="21"/>
        </w:rPr>
        <w:t>1</w:t>
      </w:r>
      <w:r>
        <w:rPr>
          <w:rFonts w:ascii="宋体" w:hAnsi="Courier New" w:cs="Courier New"/>
          <w:color w:val="auto"/>
          <w:szCs w:val="21"/>
        </w:rPr>
        <w:t>.</w:t>
      </w:r>
      <w:r>
        <w:rPr>
          <w:rFonts w:hint="eastAsia" w:ascii="宋体" w:hAnsi="Courier New" w:cs="Courier New"/>
          <w:color w:val="auto"/>
          <w:szCs w:val="21"/>
        </w:rPr>
        <w:t>经磋商确定最终采购需求和提交最后报价的供应商后，由磋商小组采用综合评分法对提交最后报价的供应商的响应文件和最后报价进行综合评分。</w:t>
      </w:r>
    </w:p>
    <w:p>
      <w:pPr>
        <w:spacing w:line="406" w:lineRule="exact"/>
        <w:ind w:firstLine="420" w:firstLineChars="200"/>
        <w:rPr>
          <w:color w:val="auto"/>
        </w:rPr>
      </w:pPr>
      <w:r>
        <w:rPr>
          <w:rFonts w:hint="eastAsia" w:ascii="宋体" w:hAnsi="Courier New" w:cs="Courier New"/>
          <w:color w:val="auto"/>
          <w:szCs w:val="21"/>
        </w:rPr>
        <w:t>2</w:t>
      </w:r>
      <w:r>
        <w:rPr>
          <w:rFonts w:ascii="宋体" w:hAnsi="Courier New" w:cs="Courier New"/>
          <w:color w:val="auto"/>
          <w:szCs w:val="21"/>
        </w:rPr>
        <w:t>.</w:t>
      </w:r>
      <w:r>
        <w:rPr>
          <w:rFonts w:hint="eastAsia" w:ascii="宋体" w:hAnsi="Courier New" w:cs="Courier New"/>
          <w:color w:val="auto"/>
          <w:szCs w:val="21"/>
        </w:rPr>
        <w:t>综合评分法：响应文件满足磋商文件全部实质性要求且按评审因素的量化指标评审得分最高的供应商为成交候选供应商，详见第四章《评定标准及推荐原则》。</w:t>
      </w:r>
    </w:p>
    <w:p>
      <w:pPr>
        <w:pStyle w:val="21"/>
        <w:spacing w:line="406" w:lineRule="exact"/>
        <w:ind w:firstLine="211" w:firstLineChars="100"/>
        <w:rPr>
          <w:rFonts w:hAnsi="宋体"/>
          <w:b/>
          <w:color w:val="auto"/>
        </w:rPr>
      </w:pPr>
      <w:r>
        <w:rPr>
          <w:rFonts w:hint="eastAsia" w:hAnsi="宋体"/>
          <w:b/>
          <w:color w:val="auto"/>
        </w:rPr>
        <w:t>（八）供应商有下列情形之一的，属于恶意串通：</w:t>
      </w:r>
    </w:p>
    <w:p>
      <w:pPr>
        <w:pStyle w:val="21"/>
        <w:spacing w:line="406" w:lineRule="exact"/>
        <w:ind w:firstLine="420" w:firstLineChars="200"/>
        <w:rPr>
          <w:rFonts w:hAnsi="宋体" w:cs="Times New Roman"/>
          <w:color w:val="auto"/>
        </w:rPr>
      </w:pPr>
      <w:r>
        <w:rPr>
          <w:rFonts w:hint="eastAsia" w:hAnsi="宋体" w:cs="Times New Roman"/>
          <w:color w:val="auto"/>
        </w:rPr>
        <w:t>1</w:t>
      </w:r>
      <w:r>
        <w:rPr>
          <w:rFonts w:hAnsi="宋体" w:cs="Times New Roman"/>
          <w:color w:val="auto"/>
        </w:rPr>
        <w:t>.</w:t>
      </w:r>
      <w:r>
        <w:rPr>
          <w:rFonts w:hint="eastAsia" w:hAnsi="宋体" w:cs="Times New Roman"/>
          <w:color w:val="auto"/>
        </w:rPr>
        <w:t>供应商直接或者间接从采购人或者采购代理机构处获得其他供应商的相关情况并修改其响应文件；</w:t>
      </w:r>
    </w:p>
    <w:p>
      <w:pPr>
        <w:pStyle w:val="21"/>
        <w:spacing w:line="406" w:lineRule="exact"/>
        <w:ind w:firstLine="420" w:firstLineChars="200"/>
        <w:rPr>
          <w:rFonts w:hAnsi="宋体" w:cs="Times New Roman"/>
          <w:color w:val="auto"/>
        </w:rPr>
      </w:pPr>
      <w:r>
        <w:rPr>
          <w:rFonts w:hint="eastAsia" w:hAnsi="宋体" w:cs="Times New Roman"/>
          <w:color w:val="auto"/>
        </w:rPr>
        <w:t>2</w:t>
      </w:r>
      <w:r>
        <w:rPr>
          <w:rFonts w:hAnsi="宋体" w:cs="Times New Roman"/>
          <w:color w:val="auto"/>
        </w:rPr>
        <w:t>.</w:t>
      </w:r>
      <w:r>
        <w:rPr>
          <w:rFonts w:hint="eastAsia" w:hAnsi="宋体" w:cs="Times New Roman"/>
          <w:color w:val="auto"/>
        </w:rPr>
        <w:t>供应商按照采购人或者采购代理机构的授意撤换、修改响应文件；</w:t>
      </w:r>
    </w:p>
    <w:p>
      <w:pPr>
        <w:pStyle w:val="21"/>
        <w:spacing w:line="406" w:lineRule="exact"/>
        <w:ind w:firstLine="420" w:firstLineChars="200"/>
        <w:rPr>
          <w:rFonts w:hAnsi="宋体" w:cs="Times New Roman"/>
          <w:color w:val="auto"/>
        </w:rPr>
      </w:pPr>
      <w:r>
        <w:rPr>
          <w:rFonts w:hint="eastAsia" w:hAnsi="宋体" w:cs="Times New Roman"/>
          <w:color w:val="auto"/>
        </w:rPr>
        <w:t>3</w:t>
      </w:r>
      <w:r>
        <w:rPr>
          <w:rFonts w:hAnsi="宋体" w:cs="Times New Roman"/>
          <w:color w:val="auto"/>
        </w:rPr>
        <w:t>.</w:t>
      </w:r>
      <w:r>
        <w:rPr>
          <w:rFonts w:hint="eastAsia" w:hAnsi="宋体" w:cs="Times New Roman"/>
          <w:color w:val="auto"/>
        </w:rPr>
        <w:t>供应商之间协商报价、技术方案等响应文件的实质性内容；</w:t>
      </w:r>
    </w:p>
    <w:p>
      <w:pPr>
        <w:pStyle w:val="21"/>
        <w:spacing w:line="406" w:lineRule="exact"/>
        <w:ind w:firstLine="420" w:firstLineChars="200"/>
        <w:rPr>
          <w:rFonts w:hAnsi="宋体" w:cs="Times New Roman"/>
          <w:color w:val="auto"/>
        </w:rPr>
      </w:pPr>
      <w:r>
        <w:rPr>
          <w:rFonts w:hint="eastAsia" w:hAnsi="宋体" w:cs="Times New Roman"/>
          <w:color w:val="auto"/>
        </w:rPr>
        <w:t>4</w:t>
      </w:r>
      <w:r>
        <w:rPr>
          <w:rFonts w:hAnsi="宋体" w:cs="Times New Roman"/>
          <w:color w:val="auto"/>
        </w:rPr>
        <w:t>.</w:t>
      </w:r>
      <w:r>
        <w:rPr>
          <w:rFonts w:hint="eastAsia" w:hAnsi="宋体" w:cs="Times New Roman"/>
          <w:color w:val="auto"/>
        </w:rPr>
        <w:t>属于同一集团、协会、商会等组织成员的供应商按照该组织要求协同参加政府采购活动；</w:t>
      </w:r>
    </w:p>
    <w:p>
      <w:pPr>
        <w:pStyle w:val="21"/>
        <w:spacing w:line="406" w:lineRule="exact"/>
        <w:ind w:firstLine="420" w:firstLineChars="200"/>
        <w:rPr>
          <w:rFonts w:hAnsi="宋体" w:cs="Times New Roman"/>
          <w:color w:val="auto"/>
        </w:rPr>
      </w:pPr>
      <w:r>
        <w:rPr>
          <w:rFonts w:hint="eastAsia" w:hAnsi="宋体" w:cs="Times New Roman"/>
          <w:color w:val="auto"/>
        </w:rPr>
        <w:t>5</w:t>
      </w:r>
      <w:r>
        <w:rPr>
          <w:rFonts w:hAnsi="宋体" w:cs="Times New Roman"/>
          <w:color w:val="auto"/>
        </w:rPr>
        <w:t>.</w:t>
      </w:r>
      <w:r>
        <w:rPr>
          <w:rFonts w:hint="eastAsia" w:hAnsi="宋体" w:cs="Times New Roman"/>
          <w:color w:val="auto"/>
        </w:rPr>
        <w:t>供应商之间事先约定由某一特定供应商成交；</w:t>
      </w:r>
    </w:p>
    <w:p>
      <w:pPr>
        <w:pStyle w:val="21"/>
        <w:spacing w:line="406" w:lineRule="exact"/>
        <w:ind w:firstLine="420" w:firstLineChars="200"/>
        <w:rPr>
          <w:rFonts w:hAnsi="宋体" w:cs="Times New Roman"/>
          <w:color w:val="auto"/>
        </w:rPr>
      </w:pPr>
      <w:r>
        <w:rPr>
          <w:rFonts w:hint="eastAsia" w:hAnsi="宋体" w:cs="Times New Roman"/>
          <w:color w:val="auto"/>
        </w:rPr>
        <w:t>6</w:t>
      </w:r>
      <w:r>
        <w:rPr>
          <w:rFonts w:hAnsi="宋体" w:cs="Times New Roman"/>
          <w:color w:val="auto"/>
        </w:rPr>
        <w:t>.</w:t>
      </w:r>
      <w:r>
        <w:rPr>
          <w:rFonts w:hint="eastAsia" w:hAnsi="宋体" w:cs="Times New Roman"/>
          <w:color w:val="auto"/>
        </w:rPr>
        <w:t>供应商之间商定部分供应商放弃参加政府采购活动或者放弃成交；</w:t>
      </w:r>
    </w:p>
    <w:p>
      <w:pPr>
        <w:pStyle w:val="21"/>
        <w:spacing w:line="406" w:lineRule="exact"/>
        <w:ind w:firstLine="420" w:firstLineChars="200"/>
        <w:rPr>
          <w:rFonts w:hAnsi="宋体" w:cs="Times New Roman"/>
          <w:color w:val="auto"/>
        </w:rPr>
      </w:pPr>
      <w:r>
        <w:rPr>
          <w:rFonts w:hint="eastAsia" w:hAnsi="宋体" w:cs="Times New Roman"/>
          <w:color w:val="auto"/>
        </w:rPr>
        <w:t>7</w:t>
      </w:r>
      <w:r>
        <w:rPr>
          <w:rFonts w:hAnsi="宋体" w:cs="Times New Roman"/>
          <w:color w:val="auto"/>
        </w:rPr>
        <w:t>.</w:t>
      </w:r>
      <w:r>
        <w:rPr>
          <w:rFonts w:hint="eastAsia" w:hAnsi="宋体" w:cs="Times New Roman"/>
          <w:color w:val="auto"/>
        </w:rPr>
        <w:t>供应商与采购人或者采购代理机构之间、供应商相互之间，为谋求特定供应商成交或者排斥其他供应商的其他串通行为。</w:t>
      </w:r>
    </w:p>
    <w:p>
      <w:pPr>
        <w:pStyle w:val="21"/>
        <w:spacing w:line="406" w:lineRule="exact"/>
        <w:ind w:firstLine="211" w:firstLineChars="100"/>
        <w:rPr>
          <w:rFonts w:hAnsi="宋体"/>
          <w:b/>
          <w:color w:val="auto"/>
        </w:rPr>
      </w:pPr>
      <w:r>
        <w:rPr>
          <w:rFonts w:hint="eastAsia" w:hAnsi="宋体"/>
          <w:b/>
          <w:color w:val="auto"/>
        </w:rPr>
        <w:t>（九）评审报告</w:t>
      </w:r>
    </w:p>
    <w:p>
      <w:pPr>
        <w:widowControl/>
        <w:tabs>
          <w:tab w:val="left" w:pos="540"/>
        </w:tabs>
        <w:spacing w:line="406" w:lineRule="exact"/>
        <w:ind w:firstLine="420" w:firstLineChars="200"/>
        <w:jc w:val="left"/>
        <w:rPr>
          <w:color w:val="auto"/>
          <w:szCs w:val="21"/>
        </w:rPr>
      </w:pPr>
      <w:r>
        <w:rPr>
          <w:rFonts w:hint="eastAsia"/>
          <w:color w:val="auto"/>
          <w:szCs w:val="21"/>
        </w:rPr>
        <w:t>1</w:t>
      </w:r>
      <w:r>
        <w:rPr>
          <w:color w:val="auto"/>
          <w:szCs w:val="21"/>
        </w:rPr>
        <w:t>.</w:t>
      </w:r>
      <w:r>
        <w:rPr>
          <w:rFonts w:hint="eastAsia"/>
          <w:color w:val="auto"/>
          <w:szCs w:val="21"/>
        </w:rPr>
        <w:t>磋商小组应当根据评审记录和评审结果编写评审报告，主要内容包括：</w:t>
      </w:r>
    </w:p>
    <w:p>
      <w:pPr>
        <w:widowControl/>
        <w:tabs>
          <w:tab w:val="left" w:pos="540"/>
        </w:tabs>
        <w:spacing w:line="406" w:lineRule="exact"/>
        <w:ind w:firstLine="420" w:firstLineChars="200"/>
        <w:jc w:val="left"/>
        <w:rPr>
          <w:color w:val="auto"/>
          <w:szCs w:val="21"/>
        </w:rPr>
      </w:pPr>
      <w:r>
        <w:rPr>
          <w:rFonts w:hint="eastAsia"/>
          <w:color w:val="auto"/>
          <w:szCs w:val="21"/>
        </w:rPr>
        <w:t>(</w:t>
      </w:r>
      <w:r>
        <w:rPr>
          <w:color w:val="auto"/>
          <w:szCs w:val="21"/>
        </w:rPr>
        <w:t>1)</w:t>
      </w:r>
      <w:r>
        <w:rPr>
          <w:rFonts w:hint="eastAsia"/>
          <w:color w:val="auto"/>
          <w:szCs w:val="21"/>
        </w:rPr>
        <w:t>邀请供应商参加采购活动的具体方式和相关情况；</w:t>
      </w:r>
    </w:p>
    <w:p>
      <w:pPr>
        <w:widowControl/>
        <w:tabs>
          <w:tab w:val="left" w:pos="540"/>
        </w:tabs>
        <w:spacing w:line="406" w:lineRule="exact"/>
        <w:ind w:firstLine="420" w:firstLineChars="200"/>
        <w:jc w:val="left"/>
        <w:rPr>
          <w:color w:val="auto"/>
          <w:szCs w:val="21"/>
        </w:rPr>
      </w:pPr>
      <w:r>
        <w:rPr>
          <w:rFonts w:hint="eastAsia"/>
          <w:color w:val="auto"/>
          <w:szCs w:val="21"/>
        </w:rPr>
        <w:t>(</w:t>
      </w:r>
      <w:r>
        <w:rPr>
          <w:color w:val="auto"/>
          <w:szCs w:val="21"/>
        </w:rPr>
        <w:t>2)</w:t>
      </w:r>
      <w:r>
        <w:rPr>
          <w:rFonts w:hint="eastAsia"/>
          <w:color w:val="auto"/>
          <w:szCs w:val="21"/>
        </w:rPr>
        <w:t>响应文件开启日期和地点；</w:t>
      </w:r>
    </w:p>
    <w:p>
      <w:pPr>
        <w:widowControl/>
        <w:tabs>
          <w:tab w:val="left" w:pos="540"/>
        </w:tabs>
        <w:spacing w:line="406" w:lineRule="exact"/>
        <w:ind w:firstLine="420" w:firstLineChars="200"/>
        <w:jc w:val="left"/>
        <w:rPr>
          <w:color w:val="auto"/>
          <w:szCs w:val="21"/>
        </w:rPr>
      </w:pPr>
      <w:r>
        <w:rPr>
          <w:rFonts w:hint="eastAsia"/>
          <w:color w:val="auto"/>
          <w:szCs w:val="21"/>
        </w:rPr>
        <w:t>(</w:t>
      </w:r>
      <w:r>
        <w:rPr>
          <w:color w:val="auto"/>
          <w:szCs w:val="21"/>
        </w:rPr>
        <w:t>3)</w:t>
      </w:r>
      <w:r>
        <w:rPr>
          <w:rFonts w:hint="eastAsia"/>
          <w:color w:val="auto"/>
          <w:szCs w:val="21"/>
        </w:rPr>
        <w:t>获取磋商文件的供应商名单和磋商小组成员名单；</w:t>
      </w:r>
    </w:p>
    <w:p>
      <w:pPr>
        <w:widowControl/>
        <w:tabs>
          <w:tab w:val="left" w:pos="540"/>
        </w:tabs>
        <w:spacing w:line="406" w:lineRule="exact"/>
        <w:ind w:firstLine="420" w:firstLineChars="200"/>
        <w:jc w:val="left"/>
        <w:rPr>
          <w:color w:val="auto"/>
          <w:szCs w:val="21"/>
        </w:rPr>
      </w:pPr>
      <w:r>
        <w:rPr>
          <w:rFonts w:hint="eastAsia"/>
          <w:color w:val="auto"/>
          <w:szCs w:val="21"/>
        </w:rPr>
        <w:t>(</w:t>
      </w:r>
      <w:r>
        <w:rPr>
          <w:color w:val="auto"/>
          <w:szCs w:val="21"/>
        </w:rPr>
        <w:t>4)</w:t>
      </w:r>
      <w:r>
        <w:rPr>
          <w:rFonts w:hint="eastAsia"/>
          <w:color w:val="auto"/>
          <w:szCs w:val="21"/>
        </w:rPr>
        <w:t>评审情况记录和说明，包括对供应商的资格审查情况、供应商响应文件评审情况、磋商情况、报价情况等；</w:t>
      </w:r>
    </w:p>
    <w:p>
      <w:pPr>
        <w:widowControl/>
        <w:tabs>
          <w:tab w:val="left" w:pos="540"/>
        </w:tabs>
        <w:spacing w:line="406" w:lineRule="exact"/>
        <w:ind w:firstLine="420" w:firstLineChars="200"/>
        <w:jc w:val="left"/>
        <w:rPr>
          <w:color w:val="auto"/>
          <w:szCs w:val="21"/>
        </w:rPr>
      </w:pPr>
      <w:r>
        <w:rPr>
          <w:rFonts w:hint="eastAsia"/>
          <w:color w:val="auto"/>
          <w:szCs w:val="21"/>
        </w:rPr>
        <w:t>(</w:t>
      </w:r>
      <w:r>
        <w:rPr>
          <w:color w:val="auto"/>
          <w:szCs w:val="21"/>
        </w:rPr>
        <w:t>5)</w:t>
      </w:r>
      <w:r>
        <w:rPr>
          <w:rFonts w:hint="eastAsia"/>
          <w:color w:val="auto"/>
          <w:szCs w:val="21"/>
        </w:rPr>
        <w:t>提出的成交候选供应商的排序名单及理由。</w:t>
      </w:r>
    </w:p>
    <w:p>
      <w:pPr>
        <w:widowControl/>
        <w:tabs>
          <w:tab w:val="left" w:pos="540"/>
        </w:tabs>
        <w:spacing w:line="406" w:lineRule="exact"/>
        <w:ind w:firstLine="420" w:firstLineChars="200"/>
        <w:jc w:val="left"/>
        <w:rPr>
          <w:color w:val="auto"/>
          <w:szCs w:val="21"/>
        </w:rPr>
      </w:pPr>
      <w:r>
        <w:rPr>
          <w:rFonts w:hint="eastAsia"/>
          <w:color w:val="auto"/>
          <w:szCs w:val="21"/>
        </w:rPr>
        <w:t>2</w:t>
      </w:r>
      <w:r>
        <w:rPr>
          <w:color w:val="auto"/>
          <w:szCs w:val="21"/>
        </w:rPr>
        <w:t>.</w:t>
      </w:r>
      <w:r>
        <w:rPr>
          <w:rFonts w:hint="eastAsia"/>
          <w:color w:val="auto"/>
          <w:szCs w:val="21"/>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pPr>
        <w:pStyle w:val="21"/>
        <w:spacing w:line="406" w:lineRule="exact"/>
        <w:ind w:firstLine="211" w:firstLineChars="100"/>
        <w:rPr>
          <w:rFonts w:hAnsi="宋体"/>
          <w:color w:val="auto"/>
        </w:rPr>
      </w:pPr>
      <w:r>
        <w:rPr>
          <w:rFonts w:hint="eastAsia" w:hAnsi="宋体"/>
          <w:b/>
          <w:bCs/>
          <w:color w:val="auto"/>
        </w:rPr>
        <w:t>（十）</w:t>
      </w:r>
      <w:r>
        <w:rPr>
          <w:rFonts w:hint="eastAsia" w:hAnsi="宋体"/>
          <w:b/>
          <w:color w:val="auto"/>
        </w:rPr>
        <w:t>出现下列情形之一的，本中心将终止竞争性磋商采购活动：</w:t>
      </w:r>
    </w:p>
    <w:p>
      <w:pPr>
        <w:pStyle w:val="21"/>
        <w:spacing w:line="406" w:lineRule="exact"/>
        <w:ind w:firstLine="420" w:firstLineChars="200"/>
        <w:rPr>
          <w:rFonts w:hAnsi="宋体"/>
          <w:color w:val="auto"/>
        </w:rPr>
      </w:pPr>
      <w:r>
        <w:rPr>
          <w:rFonts w:hint="eastAsia" w:hAnsi="宋体"/>
          <w:color w:val="auto"/>
        </w:rPr>
        <w:t>1</w:t>
      </w:r>
      <w:r>
        <w:rPr>
          <w:rFonts w:hAnsi="宋体"/>
          <w:color w:val="auto"/>
        </w:rPr>
        <w:t>.</w:t>
      </w:r>
      <w:r>
        <w:rPr>
          <w:rFonts w:hint="eastAsia" w:hAnsi="宋体"/>
          <w:color w:val="auto"/>
        </w:rPr>
        <w:t>因情况变化，不再符合规定的竞争性磋商采购方式适用情形的；</w:t>
      </w:r>
    </w:p>
    <w:p>
      <w:pPr>
        <w:pStyle w:val="21"/>
        <w:spacing w:line="406" w:lineRule="exact"/>
        <w:ind w:firstLine="420" w:firstLineChars="200"/>
        <w:rPr>
          <w:rFonts w:hAnsi="宋体"/>
          <w:color w:val="auto"/>
        </w:rPr>
      </w:pPr>
      <w:r>
        <w:rPr>
          <w:rFonts w:hint="eastAsia" w:hAnsi="宋体"/>
          <w:color w:val="auto"/>
        </w:rPr>
        <w:t>2</w:t>
      </w:r>
      <w:r>
        <w:rPr>
          <w:rFonts w:hAnsi="宋体"/>
          <w:color w:val="auto"/>
        </w:rPr>
        <w:t>.</w:t>
      </w:r>
      <w:r>
        <w:rPr>
          <w:rFonts w:hint="eastAsia" w:hAnsi="宋体"/>
          <w:color w:val="auto"/>
        </w:rPr>
        <w:t>出现影响采购公正的违法、违规行为的；</w:t>
      </w:r>
    </w:p>
    <w:p>
      <w:pPr>
        <w:pStyle w:val="21"/>
        <w:spacing w:line="406" w:lineRule="exact"/>
        <w:ind w:firstLine="420" w:firstLineChars="200"/>
        <w:rPr>
          <w:rFonts w:hAnsi="宋体"/>
          <w:color w:val="auto"/>
        </w:rPr>
      </w:pPr>
      <w:r>
        <w:rPr>
          <w:rFonts w:hint="eastAsia" w:hAnsi="宋体"/>
          <w:color w:val="auto"/>
        </w:rPr>
        <w:t>3</w:t>
      </w:r>
      <w:r>
        <w:rPr>
          <w:rFonts w:hAnsi="宋体"/>
          <w:color w:val="auto"/>
        </w:rPr>
        <w:t>.</w:t>
      </w:r>
      <w:r>
        <w:rPr>
          <w:rFonts w:hint="eastAsia" w:hAnsi="宋体"/>
          <w:color w:val="auto"/>
        </w:rPr>
        <w:t>除特殊情况外，在采购过程中符合要求的供应商或者报价未超过采购预算的供应商不足3家的。</w:t>
      </w:r>
    </w:p>
    <w:p>
      <w:pPr>
        <w:pStyle w:val="3"/>
        <w:spacing w:line="406" w:lineRule="exact"/>
        <w:rPr>
          <w:color w:val="auto"/>
        </w:rPr>
      </w:pPr>
      <w:r>
        <w:rPr>
          <w:rFonts w:hint="eastAsia"/>
          <w:color w:val="auto"/>
        </w:rPr>
        <w:t>六、确定成交供应商</w:t>
      </w:r>
    </w:p>
    <w:p>
      <w:pPr>
        <w:pStyle w:val="21"/>
        <w:spacing w:line="406" w:lineRule="exact"/>
        <w:ind w:firstLine="420"/>
        <w:rPr>
          <w:rFonts w:hAnsi="宋体"/>
          <w:color w:val="auto"/>
        </w:rPr>
      </w:pPr>
      <w:r>
        <w:rPr>
          <w:rFonts w:hint="eastAsia" w:hAnsi="宋体"/>
          <w:color w:val="auto"/>
        </w:rPr>
        <w:t>1</w:t>
      </w:r>
      <w:r>
        <w:rPr>
          <w:rFonts w:hAnsi="宋体"/>
          <w:color w:val="auto"/>
        </w:rPr>
        <w:t>.</w:t>
      </w:r>
      <w:r>
        <w:rPr>
          <w:rFonts w:hint="eastAsia" w:hAnsi="宋体"/>
          <w:color w:val="auto"/>
        </w:rPr>
        <w:t>本中心应当在评审结束后2个工作日内将评审报告送采购人确认。</w:t>
      </w:r>
    </w:p>
    <w:p>
      <w:pPr>
        <w:pStyle w:val="21"/>
        <w:spacing w:line="406" w:lineRule="exact"/>
        <w:ind w:firstLine="420"/>
        <w:rPr>
          <w:rFonts w:hAnsi="宋体"/>
          <w:color w:val="auto"/>
        </w:rPr>
      </w:pPr>
      <w:r>
        <w:rPr>
          <w:rFonts w:hAnsi="宋体"/>
          <w:color w:val="auto"/>
        </w:rPr>
        <w:t>2.</w:t>
      </w:r>
      <w:r>
        <w:rPr>
          <w:rFonts w:hint="eastAsia" w:hAnsi="宋体"/>
          <w:color w:val="auto"/>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3"/>
        <w:spacing w:line="406" w:lineRule="exact"/>
        <w:rPr>
          <w:color w:val="auto"/>
        </w:rPr>
      </w:pPr>
      <w:r>
        <w:rPr>
          <w:rFonts w:hint="eastAsia"/>
          <w:color w:val="auto"/>
        </w:rPr>
        <w:t>七、结果公告</w:t>
      </w:r>
    </w:p>
    <w:p>
      <w:pPr>
        <w:pStyle w:val="21"/>
        <w:spacing w:line="406" w:lineRule="exact"/>
        <w:ind w:firstLine="420" w:firstLineChars="200"/>
        <w:rPr>
          <w:rFonts w:hAnsi="宋体"/>
          <w:color w:val="auto"/>
        </w:rPr>
      </w:pPr>
      <w:r>
        <w:rPr>
          <w:rFonts w:hint="eastAsia" w:hAnsi="宋体"/>
          <w:color w:val="auto"/>
        </w:rPr>
        <w:t>本中心在成交供应商确定后2个工作日内，</w:t>
      </w:r>
      <w:r>
        <w:rPr>
          <w:rFonts w:hint="eastAsia"/>
          <w:color w:val="auto"/>
        </w:rPr>
        <w:t>在省级以上财政部门指定的媒体上公告</w:t>
      </w:r>
      <w:r>
        <w:rPr>
          <w:rFonts w:hint="eastAsia" w:hAnsi="宋体"/>
          <w:color w:val="auto"/>
        </w:rPr>
        <w:t>成交结果，同时向成交供应商发出成交通知书。</w:t>
      </w:r>
    </w:p>
    <w:p>
      <w:pPr>
        <w:pStyle w:val="3"/>
        <w:spacing w:line="406" w:lineRule="exact"/>
        <w:rPr>
          <w:color w:val="auto"/>
        </w:rPr>
      </w:pPr>
      <w:r>
        <w:rPr>
          <w:rFonts w:hint="eastAsia"/>
          <w:color w:val="auto"/>
        </w:rPr>
        <w:t>八、签订合同</w:t>
      </w:r>
    </w:p>
    <w:p>
      <w:pPr>
        <w:spacing w:line="406" w:lineRule="exact"/>
        <w:ind w:firstLine="210" w:firstLineChars="100"/>
        <w:rPr>
          <w:rFonts w:ascii="宋体" w:hAnsi="宋体" w:cs="Courier New"/>
          <w:color w:val="auto"/>
          <w:szCs w:val="21"/>
        </w:rPr>
      </w:pPr>
      <w:r>
        <w:rPr>
          <w:rFonts w:hint="eastAsia" w:ascii="宋体" w:hAnsi="宋体"/>
          <w:color w:val="auto"/>
          <w:szCs w:val="21"/>
        </w:rPr>
        <w:t>（一）</w:t>
      </w:r>
      <w:r>
        <w:rPr>
          <w:rFonts w:hint="eastAsia" w:ascii="宋体" w:hAnsi="宋体" w:cs="Courier New"/>
          <w:color w:val="auto"/>
          <w:szCs w:val="21"/>
        </w:rPr>
        <w:t>采购人与成交供应商应当在成交通知书发出之日起</w:t>
      </w:r>
      <w:r>
        <w:rPr>
          <w:rFonts w:ascii="宋体" w:hAnsi="宋体" w:cs="Courier New"/>
          <w:color w:val="auto"/>
          <w:szCs w:val="21"/>
        </w:rPr>
        <w:t>15</w:t>
      </w:r>
      <w:r>
        <w:rPr>
          <w:rFonts w:hint="eastAsia" w:ascii="宋体" w:hAnsi="宋体" w:cs="Courier New"/>
          <w:color w:val="auto"/>
          <w:szCs w:val="21"/>
        </w:rPr>
        <w:t>日内，按照磋商文件确定的合同文本以及采购标的、规格型号、采购金额、采购数量、技术和服务要求等事项签订政府采购合同。</w:t>
      </w:r>
    </w:p>
    <w:p>
      <w:pPr>
        <w:widowControl/>
        <w:spacing w:line="406" w:lineRule="exact"/>
        <w:ind w:firstLine="210" w:firstLineChars="100"/>
        <w:jc w:val="left"/>
        <w:rPr>
          <w:rFonts w:ascii="宋体" w:hAnsi="宋体" w:cs="宋体"/>
          <w:color w:val="auto"/>
          <w:kern w:val="0"/>
          <w:szCs w:val="21"/>
        </w:rPr>
      </w:pPr>
      <w:r>
        <w:rPr>
          <w:rFonts w:hint="eastAsia" w:ascii="宋体" w:hAnsi="宋体" w:cs="Courier New"/>
          <w:color w:val="auto"/>
          <w:szCs w:val="21"/>
        </w:rPr>
        <w:t>（二）</w:t>
      </w:r>
      <w:r>
        <w:rPr>
          <w:rFonts w:hint="eastAsia" w:ascii="宋体" w:hAnsi="宋体" w:cs="宋体"/>
          <w:color w:val="auto"/>
          <w:kern w:val="0"/>
          <w:szCs w:val="21"/>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widowControl/>
        <w:spacing w:line="406" w:lineRule="exact"/>
        <w:ind w:firstLine="210" w:firstLineChars="100"/>
        <w:jc w:val="left"/>
        <w:rPr>
          <w:rFonts w:hint="eastAsia" w:ascii="宋体" w:hAnsi="宋体" w:cs="宋体"/>
          <w:color w:val="auto"/>
          <w:kern w:val="0"/>
          <w:szCs w:val="21"/>
        </w:rPr>
      </w:pPr>
      <w:r>
        <w:rPr>
          <w:rFonts w:hint="eastAsia" w:ascii="宋体" w:hAnsi="宋体" w:cs="宋体"/>
          <w:color w:val="auto"/>
          <w:kern w:val="0"/>
          <w:szCs w:val="21"/>
        </w:rPr>
        <w:t>（三）供应商可凭成交通知书或政府采购合同等在内的相关材料、信息，通过中征应收账款融资服务平台向银行业金融机构在线申请“政采贷”融资。</w:t>
      </w:r>
    </w:p>
    <w:p>
      <w:pPr>
        <w:widowControl/>
        <w:spacing w:line="406" w:lineRule="exact"/>
        <w:ind w:firstLine="210" w:firstLineChars="100"/>
        <w:jc w:val="left"/>
        <w:rPr>
          <w:rFonts w:ascii="宋体" w:hAnsi="宋体" w:cs="宋体"/>
          <w:color w:val="auto"/>
          <w:kern w:val="0"/>
          <w:szCs w:val="21"/>
        </w:rPr>
      </w:pPr>
      <w:r>
        <w:rPr>
          <w:rFonts w:hint="eastAsia" w:ascii="宋体" w:hAnsi="宋体" w:cs="宋体"/>
          <w:color w:val="auto"/>
          <w:kern w:val="0"/>
          <w:szCs w:val="21"/>
        </w:rPr>
        <w:t>（四）除不可抗力等因素外，成交后无正当理由拒不与采购人签订政府采购合同的，应当承担相应的法律责任。</w:t>
      </w:r>
    </w:p>
    <w:p>
      <w:pPr>
        <w:widowControl/>
        <w:spacing w:line="406" w:lineRule="exact"/>
        <w:ind w:firstLine="210" w:firstLineChars="100"/>
        <w:jc w:val="left"/>
        <w:rPr>
          <w:rFonts w:ascii="宋体" w:hAnsi="宋体" w:cs="宋体"/>
          <w:color w:val="auto"/>
          <w:kern w:val="0"/>
          <w:szCs w:val="21"/>
        </w:rPr>
      </w:pPr>
      <w:r>
        <w:rPr>
          <w:rFonts w:hint="eastAsia" w:ascii="宋体" w:hAnsi="宋体" w:cs="宋体"/>
          <w:color w:val="auto"/>
          <w:kern w:val="0"/>
          <w:szCs w:val="21"/>
        </w:rPr>
        <w:t>（五）</w:t>
      </w:r>
      <w:r>
        <w:rPr>
          <w:rFonts w:ascii="Arial" w:hAnsi="Arial" w:cs="Arial"/>
          <w:color w:val="auto"/>
          <w:kern w:val="0"/>
          <w:szCs w:val="21"/>
        </w:rPr>
        <w:t>政府采购合同</w:t>
      </w:r>
      <w:r>
        <w:rPr>
          <w:rFonts w:hint="eastAsia" w:hAnsi="宋体"/>
          <w:color w:val="auto"/>
        </w:rPr>
        <w:t>适用《中华人民共和国民法典》</w:t>
      </w:r>
      <w:r>
        <w:rPr>
          <w:rFonts w:ascii="Arial" w:hAnsi="Arial" w:cs="Arial"/>
          <w:color w:val="auto"/>
          <w:kern w:val="0"/>
          <w:szCs w:val="21"/>
        </w:rPr>
        <w:t>。</w:t>
      </w:r>
    </w:p>
    <w:p>
      <w:pPr>
        <w:widowControl/>
        <w:spacing w:line="406" w:lineRule="exact"/>
        <w:ind w:firstLine="210" w:firstLineChars="100"/>
        <w:jc w:val="left"/>
        <w:rPr>
          <w:rFonts w:ascii="宋体" w:hAnsi="宋体" w:cs="宋体"/>
          <w:color w:val="auto"/>
          <w:kern w:val="0"/>
          <w:szCs w:val="21"/>
        </w:rPr>
      </w:pPr>
      <w:r>
        <w:rPr>
          <w:rFonts w:hint="eastAsia" w:ascii="宋体" w:hAnsi="宋体" w:cs="宋体"/>
          <w:color w:val="auto"/>
          <w:kern w:val="0"/>
          <w:szCs w:val="21"/>
        </w:rPr>
        <w:t>（六）成交供应商拒绝签订政府采购合同的，采购人可以按照推荐原则确定其他供应商作为成交供应商并签订政府采购合同，也可以重新开展采购活动。拒绝签订政府采购合同的成交供应商不得参加对该项目重新开展的采购活动。</w:t>
      </w:r>
    </w:p>
    <w:p>
      <w:pPr>
        <w:pStyle w:val="3"/>
        <w:spacing w:line="406" w:lineRule="exact"/>
        <w:rPr>
          <w:color w:val="auto"/>
        </w:rPr>
      </w:pPr>
      <w:r>
        <w:rPr>
          <w:rFonts w:hint="eastAsia"/>
          <w:color w:val="auto"/>
        </w:rPr>
        <w:t>九、适用法律</w:t>
      </w:r>
    </w:p>
    <w:p>
      <w:pPr>
        <w:spacing w:line="406" w:lineRule="exact"/>
        <w:ind w:firstLine="420" w:firstLineChars="200"/>
        <w:rPr>
          <w:rFonts w:ascii="宋体" w:hAnsi="宋体"/>
          <w:color w:val="auto"/>
          <w:szCs w:val="21"/>
        </w:rPr>
      </w:pPr>
      <w:bookmarkStart w:id="124" w:name="_Hlk92794186"/>
      <w:r>
        <w:rPr>
          <w:rFonts w:hint="eastAsia" w:ascii="宋体" w:hAnsi="宋体"/>
          <w:color w:val="auto"/>
          <w:szCs w:val="21"/>
        </w:rPr>
        <w:t>本项目采购活动适用于《中华人民共和国政府采购法》及其实施条例、《政府采购竞争性磋商采购方式管理暂行办法》等规定。</w:t>
      </w:r>
    </w:p>
    <w:bookmarkEnd w:id="124"/>
    <w:p>
      <w:pPr>
        <w:pStyle w:val="3"/>
        <w:spacing w:line="406" w:lineRule="exact"/>
        <w:rPr>
          <w:color w:val="auto"/>
        </w:rPr>
      </w:pPr>
      <w:bookmarkStart w:id="125" w:name="_十、其他事项"/>
      <w:bookmarkEnd w:id="125"/>
      <w:r>
        <w:rPr>
          <w:rFonts w:hint="eastAsia"/>
          <w:color w:val="auto"/>
        </w:rPr>
        <w:t>十、其他事项</w:t>
      </w:r>
    </w:p>
    <w:p>
      <w:pPr>
        <w:spacing w:line="406" w:lineRule="exact"/>
        <w:ind w:firstLine="210" w:firstLineChars="100"/>
        <w:rPr>
          <w:rFonts w:hAnsi="宋体"/>
          <w:color w:val="auto"/>
        </w:rPr>
      </w:pPr>
      <w:bookmarkStart w:id="126" w:name="_Hlk94168058"/>
      <w:r>
        <w:rPr>
          <w:rFonts w:hint="eastAsia" w:hAnsi="宋体"/>
          <w:color w:val="auto"/>
        </w:rPr>
        <w:t>（一）</w:t>
      </w:r>
      <w:bookmarkEnd w:id="126"/>
      <w:r>
        <w:rPr>
          <w:rFonts w:hint="eastAsia" w:hAnsi="宋体"/>
          <w:color w:val="auto"/>
        </w:rPr>
        <w:t>代理服务费</w:t>
      </w:r>
    </w:p>
    <w:p>
      <w:pPr>
        <w:spacing w:line="406" w:lineRule="exact"/>
        <w:ind w:firstLine="420" w:firstLineChars="200"/>
        <w:rPr>
          <w:rFonts w:hAnsi="宋体"/>
          <w:color w:val="auto"/>
        </w:rPr>
      </w:pPr>
      <w:r>
        <w:rPr>
          <w:rFonts w:hint="eastAsia" w:hAnsi="宋体"/>
          <w:color w:val="auto"/>
        </w:rPr>
        <w:t>1</w:t>
      </w:r>
      <w:r>
        <w:rPr>
          <w:rFonts w:hAnsi="宋体"/>
          <w:color w:val="auto"/>
        </w:rPr>
        <w:t>.</w:t>
      </w:r>
      <w:r>
        <w:rPr>
          <w:rFonts w:hint="eastAsia" w:hAnsi="宋体"/>
          <w:color w:val="auto"/>
        </w:rPr>
        <w:t>本中心按钦州市物价局“钦市价费〔2013﹞4号”文件规定向成交供应商收取代理服务费，成交供应商须向本中心一次付清代理服务费。</w:t>
      </w:r>
    </w:p>
    <w:p>
      <w:pPr>
        <w:spacing w:line="406" w:lineRule="exact"/>
        <w:ind w:firstLine="420" w:firstLineChars="200"/>
        <w:rPr>
          <w:rFonts w:hint="eastAsia" w:hAnsi="宋体"/>
          <w:bCs/>
          <w:color w:val="auto"/>
        </w:rPr>
      </w:pPr>
      <w:r>
        <w:rPr>
          <w:rFonts w:hint="eastAsia" w:hAnsi="宋体"/>
          <w:color w:val="auto"/>
        </w:rPr>
        <w:t>2</w:t>
      </w:r>
      <w:r>
        <w:rPr>
          <w:rFonts w:hAnsi="宋体"/>
          <w:color w:val="auto"/>
        </w:rPr>
        <w:t>.</w:t>
      </w:r>
      <w:r>
        <w:rPr>
          <w:rFonts w:hint="eastAsia" w:hAnsi="宋体"/>
          <w:bCs/>
          <w:color w:val="auto"/>
        </w:rPr>
        <w:t>代理服务收费标准：</w:t>
      </w:r>
    </w:p>
    <w:p>
      <w:pPr>
        <w:pStyle w:val="2"/>
        <w:rPr>
          <w:rFonts w:hint="eastAsia" w:hAnsi="宋体"/>
          <w:bCs/>
          <w:color w:val="auto"/>
        </w:rPr>
      </w:pPr>
    </w:p>
    <w:p>
      <w:pPr>
        <w:rPr>
          <w:color w:val="auto"/>
        </w:rPr>
      </w:pPr>
    </w:p>
    <w:tbl>
      <w:tblPr>
        <w:tblStyle w:val="36"/>
        <w:tblW w:w="91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8"/>
        <w:gridCol w:w="1932"/>
        <w:gridCol w:w="1800"/>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3438" w:type="dxa"/>
            <w:vMerge w:val="restart"/>
          </w:tcPr>
          <w:p>
            <w:pPr>
              <w:spacing w:line="330" w:lineRule="exact"/>
              <w:ind w:firstLine="2310" w:firstLineChars="1100"/>
              <w:rPr>
                <w:rFonts w:hAnsi="宋体"/>
                <w:color w:val="auto"/>
              </w:rPr>
            </w:pPr>
            <w:r>
              <w:rPr>
                <w:rFonts w:hAnsi="宋体"/>
                <w:color w:val="auto"/>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21590</wp:posOffset>
                      </wp:positionV>
                      <wp:extent cx="2172335" cy="1444625"/>
                      <wp:effectExtent l="6350" t="5080" r="12065" b="7620"/>
                      <wp:wrapNone/>
                      <wp:docPr id="4" name="直线 3"/>
                      <wp:cNvGraphicFramePr/>
                      <a:graphic xmlns:a="http://schemas.openxmlformats.org/drawingml/2006/main">
                        <a:graphicData uri="http://schemas.microsoft.com/office/word/2010/wordprocessingShape">
                          <wps:wsp>
                            <wps:cNvCnPr>
                              <a:cxnSpLocks noChangeShapeType="1"/>
                            </wps:cNvCnPr>
                            <wps:spPr bwMode="auto">
                              <a:xfrm flipH="1" flipV="1">
                                <a:off x="0" y="0"/>
                                <a:ext cx="2172335" cy="1444625"/>
                              </a:xfrm>
                              <a:prstGeom prst="line">
                                <a:avLst/>
                              </a:prstGeom>
                              <a:noFill/>
                              <a:ln w="9525">
                                <a:solidFill>
                                  <a:srgbClr val="000000"/>
                                </a:solidFill>
                                <a:round/>
                              </a:ln>
                            </wps:spPr>
                            <wps:bodyPr/>
                          </wps:wsp>
                        </a:graphicData>
                      </a:graphic>
                    </wp:anchor>
                  </w:drawing>
                </mc:Choice>
                <mc:Fallback>
                  <w:pict>
                    <v:line id="直线 3" o:spid="_x0000_s1026" o:spt="20" style="position:absolute;left:0pt;flip:x y;margin-left:-6.7pt;margin-top:1.7pt;height:113.75pt;width:171.05pt;z-index:251660288;mso-width-relative:page;mso-height-relative:page;" filled="f" stroked="t" coordsize="21600,21600" o:gfxdata="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bw0+dUAAAAJ&#10;AQAADwAAAAAAAAABACAAAAAiAAAAZHJzL2Rvd25yZXYueG1sUEsBAhQAFAAAAAgAh07iQHWmW7Lm&#10;AQAAuwMAAA4AAAAAAAAAAQAgAAAAJAEAAGRycy9lMm9Eb2MueG1sUEsFBgAAAAAGAAYAWQEAAHwF&#10;AAAAAA==&#10;">
                      <v:fill on="f" focussize="0,0"/>
                      <v:stroke color="#000000" joinstyle="round"/>
                      <v:imagedata o:title=""/>
                      <o:lock v:ext="edit" aspectratio="f"/>
                    </v:line>
                  </w:pict>
                </mc:Fallback>
              </mc:AlternateContent>
            </w:r>
            <w:r>
              <w:rPr>
                <w:rFonts w:hAnsi="宋体"/>
                <w:color w:val="auto"/>
              </w:rPr>
              <mc:AlternateContent>
                <mc:Choice Requires="wps">
                  <w:drawing>
                    <wp:anchor distT="0" distB="0" distL="114300" distR="114300" simplePos="0" relativeHeight="251659264" behindDoc="0" locked="0" layoutInCell="1" allowOverlap="1">
                      <wp:simplePos x="0" y="0"/>
                      <wp:positionH relativeFrom="column">
                        <wp:posOffset>940435</wp:posOffset>
                      </wp:positionH>
                      <wp:positionV relativeFrom="paragraph">
                        <wp:posOffset>19685</wp:posOffset>
                      </wp:positionV>
                      <wp:extent cx="1143635" cy="1444625"/>
                      <wp:effectExtent l="12700" t="12700" r="5715" b="9525"/>
                      <wp:wrapNone/>
                      <wp:docPr id="3" name="直线 4"/>
                      <wp:cNvGraphicFramePr/>
                      <a:graphic xmlns:a="http://schemas.openxmlformats.org/drawingml/2006/main">
                        <a:graphicData uri="http://schemas.microsoft.com/office/word/2010/wordprocessingShape">
                          <wps:wsp>
                            <wps:cNvCnPr>
                              <a:cxnSpLocks noChangeShapeType="1"/>
                            </wps:cNvCnPr>
                            <wps:spPr bwMode="auto">
                              <a:xfrm flipH="1" flipV="1">
                                <a:off x="0" y="0"/>
                                <a:ext cx="1143635" cy="1444625"/>
                              </a:xfrm>
                              <a:prstGeom prst="line">
                                <a:avLst/>
                              </a:prstGeom>
                              <a:noFill/>
                              <a:ln w="9525">
                                <a:solidFill>
                                  <a:srgbClr val="000000"/>
                                </a:solidFill>
                                <a:round/>
                              </a:ln>
                            </wps:spPr>
                            <wps:bodyPr/>
                          </wps:wsp>
                        </a:graphicData>
                      </a:graphic>
                    </wp:anchor>
                  </w:drawing>
                </mc:Choice>
                <mc:Fallback>
                  <w:pict>
                    <v:line id="直线 4" o:spid="_x0000_s1026" o:spt="20" style="position:absolute;left:0pt;flip:x y;margin-left:74.05pt;margin-top:1.55pt;height:113.75pt;width:90.05pt;z-index:251659264;mso-width-relative:page;mso-height-relative:page;" filled="f" stroked="t" coordsize="21600,21600" o:gfxdata="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sssL1AAAAAkB&#10;AAAPAAAAAAAAAAEAIAAAACIAAABkcnMvZG93bnJldi54bWxQSwECFAAUAAAACACHTuJA8flnDOYB&#10;AAC7AwAADgAAAAAAAAABACAAAAAjAQAAZHJzL2Uyb0RvYy54bWxQSwUGAAAAAAYABgBZAQAAewUA&#10;AAAA&#10;">
                      <v:fill on="f" focussize="0,0"/>
                      <v:stroke color="#000000" joinstyle="round"/>
                      <v:imagedata o:title=""/>
                      <o:lock v:ext="edit" aspectratio="f"/>
                    </v:line>
                  </w:pict>
                </mc:Fallback>
              </mc:AlternateContent>
            </w:r>
            <w:r>
              <w:rPr>
                <w:rFonts w:hint="eastAsia" w:hAnsi="宋体"/>
                <w:color w:val="auto"/>
              </w:rPr>
              <w:t>采购类型</w:t>
            </w:r>
          </w:p>
          <w:p>
            <w:pPr>
              <w:spacing w:line="330" w:lineRule="exact"/>
              <w:rPr>
                <w:rFonts w:hAnsi="宋体"/>
                <w:color w:val="auto"/>
              </w:rPr>
            </w:pPr>
          </w:p>
          <w:p>
            <w:pPr>
              <w:spacing w:line="330" w:lineRule="exact"/>
              <w:ind w:firstLine="1575" w:firstLineChars="750"/>
              <w:jc w:val="left"/>
              <w:rPr>
                <w:rFonts w:hAnsi="宋体"/>
                <w:color w:val="auto"/>
              </w:rPr>
            </w:pPr>
            <w:r>
              <w:rPr>
                <w:rFonts w:hint="eastAsia" w:hAnsi="宋体"/>
                <w:color w:val="auto"/>
              </w:rPr>
              <w:t>费率</w:t>
            </w:r>
          </w:p>
          <w:p>
            <w:pPr>
              <w:spacing w:line="330" w:lineRule="exact"/>
              <w:ind w:leftChars="-1" w:hanging="2" w:hangingChars="1"/>
              <w:jc w:val="left"/>
              <w:rPr>
                <w:rFonts w:hAnsi="宋体"/>
                <w:color w:val="auto"/>
              </w:rPr>
            </w:pPr>
          </w:p>
          <w:p>
            <w:pPr>
              <w:spacing w:line="330" w:lineRule="exact"/>
              <w:ind w:leftChars="-1" w:hanging="2" w:hangingChars="1"/>
              <w:jc w:val="left"/>
              <w:rPr>
                <w:rFonts w:hAnsi="宋体"/>
                <w:color w:val="auto"/>
              </w:rPr>
            </w:pPr>
          </w:p>
          <w:p>
            <w:pPr>
              <w:spacing w:line="330" w:lineRule="exact"/>
              <w:jc w:val="left"/>
              <w:rPr>
                <w:rFonts w:hAnsi="宋体"/>
                <w:color w:val="auto"/>
              </w:rPr>
            </w:pPr>
            <w:r>
              <w:rPr>
                <w:rFonts w:hint="eastAsia" w:hAnsi="宋体"/>
                <w:color w:val="auto"/>
              </w:rPr>
              <w:t>成交金额（万元）</w:t>
            </w:r>
          </w:p>
        </w:tc>
        <w:tc>
          <w:tcPr>
            <w:tcW w:w="5708" w:type="dxa"/>
            <w:gridSpan w:val="3"/>
            <w:vAlign w:val="center"/>
          </w:tcPr>
          <w:p>
            <w:pPr>
              <w:spacing w:line="330" w:lineRule="exact"/>
              <w:jc w:val="center"/>
              <w:rPr>
                <w:rFonts w:hAnsi="宋体"/>
                <w:color w:val="auto"/>
              </w:rPr>
            </w:pPr>
            <w:r>
              <w:rPr>
                <w:rFonts w:hint="eastAsia" w:hAnsi="宋体"/>
                <w:color w:val="auto"/>
              </w:rPr>
              <w:t>公开招标、邀请招标、竞争性谈判方式采购代理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3438" w:type="dxa"/>
            <w:vMerge w:val="continue"/>
          </w:tcPr>
          <w:p>
            <w:pPr>
              <w:spacing w:line="330" w:lineRule="exact"/>
              <w:ind w:firstLine="2620" w:firstLineChars="1248"/>
              <w:rPr>
                <w:rFonts w:hAnsi="宋体"/>
                <w:color w:val="auto"/>
              </w:rPr>
            </w:pPr>
          </w:p>
        </w:tc>
        <w:tc>
          <w:tcPr>
            <w:tcW w:w="1932" w:type="dxa"/>
            <w:vAlign w:val="center"/>
          </w:tcPr>
          <w:p>
            <w:pPr>
              <w:spacing w:line="330" w:lineRule="exact"/>
              <w:jc w:val="center"/>
              <w:rPr>
                <w:rFonts w:hAnsi="宋体"/>
                <w:color w:val="auto"/>
              </w:rPr>
            </w:pPr>
            <w:r>
              <w:rPr>
                <w:rFonts w:hint="eastAsia" w:hAnsi="宋体"/>
                <w:color w:val="auto"/>
              </w:rPr>
              <w:t>货物类</w:t>
            </w:r>
          </w:p>
        </w:tc>
        <w:tc>
          <w:tcPr>
            <w:tcW w:w="1800" w:type="dxa"/>
            <w:vAlign w:val="center"/>
          </w:tcPr>
          <w:p>
            <w:pPr>
              <w:spacing w:line="330" w:lineRule="exact"/>
              <w:jc w:val="center"/>
              <w:rPr>
                <w:rFonts w:hAnsi="宋体"/>
                <w:color w:val="auto"/>
              </w:rPr>
            </w:pPr>
            <w:r>
              <w:rPr>
                <w:rFonts w:hint="eastAsia" w:hAnsi="宋体"/>
                <w:color w:val="auto"/>
              </w:rPr>
              <w:t>服务类</w:t>
            </w:r>
          </w:p>
        </w:tc>
        <w:tc>
          <w:tcPr>
            <w:tcW w:w="1976" w:type="dxa"/>
            <w:vAlign w:val="center"/>
          </w:tcPr>
          <w:p>
            <w:pPr>
              <w:widowControl/>
              <w:spacing w:line="330" w:lineRule="exact"/>
              <w:jc w:val="center"/>
              <w:rPr>
                <w:rFonts w:hAnsi="宋体"/>
                <w:color w:val="auto"/>
              </w:rPr>
            </w:pPr>
            <w:r>
              <w:rPr>
                <w:rFonts w:hint="eastAsia" w:hAnsi="宋体"/>
                <w:color w:val="auto"/>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438" w:type="dxa"/>
            <w:vAlign w:val="center"/>
          </w:tcPr>
          <w:p>
            <w:pPr>
              <w:spacing w:line="330" w:lineRule="exact"/>
              <w:jc w:val="center"/>
              <w:rPr>
                <w:rFonts w:hAnsi="宋体"/>
                <w:color w:val="auto"/>
              </w:rPr>
            </w:pPr>
            <w:r>
              <w:rPr>
                <w:rFonts w:hint="eastAsia" w:hAnsi="宋体"/>
                <w:color w:val="auto"/>
              </w:rPr>
              <w:t>100以下</w:t>
            </w:r>
          </w:p>
        </w:tc>
        <w:tc>
          <w:tcPr>
            <w:tcW w:w="1932" w:type="dxa"/>
            <w:vAlign w:val="center"/>
          </w:tcPr>
          <w:p>
            <w:pPr>
              <w:spacing w:line="330" w:lineRule="exact"/>
              <w:jc w:val="center"/>
              <w:rPr>
                <w:rFonts w:hAnsi="宋体"/>
                <w:color w:val="auto"/>
              </w:rPr>
            </w:pPr>
            <w:r>
              <w:rPr>
                <w:rFonts w:hint="eastAsia" w:hAnsi="宋体"/>
                <w:color w:val="auto"/>
              </w:rPr>
              <w:t>1.2%</w:t>
            </w:r>
          </w:p>
        </w:tc>
        <w:tc>
          <w:tcPr>
            <w:tcW w:w="1800" w:type="dxa"/>
            <w:vAlign w:val="center"/>
          </w:tcPr>
          <w:p>
            <w:pPr>
              <w:spacing w:line="330" w:lineRule="exact"/>
              <w:jc w:val="center"/>
              <w:rPr>
                <w:rFonts w:hAnsi="宋体"/>
                <w:color w:val="auto"/>
              </w:rPr>
            </w:pPr>
            <w:r>
              <w:rPr>
                <w:rFonts w:hint="eastAsia" w:hAnsi="宋体"/>
                <w:color w:val="auto"/>
              </w:rPr>
              <w:t>1.2%</w:t>
            </w:r>
          </w:p>
        </w:tc>
        <w:tc>
          <w:tcPr>
            <w:tcW w:w="1976" w:type="dxa"/>
            <w:vAlign w:val="center"/>
          </w:tcPr>
          <w:p>
            <w:pPr>
              <w:spacing w:line="330" w:lineRule="exact"/>
              <w:jc w:val="center"/>
              <w:rPr>
                <w:rFonts w:hAnsi="宋体"/>
                <w:color w:val="auto"/>
              </w:rPr>
            </w:pPr>
            <w:r>
              <w:rPr>
                <w:rFonts w:hint="eastAsia" w:hAnsi="宋体"/>
                <w:color w:val="auto"/>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8" w:type="dxa"/>
            <w:vAlign w:val="center"/>
          </w:tcPr>
          <w:p>
            <w:pPr>
              <w:spacing w:line="330" w:lineRule="exact"/>
              <w:jc w:val="center"/>
              <w:rPr>
                <w:rFonts w:hAnsi="宋体"/>
                <w:color w:val="auto"/>
              </w:rPr>
            </w:pPr>
            <w:r>
              <w:rPr>
                <w:rFonts w:hint="eastAsia" w:hAnsi="宋体"/>
                <w:color w:val="auto"/>
              </w:rPr>
              <w:t>100-500</w:t>
            </w:r>
          </w:p>
        </w:tc>
        <w:tc>
          <w:tcPr>
            <w:tcW w:w="1932" w:type="dxa"/>
            <w:vAlign w:val="center"/>
          </w:tcPr>
          <w:p>
            <w:pPr>
              <w:spacing w:line="330" w:lineRule="exact"/>
              <w:jc w:val="center"/>
              <w:rPr>
                <w:rFonts w:hAnsi="宋体"/>
                <w:color w:val="auto"/>
              </w:rPr>
            </w:pPr>
            <w:r>
              <w:rPr>
                <w:rFonts w:hint="eastAsia" w:hAnsi="宋体"/>
                <w:color w:val="auto"/>
              </w:rPr>
              <w:t>0.88%</w:t>
            </w:r>
          </w:p>
        </w:tc>
        <w:tc>
          <w:tcPr>
            <w:tcW w:w="1800" w:type="dxa"/>
            <w:vAlign w:val="center"/>
          </w:tcPr>
          <w:p>
            <w:pPr>
              <w:spacing w:line="330" w:lineRule="exact"/>
              <w:jc w:val="center"/>
              <w:rPr>
                <w:rFonts w:hAnsi="宋体"/>
                <w:color w:val="auto"/>
              </w:rPr>
            </w:pPr>
            <w:r>
              <w:rPr>
                <w:rFonts w:hint="eastAsia" w:hAnsi="宋体"/>
                <w:color w:val="auto"/>
              </w:rPr>
              <w:t>0.64%</w:t>
            </w:r>
          </w:p>
        </w:tc>
        <w:tc>
          <w:tcPr>
            <w:tcW w:w="1976" w:type="dxa"/>
            <w:vAlign w:val="center"/>
          </w:tcPr>
          <w:p>
            <w:pPr>
              <w:spacing w:line="330" w:lineRule="exact"/>
              <w:jc w:val="center"/>
              <w:rPr>
                <w:rFonts w:hAnsi="宋体"/>
                <w:color w:val="auto"/>
              </w:rPr>
            </w:pPr>
            <w:r>
              <w:rPr>
                <w:rFonts w:hint="eastAsia" w:hAnsi="宋体"/>
                <w:color w:val="auto"/>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438" w:type="dxa"/>
            <w:vAlign w:val="center"/>
          </w:tcPr>
          <w:p>
            <w:pPr>
              <w:spacing w:line="330" w:lineRule="exact"/>
              <w:jc w:val="center"/>
              <w:rPr>
                <w:rFonts w:hAnsi="宋体"/>
                <w:color w:val="auto"/>
              </w:rPr>
            </w:pPr>
            <w:r>
              <w:rPr>
                <w:rFonts w:hint="eastAsia" w:hAnsi="宋体"/>
                <w:color w:val="auto"/>
              </w:rPr>
              <w:t>500-1000</w:t>
            </w:r>
          </w:p>
        </w:tc>
        <w:tc>
          <w:tcPr>
            <w:tcW w:w="1932" w:type="dxa"/>
            <w:vAlign w:val="center"/>
          </w:tcPr>
          <w:p>
            <w:pPr>
              <w:spacing w:line="330" w:lineRule="exact"/>
              <w:jc w:val="center"/>
              <w:rPr>
                <w:rFonts w:hAnsi="宋体"/>
                <w:color w:val="auto"/>
              </w:rPr>
            </w:pPr>
            <w:r>
              <w:rPr>
                <w:rFonts w:hint="eastAsia" w:hAnsi="宋体"/>
                <w:color w:val="auto"/>
              </w:rPr>
              <w:t>0.64%</w:t>
            </w:r>
          </w:p>
        </w:tc>
        <w:tc>
          <w:tcPr>
            <w:tcW w:w="1800" w:type="dxa"/>
            <w:vAlign w:val="center"/>
          </w:tcPr>
          <w:p>
            <w:pPr>
              <w:spacing w:line="330" w:lineRule="exact"/>
              <w:jc w:val="center"/>
              <w:rPr>
                <w:rFonts w:hAnsi="宋体"/>
                <w:color w:val="auto"/>
              </w:rPr>
            </w:pPr>
            <w:r>
              <w:rPr>
                <w:rFonts w:hint="eastAsia" w:hAnsi="宋体"/>
                <w:color w:val="auto"/>
              </w:rPr>
              <w:t>0.36%</w:t>
            </w:r>
          </w:p>
        </w:tc>
        <w:tc>
          <w:tcPr>
            <w:tcW w:w="1976" w:type="dxa"/>
            <w:vAlign w:val="center"/>
          </w:tcPr>
          <w:p>
            <w:pPr>
              <w:spacing w:line="330" w:lineRule="exact"/>
              <w:jc w:val="center"/>
              <w:rPr>
                <w:rFonts w:hAnsi="宋体"/>
                <w:color w:val="auto"/>
              </w:rPr>
            </w:pPr>
            <w:r>
              <w:rPr>
                <w:rFonts w:hint="eastAsia" w:hAnsi="宋体"/>
                <w:color w:val="auto"/>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438" w:type="dxa"/>
            <w:vAlign w:val="center"/>
          </w:tcPr>
          <w:p>
            <w:pPr>
              <w:spacing w:line="330" w:lineRule="exact"/>
              <w:jc w:val="center"/>
              <w:rPr>
                <w:rFonts w:hAnsi="宋体"/>
                <w:color w:val="auto"/>
              </w:rPr>
            </w:pPr>
            <w:r>
              <w:rPr>
                <w:rFonts w:hint="eastAsia" w:hAnsi="宋体"/>
                <w:color w:val="auto"/>
              </w:rPr>
              <w:t>1000-5000</w:t>
            </w:r>
          </w:p>
        </w:tc>
        <w:tc>
          <w:tcPr>
            <w:tcW w:w="1932" w:type="dxa"/>
            <w:vAlign w:val="center"/>
          </w:tcPr>
          <w:p>
            <w:pPr>
              <w:spacing w:line="330" w:lineRule="exact"/>
              <w:jc w:val="center"/>
              <w:rPr>
                <w:rFonts w:hAnsi="宋体"/>
                <w:color w:val="auto"/>
              </w:rPr>
            </w:pPr>
            <w:r>
              <w:rPr>
                <w:rFonts w:hint="eastAsia" w:hAnsi="宋体"/>
                <w:color w:val="auto"/>
              </w:rPr>
              <w:t>0.4%</w:t>
            </w:r>
          </w:p>
        </w:tc>
        <w:tc>
          <w:tcPr>
            <w:tcW w:w="1800" w:type="dxa"/>
            <w:vAlign w:val="center"/>
          </w:tcPr>
          <w:p>
            <w:pPr>
              <w:spacing w:line="330" w:lineRule="exact"/>
              <w:jc w:val="center"/>
              <w:rPr>
                <w:rFonts w:hAnsi="宋体"/>
                <w:color w:val="auto"/>
              </w:rPr>
            </w:pPr>
            <w:r>
              <w:rPr>
                <w:rFonts w:hint="eastAsia" w:hAnsi="宋体"/>
                <w:color w:val="auto"/>
              </w:rPr>
              <w:t>0.2%</w:t>
            </w:r>
          </w:p>
        </w:tc>
        <w:tc>
          <w:tcPr>
            <w:tcW w:w="1976" w:type="dxa"/>
            <w:vAlign w:val="center"/>
          </w:tcPr>
          <w:p>
            <w:pPr>
              <w:spacing w:line="330" w:lineRule="exact"/>
              <w:jc w:val="center"/>
              <w:rPr>
                <w:rFonts w:hAnsi="宋体"/>
                <w:color w:val="auto"/>
              </w:rPr>
            </w:pPr>
            <w:r>
              <w:rPr>
                <w:rFonts w:hint="eastAsia" w:hAnsi="宋体"/>
                <w:color w:val="auto"/>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438" w:type="dxa"/>
            <w:vAlign w:val="center"/>
          </w:tcPr>
          <w:p>
            <w:pPr>
              <w:spacing w:line="330" w:lineRule="exact"/>
              <w:jc w:val="center"/>
              <w:rPr>
                <w:rFonts w:hAnsi="宋体"/>
                <w:color w:val="auto"/>
              </w:rPr>
            </w:pPr>
            <w:r>
              <w:rPr>
                <w:rFonts w:hint="eastAsia" w:hAnsi="宋体"/>
                <w:color w:val="auto"/>
              </w:rPr>
              <w:t>5000-10000</w:t>
            </w:r>
          </w:p>
        </w:tc>
        <w:tc>
          <w:tcPr>
            <w:tcW w:w="1932" w:type="dxa"/>
            <w:vAlign w:val="center"/>
          </w:tcPr>
          <w:p>
            <w:pPr>
              <w:spacing w:line="330" w:lineRule="exact"/>
              <w:jc w:val="center"/>
              <w:rPr>
                <w:rFonts w:hAnsi="宋体"/>
                <w:color w:val="auto"/>
              </w:rPr>
            </w:pPr>
            <w:r>
              <w:rPr>
                <w:rFonts w:hint="eastAsia" w:hAnsi="宋体"/>
                <w:color w:val="auto"/>
              </w:rPr>
              <w:t>0.2%</w:t>
            </w:r>
          </w:p>
        </w:tc>
        <w:tc>
          <w:tcPr>
            <w:tcW w:w="1800" w:type="dxa"/>
            <w:vAlign w:val="center"/>
          </w:tcPr>
          <w:p>
            <w:pPr>
              <w:spacing w:line="330" w:lineRule="exact"/>
              <w:jc w:val="center"/>
              <w:rPr>
                <w:rFonts w:hAnsi="宋体"/>
                <w:color w:val="auto"/>
              </w:rPr>
            </w:pPr>
            <w:r>
              <w:rPr>
                <w:rFonts w:hint="eastAsia" w:hAnsi="宋体"/>
                <w:color w:val="auto"/>
              </w:rPr>
              <w:t>0.08%</w:t>
            </w:r>
          </w:p>
        </w:tc>
        <w:tc>
          <w:tcPr>
            <w:tcW w:w="1976" w:type="dxa"/>
            <w:vAlign w:val="center"/>
          </w:tcPr>
          <w:p>
            <w:pPr>
              <w:spacing w:line="330" w:lineRule="exact"/>
              <w:jc w:val="center"/>
              <w:rPr>
                <w:rFonts w:hAnsi="宋体"/>
                <w:color w:val="auto"/>
              </w:rPr>
            </w:pPr>
            <w:r>
              <w:rPr>
                <w:rFonts w:hint="eastAsia" w:hAnsi="宋体"/>
                <w:color w:val="auto"/>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438" w:type="dxa"/>
            <w:vAlign w:val="center"/>
          </w:tcPr>
          <w:p>
            <w:pPr>
              <w:spacing w:line="330" w:lineRule="exact"/>
              <w:jc w:val="center"/>
              <w:rPr>
                <w:rFonts w:hAnsi="宋体"/>
                <w:color w:val="auto"/>
              </w:rPr>
            </w:pPr>
            <w:r>
              <w:rPr>
                <w:rFonts w:hint="eastAsia" w:hAnsi="宋体"/>
                <w:color w:val="auto"/>
              </w:rPr>
              <w:t>10000-100000</w:t>
            </w:r>
          </w:p>
        </w:tc>
        <w:tc>
          <w:tcPr>
            <w:tcW w:w="1932" w:type="dxa"/>
            <w:vAlign w:val="center"/>
          </w:tcPr>
          <w:p>
            <w:pPr>
              <w:spacing w:line="330" w:lineRule="exact"/>
              <w:jc w:val="center"/>
              <w:rPr>
                <w:rFonts w:hAnsi="宋体"/>
                <w:color w:val="auto"/>
              </w:rPr>
            </w:pPr>
            <w:r>
              <w:rPr>
                <w:rFonts w:hint="eastAsia" w:hAnsi="宋体"/>
                <w:color w:val="auto"/>
              </w:rPr>
              <w:t>0.04%</w:t>
            </w:r>
          </w:p>
        </w:tc>
        <w:tc>
          <w:tcPr>
            <w:tcW w:w="1800" w:type="dxa"/>
            <w:vAlign w:val="center"/>
          </w:tcPr>
          <w:p>
            <w:pPr>
              <w:spacing w:line="330" w:lineRule="exact"/>
              <w:jc w:val="center"/>
              <w:rPr>
                <w:rFonts w:hAnsi="宋体"/>
                <w:color w:val="auto"/>
              </w:rPr>
            </w:pPr>
            <w:r>
              <w:rPr>
                <w:rFonts w:hint="eastAsia" w:hAnsi="宋体"/>
                <w:color w:val="auto"/>
              </w:rPr>
              <w:t>0.04%</w:t>
            </w:r>
          </w:p>
        </w:tc>
        <w:tc>
          <w:tcPr>
            <w:tcW w:w="1976" w:type="dxa"/>
            <w:vAlign w:val="center"/>
          </w:tcPr>
          <w:p>
            <w:pPr>
              <w:spacing w:line="330" w:lineRule="exact"/>
              <w:jc w:val="center"/>
              <w:rPr>
                <w:rFonts w:hAnsi="宋体"/>
                <w:color w:val="auto"/>
              </w:rPr>
            </w:pPr>
            <w:r>
              <w:rPr>
                <w:rFonts w:hint="eastAsia" w:hAnsi="宋体"/>
                <w:color w:val="auto"/>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438" w:type="dxa"/>
            <w:vAlign w:val="center"/>
          </w:tcPr>
          <w:p>
            <w:pPr>
              <w:spacing w:line="330" w:lineRule="exact"/>
              <w:jc w:val="center"/>
              <w:rPr>
                <w:rFonts w:hAnsi="宋体"/>
                <w:color w:val="auto"/>
              </w:rPr>
            </w:pPr>
            <w:r>
              <w:rPr>
                <w:rFonts w:hint="eastAsia" w:hAnsi="宋体"/>
                <w:color w:val="auto"/>
              </w:rPr>
              <w:t>100000以上</w:t>
            </w:r>
          </w:p>
        </w:tc>
        <w:tc>
          <w:tcPr>
            <w:tcW w:w="1932" w:type="dxa"/>
            <w:vAlign w:val="center"/>
          </w:tcPr>
          <w:p>
            <w:pPr>
              <w:spacing w:line="330" w:lineRule="exact"/>
              <w:jc w:val="center"/>
              <w:rPr>
                <w:rFonts w:hAnsi="宋体"/>
                <w:color w:val="auto"/>
              </w:rPr>
            </w:pPr>
            <w:r>
              <w:rPr>
                <w:rFonts w:hint="eastAsia" w:hAnsi="宋体"/>
                <w:color w:val="auto"/>
              </w:rPr>
              <w:t>0.008%</w:t>
            </w:r>
          </w:p>
        </w:tc>
        <w:tc>
          <w:tcPr>
            <w:tcW w:w="1800" w:type="dxa"/>
            <w:vAlign w:val="center"/>
          </w:tcPr>
          <w:p>
            <w:pPr>
              <w:spacing w:line="330" w:lineRule="exact"/>
              <w:jc w:val="center"/>
              <w:rPr>
                <w:rFonts w:hAnsi="宋体"/>
                <w:color w:val="auto"/>
              </w:rPr>
            </w:pPr>
            <w:r>
              <w:rPr>
                <w:rFonts w:hint="eastAsia" w:hAnsi="宋体"/>
                <w:color w:val="auto"/>
              </w:rPr>
              <w:t>0.008%</w:t>
            </w:r>
          </w:p>
        </w:tc>
        <w:tc>
          <w:tcPr>
            <w:tcW w:w="1976" w:type="dxa"/>
            <w:vAlign w:val="center"/>
          </w:tcPr>
          <w:p>
            <w:pPr>
              <w:spacing w:line="330" w:lineRule="exact"/>
              <w:jc w:val="center"/>
              <w:rPr>
                <w:rFonts w:hAnsi="宋体"/>
                <w:color w:val="auto"/>
              </w:rPr>
            </w:pPr>
            <w:r>
              <w:rPr>
                <w:rFonts w:hint="eastAsia" w:hAnsi="宋体"/>
                <w:color w:val="auto"/>
              </w:rPr>
              <w:t>0.008%</w:t>
            </w:r>
          </w:p>
        </w:tc>
      </w:tr>
    </w:tbl>
    <w:p>
      <w:pPr>
        <w:pStyle w:val="21"/>
        <w:spacing w:line="430" w:lineRule="exact"/>
        <w:ind w:firstLine="420" w:firstLineChars="200"/>
        <w:rPr>
          <w:rFonts w:hAnsi="宋体"/>
          <w:b/>
          <w:color w:val="auto"/>
        </w:rPr>
      </w:pPr>
      <w:r>
        <w:rPr>
          <w:rFonts w:hint="eastAsia" w:hAnsi="宋体"/>
          <w:color w:val="auto"/>
        </w:rPr>
        <w:t>注：代理服务收费按差额定率累进法计算，本项目收费标准按以上标准的60%执行</w:t>
      </w:r>
    </w:p>
    <w:p>
      <w:pPr>
        <w:pStyle w:val="21"/>
        <w:spacing w:line="430" w:lineRule="exact"/>
        <w:ind w:firstLine="210" w:firstLineChars="100"/>
        <w:rPr>
          <w:rFonts w:hAnsi="宋体"/>
          <w:color w:val="auto"/>
          <w:spacing w:val="-4"/>
        </w:rPr>
      </w:pPr>
      <w:r>
        <w:rPr>
          <w:rFonts w:hint="eastAsia" w:hAnsi="宋体"/>
          <w:bCs/>
          <w:color w:val="auto"/>
        </w:rPr>
        <w:t>（二）解释权：</w:t>
      </w:r>
      <w:r>
        <w:rPr>
          <w:rFonts w:hint="eastAsia" w:hAnsi="宋体"/>
          <w:color w:val="auto"/>
          <w:spacing w:val="-4"/>
        </w:rPr>
        <w:t>本采购文件解释权属本中心。</w:t>
      </w:r>
    </w:p>
    <w:p>
      <w:pPr>
        <w:pStyle w:val="21"/>
        <w:spacing w:line="430" w:lineRule="exact"/>
        <w:ind w:firstLine="210" w:firstLineChars="100"/>
        <w:rPr>
          <w:rFonts w:hAnsi="宋体"/>
          <w:color w:val="auto"/>
          <w:spacing w:val="-4"/>
        </w:rPr>
      </w:pPr>
      <w:r>
        <w:rPr>
          <w:rFonts w:hint="eastAsia" w:hAnsi="宋体"/>
          <w:bCs/>
          <w:color w:val="auto"/>
        </w:rPr>
        <w:t>（三）有关事宜</w:t>
      </w:r>
    </w:p>
    <w:p>
      <w:pPr>
        <w:spacing w:line="430" w:lineRule="exact"/>
        <w:ind w:firstLine="420" w:firstLineChars="200"/>
        <w:rPr>
          <w:color w:val="auto"/>
        </w:rPr>
      </w:pPr>
      <w:r>
        <w:rPr>
          <w:rFonts w:hint="eastAsia"/>
          <w:color w:val="auto"/>
        </w:rPr>
        <w:t>所有与采购文件有关的函件请按下列通讯地址联系：</w:t>
      </w:r>
    </w:p>
    <w:p>
      <w:pPr>
        <w:widowControl/>
        <w:spacing w:line="430" w:lineRule="exact"/>
        <w:ind w:firstLine="420" w:firstLineChars="200"/>
        <w:jc w:val="left"/>
        <w:rPr>
          <w:color w:val="auto"/>
        </w:rPr>
      </w:pPr>
      <w:r>
        <w:rPr>
          <w:rFonts w:hint="eastAsia"/>
          <w:color w:val="auto"/>
        </w:rPr>
        <w:t>钦州市政府采购中心</w:t>
      </w:r>
    </w:p>
    <w:p>
      <w:pPr>
        <w:widowControl/>
        <w:spacing w:line="430" w:lineRule="exact"/>
        <w:ind w:firstLine="420" w:firstLineChars="200"/>
        <w:jc w:val="left"/>
        <w:rPr>
          <w:color w:val="auto"/>
        </w:rPr>
      </w:pPr>
      <w:r>
        <w:rPr>
          <w:rFonts w:hint="eastAsia"/>
          <w:color w:val="auto"/>
        </w:rPr>
        <w:t>通讯地址：钦州市金海湾东大街8号</w:t>
      </w:r>
    </w:p>
    <w:p>
      <w:pPr>
        <w:widowControl/>
        <w:spacing w:line="430" w:lineRule="exact"/>
        <w:ind w:firstLine="420" w:firstLineChars="200"/>
        <w:jc w:val="left"/>
        <w:rPr>
          <w:color w:val="auto"/>
        </w:rPr>
      </w:pPr>
      <w:r>
        <w:rPr>
          <w:rFonts w:hint="eastAsia"/>
          <w:color w:val="auto"/>
        </w:rPr>
        <w:t>邮政编码：535000</w:t>
      </w:r>
    </w:p>
    <w:p>
      <w:pPr>
        <w:widowControl/>
        <w:spacing w:line="430" w:lineRule="exact"/>
        <w:ind w:firstLine="420" w:firstLineChars="200"/>
        <w:jc w:val="left"/>
        <w:rPr>
          <w:color w:val="auto"/>
        </w:rPr>
      </w:pPr>
      <w:bookmarkStart w:id="127" w:name="_Hlk108515537"/>
      <w:r>
        <w:rPr>
          <w:rFonts w:hint="eastAsia" w:hAnsi="宋体"/>
          <w:color w:val="auto"/>
        </w:rPr>
        <w:t>钦州市政府采购中心联系方式</w:t>
      </w:r>
      <w:r>
        <w:rPr>
          <w:rFonts w:hint="eastAsia"/>
          <w:color w:val="auto"/>
        </w:rPr>
        <w:t>：</w:t>
      </w:r>
    </w:p>
    <w:p>
      <w:pPr>
        <w:widowControl/>
        <w:spacing w:line="430" w:lineRule="exact"/>
        <w:ind w:firstLine="420" w:firstLineChars="200"/>
        <w:jc w:val="left"/>
        <w:rPr>
          <w:color w:val="auto"/>
        </w:rPr>
      </w:pPr>
      <w:r>
        <w:rPr>
          <w:rFonts w:hint="eastAsia"/>
          <w:color w:val="auto"/>
        </w:rPr>
        <w:t>(1)采购部(采购文件)</w:t>
      </w:r>
    </w:p>
    <w:p>
      <w:pPr>
        <w:widowControl/>
        <w:spacing w:line="430" w:lineRule="exact"/>
        <w:ind w:firstLine="420" w:firstLineChars="200"/>
        <w:jc w:val="left"/>
        <w:rPr>
          <w:color w:val="auto"/>
        </w:rPr>
      </w:pPr>
      <w:r>
        <w:rPr>
          <w:rFonts w:hint="eastAsia"/>
          <w:color w:val="auto"/>
        </w:rPr>
        <w:t>联系人：</w:t>
      </w:r>
      <w:r>
        <w:rPr>
          <w:rFonts w:hint="eastAsia"/>
          <w:color w:val="auto"/>
          <w:lang w:val="en-US" w:eastAsia="zh-CN"/>
        </w:rPr>
        <w:t>苏晓婷</w:t>
      </w:r>
      <w:r>
        <w:rPr>
          <w:rFonts w:hint="eastAsia"/>
          <w:color w:val="auto"/>
        </w:rPr>
        <w:t xml:space="preserve"> </w:t>
      </w:r>
      <w:r>
        <w:rPr>
          <w:color w:val="auto"/>
        </w:rPr>
        <w:t xml:space="preserve"> </w:t>
      </w:r>
      <w:r>
        <w:rPr>
          <w:rFonts w:hint="eastAsia"/>
          <w:color w:val="auto"/>
        </w:rPr>
        <w:t xml:space="preserve"> 联系方式：0777-2886022</w:t>
      </w:r>
    </w:p>
    <w:p>
      <w:pPr>
        <w:widowControl/>
        <w:spacing w:line="430" w:lineRule="exact"/>
        <w:ind w:firstLine="420" w:firstLineChars="200"/>
        <w:jc w:val="left"/>
        <w:rPr>
          <w:color w:val="auto"/>
        </w:rPr>
      </w:pPr>
      <w:r>
        <w:rPr>
          <w:rFonts w:hint="eastAsia"/>
          <w:color w:val="auto"/>
        </w:rPr>
        <w:t>(2)综合二部(保证金、评审、磋商、成交及合同管理)</w:t>
      </w:r>
    </w:p>
    <w:p>
      <w:pPr>
        <w:widowControl/>
        <w:spacing w:line="430" w:lineRule="exact"/>
        <w:ind w:firstLine="420" w:firstLineChars="200"/>
        <w:jc w:val="left"/>
        <w:rPr>
          <w:color w:val="auto"/>
        </w:rPr>
      </w:pPr>
      <w:r>
        <w:rPr>
          <w:rFonts w:hint="eastAsia"/>
          <w:color w:val="auto"/>
        </w:rPr>
        <w:t xml:space="preserve">联系人：陈启梅、陈侃 </w:t>
      </w:r>
      <w:r>
        <w:rPr>
          <w:color w:val="auto"/>
        </w:rPr>
        <w:t xml:space="preserve">  </w:t>
      </w:r>
      <w:r>
        <w:rPr>
          <w:rFonts w:hint="eastAsia"/>
          <w:color w:val="auto"/>
        </w:rPr>
        <w:t>联系方式：0777-2886006</w:t>
      </w:r>
    </w:p>
    <w:p>
      <w:pPr>
        <w:widowControl/>
        <w:spacing w:line="430" w:lineRule="exact"/>
        <w:ind w:firstLine="420" w:firstLineChars="200"/>
        <w:jc w:val="left"/>
        <w:rPr>
          <w:color w:val="auto"/>
        </w:rPr>
      </w:pPr>
      <w:r>
        <w:rPr>
          <w:rFonts w:hint="eastAsia"/>
          <w:color w:val="auto"/>
        </w:rPr>
        <w:t>(</w:t>
      </w:r>
      <w:r>
        <w:rPr>
          <w:color w:val="auto"/>
        </w:rPr>
        <w:t>3)</w:t>
      </w:r>
      <w:r>
        <w:rPr>
          <w:rFonts w:hint="eastAsia"/>
          <w:color w:val="auto"/>
        </w:rPr>
        <w:t>邮箱：qzzfcgzx@126.com</w:t>
      </w:r>
    </w:p>
    <w:p>
      <w:pPr>
        <w:widowControl/>
        <w:spacing w:line="430" w:lineRule="exact"/>
        <w:ind w:firstLine="420" w:firstLineChars="200"/>
        <w:jc w:val="left"/>
        <w:rPr>
          <w:color w:val="auto"/>
        </w:rPr>
      </w:pPr>
      <w:r>
        <w:rPr>
          <w:color w:val="auto"/>
        </w:rPr>
        <w:t>(4)</w:t>
      </w:r>
      <w:r>
        <w:rPr>
          <w:rFonts w:hint="eastAsia"/>
          <w:color w:val="auto"/>
        </w:rPr>
        <w:t>政采云技术支持热线：</w:t>
      </w:r>
      <w:r>
        <w:rPr>
          <w:rFonts w:hAnsi="宋体"/>
          <w:color w:val="auto"/>
        </w:rPr>
        <w:t>95763</w:t>
      </w:r>
    </w:p>
    <w:bookmarkEnd w:id="127"/>
    <w:p>
      <w:pPr>
        <w:widowControl/>
        <w:jc w:val="left"/>
        <w:rPr>
          <w:color w:val="auto"/>
        </w:rPr>
      </w:pPr>
      <w:r>
        <w:rPr>
          <w:color w:val="auto"/>
        </w:rPr>
        <w:br w:type="page"/>
      </w:r>
    </w:p>
    <w:p>
      <w:pPr>
        <w:widowControl/>
        <w:jc w:val="left"/>
        <w:rPr>
          <w:color w:val="auto"/>
        </w:rPr>
      </w:pPr>
    </w:p>
    <w:p>
      <w:pPr>
        <w:spacing w:line="320" w:lineRule="exact"/>
        <w:rPr>
          <w:color w:val="auto"/>
        </w:rPr>
      </w:pPr>
    </w:p>
    <w:p>
      <w:pPr>
        <w:widowControl/>
        <w:spacing w:line="320" w:lineRule="exact"/>
        <w:jc w:val="left"/>
        <w:rPr>
          <w:color w:val="auto"/>
        </w:rPr>
      </w:pPr>
    </w:p>
    <w:p>
      <w:pPr>
        <w:spacing w:line="320" w:lineRule="exact"/>
        <w:rPr>
          <w:color w:val="auto"/>
        </w:rPr>
      </w:pPr>
    </w:p>
    <w:p>
      <w:pPr>
        <w:spacing w:line="320" w:lineRule="exact"/>
        <w:rPr>
          <w:color w:val="auto"/>
        </w:rPr>
      </w:pPr>
    </w:p>
    <w:p>
      <w:pPr>
        <w:spacing w:line="320" w:lineRule="exact"/>
        <w:rPr>
          <w:color w:val="auto"/>
        </w:rPr>
      </w:pPr>
    </w:p>
    <w:p>
      <w:pPr>
        <w:spacing w:line="320" w:lineRule="exact"/>
        <w:rPr>
          <w:color w:val="auto"/>
        </w:rPr>
      </w:pPr>
    </w:p>
    <w:p>
      <w:pPr>
        <w:spacing w:line="320" w:lineRule="exact"/>
        <w:rPr>
          <w:color w:val="auto"/>
        </w:rPr>
      </w:pPr>
    </w:p>
    <w:p>
      <w:pPr>
        <w:spacing w:line="320" w:lineRule="exact"/>
        <w:rPr>
          <w:color w:val="auto"/>
        </w:rPr>
      </w:pPr>
    </w:p>
    <w:p>
      <w:pPr>
        <w:spacing w:line="320" w:lineRule="exact"/>
        <w:rPr>
          <w:color w:val="auto"/>
        </w:rPr>
      </w:pPr>
    </w:p>
    <w:p>
      <w:pPr>
        <w:spacing w:line="320" w:lineRule="exact"/>
        <w:rPr>
          <w:color w:val="auto"/>
        </w:rPr>
      </w:pPr>
    </w:p>
    <w:p>
      <w:pPr>
        <w:spacing w:line="320" w:lineRule="exact"/>
        <w:rPr>
          <w:color w:val="auto"/>
        </w:rPr>
      </w:pPr>
    </w:p>
    <w:p>
      <w:pPr>
        <w:spacing w:line="320" w:lineRule="exact"/>
        <w:rPr>
          <w:color w:val="auto"/>
        </w:rPr>
      </w:pPr>
    </w:p>
    <w:p>
      <w:pPr>
        <w:spacing w:line="320" w:lineRule="exact"/>
        <w:rPr>
          <w:color w:val="auto"/>
        </w:rPr>
      </w:pPr>
    </w:p>
    <w:p>
      <w:pPr>
        <w:pStyle w:val="2"/>
        <w:spacing w:line="400" w:lineRule="exact"/>
        <w:rPr>
          <w:rFonts w:ascii="方正小标宋_GBK" w:hAnsi="宋体" w:eastAsia="方正小标宋_GBK"/>
          <w:color w:val="auto"/>
        </w:rPr>
      </w:pPr>
      <w:bookmarkStart w:id="128" w:name="_第四章__评定标准及推荐原则"/>
      <w:bookmarkEnd w:id="128"/>
      <w:bookmarkStart w:id="129" w:name="_Toc92355026"/>
      <w:r>
        <w:rPr>
          <w:rFonts w:hint="eastAsia" w:ascii="方正小标宋_GBK" w:hAnsi="宋体" w:eastAsia="方正小标宋_GBK"/>
          <w:color w:val="auto"/>
        </w:rPr>
        <w:t>第四章  评定标准及推荐原则</w:t>
      </w:r>
      <w:bookmarkEnd w:id="129"/>
    </w:p>
    <w:p>
      <w:pPr>
        <w:pStyle w:val="21"/>
        <w:spacing w:line="280" w:lineRule="exact"/>
        <w:jc w:val="center"/>
        <w:rPr>
          <w:rFonts w:hAnsi="宋体"/>
          <w:b/>
          <w:bCs/>
          <w:color w:val="auto"/>
          <w:sz w:val="30"/>
          <w:szCs w:val="30"/>
        </w:rPr>
      </w:pPr>
      <w:r>
        <w:rPr>
          <w:rFonts w:hAnsi="宋体"/>
          <w:b/>
          <w:bCs/>
          <w:color w:val="auto"/>
        </w:rPr>
        <w:br w:type="page"/>
      </w:r>
    </w:p>
    <w:p>
      <w:pPr>
        <w:rPr>
          <w:color w:val="auto"/>
        </w:rPr>
      </w:pPr>
    </w:p>
    <w:p>
      <w:pPr>
        <w:pStyle w:val="21"/>
        <w:spacing w:line="500" w:lineRule="exact"/>
        <w:jc w:val="center"/>
        <w:rPr>
          <w:rFonts w:hAnsi="宋体"/>
          <w:b/>
          <w:bCs/>
          <w:color w:val="auto"/>
          <w:sz w:val="44"/>
          <w:szCs w:val="44"/>
        </w:rPr>
      </w:pPr>
      <w:bookmarkStart w:id="130" w:name="_Hlk92463826"/>
      <w:r>
        <w:rPr>
          <w:rFonts w:hint="eastAsia" w:hAnsi="宋体"/>
          <w:b/>
          <w:bCs/>
          <w:color w:val="auto"/>
          <w:sz w:val="44"/>
          <w:szCs w:val="44"/>
        </w:rPr>
        <w:t>评定标准及推荐原则</w:t>
      </w:r>
    </w:p>
    <w:bookmarkEnd w:id="130"/>
    <w:p>
      <w:pPr>
        <w:rPr>
          <w:color w:val="auto"/>
        </w:rPr>
      </w:pPr>
    </w:p>
    <w:p>
      <w:pPr>
        <w:pStyle w:val="21"/>
        <w:spacing w:line="460" w:lineRule="exact"/>
        <w:rPr>
          <w:rFonts w:hAnsi="宋体"/>
          <w:b/>
          <w:bCs/>
          <w:color w:val="auto"/>
        </w:rPr>
      </w:pPr>
      <w:r>
        <w:rPr>
          <w:rFonts w:hint="eastAsia" w:hAnsi="宋体"/>
          <w:b/>
          <w:bCs/>
          <w:color w:val="auto"/>
        </w:rPr>
        <w:t>一、评审原则</w:t>
      </w:r>
    </w:p>
    <w:p>
      <w:pPr>
        <w:pStyle w:val="21"/>
        <w:spacing w:line="460" w:lineRule="exact"/>
        <w:ind w:firstLine="210" w:firstLineChars="100"/>
        <w:rPr>
          <w:rFonts w:hAnsi="宋体"/>
          <w:bCs/>
          <w:color w:val="auto"/>
        </w:rPr>
      </w:pPr>
      <w:r>
        <w:rPr>
          <w:rFonts w:hint="eastAsia" w:hAnsi="宋体"/>
          <w:bCs/>
          <w:color w:val="auto"/>
        </w:rPr>
        <w:t>(一)</w:t>
      </w:r>
      <w:r>
        <w:rPr>
          <w:rFonts w:hint="eastAsia" w:hAnsi="宋体"/>
          <w:color w:val="auto"/>
        </w:rPr>
        <w:t>评审依据：</w:t>
      </w:r>
      <w:r>
        <w:rPr>
          <w:rFonts w:hint="eastAsia" w:hAnsi="宋体"/>
          <w:color w:val="auto"/>
          <w:lang w:val="en-US" w:eastAsia="zh-CN"/>
        </w:rPr>
        <w:t>磋商小组将</w:t>
      </w:r>
      <w:r>
        <w:rPr>
          <w:rFonts w:hint="eastAsia" w:hAnsi="宋体"/>
          <w:color w:val="auto"/>
        </w:rPr>
        <w:t>以竞争性磋商采购文件和响应文件为评定依据</w:t>
      </w:r>
      <w:r>
        <w:rPr>
          <w:rFonts w:hint="eastAsia" w:hAnsi="宋体"/>
          <w:color w:val="auto"/>
          <w:lang w:val="en-US" w:eastAsia="zh-CN"/>
        </w:rPr>
        <w:t>进行评审，对供应商的响应文件内容按百分制打分</w:t>
      </w:r>
      <w:r>
        <w:rPr>
          <w:rFonts w:hint="eastAsia" w:hAnsi="宋体"/>
          <w:color w:val="auto"/>
        </w:rPr>
        <w:t>。</w:t>
      </w:r>
    </w:p>
    <w:p>
      <w:pPr>
        <w:pStyle w:val="21"/>
        <w:spacing w:line="460" w:lineRule="exact"/>
        <w:ind w:firstLine="210" w:firstLineChars="100"/>
        <w:rPr>
          <w:rFonts w:hAnsi="宋体"/>
          <w:bCs/>
          <w:color w:val="auto"/>
        </w:rPr>
      </w:pPr>
      <w:r>
        <w:rPr>
          <w:rFonts w:hint="eastAsia" w:hAnsi="宋体"/>
          <w:bCs/>
          <w:color w:val="auto"/>
        </w:rPr>
        <w:t>(二)磋商小组</w:t>
      </w:r>
      <w:r>
        <w:rPr>
          <w:rFonts w:hint="eastAsia" w:hAnsi="宋体"/>
          <w:bCs/>
          <w:color w:val="auto"/>
          <w:lang w:val="en-US" w:eastAsia="zh-CN"/>
        </w:rPr>
        <w:t>构成</w:t>
      </w:r>
      <w:r>
        <w:rPr>
          <w:rFonts w:hint="eastAsia" w:hAnsi="宋体"/>
          <w:bCs/>
          <w:color w:val="auto"/>
        </w:rPr>
        <w:t>：</w:t>
      </w:r>
      <w:bookmarkStart w:id="131" w:name="_Hlk89353643"/>
      <w:r>
        <w:rPr>
          <w:rFonts w:hint="eastAsia" w:hAnsi="宋体"/>
          <w:bCs/>
          <w:color w:val="auto"/>
        </w:rPr>
        <w:t>由采购人代表和评审专家共3人以上单数组成，其中评审专家人数不得少于磋商小组成员总数的2/3。</w:t>
      </w:r>
      <w:bookmarkEnd w:id="131"/>
    </w:p>
    <w:p>
      <w:pPr>
        <w:pStyle w:val="21"/>
        <w:spacing w:line="460" w:lineRule="exact"/>
        <w:ind w:firstLine="210" w:firstLineChars="100"/>
        <w:jc w:val="left"/>
        <w:rPr>
          <w:rFonts w:hAnsi="宋体"/>
          <w:color w:val="auto"/>
        </w:rPr>
      </w:pPr>
      <w:r>
        <w:rPr>
          <w:rFonts w:hint="eastAsia" w:hAnsi="宋体"/>
          <w:bCs/>
          <w:color w:val="auto"/>
        </w:rPr>
        <w:t>(三</w:t>
      </w:r>
      <w:r>
        <w:rPr>
          <w:rFonts w:hAnsi="宋体"/>
          <w:bCs/>
          <w:color w:val="auto"/>
        </w:rPr>
        <w:t>)</w:t>
      </w:r>
      <w:r>
        <w:rPr>
          <w:rFonts w:hint="eastAsia" w:hAnsi="宋体"/>
          <w:color w:val="auto"/>
        </w:rPr>
        <w:t>评分方式：</w:t>
      </w:r>
      <w:r>
        <w:rPr>
          <w:rFonts w:hint="eastAsia" w:hAnsi="宋体"/>
          <w:color w:val="auto"/>
          <w:lang w:val="en-US" w:eastAsia="zh-CN"/>
        </w:rPr>
        <w:t>以封闭方式进行。</w:t>
      </w:r>
      <w:r>
        <w:rPr>
          <w:rFonts w:hint="eastAsia" w:hAnsi="宋体"/>
          <w:color w:val="auto"/>
        </w:rPr>
        <w:t>磋商小组各成员独立对每个有效响应文件进行评价、打分，汇总每个供应商每项评分因素的得分。</w:t>
      </w:r>
    </w:p>
    <w:p>
      <w:pPr>
        <w:pStyle w:val="21"/>
        <w:spacing w:line="460" w:lineRule="exact"/>
        <w:rPr>
          <w:rFonts w:hint="eastAsia" w:hAnsi="宋体"/>
          <w:b/>
          <w:bCs/>
          <w:color w:val="auto"/>
        </w:rPr>
      </w:pPr>
      <w:r>
        <w:rPr>
          <w:rFonts w:hint="eastAsia" w:hAnsi="宋体"/>
          <w:b/>
          <w:bCs/>
          <w:color w:val="auto"/>
        </w:rPr>
        <w:t>二、评分细则</w:t>
      </w:r>
    </w:p>
    <w:p>
      <w:pPr>
        <w:rPr>
          <w:color w:val="auto"/>
        </w:rPr>
      </w:pPr>
    </w:p>
    <w:tbl>
      <w:tblPr>
        <w:tblStyle w:val="3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100"/>
        <w:gridCol w:w="963"/>
        <w:gridCol w:w="7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78" w:leftChars="-85"/>
              <w:jc w:val="center"/>
              <w:rPr>
                <w:rFonts w:ascii="宋体" w:hAnsi="宋体" w:cs="仿宋"/>
                <w:color w:val="auto"/>
              </w:rPr>
            </w:pPr>
            <w:r>
              <w:rPr>
                <w:rFonts w:hint="eastAsia" w:ascii="宋体" w:hAnsi="宋体" w:cs="仿宋"/>
                <w:color w:val="auto"/>
              </w:rPr>
              <w:t>序号</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rPr>
            </w:pPr>
            <w:r>
              <w:rPr>
                <w:rFonts w:hint="eastAsia" w:ascii="宋体" w:hAnsi="宋体" w:cs="仿宋"/>
                <w:color w:val="auto"/>
              </w:rPr>
              <w:t>评标因素</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rPr>
            </w:pPr>
            <w:r>
              <w:rPr>
                <w:rFonts w:hint="eastAsia" w:ascii="宋体" w:hAnsi="宋体" w:cs="仿宋"/>
                <w:color w:val="auto"/>
              </w:rPr>
              <w:t>分值</w:t>
            </w:r>
          </w:p>
        </w:tc>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rPr>
            </w:pPr>
            <w:r>
              <w:rPr>
                <w:rFonts w:hint="eastAsia" w:ascii="宋体" w:hAnsi="宋体" w:cs="仿宋"/>
                <w:color w:val="auto"/>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78" w:leftChars="-85"/>
              <w:jc w:val="center"/>
              <w:rPr>
                <w:rFonts w:ascii="宋体" w:hAnsi="宋体" w:eastAsia="宋体" w:cs="仿宋"/>
                <w:color w:val="auto"/>
              </w:rPr>
            </w:pPr>
            <w:r>
              <w:rPr>
                <w:rFonts w:hint="eastAsia" w:ascii="宋体" w:hAnsi="宋体" w:cs="仿宋"/>
                <w:color w:val="auto"/>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仿宋"/>
                <w:color w:val="auto"/>
              </w:rPr>
            </w:pPr>
            <w:r>
              <w:rPr>
                <w:rFonts w:hint="eastAsia" w:ascii="宋体" w:hAnsi="宋体" w:cs="仿宋"/>
                <w:b/>
                <w:bCs/>
                <w:color w:val="auto"/>
              </w:rPr>
              <w:t>价格分（满分</w:t>
            </w:r>
            <w:r>
              <w:rPr>
                <w:rFonts w:hint="eastAsia" w:ascii="宋体" w:hAnsi="宋体" w:cs="仿宋"/>
                <w:b/>
                <w:bCs/>
                <w:color w:val="auto"/>
                <w:lang w:val="en-US" w:eastAsia="zh-CN"/>
              </w:rPr>
              <w:t>25</w:t>
            </w:r>
            <w:r>
              <w:rPr>
                <w:rFonts w:hint="eastAsia" w:ascii="宋体" w:hAnsi="宋体" w:cs="仿宋"/>
                <w:b/>
                <w:bCs/>
                <w:color w:val="auto"/>
              </w:rPr>
              <w:t>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仿宋"/>
                <w:color w:val="auto"/>
                <w:lang w:eastAsia="zh-CN"/>
              </w:rPr>
            </w:pPr>
            <w:r>
              <w:rPr>
                <w:rFonts w:hint="eastAsia" w:ascii="宋体" w:hAnsi="宋体" w:cs="仿宋"/>
                <w:color w:val="auto"/>
              </w:rPr>
              <w:t>磋商报价</w:t>
            </w:r>
            <w:r>
              <w:rPr>
                <w:rFonts w:hint="eastAsia" w:ascii="宋体" w:hAnsi="宋体" w:cs="仿宋"/>
                <w:color w:val="auto"/>
                <w:lang w:eastAsia="zh-CN"/>
              </w:rPr>
              <w:t>（</w:t>
            </w:r>
            <w:r>
              <w:rPr>
                <w:rFonts w:hint="eastAsia" w:ascii="宋体" w:hAnsi="宋体" w:cs="仿宋"/>
                <w:color w:val="auto"/>
                <w:lang w:val="en-US" w:eastAsia="zh-CN"/>
              </w:rPr>
              <w:t>满分25分</w:t>
            </w:r>
            <w:r>
              <w:rPr>
                <w:rFonts w:hint="eastAsia" w:ascii="宋体" w:hAnsi="宋体" w:cs="仿宋"/>
                <w:color w:val="auto"/>
                <w:lang w:eastAsia="zh-CN"/>
              </w:rPr>
              <w:t>）</w:t>
            </w:r>
          </w:p>
          <w:p>
            <w:pPr>
              <w:spacing w:line="400" w:lineRule="exact"/>
              <w:rPr>
                <w:rFonts w:ascii="宋体" w:hAnsi="宋体" w:cs="仿宋"/>
                <w:color w:val="auto"/>
              </w:rPr>
            </w:pPr>
          </w:p>
        </w:tc>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auto"/>
              </w:rPr>
            </w:pPr>
            <w:r>
              <w:rPr>
                <w:rFonts w:hint="eastAsia"/>
                <w:color w:val="auto"/>
              </w:rPr>
              <w:t>（1）本项目专门面向中小企业采购的项目或者采购包，不再执行价格评审优惠的扶持政策。（投标人须如实填写《中小企业声明函》</w:t>
            </w:r>
            <w:r>
              <w:rPr>
                <w:rFonts w:hint="eastAsia" w:ascii="宋体" w:hAnsi="宋体" w:cs="宋体"/>
                <w:color w:val="auto"/>
                <w:kern w:val="0"/>
                <w:sz w:val="21"/>
                <w:szCs w:val="21"/>
                <w:highlight w:val="none"/>
              </w:rPr>
              <w:t>或《监狱企业证明》或《残疾人福利性单位声明函》</w:t>
            </w:r>
            <w:r>
              <w:rPr>
                <w:rFonts w:hint="eastAsia"/>
                <w:color w:val="auto"/>
              </w:rPr>
              <w:t xml:space="preserve">，并对声明的真实性负责） </w:t>
            </w:r>
          </w:p>
          <w:p>
            <w:pPr>
              <w:spacing w:line="400" w:lineRule="exact"/>
              <w:rPr>
                <w:rFonts w:hAnsi="宋体" w:cs="Courier New"/>
                <w:color w:val="auto"/>
              </w:rPr>
            </w:pPr>
            <w:r>
              <w:rPr>
                <w:rFonts w:hint="eastAsia" w:hAnsi="宋体" w:cs="Courier New"/>
                <w:color w:val="auto"/>
              </w:rPr>
              <w:t>（2）满足磋商文件要求且最后报价最低的供应商的价格为磋商基准价，其价格分为满分。</w:t>
            </w:r>
          </w:p>
          <w:p>
            <w:pPr>
              <w:spacing w:line="400" w:lineRule="exact"/>
              <w:ind w:firstLine="420" w:firstLineChars="200"/>
              <w:rPr>
                <w:rFonts w:hAnsi="宋体" w:cs="Courier New"/>
                <w:color w:val="auto"/>
              </w:rPr>
            </w:pPr>
            <w:r>
              <w:rPr>
                <w:rFonts w:hint="eastAsia" w:hAnsi="宋体" w:cs="Courier New"/>
                <w:color w:val="auto"/>
              </w:rPr>
              <w:t>其他供应商的价格分统一按照下列公式计算：</w:t>
            </w:r>
          </w:p>
          <w:p>
            <w:pPr>
              <w:spacing w:line="400" w:lineRule="exact"/>
              <w:rPr>
                <w:rFonts w:hAnsi="宋体" w:cs="Courier New"/>
                <w:color w:val="auto"/>
              </w:rPr>
            </w:pPr>
            <w:r>
              <w:rPr>
                <w:rFonts w:hint="eastAsia" w:hAnsi="宋体" w:cs="Courier New"/>
                <w:color w:val="auto"/>
              </w:rPr>
              <w:t>　　磋商报价得分=（磋商基准价/最后磋商报价）×</w:t>
            </w:r>
            <w:r>
              <w:rPr>
                <w:rFonts w:hint="eastAsia" w:hAnsi="宋体" w:cs="Courier New"/>
                <w:color w:val="auto"/>
                <w:lang w:val="en-US" w:eastAsia="zh-CN"/>
              </w:rPr>
              <w:t>25</w:t>
            </w:r>
            <w:r>
              <w:rPr>
                <w:rFonts w:hint="eastAsia" w:hAnsi="宋体" w:cs="Courier New"/>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宋体"/>
                <w:b/>
                <w:bCs/>
                <w:color w:val="auto"/>
              </w:rPr>
            </w:pPr>
            <w:r>
              <w:rPr>
                <w:rFonts w:hint="eastAsia"/>
                <w:b/>
                <w:bCs/>
                <w:color w:val="auto"/>
              </w:rPr>
              <w:t>2</w:t>
            </w:r>
          </w:p>
        </w:tc>
        <w:tc>
          <w:tcPr>
            <w:tcW w:w="1100" w:type="dxa"/>
            <w:vMerge w:val="restart"/>
            <w:tcBorders>
              <w:top w:val="single" w:color="auto" w:sz="4" w:space="0"/>
              <w:left w:val="single" w:color="auto" w:sz="4" w:space="0"/>
              <w:right w:val="single" w:color="auto" w:sz="4" w:space="0"/>
            </w:tcBorders>
            <w:noWrap w:val="0"/>
            <w:vAlign w:val="center"/>
          </w:tcPr>
          <w:p>
            <w:pPr>
              <w:spacing w:line="400" w:lineRule="exact"/>
              <w:rPr>
                <w:b/>
                <w:bCs/>
                <w:color w:val="auto"/>
              </w:rPr>
            </w:pPr>
            <w:r>
              <w:rPr>
                <w:rFonts w:hint="eastAsia"/>
                <w:b/>
                <w:bCs/>
                <w:color w:val="auto"/>
              </w:rPr>
              <w:t>技术分（满分59分）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pStyle w:val="21"/>
              <w:spacing w:line="400" w:lineRule="exact"/>
              <w:rPr>
                <w:rFonts w:hAnsi="宋体" w:cs="Courier New"/>
                <w:color w:val="auto"/>
              </w:rPr>
            </w:pPr>
            <w:r>
              <w:rPr>
                <w:rFonts w:hint="eastAsia" w:hAnsi="宋体" w:cs="Courier New"/>
                <w:color w:val="auto"/>
              </w:rPr>
              <w:t>物业服务方案（满分</w:t>
            </w:r>
            <w:r>
              <w:rPr>
                <w:rFonts w:hint="eastAsia" w:hAnsi="宋体" w:cs="Courier New"/>
                <w:color w:val="auto"/>
                <w:lang w:val="en-US" w:eastAsia="zh-CN"/>
              </w:rPr>
              <w:t>34</w:t>
            </w:r>
            <w:r>
              <w:rPr>
                <w:rFonts w:hint="eastAsia" w:hAnsi="宋体" w:cs="Courier New"/>
                <w:color w:val="auto"/>
              </w:rPr>
              <w:t>分）</w:t>
            </w:r>
          </w:p>
          <w:p>
            <w:pPr>
              <w:spacing w:line="400" w:lineRule="exact"/>
              <w:rPr>
                <w:rFonts w:ascii="宋体" w:hAnsi="宋体" w:cs="Courier New"/>
                <w:color w:val="auto"/>
                <w:szCs w:val="20"/>
              </w:rPr>
            </w:pPr>
          </w:p>
        </w:tc>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b/>
                <w:bCs/>
                <w:color w:val="auto"/>
              </w:rPr>
            </w:pPr>
            <w:r>
              <w:rPr>
                <w:rFonts w:hint="eastAsia"/>
                <w:b/>
                <w:bCs/>
                <w:color w:val="auto"/>
              </w:rPr>
              <w:t>（1）管理规章制度及档案建立管理（12分）</w:t>
            </w:r>
          </w:p>
          <w:p>
            <w:pPr>
              <w:spacing w:line="400" w:lineRule="exact"/>
              <w:rPr>
                <w:rFonts w:hint="eastAsia"/>
                <w:color w:val="auto"/>
              </w:rPr>
            </w:pPr>
            <w:r>
              <w:rPr>
                <w:rFonts w:hint="eastAsia"/>
                <w:color w:val="auto"/>
              </w:rPr>
              <w:t>①管理规章制度（6分）</w:t>
            </w:r>
          </w:p>
          <w:p>
            <w:pPr>
              <w:spacing w:line="400" w:lineRule="exact"/>
              <w:rPr>
                <w:rFonts w:hint="eastAsia" w:ascii="Times New Roman" w:hAnsi="Times New Roman" w:eastAsia="宋体" w:cs="Times New Roman"/>
                <w:color w:val="auto"/>
              </w:rPr>
            </w:pPr>
            <w:r>
              <w:rPr>
                <w:rFonts w:hint="eastAsia" w:ascii="Times New Roman" w:hAnsi="Times New Roman" w:eastAsia="宋体" w:cs="Times New Roman"/>
                <w:color w:val="auto"/>
              </w:rPr>
              <w:t>一档：建立有相关的规章管理制度</w:t>
            </w:r>
            <w:r>
              <w:rPr>
                <w:rFonts w:hint="eastAsia" w:ascii="Times New Roman" w:hAnsi="Times New Roman" w:eastAsia="宋体" w:cs="Times New Roman"/>
                <w:color w:val="auto"/>
                <w:lang w:val="en-US" w:eastAsia="zh-CN"/>
              </w:rPr>
              <w:t>，得</w:t>
            </w:r>
            <w:r>
              <w:rPr>
                <w:rFonts w:hint="eastAsia" w:cs="Times New Roman"/>
                <w:color w:val="auto"/>
                <w:lang w:val="en-US" w:eastAsia="zh-CN"/>
              </w:rPr>
              <w:t>3</w:t>
            </w:r>
            <w:r>
              <w:rPr>
                <w:rFonts w:hint="eastAsia" w:ascii="Times New Roman" w:hAnsi="Times New Roman" w:eastAsia="宋体" w:cs="Times New Roman"/>
                <w:color w:val="auto"/>
                <w:lang w:val="en-US" w:eastAsia="zh-CN"/>
              </w:rPr>
              <w:t>分</w:t>
            </w:r>
            <w:r>
              <w:rPr>
                <w:rFonts w:hint="eastAsia" w:ascii="Times New Roman" w:hAnsi="Times New Roman" w:eastAsia="宋体" w:cs="Times New Roman"/>
                <w:color w:val="auto"/>
              </w:rPr>
              <w:t>。</w:t>
            </w:r>
          </w:p>
          <w:p>
            <w:pPr>
              <w:spacing w:line="400" w:lineRule="exact"/>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二档：</w:t>
            </w:r>
            <w:r>
              <w:rPr>
                <w:rFonts w:hint="eastAsia" w:ascii="Times New Roman" w:hAnsi="Times New Roman" w:eastAsia="宋体" w:cs="Times New Roman"/>
                <w:color w:val="auto"/>
              </w:rPr>
              <w:t>建立有相关的规章管理制度，规章管理制度中包含内部岗位责任制、管理运作制度及标准、管理人员考核等内容满足项目服务需求</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得6分。</w:t>
            </w:r>
          </w:p>
          <w:p>
            <w:pPr>
              <w:spacing w:line="400" w:lineRule="exact"/>
              <w:rPr>
                <w:color w:val="auto"/>
              </w:rPr>
            </w:pPr>
            <w:r>
              <w:rPr>
                <w:rFonts w:hint="eastAsia"/>
                <w:color w:val="auto"/>
              </w:rPr>
              <w:t>②档案建立与管理（6分）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rPr>
            </w:pPr>
            <w:r>
              <w:rPr>
                <w:rFonts w:hint="eastAsia"/>
                <w:color w:val="auto"/>
              </w:rPr>
              <w:t>一档：</w:t>
            </w:r>
            <w:r>
              <w:rPr>
                <w:rFonts w:hint="eastAsia" w:ascii="宋体" w:hAnsi="宋体" w:cs="宋体"/>
                <w:color w:val="auto"/>
              </w:rPr>
              <w:t>建立有相关的档案管理制度</w:t>
            </w:r>
            <w:r>
              <w:rPr>
                <w:rFonts w:hint="eastAsia" w:ascii="宋体" w:hAnsi="宋体" w:cs="宋体"/>
                <w:color w:val="auto"/>
                <w:lang w:eastAsia="zh-CN"/>
              </w:rPr>
              <w:t>，</w:t>
            </w:r>
            <w:r>
              <w:rPr>
                <w:rFonts w:hint="eastAsia" w:ascii="宋体" w:hAnsi="宋体" w:cs="宋体"/>
                <w:color w:val="auto"/>
                <w:lang w:val="en-US" w:eastAsia="zh-CN"/>
              </w:rPr>
              <w:t>得2分</w:t>
            </w:r>
            <w:r>
              <w:rPr>
                <w:rFonts w:hint="eastAsia" w:ascii="宋体" w:hAnsi="宋体" w:cs="宋体"/>
                <w:color w:val="auto"/>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rPr>
            </w:pPr>
            <w:r>
              <w:rPr>
                <w:rFonts w:hint="eastAsia"/>
                <w:color w:val="auto"/>
                <w:lang w:val="en-US" w:eastAsia="zh-CN"/>
              </w:rPr>
              <w:t>二档：</w:t>
            </w:r>
            <w:r>
              <w:rPr>
                <w:rFonts w:hint="eastAsia" w:ascii="宋体" w:hAnsi="宋体" w:cs="宋体"/>
                <w:color w:val="auto"/>
              </w:rPr>
              <w:t>建立有相关的档案管理制度</w:t>
            </w:r>
            <w:r>
              <w:rPr>
                <w:rFonts w:hint="eastAsia" w:ascii="宋体" w:hAnsi="宋体" w:cs="宋体"/>
                <w:color w:val="auto"/>
                <w:lang w:eastAsia="zh-CN"/>
              </w:rPr>
              <w:t>，</w:t>
            </w:r>
            <w:r>
              <w:rPr>
                <w:rFonts w:hint="eastAsia" w:ascii="宋体" w:hAnsi="宋体" w:cs="宋体"/>
                <w:color w:val="auto"/>
              </w:rPr>
              <w:t>档案管理制度含人员管理整体运作、人员日常工作流程等内容满足项目服务需求</w:t>
            </w:r>
            <w:r>
              <w:rPr>
                <w:rFonts w:hint="eastAsia" w:ascii="宋体" w:hAnsi="宋体" w:cs="宋体"/>
                <w:color w:val="auto"/>
                <w:lang w:eastAsia="zh-CN"/>
              </w:rPr>
              <w:t>，</w:t>
            </w:r>
            <w:r>
              <w:rPr>
                <w:rFonts w:hint="eastAsia" w:ascii="宋体" w:hAnsi="宋体" w:cs="宋体"/>
                <w:color w:val="auto"/>
                <w:lang w:val="en-US" w:eastAsia="zh-CN"/>
              </w:rPr>
              <w:t>得4分</w:t>
            </w:r>
            <w:r>
              <w:rPr>
                <w:rFonts w:hint="eastAsia" w:ascii="宋体" w:hAnsi="宋体" w:cs="宋体"/>
                <w:color w:val="auto"/>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rPr>
            </w:pPr>
            <w:r>
              <w:rPr>
                <w:rFonts w:hint="eastAsia"/>
                <w:color w:val="auto"/>
                <w:lang w:val="en-US" w:eastAsia="zh-CN"/>
              </w:rPr>
              <w:t>三档：</w:t>
            </w:r>
            <w:r>
              <w:rPr>
                <w:rFonts w:hint="eastAsia" w:ascii="宋体" w:hAnsi="宋体" w:cs="宋体"/>
                <w:color w:val="auto"/>
              </w:rPr>
              <w:t>建立有相关的档案管理制度</w:t>
            </w:r>
            <w:r>
              <w:rPr>
                <w:rFonts w:hint="eastAsia" w:ascii="宋体" w:hAnsi="宋体" w:cs="宋体"/>
                <w:color w:val="auto"/>
                <w:lang w:eastAsia="zh-CN"/>
              </w:rPr>
              <w:t>，</w:t>
            </w:r>
            <w:r>
              <w:rPr>
                <w:rFonts w:hint="eastAsia" w:ascii="宋体" w:hAnsi="宋体" w:cs="宋体"/>
                <w:color w:val="auto"/>
              </w:rPr>
              <w:t>档案管理制度包含人员管理整体运作、人员日常工作流程等内容</w:t>
            </w:r>
            <w:r>
              <w:rPr>
                <w:rFonts w:hint="eastAsia"/>
                <w:color w:val="auto"/>
              </w:rPr>
              <w:t>档案的建立、归档，要求分类规范</w:t>
            </w:r>
            <w:r>
              <w:rPr>
                <w:rFonts w:hint="eastAsia"/>
                <w:color w:val="auto"/>
                <w:lang w:eastAsia="zh-CN"/>
              </w:rPr>
              <w:t>，</w:t>
            </w:r>
            <w:r>
              <w:rPr>
                <w:rFonts w:hint="eastAsia"/>
                <w:color w:val="auto"/>
              </w:rPr>
              <w:t>利用办公自动化对档案进行管理,档案的建立能密切配合管理工作，</w:t>
            </w:r>
            <w:r>
              <w:rPr>
                <w:rFonts w:hint="eastAsia" w:ascii="Times New Roman" w:hAnsi="Times New Roman" w:eastAsia="宋体" w:cs="Times New Roman"/>
                <w:color w:val="auto"/>
              </w:rPr>
              <w:t>满足项目服务需求</w:t>
            </w:r>
            <w:r>
              <w:rPr>
                <w:rFonts w:hint="eastAsia" w:ascii="Times New Roman" w:hAnsi="Times New Roman" w:eastAsia="宋体" w:cs="Times New Roman"/>
                <w:color w:val="auto"/>
                <w:lang w:eastAsia="zh-CN"/>
              </w:rPr>
              <w:t>，</w:t>
            </w:r>
            <w:r>
              <w:rPr>
                <w:rFonts w:hint="eastAsia" w:ascii="宋体" w:hAnsi="宋体" w:cs="宋体"/>
                <w:color w:val="auto"/>
                <w:lang w:val="en-US" w:eastAsia="zh-CN"/>
              </w:rPr>
              <w:t>得6分</w:t>
            </w:r>
            <w:r>
              <w:rPr>
                <w:rFonts w:hint="eastAsia" w:ascii="宋体" w:hAnsi="宋体" w:cs="宋体"/>
                <w:color w:val="auto"/>
              </w:rPr>
              <w:t>。</w:t>
            </w:r>
          </w:p>
          <w:p>
            <w:pPr>
              <w:rPr>
                <w:rFonts w:hint="default" w:eastAsia="宋体"/>
                <w:color w:val="auto"/>
                <w:lang w:val="en-US" w:eastAsia="zh-CN"/>
              </w:rPr>
            </w:pPr>
          </w:p>
          <w:p>
            <w:pPr>
              <w:spacing w:line="400" w:lineRule="exact"/>
              <w:rPr>
                <w:b/>
                <w:bCs/>
                <w:color w:val="auto"/>
              </w:rPr>
            </w:pPr>
            <w:r>
              <w:rPr>
                <w:rFonts w:hint="eastAsia"/>
                <w:b/>
                <w:bCs/>
                <w:color w:val="auto"/>
              </w:rPr>
              <w:t>（2）物资配置及日常管理方案（14分）</w:t>
            </w:r>
          </w:p>
          <w:p>
            <w:pPr>
              <w:spacing w:line="400" w:lineRule="exact"/>
              <w:rPr>
                <w:color w:val="auto"/>
              </w:rPr>
            </w:pPr>
            <w:r>
              <w:rPr>
                <w:rFonts w:hint="eastAsia"/>
                <w:color w:val="auto"/>
              </w:rPr>
              <w:t>①物资配备（6分）</w:t>
            </w:r>
          </w:p>
          <w:p>
            <w:pPr>
              <w:spacing w:line="400" w:lineRule="exact"/>
              <w:rPr>
                <w:rFonts w:hint="eastAsia"/>
                <w:color w:val="auto"/>
                <w:lang w:val="en-US" w:eastAsia="zh-CN"/>
              </w:rPr>
            </w:pPr>
            <w:r>
              <w:rPr>
                <w:rFonts w:hint="eastAsia"/>
                <w:color w:val="auto"/>
              </w:rPr>
              <w:t>一档：</w:t>
            </w:r>
            <w:r>
              <w:rPr>
                <w:rFonts w:hint="eastAsia" w:ascii="宋体" w:hAnsi="宋体" w:cs="宋体"/>
                <w:color w:val="auto"/>
                <w:highlight w:val="none"/>
              </w:rPr>
              <w:t>物资配置简单、装备配备方案</w:t>
            </w:r>
            <w:r>
              <w:rPr>
                <w:rFonts w:hint="eastAsia"/>
                <w:color w:val="auto"/>
                <w:lang w:val="en-US" w:eastAsia="zh-CN"/>
              </w:rPr>
              <w:t>基本</w:t>
            </w:r>
            <w:r>
              <w:rPr>
                <w:rFonts w:hint="eastAsia"/>
                <w:color w:val="auto"/>
              </w:rPr>
              <w:t>满足</w:t>
            </w:r>
            <w:r>
              <w:rPr>
                <w:rFonts w:hint="eastAsia"/>
                <w:color w:val="auto"/>
                <w:lang w:val="en-US" w:eastAsia="zh-CN"/>
              </w:rPr>
              <w:t>项目服务</w:t>
            </w:r>
            <w:r>
              <w:rPr>
                <w:rFonts w:hint="eastAsia"/>
                <w:color w:val="auto"/>
              </w:rPr>
              <w:t>需求，</w:t>
            </w:r>
            <w:r>
              <w:rPr>
                <w:rFonts w:hint="eastAsia"/>
                <w:color w:val="auto"/>
                <w:lang w:val="en-US" w:eastAsia="zh-CN"/>
              </w:rPr>
              <w:t>得3分。</w:t>
            </w:r>
          </w:p>
          <w:p>
            <w:pPr>
              <w:spacing w:line="400" w:lineRule="exact"/>
              <w:rPr>
                <w:rFonts w:hint="eastAsia"/>
                <w:color w:val="auto"/>
                <w:lang w:val="en-US" w:eastAsia="zh-CN"/>
              </w:rPr>
            </w:pPr>
            <w:r>
              <w:rPr>
                <w:rFonts w:hint="eastAsia"/>
                <w:color w:val="auto"/>
              </w:rPr>
              <w:t>二档：物资配置</w:t>
            </w:r>
            <w:r>
              <w:rPr>
                <w:rFonts w:hint="eastAsia"/>
                <w:color w:val="auto"/>
                <w:lang w:val="en-US" w:eastAsia="zh-CN"/>
              </w:rPr>
              <w:t>包含</w:t>
            </w:r>
            <w:r>
              <w:rPr>
                <w:rFonts w:hint="eastAsia"/>
                <w:color w:val="auto"/>
              </w:rPr>
              <w:t>保安、保洁、绿化及会议服务人员配备的工具、服装及装备等</w:t>
            </w:r>
            <w:r>
              <w:rPr>
                <w:rFonts w:hint="eastAsia"/>
                <w:color w:val="auto"/>
                <w:lang w:eastAsia="zh-CN"/>
              </w:rPr>
              <w:t>，</w:t>
            </w:r>
            <w:r>
              <w:rPr>
                <w:rFonts w:hint="eastAsia"/>
                <w:color w:val="auto"/>
              </w:rPr>
              <w:t>满足</w:t>
            </w:r>
            <w:r>
              <w:rPr>
                <w:rFonts w:hint="eastAsia"/>
                <w:color w:val="auto"/>
                <w:lang w:val="en-US" w:eastAsia="zh-CN"/>
              </w:rPr>
              <w:t>项目服务</w:t>
            </w:r>
            <w:r>
              <w:rPr>
                <w:rFonts w:hint="eastAsia"/>
                <w:color w:val="auto"/>
              </w:rPr>
              <w:t>需求，得</w:t>
            </w:r>
            <w:r>
              <w:rPr>
                <w:rFonts w:hint="eastAsia"/>
                <w:color w:val="auto"/>
                <w:lang w:val="en-US" w:eastAsia="zh-CN"/>
              </w:rPr>
              <w:t>6</w:t>
            </w:r>
            <w:r>
              <w:rPr>
                <w:rFonts w:hint="eastAsia"/>
                <w:color w:val="auto"/>
              </w:rPr>
              <w:t>分；</w:t>
            </w:r>
          </w:p>
          <w:p>
            <w:pPr>
              <w:spacing w:line="400" w:lineRule="exact"/>
              <w:rPr>
                <w:color w:val="auto"/>
              </w:rPr>
            </w:pPr>
            <w:r>
              <w:rPr>
                <w:rFonts w:hint="eastAsia"/>
                <w:color w:val="auto"/>
              </w:rPr>
              <w:t>②日常管理方案（8分）</w:t>
            </w:r>
          </w:p>
          <w:p>
            <w:pPr>
              <w:spacing w:line="400" w:lineRule="exact"/>
              <w:rPr>
                <w:color w:val="auto"/>
              </w:rPr>
            </w:pPr>
            <w:r>
              <w:rPr>
                <w:rFonts w:hint="eastAsia"/>
                <w:color w:val="auto"/>
              </w:rPr>
              <w:t>一档：</w:t>
            </w:r>
            <w:r>
              <w:rPr>
                <w:rFonts w:hint="eastAsia"/>
                <w:color w:val="auto"/>
                <w:lang w:val="en-US" w:eastAsia="zh-CN"/>
              </w:rPr>
              <w:t>建立有相关的日常管理方案</w:t>
            </w:r>
            <w:r>
              <w:rPr>
                <w:rFonts w:hint="eastAsia"/>
                <w:color w:val="auto"/>
              </w:rPr>
              <w:t>， 得3分；</w:t>
            </w:r>
          </w:p>
          <w:p>
            <w:pPr>
              <w:spacing w:line="400" w:lineRule="exact"/>
              <w:rPr>
                <w:color w:val="auto"/>
              </w:rPr>
            </w:pPr>
            <w:r>
              <w:rPr>
                <w:rFonts w:hint="eastAsia"/>
                <w:color w:val="auto"/>
              </w:rPr>
              <w:t>二档：</w:t>
            </w:r>
            <w:r>
              <w:rPr>
                <w:rFonts w:hint="eastAsia"/>
                <w:color w:val="auto"/>
                <w:lang w:val="en-US" w:eastAsia="zh-CN"/>
              </w:rPr>
              <w:t>建立有相关的日常管理方案</w:t>
            </w:r>
            <w:r>
              <w:rPr>
                <w:rFonts w:hint="eastAsia"/>
                <w:color w:val="auto"/>
              </w:rPr>
              <w:t>，日常管理方案</w:t>
            </w:r>
            <w:r>
              <w:rPr>
                <w:rFonts w:hint="eastAsia"/>
                <w:color w:val="auto"/>
                <w:lang w:val="en-US" w:eastAsia="zh-CN"/>
              </w:rPr>
              <w:t>中包含</w:t>
            </w:r>
            <w:r>
              <w:rPr>
                <w:rFonts w:hint="eastAsia"/>
                <w:color w:val="auto"/>
              </w:rPr>
              <w:t>物业公共安全、治安巡视、门岗值勤、安全监控、人员登记等管理处置</w:t>
            </w:r>
            <w:r>
              <w:rPr>
                <w:rFonts w:hint="eastAsia" w:ascii="宋体" w:hAnsi="宋体" w:cs="宋体"/>
                <w:color w:val="auto"/>
              </w:rPr>
              <w:t>等内容满足项目服务需求</w:t>
            </w:r>
            <w:r>
              <w:rPr>
                <w:rFonts w:hint="eastAsia" w:ascii="宋体" w:hAnsi="宋体" w:cs="宋体"/>
                <w:color w:val="auto"/>
                <w:lang w:eastAsia="zh-CN"/>
              </w:rPr>
              <w:t>，</w:t>
            </w:r>
            <w:r>
              <w:rPr>
                <w:rFonts w:hint="eastAsia"/>
                <w:color w:val="auto"/>
              </w:rPr>
              <w:t>得5分；</w:t>
            </w:r>
          </w:p>
          <w:p>
            <w:pPr>
              <w:spacing w:line="400" w:lineRule="exact"/>
              <w:rPr>
                <w:rFonts w:hint="eastAsia"/>
                <w:color w:val="auto"/>
              </w:rPr>
            </w:pPr>
            <w:r>
              <w:rPr>
                <w:rFonts w:hint="eastAsia"/>
                <w:color w:val="auto"/>
              </w:rPr>
              <w:t>三档：</w:t>
            </w:r>
            <w:r>
              <w:rPr>
                <w:rFonts w:hint="eastAsia"/>
                <w:color w:val="auto"/>
                <w:lang w:val="en-US" w:eastAsia="zh-CN"/>
              </w:rPr>
              <w:t>建立有相关的日常管理方案</w:t>
            </w:r>
            <w:r>
              <w:rPr>
                <w:rFonts w:hint="eastAsia"/>
                <w:color w:val="auto"/>
              </w:rPr>
              <w:t>，日常管理方案</w:t>
            </w:r>
            <w:r>
              <w:rPr>
                <w:rFonts w:hint="eastAsia"/>
                <w:color w:val="auto"/>
                <w:lang w:val="en-US" w:eastAsia="zh-CN"/>
              </w:rPr>
              <w:t>中包含</w:t>
            </w:r>
            <w:r>
              <w:rPr>
                <w:rFonts w:hint="eastAsia"/>
                <w:color w:val="auto"/>
              </w:rPr>
              <w:t>物业公共安全、治安巡视、门岗值勤、安全监控、人员登记等管理处置</w:t>
            </w:r>
            <w:r>
              <w:rPr>
                <w:rFonts w:hint="eastAsia"/>
                <w:color w:val="auto"/>
                <w:lang w:val="en-US" w:eastAsia="zh-CN"/>
              </w:rPr>
              <w:t>及人员的培训、人员的管理（包括：录用及考核，淘汰机制，协调关系，服务意识）</w:t>
            </w:r>
            <w:r>
              <w:rPr>
                <w:rFonts w:hint="eastAsia" w:ascii="宋体" w:hAnsi="宋体" w:cs="宋体"/>
                <w:color w:val="auto"/>
              </w:rPr>
              <w:t>满足项目服务需求</w:t>
            </w:r>
            <w:r>
              <w:rPr>
                <w:rFonts w:hint="eastAsia"/>
                <w:color w:val="auto"/>
              </w:rPr>
              <w:t>，得8分。</w:t>
            </w:r>
          </w:p>
          <w:p>
            <w:pPr>
              <w:spacing w:line="400" w:lineRule="exact"/>
              <w:rPr>
                <w:b/>
                <w:bCs/>
                <w:color w:val="auto"/>
              </w:rPr>
            </w:pPr>
            <w:r>
              <w:rPr>
                <w:rFonts w:hint="eastAsia"/>
                <w:b/>
                <w:bCs/>
                <w:color w:val="auto"/>
              </w:rPr>
              <w:t>（3）发生的各种故障及重大或突发事件的应急方案（8分）</w:t>
            </w:r>
          </w:p>
          <w:p>
            <w:pPr>
              <w:spacing w:line="400" w:lineRule="exact"/>
              <w:rPr>
                <w:color w:val="auto"/>
                <w:highlight w:val="none"/>
              </w:rPr>
            </w:pPr>
            <w:r>
              <w:rPr>
                <w:rFonts w:hint="eastAsia"/>
                <w:color w:val="auto"/>
                <w:highlight w:val="none"/>
                <w:lang w:val="en-US" w:eastAsia="zh-CN"/>
              </w:rPr>
              <w:t>一档：有</w:t>
            </w:r>
            <w:r>
              <w:rPr>
                <w:rFonts w:hint="eastAsia" w:ascii="Times New Roman" w:hAnsi="Times New Roman" w:eastAsia="宋体" w:cs="宋体"/>
                <w:color w:val="auto"/>
                <w:kern w:val="2"/>
                <w:sz w:val="21"/>
                <w:szCs w:val="24"/>
                <w:lang w:val="en-US" w:eastAsia="zh-CN" w:bidi="ar-SA"/>
              </w:rPr>
              <w:t>应急方案（应急设备、应急程序及处理措施）</w:t>
            </w:r>
            <w:r>
              <w:rPr>
                <w:rFonts w:hint="eastAsia" w:cs="宋体"/>
                <w:color w:val="auto"/>
                <w:kern w:val="2"/>
                <w:sz w:val="21"/>
                <w:szCs w:val="24"/>
                <w:lang w:val="en-US" w:eastAsia="zh-CN" w:bidi="ar-SA"/>
              </w:rPr>
              <w:t>，</w:t>
            </w:r>
            <w:r>
              <w:rPr>
                <w:rFonts w:hint="eastAsia"/>
                <w:color w:val="auto"/>
                <w:highlight w:val="none"/>
                <w:lang w:val="en-US" w:eastAsia="zh-CN"/>
              </w:rPr>
              <w:t>有</w:t>
            </w:r>
            <w:r>
              <w:rPr>
                <w:rFonts w:hint="eastAsia" w:cs="宋体"/>
                <w:color w:val="auto"/>
              </w:rPr>
              <w:t>突发事件应急处理能力和资源调配能力，</w:t>
            </w:r>
            <w:r>
              <w:rPr>
                <w:rFonts w:hint="eastAsia"/>
                <w:color w:val="auto"/>
                <w:highlight w:val="none"/>
              </w:rPr>
              <w:t>得3分</w:t>
            </w:r>
            <w:r>
              <w:rPr>
                <w:rFonts w:hint="eastAsia" w:cs="宋体"/>
                <w:color w:val="auto"/>
                <w:lang w:eastAsia="zh-CN"/>
              </w:rPr>
              <w:t>；</w:t>
            </w:r>
          </w:p>
          <w:p>
            <w:pPr>
              <w:adjustRightInd w:val="0"/>
              <w:snapToGrid w:val="0"/>
              <w:spacing w:line="400" w:lineRule="exact"/>
              <w:jc w:val="left"/>
              <w:rPr>
                <w:rFonts w:hint="eastAsia" w:cs="宋体"/>
                <w:color w:val="auto"/>
              </w:rPr>
            </w:pPr>
            <w:r>
              <w:rPr>
                <w:rFonts w:hint="eastAsia" w:ascii="宋体" w:hAnsi="宋体"/>
                <w:bCs/>
                <w:color w:val="auto"/>
                <w:kern w:val="0"/>
                <w:lang w:val="en-US" w:eastAsia="zh-CN"/>
              </w:rPr>
              <w:t>二档：有</w:t>
            </w:r>
            <w:r>
              <w:rPr>
                <w:rFonts w:hint="eastAsia" w:ascii="Times New Roman" w:hAnsi="Times New Roman" w:eastAsia="宋体" w:cs="宋体"/>
                <w:color w:val="auto"/>
                <w:kern w:val="2"/>
                <w:sz w:val="21"/>
                <w:szCs w:val="24"/>
                <w:lang w:val="en-US" w:eastAsia="zh-CN" w:bidi="ar-SA"/>
              </w:rPr>
              <w:t>应急方案（应急设备、应急程序及处理措施）</w:t>
            </w:r>
            <w:r>
              <w:rPr>
                <w:rFonts w:hint="eastAsia" w:cs="宋体"/>
                <w:color w:val="auto"/>
                <w:kern w:val="2"/>
                <w:sz w:val="21"/>
                <w:szCs w:val="24"/>
                <w:lang w:val="en-US" w:eastAsia="zh-CN" w:bidi="ar-SA"/>
              </w:rPr>
              <w:t>，</w:t>
            </w:r>
            <w:r>
              <w:rPr>
                <w:rFonts w:hint="eastAsia" w:ascii="宋体" w:hAnsi="宋体"/>
                <w:bCs/>
                <w:color w:val="auto"/>
                <w:kern w:val="0"/>
              </w:rPr>
              <w:t>能提出</w:t>
            </w:r>
            <w:r>
              <w:rPr>
                <w:rFonts w:hint="eastAsia" w:ascii="宋体" w:hAnsi="宋体"/>
                <w:bCs/>
                <w:color w:val="auto"/>
                <w:kern w:val="0"/>
                <w:lang w:val="en-US" w:eastAsia="zh-CN"/>
              </w:rPr>
              <w:t>2</w:t>
            </w:r>
            <w:r>
              <w:rPr>
                <w:rFonts w:hint="eastAsia" w:ascii="宋体" w:hAnsi="宋体" w:eastAsia="宋体" w:cs="宋体"/>
                <w:bCs/>
                <w:color w:val="auto"/>
                <w:kern w:val="0"/>
                <w:lang w:val="en-US" w:eastAsia="zh-CN"/>
              </w:rPr>
              <w:t>～</w:t>
            </w:r>
            <w:r>
              <w:rPr>
                <w:rFonts w:hint="eastAsia" w:ascii="宋体" w:hAnsi="宋体"/>
                <w:bCs/>
                <w:color w:val="auto"/>
                <w:kern w:val="0"/>
                <w:lang w:val="en-US" w:eastAsia="zh-CN"/>
              </w:rPr>
              <w:t>3个</w:t>
            </w:r>
            <w:r>
              <w:rPr>
                <w:rFonts w:hint="eastAsia" w:ascii="宋体" w:hAnsi="宋体"/>
                <w:bCs/>
                <w:color w:val="auto"/>
                <w:kern w:val="0"/>
              </w:rPr>
              <w:t>可能发生的应急事件，与</w:t>
            </w:r>
            <w:r>
              <w:rPr>
                <w:rFonts w:hint="eastAsia" w:ascii="宋体" w:hAnsi="宋体"/>
                <w:bCs/>
                <w:color w:val="auto"/>
                <w:kern w:val="0"/>
                <w:lang w:eastAsia="zh-CN"/>
              </w:rPr>
              <w:t>采购人</w:t>
            </w:r>
            <w:r>
              <w:rPr>
                <w:rFonts w:hint="eastAsia" w:ascii="宋体" w:hAnsi="宋体"/>
                <w:bCs/>
                <w:color w:val="auto"/>
                <w:kern w:val="0"/>
              </w:rPr>
              <w:t>实际较为相符，</w:t>
            </w:r>
            <w:r>
              <w:rPr>
                <w:rFonts w:hint="eastAsia" w:cs="宋体"/>
                <w:color w:val="auto"/>
              </w:rPr>
              <w:t>满足采购需求且具备突发事件应急处理和资源调配的基本人力物力</w:t>
            </w:r>
            <w:r>
              <w:rPr>
                <w:rFonts w:hint="eastAsia" w:cs="宋体"/>
                <w:color w:val="auto"/>
                <w:lang w:eastAsia="zh-CN"/>
              </w:rPr>
              <w:t>，</w:t>
            </w:r>
            <w:r>
              <w:rPr>
                <w:rFonts w:hint="eastAsia" w:cs="宋体"/>
                <w:color w:val="auto"/>
                <w:lang w:val="en-US" w:eastAsia="zh-CN"/>
              </w:rPr>
              <w:t>得5分</w:t>
            </w:r>
            <w:r>
              <w:rPr>
                <w:rFonts w:hint="eastAsia" w:cs="宋体"/>
                <w:color w:val="auto"/>
                <w:lang w:eastAsia="zh-CN"/>
              </w:rPr>
              <w:t>；</w:t>
            </w:r>
          </w:p>
          <w:p>
            <w:pPr>
              <w:pStyle w:val="21"/>
              <w:adjustRightInd w:val="0"/>
              <w:snapToGrid w:val="0"/>
              <w:spacing w:line="400" w:lineRule="exact"/>
              <w:ind w:right="-252"/>
              <w:rPr>
                <w:rFonts w:hint="eastAsia" w:hAnsi="宋体"/>
                <w:bCs/>
                <w:color w:val="auto"/>
                <w:kern w:val="0"/>
              </w:rPr>
            </w:pPr>
            <w:r>
              <w:rPr>
                <w:rFonts w:hint="eastAsia" w:hAnsi="宋体"/>
                <w:bCs/>
                <w:color w:val="auto"/>
                <w:kern w:val="0"/>
                <w:lang w:val="en-US" w:eastAsia="zh-CN"/>
              </w:rPr>
              <w:t>三档</w:t>
            </w:r>
            <w:r>
              <w:rPr>
                <w:rFonts w:hint="eastAsia" w:ascii="Times New Roman" w:hAnsi="Times New Roman" w:eastAsia="宋体" w:cs="宋体"/>
                <w:color w:val="auto"/>
                <w:kern w:val="2"/>
                <w:sz w:val="21"/>
                <w:szCs w:val="24"/>
                <w:lang w:val="en-US" w:eastAsia="zh-CN" w:bidi="ar-SA"/>
              </w:rPr>
              <w:t>：</w:t>
            </w:r>
            <w:r>
              <w:rPr>
                <w:rFonts w:hint="eastAsia" w:ascii="Times New Roman" w:hAnsi="Times New Roman" w:cs="宋体"/>
                <w:color w:val="auto"/>
                <w:kern w:val="2"/>
                <w:sz w:val="21"/>
                <w:szCs w:val="24"/>
                <w:lang w:val="en-US" w:eastAsia="zh-CN" w:bidi="ar-SA"/>
              </w:rPr>
              <w:t>有</w:t>
            </w:r>
            <w:r>
              <w:rPr>
                <w:rFonts w:hint="eastAsia" w:ascii="Times New Roman" w:hAnsi="Times New Roman" w:eastAsia="宋体" w:cs="宋体"/>
                <w:color w:val="auto"/>
                <w:kern w:val="2"/>
                <w:sz w:val="21"/>
                <w:szCs w:val="24"/>
                <w:lang w:val="en-US" w:eastAsia="zh-CN" w:bidi="ar-SA"/>
              </w:rPr>
              <w:t>应急方案（应急设备、应急程序及处理措施）</w:t>
            </w:r>
            <w:r>
              <w:rPr>
                <w:rFonts w:hint="eastAsia" w:ascii="Times New Roman" w:hAnsi="Times New Roman" w:cs="宋体"/>
                <w:color w:val="auto"/>
                <w:kern w:val="2"/>
                <w:sz w:val="21"/>
                <w:szCs w:val="24"/>
                <w:lang w:val="en-US" w:eastAsia="zh-CN" w:bidi="ar-SA"/>
              </w:rPr>
              <w:t>，</w:t>
            </w:r>
            <w:r>
              <w:rPr>
                <w:rFonts w:hint="eastAsia" w:hAnsi="宋体"/>
                <w:bCs/>
                <w:color w:val="auto"/>
                <w:kern w:val="0"/>
              </w:rPr>
              <w:t>能提出</w:t>
            </w:r>
            <w:r>
              <w:rPr>
                <w:rFonts w:hint="eastAsia" w:hAnsi="宋体"/>
                <w:bCs/>
                <w:color w:val="auto"/>
                <w:kern w:val="0"/>
                <w:lang w:val="en-US" w:eastAsia="zh-CN"/>
              </w:rPr>
              <w:t>3个以上</w:t>
            </w:r>
            <w:r>
              <w:rPr>
                <w:rFonts w:hint="eastAsia" w:hAnsi="宋体"/>
                <w:bCs/>
                <w:color w:val="auto"/>
                <w:kern w:val="0"/>
              </w:rPr>
              <w:t>可</w:t>
            </w:r>
          </w:p>
          <w:p>
            <w:pPr>
              <w:pStyle w:val="21"/>
              <w:adjustRightInd w:val="0"/>
              <w:snapToGrid w:val="0"/>
              <w:spacing w:line="400" w:lineRule="exact"/>
              <w:ind w:right="-252"/>
              <w:rPr>
                <w:rFonts w:hint="eastAsia" w:cs="宋体"/>
                <w:color w:val="auto"/>
              </w:rPr>
            </w:pPr>
            <w:r>
              <w:rPr>
                <w:rFonts w:hint="eastAsia" w:hAnsi="宋体"/>
                <w:bCs/>
                <w:color w:val="auto"/>
                <w:kern w:val="0"/>
              </w:rPr>
              <w:t>能发生的应急事件，与</w:t>
            </w:r>
            <w:r>
              <w:rPr>
                <w:rFonts w:hint="eastAsia" w:hAnsi="宋体"/>
                <w:bCs/>
                <w:color w:val="auto"/>
                <w:kern w:val="0"/>
                <w:lang w:eastAsia="zh-CN"/>
              </w:rPr>
              <w:t>采购人</w:t>
            </w:r>
            <w:r>
              <w:rPr>
                <w:rFonts w:hint="eastAsia" w:hAnsi="宋体"/>
                <w:bCs/>
                <w:color w:val="auto"/>
                <w:kern w:val="0"/>
              </w:rPr>
              <w:t>实际相符</w:t>
            </w:r>
            <w:r>
              <w:rPr>
                <w:rFonts w:hint="eastAsia" w:ascii="Times New Roman" w:hAnsi="Times New Roman" w:eastAsia="宋体" w:cs="宋体"/>
                <w:color w:val="auto"/>
                <w:kern w:val="2"/>
                <w:sz w:val="21"/>
                <w:szCs w:val="24"/>
                <w:lang w:val="en-US" w:eastAsia="zh-CN" w:bidi="ar-SA"/>
              </w:rPr>
              <w:t>，</w:t>
            </w:r>
            <w:r>
              <w:rPr>
                <w:rFonts w:hint="eastAsia" w:cs="宋体"/>
                <w:color w:val="auto"/>
              </w:rPr>
              <w:t>满足采购需求且具备突发事件应急</w:t>
            </w:r>
          </w:p>
          <w:p>
            <w:pPr>
              <w:pStyle w:val="21"/>
              <w:adjustRightInd w:val="0"/>
              <w:snapToGrid w:val="0"/>
              <w:spacing w:line="400" w:lineRule="exact"/>
              <w:ind w:right="-252"/>
              <w:rPr>
                <w:rFonts w:hint="eastAsia" w:cs="宋体"/>
                <w:color w:val="auto"/>
                <w:szCs w:val="21"/>
              </w:rPr>
            </w:pPr>
            <w:r>
              <w:rPr>
                <w:rFonts w:hint="eastAsia" w:cs="宋体"/>
                <w:color w:val="auto"/>
              </w:rPr>
              <w:t>处理和资源调配的人力物力</w:t>
            </w:r>
            <w:r>
              <w:rPr>
                <w:rFonts w:hint="eastAsia" w:cs="宋体"/>
                <w:color w:val="auto"/>
                <w:lang w:eastAsia="zh-CN"/>
              </w:rPr>
              <w:t>，</w:t>
            </w:r>
            <w:r>
              <w:rPr>
                <w:rFonts w:hint="eastAsia" w:cs="宋体"/>
                <w:color w:val="auto"/>
                <w:szCs w:val="21"/>
                <w:lang w:val="en-US" w:eastAsia="zh-CN"/>
              </w:rPr>
              <w:t>得8分</w:t>
            </w:r>
            <w:r>
              <w:rPr>
                <w:rFonts w:hint="eastAsia" w:cs="宋体"/>
                <w:color w:val="auto"/>
                <w:szCs w:val="21"/>
              </w:rPr>
              <w:t>。</w:t>
            </w:r>
          </w:p>
          <w:p>
            <w:pPr>
              <w:rPr>
                <w:color w:val="auto"/>
              </w:rPr>
            </w:pPr>
            <w:r>
              <w:rPr>
                <w:rFonts w:hint="eastAsia"/>
                <w:b/>
                <w:bCs/>
                <w:color w:val="auto"/>
              </w:rPr>
              <w:t>注：不提供方案，不得分。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78" w:leftChars="-85"/>
              <w:jc w:val="center"/>
              <w:rPr>
                <w:rFonts w:ascii="宋体" w:hAnsi="宋体" w:cs="Courier New"/>
                <w:color w:val="auto"/>
                <w:szCs w:val="20"/>
              </w:rPr>
            </w:pPr>
          </w:p>
        </w:tc>
        <w:tc>
          <w:tcPr>
            <w:tcW w:w="1100" w:type="dxa"/>
            <w:vMerge w:val="continue"/>
            <w:tcBorders>
              <w:left w:val="single" w:color="auto" w:sz="4" w:space="0"/>
              <w:right w:val="single" w:color="auto" w:sz="4" w:space="0"/>
            </w:tcBorders>
            <w:noWrap w:val="0"/>
            <w:vAlign w:val="center"/>
          </w:tcPr>
          <w:p>
            <w:pPr>
              <w:spacing w:line="400" w:lineRule="exact"/>
              <w:jc w:val="center"/>
              <w:rPr>
                <w:rFonts w:ascii="宋体" w:hAnsi="宋体" w:cs="Courier New"/>
                <w:color w:val="auto"/>
                <w:szCs w:val="20"/>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pStyle w:val="21"/>
              <w:spacing w:line="400" w:lineRule="exact"/>
              <w:rPr>
                <w:rFonts w:ascii="Times New Roman" w:hAnsi="Times New Roman"/>
                <w:color w:val="auto"/>
                <w:szCs w:val="21"/>
              </w:rPr>
            </w:pPr>
            <w:r>
              <w:rPr>
                <w:rFonts w:hint="eastAsia" w:ascii="Times New Roman" w:hAnsi="Times New Roman"/>
                <w:color w:val="auto"/>
                <w:szCs w:val="21"/>
              </w:rPr>
              <w:t>人员配置方案（满分16分）</w:t>
            </w:r>
          </w:p>
          <w:p>
            <w:pPr>
              <w:spacing w:line="400" w:lineRule="exact"/>
              <w:rPr>
                <w:rFonts w:ascii="宋体" w:hAnsi="宋体" w:cs="Courier New"/>
                <w:color w:val="auto"/>
                <w:szCs w:val="20"/>
              </w:rPr>
            </w:pPr>
          </w:p>
        </w:tc>
        <w:tc>
          <w:tcPr>
            <w:tcW w:w="7184" w:type="dxa"/>
            <w:tcBorders>
              <w:top w:val="single" w:color="auto" w:sz="4" w:space="0"/>
              <w:left w:val="single" w:color="auto" w:sz="4" w:space="0"/>
              <w:bottom w:val="single" w:color="auto" w:sz="4" w:space="0"/>
              <w:right w:val="single" w:color="auto" w:sz="4" w:space="0"/>
            </w:tcBorders>
            <w:noWrap w:val="0"/>
            <w:vAlign w:val="center"/>
          </w:tcPr>
          <w:p>
            <w:pPr>
              <w:pStyle w:val="21"/>
              <w:spacing w:line="400" w:lineRule="exact"/>
              <w:rPr>
                <w:rFonts w:ascii="Times New Roman" w:hAnsi="Times New Roman"/>
                <w:b w:val="0"/>
                <w:bCs w:val="0"/>
                <w:color w:val="auto"/>
                <w:szCs w:val="21"/>
              </w:rPr>
            </w:pPr>
            <w:r>
              <w:rPr>
                <w:rFonts w:hint="eastAsia" w:ascii="Times New Roman" w:hAnsi="Times New Roman"/>
                <w:b/>
                <w:bCs/>
                <w:color w:val="auto"/>
                <w:szCs w:val="21"/>
              </w:rPr>
              <w:t>（1）拟投入本项目的服务人员配置分工安排方案（9分）</w:t>
            </w:r>
          </w:p>
          <w:p>
            <w:pPr>
              <w:pStyle w:val="21"/>
              <w:spacing w:line="400" w:lineRule="exact"/>
              <w:rPr>
                <w:rFonts w:hint="eastAsia" w:eastAsia="宋体"/>
                <w:color w:val="auto"/>
                <w:lang w:val="en-US" w:eastAsia="zh-CN"/>
              </w:rPr>
            </w:pPr>
            <w:r>
              <w:rPr>
                <w:rFonts w:hint="eastAsia"/>
                <w:color w:val="auto"/>
                <w:lang w:val="en-US" w:eastAsia="zh-CN"/>
              </w:rPr>
              <w:t>一档：人员配置</w:t>
            </w:r>
            <w:r>
              <w:rPr>
                <w:rFonts w:hint="eastAsia" w:ascii="宋体" w:hAnsi="宋体" w:eastAsia="宋体" w:cs="宋体"/>
                <w:color w:val="auto"/>
                <w:szCs w:val="21"/>
                <w:highlight w:val="none"/>
              </w:rPr>
              <w:t>完全满足采购文件需求</w:t>
            </w:r>
            <w:r>
              <w:rPr>
                <w:rFonts w:hint="eastAsia" w:hAnsi="宋体" w:cs="宋体"/>
                <w:color w:val="auto"/>
                <w:szCs w:val="21"/>
                <w:highlight w:val="none"/>
                <w:lang w:eastAsia="zh-CN"/>
              </w:rPr>
              <w:t>，</w:t>
            </w:r>
            <w:r>
              <w:rPr>
                <w:rFonts w:hint="eastAsia" w:hAnsi="宋体" w:cs="宋体"/>
                <w:color w:val="auto"/>
                <w:szCs w:val="21"/>
                <w:highlight w:val="none"/>
                <w:lang w:val="en-US" w:eastAsia="zh-CN"/>
              </w:rPr>
              <w:t>得3分</w:t>
            </w:r>
            <w:r>
              <w:rPr>
                <w:rFonts w:hint="eastAsia" w:ascii="宋体" w:hAnsi="宋体" w:eastAsia="宋体" w:cs="宋体"/>
                <w:color w:val="auto"/>
                <w:szCs w:val="21"/>
                <w:highlight w:val="none"/>
              </w:rPr>
              <w:t>；</w:t>
            </w:r>
          </w:p>
          <w:p>
            <w:pPr>
              <w:pStyle w:val="21"/>
              <w:spacing w:line="400" w:lineRule="exact"/>
              <w:rPr>
                <w:rFonts w:hint="default"/>
                <w:color w:val="auto"/>
                <w:lang w:val="en-US" w:eastAsia="zh-CN"/>
              </w:rPr>
            </w:pPr>
            <w:r>
              <w:rPr>
                <w:rFonts w:hint="eastAsia"/>
                <w:color w:val="auto"/>
                <w:lang w:val="en-US" w:eastAsia="zh-CN"/>
              </w:rPr>
              <w:t>二档：人员配置</w:t>
            </w:r>
            <w:r>
              <w:rPr>
                <w:rFonts w:hint="eastAsia" w:ascii="宋体" w:hAnsi="宋体" w:eastAsia="宋体" w:cs="宋体"/>
                <w:color w:val="auto"/>
                <w:szCs w:val="21"/>
                <w:highlight w:val="none"/>
              </w:rPr>
              <w:t>完全满足采购文件需求</w:t>
            </w:r>
            <w:r>
              <w:rPr>
                <w:rFonts w:hint="eastAsia" w:hAnsi="宋体" w:cs="宋体"/>
                <w:color w:val="auto"/>
                <w:szCs w:val="21"/>
                <w:highlight w:val="none"/>
                <w:lang w:eastAsia="zh-CN"/>
              </w:rPr>
              <w:t>，</w:t>
            </w:r>
            <w:r>
              <w:rPr>
                <w:rFonts w:hint="eastAsia" w:hAnsi="宋体" w:cs="宋体"/>
                <w:color w:val="auto"/>
                <w:szCs w:val="21"/>
                <w:highlight w:val="none"/>
                <w:lang w:val="en-US" w:eastAsia="zh-CN"/>
              </w:rPr>
              <w:t>有分工安排，得6分</w:t>
            </w:r>
            <w:r>
              <w:rPr>
                <w:rFonts w:hint="eastAsia" w:ascii="宋体" w:hAnsi="宋体" w:eastAsia="宋体" w:cs="宋体"/>
                <w:color w:val="auto"/>
                <w:szCs w:val="21"/>
              </w:rPr>
              <w:t>；</w:t>
            </w:r>
          </w:p>
          <w:p>
            <w:pPr>
              <w:pStyle w:val="21"/>
              <w:spacing w:line="400" w:lineRule="exact"/>
              <w:rPr>
                <w:rFonts w:hint="default" w:eastAsia="宋体"/>
                <w:color w:val="auto"/>
                <w:lang w:val="en-US" w:eastAsia="zh-CN"/>
              </w:rPr>
            </w:pPr>
            <w:r>
              <w:rPr>
                <w:rFonts w:hint="eastAsia"/>
                <w:color w:val="auto"/>
                <w:lang w:val="en-US" w:eastAsia="zh-CN"/>
              </w:rPr>
              <w:t>三档：人员配置优于采购文件要求，有避免人员流动的可行的保障措施，</w:t>
            </w:r>
            <w:r>
              <w:rPr>
                <w:rFonts w:hint="eastAsia" w:hAnsi="宋体" w:cs="宋体"/>
                <w:color w:val="auto"/>
                <w:szCs w:val="21"/>
                <w:highlight w:val="none"/>
                <w:lang w:val="en-US" w:eastAsia="zh-CN"/>
              </w:rPr>
              <w:t>有分工安排，</w:t>
            </w:r>
            <w:r>
              <w:rPr>
                <w:rFonts w:hint="eastAsia"/>
                <w:color w:val="auto"/>
                <w:lang w:val="en-US" w:eastAsia="zh-CN"/>
              </w:rPr>
              <w:t>得9分。</w:t>
            </w:r>
          </w:p>
          <w:p>
            <w:pPr>
              <w:rPr>
                <w:rFonts w:hint="eastAsia"/>
                <w:color w:val="auto"/>
              </w:rPr>
            </w:pPr>
            <w:r>
              <w:rPr>
                <w:rFonts w:hint="eastAsia" w:ascii="Times New Roman" w:hAnsi="Times New Roman"/>
                <w:b/>
                <w:bCs/>
                <w:color w:val="auto"/>
                <w:szCs w:val="21"/>
              </w:rPr>
              <w:t>注：不提供方案，不得分。</w:t>
            </w:r>
          </w:p>
          <w:p>
            <w:pPr>
              <w:pStyle w:val="21"/>
              <w:spacing w:line="400" w:lineRule="exact"/>
              <w:rPr>
                <w:color w:val="auto"/>
              </w:rPr>
            </w:pPr>
            <w:r>
              <w:rPr>
                <w:rFonts w:hint="eastAsia"/>
                <w:b/>
                <w:bCs/>
                <w:color w:val="auto"/>
              </w:rPr>
              <w:t>（2）供应商拟投入主管具有大专</w:t>
            </w:r>
            <w:r>
              <w:rPr>
                <w:rFonts w:hint="eastAsia"/>
                <w:b/>
                <w:bCs/>
                <w:color w:val="auto"/>
                <w:lang w:val="en-US" w:eastAsia="zh-CN"/>
              </w:rPr>
              <w:t>及</w:t>
            </w:r>
            <w:r>
              <w:rPr>
                <w:rFonts w:hint="eastAsia"/>
                <w:b/>
                <w:bCs/>
                <w:color w:val="auto"/>
              </w:rPr>
              <w:t>以上学历，得1分；持有中级职称的，得2分，满分3分；</w:t>
            </w:r>
          </w:p>
          <w:p>
            <w:pPr>
              <w:pStyle w:val="21"/>
              <w:spacing w:line="400" w:lineRule="exact"/>
              <w:rPr>
                <w:rFonts w:ascii="Times New Roman" w:hAnsi="Times New Roman"/>
                <w:b/>
                <w:bCs/>
                <w:color w:val="auto"/>
                <w:szCs w:val="21"/>
              </w:rPr>
            </w:pPr>
            <w:r>
              <w:rPr>
                <w:rFonts w:hint="eastAsia" w:ascii="Times New Roman" w:hAnsi="Times New Roman"/>
                <w:b/>
                <w:bCs/>
                <w:color w:val="auto"/>
                <w:szCs w:val="21"/>
              </w:rPr>
              <w:t>（3）拟投入本项目的保安队伍中有退伍军人证或消防员证的，每名得1分，满分4分。（提供聘用合同关键页复印件，原件备查）</w:t>
            </w:r>
          </w:p>
          <w:p>
            <w:pPr>
              <w:pStyle w:val="21"/>
              <w:spacing w:line="400" w:lineRule="exact"/>
              <w:rPr>
                <w:rFonts w:ascii="Times New Roman" w:hAnsi="Times New Roman"/>
                <w:b/>
                <w:bCs/>
                <w:color w:val="auto"/>
                <w:szCs w:val="21"/>
              </w:rPr>
            </w:pPr>
            <w:r>
              <w:rPr>
                <w:rFonts w:hint="eastAsia" w:ascii="Times New Roman" w:hAnsi="Times New Roman"/>
                <w:b/>
                <w:bCs/>
                <w:color w:val="auto"/>
                <w:szCs w:val="21"/>
              </w:rPr>
              <w:t>注：1</w:t>
            </w:r>
            <w:r>
              <w:rPr>
                <w:rFonts w:hint="eastAsia" w:ascii="Times New Roman" w:hAnsi="Times New Roman"/>
                <w:b/>
                <w:bCs/>
                <w:color w:val="auto"/>
                <w:szCs w:val="21"/>
                <w:lang w:val="en-US" w:eastAsia="zh-CN"/>
              </w:rPr>
              <w:t>.</w:t>
            </w:r>
            <w:r>
              <w:rPr>
                <w:rFonts w:hint="eastAsia" w:ascii="Times New Roman" w:hAnsi="Times New Roman"/>
                <w:b/>
                <w:bCs/>
                <w:color w:val="auto"/>
                <w:szCs w:val="21"/>
              </w:rPr>
              <w:t>提供人员花名册（包括姓名、性别、出生日期、学历复印件、证书/资格/职称证明），否则不得分；</w:t>
            </w:r>
          </w:p>
          <w:p>
            <w:pPr>
              <w:pStyle w:val="21"/>
              <w:spacing w:line="400" w:lineRule="exact"/>
              <w:rPr>
                <w:rFonts w:ascii="Times New Roman" w:hAnsi="Times New Roman"/>
                <w:color w:val="auto"/>
                <w:szCs w:val="21"/>
              </w:rPr>
            </w:pPr>
            <w:r>
              <w:rPr>
                <w:rFonts w:hint="eastAsia" w:ascii="Times New Roman" w:hAnsi="Times New Roman"/>
                <w:b/>
                <w:bCs/>
                <w:color w:val="auto"/>
                <w:szCs w:val="21"/>
              </w:rPr>
              <w:t>2</w:t>
            </w:r>
            <w:r>
              <w:rPr>
                <w:rFonts w:hint="eastAsia" w:ascii="Times New Roman" w:hAnsi="Times New Roman"/>
                <w:b/>
                <w:bCs/>
                <w:color w:val="auto"/>
                <w:szCs w:val="21"/>
                <w:lang w:val="en-US" w:eastAsia="zh-CN"/>
              </w:rPr>
              <w:t>.</w:t>
            </w:r>
            <w:r>
              <w:rPr>
                <w:rFonts w:hint="eastAsia" w:ascii="Times New Roman" w:hAnsi="Times New Roman"/>
                <w:b/>
                <w:bCs/>
                <w:color w:val="auto"/>
                <w:szCs w:val="21"/>
              </w:rPr>
              <w:t>拟投入人员原则上不得更换，如遇特殊原因需更换，需征求采购人同意。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78" w:leftChars="-85"/>
              <w:jc w:val="center"/>
              <w:rPr>
                <w:rFonts w:ascii="宋体" w:hAnsi="宋体" w:cs="Courier New"/>
                <w:color w:val="auto"/>
                <w:szCs w:val="20"/>
              </w:rPr>
            </w:pPr>
          </w:p>
        </w:tc>
        <w:tc>
          <w:tcPr>
            <w:tcW w:w="110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Courier New"/>
                <w:color w:val="auto"/>
                <w:szCs w:val="20"/>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Courier New"/>
                <w:color w:val="auto"/>
                <w:szCs w:val="20"/>
              </w:rPr>
            </w:pPr>
            <w:r>
              <w:rPr>
                <w:rFonts w:hint="eastAsia" w:ascii="宋体" w:hAnsi="宋体" w:cs="Courier New"/>
                <w:color w:val="auto"/>
                <w:szCs w:val="20"/>
              </w:rPr>
              <w:t>服务承诺分（满分9分）</w:t>
            </w:r>
          </w:p>
        </w:tc>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left"/>
              <w:rPr>
                <w:color w:val="auto"/>
              </w:rPr>
            </w:pPr>
            <w:r>
              <w:rPr>
                <w:rFonts w:hint="eastAsia"/>
                <w:color w:val="auto"/>
              </w:rPr>
              <w:t>服务承诺基本内容：</w:t>
            </w:r>
            <w:r>
              <w:rPr>
                <w:rFonts w:hint="eastAsia" w:ascii="Times New Roman" w:hAnsi="Times New Roman"/>
                <w:color w:val="auto"/>
                <w:szCs w:val="21"/>
              </w:rPr>
              <w:t>（包括</w:t>
            </w:r>
            <w:r>
              <w:rPr>
                <w:rFonts w:hint="eastAsia"/>
                <w:color w:val="auto"/>
                <w:szCs w:val="21"/>
                <w:lang w:val="en-US" w:eastAsia="zh-CN"/>
              </w:rPr>
              <w:t>但不限于</w:t>
            </w:r>
            <w:r>
              <w:rPr>
                <w:rFonts w:hint="eastAsia" w:ascii="Times New Roman" w:hAnsi="Times New Roman"/>
                <w:color w:val="auto"/>
                <w:szCs w:val="21"/>
              </w:rPr>
              <w:t>服务对象、设施、保障措施、服务质量及标准等内容）</w:t>
            </w:r>
          </w:p>
          <w:p>
            <w:pPr>
              <w:adjustRightInd w:val="0"/>
              <w:snapToGrid w:val="0"/>
              <w:spacing w:line="400" w:lineRule="exact"/>
              <w:jc w:val="left"/>
              <w:rPr>
                <w:color w:val="auto"/>
              </w:rPr>
            </w:pPr>
            <w:r>
              <w:rPr>
                <w:rFonts w:hint="eastAsia"/>
                <w:color w:val="auto"/>
              </w:rPr>
              <w:t>一档：服务承诺不完整，涵盖不全，</w:t>
            </w:r>
            <w:r>
              <w:rPr>
                <w:rFonts w:hint="eastAsia"/>
                <w:color w:val="auto"/>
                <w:lang w:val="en-US" w:eastAsia="zh-CN"/>
              </w:rPr>
              <w:t>得3分</w:t>
            </w:r>
            <w:r>
              <w:rPr>
                <w:rFonts w:hint="eastAsia"/>
                <w:color w:val="auto"/>
                <w:lang w:eastAsia="zh-CN"/>
              </w:rPr>
              <w:t>；</w:t>
            </w:r>
          </w:p>
          <w:p>
            <w:pPr>
              <w:adjustRightInd w:val="0"/>
              <w:snapToGrid w:val="0"/>
              <w:spacing w:line="400" w:lineRule="exact"/>
              <w:jc w:val="left"/>
              <w:rPr>
                <w:color w:val="auto"/>
              </w:rPr>
            </w:pPr>
            <w:r>
              <w:rPr>
                <w:rFonts w:hint="eastAsia"/>
                <w:color w:val="auto"/>
              </w:rPr>
              <w:t>二档：服务承诺包含以上基本内容，内容齐全</w:t>
            </w:r>
            <w:r>
              <w:rPr>
                <w:rFonts w:hint="eastAsia"/>
                <w:color w:val="auto"/>
                <w:lang w:eastAsia="zh-CN"/>
              </w:rPr>
              <w:t>，</w:t>
            </w:r>
            <w:r>
              <w:rPr>
                <w:rFonts w:hint="eastAsia" w:ascii="宋体" w:hAnsi="宋体" w:cs="宋体"/>
                <w:color w:val="auto"/>
                <w:lang w:val="en-US" w:eastAsia="zh-CN"/>
              </w:rPr>
              <w:t>得6分</w:t>
            </w:r>
            <w:r>
              <w:rPr>
                <w:rFonts w:hint="eastAsia" w:ascii="宋体" w:hAnsi="宋体" w:cs="宋体"/>
                <w:color w:val="auto"/>
                <w:lang w:eastAsia="zh-CN"/>
              </w:rPr>
              <w:t>；</w:t>
            </w:r>
            <w:r>
              <w:rPr>
                <w:rFonts w:hint="eastAsia"/>
                <w:color w:val="auto"/>
              </w:rPr>
              <w:t xml:space="preserve">                </w:t>
            </w:r>
          </w:p>
          <w:p>
            <w:pPr>
              <w:adjustRightInd w:val="0"/>
              <w:snapToGrid w:val="0"/>
              <w:spacing w:line="400" w:lineRule="exact"/>
              <w:jc w:val="left"/>
              <w:rPr>
                <w:color w:val="auto"/>
              </w:rPr>
            </w:pPr>
            <w:r>
              <w:rPr>
                <w:rFonts w:hint="eastAsia"/>
                <w:color w:val="auto"/>
              </w:rPr>
              <w:t>三挡：服务承诺包含以上基本内容，内容齐全，除满足项目采购需求外，</w:t>
            </w:r>
            <w:r>
              <w:rPr>
                <w:rFonts w:hint="eastAsia"/>
                <w:color w:val="auto"/>
                <w:highlight w:val="none"/>
                <w:lang w:val="en-US" w:eastAsia="zh-CN"/>
              </w:rPr>
              <w:t>还</w:t>
            </w:r>
            <w:r>
              <w:rPr>
                <w:rFonts w:hint="eastAsia"/>
                <w:color w:val="auto"/>
                <w:highlight w:val="none"/>
              </w:rPr>
              <w:t>提供了</w:t>
            </w:r>
            <w:r>
              <w:rPr>
                <w:rFonts w:hint="eastAsia"/>
                <w:color w:val="auto"/>
                <w:highlight w:val="none"/>
                <w:lang w:val="en-US" w:eastAsia="zh-CN"/>
              </w:rPr>
              <w:t>其他</w:t>
            </w:r>
            <w:r>
              <w:rPr>
                <w:rFonts w:hint="eastAsia"/>
                <w:color w:val="auto"/>
                <w:highlight w:val="none"/>
              </w:rPr>
              <w:t>服务承诺，</w:t>
            </w:r>
            <w:r>
              <w:rPr>
                <w:rFonts w:hint="eastAsia" w:ascii="宋体" w:hAnsi="宋体" w:cs="宋体"/>
                <w:color w:val="auto"/>
                <w:lang w:val="en-US" w:eastAsia="zh-CN"/>
              </w:rPr>
              <w:t>得9分</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78" w:leftChars="-85"/>
              <w:jc w:val="center"/>
              <w:rPr>
                <w:rFonts w:ascii="宋体" w:hAnsi="宋体" w:eastAsia="宋体" w:cs="Courier New"/>
                <w:b/>
                <w:color w:val="auto"/>
                <w:szCs w:val="20"/>
              </w:rPr>
            </w:pPr>
            <w:r>
              <w:rPr>
                <w:rFonts w:hint="eastAsia" w:ascii="宋体" w:hAnsi="宋体" w:cs="Courier New"/>
                <w:b/>
                <w:color w:val="auto"/>
                <w:szCs w:val="20"/>
              </w:rPr>
              <w:t>3</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Courier New"/>
                <w:color w:val="auto"/>
                <w:szCs w:val="20"/>
              </w:rPr>
            </w:pPr>
            <w:r>
              <w:rPr>
                <w:rFonts w:hint="eastAsia" w:ascii="宋体" w:hAnsi="宋体" w:cs="Courier New"/>
                <w:color w:val="auto"/>
                <w:szCs w:val="20"/>
              </w:rPr>
              <w:t>商务分（满分</w:t>
            </w:r>
            <w:r>
              <w:rPr>
                <w:rFonts w:hint="eastAsia" w:ascii="宋体" w:hAnsi="宋体" w:cs="Courier New"/>
                <w:color w:val="auto"/>
                <w:szCs w:val="20"/>
                <w:lang w:val="en-US" w:eastAsia="zh-CN"/>
              </w:rPr>
              <w:t>16</w:t>
            </w:r>
            <w:r>
              <w:rPr>
                <w:rFonts w:hint="eastAsia" w:ascii="宋体" w:hAnsi="宋体" w:cs="Courier New"/>
                <w:color w:val="auto"/>
                <w:szCs w:val="20"/>
              </w:rPr>
              <w:t>分）</w:t>
            </w:r>
          </w:p>
        </w:tc>
        <w:tc>
          <w:tcPr>
            <w:tcW w:w="814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auto"/>
              </w:rPr>
            </w:pPr>
            <w:r>
              <w:rPr>
                <w:rFonts w:hint="eastAsia"/>
                <w:color w:val="auto"/>
              </w:rPr>
              <w:t>（1）供应商具有由国家认证认可监督管理部门批准设立的认证机构颁发并在有效期内的质量管理体系认证、环境管理体系认证、职业健康安全管理体系认证证书，每项得1分，满分3分。</w:t>
            </w:r>
          </w:p>
          <w:p>
            <w:pPr>
              <w:spacing w:line="400" w:lineRule="exact"/>
              <w:rPr>
                <w:color w:val="auto"/>
              </w:rPr>
            </w:pPr>
            <w:r>
              <w:rPr>
                <w:rFonts w:hint="eastAsia"/>
                <w:color w:val="auto"/>
              </w:rPr>
              <w:t>（2）供应商或其所服务项目2021年1月以来获得行政部门颁发的的荣誉、奖项或证书的，每获得一项市级的得1分，每获得一项省/区级及以上的得2分，满分</w:t>
            </w:r>
            <w:r>
              <w:rPr>
                <w:rFonts w:hint="eastAsia"/>
                <w:color w:val="auto"/>
                <w:lang w:val="en-US" w:eastAsia="zh-CN"/>
              </w:rPr>
              <w:t>3</w:t>
            </w:r>
            <w:r>
              <w:rPr>
                <w:rFonts w:hint="eastAsia"/>
                <w:color w:val="auto"/>
              </w:rPr>
              <w:t xml:space="preserve">分【竞标时提供相关证明的复印件】； </w:t>
            </w:r>
          </w:p>
          <w:p>
            <w:pPr>
              <w:spacing w:line="400" w:lineRule="exact"/>
              <w:rPr>
                <w:color w:val="auto"/>
              </w:rPr>
            </w:pPr>
            <w:r>
              <w:rPr>
                <w:rFonts w:hint="eastAsia"/>
                <w:color w:val="auto"/>
              </w:rPr>
              <w:t>（3）供应商202</w:t>
            </w:r>
            <w:r>
              <w:rPr>
                <w:rFonts w:hint="eastAsia"/>
                <w:color w:val="auto"/>
                <w:lang w:val="en-US" w:eastAsia="zh-CN"/>
              </w:rPr>
              <w:t>0</w:t>
            </w:r>
            <w:r>
              <w:rPr>
                <w:rFonts w:hint="eastAsia"/>
                <w:color w:val="auto"/>
              </w:rPr>
              <w:t>年1月以来承接的类似物业服务项目业绩（业绩内容包含保洁、保安、水电、会务至少三项），每个项目得</w:t>
            </w:r>
            <w:r>
              <w:rPr>
                <w:rFonts w:hint="eastAsia"/>
                <w:color w:val="auto"/>
                <w:lang w:val="en-US" w:eastAsia="zh-CN"/>
              </w:rPr>
              <w:t>2</w:t>
            </w:r>
            <w:r>
              <w:rPr>
                <w:rFonts w:hint="eastAsia"/>
                <w:color w:val="auto"/>
              </w:rPr>
              <w:t>分，满分10分。</w:t>
            </w:r>
          </w:p>
          <w:p>
            <w:pPr>
              <w:spacing w:line="400" w:lineRule="exact"/>
              <w:rPr>
                <w:rFonts w:ascii="Calibri" w:hAnsi="Calibri"/>
                <w:color w:val="auto"/>
                <w:kern w:val="0"/>
              </w:rPr>
            </w:pPr>
            <w:r>
              <w:rPr>
                <w:rFonts w:hint="eastAsia"/>
                <w:color w:val="auto"/>
              </w:rPr>
              <w:t>（关键页包括合同名称、标的、金额、期限、签字盖章页等）为准，每个合同得1分，本项满分</w:t>
            </w:r>
            <w:r>
              <w:rPr>
                <w:rFonts w:hint="eastAsia"/>
                <w:color w:val="auto"/>
                <w:lang w:val="en-US" w:eastAsia="zh-CN"/>
              </w:rPr>
              <w:t>10</w:t>
            </w:r>
            <w:r>
              <w:rPr>
                <w:rFonts w:hint="eastAsia"/>
                <w:color w:val="auto"/>
              </w:rPr>
              <w:t>分，</w:t>
            </w:r>
            <w:r>
              <w:rPr>
                <w:rFonts w:hint="eastAsia" w:ascii="Calibri" w:hAnsi="Calibri"/>
                <w:color w:val="auto"/>
                <w:kern w:val="0"/>
              </w:rPr>
              <w:t>同一项目续约或多次中标/成交不重复计分。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903" w:type="dxa"/>
            <w:gridSpan w:val="4"/>
            <w:tcBorders>
              <w:top w:val="single" w:color="auto" w:sz="4" w:space="0"/>
              <w:left w:val="single" w:color="auto" w:sz="4" w:space="0"/>
              <w:right w:val="single" w:color="auto" w:sz="4" w:space="0"/>
            </w:tcBorders>
            <w:noWrap w:val="0"/>
            <w:vAlign w:val="center"/>
          </w:tcPr>
          <w:p>
            <w:pPr>
              <w:widowControl/>
              <w:spacing w:line="400" w:lineRule="exact"/>
              <w:jc w:val="left"/>
              <w:rPr>
                <w:color w:val="auto"/>
              </w:rPr>
            </w:pPr>
            <w:r>
              <w:rPr>
                <w:rFonts w:hint="eastAsia" w:ascii="宋体" w:hAnsi="宋体"/>
                <w:b/>
                <w:color w:val="auto"/>
              </w:rPr>
              <w:t>总得分＝价格分+技术分+商务分</w:t>
            </w:r>
          </w:p>
        </w:tc>
      </w:tr>
    </w:tbl>
    <w:p>
      <w:pPr>
        <w:pStyle w:val="21"/>
        <w:spacing w:line="460" w:lineRule="exact"/>
        <w:rPr>
          <w:rFonts w:hAnsi="宋体"/>
          <w:color w:val="auto"/>
        </w:rPr>
      </w:pPr>
      <w:r>
        <w:rPr>
          <w:rFonts w:hint="eastAsia"/>
          <w:color w:val="auto"/>
          <w:lang w:val="en-US" w:eastAsia="zh-CN"/>
        </w:rPr>
        <w:t>三</w:t>
      </w:r>
      <w:r>
        <w:rPr>
          <w:rFonts w:hint="eastAsia" w:hAnsi="宋体"/>
          <w:color w:val="auto"/>
        </w:rPr>
        <w:t>、成交供应商的推荐</w:t>
      </w:r>
    </w:p>
    <w:p>
      <w:pPr>
        <w:pStyle w:val="21"/>
        <w:spacing w:line="460" w:lineRule="exact"/>
        <w:ind w:firstLine="420"/>
        <w:rPr>
          <w:rFonts w:ascii="仿宋_GB2312" w:hAnsi="宋体" w:eastAsia="仿宋_GB2312"/>
          <w:color w:val="auto"/>
          <w:sz w:val="28"/>
          <w:szCs w:val="28"/>
        </w:rPr>
      </w:pPr>
      <w:r>
        <w:rPr>
          <w:rFonts w:hint="eastAsia"/>
          <w:color w:val="auto"/>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市场竞争不充分的科研项目，以及需要扶持的科技成果转化项目或政府购买服务项目，可以推荐2家成交候选供应商。</w:t>
      </w:r>
    </w:p>
    <w:p>
      <w:pPr>
        <w:widowControl/>
        <w:jc w:val="left"/>
        <w:rPr>
          <w:rFonts w:cs="Courier New"/>
          <w:b/>
          <w:bCs/>
          <w:color w:val="auto"/>
          <w:sz w:val="32"/>
          <w:szCs w:val="32"/>
        </w:rPr>
      </w:pPr>
      <w:r>
        <w:rPr>
          <w:rFonts w:cs="Courier New"/>
          <w:color w:val="auto"/>
        </w:rPr>
        <w:br w:type="page"/>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spacing w:line="400" w:lineRule="exact"/>
        <w:rPr>
          <w:rFonts w:ascii="方正小标宋_GBK" w:eastAsia="方正小标宋_GBK"/>
          <w:color w:val="auto"/>
        </w:rPr>
      </w:pPr>
      <w:bookmarkStart w:id="132" w:name="_Toc92355027"/>
      <w:r>
        <w:rPr>
          <w:rFonts w:hint="eastAsia" w:ascii="方正小标宋_GBK" w:eastAsia="方正小标宋_GBK"/>
          <w:color w:val="auto"/>
        </w:rPr>
        <w:t>第五章  合同文本</w:t>
      </w:r>
      <w:bookmarkEnd w:id="132"/>
    </w:p>
    <w:p>
      <w:pPr>
        <w:pStyle w:val="21"/>
        <w:jc w:val="center"/>
        <w:rPr>
          <w:rFonts w:ascii="Times New Roman" w:hAnsi="宋体"/>
          <w:b/>
          <w:bCs/>
          <w:color w:val="auto"/>
          <w:sz w:val="28"/>
          <w:szCs w:val="28"/>
        </w:rPr>
      </w:pPr>
      <w:r>
        <w:rPr>
          <w:rFonts w:hint="eastAsia" w:ascii="Times New Roman" w:hAnsi="宋体"/>
          <w:b/>
          <w:bCs/>
          <w:color w:val="auto"/>
          <w:sz w:val="28"/>
          <w:szCs w:val="28"/>
        </w:rPr>
        <w:t>（参考格式）</w:t>
      </w:r>
    </w:p>
    <w:p>
      <w:pPr>
        <w:pStyle w:val="21"/>
        <w:spacing w:line="340" w:lineRule="exact"/>
        <w:rPr>
          <w:rFonts w:hint="eastAsia" w:ascii="宋体" w:hAnsi="宋体" w:eastAsia="宋体"/>
          <w:b/>
          <w:color w:val="auto"/>
        </w:rPr>
      </w:pPr>
      <w:r>
        <w:rPr>
          <w:rFonts w:ascii="宋体" w:hAnsi="宋体"/>
          <w:bCs/>
          <w:color w:val="auto"/>
          <w:szCs w:val="21"/>
        </w:rPr>
        <w:br w:type="page"/>
      </w:r>
      <w:r>
        <w:rPr>
          <w:rFonts w:hint="eastAsia" w:ascii="宋体" w:hAnsi="宋体" w:eastAsia="宋体"/>
          <w:b/>
          <w:color w:val="auto"/>
        </w:rPr>
        <w:t>说明：</w:t>
      </w:r>
    </w:p>
    <w:p>
      <w:pPr>
        <w:pStyle w:val="21"/>
        <w:spacing w:line="340" w:lineRule="exact"/>
        <w:rPr>
          <w:rFonts w:hint="eastAsia" w:ascii="宋体" w:hAnsi="宋体" w:eastAsia="宋体"/>
          <w:b/>
          <w:color w:val="auto"/>
        </w:rPr>
      </w:pPr>
      <w:r>
        <w:rPr>
          <w:rFonts w:hint="eastAsia" w:ascii="宋体" w:hAnsi="宋体" w:eastAsia="宋体"/>
          <w:b/>
          <w:color w:val="auto"/>
        </w:rPr>
        <w:t>1</w:t>
      </w:r>
      <w:r>
        <w:rPr>
          <w:rFonts w:hint="eastAsia" w:hAnsi="宋体"/>
          <w:b/>
          <w:color w:val="auto"/>
          <w:lang w:val="en-US" w:eastAsia="zh-CN"/>
        </w:rPr>
        <w:t>.</w:t>
      </w:r>
      <w:r>
        <w:rPr>
          <w:rFonts w:hint="eastAsia" w:ascii="宋体" w:hAnsi="宋体" w:eastAsia="宋体"/>
          <w:b/>
          <w:color w:val="auto"/>
        </w:rPr>
        <w:t>本合同书仅供签订正式合同时参考用。</w:t>
      </w:r>
    </w:p>
    <w:p>
      <w:pPr>
        <w:pStyle w:val="21"/>
        <w:spacing w:line="340" w:lineRule="exact"/>
        <w:rPr>
          <w:rFonts w:hint="eastAsia" w:ascii="宋体" w:hAnsi="宋体" w:eastAsia="宋体"/>
          <w:b/>
          <w:color w:val="auto"/>
        </w:rPr>
      </w:pPr>
      <w:r>
        <w:rPr>
          <w:rFonts w:hint="eastAsia" w:ascii="宋体" w:hAnsi="宋体" w:eastAsia="宋体"/>
          <w:b/>
          <w:color w:val="auto"/>
        </w:rPr>
        <w:t>2</w:t>
      </w:r>
      <w:r>
        <w:rPr>
          <w:rFonts w:hint="eastAsia" w:hAnsi="宋体"/>
          <w:b/>
          <w:color w:val="auto"/>
          <w:lang w:val="en-US" w:eastAsia="zh-CN"/>
        </w:rPr>
        <w:t>.</w:t>
      </w:r>
      <w:r>
        <w:rPr>
          <w:rFonts w:hint="eastAsia" w:ascii="宋体" w:hAnsi="宋体" w:eastAsia="宋体"/>
          <w:b/>
          <w:color w:val="auto"/>
        </w:rPr>
        <w:t>合同签订双方可根据项目的具体要求进行修订，但合同条款不得与采购文件和成交供应商响应文件有实质性偏离。</w:t>
      </w:r>
    </w:p>
    <w:p>
      <w:pPr>
        <w:spacing w:after="158" w:afterLines="50" w:line="400" w:lineRule="exact"/>
        <w:ind w:firstLine="420" w:firstLineChars="200"/>
        <w:jc w:val="right"/>
        <w:rPr>
          <w:rFonts w:ascii="宋体" w:hAnsi="宋体"/>
          <w:color w:val="auto"/>
        </w:rPr>
      </w:pPr>
    </w:p>
    <w:p>
      <w:pPr>
        <w:jc w:val="center"/>
        <w:rPr>
          <w:rFonts w:ascii="宋体" w:hAnsi="宋体" w:cs="Courier New"/>
          <w:b/>
          <w:color w:val="auto"/>
          <w:kern w:val="0"/>
          <w:sz w:val="20"/>
          <w:szCs w:val="21"/>
        </w:rPr>
      </w:pPr>
      <w:r>
        <w:rPr>
          <w:rFonts w:hint="eastAsia" w:ascii="宋体" w:hAnsi="宋体"/>
          <w:b/>
          <w:bCs/>
          <w:color w:val="auto"/>
          <w:sz w:val="32"/>
          <w:szCs w:val="32"/>
        </w:rPr>
        <w:t>《</w:t>
      </w:r>
      <w:r>
        <w:rPr>
          <w:rFonts w:hint="eastAsia" w:ascii="宋体" w:hAnsi="宋体" w:cs="Courier New"/>
          <w:b/>
          <w:color w:val="auto"/>
          <w:kern w:val="0"/>
          <w:sz w:val="32"/>
          <w:szCs w:val="21"/>
        </w:rPr>
        <w:t>合同基本条款》</w:t>
      </w:r>
    </w:p>
    <w:p>
      <w:pPr>
        <w:spacing w:line="440" w:lineRule="exact"/>
        <w:ind w:firstLine="424" w:firstLineChars="201"/>
        <w:rPr>
          <w:rFonts w:hint="eastAsia" w:ascii="宋体" w:hAnsi="宋体"/>
          <w:b/>
          <w:bCs/>
          <w:color w:val="auto"/>
          <w:szCs w:val="21"/>
        </w:rPr>
      </w:pPr>
      <w:r>
        <w:rPr>
          <w:rFonts w:hint="eastAsia" w:ascii="宋体" w:hAnsi="宋体"/>
          <w:b/>
          <w:bCs/>
          <w:color w:val="auto"/>
          <w:szCs w:val="21"/>
        </w:rPr>
        <w:t xml:space="preserve">1 定义                                  </w:t>
      </w:r>
    </w:p>
    <w:p>
      <w:pPr>
        <w:spacing w:line="440" w:lineRule="exact"/>
        <w:ind w:firstLine="422" w:firstLineChars="201"/>
        <w:rPr>
          <w:rFonts w:hint="eastAsia" w:ascii="宋体" w:hAnsi="宋体"/>
          <w:color w:val="auto"/>
          <w:szCs w:val="21"/>
        </w:rPr>
      </w:pPr>
      <w:r>
        <w:rPr>
          <w:rFonts w:hint="eastAsia" w:ascii="宋体" w:hAnsi="宋体"/>
          <w:color w:val="auto"/>
          <w:szCs w:val="21"/>
        </w:rPr>
        <w:t>1.1“合同”系指甲方和乙方（简称合同双方）已达成的协议，即由双方签订的合同格式中的文件，包括所有的附件、附录和组成合同部分的所有其他文件。</w:t>
      </w:r>
    </w:p>
    <w:p>
      <w:pPr>
        <w:spacing w:line="440" w:lineRule="exact"/>
        <w:ind w:firstLine="422" w:firstLineChars="201"/>
        <w:rPr>
          <w:rFonts w:hint="eastAsia" w:ascii="宋体" w:hAnsi="宋体"/>
          <w:color w:val="auto"/>
          <w:szCs w:val="21"/>
        </w:rPr>
      </w:pPr>
      <w:r>
        <w:rPr>
          <w:rFonts w:hint="eastAsia" w:ascii="宋体" w:hAnsi="宋体"/>
          <w:color w:val="auto"/>
          <w:szCs w:val="21"/>
        </w:rPr>
        <w:t>1.2“合同价格”系指根据合同规定，在乙方全面正确地履行合同义务时应支付给乙方的款项。</w:t>
      </w:r>
    </w:p>
    <w:p>
      <w:pPr>
        <w:spacing w:line="440" w:lineRule="exact"/>
        <w:ind w:firstLine="422" w:firstLineChars="201"/>
        <w:rPr>
          <w:rFonts w:hint="eastAsia" w:ascii="宋体" w:hAnsi="宋体"/>
          <w:color w:val="auto"/>
          <w:szCs w:val="21"/>
        </w:rPr>
      </w:pPr>
      <w:r>
        <w:rPr>
          <w:rFonts w:hint="eastAsia" w:ascii="宋体" w:hAnsi="宋体"/>
          <w:color w:val="auto"/>
          <w:szCs w:val="21"/>
        </w:rPr>
        <w:t>1.3“甲方”系指采购人。</w:t>
      </w:r>
    </w:p>
    <w:p>
      <w:pPr>
        <w:spacing w:line="440" w:lineRule="exact"/>
        <w:ind w:firstLine="422" w:firstLineChars="201"/>
        <w:rPr>
          <w:rFonts w:hint="eastAsia" w:ascii="宋体" w:hAnsi="宋体"/>
          <w:color w:val="auto"/>
          <w:szCs w:val="21"/>
        </w:rPr>
      </w:pPr>
      <w:r>
        <w:rPr>
          <w:rFonts w:hint="eastAsia" w:ascii="宋体" w:hAnsi="宋体"/>
          <w:color w:val="auto"/>
          <w:szCs w:val="21"/>
        </w:rPr>
        <w:t>1.4“乙方”系指成交后提供合同服务的物业服务企业或单位。</w:t>
      </w:r>
    </w:p>
    <w:p>
      <w:pPr>
        <w:spacing w:line="440" w:lineRule="exact"/>
        <w:ind w:firstLine="424" w:firstLineChars="201"/>
        <w:rPr>
          <w:rFonts w:hint="eastAsia" w:ascii="宋体" w:hAnsi="宋体"/>
          <w:b/>
          <w:bCs/>
          <w:color w:val="auto"/>
          <w:szCs w:val="21"/>
        </w:rPr>
      </w:pPr>
      <w:r>
        <w:rPr>
          <w:rFonts w:hint="eastAsia" w:ascii="宋体" w:hAnsi="宋体"/>
          <w:b/>
          <w:bCs/>
          <w:color w:val="auto"/>
          <w:szCs w:val="21"/>
        </w:rPr>
        <w:t>2 适用范围</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2.1本合同条款仅适用于本次采购活动。</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3 技术规格和标准</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3.1本合同项下所提供服务的技术规格和标准应与本竞争性竞磋文件规定的标准相一致。</w:t>
      </w:r>
    </w:p>
    <w:p>
      <w:pPr>
        <w:tabs>
          <w:tab w:val="left" w:pos="1185"/>
        </w:tabs>
        <w:spacing w:line="440" w:lineRule="exact"/>
        <w:ind w:firstLine="424" w:firstLineChars="201"/>
        <w:rPr>
          <w:rFonts w:hint="eastAsia" w:ascii="宋体" w:hAnsi="宋体"/>
          <w:color w:val="auto"/>
          <w:szCs w:val="21"/>
        </w:rPr>
      </w:pPr>
      <w:r>
        <w:rPr>
          <w:rFonts w:hint="eastAsia" w:ascii="宋体" w:hAnsi="宋体"/>
          <w:b/>
          <w:color w:val="auto"/>
          <w:szCs w:val="21"/>
        </w:rPr>
        <w:t>4 委托管理期限为</w:t>
      </w:r>
      <w:r>
        <w:rPr>
          <w:rFonts w:hint="eastAsia" w:ascii="宋体" w:hAnsi="宋体"/>
          <w:b/>
          <w:color w:val="auto"/>
          <w:szCs w:val="21"/>
          <w:lang w:val="en-US" w:eastAsia="zh-CN"/>
        </w:rPr>
        <w:t>2</w:t>
      </w:r>
      <w:r>
        <w:rPr>
          <w:rFonts w:hint="eastAsia" w:ascii="宋体" w:hAnsi="宋体"/>
          <w:b/>
          <w:color w:val="auto"/>
          <w:szCs w:val="21"/>
        </w:rPr>
        <w:t>年。</w:t>
      </w:r>
      <w:r>
        <w:rPr>
          <w:rFonts w:hint="eastAsia" w:ascii="宋体" w:hAnsi="宋体"/>
          <w:color w:val="auto"/>
          <w:szCs w:val="21"/>
        </w:rPr>
        <w:t>即自</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日起至</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日止。</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5 价格</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5.1除非合同中另有规定，乙方为其所提供物业管理服务而要求甲方支付的金额应与其竞标报价一致。</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6 责任赔偿</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6.1乙方对所提供服务与合同要求不符负有责任，并且甲方已于合同规定的委托管理期内提出索赔，乙方应按甲方同意的下述一种或多种方法解决索赔事宜：</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（1）乙方同意甲方取消其不符合要求的服务项目，退还已经收取的该项目的物业管理费、佣金和酬金。</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（2）对于情节轻微的，经双方同意可降低该类项目的物业管理服务价格。</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（3）对于情节严重，造成甲方损失金额巨大的，同意甲方终止全部委托管理合同，并赔偿甲方因此造成的损失。</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4）对于物业服务区域内发生的财物丢失、损坏等进行的赔偿，应根据责任大小实行“责任赔偿”，赔偿责任的确定，一般由执法部门裁定进行确认，由乙方根据确认结果实施赔偿。被丢失、损失的物品价值的确定，按市场价格和相关规定的使用折旧情况综合确定，即按实际价值确定。</w:t>
      </w:r>
    </w:p>
    <w:p>
      <w:pPr>
        <w:spacing w:line="440" w:lineRule="exact"/>
        <w:ind w:firstLine="422" w:firstLineChars="201"/>
        <w:rPr>
          <w:rFonts w:hint="eastAsia" w:ascii="宋体" w:hAnsi="宋体" w:cs="Courier New"/>
          <w:color w:val="auto"/>
          <w:kern w:val="0"/>
          <w:szCs w:val="21"/>
        </w:rPr>
      </w:pPr>
      <w:r>
        <w:rPr>
          <w:rFonts w:hint="eastAsia" w:ascii="宋体" w:hAnsi="宋体" w:cs="Courier New"/>
          <w:color w:val="auto"/>
          <w:kern w:val="0"/>
          <w:szCs w:val="21"/>
        </w:rPr>
        <w:t xml:space="preserve">6.2如果甲方提出索赔通知后30天内乙方未能予以签复，该索赔应视为已被乙方接受。若乙方未能在甲方提出索赔通知的30天内或甲方同意的更长一些的时间内，按甲方同意的上述任何一种方式处理索赔事宜， </w:t>
      </w:r>
      <w:r>
        <w:rPr>
          <w:rFonts w:hint="eastAsia" w:ascii="宋体" w:hAnsi="宋体"/>
          <w:color w:val="auto"/>
          <w:szCs w:val="21"/>
        </w:rPr>
        <w:t>甲方将从议付款或乙方提供的发给履约保证金中扣回索赔金额，同时保留进一步要求赔偿的权利。</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7 不可抗力</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7.1签约双方任一方由于受诸如战争、严重火灾、洪水、台风、地震等不可抗力事故的影响而不能执行合同时，履行合同的期限应予以延长，则延长的期限应相当于事故所影响的时间。不可抗力事故系指甲乙双方在缔结合同时所不能预见的，并且它的发生及其后果是无法避免和无法克服的事故。</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7.2受阻一方应在不可抗力事故发生后尽快用电报或传真等书面通知对方，并于事故发生后14天内将有关当局出具的证明文件用特快专递或挂号信寄给对方审阅确认。一旦不可抗力事故的影响持续120天以上，双方应通过友好协商在合理的时间内达成进一步履行合同的协议。</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8付款方式</w:t>
      </w:r>
    </w:p>
    <w:p>
      <w:pPr>
        <w:tabs>
          <w:tab w:val="left" w:pos="1185"/>
        </w:tabs>
        <w:spacing w:line="440" w:lineRule="exact"/>
        <w:ind w:firstLine="424" w:firstLineChars="201"/>
        <w:rPr>
          <w:rFonts w:hint="default" w:ascii="宋体" w:hAnsi="宋体" w:eastAsia="宋体"/>
          <w:b/>
          <w:color w:val="auto"/>
          <w:szCs w:val="21"/>
          <w:u w:val="single"/>
          <w:lang w:val="en-US" w:eastAsia="zh-CN"/>
        </w:rPr>
      </w:pPr>
      <w:r>
        <w:rPr>
          <w:rFonts w:hint="eastAsia" w:ascii="宋体" w:hAnsi="宋体"/>
          <w:b/>
          <w:color w:val="auto"/>
          <w:szCs w:val="21"/>
        </w:rPr>
        <w:t>8.1付款方式：</w:t>
      </w:r>
      <w:r>
        <w:rPr>
          <w:rFonts w:hint="eastAsia" w:ascii="宋体" w:hAnsi="宋体"/>
          <w:b/>
          <w:color w:val="auto"/>
          <w:szCs w:val="21"/>
          <w:u w:val="single"/>
          <w:lang w:val="en-US" w:eastAsia="zh-CN"/>
        </w:rPr>
        <w:t xml:space="preserve">                                                                         </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9 争议的解决</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9.1在执行合同中发生的或与本合同有关的争端，双方应通过友好协商解决，经协商在60天内不能达成协议时，可向合同履行地有管辖权的人民法院提起诉讼。</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10 合同终止</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10.1本合同期限为</w:t>
      </w:r>
      <w:r>
        <w:rPr>
          <w:rFonts w:hint="eastAsia" w:ascii="宋体" w:hAnsi="宋体"/>
          <w:color w:val="auto"/>
          <w:szCs w:val="21"/>
          <w:lang w:val="en-US" w:eastAsia="zh-CN"/>
        </w:rPr>
        <w:t>贰</w:t>
      </w:r>
      <w:r>
        <w:rPr>
          <w:rFonts w:hint="eastAsia" w:ascii="宋体" w:hAnsi="宋体"/>
          <w:color w:val="auto"/>
          <w:szCs w:val="21"/>
        </w:rPr>
        <w:t>年，合同期满后合同自行终止。合作期内任何一方不得擅自停止协议，否则应负担所造成的一切损失。如一方因故需终止合同，必须提前三个月书面通知另一方，经双方达成一致意见后，方可终止。</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10.2出现下列情况时合同自动终止：</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（1）发生不可抗力时。</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（2）一方不履行合同条款，造成另一方无法执行合同协议，协商又不能求得解决。合同终止，责任方赔偿损失。</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（3）物业被征用。</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11 合同修改</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11.1对于合同的未尽事宜，需进行修改、补充和完善的，甲乙双方必须就所修改的内容签订书面的合同修改书，作为合同的补充协议。</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12 适用法律</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12.1本合同应按中华人民共和国的法律解释。</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13 主导语言与计量单位</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13.1合同应以中文书写。甲乙双方所有的来往信函以及与合同有关的文件均应以中文书写。</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13.2除技术规格另有规定外，计量单位均使用中华人民共和国法定计量单位。</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14 合同份数</w:t>
      </w:r>
    </w:p>
    <w:p>
      <w:pPr>
        <w:tabs>
          <w:tab w:val="left" w:pos="1185"/>
        </w:tabs>
        <w:spacing w:line="440" w:lineRule="exact"/>
        <w:ind w:firstLine="422" w:firstLineChars="201"/>
        <w:rPr>
          <w:rFonts w:hint="eastAsia" w:ascii="宋体" w:hAnsi="宋体"/>
          <w:color w:val="auto"/>
          <w:szCs w:val="21"/>
        </w:rPr>
      </w:pPr>
      <w:r>
        <w:rPr>
          <w:rFonts w:hint="eastAsia" w:ascii="宋体" w:hAnsi="宋体"/>
          <w:color w:val="auto"/>
          <w:szCs w:val="21"/>
        </w:rPr>
        <w:t>14.1本合同一式陆份，甲乙双方各执两份、物业管理主管部门及采购代理机构各执一份，具有同等法律效力。</w:t>
      </w:r>
    </w:p>
    <w:p>
      <w:pPr>
        <w:tabs>
          <w:tab w:val="left" w:pos="1185"/>
        </w:tabs>
        <w:spacing w:line="440" w:lineRule="exact"/>
        <w:ind w:firstLine="424" w:firstLineChars="201"/>
        <w:rPr>
          <w:rFonts w:hint="eastAsia" w:ascii="宋体" w:hAnsi="宋体"/>
          <w:b/>
          <w:bCs/>
          <w:color w:val="auto"/>
          <w:szCs w:val="21"/>
        </w:rPr>
      </w:pPr>
      <w:r>
        <w:rPr>
          <w:rFonts w:hint="eastAsia" w:ascii="宋体" w:hAnsi="宋体"/>
          <w:b/>
          <w:bCs/>
          <w:color w:val="auto"/>
          <w:szCs w:val="21"/>
        </w:rPr>
        <w:t>15 合同生效</w:t>
      </w:r>
    </w:p>
    <w:p>
      <w:pPr>
        <w:spacing w:line="440" w:lineRule="exact"/>
        <w:ind w:firstLine="422" w:firstLineChars="201"/>
        <w:rPr>
          <w:rFonts w:hint="eastAsia" w:ascii="宋体" w:hAnsi="宋体" w:cs="Courier New"/>
          <w:color w:val="auto"/>
          <w:kern w:val="0"/>
          <w:sz w:val="20"/>
          <w:szCs w:val="21"/>
        </w:rPr>
      </w:pPr>
      <w:r>
        <w:rPr>
          <w:rFonts w:hint="eastAsia" w:ascii="宋体" w:hAnsi="宋体" w:cs="Courier New"/>
          <w:color w:val="auto"/>
          <w:kern w:val="0"/>
          <w:szCs w:val="21"/>
        </w:rPr>
        <w:t>15.1除非合同中另有说明，本合同经双方签字盖章后，即开始生效。</w:t>
      </w:r>
    </w:p>
    <w:p>
      <w:pPr>
        <w:jc w:val="center"/>
        <w:rPr>
          <w:rFonts w:hint="eastAsia" w:ascii="宋体" w:hAnsi="宋体"/>
          <w:b/>
          <w:bCs/>
          <w:color w:val="auto"/>
          <w:kern w:val="0"/>
          <w:sz w:val="20"/>
          <w:szCs w:val="21"/>
        </w:rPr>
      </w:pPr>
      <w:r>
        <w:rPr>
          <w:rFonts w:hint="eastAsia" w:ascii="宋体" w:hAnsi="宋体" w:cs="Courier New"/>
          <w:b/>
          <w:bCs/>
          <w:color w:val="auto"/>
          <w:kern w:val="0"/>
          <w:sz w:val="32"/>
          <w:szCs w:val="21"/>
        </w:rPr>
        <w:br w:type="page"/>
      </w:r>
      <w:r>
        <w:rPr>
          <w:rFonts w:hint="eastAsia" w:ascii="宋体" w:hAnsi="宋体" w:cs="Courier New"/>
          <w:b/>
          <w:bCs/>
          <w:color w:val="auto"/>
          <w:kern w:val="0"/>
          <w:sz w:val="32"/>
          <w:szCs w:val="21"/>
        </w:rPr>
        <w:t>物业委托管理合同（格式）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hint="eastAsia" w:ascii="宋体" w:hAnsi="宋体" w:cs="宋体"/>
          <w:color w:val="auto"/>
          <w:kern w:val="0"/>
          <w:szCs w:val="21"/>
        </w:rPr>
      </w:pPr>
      <w:r>
        <w:rPr>
          <w:rFonts w:hint="eastAsia" w:ascii="宋体" w:hAnsi="宋体" w:cs="宋体"/>
          <w:color w:val="auto"/>
          <w:kern w:val="0"/>
          <w:szCs w:val="21"/>
        </w:rPr>
        <w:t>委托方（甲方）：</w:t>
      </w:r>
      <w:r>
        <w:rPr>
          <w:rFonts w:hint="eastAsia" w:ascii="宋体" w:hAnsi="宋体" w:cs="宋体"/>
          <w:color w:val="auto"/>
          <w:kern w:val="0"/>
          <w:szCs w:val="21"/>
          <w:lang w:val="en-US" w:eastAsia="zh-CN"/>
        </w:rPr>
        <w:t>广西壮族自治区沿海公路发展中心</w:t>
      </w:r>
      <w:r>
        <w:rPr>
          <w:rFonts w:hint="eastAsia" w:ascii="宋体" w:hAnsi="宋体" w:cs="宋体"/>
          <w:color w:val="auto"/>
          <w:kern w:val="0"/>
          <w:szCs w:val="21"/>
        </w:rPr>
        <w:t xml:space="preserve">              合同编号：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hint="eastAsia" w:ascii="宋体" w:hAnsi="宋体" w:cs="宋体"/>
          <w:color w:val="auto"/>
          <w:kern w:val="0"/>
          <w:szCs w:val="21"/>
        </w:rPr>
      </w:pPr>
      <w:r>
        <w:rPr>
          <w:rFonts w:hint="eastAsia" w:ascii="宋体" w:hAnsi="宋体" w:cs="宋体"/>
          <w:color w:val="auto"/>
          <w:kern w:val="0"/>
          <w:szCs w:val="21"/>
        </w:rPr>
        <w:t>受托方（乙方）：＿＿＿＿＿＿＿＿  签订地点：</w:t>
      </w:r>
    </w:p>
    <w:p>
      <w:pPr>
        <w:tabs>
          <w:tab w:val="left" w:pos="1185"/>
        </w:tabs>
        <w:spacing w:line="380" w:lineRule="exact"/>
        <w:rPr>
          <w:rFonts w:hint="eastAsia" w:ascii="宋体" w:hAnsi="宋体"/>
          <w:color w:val="auto"/>
          <w:szCs w:val="21"/>
        </w:rPr>
      </w:pPr>
      <w:r>
        <w:rPr>
          <w:rFonts w:hint="eastAsia" w:ascii="宋体" w:hAnsi="宋体"/>
          <w:color w:val="auto"/>
          <w:szCs w:val="21"/>
        </w:rPr>
        <w:t xml:space="preserve">                                  签订时间：    年    月    日</w:t>
      </w:r>
    </w:p>
    <w:p>
      <w:pPr>
        <w:tabs>
          <w:tab w:val="left" w:pos="1185"/>
        </w:tabs>
        <w:spacing w:line="380" w:lineRule="exact"/>
        <w:rPr>
          <w:rFonts w:hint="eastAsia" w:ascii="宋体" w:hAnsi="宋体"/>
          <w:color w:val="auto"/>
          <w:szCs w:val="21"/>
        </w:rPr>
      </w:pPr>
    </w:p>
    <w:p>
      <w:pPr>
        <w:tabs>
          <w:tab w:val="left" w:pos="1185"/>
        </w:tabs>
        <w:spacing w:line="400" w:lineRule="exact"/>
        <w:ind w:firstLine="411" w:firstLineChars="196"/>
        <w:jc w:val="left"/>
        <w:rPr>
          <w:rFonts w:hint="eastAsia" w:ascii="宋体" w:hAnsi="宋体"/>
          <w:color w:val="auto"/>
          <w:szCs w:val="21"/>
        </w:rPr>
      </w:pPr>
      <w:r>
        <w:rPr>
          <w:rFonts w:hint="eastAsia" w:ascii="宋体" w:hAnsi="宋体"/>
          <w:color w:val="auto"/>
          <w:szCs w:val="21"/>
        </w:rPr>
        <w:t>根据</w:t>
      </w:r>
      <w:r>
        <w:rPr>
          <w:rFonts w:hint="eastAsia" w:ascii="宋体" w:hAnsi="宋体" w:cs="宋体"/>
          <w:color w:val="auto"/>
          <w:szCs w:val="21"/>
        </w:rPr>
        <w:t>《中华人民共和国政府采购法》、《中华人民共和国民法典》、</w:t>
      </w:r>
      <w:r>
        <w:rPr>
          <w:rFonts w:hint="eastAsia" w:ascii="宋体" w:hAnsi="宋体"/>
          <w:color w:val="auto"/>
          <w:szCs w:val="21"/>
        </w:rPr>
        <w:t>物业管理条例实施细则等国家、地方有关物业管理法律、法规和政策，在平等、自愿、协商一致的基础上，就甲方委托乙方对</w:t>
      </w:r>
      <w:r>
        <w:rPr>
          <w:rFonts w:hint="eastAsia" w:ascii="宋体" w:hAnsi="宋体"/>
          <w:color w:val="auto"/>
          <w:szCs w:val="21"/>
          <w:u w:val="single"/>
        </w:rPr>
        <w:t xml:space="preserve">                </w:t>
      </w:r>
      <w:r>
        <w:rPr>
          <w:rFonts w:hint="eastAsia" w:ascii="宋体" w:hAnsi="宋体"/>
          <w:color w:val="auto"/>
          <w:szCs w:val="21"/>
        </w:rPr>
        <w:t>（物业名称）实行专业化、一体化的物业管理订立本合同。</w:t>
      </w:r>
    </w:p>
    <w:p>
      <w:pPr>
        <w:tabs>
          <w:tab w:val="left" w:pos="1185"/>
        </w:tabs>
        <w:spacing w:line="400" w:lineRule="exact"/>
        <w:ind w:firstLine="413" w:firstLineChars="196"/>
        <w:jc w:val="left"/>
        <w:rPr>
          <w:rFonts w:hint="eastAsia" w:ascii="宋体" w:hAnsi="宋体"/>
          <w:b/>
          <w:bCs/>
          <w:color w:val="auto"/>
          <w:szCs w:val="21"/>
        </w:rPr>
      </w:pPr>
      <w:r>
        <w:rPr>
          <w:rFonts w:hint="eastAsia" w:ascii="宋体" w:hAnsi="宋体"/>
          <w:b/>
          <w:bCs/>
          <w:color w:val="auto"/>
          <w:szCs w:val="21"/>
        </w:rPr>
        <w:t>一、物业基本情况</w:t>
      </w:r>
    </w:p>
    <w:p>
      <w:pPr>
        <w:tabs>
          <w:tab w:val="left" w:pos="1185"/>
        </w:tabs>
        <w:spacing w:line="400" w:lineRule="exact"/>
        <w:ind w:firstLine="411" w:firstLineChars="196"/>
        <w:jc w:val="left"/>
        <w:rPr>
          <w:rFonts w:hint="eastAsia" w:ascii="宋体" w:hAnsi="宋体"/>
          <w:bCs/>
          <w:color w:val="auto"/>
          <w:szCs w:val="21"/>
        </w:rPr>
      </w:pPr>
      <w:r>
        <w:rPr>
          <w:rFonts w:hint="eastAsia" w:ascii="宋体" w:hAnsi="宋体"/>
          <w:bCs/>
          <w:color w:val="auto"/>
          <w:szCs w:val="21"/>
        </w:rPr>
        <w:t>1、物业概况：</w:t>
      </w:r>
      <w:r>
        <w:rPr>
          <w:rFonts w:hint="eastAsia" w:ascii="宋体" w:hAnsi="宋体"/>
          <w:bCs/>
          <w:color w:val="auto"/>
          <w:szCs w:val="21"/>
          <w:u w:val="single"/>
        </w:rPr>
        <w:t xml:space="preserve">                                                   </w:t>
      </w:r>
      <w:r>
        <w:rPr>
          <w:rFonts w:hint="eastAsia" w:ascii="宋体" w:hAnsi="宋体"/>
          <w:color w:val="auto"/>
          <w:szCs w:val="21"/>
        </w:rPr>
        <w:t>。</w:t>
      </w:r>
    </w:p>
    <w:p>
      <w:pPr>
        <w:tabs>
          <w:tab w:val="left" w:pos="1185"/>
        </w:tabs>
        <w:spacing w:line="400" w:lineRule="exact"/>
        <w:ind w:firstLine="411" w:firstLineChars="196"/>
        <w:jc w:val="left"/>
        <w:rPr>
          <w:rFonts w:hint="eastAsia" w:ascii="宋体" w:hAnsi="宋体"/>
          <w:color w:val="auto"/>
          <w:szCs w:val="21"/>
        </w:rPr>
      </w:pPr>
      <w:r>
        <w:rPr>
          <w:rFonts w:hint="eastAsia" w:ascii="宋体" w:hAnsi="宋体"/>
          <w:color w:val="auto"/>
          <w:szCs w:val="21"/>
        </w:rPr>
        <w:t>2、物业类型：</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361" w:firstLineChars="171"/>
        <w:rPr>
          <w:rFonts w:hint="eastAsia" w:ascii="宋体" w:hAnsi="宋体" w:cs="Courier New"/>
          <w:color w:val="auto"/>
          <w:kern w:val="0"/>
          <w:szCs w:val="21"/>
        </w:rPr>
      </w:pPr>
      <w:r>
        <w:rPr>
          <w:rFonts w:hint="eastAsia" w:ascii="宋体" w:hAnsi="宋体" w:cs="Courier New"/>
          <w:b/>
          <w:bCs/>
          <w:color w:val="auto"/>
          <w:kern w:val="0"/>
          <w:szCs w:val="21"/>
        </w:rPr>
        <w:t>二、合同文件</w:t>
      </w:r>
    </w:p>
    <w:p>
      <w:pPr>
        <w:spacing w:line="400" w:lineRule="exact"/>
        <w:ind w:firstLine="420"/>
        <w:rPr>
          <w:rFonts w:hint="eastAsia" w:ascii="宋体" w:hAnsi="宋体" w:cs="Courier New"/>
          <w:color w:val="auto"/>
          <w:kern w:val="0"/>
          <w:szCs w:val="21"/>
        </w:rPr>
      </w:pPr>
      <w:r>
        <w:rPr>
          <w:rFonts w:hint="eastAsia" w:ascii="宋体" w:hAnsi="宋体" w:cs="Courier New"/>
          <w:color w:val="auto"/>
          <w:kern w:val="0"/>
          <w:szCs w:val="21"/>
        </w:rPr>
        <w:t>本合同所附下列文件是构成本合同不可分割的部分：</w:t>
      </w:r>
    </w:p>
    <w:p>
      <w:pPr>
        <w:spacing w:line="400" w:lineRule="exact"/>
        <w:ind w:firstLine="420"/>
        <w:rPr>
          <w:rFonts w:hint="eastAsia" w:ascii="宋体" w:hAnsi="宋体" w:cs="Courier New"/>
          <w:color w:val="auto"/>
          <w:kern w:val="0"/>
          <w:szCs w:val="21"/>
        </w:rPr>
      </w:pPr>
      <w:r>
        <w:rPr>
          <w:rFonts w:hint="eastAsia" w:ascii="宋体" w:hAnsi="宋体" w:cs="Courier New"/>
          <w:color w:val="auto"/>
          <w:kern w:val="0"/>
          <w:szCs w:val="21"/>
        </w:rPr>
        <w:t>⑴ 合同基本条款</w:t>
      </w:r>
    </w:p>
    <w:p>
      <w:pPr>
        <w:spacing w:line="400" w:lineRule="exact"/>
        <w:ind w:firstLine="420"/>
        <w:rPr>
          <w:rFonts w:hint="eastAsia" w:ascii="宋体" w:hAnsi="宋体" w:cs="Courier New"/>
          <w:color w:val="auto"/>
          <w:kern w:val="0"/>
          <w:szCs w:val="21"/>
        </w:rPr>
      </w:pPr>
      <w:r>
        <w:rPr>
          <w:rFonts w:hint="eastAsia" w:ascii="宋体" w:hAnsi="宋体" w:cs="Courier New"/>
          <w:color w:val="auto"/>
          <w:kern w:val="0"/>
          <w:szCs w:val="21"/>
        </w:rPr>
        <w:t>⑵ 供应商提交的磋商报价表等全部响应文件</w:t>
      </w:r>
    </w:p>
    <w:p>
      <w:pPr>
        <w:spacing w:line="400" w:lineRule="exact"/>
        <w:ind w:firstLine="420"/>
        <w:rPr>
          <w:rFonts w:hint="eastAsia" w:ascii="宋体" w:hAnsi="宋体" w:cs="Courier New"/>
          <w:color w:val="auto"/>
          <w:kern w:val="0"/>
          <w:szCs w:val="21"/>
        </w:rPr>
      </w:pPr>
      <w:r>
        <w:rPr>
          <w:rFonts w:hint="eastAsia" w:ascii="宋体" w:hAnsi="宋体" w:cs="Courier New"/>
          <w:color w:val="auto"/>
          <w:kern w:val="0"/>
          <w:szCs w:val="21"/>
        </w:rPr>
        <w:t>⑶ 物业管理情况及要求</w:t>
      </w:r>
    </w:p>
    <w:p>
      <w:pPr>
        <w:spacing w:line="400" w:lineRule="exact"/>
        <w:ind w:firstLine="420"/>
        <w:rPr>
          <w:rFonts w:hint="eastAsia" w:ascii="宋体" w:hAnsi="宋体" w:cs="Courier New"/>
          <w:color w:val="auto"/>
          <w:kern w:val="0"/>
          <w:szCs w:val="21"/>
        </w:rPr>
      </w:pPr>
      <w:r>
        <w:rPr>
          <w:rFonts w:hint="eastAsia" w:ascii="宋体" w:hAnsi="宋体" w:cs="Courier New"/>
          <w:color w:val="auto"/>
          <w:kern w:val="0"/>
          <w:szCs w:val="21"/>
        </w:rPr>
        <w:t>⑷ 成交通知书</w:t>
      </w:r>
    </w:p>
    <w:p>
      <w:pPr>
        <w:tabs>
          <w:tab w:val="left" w:pos="1185"/>
        </w:tabs>
        <w:spacing w:line="400" w:lineRule="exact"/>
        <w:ind w:firstLine="411" w:firstLineChars="196"/>
        <w:jc w:val="left"/>
        <w:rPr>
          <w:rFonts w:hint="eastAsia" w:ascii="宋体" w:hAnsi="宋体"/>
          <w:color w:val="auto"/>
          <w:szCs w:val="21"/>
        </w:rPr>
      </w:pPr>
      <w:r>
        <w:rPr>
          <w:rFonts w:hint="eastAsia" w:ascii="宋体" w:hAnsi="宋体"/>
          <w:color w:val="auto"/>
          <w:szCs w:val="21"/>
        </w:rPr>
        <w:t>⑸ 甲、乙双方商定的补充协议</w:t>
      </w:r>
    </w:p>
    <w:p>
      <w:pPr>
        <w:tabs>
          <w:tab w:val="left" w:pos="1185"/>
        </w:tabs>
        <w:spacing w:line="400" w:lineRule="exact"/>
        <w:ind w:firstLine="413" w:firstLineChars="196"/>
        <w:jc w:val="left"/>
        <w:rPr>
          <w:rFonts w:hint="eastAsia" w:ascii="宋体" w:hAnsi="宋体"/>
          <w:b/>
          <w:bCs/>
          <w:color w:val="auto"/>
          <w:szCs w:val="21"/>
        </w:rPr>
      </w:pPr>
      <w:r>
        <w:rPr>
          <w:rFonts w:hint="eastAsia" w:ascii="宋体" w:hAnsi="宋体"/>
          <w:b/>
          <w:bCs/>
          <w:color w:val="auto"/>
          <w:szCs w:val="21"/>
        </w:rPr>
        <w:t>三、委托管理事项</w:t>
      </w:r>
    </w:p>
    <w:p>
      <w:pPr>
        <w:tabs>
          <w:tab w:val="left" w:pos="1185"/>
        </w:tabs>
        <w:spacing w:line="400" w:lineRule="exact"/>
        <w:ind w:firstLine="420" w:firstLineChars="200"/>
        <w:rPr>
          <w:rFonts w:hint="eastAsia" w:ascii="宋体" w:hAnsi="宋体"/>
          <w:color w:val="auto"/>
          <w:szCs w:val="21"/>
        </w:rPr>
      </w:pPr>
      <w:r>
        <w:rPr>
          <w:rFonts w:hint="eastAsia" w:ascii="宋体" w:hAnsi="宋体"/>
          <w:bCs/>
          <w:color w:val="auto"/>
          <w:szCs w:val="21"/>
        </w:rPr>
        <w:t>按照《物业管理情况及要求》中物业管理服务内容的所有要求执行。</w:t>
      </w:r>
    </w:p>
    <w:p>
      <w:pPr>
        <w:tabs>
          <w:tab w:val="left" w:pos="1185"/>
        </w:tabs>
        <w:spacing w:line="400" w:lineRule="exact"/>
        <w:ind w:firstLine="435"/>
        <w:jc w:val="left"/>
        <w:rPr>
          <w:rFonts w:hint="eastAsia" w:ascii="宋体" w:hAnsi="宋体"/>
          <w:b/>
          <w:bCs/>
          <w:color w:val="auto"/>
          <w:szCs w:val="21"/>
        </w:rPr>
      </w:pPr>
      <w:r>
        <w:rPr>
          <w:rFonts w:hint="eastAsia" w:ascii="宋体" w:hAnsi="宋体"/>
          <w:b/>
          <w:bCs/>
          <w:color w:val="auto"/>
          <w:szCs w:val="21"/>
        </w:rPr>
        <w:t>四、合同期限</w:t>
      </w:r>
    </w:p>
    <w:p>
      <w:pPr>
        <w:tabs>
          <w:tab w:val="left" w:pos="1185"/>
        </w:tabs>
        <w:spacing w:line="400" w:lineRule="exact"/>
        <w:ind w:firstLine="420" w:firstLineChars="200"/>
        <w:jc w:val="left"/>
        <w:rPr>
          <w:rFonts w:hint="eastAsia" w:ascii="宋体" w:hAnsi="宋体"/>
          <w:color w:val="auto"/>
          <w:szCs w:val="21"/>
        </w:rPr>
      </w:pPr>
      <w:r>
        <w:rPr>
          <w:rFonts w:hint="eastAsia" w:ascii="宋体" w:hAnsi="宋体"/>
          <w:color w:val="auto"/>
          <w:szCs w:val="21"/>
        </w:rPr>
        <w:t>本合同期限为壹年。自</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日起至</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日止。</w:t>
      </w:r>
    </w:p>
    <w:p>
      <w:pPr>
        <w:tabs>
          <w:tab w:val="left" w:pos="1185"/>
        </w:tabs>
        <w:spacing w:line="400" w:lineRule="exact"/>
        <w:ind w:firstLine="435"/>
        <w:jc w:val="left"/>
        <w:rPr>
          <w:rFonts w:hint="eastAsia" w:ascii="宋体" w:hAnsi="宋体"/>
          <w:b/>
          <w:bCs/>
          <w:color w:val="auto"/>
          <w:szCs w:val="21"/>
        </w:rPr>
      </w:pPr>
      <w:r>
        <w:rPr>
          <w:rFonts w:hint="eastAsia" w:ascii="宋体" w:hAnsi="宋体"/>
          <w:b/>
          <w:bCs/>
          <w:color w:val="auto"/>
          <w:szCs w:val="21"/>
        </w:rPr>
        <w:t>五、甲方的权利和义务</w:t>
      </w:r>
    </w:p>
    <w:p>
      <w:pPr>
        <w:tabs>
          <w:tab w:val="left" w:pos="1185"/>
        </w:tabs>
        <w:spacing w:line="400" w:lineRule="exact"/>
        <w:ind w:left="435"/>
        <w:jc w:val="left"/>
        <w:rPr>
          <w:rFonts w:hint="eastAsia" w:ascii="宋体" w:hAnsi="宋体"/>
          <w:color w:val="auto"/>
          <w:szCs w:val="21"/>
        </w:rPr>
      </w:pPr>
      <w:r>
        <w:rPr>
          <w:rFonts w:hint="eastAsia" w:ascii="宋体" w:hAnsi="宋体"/>
          <w:color w:val="auto"/>
          <w:szCs w:val="21"/>
        </w:rPr>
        <w:t>1、与乙方议定年度管理计划、年度费用概预算、决算报告。</w:t>
      </w:r>
    </w:p>
    <w:p>
      <w:pPr>
        <w:tabs>
          <w:tab w:val="left" w:pos="1185"/>
        </w:tabs>
        <w:spacing w:line="400" w:lineRule="exact"/>
        <w:ind w:left="435"/>
        <w:jc w:val="left"/>
        <w:rPr>
          <w:rFonts w:hint="eastAsia" w:ascii="宋体" w:hAnsi="宋体"/>
          <w:color w:val="auto"/>
          <w:szCs w:val="21"/>
        </w:rPr>
      </w:pPr>
      <w:r>
        <w:rPr>
          <w:rFonts w:hint="eastAsia" w:ascii="宋体" w:hAnsi="宋体"/>
          <w:color w:val="auto"/>
          <w:szCs w:val="21"/>
        </w:rPr>
        <w:t>2、对乙方的管理实施监督检查，每年进行一次全面考核评定，如因乙方管理不善，造成重大经济损失或管理失误，有权终止合同。</w:t>
      </w:r>
    </w:p>
    <w:p>
      <w:pPr>
        <w:tabs>
          <w:tab w:val="left" w:pos="1185"/>
        </w:tabs>
        <w:spacing w:line="400" w:lineRule="exact"/>
        <w:ind w:left="412" w:leftChars="196"/>
        <w:jc w:val="left"/>
        <w:rPr>
          <w:rFonts w:hint="eastAsia" w:ascii="宋体" w:hAnsi="宋体"/>
          <w:color w:val="auto"/>
          <w:szCs w:val="21"/>
        </w:rPr>
      </w:pPr>
      <w:r>
        <w:rPr>
          <w:rFonts w:hint="eastAsia" w:ascii="宋体" w:hAnsi="宋体"/>
          <w:color w:val="auto"/>
          <w:szCs w:val="21"/>
        </w:rPr>
        <w:t>3、甲方在合同生效之日起</w:t>
      </w:r>
      <w:r>
        <w:rPr>
          <w:rFonts w:hint="eastAsia" w:ascii="宋体" w:hAnsi="宋体"/>
          <w:color w:val="auto"/>
          <w:szCs w:val="21"/>
          <w:u w:val="single"/>
        </w:rPr>
        <w:t xml:space="preserve">    </w:t>
      </w:r>
      <w:r>
        <w:rPr>
          <w:rFonts w:hint="eastAsia" w:ascii="宋体" w:hAnsi="宋体"/>
          <w:color w:val="auto"/>
          <w:szCs w:val="21"/>
        </w:rPr>
        <w:t>日内按规定向乙方提供本物业所有的物业及物业管理工作档案、资料，并在乙方管理期满时予以收回。</w:t>
      </w:r>
    </w:p>
    <w:p>
      <w:pPr>
        <w:tabs>
          <w:tab w:val="left" w:pos="1185"/>
        </w:tabs>
        <w:spacing w:line="400" w:lineRule="exact"/>
        <w:ind w:left="435"/>
        <w:jc w:val="left"/>
        <w:rPr>
          <w:rFonts w:hint="eastAsia" w:ascii="宋体" w:hAnsi="宋体"/>
          <w:color w:val="auto"/>
          <w:szCs w:val="21"/>
        </w:rPr>
      </w:pPr>
      <w:r>
        <w:rPr>
          <w:rFonts w:hint="eastAsia" w:ascii="宋体" w:hAnsi="宋体"/>
          <w:color w:val="auto"/>
          <w:szCs w:val="21"/>
        </w:rPr>
        <w:t>4、不得干涉乙方依法或依本合同规定内容所进行的管理活动。</w:t>
      </w:r>
    </w:p>
    <w:p>
      <w:pPr>
        <w:tabs>
          <w:tab w:val="left" w:pos="1185"/>
        </w:tabs>
        <w:spacing w:line="400" w:lineRule="exact"/>
        <w:ind w:left="435"/>
        <w:jc w:val="left"/>
        <w:rPr>
          <w:rFonts w:hint="eastAsia" w:ascii="宋体" w:hAnsi="宋体"/>
          <w:color w:val="auto"/>
          <w:szCs w:val="21"/>
        </w:rPr>
      </w:pPr>
      <w:r>
        <w:rPr>
          <w:rFonts w:hint="eastAsia" w:ascii="宋体" w:hAnsi="宋体"/>
          <w:color w:val="auto"/>
          <w:szCs w:val="21"/>
        </w:rPr>
        <w:t>5、负责处理非乙方原因而产生的各种纠纷。</w:t>
      </w:r>
    </w:p>
    <w:p>
      <w:pPr>
        <w:tabs>
          <w:tab w:val="left" w:pos="1185"/>
        </w:tabs>
        <w:spacing w:line="400" w:lineRule="exact"/>
        <w:ind w:left="435"/>
        <w:jc w:val="left"/>
        <w:rPr>
          <w:rFonts w:hint="eastAsia" w:ascii="宋体" w:hAnsi="宋体"/>
          <w:color w:val="auto"/>
          <w:szCs w:val="21"/>
        </w:rPr>
      </w:pPr>
      <w:r>
        <w:rPr>
          <w:rFonts w:hint="eastAsia" w:ascii="宋体" w:hAnsi="宋体"/>
          <w:color w:val="auto"/>
          <w:szCs w:val="21"/>
        </w:rPr>
        <w:t>6、协助乙方做好物业管理工作。</w:t>
      </w:r>
    </w:p>
    <w:p>
      <w:pPr>
        <w:tabs>
          <w:tab w:val="left" w:pos="1185"/>
        </w:tabs>
        <w:spacing w:line="400" w:lineRule="exact"/>
        <w:ind w:left="435"/>
        <w:jc w:val="left"/>
        <w:rPr>
          <w:rFonts w:hint="eastAsia" w:ascii="宋体" w:hAnsi="宋体"/>
          <w:color w:val="auto"/>
          <w:szCs w:val="21"/>
        </w:rPr>
      </w:pPr>
      <w:r>
        <w:rPr>
          <w:rFonts w:hint="eastAsia" w:ascii="宋体" w:hAnsi="宋体"/>
          <w:color w:val="auto"/>
          <w:szCs w:val="21"/>
        </w:rPr>
        <w:t>7、法规政策规定由甲方承担的其他责任。</w:t>
      </w:r>
    </w:p>
    <w:p>
      <w:pPr>
        <w:tabs>
          <w:tab w:val="left" w:pos="1185"/>
        </w:tabs>
        <w:spacing w:line="400" w:lineRule="exact"/>
        <w:ind w:left="435"/>
        <w:jc w:val="left"/>
        <w:rPr>
          <w:rFonts w:hint="eastAsia" w:ascii="宋体" w:hAnsi="宋体"/>
          <w:b/>
          <w:bCs/>
          <w:color w:val="auto"/>
          <w:szCs w:val="21"/>
        </w:rPr>
      </w:pPr>
      <w:r>
        <w:rPr>
          <w:rFonts w:hint="eastAsia" w:ascii="宋体" w:hAnsi="宋体"/>
          <w:b/>
          <w:bCs/>
          <w:color w:val="auto"/>
          <w:szCs w:val="21"/>
        </w:rPr>
        <w:t>六、乙方的权利和义务</w:t>
      </w:r>
    </w:p>
    <w:p>
      <w:pPr>
        <w:numPr>
          <w:ilvl w:val="0"/>
          <w:numId w:val="2"/>
        </w:numPr>
        <w:tabs>
          <w:tab w:val="left" w:pos="1185"/>
        </w:tabs>
        <w:spacing w:line="400" w:lineRule="exact"/>
        <w:jc w:val="left"/>
        <w:rPr>
          <w:rFonts w:hint="eastAsia" w:ascii="宋体" w:hAnsi="宋体"/>
          <w:color w:val="auto"/>
          <w:szCs w:val="21"/>
        </w:rPr>
      </w:pPr>
      <w:r>
        <w:rPr>
          <w:rFonts w:hint="eastAsia" w:ascii="宋体" w:hAnsi="宋体"/>
          <w:color w:val="auto"/>
          <w:szCs w:val="21"/>
        </w:rPr>
        <w:t>根据有关法律、法规政策及本合同的规定，制订该物业的各项管理办法、规章制度、实施细则，自主开展各项管理活动。</w:t>
      </w:r>
    </w:p>
    <w:p>
      <w:pPr>
        <w:numPr>
          <w:ilvl w:val="0"/>
          <w:numId w:val="2"/>
        </w:numPr>
        <w:tabs>
          <w:tab w:val="left" w:pos="1185"/>
        </w:tabs>
        <w:spacing w:line="400" w:lineRule="exact"/>
        <w:jc w:val="left"/>
        <w:rPr>
          <w:rFonts w:hint="eastAsia" w:ascii="宋体" w:hAnsi="宋体"/>
          <w:color w:val="auto"/>
          <w:szCs w:val="21"/>
        </w:rPr>
      </w:pPr>
      <w:r>
        <w:rPr>
          <w:rFonts w:hint="eastAsia" w:ascii="宋体" w:hAnsi="宋体"/>
          <w:color w:val="auto"/>
          <w:szCs w:val="21"/>
        </w:rPr>
        <w:t>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numPr>
          <w:ilvl w:val="0"/>
          <w:numId w:val="2"/>
        </w:numPr>
        <w:tabs>
          <w:tab w:val="left" w:pos="1185"/>
        </w:tabs>
        <w:spacing w:line="400" w:lineRule="exact"/>
        <w:jc w:val="left"/>
        <w:rPr>
          <w:rFonts w:hint="eastAsia" w:ascii="宋体" w:hAnsi="宋体"/>
          <w:color w:val="auto"/>
          <w:szCs w:val="21"/>
        </w:rPr>
      </w:pPr>
      <w:r>
        <w:rPr>
          <w:rFonts w:hint="eastAsia" w:ascii="宋体" w:hAnsi="宋体"/>
          <w:color w:val="auto"/>
          <w:szCs w:val="21"/>
        </w:rPr>
        <w:t>负责编制房屋及附属设施、设备年度维修养护计划和维修方案，经双方议定后由乙方组织实施。</w:t>
      </w:r>
    </w:p>
    <w:p>
      <w:pPr>
        <w:numPr>
          <w:ilvl w:val="0"/>
          <w:numId w:val="2"/>
        </w:numPr>
        <w:tabs>
          <w:tab w:val="left" w:pos="1185"/>
        </w:tabs>
        <w:spacing w:line="400" w:lineRule="exact"/>
        <w:jc w:val="left"/>
        <w:rPr>
          <w:rFonts w:hint="eastAsia" w:ascii="宋体" w:hAnsi="宋体"/>
          <w:color w:val="auto"/>
          <w:szCs w:val="21"/>
        </w:rPr>
      </w:pPr>
      <w:r>
        <w:rPr>
          <w:rFonts w:hint="eastAsia" w:ascii="宋体" w:hAnsi="宋体"/>
          <w:color w:val="auto"/>
          <w:szCs w:val="21"/>
        </w:rPr>
        <w:t>有权先聘专营公司承担本物业的专项管理业务并支付费用，但不得将整体管理责任及利益转让给其他人或单位，不得将重要专项业务承包给个人。</w:t>
      </w:r>
    </w:p>
    <w:p>
      <w:pPr>
        <w:numPr>
          <w:ilvl w:val="0"/>
          <w:numId w:val="2"/>
        </w:numPr>
        <w:tabs>
          <w:tab w:val="left" w:pos="1185"/>
        </w:tabs>
        <w:spacing w:line="400" w:lineRule="exact"/>
        <w:jc w:val="left"/>
        <w:rPr>
          <w:rFonts w:hint="eastAsia" w:ascii="宋体" w:hAnsi="宋体"/>
          <w:color w:val="auto"/>
          <w:szCs w:val="21"/>
        </w:rPr>
      </w:pPr>
      <w:r>
        <w:rPr>
          <w:rFonts w:hint="eastAsia" w:ascii="宋体" w:hAnsi="宋体"/>
          <w:color w:val="auto"/>
          <w:szCs w:val="21"/>
        </w:rPr>
        <w:t>接受物业管理主管部门及有关政府部门的监督、指导，并接受甲方的监督。</w:t>
      </w:r>
    </w:p>
    <w:p>
      <w:pPr>
        <w:numPr>
          <w:ilvl w:val="0"/>
          <w:numId w:val="2"/>
        </w:numPr>
        <w:tabs>
          <w:tab w:val="left" w:pos="1185"/>
        </w:tabs>
        <w:spacing w:line="400" w:lineRule="exact"/>
        <w:jc w:val="left"/>
        <w:rPr>
          <w:rFonts w:hint="eastAsia" w:ascii="宋体" w:hAnsi="宋体"/>
          <w:color w:val="auto"/>
          <w:szCs w:val="21"/>
        </w:rPr>
      </w:pPr>
      <w:r>
        <w:rPr>
          <w:rFonts w:hint="eastAsia" w:ascii="宋体" w:hAnsi="宋体"/>
          <w:color w:val="auto"/>
          <w:szCs w:val="21"/>
        </w:rPr>
        <w:t>对本物业的公用设施不得擅自占用和改变使用功能。</w:t>
      </w:r>
    </w:p>
    <w:p>
      <w:pPr>
        <w:numPr>
          <w:ilvl w:val="0"/>
          <w:numId w:val="2"/>
        </w:numPr>
        <w:tabs>
          <w:tab w:val="left" w:pos="1185"/>
        </w:tabs>
        <w:spacing w:line="400" w:lineRule="exact"/>
        <w:jc w:val="left"/>
        <w:rPr>
          <w:rFonts w:hint="eastAsia" w:ascii="宋体" w:hAnsi="宋体"/>
          <w:color w:val="auto"/>
          <w:szCs w:val="21"/>
        </w:rPr>
      </w:pPr>
      <w:r>
        <w:rPr>
          <w:rFonts w:hint="eastAsia" w:ascii="宋体" w:hAnsi="宋体"/>
          <w:color w:val="auto"/>
          <w:szCs w:val="21"/>
        </w:rPr>
        <w:t>建立本物业的物业管理档案并负责及时记载有关变更情况。</w:t>
      </w:r>
    </w:p>
    <w:p>
      <w:pPr>
        <w:numPr>
          <w:ilvl w:val="0"/>
          <w:numId w:val="2"/>
        </w:numPr>
        <w:tabs>
          <w:tab w:val="left" w:pos="1185"/>
        </w:tabs>
        <w:spacing w:line="400" w:lineRule="exact"/>
        <w:jc w:val="left"/>
        <w:rPr>
          <w:rFonts w:hint="eastAsia" w:ascii="宋体" w:hAnsi="宋体"/>
          <w:color w:val="auto"/>
          <w:szCs w:val="21"/>
        </w:rPr>
      </w:pPr>
      <w:r>
        <w:rPr>
          <w:rFonts w:hint="eastAsia" w:ascii="宋体" w:hAnsi="宋体"/>
          <w:color w:val="auto"/>
          <w:szCs w:val="21"/>
        </w:rPr>
        <w:t>本合同终止时，乙方必须向甲方移交原委托管理的全部物业及其各类管理档案、财务等资料；</w:t>
      </w:r>
    </w:p>
    <w:p>
      <w:pPr>
        <w:tabs>
          <w:tab w:val="left" w:pos="1185"/>
        </w:tabs>
        <w:spacing w:line="400" w:lineRule="exact"/>
        <w:ind w:left="435" w:leftChars="172" w:hanging="74" w:hangingChars="35"/>
        <w:jc w:val="left"/>
        <w:rPr>
          <w:rFonts w:hint="eastAsia" w:ascii="宋体" w:hAnsi="宋体"/>
          <w:b/>
          <w:bCs/>
          <w:color w:val="auto"/>
          <w:szCs w:val="21"/>
        </w:rPr>
      </w:pPr>
      <w:r>
        <w:rPr>
          <w:rFonts w:hint="eastAsia" w:ascii="宋体" w:hAnsi="宋体"/>
          <w:b/>
          <w:bCs/>
          <w:color w:val="auto"/>
          <w:szCs w:val="21"/>
        </w:rPr>
        <w:t>七、管理目标</w:t>
      </w:r>
    </w:p>
    <w:p>
      <w:pPr>
        <w:tabs>
          <w:tab w:val="left" w:pos="1185"/>
        </w:tabs>
        <w:spacing w:line="400" w:lineRule="exact"/>
        <w:ind w:left="435" w:leftChars="207" w:firstLine="420" w:firstLineChars="200"/>
        <w:jc w:val="left"/>
        <w:rPr>
          <w:rFonts w:hint="eastAsia" w:ascii="宋体" w:hAnsi="宋体"/>
          <w:color w:val="auto"/>
          <w:szCs w:val="21"/>
        </w:rPr>
      </w:pPr>
      <w:r>
        <w:rPr>
          <w:rFonts w:hint="eastAsia" w:ascii="宋体" w:hAnsi="宋体"/>
          <w:color w:val="auto"/>
          <w:szCs w:val="21"/>
        </w:rPr>
        <w:t>乙方根据甲方的委托管理事项制定出本物业管理分项标准（各项维修、养护和管理的工作标准和考核标准），与甲方协商同意后作为本合同的必备附件。</w:t>
      </w:r>
    </w:p>
    <w:p>
      <w:pPr>
        <w:tabs>
          <w:tab w:val="left" w:pos="1185"/>
        </w:tabs>
        <w:spacing w:line="400" w:lineRule="exact"/>
        <w:ind w:left="435" w:leftChars="172" w:hanging="74" w:hangingChars="35"/>
        <w:jc w:val="left"/>
        <w:rPr>
          <w:rFonts w:hint="eastAsia" w:ascii="宋体" w:hAnsi="宋体"/>
          <w:b/>
          <w:bCs/>
          <w:color w:val="auto"/>
          <w:szCs w:val="21"/>
        </w:rPr>
      </w:pPr>
      <w:r>
        <w:rPr>
          <w:rFonts w:hint="eastAsia" w:ascii="宋体" w:hAnsi="宋体"/>
          <w:b/>
          <w:bCs/>
          <w:color w:val="auto"/>
          <w:szCs w:val="21"/>
        </w:rPr>
        <w:t>八、管理服务费用</w:t>
      </w:r>
    </w:p>
    <w:p>
      <w:pPr>
        <w:tabs>
          <w:tab w:val="left" w:pos="1185"/>
        </w:tabs>
        <w:spacing w:line="400" w:lineRule="exact"/>
        <w:ind w:left="718" w:leftChars="172" w:hanging="357" w:hangingChars="170"/>
        <w:jc w:val="left"/>
        <w:rPr>
          <w:rFonts w:hint="eastAsia" w:ascii="宋体" w:hAnsi="宋体"/>
          <w:color w:val="auto"/>
          <w:szCs w:val="21"/>
        </w:rPr>
      </w:pPr>
      <w:r>
        <w:rPr>
          <w:rFonts w:hint="eastAsia" w:ascii="宋体" w:hAnsi="宋体"/>
          <w:color w:val="auto"/>
          <w:szCs w:val="21"/>
        </w:rPr>
        <w:t xml:space="preserve"> 1.  根据成交通知书的成交内容，管理服务费用的合同总金额为（大写）：</w:t>
      </w:r>
      <w:r>
        <w:rPr>
          <w:rFonts w:hint="eastAsia" w:ascii="宋体" w:hAnsi="宋体"/>
          <w:color w:val="auto"/>
          <w:szCs w:val="21"/>
          <w:u w:val="single"/>
        </w:rPr>
        <w:t xml:space="preserve">              </w:t>
      </w:r>
      <w:r>
        <w:rPr>
          <w:rFonts w:hint="eastAsia" w:ascii="宋体" w:hAnsi="宋体"/>
          <w:color w:val="auto"/>
          <w:szCs w:val="21"/>
        </w:rPr>
        <w:t xml:space="preserve">元整（￥ </w:t>
      </w:r>
      <w:r>
        <w:rPr>
          <w:rFonts w:hint="eastAsia" w:ascii="宋体" w:hAnsi="宋体"/>
          <w:color w:val="auto"/>
          <w:szCs w:val="21"/>
          <w:u w:val="single"/>
        </w:rPr>
        <w:t xml:space="preserve">           </w:t>
      </w:r>
      <w:r>
        <w:rPr>
          <w:rFonts w:hint="eastAsia" w:ascii="宋体" w:hAnsi="宋体"/>
          <w:color w:val="auto"/>
          <w:szCs w:val="21"/>
        </w:rPr>
        <w:t>元）。</w:t>
      </w:r>
    </w:p>
    <w:p>
      <w:pPr>
        <w:tabs>
          <w:tab w:val="left" w:pos="1185"/>
        </w:tabs>
        <w:spacing w:line="400" w:lineRule="exact"/>
        <w:ind w:firstLine="420" w:firstLineChars="200"/>
        <w:jc w:val="left"/>
        <w:rPr>
          <w:rFonts w:hint="eastAsia" w:ascii="宋体" w:hAnsi="宋体"/>
          <w:color w:val="auto"/>
          <w:szCs w:val="21"/>
        </w:rPr>
      </w:pPr>
      <w:r>
        <w:rPr>
          <w:rFonts w:hint="eastAsia" w:ascii="宋体" w:hAnsi="宋体"/>
          <w:color w:val="auto"/>
          <w:szCs w:val="21"/>
        </w:rPr>
        <w:t>2.  付款方式：按“合同基本条款”规定。</w:t>
      </w:r>
    </w:p>
    <w:p>
      <w:pPr>
        <w:tabs>
          <w:tab w:val="left" w:pos="1185"/>
        </w:tabs>
        <w:spacing w:line="400" w:lineRule="exact"/>
        <w:ind w:left="435"/>
        <w:jc w:val="left"/>
        <w:rPr>
          <w:rFonts w:hint="eastAsia" w:ascii="宋体" w:hAnsi="宋体"/>
          <w:b/>
          <w:bCs/>
          <w:color w:val="auto"/>
          <w:szCs w:val="21"/>
        </w:rPr>
      </w:pPr>
      <w:r>
        <w:rPr>
          <w:rFonts w:hint="eastAsia" w:ascii="宋体" w:hAnsi="宋体"/>
          <w:b/>
          <w:bCs/>
          <w:color w:val="auto"/>
          <w:szCs w:val="21"/>
        </w:rPr>
        <w:t>九、违约责任</w:t>
      </w:r>
    </w:p>
    <w:p>
      <w:pPr>
        <w:numPr>
          <w:ilvl w:val="0"/>
          <w:numId w:val="3"/>
        </w:numPr>
        <w:tabs>
          <w:tab w:val="left" w:pos="1185"/>
        </w:tabs>
        <w:spacing w:line="400" w:lineRule="exact"/>
        <w:jc w:val="left"/>
        <w:rPr>
          <w:rFonts w:hint="eastAsia" w:ascii="宋体" w:hAnsi="宋体"/>
          <w:color w:val="auto"/>
          <w:szCs w:val="21"/>
        </w:rPr>
      </w:pPr>
      <w:r>
        <w:rPr>
          <w:rFonts w:hint="eastAsia" w:ascii="宋体" w:hAnsi="宋体"/>
          <w:color w:val="auto"/>
          <w:szCs w:val="21"/>
        </w:rPr>
        <w:t>如因甲方原因，造成乙方未完成规定管理目标或直接造成乙方经济损失的，甲方应给予乙方相应补偿；乙方有权要求甲方限期整改，并有权终止合同。</w:t>
      </w:r>
    </w:p>
    <w:p>
      <w:pPr>
        <w:numPr>
          <w:ilvl w:val="0"/>
          <w:numId w:val="3"/>
        </w:numPr>
        <w:tabs>
          <w:tab w:val="left" w:pos="1185"/>
        </w:tabs>
        <w:spacing w:line="400" w:lineRule="exact"/>
        <w:jc w:val="left"/>
        <w:rPr>
          <w:rFonts w:hint="eastAsia" w:ascii="宋体" w:hAnsi="宋体"/>
          <w:color w:val="auto"/>
          <w:szCs w:val="21"/>
        </w:rPr>
      </w:pPr>
      <w:r>
        <w:rPr>
          <w:rFonts w:hint="eastAsia" w:ascii="宋体" w:hAnsi="宋体"/>
          <w:color w:val="auto"/>
          <w:szCs w:val="21"/>
        </w:rPr>
        <w:t>如因乙方原因，造成不能完成规定管理目标或直接造成甲方经济损失的，乙方应给予甲方相应补偿。甲方有权要求乙方限期整改，并有权终止合同。</w:t>
      </w:r>
    </w:p>
    <w:p>
      <w:pPr>
        <w:numPr>
          <w:ilvl w:val="0"/>
          <w:numId w:val="3"/>
        </w:numPr>
        <w:tabs>
          <w:tab w:val="left" w:pos="1185"/>
        </w:tabs>
        <w:spacing w:line="400" w:lineRule="exact"/>
        <w:jc w:val="left"/>
        <w:rPr>
          <w:rFonts w:hint="eastAsia" w:ascii="宋体" w:hAnsi="宋体"/>
          <w:color w:val="auto"/>
          <w:szCs w:val="21"/>
        </w:rPr>
      </w:pPr>
      <w:r>
        <w:rPr>
          <w:rFonts w:hint="eastAsia" w:ascii="宋体" w:hAnsi="宋体"/>
          <w:color w:val="auto"/>
          <w:szCs w:val="21"/>
        </w:rPr>
        <w:t>因甲方房屋建筑、设施设备质量或安装技术等原因，造成重大事故的，由甲方承担责任并负责善后处理。因乙方管理不善或操作不当等原因造成重大事故的或发生偷盗案件价值折合人民币500元以上的，由乙方承担责任并负责善后处理（产生事故的直接原因，以政府有关部门的鉴定结论为准）。</w:t>
      </w:r>
    </w:p>
    <w:p>
      <w:pPr>
        <w:numPr>
          <w:ilvl w:val="0"/>
          <w:numId w:val="3"/>
        </w:numPr>
        <w:tabs>
          <w:tab w:val="left" w:pos="1185"/>
        </w:tabs>
        <w:spacing w:line="400" w:lineRule="exact"/>
        <w:jc w:val="left"/>
        <w:rPr>
          <w:rFonts w:hint="eastAsia" w:ascii="宋体" w:hAnsi="宋体"/>
          <w:color w:val="auto"/>
          <w:szCs w:val="21"/>
        </w:rPr>
      </w:pPr>
      <w:r>
        <w:rPr>
          <w:rFonts w:hint="eastAsia" w:ascii="宋体" w:hAnsi="宋体"/>
          <w:color w:val="auto"/>
          <w:szCs w:val="21"/>
        </w:rPr>
        <w:t>甲、乙双方如有采取不正当竞争手段而取得管理权或致使对方失去管理权，或造成对方经济损失的，应当承担全部责任。</w:t>
      </w:r>
    </w:p>
    <w:p>
      <w:pPr>
        <w:numPr>
          <w:ilvl w:val="0"/>
          <w:numId w:val="3"/>
        </w:numPr>
        <w:tabs>
          <w:tab w:val="left" w:pos="1185"/>
        </w:tabs>
        <w:spacing w:line="400" w:lineRule="exact"/>
        <w:jc w:val="left"/>
        <w:rPr>
          <w:rFonts w:hint="eastAsia" w:ascii="宋体" w:hAnsi="宋体"/>
          <w:color w:val="auto"/>
          <w:szCs w:val="21"/>
        </w:rPr>
      </w:pPr>
      <w:r>
        <w:rPr>
          <w:rFonts w:hint="eastAsia" w:ascii="宋体" w:hAnsi="宋体"/>
          <w:color w:val="auto"/>
          <w:szCs w:val="21"/>
        </w:rPr>
        <w:t>乙方不按约定配足管理人员和工作人员的，甲方有权扣发乙方管理服务费，每人每月(不足一个月按一个月计算)扣1000元。</w:t>
      </w:r>
    </w:p>
    <w:p>
      <w:pPr>
        <w:numPr>
          <w:ilvl w:val="0"/>
          <w:numId w:val="3"/>
        </w:numPr>
        <w:tabs>
          <w:tab w:val="left" w:pos="1185"/>
        </w:tabs>
        <w:spacing w:line="400" w:lineRule="exact"/>
        <w:jc w:val="left"/>
        <w:rPr>
          <w:rFonts w:hint="eastAsia" w:ascii="宋体" w:hAnsi="宋体"/>
          <w:color w:val="auto"/>
          <w:szCs w:val="21"/>
        </w:rPr>
      </w:pPr>
      <w:r>
        <w:rPr>
          <w:rFonts w:hint="eastAsia" w:ascii="宋体" w:hAnsi="宋体"/>
          <w:color w:val="auto"/>
          <w:szCs w:val="21"/>
        </w:rPr>
        <w:t>乙方管理服务范围达不到标准的，甲方有权进行处理，第一次提出警告，第二次甲方扣乙方管理服务费每次500元。</w:t>
      </w:r>
    </w:p>
    <w:p>
      <w:pPr>
        <w:tabs>
          <w:tab w:val="left" w:pos="1185"/>
        </w:tabs>
        <w:spacing w:line="400" w:lineRule="exact"/>
        <w:ind w:left="435" w:leftChars="172" w:hanging="74" w:hangingChars="35"/>
        <w:jc w:val="left"/>
        <w:rPr>
          <w:rFonts w:hint="eastAsia" w:ascii="宋体" w:hAnsi="宋体"/>
          <w:b/>
          <w:bCs/>
          <w:color w:val="auto"/>
          <w:szCs w:val="21"/>
        </w:rPr>
      </w:pPr>
      <w:r>
        <w:rPr>
          <w:rFonts w:hint="eastAsia" w:ascii="宋体" w:hAnsi="宋体"/>
          <w:b/>
          <w:bCs/>
          <w:color w:val="auto"/>
          <w:szCs w:val="21"/>
        </w:rPr>
        <w:t>十、其他事项</w:t>
      </w:r>
    </w:p>
    <w:p>
      <w:pPr>
        <w:numPr>
          <w:ilvl w:val="0"/>
          <w:numId w:val="4"/>
        </w:numPr>
        <w:tabs>
          <w:tab w:val="left" w:pos="1185"/>
        </w:tabs>
        <w:spacing w:line="400" w:lineRule="exact"/>
        <w:jc w:val="left"/>
        <w:rPr>
          <w:rFonts w:hint="eastAsia" w:ascii="宋体" w:hAnsi="宋体"/>
          <w:color w:val="auto"/>
          <w:szCs w:val="21"/>
        </w:rPr>
      </w:pPr>
      <w:r>
        <w:rPr>
          <w:rFonts w:hint="eastAsia" w:ascii="宋体" w:hAnsi="宋体"/>
          <w:color w:val="auto"/>
          <w:szCs w:val="21"/>
        </w:rPr>
        <w:t>双方可对本合同的条款进行修订更改或补充，但应书面签订补充协议，补充协议与本合同具有同等效力。</w:t>
      </w:r>
    </w:p>
    <w:p>
      <w:pPr>
        <w:numPr>
          <w:ilvl w:val="0"/>
          <w:numId w:val="4"/>
        </w:numPr>
        <w:tabs>
          <w:tab w:val="left" w:pos="1185"/>
        </w:tabs>
        <w:spacing w:line="400" w:lineRule="exact"/>
        <w:jc w:val="left"/>
        <w:rPr>
          <w:rFonts w:hint="eastAsia" w:ascii="宋体" w:hAnsi="宋体"/>
          <w:color w:val="auto"/>
          <w:szCs w:val="21"/>
        </w:rPr>
      </w:pPr>
      <w:r>
        <w:rPr>
          <w:rFonts w:hint="eastAsia" w:ascii="宋体" w:hAnsi="宋体"/>
          <w:color w:val="auto"/>
          <w:szCs w:val="21"/>
        </w:rPr>
        <w:t>合同规定的管理期满，本合同自然终止，双方如续订合同，应在合同期满5个月前向对方提出书面意见。</w:t>
      </w:r>
    </w:p>
    <w:p>
      <w:pPr>
        <w:numPr>
          <w:ilvl w:val="0"/>
          <w:numId w:val="4"/>
        </w:numPr>
        <w:tabs>
          <w:tab w:val="left" w:pos="1185"/>
        </w:tabs>
        <w:spacing w:line="400" w:lineRule="exact"/>
        <w:jc w:val="left"/>
        <w:rPr>
          <w:rFonts w:hint="eastAsia" w:ascii="宋体" w:hAnsi="宋体"/>
          <w:color w:val="auto"/>
          <w:szCs w:val="21"/>
        </w:rPr>
      </w:pPr>
      <w:r>
        <w:rPr>
          <w:rFonts w:hint="eastAsia" w:ascii="宋体" w:hAnsi="宋体"/>
          <w:color w:val="auto"/>
          <w:szCs w:val="21"/>
        </w:rPr>
        <w:t>本合同执行期间如遇不可抗力，致使合同无法履行时，双方均不承担违约责任并按有关法规政策规定及时协商处理。</w:t>
      </w:r>
    </w:p>
    <w:p>
      <w:pPr>
        <w:numPr>
          <w:ilvl w:val="0"/>
          <w:numId w:val="4"/>
        </w:numPr>
        <w:tabs>
          <w:tab w:val="left" w:pos="1185"/>
        </w:tabs>
        <w:spacing w:line="400" w:lineRule="exact"/>
        <w:jc w:val="left"/>
        <w:rPr>
          <w:rFonts w:hint="eastAsia" w:ascii="宋体" w:hAnsi="宋体"/>
          <w:color w:val="auto"/>
          <w:szCs w:val="21"/>
        </w:rPr>
      </w:pPr>
      <w:r>
        <w:rPr>
          <w:rFonts w:hint="eastAsia" w:ascii="宋体" w:hAnsi="宋体"/>
          <w:color w:val="auto"/>
          <w:szCs w:val="21"/>
        </w:rPr>
        <w:t>本合同在履行中如发生争议，双方应协商解决；协商不成时，提请物业管理主管部门调解；调解不成的，可向合同履行地有管辖权的人民法院提起诉讼。</w:t>
      </w:r>
    </w:p>
    <w:p>
      <w:pPr>
        <w:numPr>
          <w:ilvl w:val="0"/>
          <w:numId w:val="4"/>
        </w:numPr>
        <w:tabs>
          <w:tab w:val="left" w:pos="1185"/>
        </w:tabs>
        <w:spacing w:line="400" w:lineRule="exact"/>
        <w:jc w:val="left"/>
        <w:rPr>
          <w:rFonts w:hint="eastAsia" w:ascii="宋体" w:hAnsi="宋体"/>
          <w:color w:val="auto"/>
          <w:szCs w:val="21"/>
        </w:rPr>
      </w:pPr>
      <w:r>
        <w:rPr>
          <w:rFonts w:hint="eastAsia" w:ascii="宋体" w:hAnsi="宋体"/>
          <w:color w:val="auto"/>
          <w:szCs w:val="21"/>
        </w:rPr>
        <w:t>本合同之附件均为合同有效级成部分，本合同及其附件内空格部分填写的文字与印刷文字具有同等效力。本合同及其附件和补充协议中未规定的事项，均遵照中华人民共和国有关法律、法规和政策执行。</w:t>
      </w:r>
    </w:p>
    <w:p>
      <w:pPr>
        <w:numPr>
          <w:ilvl w:val="0"/>
          <w:numId w:val="4"/>
        </w:numPr>
        <w:tabs>
          <w:tab w:val="left" w:pos="1185"/>
        </w:tabs>
        <w:spacing w:line="400" w:lineRule="exact"/>
        <w:jc w:val="left"/>
        <w:rPr>
          <w:rFonts w:hint="eastAsia" w:ascii="宋体" w:hAnsi="宋体"/>
          <w:color w:val="auto"/>
          <w:szCs w:val="21"/>
        </w:rPr>
      </w:pPr>
      <w:r>
        <w:rPr>
          <w:rFonts w:hint="eastAsia" w:ascii="宋体" w:hAnsi="宋体"/>
          <w:color w:val="auto"/>
          <w:szCs w:val="21"/>
        </w:rPr>
        <w:t>本合同一式陆份，甲乙双方各执两份、物业管理主管部门及采购代理机构各执一份，具有同等法律效力。</w:t>
      </w:r>
    </w:p>
    <w:p>
      <w:pPr>
        <w:numPr>
          <w:ilvl w:val="0"/>
          <w:numId w:val="4"/>
        </w:numPr>
        <w:tabs>
          <w:tab w:val="left" w:pos="1185"/>
        </w:tabs>
        <w:spacing w:line="400" w:lineRule="exact"/>
        <w:jc w:val="left"/>
        <w:rPr>
          <w:rFonts w:hint="eastAsia" w:ascii="宋体" w:hAnsi="宋体"/>
          <w:color w:val="auto"/>
          <w:szCs w:val="21"/>
        </w:rPr>
      </w:pPr>
      <w:r>
        <w:rPr>
          <w:rFonts w:hint="eastAsia" w:ascii="宋体" w:hAnsi="宋体"/>
          <w:color w:val="auto"/>
          <w:szCs w:val="21"/>
        </w:rPr>
        <w:t>本合同自双方签字盖章之日起生效。</w:t>
      </w:r>
    </w:p>
    <w:p>
      <w:pPr>
        <w:numPr>
          <w:ilvl w:val="0"/>
          <w:numId w:val="4"/>
        </w:numPr>
        <w:tabs>
          <w:tab w:val="left" w:pos="1185"/>
        </w:tabs>
        <w:spacing w:line="400" w:lineRule="exact"/>
        <w:jc w:val="left"/>
        <w:rPr>
          <w:rFonts w:hint="eastAsia" w:ascii="宋体" w:hAnsi="宋体"/>
          <w:color w:val="auto"/>
          <w:szCs w:val="21"/>
        </w:rPr>
      </w:pPr>
      <w:r>
        <w:rPr>
          <w:rFonts w:hint="eastAsia" w:ascii="宋体" w:hAnsi="宋体"/>
          <w:color w:val="auto"/>
          <w:szCs w:val="21"/>
        </w:rPr>
        <w:t>其他约定事项：合同履行中，如需修改或补充合同内容，由双方协商另签署书面修改或补充协议作为本合同不可分割的一部分。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hAnsi="宋体" w:cs="宋体"/>
          <w:color w:val="auto"/>
          <w:kern w:val="0"/>
          <w:szCs w:val="21"/>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8"/>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433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Courier New"/>
                <w:color w:val="auto"/>
                <w:kern w:val="0"/>
                <w:szCs w:val="21"/>
              </w:rPr>
            </w:pPr>
            <w:r>
              <w:rPr>
                <w:rFonts w:hint="eastAsia" w:ascii="宋体" w:hAnsi="宋体" w:cs="Courier New"/>
                <w:color w:val="auto"/>
                <w:kern w:val="0"/>
                <w:szCs w:val="21"/>
              </w:rPr>
              <w:t>委托方</w:t>
            </w:r>
          </w:p>
          <w:p>
            <w:pPr>
              <w:spacing w:line="400" w:lineRule="exact"/>
              <w:rPr>
                <w:rFonts w:hint="eastAsia" w:ascii="宋体" w:hAnsi="宋体" w:cs="Courier New"/>
                <w:color w:val="auto"/>
                <w:kern w:val="0"/>
                <w:szCs w:val="21"/>
              </w:rPr>
            </w:pPr>
          </w:p>
          <w:p>
            <w:pPr>
              <w:spacing w:line="400" w:lineRule="exact"/>
              <w:rPr>
                <w:rFonts w:hint="eastAsia" w:ascii="宋体" w:hAnsi="宋体" w:cs="Courier New"/>
                <w:color w:val="auto"/>
                <w:kern w:val="0"/>
                <w:szCs w:val="21"/>
              </w:rPr>
            </w:pP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委托方（章）：</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住所：</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法定代表人：</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委托代理人：</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电话：</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传真：</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开户银行：</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账号：</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邮政编码：</w:t>
            </w:r>
          </w:p>
        </w:tc>
        <w:tc>
          <w:tcPr>
            <w:tcW w:w="433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cs="Courier New"/>
                <w:color w:val="auto"/>
                <w:kern w:val="0"/>
                <w:szCs w:val="21"/>
              </w:rPr>
            </w:pPr>
            <w:r>
              <w:rPr>
                <w:rFonts w:hint="eastAsia" w:ascii="宋体" w:hAnsi="宋体" w:cs="Courier New"/>
                <w:color w:val="auto"/>
                <w:kern w:val="0"/>
                <w:szCs w:val="21"/>
              </w:rPr>
              <w:t>受托方</w:t>
            </w:r>
          </w:p>
          <w:p>
            <w:pPr>
              <w:spacing w:line="400" w:lineRule="exact"/>
              <w:rPr>
                <w:rFonts w:hint="eastAsia" w:ascii="宋体" w:hAnsi="宋体" w:cs="Courier New"/>
                <w:color w:val="auto"/>
                <w:kern w:val="0"/>
                <w:szCs w:val="21"/>
              </w:rPr>
            </w:pPr>
          </w:p>
          <w:p>
            <w:pPr>
              <w:spacing w:line="400" w:lineRule="exact"/>
              <w:rPr>
                <w:rFonts w:hint="eastAsia" w:ascii="宋体" w:hAnsi="宋体" w:cs="Courier New"/>
                <w:color w:val="auto"/>
                <w:kern w:val="0"/>
                <w:szCs w:val="21"/>
              </w:rPr>
            </w:pP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受托方（章）：</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住所：</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法定代表人：</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委托代理人：</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电话：</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传真：</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开户银行：</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账号：</w:t>
            </w:r>
          </w:p>
          <w:p>
            <w:pPr>
              <w:spacing w:line="400" w:lineRule="exact"/>
              <w:rPr>
                <w:rFonts w:hint="eastAsia" w:ascii="宋体" w:hAnsi="宋体" w:cs="Courier New"/>
                <w:color w:val="auto"/>
                <w:kern w:val="0"/>
                <w:szCs w:val="21"/>
              </w:rPr>
            </w:pPr>
            <w:r>
              <w:rPr>
                <w:rFonts w:hint="eastAsia" w:ascii="宋体" w:hAnsi="宋体" w:cs="Courier New"/>
                <w:color w:val="auto"/>
                <w:kern w:val="0"/>
                <w:szCs w:val="21"/>
              </w:rPr>
              <w:t>邮政编码：</w:t>
            </w:r>
          </w:p>
        </w:tc>
      </w:tr>
    </w:tbl>
    <w:p>
      <w:pPr>
        <w:spacing w:after="158" w:afterLines="50" w:line="400" w:lineRule="exact"/>
        <w:ind w:firstLine="420" w:firstLineChars="200"/>
        <w:jc w:val="left"/>
        <w:rPr>
          <w:rFonts w:hint="eastAsia" w:ascii="宋体" w:hAnsi="宋体"/>
          <w:color w:val="auto"/>
        </w:rPr>
      </w:pPr>
    </w:p>
    <w:p>
      <w:pPr>
        <w:widowControl/>
        <w:jc w:val="left"/>
        <w:rPr>
          <w:rFonts w:ascii="宋体" w:hAnsi="宋体"/>
          <w:bCs/>
          <w:color w:val="auto"/>
          <w:szCs w:val="21"/>
        </w:rPr>
      </w:pPr>
    </w:p>
    <w:p>
      <w:pPr>
        <w:widowControl/>
        <w:jc w:val="left"/>
        <w:rPr>
          <w:rFonts w:ascii="宋体" w:hAnsi="宋体"/>
          <w:bCs/>
          <w:color w:val="auto"/>
          <w:szCs w:val="21"/>
        </w:rPr>
      </w:pPr>
    </w:p>
    <w:p>
      <w:pPr>
        <w:rPr>
          <w:color w:val="auto"/>
        </w:rPr>
      </w:pPr>
    </w:p>
    <w:p>
      <w:pPr>
        <w:pStyle w:val="21"/>
        <w:jc w:val="left"/>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spacing w:line="400" w:lineRule="exact"/>
        <w:rPr>
          <w:rFonts w:ascii="方正小标宋_GBK" w:hAnsi="方正小标宋_GBK" w:eastAsia="方正小标宋_GBK"/>
          <w:color w:val="auto"/>
        </w:rPr>
      </w:pPr>
      <w:bookmarkStart w:id="133" w:name="_Toc397585460"/>
      <w:bookmarkStart w:id="134" w:name="_Toc92355028"/>
      <w:r>
        <w:rPr>
          <w:rFonts w:hint="eastAsia" w:ascii="方正小标宋_GBK" w:hAnsi="方正小标宋_GBK" w:eastAsia="方正小标宋_GBK"/>
          <w:color w:val="auto"/>
        </w:rPr>
        <w:t>第六章  响应文件格式</w:t>
      </w:r>
      <w:bookmarkEnd w:id="133"/>
      <w:bookmarkEnd w:id="134"/>
    </w:p>
    <w:p>
      <w:pPr>
        <w:jc w:val="left"/>
        <w:rPr>
          <w:rFonts w:hAnsi="宋体"/>
          <w:color w:val="auto"/>
          <w:sz w:val="36"/>
          <w:szCs w:val="36"/>
        </w:rPr>
      </w:pPr>
      <w:r>
        <w:rPr>
          <w:b/>
          <w:color w:val="auto"/>
          <w:sz w:val="30"/>
          <w:szCs w:val="30"/>
        </w:rPr>
        <w:br w:type="page"/>
      </w:r>
      <w:r>
        <w:rPr>
          <w:rFonts w:hint="eastAsia" w:ascii="仿宋_GB2312"/>
          <w:b/>
          <w:bCs/>
          <w:color w:val="auto"/>
          <w:sz w:val="36"/>
          <w:szCs w:val="36"/>
        </w:rPr>
        <w:t>一、供应商资格文件</w:t>
      </w:r>
    </w:p>
    <w:p>
      <w:pPr>
        <w:tabs>
          <w:tab w:val="left" w:pos="3402"/>
        </w:tabs>
        <w:rPr>
          <w:rFonts w:ascii="仿宋_GB2312" w:hAnsi="仿宋" w:eastAsia="仿宋_GB2312"/>
          <w:b/>
          <w:color w:val="auto"/>
          <w:spacing w:val="10"/>
          <w:szCs w:val="21"/>
        </w:rPr>
      </w:pPr>
      <w:bookmarkStart w:id="135" w:name="_Hlk108530892"/>
    </w:p>
    <w:p>
      <w:pPr>
        <w:tabs>
          <w:tab w:val="left" w:pos="3402"/>
        </w:tabs>
        <w:ind w:firstLine="602"/>
        <w:jc w:val="center"/>
        <w:rPr>
          <w:rFonts w:ascii="仿宋_GB2312" w:hAnsi="Adobe 仿宋 Std R" w:eastAsia="仿宋_GB2312"/>
          <w:b/>
          <w:color w:val="auto"/>
          <w:spacing w:val="10"/>
          <w:sz w:val="32"/>
          <w:szCs w:val="32"/>
        </w:rPr>
      </w:pPr>
      <w:bookmarkStart w:id="136" w:name="_Hlk147761258"/>
      <w:r>
        <w:rPr>
          <w:rFonts w:hint="eastAsia" w:ascii="仿宋_GB2312" w:hAnsi="Adobe 仿宋 Std R" w:eastAsia="仿宋_GB2312"/>
          <w:b/>
          <w:color w:val="auto"/>
          <w:spacing w:val="10"/>
          <w:sz w:val="32"/>
          <w:szCs w:val="32"/>
        </w:rPr>
        <w:t>供应商具备参加政府采购活动条件的承诺书</w:t>
      </w:r>
      <w:bookmarkEnd w:id="136"/>
      <w:r>
        <w:rPr>
          <w:rFonts w:hint="eastAsia" w:ascii="仿宋_GB2312" w:hAnsi="Adobe 仿宋 Std R" w:eastAsia="仿宋_GB2312" w:cs="黑体"/>
          <w:bCs/>
          <w:color w:val="auto"/>
          <w:sz w:val="24"/>
        </w:rPr>
        <w:t>(格式)</w:t>
      </w:r>
    </w:p>
    <w:p>
      <w:pPr>
        <w:tabs>
          <w:tab w:val="left" w:pos="3402"/>
        </w:tabs>
        <w:jc w:val="left"/>
        <w:rPr>
          <w:rFonts w:ascii="仿宋_GB2312" w:hAnsi="仿宋" w:eastAsia="仿宋_GB2312"/>
          <w:b/>
          <w:color w:val="auto"/>
          <w:spacing w:val="10"/>
          <w:szCs w:val="21"/>
        </w:rPr>
      </w:pPr>
    </w:p>
    <w:p>
      <w:pPr>
        <w:spacing w:line="520" w:lineRule="exact"/>
        <w:rPr>
          <w:rFonts w:ascii="宋体" w:hAnsi="宋体"/>
          <w:bCs/>
          <w:color w:val="auto"/>
          <w:szCs w:val="22"/>
        </w:rPr>
      </w:pPr>
      <w:r>
        <w:rPr>
          <w:rFonts w:hint="eastAsia" w:ascii="宋体" w:hAnsi="宋体"/>
          <w:bCs/>
          <w:color w:val="auto"/>
          <w:szCs w:val="22"/>
        </w:rPr>
        <w:t>钦州市政府采购中心：</w:t>
      </w:r>
    </w:p>
    <w:p>
      <w:pPr>
        <w:spacing w:line="520" w:lineRule="exact"/>
        <w:ind w:firstLine="420"/>
        <w:rPr>
          <w:rFonts w:ascii="宋体" w:hAnsi="宋体"/>
          <w:bCs/>
          <w:color w:val="auto"/>
          <w:szCs w:val="22"/>
        </w:rPr>
      </w:pPr>
      <w:r>
        <w:rPr>
          <w:rFonts w:hint="eastAsia" w:ascii="宋体" w:hAnsi="宋体"/>
          <w:bCs/>
          <w:color w:val="auto"/>
          <w:szCs w:val="22"/>
        </w:rPr>
        <w:t>根据《中华人民共和国政府采购法》实施条例第十七条的规定，现郑重承诺：</w:t>
      </w:r>
    </w:p>
    <w:p>
      <w:pPr>
        <w:spacing w:line="520" w:lineRule="exact"/>
        <w:ind w:firstLine="420"/>
        <w:rPr>
          <w:rFonts w:ascii="宋体" w:hAnsi="宋体"/>
          <w:bCs/>
          <w:color w:val="auto"/>
          <w:szCs w:val="22"/>
        </w:rPr>
      </w:pPr>
      <w:r>
        <w:rPr>
          <w:rFonts w:ascii="宋体" w:hAnsi="宋体"/>
          <w:bCs/>
          <w:color w:val="auto"/>
          <w:szCs w:val="22"/>
          <w:u w:val="single"/>
        </w:rPr>
        <w:t>(</w:t>
      </w:r>
      <w:r>
        <w:rPr>
          <w:rFonts w:hint="eastAsia" w:ascii="宋体" w:hAnsi="宋体"/>
          <w:bCs/>
          <w:color w:val="auto"/>
          <w:szCs w:val="22"/>
          <w:u w:val="single"/>
        </w:rPr>
        <w:t>供应商名称)</w:t>
      </w:r>
      <w:r>
        <w:rPr>
          <w:rFonts w:hint="eastAsia" w:ascii="宋体" w:hAnsi="宋体"/>
          <w:bCs/>
          <w:color w:val="auto"/>
          <w:szCs w:val="22"/>
        </w:rPr>
        <w:t>具有良好的商业信誉和健全的财务会计制度，具有履行合同所必需的设备和专业技术能力，有依法缴纳税收和社会保障资金的良好记录。</w:t>
      </w:r>
    </w:p>
    <w:p>
      <w:pPr>
        <w:spacing w:line="520" w:lineRule="exact"/>
        <w:ind w:firstLine="420"/>
        <w:rPr>
          <w:rFonts w:ascii="宋体" w:hAnsi="宋体"/>
          <w:bCs/>
          <w:color w:val="auto"/>
          <w:szCs w:val="22"/>
        </w:rPr>
      </w:pPr>
      <w:r>
        <w:rPr>
          <w:rFonts w:hint="eastAsia" w:ascii="宋体" w:hAnsi="宋体"/>
          <w:bCs/>
          <w:color w:val="auto"/>
          <w:szCs w:val="22"/>
        </w:rPr>
        <w:t>本单位对上述承诺内容事项真实性负责，如有虚假，由我单位承担相关法律责任。</w:t>
      </w:r>
    </w:p>
    <w:p>
      <w:pPr>
        <w:spacing w:line="520" w:lineRule="exact"/>
        <w:ind w:firstLine="420"/>
        <w:rPr>
          <w:rFonts w:ascii="宋体" w:hAnsi="宋体"/>
          <w:bCs/>
          <w:color w:val="auto"/>
          <w:szCs w:val="22"/>
        </w:rPr>
      </w:pPr>
      <w:r>
        <w:rPr>
          <w:rFonts w:hint="eastAsia" w:ascii="宋体" w:hAnsi="宋体"/>
          <w:bCs/>
          <w:color w:val="auto"/>
          <w:szCs w:val="22"/>
        </w:rPr>
        <w:t>特此承诺。</w:t>
      </w:r>
    </w:p>
    <w:p>
      <w:pPr>
        <w:rPr>
          <w:color w:val="auto"/>
        </w:rPr>
      </w:pPr>
    </w:p>
    <w:p>
      <w:pPr>
        <w:rPr>
          <w:color w:val="auto"/>
        </w:rPr>
      </w:pPr>
    </w:p>
    <w:p>
      <w:pPr>
        <w:rPr>
          <w:color w:val="auto"/>
        </w:rPr>
      </w:pPr>
    </w:p>
    <w:p>
      <w:pPr>
        <w:spacing w:line="400" w:lineRule="exact"/>
        <w:ind w:right="1050" w:rightChars="500" w:firstLine="5103" w:firstLineChars="2430"/>
        <w:jc w:val="left"/>
        <w:rPr>
          <w:rFonts w:ascii="宋体" w:hAnsi="宋体"/>
          <w:bCs/>
          <w:color w:val="auto"/>
        </w:rPr>
      </w:pPr>
      <w:r>
        <w:rPr>
          <w:rFonts w:hint="eastAsia" w:ascii="宋体" w:hAnsi="宋体"/>
          <w:bCs/>
          <w:color w:val="auto"/>
          <w:szCs w:val="22"/>
        </w:rPr>
        <w:t xml:space="preserve"> </w:t>
      </w:r>
      <w:r>
        <w:rPr>
          <w:rFonts w:ascii="宋体" w:hAnsi="宋体"/>
          <w:bCs/>
          <w:color w:val="auto"/>
          <w:szCs w:val="22"/>
        </w:rPr>
        <w:t xml:space="preserve">     </w:t>
      </w:r>
      <w:r>
        <w:rPr>
          <w:rFonts w:hint="eastAsia" w:ascii="宋体" w:hAnsi="宋体"/>
          <w:bCs/>
          <w:color w:val="auto"/>
        </w:rPr>
        <w:t>供应商（盖章）：</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p>
    <w:p>
      <w:pPr>
        <w:spacing w:line="400" w:lineRule="exact"/>
        <w:ind w:right="1050" w:rightChars="500"/>
        <w:jc w:val="right"/>
        <w:rPr>
          <w:rFonts w:ascii="宋体" w:hAnsi="宋体"/>
          <w:bCs/>
          <w:color w:val="auto"/>
        </w:rPr>
      </w:pPr>
      <w:r>
        <w:rPr>
          <w:rFonts w:hint="eastAsia" w:ascii="宋体" w:hAnsi="宋体"/>
          <w:bCs/>
          <w:color w:val="auto"/>
        </w:rPr>
        <w:t>日期：</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r>
        <w:rPr>
          <w:rFonts w:hint="eastAsia" w:ascii="宋体" w:hAnsi="宋体"/>
          <w:bCs/>
          <w:color w:val="auto"/>
        </w:rPr>
        <w:t>年</w:t>
      </w:r>
      <w:r>
        <w:rPr>
          <w:rFonts w:hint="eastAsia" w:ascii="宋体" w:hAnsi="宋体"/>
          <w:bCs/>
          <w:color w:val="auto"/>
          <w:u w:val="single"/>
        </w:rPr>
        <w:t xml:space="preserve">   </w:t>
      </w:r>
      <w:r>
        <w:rPr>
          <w:rFonts w:hint="eastAsia" w:ascii="宋体" w:hAnsi="宋体"/>
          <w:bCs/>
          <w:color w:val="auto"/>
        </w:rPr>
        <w:t>月</w:t>
      </w:r>
      <w:r>
        <w:rPr>
          <w:rFonts w:hint="eastAsia" w:ascii="宋体" w:hAnsi="宋体"/>
          <w:bCs/>
          <w:color w:val="auto"/>
          <w:u w:val="single"/>
        </w:rPr>
        <w:t xml:space="preserve">   </w:t>
      </w:r>
      <w:r>
        <w:rPr>
          <w:rFonts w:hint="eastAsia" w:ascii="宋体" w:hAnsi="宋体"/>
          <w:bCs/>
          <w:color w:val="auto"/>
        </w:rPr>
        <w:t>日</w:t>
      </w:r>
    </w:p>
    <w:p>
      <w:pPr>
        <w:rPr>
          <w:color w:val="auto"/>
        </w:rPr>
      </w:pPr>
    </w:p>
    <w:p>
      <w:pPr>
        <w:pStyle w:val="4"/>
        <w:rPr>
          <w:color w:val="auto"/>
        </w:rPr>
      </w:pPr>
    </w:p>
    <w:p>
      <w:pPr>
        <w:tabs>
          <w:tab w:val="left" w:pos="3402"/>
        </w:tabs>
        <w:spacing w:line="460" w:lineRule="exact"/>
        <w:jc w:val="center"/>
        <w:rPr>
          <w:rFonts w:ascii="仿宋_GB2312" w:hAnsi="仿宋" w:eastAsia="仿宋_GB2312"/>
          <w:b/>
          <w:color w:val="auto"/>
          <w:spacing w:val="10"/>
          <w:sz w:val="32"/>
          <w:szCs w:val="32"/>
        </w:rPr>
      </w:pPr>
      <w:r>
        <w:rPr>
          <w:rFonts w:hint="eastAsia" w:ascii="仿宋_GB2312" w:hAnsi="仿宋" w:eastAsia="仿宋_GB2312"/>
          <w:b/>
          <w:color w:val="auto"/>
          <w:spacing w:val="10"/>
          <w:sz w:val="32"/>
          <w:szCs w:val="32"/>
        </w:rPr>
        <w:t>无重大违法记录的书面声明</w:t>
      </w:r>
      <w:bookmarkStart w:id="137" w:name="_Hlk108528701"/>
      <w:r>
        <w:rPr>
          <w:rFonts w:hint="eastAsia" w:ascii="仿宋" w:hAnsi="仿宋" w:eastAsia="仿宋" w:cs="黑体"/>
          <w:bCs/>
          <w:color w:val="auto"/>
          <w:sz w:val="24"/>
        </w:rPr>
        <w:t>(格式</w:t>
      </w:r>
      <w:r>
        <w:rPr>
          <w:rFonts w:ascii="仿宋" w:hAnsi="仿宋" w:eastAsia="仿宋" w:cs="黑体"/>
          <w:bCs/>
          <w:color w:val="auto"/>
          <w:sz w:val="24"/>
        </w:rPr>
        <w:t>)</w:t>
      </w:r>
      <w:bookmarkEnd w:id="137"/>
    </w:p>
    <w:p>
      <w:pPr>
        <w:spacing w:line="400" w:lineRule="exact"/>
        <w:rPr>
          <w:rFonts w:ascii="宋体" w:hAnsi="宋体"/>
          <w:b/>
          <w:color w:val="auto"/>
        </w:rPr>
      </w:pPr>
    </w:p>
    <w:p>
      <w:pPr>
        <w:spacing w:line="520" w:lineRule="exact"/>
        <w:rPr>
          <w:rFonts w:ascii="宋体" w:hAnsi="宋体"/>
          <w:bCs/>
          <w:color w:val="auto"/>
        </w:rPr>
      </w:pPr>
      <w:r>
        <w:rPr>
          <w:rFonts w:hint="eastAsia" w:ascii="宋体" w:hAnsi="宋体"/>
          <w:bCs/>
          <w:color w:val="auto"/>
        </w:rPr>
        <w:t>钦州市政府采购中心：</w:t>
      </w:r>
    </w:p>
    <w:p>
      <w:pPr>
        <w:spacing w:line="520" w:lineRule="exact"/>
        <w:ind w:firstLine="420"/>
        <w:rPr>
          <w:rFonts w:ascii="宋体" w:hAnsi="宋体"/>
          <w:bCs/>
          <w:color w:val="auto"/>
        </w:rPr>
      </w:pPr>
      <w:r>
        <w:rPr>
          <w:rFonts w:hint="eastAsia" w:ascii="宋体" w:hAnsi="宋体"/>
          <w:bCs/>
          <w:color w:val="auto"/>
        </w:rPr>
        <w:t>根据《中华人民共和国政府采购法实施条例》第十七条第一款第(四)项的规定，现郑重声明：</w:t>
      </w:r>
    </w:p>
    <w:p>
      <w:pPr>
        <w:spacing w:line="520" w:lineRule="exact"/>
        <w:ind w:firstLine="420"/>
        <w:rPr>
          <w:rFonts w:ascii="宋体" w:hAnsi="宋体"/>
          <w:bCs/>
          <w:color w:val="auto"/>
        </w:rPr>
      </w:pPr>
      <w:r>
        <w:rPr>
          <w:rFonts w:ascii="宋体" w:hAnsi="宋体"/>
          <w:bCs/>
          <w:color w:val="auto"/>
          <w:u w:val="single"/>
        </w:rPr>
        <w:t>(</w:t>
      </w:r>
      <w:r>
        <w:rPr>
          <w:rFonts w:hint="eastAsia" w:ascii="宋体" w:hAnsi="宋体"/>
          <w:bCs/>
          <w:color w:val="auto"/>
          <w:u w:val="single"/>
        </w:rPr>
        <w:t>供应商名称)</w:t>
      </w:r>
      <w:r>
        <w:rPr>
          <w:rFonts w:hint="eastAsia" w:ascii="宋体" w:hAnsi="宋体"/>
          <w:bCs/>
          <w:color w:val="auto"/>
        </w:rPr>
        <w:t>在参加本次政府采购活动前3年内在经营活动中没有重大违法记录（</w:t>
      </w:r>
      <w:r>
        <w:rPr>
          <w:rFonts w:hint="eastAsia" w:ascii="宋体" w:hAnsi="宋体"/>
          <w:bCs/>
          <w:color w:val="auto"/>
          <w:u w:val="single"/>
        </w:rPr>
        <w:t>即因违法经营受到刑事处罚或者责令停产停业、吊销许可证或者执照、较大数额罚款等行政处罚的行为</w:t>
      </w:r>
      <w:r>
        <w:rPr>
          <w:rFonts w:hint="eastAsia" w:ascii="宋体" w:hAnsi="宋体"/>
          <w:bCs/>
          <w:color w:val="auto"/>
        </w:rPr>
        <w:t>）。</w:t>
      </w:r>
    </w:p>
    <w:p>
      <w:pPr>
        <w:spacing w:line="520" w:lineRule="exact"/>
        <w:ind w:firstLine="420"/>
        <w:rPr>
          <w:rFonts w:ascii="宋体" w:hAnsi="宋体"/>
          <w:bCs/>
          <w:color w:val="auto"/>
        </w:rPr>
      </w:pPr>
      <w:r>
        <w:rPr>
          <w:rFonts w:hint="eastAsia" w:ascii="宋体" w:hAnsi="宋体"/>
          <w:bCs/>
          <w:color w:val="auto"/>
        </w:rPr>
        <w:t>本单位对上述声明内容事项真实性负责，如有虚假，由我单位承担相关法律责任。</w:t>
      </w:r>
    </w:p>
    <w:p>
      <w:pPr>
        <w:spacing w:line="520" w:lineRule="exact"/>
        <w:ind w:firstLine="420"/>
        <w:rPr>
          <w:rFonts w:ascii="宋体" w:hAnsi="宋体"/>
          <w:bCs/>
          <w:color w:val="auto"/>
        </w:rPr>
      </w:pPr>
      <w:r>
        <w:rPr>
          <w:rFonts w:hint="eastAsia" w:ascii="宋体" w:hAnsi="宋体"/>
          <w:bCs/>
          <w:color w:val="auto"/>
        </w:rPr>
        <w:t>特此声明。</w:t>
      </w:r>
    </w:p>
    <w:p>
      <w:pPr>
        <w:rPr>
          <w:color w:val="auto"/>
        </w:rPr>
      </w:pPr>
    </w:p>
    <w:p>
      <w:pPr>
        <w:rPr>
          <w:color w:val="auto"/>
        </w:rPr>
      </w:pPr>
    </w:p>
    <w:p>
      <w:pPr>
        <w:rPr>
          <w:color w:val="auto"/>
        </w:rPr>
      </w:pPr>
    </w:p>
    <w:p>
      <w:pPr>
        <w:spacing w:line="400" w:lineRule="exact"/>
        <w:ind w:right="1050" w:rightChars="500" w:firstLine="5810" w:firstLineChars="2767"/>
        <w:jc w:val="left"/>
        <w:rPr>
          <w:rFonts w:ascii="宋体" w:hAnsi="宋体"/>
          <w:bCs/>
          <w:color w:val="auto"/>
        </w:rPr>
      </w:pPr>
      <w:bookmarkStart w:id="138" w:name="_Hlk112311442"/>
      <w:r>
        <w:rPr>
          <w:rFonts w:hint="eastAsia" w:ascii="宋体" w:hAnsi="宋体"/>
          <w:bCs/>
          <w:color w:val="auto"/>
        </w:rPr>
        <w:t>供应商（盖章）：</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p>
    <w:p>
      <w:pPr>
        <w:spacing w:line="400" w:lineRule="exact"/>
        <w:ind w:right="735" w:rightChars="350" w:firstLine="5810" w:firstLineChars="2767"/>
        <w:jc w:val="left"/>
        <w:rPr>
          <w:rFonts w:ascii="宋体" w:hAnsi="宋体"/>
          <w:bCs/>
          <w:color w:val="auto"/>
        </w:rPr>
      </w:pPr>
      <w:r>
        <w:rPr>
          <w:rFonts w:hint="eastAsia" w:ascii="宋体" w:hAnsi="宋体"/>
          <w:bCs/>
          <w:color w:val="auto"/>
        </w:rPr>
        <w:t>日期：</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r>
        <w:rPr>
          <w:rFonts w:hint="eastAsia" w:ascii="宋体" w:hAnsi="宋体"/>
          <w:bCs/>
          <w:color w:val="auto"/>
        </w:rPr>
        <w:t>年</w:t>
      </w:r>
      <w:r>
        <w:rPr>
          <w:rFonts w:hint="eastAsia" w:ascii="宋体" w:hAnsi="宋体"/>
          <w:bCs/>
          <w:color w:val="auto"/>
          <w:u w:val="single"/>
        </w:rPr>
        <w:t xml:space="preserve">   </w:t>
      </w:r>
      <w:r>
        <w:rPr>
          <w:rFonts w:hint="eastAsia" w:ascii="宋体" w:hAnsi="宋体"/>
          <w:bCs/>
          <w:color w:val="auto"/>
        </w:rPr>
        <w:t>月</w:t>
      </w:r>
      <w:r>
        <w:rPr>
          <w:rFonts w:hint="eastAsia" w:ascii="宋体" w:hAnsi="宋体"/>
          <w:bCs/>
          <w:color w:val="auto"/>
          <w:u w:val="single"/>
        </w:rPr>
        <w:t xml:space="preserve">   </w:t>
      </w:r>
      <w:r>
        <w:rPr>
          <w:rFonts w:hint="eastAsia" w:ascii="宋体" w:hAnsi="宋体"/>
          <w:bCs/>
          <w:color w:val="auto"/>
        </w:rPr>
        <w:t>日</w:t>
      </w:r>
      <w:bookmarkEnd w:id="138"/>
      <w:r>
        <w:rPr>
          <w:color w:val="auto"/>
        </w:rPr>
        <w:br w:type="page"/>
      </w:r>
    </w:p>
    <w:p>
      <w:pPr>
        <w:rPr>
          <w:color w:val="auto"/>
        </w:rPr>
      </w:pPr>
    </w:p>
    <w:p>
      <w:pPr>
        <w:spacing w:line="440" w:lineRule="exact"/>
        <w:jc w:val="center"/>
        <w:rPr>
          <w:rFonts w:ascii="仿宋_GB2312" w:hAnsi="宋体" w:eastAsia="仿宋_GB2312"/>
          <w:b/>
          <w:color w:val="auto"/>
          <w:sz w:val="36"/>
          <w:szCs w:val="36"/>
        </w:rPr>
      </w:pPr>
      <w:r>
        <w:rPr>
          <w:rFonts w:hint="eastAsia" w:ascii="仿宋_GB2312" w:hAnsi="宋体" w:eastAsia="仿宋_GB2312"/>
          <w:b/>
          <w:color w:val="auto"/>
          <w:sz w:val="36"/>
          <w:szCs w:val="36"/>
        </w:rPr>
        <w:t>中小企业声明函</w:t>
      </w:r>
    </w:p>
    <w:p>
      <w:pPr>
        <w:spacing w:line="440" w:lineRule="exact"/>
        <w:jc w:val="left"/>
        <w:rPr>
          <w:rFonts w:hAnsi="宋体"/>
          <w:bCs/>
          <w:color w:val="auto"/>
          <w:szCs w:val="21"/>
        </w:rPr>
      </w:pPr>
    </w:p>
    <w:p>
      <w:pPr>
        <w:spacing w:line="600" w:lineRule="exact"/>
        <w:ind w:firstLine="294" w:firstLineChars="140"/>
        <w:jc w:val="left"/>
        <w:rPr>
          <w:rFonts w:ascii="宋体" w:hAnsi="宋体"/>
          <w:bCs/>
          <w:color w:val="auto"/>
          <w:szCs w:val="21"/>
        </w:rPr>
      </w:pPr>
      <w:r>
        <w:rPr>
          <w:rFonts w:hint="eastAsia" w:ascii="宋体" w:hAnsi="宋体"/>
          <w:bCs/>
          <w:color w:val="auto"/>
          <w:szCs w:val="21"/>
        </w:rPr>
        <w:t>本公司郑重声明，根据《政府采购促进中小企业发展管理办法》</w:t>
      </w:r>
      <w:bookmarkStart w:id="139" w:name="_Hlk60836554"/>
      <w:r>
        <w:rPr>
          <w:rFonts w:hint="eastAsia" w:ascii="宋体" w:hAnsi="宋体"/>
          <w:bCs/>
          <w:color w:val="auto"/>
          <w:szCs w:val="21"/>
        </w:rPr>
        <w:t>（财库﹝2020﹞46号）</w:t>
      </w:r>
      <w:bookmarkEnd w:id="139"/>
      <w:r>
        <w:rPr>
          <w:rFonts w:hint="eastAsia" w:ascii="宋体" w:hAnsi="宋体"/>
          <w:bCs/>
          <w:color w:val="auto"/>
          <w:szCs w:val="21"/>
        </w:rPr>
        <w:t>的规定，本公司参加（</w:t>
      </w:r>
      <w:r>
        <w:rPr>
          <w:rFonts w:hint="eastAsia" w:ascii="宋体" w:hAnsi="宋体"/>
          <w:bCs/>
          <w:color w:val="auto"/>
          <w:szCs w:val="21"/>
          <w:u w:val="single"/>
        </w:rPr>
        <w:t>单位名称</w:t>
      </w:r>
      <w:r>
        <w:rPr>
          <w:rFonts w:hint="eastAsia" w:ascii="宋体" w:hAnsi="宋体"/>
          <w:bCs/>
          <w:color w:val="auto"/>
          <w:szCs w:val="21"/>
        </w:rPr>
        <w:t>）的（</w:t>
      </w:r>
      <w:r>
        <w:rPr>
          <w:rFonts w:hint="eastAsia" w:ascii="宋体" w:hAnsi="宋体"/>
          <w:bCs/>
          <w:color w:val="auto"/>
          <w:szCs w:val="21"/>
          <w:u w:val="single"/>
        </w:rPr>
        <w:t>项目名称</w:t>
      </w:r>
      <w:r>
        <w:rPr>
          <w:rFonts w:hint="eastAsia" w:ascii="宋体" w:hAnsi="宋体"/>
          <w:bCs/>
          <w:color w:val="auto"/>
          <w:szCs w:val="21"/>
        </w:rPr>
        <w:t>）采购活动，</w:t>
      </w:r>
      <w:bookmarkStart w:id="140" w:name="_Hlk108682836"/>
      <w:r>
        <w:rPr>
          <w:rFonts w:hint="eastAsia" w:ascii="宋体" w:hAnsi="宋体"/>
          <w:bCs/>
          <w:color w:val="auto"/>
          <w:szCs w:val="21"/>
        </w:rPr>
        <w:t>服务全部由符合政策要求的中小企业承接</w:t>
      </w:r>
      <w:bookmarkEnd w:id="140"/>
      <w:r>
        <w:rPr>
          <w:rFonts w:hint="eastAsia" w:ascii="宋体" w:hAnsi="宋体"/>
          <w:bCs/>
          <w:color w:val="auto"/>
          <w:szCs w:val="21"/>
        </w:rPr>
        <w:t>。相关企业的具体情况如下：</w:t>
      </w:r>
    </w:p>
    <w:p>
      <w:pPr>
        <w:spacing w:line="600" w:lineRule="exact"/>
        <w:ind w:firstLine="294" w:firstLineChars="140"/>
        <w:jc w:val="left"/>
        <w:rPr>
          <w:rFonts w:ascii="宋体" w:hAnsi="宋体"/>
          <w:bCs/>
          <w:color w:val="auto"/>
          <w:szCs w:val="21"/>
        </w:rPr>
      </w:pPr>
      <w:r>
        <w:rPr>
          <w:rFonts w:hint="eastAsia" w:ascii="宋体" w:hAnsi="宋体"/>
          <w:bCs/>
          <w:color w:val="auto"/>
          <w:szCs w:val="21"/>
        </w:rPr>
        <w:t>1.</w:t>
      </w:r>
      <w:bookmarkStart w:id="141" w:name="_Hlk60836996"/>
      <w:r>
        <w:rPr>
          <w:rFonts w:hint="eastAsia" w:ascii="宋体" w:hAnsi="宋体"/>
          <w:bCs/>
          <w:color w:val="auto"/>
          <w:szCs w:val="21"/>
        </w:rPr>
        <w:t>（</w:t>
      </w:r>
      <w:r>
        <w:rPr>
          <w:rFonts w:hint="eastAsia" w:ascii="宋体" w:hAnsi="宋体"/>
          <w:bCs/>
          <w:color w:val="auto"/>
          <w:szCs w:val="21"/>
          <w:u w:val="single"/>
        </w:rPr>
        <w:t>标的名称</w:t>
      </w:r>
      <w:r>
        <w:rPr>
          <w:rFonts w:hint="eastAsia" w:ascii="宋体" w:hAnsi="宋体"/>
          <w:bCs/>
          <w:color w:val="auto"/>
          <w:szCs w:val="21"/>
        </w:rPr>
        <w:t>），属于（</w:t>
      </w:r>
      <w:r>
        <w:rPr>
          <w:rFonts w:hint="eastAsia" w:ascii="宋体" w:hAnsi="宋体"/>
          <w:bCs/>
          <w:color w:val="auto"/>
          <w:szCs w:val="21"/>
          <w:u w:val="single"/>
        </w:rPr>
        <w:t>采购文件中明确的所属行业</w:t>
      </w:r>
      <w:r>
        <w:rPr>
          <w:rFonts w:hint="eastAsia" w:ascii="宋体" w:hAnsi="宋体"/>
          <w:bCs/>
          <w:color w:val="auto"/>
          <w:szCs w:val="21"/>
        </w:rPr>
        <w:t>）行业；承接企业为（</w:t>
      </w:r>
      <w:r>
        <w:rPr>
          <w:rFonts w:hint="eastAsia" w:ascii="宋体" w:hAnsi="宋体"/>
          <w:bCs/>
          <w:color w:val="auto"/>
          <w:szCs w:val="21"/>
          <w:u w:val="single"/>
        </w:rPr>
        <w:t>企业名称</w:t>
      </w:r>
      <w:r>
        <w:rPr>
          <w:rFonts w:hint="eastAsia" w:ascii="宋体" w:hAnsi="宋体"/>
          <w:bCs/>
          <w:color w:val="auto"/>
          <w:szCs w:val="21"/>
        </w:rPr>
        <w:t>），从业人员</w:t>
      </w:r>
      <w:r>
        <w:rPr>
          <w:rFonts w:ascii="宋体" w:hAnsi="宋体"/>
          <w:bCs/>
          <w:color w:val="auto"/>
          <w:szCs w:val="21"/>
          <w:u w:val="single"/>
        </w:rPr>
        <w:t xml:space="preserve">  </w:t>
      </w:r>
      <w:r>
        <w:rPr>
          <w:rFonts w:hint="eastAsia" w:ascii="宋体" w:hAnsi="宋体"/>
          <w:bCs/>
          <w:color w:val="auto"/>
          <w:szCs w:val="21"/>
        </w:rPr>
        <w:t>人，营业收入为</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Cs/>
          <w:color w:val="auto"/>
          <w:szCs w:val="21"/>
        </w:rPr>
        <w:t>万元，资产总额为</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rPr>
        <w:t>万元，属于（</w:t>
      </w:r>
      <w:r>
        <w:rPr>
          <w:rFonts w:hint="eastAsia" w:ascii="宋体" w:hAnsi="宋体"/>
          <w:bCs/>
          <w:color w:val="auto"/>
          <w:szCs w:val="21"/>
          <w:u w:val="single"/>
        </w:rPr>
        <w:t>中型企业、小型企业、微型企业</w:t>
      </w:r>
      <w:r>
        <w:rPr>
          <w:rFonts w:hint="eastAsia" w:ascii="宋体" w:hAnsi="宋体"/>
          <w:bCs/>
          <w:color w:val="auto"/>
          <w:szCs w:val="21"/>
        </w:rPr>
        <w:t>）；</w:t>
      </w:r>
      <w:bookmarkEnd w:id="141"/>
    </w:p>
    <w:p>
      <w:pPr>
        <w:spacing w:line="600" w:lineRule="exact"/>
        <w:ind w:firstLine="294" w:firstLineChars="140"/>
        <w:jc w:val="left"/>
        <w:rPr>
          <w:rFonts w:ascii="宋体" w:hAnsi="宋体"/>
          <w:bCs/>
          <w:color w:val="auto"/>
          <w:szCs w:val="21"/>
        </w:rPr>
      </w:pPr>
      <w:r>
        <w:rPr>
          <w:rFonts w:hint="eastAsia" w:ascii="宋体" w:hAnsi="宋体"/>
          <w:bCs/>
          <w:color w:val="auto"/>
          <w:szCs w:val="21"/>
        </w:rPr>
        <w:t>2.（</w:t>
      </w:r>
      <w:r>
        <w:rPr>
          <w:rFonts w:hint="eastAsia" w:ascii="宋体" w:hAnsi="宋体"/>
          <w:bCs/>
          <w:color w:val="auto"/>
          <w:szCs w:val="21"/>
          <w:u w:val="single"/>
        </w:rPr>
        <w:t>标的名称</w:t>
      </w:r>
      <w:r>
        <w:rPr>
          <w:rFonts w:hint="eastAsia" w:ascii="宋体" w:hAnsi="宋体"/>
          <w:bCs/>
          <w:color w:val="auto"/>
          <w:szCs w:val="21"/>
        </w:rPr>
        <w:t>），属于（</w:t>
      </w:r>
      <w:r>
        <w:rPr>
          <w:rFonts w:hint="eastAsia" w:ascii="宋体" w:hAnsi="宋体"/>
          <w:bCs/>
          <w:color w:val="auto"/>
          <w:szCs w:val="21"/>
          <w:u w:val="single"/>
        </w:rPr>
        <w:t>采购文件中明确的所属行业</w:t>
      </w:r>
      <w:r>
        <w:rPr>
          <w:rFonts w:hint="eastAsia" w:ascii="宋体" w:hAnsi="宋体"/>
          <w:bCs/>
          <w:color w:val="auto"/>
          <w:szCs w:val="21"/>
        </w:rPr>
        <w:t>）行业；承接企业为（</w:t>
      </w:r>
      <w:r>
        <w:rPr>
          <w:rFonts w:hint="eastAsia" w:ascii="宋体" w:hAnsi="宋体"/>
          <w:bCs/>
          <w:color w:val="auto"/>
          <w:szCs w:val="21"/>
          <w:u w:val="single"/>
        </w:rPr>
        <w:t>企业名称</w:t>
      </w:r>
      <w:r>
        <w:rPr>
          <w:rFonts w:hint="eastAsia" w:ascii="宋体" w:hAnsi="宋体"/>
          <w:bCs/>
          <w:color w:val="auto"/>
          <w:szCs w:val="21"/>
        </w:rPr>
        <w:t>），从业人员</w:t>
      </w:r>
      <w:r>
        <w:rPr>
          <w:rFonts w:ascii="宋体" w:hAnsi="宋体"/>
          <w:bCs/>
          <w:color w:val="auto"/>
          <w:szCs w:val="21"/>
          <w:u w:val="single"/>
        </w:rPr>
        <w:t xml:space="preserve">  </w:t>
      </w:r>
      <w:r>
        <w:rPr>
          <w:rFonts w:hint="eastAsia" w:ascii="宋体" w:hAnsi="宋体"/>
          <w:bCs/>
          <w:color w:val="auto"/>
          <w:szCs w:val="21"/>
        </w:rPr>
        <w:t>人，营业收入为</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Cs/>
          <w:color w:val="auto"/>
          <w:szCs w:val="21"/>
        </w:rPr>
        <w:t>万元，资产总额为</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rPr>
        <w:t>万元，属于（</w:t>
      </w:r>
      <w:r>
        <w:rPr>
          <w:rFonts w:hint="eastAsia" w:ascii="宋体" w:hAnsi="宋体"/>
          <w:bCs/>
          <w:color w:val="auto"/>
          <w:szCs w:val="21"/>
          <w:u w:val="single"/>
        </w:rPr>
        <w:t>中型企业、小型企业、微型企业</w:t>
      </w:r>
      <w:r>
        <w:rPr>
          <w:rFonts w:hint="eastAsia" w:ascii="宋体" w:hAnsi="宋体"/>
          <w:bCs/>
          <w:color w:val="auto"/>
          <w:szCs w:val="21"/>
        </w:rPr>
        <w:t>）；</w:t>
      </w:r>
    </w:p>
    <w:p>
      <w:pPr>
        <w:spacing w:line="600" w:lineRule="exact"/>
        <w:ind w:firstLine="294" w:firstLineChars="140"/>
        <w:jc w:val="left"/>
        <w:rPr>
          <w:rFonts w:ascii="宋体" w:hAnsi="宋体"/>
          <w:bCs/>
          <w:color w:val="auto"/>
          <w:szCs w:val="21"/>
        </w:rPr>
      </w:pPr>
      <w:r>
        <w:rPr>
          <w:rFonts w:hint="eastAsia" w:ascii="宋体" w:hAnsi="宋体"/>
          <w:bCs/>
          <w:color w:val="auto"/>
          <w:szCs w:val="21"/>
        </w:rPr>
        <w:t>……</w:t>
      </w:r>
    </w:p>
    <w:p>
      <w:pPr>
        <w:spacing w:line="600" w:lineRule="exact"/>
        <w:ind w:firstLine="294" w:firstLineChars="140"/>
        <w:jc w:val="left"/>
        <w:rPr>
          <w:rFonts w:ascii="宋体" w:hAnsi="宋体"/>
          <w:bCs/>
          <w:color w:val="auto"/>
          <w:szCs w:val="21"/>
        </w:rPr>
      </w:pPr>
      <w:r>
        <w:rPr>
          <w:rFonts w:hint="eastAsia" w:ascii="宋体" w:hAnsi="宋体"/>
          <w:bCs/>
          <w:color w:val="auto"/>
          <w:szCs w:val="21"/>
        </w:rPr>
        <w:t>以上企业，不属于大企业的分支机构，不存在控股股东为大企业的情形，也不存在与大企业的负责人为同一人的情形。</w:t>
      </w:r>
    </w:p>
    <w:p>
      <w:pPr>
        <w:spacing w:line="600" w:lineRule="exact"/>
        <w:ind w:firstLine="294" w:firstLineChars="140"/>
        <w:jc w:val="left"/>
        <w:rPr>
          <w:rFonts w:ascii="宋体" w:hAnsi="宋体"/>
          <w:bCs/>
          <w:color w:val="auto"/>
          <w:szCs w:val="21"/>
        </w:rPr>
      </w:pPr>
      <w:r>
        <w:rPr>
          <w:rFonts w:hint="eastAsia" w:ascii="宋体" w:hAnsi="宋体"/>
          <w:bCs/>
          <w:color w:val="auto"/>
          <w:szCs w:val="21"/>
        </w:rPr>
        <w:t>本企业对上述声明内容的真实性负责。如有虚假，将依法承担相应责任。</w:t>
      </w:r>
    </w:p>
    <w:p>
      <w:pPr>
        <w:spacing w:line="400" w:lineRule="exact"/>
        <w:rPr>
          <w:color w:val="auto"/>
          <w:szCs w:val="21"/>
        </w:rPr>
      </w:pPr>
    </w:p>
    <w:p>
      <w:pPr>
        <w:spacing w:line="400" w:lineRule="exact"/>
        <w:rPr>
          <w:color w:val="auto"/>
          <w:szCs w:val="21"/>
        </w:rPr>
      </w:pPr>
    </w:p>
    <w:p>
      <w:pPr>
        <w:spacing w:line="400" w:lineRule="exact"/>
        <w:rPr>
          <w:color w:val="auto"/>
          <w:szCs w:val="21"/>
        </w:rPr>
      </w:pPr>
    </w:p>
    <w:p>
      <w:pPr>
        <w:spacing w:line="500" w:lineRule="exact"/>
        <w:ind w:right="451" w:rightChars="215" w:firstLine="3570" w:firstLineChars="1700"/>
        <w:jc w:val="center"/>
        <w:rPr>
          <w:rFonts w:ascii="宋体" w:hAnsi="宋体"/>
          <w:bCs/>
          <w:color w:val="auto"/>
          <w:szCs w:val="21"/>
        </w:rPr>
      </w:pPr>
      <w:r>
        <w:rPr>
          <w:rFonts w:hint="eastAsia" w:ascii="宋体" w:hAnsi="宋体"/>
          <w:bCs/>
          <w:color w:val="auto"/>
          <w:szCs w:val="21"/>
        </w:rPr>
        <w:t>企业名称（盖章）：</w:t>
      </w:r>
      <w:r>
        <w:rPr>
          <w:rFonts w:hint="eastAsia" w:ascii="宋体" w:hAnsi="宋体"/>
          <w:bCs/>
          <w:color w:val="auto"/>
          <w:szCs w:val="21"/>
          <w:u w:val="single"/>
        </w:rPr>
        <w:t xml:space="preserve"> </w:t>
      </w:r>
      <w:r>
        <w:rPr>
          <w:rFonts w:ascii="宋体" w:hAnsi="宋体"/>
          <w:bCs/>
          <w:color w:val="auto"/>
          <w:szCs w:val="21"/>
          <w:u w:val="single"/>
        </w:rPr>
        <w:t xml:space="preserve">                 </w:t>
      </w:r>
    </w:p>
    <w:p>
      <w:pPr>
        <w:spacing w:line="500" w:lineRule="exact"/>
        <w:ind w:right="309" w:rightChars="147" w:firstLine="5460" w:firstLineChars="2600"/>
        <w:rPr>
          <w:rFonts w:ascii="宋体" w:hAnsi="宋体"/>
          <w:bCs/>
          <w:color w:val="auto"/>
          <w:szCs w:val="21"/>
        </w:rPr>
      </w:pPr>
      <w:r>
        <w:rPr>
          <w:rFonts w:hint="eastAsia" w:ascii="宋体" w:hAnsi="宋体"/>
          <w:bCs/>
          <w:color w:val="auto"/>
          <w:szCs w:val="21"/>
        </w:rPr>
        <w:t>日 期：</w:t>
      </w:r>
      <w:r>
        <w:rPr>
          <w:rFonts w:hint="eastAsia" w:ascii="宋体" w:hAnsi="宋体"/>
          <w:bCs/>
          <w:color w:val="auto"/>
          <w:szCs w:val="21"/>
          <w:u w:val="single"/>
        </w:rPr>
        <w:t xml:space="preserve"> </w:t>
      </w:r>
      <w:r>
        <w:rPr>
          <w:rFonts w:ascii="宋体" w:hAnsi="宋体"/>
          <w:bCs/>
          <w:color w:val="auto"/>
          <w:szCs w:val="21"/>
          <w:u w:val="single"/>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320" w:lineRule="exact"/>
        <w:jc w:val="left"/>
        <w:rPr>
          <w:rFonts w:hAnsi="宋体"/>
          <w:bCs/>
          <w:color w:val="auto"/>
          <w:sz w:val="18"/>
          <w:szCs w:val="18"/>
        </w:rPr>
      </w:pPr>
      <w:bookmarkStart w:id="142" w:name="_Hlk82091879"/>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),从)</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),业)</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),人)</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),员)</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),营)</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),业)</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),收)</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),入)</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),资)</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),产)</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),总)</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),额)</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),填)</w:instrText>
      </w:r>
      <w:r>
        <w:rPr>
          <w:rFonts w:hAnsi="宋体"/>
          <w:bCs/>
          <w:color w:val="auto"/>
          <w:sz w:val="18"/>
          <w:szCs w:val="18"/>
        </w:rPr>
        <w:fldChar w:fldCharType="end"/>
      </w:r>
      <w:r>
        <w:rPr>
          <w:rFonts w:hAnsi="宋体"/>
          <w:bCs/>
          <w:color w:val="auto"/>
          <w:sz w:val="18"/>
          <w:szCs w:val="18"/>
        </w:rPr>
        <w:fldChar w:fldCharType="begin"/>
      </w:r>
      <w:r>
        <w:rPr>
          <w:rFonts w:hAnsi="宋体"/>
          <w:bCs/>
          <w:color w:val="auto"/>
          <w:sz w:val="18"/>
          <w:szCs w:val="18"/>
        </w:rPr>
        <w:instrText xml:space="preserve">EQ \* jc2 \* hps9 \o\ad(\s\up 8(</w:instrText>
      </w:r>
      <w:r>
        <w:rPr>
          <w:rFonts w:ascii="宋体" w:hAnsi="宋体"/>
          <w:bCs/>
          <w:color w:val="auto"/>
          <w:sz w:val="18"/>
          <w:szCs w:val="18"/>
        </w:rPr>
        <w:instrText xml:space="preserve">——</w:instrText>
      </w:r>
      <w:r>
        <w:rPr>
          <w:rFonts w:hAnsi="宋体"/>
          <w:bCs/>
          <w:color w:val="auto"/>
          <w:sz w:val="18"/>
          <w:szCs w:val="18"/>
        </w:rPr>
        <w:instrText xml:space="preserve">),报)</w:instrText>
      </w:r>
      <w:r>
        <w:rPr>
          <w:rFonts w:hAnsi="宋体"/>
          <w:bCs/>
          <w:color w:val="auto"/>
          <w:sz w:val="18"/>
          <w:szCs w:val="18"/>
        </w:rPr>
        <w:fldChar w:fldCharType="end"/>
      </w:r>
      <w:bookmarkEnd w:id="142"/>
      <w:r>
        <w:rPr>
          <w:rFonts w:hint="eastAsia" w:hAnsi="宋体"/>
          <w:bCs/>
          <w:color w:val="auto"/>
          <w:sz w:val="18"/>
          <w:szCs w:val="18"/>
        </w:rPr>
        <w:t>上一年度数据，无上一年度数据的新成立企业可不填报。</w:t>
      </w:r>
      <w:bookmarkEnd w:id="135"/>
    </w:p>
    <w:p>
      <w:pPr>
        <w:pStyle w:val="4"/>
        <w:rPr>
          <w:color w:val="auto"/>
        </w:rPr>
      </w:pPr>
      <w:r>
        <w:rPr>
          <w:color w:val="auto"/>
        </w:rPr>
        <w:br w:type="page"/>
      </w:r>
    </w:p>
    <w:tbl>
      <w:tblPr>
        <w:tblStyle w:val="36"/>
        <w:tblW w:w="9952" w:type="dxa"/>
        <w:tblInd w:w="150" w:type="dxa"/>
        <w:shd w:val="clear" w:color="auto" w:fill="FFFFFF"/>
        <w:tblLayout w:type="autofit"/>
        <w:tblCellMar>
          <w:top w:w="15" w:type="dxa"/>
          <w:left w:w="15" w:type="dxa"/>
          <w:bottom w:w="15" w:type="dxa"/>
          <w:right w:w="15" w:type="dxa"/>
        </w:tblCellMar>
      </w:tblPr>
      <w:tblGrid>
        <w:gridCol w:w="2127"/>
        <w:gridCol w:w="1413"/>
        <w:gridCol w:w="714"/>
        <w:gridCol w:w="1275"/>
        <w:gridCol w:w="1843"/>
        <w:gridCol w:w="1559"/>
        <w:gridCol w:w="1021"/>
      </w:tblGrid>
      <w:tr>
        <w:tblPrEx>
          <w:tblCellMar>
            <w:top w:w="15" w:type="dxa"/>
            <w:left w:w="15" w:type="dxa"/>
            <w:bottom w:w="15" w:type="dxa"/>
            <w:right w:w="15" w:type="dxa"/>
          </w:tblCellMar>
        </w:tblPrEx>
        <w:trPr>
          <w:trHeight w:val="330" w:hRule="atLeast"/>
        </w:trPr>
        <w:tc>
          <w:tcPr>
            <w:tcW w:w="9952" w:type="dxa"/>
            <w:gridSpan w:val="7"/>
            <w:tcBorders>
              <w:top w:val="nil"/>
              <w:left w:val="nil"/>
              <w:bottom w:val="single" w:color="auto" w:sz="6" w:space="0"/>
              <w:right w:val="nil"/>
            </w:tcBorders>
            <w:shd w:val="clear" w:color="auto" w:fill="FFFFFF"/>
            <w:tcMar>
              <w:top w:w="30" w:type="dxa"/>
              <w:left w:w="150" w:type="dxa"/>
              <w:bottom w:w="30" w:type="dxa"/>
              <w:right w:w="150" w:type="dxa"/>
            </w:tcMar>
            <w:vAlign w:val="center"/>
          </w:tcPr>
          <w:p>
            <w:pPr>
              <w:widowControl/>
              <w:spacing w:line="440" w:lineRule="exact"/>
              <w:jc w:val="center"/>
              <w:rPr>
                <w:rFonts w:ascii="Helvetica" w:hAnsi="Helvetica" w:cs="Helvetica"/>
                <w:b/>
                <w:bCs/>
                <w:color w:val="auto"/>
                <w:kern w:val="0"/>
                <w:szCs w:val="21"/>
              </w:rPr>
            </w:pPr>
            <w:bookmarkStart w:id="143" w:name="_Hlk147826091"/>
            <w:r>
              <w:rPr>
                <w:rFonts w:ascii="Helvetica" w:hAnsi="Helvetica" w:cs="Helvetica"/>
                <w:b/>
                <w:bCs/>
                <w:color w:val="auto"/>
                <w:kern w:val="0"/>
                <w:szCs w:val="21"/>
              </w:rPr>
              <w:t>大中小微型企业划分标准</w:t>
            </w:r>
          </w:p>
        </w:tc>
      </w:tr>
      <w:tr>
        <w:tblPrEx>
          <w:shd w:val="clear" w:color="auto" w:fill="FFFFFF"/>
          <w:tblCellMar>
            <w:top w:w="15" w:type="dxa"/>
            <w:left w:w="15" w:type="dxa"/>
            <w:bottom w:w="15" w:type="dxa"/>
            <w:right w:w="15" w:type="dxa"/>
          </w:tblCellMar>
        </w:tblPrEx>
        <w:trPr>
          <w:trHeight w:val="330" w:hRule="atLeast"/>
        </w:trPr>
        <w:tc>
          <w:tcPr>
            <w:tcW w:w="2127"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bookmarkStart w:id="144" w:name="_Hlk143699200"/>
            <w:r>
              <w:rPr>
                <w:rFonts w:ascii="Helvetica" w:hAnsi="Helvetica" w:cs="Helvetica"/>
                <w:b/>
                <w:bCs/>
                <w:color w:val="auto"/>
                <w:kern w:val="0"/>
                <w:sz w:val="18"/>
                <w:szCs w:val="18"/>
              </w:rPr>
              <w:t>行业名称</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b/>
                <w:bCs/>
                <w:color w:val="auto"/>
                <w:kern w:val="0"/>
                <w:sz w:val="18"/>
                <w:szCs w:val="18"/>
              </w:rPr>
              <w:t>指标名称</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b/>
                <w:bCs/>
                <w:color w:val="auto"/>
                <w:kern w:val="0"/>
                <w:sz w:val="18"/>
                <w:szCs w:val="18"/>
              </w:rPr>
              <w:t>计量</w:t>
            </w:r>
          </w:p>
          <w:p>
            <w:pPr>
              <w:widowControl/>
              <w:spacing w:line="340" w:lineRule="exact"/>
              <w:jc w:val="center"/>
              <w:rPr>
                <w:rFonts w:ascii="Helvetica" w:hAnsi="Helvetica" w:cs="Helvetica"/>
                <w:color w:val="auto"/>
                <w:kern w:val="0"/>
                <w:sz w:val="18"/>
                <w:szCs w:val="18"/>
              </w:rPr>
            </w:pPr>
            <w:r>
              <w:rPr>
                <w:rFonts w:ascii="Helvetica" w:hAnsi="Helvetica" w:cs="Helvetica"/>
                <w:b/>
                <w:bCs/>
                <w:color w:val="auto"/>
                <w:kern w:val="0"/>
                <w:sz w:val="18"/>
                <w:szCs w:val="18"/>
              </w:rPr>
              <w:t>单位</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b/>
                <w:bCs/>
                <w:color w:val="auto"/>
                <w:kern w:val="0"/>
                <w:sz w:val="18"/>
                <w:szCs w:val="18"/>
              </w:rPr>
              <w:t>大型</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b/>
                <w:bCs/>
                <w:color w:val="auto"/>
                <w:kern w:val="0"/>
                <w:sz w:val="18"/>
                <w:szCs w:val="18"/>
              </w:rPr>
              <w:t>中型</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b/>
                <w:bCs/>
                <w:color w:val="auto"/>
                <w:kern w:val="0"/>
                <w:sz w:val="18"/>
                <w:szCs w:val="18"/>
              </w:rPr>
              <w:t>小型</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b/>
                <w:bCs/>
                <w:color w:val="auto"/>
                <w:kern w:val="0"/>
                <w:sz w:val="18"/>
                <w:szCs w:val="18"/>
              </w:rPr>
              <w:t>微型</w:t>
            </w:r>
          </w:p>
        </w:tc>
      </w:tr>
      <w:tr>
        <w:tblPrEx>
          <w:tblCellMar>
            <w:top w:w="15" w:type="dxa"/>
            <w:left w:w="15" w:type="dxa"/>
            <w:bottom w:w="15" w:type="dxa"/>
            <w:right w:w="15" w:type="dxa"/>
          </w:tblCellMar>
        </w:tblPrEx>
        <w:trPr>
          <w:trHeight w:val="330" w:hRule="atLeast"/>
        </w:trPr>
        <w:tc>
          <w:tcPr>
            <w:tcW w:w="2127"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农、林、牧、渔业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Y≥20000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500≤Y＜20000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50≤Y＜500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Y＜50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工业 *</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300≤X＜1000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20≤X＜300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X＜20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Y≥40000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2000≤Y＜40000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300≤Y＜2000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Y＜300</w:t>
            </w:r>
          </w:p>
        </w:tc>
      </w:tr>
      <w:tr>
        <w:tblPrEx>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建筑业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Y≥80000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6000≤Y＜80000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300≤Y＜6000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Y＜300</w:t>
            </w:r>
          </w:p>
        </w:tc>
      </w:tr>
      <w:tr>
        <w:tblPrEx>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资产总额(Z)</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Z≥80000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5000≤Z＜80000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300≤Z＜5000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Z＜300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批发业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X≥200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20≤X＜200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5≤X＜20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X＜5</w:t>
            </w:r>
          </w:p>
        </w:tc>
      </w:tr>
      <w:tr>
        <w:tblPrEx>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Y≥40000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5000≤Y＜40000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1000≤Y＜5000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Y＜1000</w:t>
            </w:r>
          </w:p>
        </w:tc>
      </w:tr>
      <w:tr>
        <w:tblPrEx>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零售业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10≤X＜50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w:t>
            </w:r>
          </w:p>
        </w:tc>
      </w:tr>
      <w:tr>
        <w:tblPrEx>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Y≥20000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500≤Y＜20000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100≤Y＜500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w:t>
            </w:r>
          </w:p>
        </w:tc>
      </w:tr>
      <w:tr>
        <w:tblPrEx>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交通运输业 *</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300≤X＜1000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20≤X＜300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X＜20</w:t>
            </w:r>
          </w:p>
        </w:tc>
      </w:tr>
      <w:tr>
        <w:tblPrEx>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Y≥30000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3000≤Y＜30000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200≤Y＜3000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Y＜200</w:t>
            </w:r>
          </w:p>
        </w:tc>
      </w:tr>
      <w:tr>
        <w:tblPrEx>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仓储业*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X≥200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100≤X＜200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X＜20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Y≥30000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1000≤Y＜30000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邮政业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300≤X＜1000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20≤X＜300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X＜20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Y≥30000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2000≤Y＜30000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100≤Y＜2000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w:t>
            </w:r>
          </w:p>
        </w:tc>
      </w:tr>
      <w:tr>
        <w:tblPrEx>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住宿业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w:t>
            </w:r>
          </w:p>
        </w:tc>
      </w:tr>
      <w:tr>
        <w:tblPrEx>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2000≤Y＜10000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100≤Y＜2000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w:t>
            </w:r>
          </w:p>
        </w:tc>
      </w:tr>
      <w:tr>
        <w:tblPrEx>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餐饮业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w:t>
            </w:r>
          </w:p>
        </w:tc>
      </w:tr>
      <w:tr>
        <w:tblPrEx>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2000≤Y＜10000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100≤Y＜2000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w:t>
            </w:r>
          </w:p>
        </w:tc>
      </w:tr>
      <w:tr>
        <w:tblPrEx>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信息传输业 *</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X≥2000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100≤X＜2000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w:t>
            </w:r>
          </w:p>
        </w:tc>
      </w:tr>
      <w:tr>
        <w:tblPrEx>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1000≤Y＜100000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软件和信息技术服务业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w:t>
            </w:r>
          </w:p>
        </w:tc>
      </w:tr>
      <w:tr>
        <w:tblPrEx>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1000≤Y＜10000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Y＜50</w:t>
            </w:r>
          </w:p>
        </w:tc>
      </w:tr>
      <w:tr>
        <w:tblPrEx>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房地产开发经营</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Y≥200000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1000≤Y＜200000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资产总额(Z)</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Z≥10000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5000≤Z＜10000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2000≤Z＜5000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Z＜2000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物业管理</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300≤X＜1000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100≤X＜300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Y≥5000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1000≤Y＜5000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500≤Y＜1000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Y＜500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租赁和商务服务业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w:t>
            </w:r>
          </w:p>
        </w:tc>
      </w:tr>
      <w:tr>
        <w:tblPrEx>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资产总额(Z)</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Z≥120000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8000≤Z＜120000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100≤Z＜8000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Z＜100</w:t>
            </w:r>
          </w:p>
        </w:tc>
      </w:tr>
      <w:tr>
        <w:tblPrEx>
          <w:shd w:val="clear" w:color="auto" w:fill="FFFFFF"/>
          <w:tblCellMar>
            <w:top w:w="15" w:type="dxa"/>
            <w:left w:w="15" w:type="dxa"/>
            <w:bottom w:w="15" w:type="dxa"/>
            <w:right w:w="15" w:type="dxa"/>
          </w:tblCellMar>
        </w:tblPrEx>
        <w:trPr>
          <w:trHeight w:val="330" w:hRule="atLeast"/>
        </w:trPr>
        <w:tc>
          <w:tcPr>
            <w:tcW w:w="2127"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其他未列明行业 *</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auto"/>
                <w:kern w:val="0"/>
                <w:sz w:val="18"/>
                <w:szCs w:val="18"/>
              </w:rPr>
            </w:pPr>
            <w:r>
              <w:rPr>
                <w:rFonts w:ascii="Helvetica" w:hAnsi="Helvetica" w:cs="Helvetica"/>
                <w:color w:val="auto"/>
                <w:kern w:val="0"/>
                <w:sz w:val="18"/>
                <w:szCs w:val="18"/>
              </w:rPr>
              <w:t>X＜10</w:t>
            </w:r>
          </w:p>
        </w:tc>
      </w:tr>
    </w:tbl>
    <w:p>
      <w:pPr>
        <w:widowControl/>
        <w:shd w:val="clear" w:color="auto" w:fill="FFFFFF"/>
        <w:spacing w:line="360" w:lineRule="atLeast"/>
        <w:jc w:val="left"/>
        <w:rPr>
          <w:rFonts w:ascii="Helvetica" w:hAnsi="Helvetica" w:cs="Helvetica"/>
          <w:color w:val="auto"/>
          <w:kern w:val="0"/>
          <w:szCs w:val="21"/>
        </w:rPr>
      </w:pPr>
    </w:p>
    <w:bookmarkEnd w:id="144"/>
    <w:p>
      <w:pPr>
        <w:widowControl/>
        <w:shd w:val="clear" w:color="auto" w:fill="FFFFFF"/>
        <w:spacing w:line="360" w:lineRule="atLeast"/>
        <w:jc w:val="left"/>
        <w:rPr>
          <w:rFonts w:ascii="Helvetica" w:hAnsi="Helvetica" w:cs="Helvetica"/>
          <w:color w:val="auto"/>
          <w:kern w:val="0"/>
          <w:sz w:val="18"/>
          <w:szCs w:val="18"/>
        </w:rPr>
      </w:pPr>
      <w:r>
        <w:rPr>
          <w:color w:val="auto"/>
        </w:rPr>
        <w:br w:type="page"/>
      </w:r>
      <w:r>
        <w:rPr>
          <w:rFonts w:ascii="Helvetica" w:hAnsi="Helvetica" w:cs="Helvetica"/>
          <w:color w:val="auto"/>
          <w:kern w:val="0"/>
          <w:sz w:val="18"/>
          <w:szCs w:val="18"/>
        </w:rPr>
        <w:t>说明：</w:t>
      </w:r>
    </w:p>
    <w:p>
      <w:pPr>
        <w:widowControl/>
        <w:shd w:val="clear" w:color="auto" w:fill="FFFFFF"/>
        <w:spacing w:line="360" w:lineRule="atLeast"/>
        <w:ind w:firstLine="480"/>
        <w:jc w:val="left"/>
        <w:rPr>
          <w:rFonts w:ascii="Helvetica" w:hAnsi="Helvetica" w:cs="Helvetica"/>
          <w:color w:val="auto"/>
          <w:kern w:val="0"/>
          <w:sz w:val="18"/>
          <w:szCs w:val="18"/>
        </w:rPr>
      </w:pPr>
      <w:r>
        <w:rPr>
          <w:rFonts w:ascii="Helvetica" w:hAnsi="Helvetica" w:cs="Helvetica"/>
          <w:color w:val="auto"/>
          <w:kern w:val="0"/>
          <w:sz w:val="18"/>
          <w:szCs w:val="18"/>
        </w:rPr>
        <w:t>1.大型、中型和小型企业须同时满足所列指标的下限，否则下划一档；微型企业只须满足所列指标中的一项即可。</w:t>
      </w:r>
    </w:p>
    <w:p>
      <w:pPr>
        <w:widowControl/>
        <w:shd w:val="clear" w:color="auto" w:fill="FFFFFF"/>
        <w:spacing w:line="360" w:lineRule="atLeast"/>
        <w:ind w:firstLine="480"/>
        <w:jc w:val="left"/>
        <w:rPr>
          <w:rFonts w:ascii="Helvetica" w:hAnsi="Helvetica" w:cs="Helvetica"/>
          <w:color w:val="auto"/>
          <w:kern w:val="0"/>
          <w:sz w:val="18"/>
          <w:szCs w:val="18"/>
        </w:rPr>
      </w:pPr>
      <w:r>
        <w:rPr>
          <w:rFonts w:ascii="Helvetica" w:hAnsi="Helvetica" w:cs="Helvetica"/>
          <w:color w:val="auto"/>
          <w:kern w:val="0"/>
          <w:sz w:val="18"/>
          <w:szCs w:val="18"/>
        </w:rPr>
        <w:t>2.附表中各行业的范围以《国民经济行业分类》（GB/T4754-2017）为准。带*的项为行业组合类别，其中，工业包括采矿业，制造业，电力、热力、燃气及水生产和供应业；交通运输业包括道路运输业，水上运输业，航空运输业，管道运输业，</w:t>
      </w:r>
      <w:r>
        <w:rPr>
          <w:color w:val="auto"/>
        </w:rPr>
        <w:fldChar w:fldCharType="begin"/>
      </w:r>
      <w:r>
        <w:rPr>
          <w:color w:val="auto"/>
        </w:rPr>
        <w:instrText xml:space="preserve"> HYPERLINK "https://baike.baidu.com/item/%E5%A4%9A%E5%BC%8F%E8%81%94%E8%BF%90/3342240?fromModule=lemma_inlink" \t "_blank" </w:instrText>
      </w:r>
      <w:r>
        <w:rPr>
          <w:color w:val="auto"/>
        </w:rPr>
        <w:fldChar w:fldCharType="separate"/>
      </w:r>
      <w:r>
        <w:rPr>
          <w:rFonts w:ascii="Helvetica" w:hAnsi="Helvetica" w:cs="Helvetica"/>
          <w:color w:val="auto"/>
          <w:kern w:val="0"/>
          <w:sz w:val="18"/>
          <w:szCs w:val="18"/>
          <w:u w:val="single"/>
        </w:rPr>
        <w:t>多式联运</w:t>
      </w:r>
      <w:r>
        <w:rPr>
          <w:rFonts w:ascii="Helvetica" w:hAnsi="Helvetica" w:cs="Helvetica"/>
          <w:color w:val="auto"/>
          <w:kern w:val="0"/>
          <w:sz w:val="18"/>
          <w:szCs w:val="18"/>
          <w:u w:val="single"/>
        </w:rPr>
        <w:fldChar w:fldCharType="end"/>
      </w:r>
      <w:r>
        <w:rPr>
          <w:rFonts w:ascii="Helvetica" w:hAnsi="Helvetica" w:cs="Helvetica"/>
          <w:color w:val="auto"/>
          <w:kern w:val="0"/>
          <w:sz w:val="18"/>
          <w:szCs w:val="18"/>
        </w:rPr>
        <w:t>和运输代理业、</w:t>
      </w:r>
      <w:r>
        <w:rPr>
          <w:color w:val="auto"/>
        </w:rPr>
        <w:fldChar w:fldCharType="begin"/>
      </w:r>
      <w:r>
        <w:rPr>
          <w:color w:val="auto"/>
        </w:rPr>
        <w:instrText xml:space="preserve"> HYPERLINK "https://baike.baidu.com/item/%E8%A3%85%E5%8D%B8%E6%90%AC%E8%BF%90/6511400?fromModule=lemma_inlink" \t "_blank" </w:instrText>
      </w:r>
      <w:r>
        <w:rPr>
          <w:color w:val="auto"/>
        </w:rPr>
        <w:fldChar w:fldCharType="separate"/>
      </w:r>
      <w:r>
        <w:rPr>
          <w:rFonts w:ascii="Helvetica" w:hAnsi="Helvetica" w:cs="Helvetica"/>
          <w:color w:val="auto"/>
          <w:kern w:val="0"/>
          <w:sz w:val="18"/>
          <w:szCs w:val="18"/>
          <w:u w:val="single"/>
        </w:rPr>
        <w:t>装卸搬运</w:t>
      </w:r>
      <w:r>
        <w:rPr>
          <w:rFonts w:ascii="Helvetica" w:hAnsi="Helvetica" w:cs="Helvetica"/>
          <w:color w:val="auto"/>
          <w:kern w:val="0"/>
          <w:sz w:val="18"/>
          <w:szCs w:val="18"/>
          <w:u w:val="single"/>
        </w:rPr>
        <w:fldChar w:fldCharType="end"/>
      </w:r>
      <w:r>
        <w:rPr>
          <w:rFonts w:ascii="Helvetica" w:hAnsi="Helvetica" w:cs="Helvetica"/>
          <w:color w:val="auto"/>
          <w:kern w:val="0"/>
          <w:sz w:val="18"/>
          <w:szCs w:val="18"/>
        </w:rPr>
        <w:t>，不包括铁路运输业；</w:t>
      </w:r>
      <w:r>
        <w:rPr>
          <w:color w:val="auto"/>
        </w:rPr>
        <w:fldChar w:fldCharType="begin"/>
      </w:r>
      <w:r>
        <w:rPr>
          <w:color w:val="auto"/>
        </w:rPr>
        <w:instrText xml:space="preserve"> HYPERLINK "https://baike.baidu.com/item/%E4%BB%93%E5%82%A8%E4%B8%9A/3487863?fromModule=lemma_inlink" \t "_blank" </w:instrText>
      </w:r>
      <w:r>
        <w:rPr>
          <w:color w:val="auto"/>
        </w:rPr>
        <w:fldChar w:fldCharType="separate"/>
      </w:r>
      <w:r>
        <w:rPr>
          <w:rFonts w:ascii="Helvetica" w:hAnsi="Helvetica" w:cs="Helvetica"/>
          <w:color w:val="auto"/>
          <w:kern w:val="0"/>
          <w:sz w:val="18"/>
          <w:szCs w:val="18"/>
          <w:u w:val="single"/>
        </w:rPr>
        <w:t>仓储业</w:t>
      </w:r>
      <w:r>
        <w:rPr>
          <w:rFonts w:ascii="Helvetica" w:hAnsi="Helvetica" w:cs="Helvetica"/>
          <w:color w:val="auto"/>
          <w:kern w:val="0"/>
          <w:sz w:val="18"/>
          <w:szCs w:val="18"/>
          <w:u w:val="single"/>
        </w:rPr>
        <w:fldChar w:fldCharType="end"/>
      </w:r>
      <w:r>
        <w:rPr>
          <w:rFonts w:ascii="Helvetica" w:hAnsi="Helvetica" w:cs="Helvetica"/>
          <w:color w:val="auto"/>
          <w:kern w:val="0"/>
          <w:sz w:val="18"/>
          <w:szCs w:val="18"/>
        </w:rPr>
        <w:t>包括通用仓储，低温仓储，危险品仓储，谷物、棉花等农产品仓储，中药材仓储和其他仓储业;</w:t>
      </w:r>
      <w:r>
        <w:rPr>
          <w:color w:val="auto"/>
        </w:rPr>
        <w:fldChar w:fldCharType="begin"/>
      </w:r>
      <w:r>
        <w:rPr>
          <w:color w:val="auto"/>
        </w:rPr>
        <w:instrText xml:space="preserve"> HYPERLINK "https://baike.baidu.com/item/%E4%BF%A1%E6%81%AF%E4%BC%A0%E8%BE%93%E4%B8%9A/61331990?fromModule=lemma_inlink" \t "_blank" </w:instrText>
      </w:r>
      <w:r>
        <w:rPr>
          <w:color w:val="auto"/>
        </w:rPr>
        <w:fldChar w:fldCharType="separate"/>
      </w:r>
      <w:r>
        <w:rPr>
          <w:rFonts w:ascii="Helvetica" w:hAnsi="Helvetica" w:cs="Helvetica"/>
          <w:color w:val="auto"/>
          <w:kern w:val="0"/>
          <w:sz w:val="18"/>
          <w:szCs w:val="18"/>
          <w:u w:val="single"/>
        </w:rPr>
        <w:t>信息传输业</w:t>
      </w:r>
      <w:r>
        <w:rPr>
          <w:rFonts w:ascii="Helvetica" w:hAnsi="Helvetica" w:cs="Helvetica"/>
          <w:color w:val="auto"/>
          <w:kern w:val="0"/>
          <w:sz w:val="18"/>
          <w:szCs w:val="18"/>
          <w:u w:val="single"/>
        </w:rPr>
        <w:fldChar w:fldCharType="end"/>
      </w:r>
      <w:r>
        <w:rPr>
          <w:rFonts w:ascii="Helvetica" w:hAnsi="Helvetica" w:cs="Helvetica"/>
          <w:color w:val="auto"/>
          <w:kern w:val="0"/>
          <w:sz w:val="18"/>
          <w:szCs w:val="18"/>
        </w:rPr>
        <w:t>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hd w:val="clear" w:color="auto" w:fill="FFFFFF"/>
        <w:spacing w:line="360" w:lineRule="atLeast"/>
        <w:ind w:firstLine="480"/>
        <w:jc w:val="left"/>
        <w:rPr>
          <w:rFonts w:ascii="Helvetica" w:hAnsi="Helvetica" w:cs="Helvetica"/>
          <w:color w:val="auto"/>
          <w:kern w:val="0"/>
          <w:sz w:val="18"/>
          <w:szCs w:val="18"/>
        </w:rPr>
      </w:pPr>
      <w:r>
        <w:rPr>
          <w:rFonts w:ascii="Helvetica" w:hAnsi="Helvetica" w:cs="Helvetica"/>
          <w:color w:val="auto"/>
          <w:kern w:val="0"/>
          <w:sz w:val="18"/>
          <w:szCs w:val="18"/>
        </w:rPr>
        <w:t>3.企业划分指标以现行</w:t>
      </w:r>
      <w:r>
        <w:rPr>
          <w:color w:val="auto"/>
        </w:rPr>
        <w:fldChar w:fldCharType="begin"/>
      </w:r>
      <w:r>
        <w:rPr>
          <w:color w:val="auto"/>
        </w:rPr>
        <w:instrText xml:space="preserve"> HYPERLINK "https://baike.baidu.com/item/%E7%BB%9F%E8%AE%A1%E5%88%B6%E5%BA%A6/917165?fromModule=lemma_inlink" \t "_blank" </w:instrText>
      </w:r>
      <w:r>
        <w:rPr>
          <w:color w:val="auto"/>
        </w:rPr>
        <w:fldChar w:fldCharType="separate"/>
      </w:r>
      <w:r>
        <w:rPr>
          <w:rFonts w:ascii="Helvetica" w:hAnsi="Helvetica" w:cs="Helvetica"/>
          <w:color w:val="auto"/>
          <w:kern w:val="0"/>
          <w:sz w:val="18"/>
          <w:szCs w:val="18"/>
          <w:u w:val="single"/>
        </w:rPr>
        <w:t>统计制度</w:t>
      </w:r>
      <w:r>
        <w:rPr>
          <w:rFonts w:ascii="Helvetica" w:hAnsi="Helvetica" w:cs="Helvetica"/>
          <w:color w:val="auto"/>
          <w:kern w:val="0"/>
          <w:sz w:val="18"/>
          <w:szCs w:val="18"/>
          <w:u w:val="single"/>
        </w:rPr>
        <w:fldChar w:fldCharType="end"/>
      </w:r>
      <w:r>
        <w:rPr>
          <w:rFonts w:ascii="Helvetica" w:hAnsi="Helvetica" w:cs="Helvetica"/>
          <w:color w:val="auto"/>
          <w:kern w:val="0"/>
          <w:sz w:val="18"/>
          <w:szCs w:val="18"/>
        </w:rPr>
        <w:t>为准。（1）从业人员，是指期末从业人员数，没有期末从业人员数的，采用全年平均人员数代替。（2）</w:t>
      </w:r>
      <w:r>
        <w:rPr>
          <w:color w:val="auto"/>
        </w:rPr>
        <w:fldChar w:fldCharType="begin"/>
      </w:r>
      <w:r>
        <w:rPr>
          <w:color w:val="auto"/>
        </w:rPr>
        <w:instrText xml:space="preserve"> HYPERLINK "https://baike.baidu.com/item/%E8%90%A5%E4%B8%9A%E6%94%B6%E5%85%A5/5099832?fromModule=lemma_inlink" \t "_blank" </w:instrText>
      </w:r>
      <w:r>
        <w:rPr>
          <w:color w:val="auto"/>
        </w:rPr>
        <w:fldChar w:fldCharType="separate"/>
      </w:r>
      <w:r>
        <w:rPr>
          <w:rFonts w:ascii="Helvetica" w:hAnsi="Helvetica" w:cs="Helvetica"/>
          <w:color w:val="auto"/>
          <w:kern w:val="0"/>
          <w:sz w:val="18"/>
          <w:szCs w:val="18"/>
          <w:u w:val="single"/>
        </w:rPr>
        <w:t>营业收入</w:t>
      </w:r>
      <w:r>
        <w:rPr>
          <w:rFonts w:ascii="Helvetica" w:hAnsi="Helvetica" w:cs="Helvetica"/>
          <w:color w:val="auto"/>
          <w:kern w:val="0"/>
          <w:sz w:val="18"/>
          <w:szCs w:val="18"/>
          <w:u w:val="single"/>
        </w:rPr>
        <w:fldChar w:fldCharType="end"/>
      </w:r>
      <w:r>
        <w:rPr>
          <w:rFonts w:ascii="Helvetica" w:hAnsi="Helvetica" w:cs="Helvetica"/>
          <w:color w:val="auto"/>
          <w:kern w:val="0"/>
          <w:sz w:val="18"/>
          <w:szCs w:val="18"/>
        </w:rPr>
        <w:t>，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w:t>
      </w:r>
      <w:r>
        <w:rPr>
          <w:color w:val="auto"/>
        </w:rPr>
        <w:fldChar w:fldCharType="begin"/>
      </w:r>
      <w:r>
        <w:rPr>
          <w:color w:val="auto"/>
        </w:rPr>
        <w:instrText xml:space="preserve"> HYPERLINK "https://baike.baidu.com/item/%E8%B5%84%E4%BA%A7%E6%80%BB%E9%A2%9D/716517?fromModule=lemma_inlink" \t "_blank" </w:instrText>
      </w:r>
      <w:r>
        <w:rPr>
          <w:color w:val="auto"/>
        </w:rPr>
        <w:fldChar w:fldCharType="separate"/>
      </w:r>
      <w:r>
        <w:rPr>
          <w:rFonts w:ascii="Helvetica" w:hAnsi="Helvetica" w:cs="Helvetica"/>
          <w:color w:val="auto"/>
          <w:kern w:val="0"/>
          <w:sz w:val="18"/>
          <w:szCs w:val="18"/>
          <w:u w:val="single"/>
        </w:rPr>
        <w:t>资产总额</w:t>
      </w:r>
      <w:r>
        <w:rPr>
          <w:rFonts w:ascii="Helvetica" w:hAnsi="Helvetica" w:cs="Helvetica"/>
          <w:color w:val="auto"/>
          <w:kern w:val="0"/>
          <w:sz w:val="18"/>
          <w:szCs w:val="18"/>
          <w:u w:val="single"/>
        </w:rPr>
        <w:fldChar w:fldCharType="end"/>
      </w:r>
      <w:r>
        <w:rPr>
          <w:rFonts w:ascii="Helvetica" w:hAnsi="Helvetica" w:cs="Helvetica"/>
          <w:color w:val="auto"/>
          <w:kern w:val="0"/>
          <w:sz w:val="18"/>
          <w:szCs w:val="18"/>
        </w:rPr>
        <w:t>，采用资产总计代替。</w:t>
      </w:r>
    </w:p>
    <w:bookmarkEnd w:id="143"/>
    <w:p>
      <w:pPr>
        <w:widowControl/>
        <w:jc w:val="left"/>
        <w:rPr>
          <w:b/>
          <w:bCs/>
          <w:color w:val="auto"/>
          <w:sz w:val="32"/>
          <w:szCs w:val="32"/>
        </w:rPr>
      </w:pPr>
      <w:r>
        <w:rPr>
          <w:color w:val="auto"/>
        </w:rPr>
        <w:br w:type="page"/>
      </w:r>
    </w:p>
    <w:p>
      <w:pPr>
        <w:spacing w:line="320" w:lineRule="exact"/>
        <w:jc w:val="left"/>
        <w:rPr>
          <w:rFonts w:hAnsi="宋体"/>
          <w:bCs/>
          <w:color w:val="auto"/>
          <w:sz w:val="18"/>
          <w:szCs w:val="18"/>
        </w:rPr>
      </w:pPr>
    </w:p>
    <w:p>
      <w:pPr>
        <w:pStyle w:val="21"/>
        <w:spacing w:line="440" w:lineRule="exact"/>
        <w:jc w:val="center"/>
        <w:rPr>
          <w:rFonts w:ascii="仿宋" w:hAnsi="仿宋" w:eastAsia="仿宋"/>
          <w:b/>
          <w:color w:val="auto"/>
          <w:kern w:val="0"/>
          <w:sz w:val="32"/>
          <w:szCs w:val="32"/>
        </w:rPr>
      </w:pPr>
      <w:r>
        <w:rPr>
          <w:rFonts w:hint="eastAsia" w:ascii="仿宋" w:hAnsi="仿宋" w:eastAsia="仿宋"/>
          <w:b/>
          <w:color w:val="auto"/>
          <w:kern w:val="0"/>
          <w:sz w:val="32"/>
          <w:szCs w:val="32"/>
        </w:rPr>
        <w:t>残疾人福利性单位声明函</w:t>
      </w:r>
    </w:p>
    <w:p>
      <w:pPr>
        <w:rPr>
          <w:color w:val="auto"/>
        </w:rPr>
      </w:pPr>
    </w:p>
    <w:p>
      <w:pPr>
        <w:spacing w:line="660" w:lineRule="exact"/>
        <w:ind w:firstLine="420" w:firstLineChars="200"/>
        <w:rPr>
          <w:rFonts w:ascii="宋体" w:hAnsi="宋体" w:cs="Courier New"/>
          <w:color w:val="auto"/>
          <w:kern w:val="0"/>
          <w:szCs w:val="21"/>
        </w:rPr>
      </w:pPr>
      <w:r>
        <w:rPr>
          <w:rFonts w:hint="eastAsia" w:ascii="宋体" w:hAnsi="宋体" w:cs="Courier New"/>
          <w:color w:val="auto"/>
          <w:kern w:val="0"/>
          <w:szCs w:val="21"/>
        </w:rPr>
        <w:t>本单位郑重声明，根据</w:t>
      </w:r>
      <w:bookmarkStart w:id="145" w:name="_Hlk82091361"/>
      <w:r>
        <w:rPr>
          <w:rFonts w:hint="eastAsia" w:ascii="宋体" w:hAnsi="宋体" w:cs="Courier New"/>
          <w:color w:val="auto"/>
          <w:kern w:val="0"/>
          <w:szCs w:val="21"/>
        </w:rPr>
        <w:t>《</w:t>
      </w:r>
      <w:r>
        <w:rPr>
          <w:color w:val="auto"/>
        </w:rPr>
        <w:fldChar w:fldCharType="begin"/>
      </w:r>
      <w:r>
        <w:rPr>
          <w:color w:val="auto"/>
        </w:rPr>
        <w:instrText xml:space="preserve"> HYPERLINK "http://www.mof.gov.cn/gp/xxgkml/gks/201709/t20170901_2689542.htm" </w:instrText>
      </w:r>
      <w:r>
        <w:rPr>
          <w:color w:val="auto"/>
        </w:rPr>
        <w:fldChar w:fldCharType="separate"/>
      </w:r>
      <w:r>
        <w:rPr>
          <w:rFonts w:hint="eastAsia" w:ascii="宋体" w:hAnsi="Courier New" w:cs="Courier New"/>
          <w:color w:val="auto"/>
          <w:kern w:val="0"/>
          <w:szCs w:val="21"/>
        </w:rPr>
        <w:t>财政部 民政部 中国残疾人联合会关于促进残疾人就业政府采购政策的通知》（财库〔2017〕141号）</w:t>
      </w:r>
      <w:r>
        <w:rPr>
          <w:rFonts w:hint="eastAsia" w:ascii="宋体" w:hAnsi="Courier New" w:cs="Courier New"/>
          <w:color w:val="auto"/>
          <w:kern w:val="0"/>
          <w:szCs w:val="21"/>
        </w:rPr>
        <w:fldChar w:fldCharType="end"/>
      </w:r>
      <w:bookmarkEnd w:id="145"/>
      <w:r>
        <w:rPr>
          <w:rFonts w:hint="eastAsia" w:ascii="宋体" w:hAnsi="宋体" w:cs="Courier New"/>
          <w:color w:val="auto"/>
          <w:kern w:val="0"/>
          <w:szCs w:val="21"/>
        </w:rPr>
        <w:t>的规定，本单位为符合条件的残疾人福利性单位，且本单位参加（</w:t>
      </w:r>
      <w:r>
        <w:rPr>
          <w:rFonts w:hint="eastAsia" w:ascii="宋体" w:hAnsi="宋体" w:cs="Courier New"/>
          <w:color w:val="auto"/>
          <w:kern w:val="0"/>
          <w:szCs w:val="21"/>
          <w:u w:val="single"/>
        </w:rPr>
        <w:t>单位名称</w:t>
      </w:r>
      <w:r>
        <w:rPr>
          <w:rFonts w:hint="eastAsia" w:ascii="宋体" w:hAnsi="宋体" w:cs="Courier New"/>
          <w:color w:val="auto"/>
          <w:kern w:val="0"/>
          <w:szCs w:val="21"/>
        </w:rPr>
        <w:t>）的（</w:t>
      </w:r>
      <w:r>
        <w:rPr>
          <w:rFonts w:hint="eastAsia" w:ascii="宋体" w:hAnsi="宋体" w:cs="Courier New"/>
          <w:color w:val="auto"/>
          <w:kern w:val="0"/>
          <w:szCs w:val="21"/>
          <w:u w:val="single"/>
        </w:rPr>
        <w:t>项目名称</w:t>
      </w:r>
      <w:r>
        <w:rPr>
          <w:rFonts w:hint="eastAsia" w:ascii="宋体" w:hAnsi="宋体" w:cs="Courier New"/>
          <w:color w:val="auto"/>
          <w:kern w:val="0"/>
          <w:szCs w:val="21"/>
        </w:rPr>
        <w:t>）采购活动提供本单位制造的货物，或者提供其他残疾人福利性单位（</w:t>
      </w:r>
      <w:r>
        <w:rPr>
          <w:rFonts w:hint="eastAsia" w:ascii="宋体" w:hAnsi="宋体" w:cs="Courier New"/>
          <w:color w:val="auto"/>
          <w:kern w:val="0"/>
          <w:szCs w:val="21"/>
          <w:u w:val="single"/>
        </w:rPr>
        <w:t>请填写具体单位名称</w:t>
      </w:r>
      <w:r>
        <w:rPr>
          <w:rFonts w:hint="eastAsia" w:ascii="宋体" w:hAnsi="宋体" w:cs="Courier New"/>
          <w:color w:val="auto"/>
          <w:kern w:val="0"/>
          <w:szCs w:val="21"/>
        </w:rPr>
        <w:t>）制造的货物（不包括使用非残疾人福利性单位注册商标的货物）。</w:t>
      </w:r>
    </w:p>
    <w:p>
      <w:pPr>
        <w:spacing w:line="660" w:lineRule="exact"/>
        <w:ind w:firstLine="420" w:firstLineChars="200"/>
        <w:rPr>
          <w:rFonts w:ascii="宋体" w:hAnsi="宋体" w:cs="Courier New"/>
          <w:color w:val="auto"/>
          <w:kern w:val="0"/>
          <w:szCs w:val="21"/>
        </w:rPr>
      </w:pPr>
      <w:r>
        <w:rPr>
          <w:rFonts w:hint="eastAsia" w:ascii="宋体" w:hAnsi="宋体" w:cs="Courier New"/>
          <w:color w:val="auto"/>
          <w:kern w:val="0"/>
          <w:szCs w:val="21"/>
        </w:rPr>
        <w:t>本单位对上述声明的真实性负责。如有虚假，将依法承担相应责任。</w:t>
      </w:r>
    </w:p>
    <w:p>
      <w:pPr>
        <w:rPr>
          <w:color w:val="auto"/>
        </w:rPr>
      </w:pPr>
    </w:p>
    <w:p>
      <w:pPr>
        <w:rPr>
          <w:color w:val="auto"/>
        </w:rPr>
      </w:pPr>
    </w:p>
    <w:p>
      <w:pPr>
        <w:rPr>
          <w:color w:val="auto"/>
        </w:rPr>
      </w:pPr>
    </w:p>
    <w:p>
      <w:pPr>
        <w:spacing w:line="500" w:lineRule="exact"/>
        <w:ind w:firstLine="5250" w:firstLineChars="2500"/>
        <w:rPr>
          <w:rFonts w:ascii="宋体" w:hAnsi="宋体" w:cs="Courier New"/>
          <w:color w:val="auto"/>
          <w:kern w:val="0"/>
          <w:szCs w:val="21"/>
        </w:rPr>
      </w:pPr>
      <w:r>
        <w:rPr>
          <w:rFonts w:hint="eastAsia" w:ascii="宋体" w:hAnsi="宋体" w:cs="Courier New"/>
          <w:color w:val="auto"/>
          <w:kern w:val="0"/>
          <w:szCs w:val="21"/>
        </w:rPr>
        <w:t>单位名称（盖章）：</w:t>
      </w:r>
      <w:r>
        <w:rPr>
          <w:rFonts w:hint="eastAsia" w:ascii="宋体" w:hAnsi="宋体" w:cs="Courier New"/>
          <w:color w:val="auto"/>
          <w:szCs w:val="21"/>
          <w:u w:val="single"/>
        </w:rPr>
        <w:t xml:space="preserve"> </w:t>
      </w:r>
      <w:r>
        <w:rPr>
          <w:rFonts w:ascii="宋体" w:hAnsi="宋体" w:cs="Courier New"/>
          <w:color w:val="auto"/>
          <w:szCs w:val="21"/>
          <w:u w:val="single"/>
        </w:rPr>
        <w:t xml:space="preserve">             </w:t>
      </w:r>
    </w:p>
    <w:p>
      <w:pPr>
        <w:spacing w:line="500" w:lineRule="exact"/>
        <w:ind w:firstLine="5250" w:firstLineChars="2500"/>
        <w:rPr>
          <w:rFonts w:ascii="宋体" w:hAnsi="宋体" w:cs="Courier New"/>
          <w:color w:val="auto"/>
          <w:szCs w:val="21"/>
          <w:u w:val="single"/>
        </w:rPr>
      </w:pPr>
      <w:r>
        <w:rPr>
          <w:rFonts w:hint="eastAsia" w:ascii="宋体" w:hAnsi="宋体" w:cs="Courier New"/>
          <w:color w:val="auto"/>
          <w:kern w:val="0"/>
          <w:szCs w:val="21"/>
        </w:rPr>
        <w:t>日  期：</w:t>
      </w:r>
      <w:r>
        <w:rPr>
          <w:rFonts w:hint="eastAsia" w:ascii="宋体" w:hAnsi="宋体" w:cs="Courier New"/>
          <w:color w:val="auto"/>
          <w:szCs w:val="21"/>
          <w:u w:val="single"/>
        </w:rPr>
        <w:t xml:space="preserve"> </w:t>
      </w:r>
      <w:r>
        <w:rPr>
          <w:rFonts w:ascii="宋体" w:hAnsi="宋体" w:cs="Courier New"/>
          <w:color w:val="auto"/>
          <w:szCs w:val="21"/>
          <w:u w:val="single"/>
        </w:rPr>
        <w:t xml:space="preserve">                       </w:t>
      </w:r>
    </w:p>
    <w:p>
      <w:pPr>
        <w:widowControl/>
        <w:jc w:val="left"/>
        <w:rPr>
          <w:rFonts w:ascii="宋体" w:hAnsi="Courier New" w:cs="Courier New"/>
          <w:color w:val="auto"/>
          <w:sz w:val="18"/>
          <w:szCs w:val="18"/>
        </w:rPr>
      </w:pPr>
      <w:r>
        <w:rPr>
          <w:rFonts w:ascii="黑体" w:hAnsi="黑体" w:eastAsia="黑体" w:cs="黑体"/>
          <w:b/>
          <w:color w:val="auto"/>
          <w:sz w:val="32"/>
          <w:szCs w:val="32"/>
        </w:rPr>
        <w:br w:type="page"/>
      </w:r>
      <w:r>
        <w:rPr>
          <w:rFonts w:hint="eastAsia" w:ascii="仿宋" w:hAnsi="仿宋" w:eastAsia="仿宋"/>
          <w:b/>
          <w:color w:val="auto"/>
          <w:sz w:val="36"/>
          <w:szCs w:val="36"/>
        </w:rPr>
        <w:t>二、商务技术文件</w:t>
      </w:r>
    </w:p>
    <w:p>
      <w:pPr>
        <w:widowControl/>
        <w:jc w:val="center"/>
        <w:rPr>
          <w:rFonts w:ascii="仿宋" w:hAnsi="仿宋" w:eastAsia="仿宋" w:cs="黑体"/>
          <w:b/>
          <w:color w:val="auto"/>
          <w:sz w:val="32"/>
          <w:szCs w:val="32"/>
        </w:rPr>
      </w:pPr>
      <w:bookmarkStart w:id="146" w:name="_Hlk92702324"/>
      <w:r>
        <w:rPr>
          <w:rFonts w:hint="eastAsia" w:ascii="仿宋" w:hAnsi="仿宋" w:eastAsia="仿宋" w:cs="黑体"/>
          <w:b/>
          <w:color w:val="auto"/>
          <w:sz w:val="32"/>
          <w:szCs w:val="32"/>
        </w:rPr>
        <w:t>磋 商 函</w:t>
      </w:r>
      <w:bookmarkEnd w:id="146"/>
      <w:r>
        <w:rPr>
          <w:rFonts w:hint="eastAsia" w:ascii="仿宋" w:hAnsi="仿宋" w:eastAsia="仿宋" w:cs="黑体"/>
          <w:bCs/>
          <w:color w:val="auto"/>
          <w:sz w:val="24"/>
        </w:rPr>
        <w:t>(格式</w:t>
      </w:r>
      <w:r>
        <w:rPr>
          <w:rFonts w:ascii="仿宋" w:hAnsi="仿宋" w:eastAsia="仿宋" w:cs="黑体"/>
          <w:bCs/>
          <w:color w:val="auto"/>
          <w:sz w:val="24"/>
        </w:rPr>
        <w:t>)</w:t>
      </w:r>
    </w:p>
    <w:p>
      <w:pPr>
        <w:spacing w:line="360" w:lineRule="exact"/>
        <w:jc w:val="center"/>
        <w:rPr>
          <w:rFonts w:ascii="宋体" w:hAnsi="宋体"/>
          <w:b/>
          <w:color w:val="auto"/>
          <w:szCs w:val="21"/>
        </w:rPr>
      </w:pPr>
    </w:p>
    <w:p>
      <w:pPr>
        <w:spacing w:line="400" w:lineRule="exact"/>
        <w:rPr>
          <w:rFonts w:ascii="宋体" w:hAnsi="宋体"/>
          <w:color w:val="auto"/>
          <w:szCs w:val="21"/>
        </w:rPr>
      </w:pPr>
      <w:r>
        <w:rPr>
          <w:rFonts w:hint="eastAsia" w:ascii="宋体" w:hAnsi="宋体"/>
          <w:color w:val="auto"/>
          <w:szCs w:val="21"/>
        </w:rPr>
        <w:t>致：钦州市政府采购中心：</w:t>
      </w:r>
    </w:p>
    <w:p>
      <w:pPr>
        <w:pStyle w:val="21"/>
        <w:spacing w:line="480" w:lineRule="exact"/>
        <w:ind w:firstLine="420"/>
        <w:rPr>
          <w:rFonts w:hAnsi="宋体"/>
          <w:color w:val="auto"/>
        </w:rPr>
      </w:pPr>
      <w:r>
        <w:rPr>
          <w:rFonts w:hint="eastAsia" w:hAnsi="宋体"/>
          <w:color w:val="auto"/>
        </w:rPr>
        <w:t>依据贵方</w:t>
      </w:r>
      <w:r>
        <w:rPr>
          <w:rFonts w:hint="eastAsia" w:hAnsi="宋体"/>
          <w:color w:val="auto"/>
          <w:u w:val="single"/>
        </w:rPr>
        <w:t>（项目名称/文件编号）</w:t>
      </w:r>
      <w:r>
        <w:rPr>
          <w:rFonts w:hint="eastAsia" w:hAnsi="宋体"/>
          <w:color w:val="auto"/>
        </w:rPr>
        <w:t>项目竞争性磋商采购文件，我方</w:t>
      </w:r>
      <w:r>
        <w:rPr>
          <w:rFonts w:hint="eastAsia" w:hAnsi="宋体"/>
          <w:color w:val="auto"/>
          <w:u w:val="single"/>
        </w:rPr>
        <w:t xml:space="preserve"> （供应商名称） </w:t>
      </w:r>
      <w:r>
        <w:rPr>
          <w:rFonts w:hint="eastAsia" w:hAnsi="宋体"/>
          <w:color w:val="auto"/>
        </w:rPr>
        <w:t>经正式授权代表</w:t>
      </w:r>
      <w:r>
        <w:rPr>
          <w:rFonts w:hint="eastAsia" w:hAnsi="宋体"/>
          <w:color w:val="auto"/>
          <w:u w:val="single"/>
        </w:rPr>
        <w:t xml:space="preserve">   （被授权人）</w:t>
      </w:r>
      <w:r>
        <w:rPr>
          <w:rFonts w:hint="eastAsia" w:hAnsi="宋体"/>
          <w:color w:val="auto"/>
        </w:rPr>
        <w:t>提交响应文件。</w:t>
      </w:r>
    </w:p>
    <w:p>
      <w:pPr>
        <w:spacing w:line="400" w:lineRule="exact"/>
        <w:rPr>
          <w:rFonts w:ascii="宋体" w:hAnsi="宋体"/>
          <w:color w:val="auto"/>
          <w:szCs w:val="21"/>
        </w:rPr>
      </w:pPr>
      <w:r>
        <w:rPr>
          <w:rFonts w:ascii="宋体" w:hAnsi="宋体"/>
          <w:color w:val="auto"/>
          <w:szCs w:val="21"/>
        </w:rPr>
        <w:tab/>
      </w:r>
      <w:r>
        <w:rPr>
          <w:rFonts w:hint="eastAsia" w:ascii="宋体" w:hAnsi="宋体"/>
          <w:color w:val="auto"/>
          <w:szCs w:val="21"/>
        </w:rPr>
        <w:t>据此函，我公司承诺：</w:t>
      </w:r>
    </w:p>
    <w:p>
      <w:pPr>
        <w:snapToGrid w:val="0"/>
        <w:spacing w:line="360" w:lineRule="exact"/>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我方已详细审阅采购文件（包括澄清或者修改文件），已经了解我方对于采购文件、采购过程、采购结果有依法进行询问、质疑、投诉的权利及相关渠道和要求。</w:t>
      </w:r>
    </w:p>
    <w:p>
      <w:pPr>
        <w:snapToGrid w:val="0"/>
        <w:spacing w:line="360" w:lineRule="exact"/>
        <w:ind w:firstLine="420" w:firstLineChars="200"/>
        <w:rPr>
          <w:rFonts w:ascii="宋体" w:hAnsi="宋体"/>
          <w:color w:val="auto"/>
          <w:szCs w:val="21"/>
        </w:rPr>
      </w:pPr>
      <w:r>
        <w:rPr>
          <w:rFonts w:hint="eastAsia" w:ascii="宋体" w:hAnsi="宋体"/>
          <w:color w:val="auto"/>
          <w:szCs w:val="21"/>
        </w:rPr>
        <w:t>2.我方不是采购人的附属机构；在获知本项目采购信息后，与采购人聘请的为此项目提供咨询服务的公司及其附属机构没有任何联系。</w:t>
      </w:r>
    </w:p>
    <w:p>
      <w:pPr>
        <w:snapToGrid w:val="0"/>
        <w:spacing w:line="360" w:lineRule="exact"/>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我方在磋商之前已经与贵方进行了充分的沟通，完全理解并接受采购文件的各项规定和要求，对采购文件的合理性、合法性不再有异议。</w:t>
      </w:r>
    </w:p>
    <w:p>
      <w:pPr>
        <w:spacing w:line="400" w:lineRule="exact"/>
        <w:rPr>
          <w:rFonts w:ascii="宋体" w:hAnsi="宋体"/>
          <w:color w:val="auto"/>
          <w:szCs w:val="21"/>
        </w:rPr>
      </w:pPr>
      <w:r>
        <w:rPr>
          <w:rFonts w:ascii="宋体" w:hAnsi="宋体"/>
          <w:color w:val="auto"/>
          <w:szCs w:val="21"/>
        </w:rPr>
        <w:tab/>
      </w:r>
      <w:r>
        <w:rPr>
          <w:rFonts w:ascii="宋体" w:hAnsi="宋体"/>
          <w:color w:val="auto"/>
          <w:szCs w:val="21"/>
        </w:rPr>
        <w:t>4</w:t>
      </w:r>
      <w:r>
        <w:rPr>
          <w:rFonts w:hint="eastAsia" w:ascii="宋体" w:hAnsi="宋体"/>
          <w:color w:val="auto"/>
          <w:szCs w:val="21"/>
        </w:rPr>
        <w:t>.我方根据采购文件的规定，承担完成合同的责任和义务。</w:t>
      </w:r>
    </w:p>
    <w:p>
      <w:pPr>
        <w:spacing w:line="400" w:lineRule="exact"/>
        <w:rPr>
          <w:rFonts w:ascii="宋体" w:hAnsi="宋体"/>
          <w:color w:val="auto"/>
          <w:szCs w:val="21"/>
        </w:rPr>
      </w:pPr>
      <w:r>
        <w:rPr>
          <w:rFonts w:ascii="宋体" w:hAnsi="宋体"/>
          <w:color w:val="auto"/>
          <w:szCs w:val="21"/>
        </w:rPr>
        <w:tab/>
      </w:r>
      <w:r>
        <w:rPr>
          <w:rFonts w:ascii="宋体" w:hAnsi="宋体"/>
          <w:color w:val="auto"/>
          <w:szCs w:val="21"/>
        </w:rPr>
        <w:t>5</w:t>
      </w:r>
      <w:r>
        <w:rPr>
          <w:rFonts w:hint="eastAsia" w:ascii="宋体" w:hAnsi="宋体"/>
          <w:color w:val="auto"/>
          <w:szCs w:val="21"/>
        </w:rPr>
        <w:t>.同意向贵方提供贵方可能要求的与本项目采购有关的人员、数据和资料。</w:t>
      </w:r>
    </w:p>
    <w:p>
      <w:pPr>
        <w:spacing w:line="400" w:lineRule="exact"/>
        <w:ind w:firstLine="424" w:firstLineChars="202"/>
        <w:rPr>
          <w:rFonts w:ascii="宋体" w:hAnsi="宋体"/>
          <w:color w:val="auto"/>
          <w:szCs w:val="21"/>
        </w:rPr>
      </w:pPr>
      <w:r>
        <w:rPr>
          <w:rFonts w:ascii="宋体" w:hAnsi="宋体"/>
          <w:color w:val="auto"/>
          <w:szCs w:val="21"/>
        </w:rPr>
        <w:t>6.</w:t>
      </w:r>
      <w:r>
        <w:rPr>
          <w:rFonts w:hint="eastAsia" w:ascii="宋体" w:hAnsi="宋体"/>
          <w:color w:val="auto"/>
          <w:szCs w:val="21"/>
        </w:rPr>
        <w:t>我方向贵方提交的所有响应文件、资料都是准确的和真实的。</w:t>
      </w:r>
    </w:p>
    <w:p>
      <w:pPr>
        <w:spacing w:line="400" w:lineRule="exact"/>
        <w:rPr>
          <w:rFonts w:ascii="宋体" w:hAnsi="宋体"/>
          <w:color w:val="auto"/>
          <w:szCs w:val="21"/>
        </w:rPr>
      </w:pPr>
    </w:p>
    <w:p>
      <w:pPr>
        <w:spacing w:line="400" w:lineRule="exact"/>
        <w:ind w:firstLine="426"/>
        <w:rPr>
          <w:rFonts w:ascii="宋体" w:hAnsi="宋体"/>
          <w:color w:val="auto"/>
          <w:szCs w:val="21"/>
        </w:rPr>
      </w:pPr>
      <w:r>
        <w:rPr>
          <w:rFonts w:hint="eastAsia" w:ascii="宋体" w:hAnsi="宋体"/>
          <w:color w:val="auto"/>
          <w:szCs w:val="21"/>
        </w:rPr>
        <w:t>与我公司有关的正式通讯方式：</w:t>
      </w:r>
    </w:p>
    <w:p>
      <w:pPr>
        <w:spacing w:line="400" w:lineRule="exact"/>
        <w:rPr>
          <w:rFonts w:ascii="宋体" w:hAnsi="宋体"/>
          <w:color w:val="auto"/>
          <w:szCs w:val="21"/>
        </w:rPr>
      </w:pPr>
      <w:r>
        <w:rPr>
          <w:rFonts w:ascii="宋体" w:hAnsi="宋体"/>
          <w:color w:val="auto"/>
          <w:szCs w:val="21"/>
        </w:rPr>
        <w:tab/>
      </w:r>
      <w:r>
        <w:rPr>
          <w:rFonts w:hint="eastAsia" w:ascii="宋体" w:hAnsi="宋体"/>
          <w:color w:val="auto"/>
          <w:szCs w:val="21"/>
        </w:rPr>
        <w:t>地址：</w:t>
      </w:r>
      <w:r>
        <w:rPr>
          <w:rFonts w:hint="eastAsia"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ab/>
      </w:r>
      <w:r>
        <w:rPr>
          <w:rFonts w:hint="eastAsia" w:ascii="宋体" w:hAnsi="宋体"/>
          <w:color w:val="auto"/>
          <w:szCs w:val="21"/>
        </w:rPr>
        <w:t>邮政编码：</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ab/>
      </w:r>
      <w:r>
        <w:rPr>
          <w:rFonts w:hint="eastAsia" w:ascii="宋体" w:hAnsi="宋体"/>
          <w:color w:val="auto"/>
          <w:szCs w:val="21"/>
        </w:rPr>
        <w:t>电话、电报、传真或电传：</w:t>
      </w:r>
      <w:r>
        <w:rPr>
          <w:rFonts w:hint="eastAsia"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ab/>
      </w:r>
      <w:r>
        <w:rPr>
          <w:rFonts w:hint="eastAsia" w:ascii="宋体" w:hAnsi="宋体"/>
          <w:color w:val="auto"/>
          <w:szCs w:val="21"/>
        </w:rPr>
        <w:t>开户名称：</w:t>
      </w:r>
      <w:r>
        <w:rPr>
          <w:rFonts w:hint="eastAsia"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ab/>
      </w:r>
      <w:r>
        <w:rPr>
          <w:rFonts w:hint="eastAsia" w:ascii="宋体" w:hAnsi="宋体"/>
          <w:color w:val="auto"/>
          <w:szCs w:val="21"/>
        </w:rPr>
        <w:t>开户银行：</w:t>
      </w:r>
      <w:r>
        <w:rPr>
          <w:rFonts w:hint="eastAsia" w:ascii="宋体" w:hAnsi="宋体"/>
          <w:color w:val="auto"/>
          <w:szCs w:val="21"/>
          <w:u w:val="single"/>
        </w:rPr>
        <w:t xml:space="preserve">                               </w:t>
      </w:r>
    </w:p>
    <w:p>
      <w:pPr>
        <w:spacing w:line="400" w:lineRule="exact"/>
        <w:rPr>
          <w:rFonts w:ascii="宋体" w:hAnsi="宋体"/>
          <w:color w:val="auto"/>
          <w:szCs w:val="21"/>
          <w:u w:val="single"/>
        </w:rPr>
      </w:pPr>
      <w:r>
        <w:rPr>
          <w:rFonts w:ascii="宋体" w:hAnsi="宋体"/>
          <w:color w:val="auto"/>
          <w:szCs w:val="21"/>
        </w:rPr>
        <w:tab/>
      </w:r>
      <w:r>
        <w:rPr>
          <w:rFonts w:hint="eastAsia" w:ascii="宋体" w:hAnsi="宋体"/>
          <w:color w:val="auto"/>
          <w:szCs w:val="21"/>
        </w:rPr>
        <w:t>账    号：</w:t>
      </w:r>
      <w:r>
        <w:rPr>
          <w:rFonts w:hint="eastAsia" w:ascii="宋体" w:hAnsi="宋体"/>
          <w:color w:val="auto"/>
          <w:szCs w:val="21"/>
          <w:u w:val="single"/>
        </w:rPr>
        <w:t xml:space="preserve">                               </w:t>
      </w:r>
    </w:p>
    <w:p>
      <w:pPr>
        <w:rPr>
          <w:color w:val="auto"/>
        </w:rPr>
      </w:pPr>
    </w:p>
    <w:p>
      <w:pPr>
        <w:rPr>
          <w:color w:val="auto"/>
        </w:rPr>
      </w:pPr>
    </w:p>
    <w:p>
      <w:pPr>
        <w:rPr>
          <w:color w:val="auto"/>
        </w:rPr>
      </w:pPr>
    </w:p>
    <w:p>
      <w:pPr>
        <w:spacing w:line="400" w:lineRule="exact"/>
        <w:rPr>
          <w:rFonts w:ascii="宋体" w:hAnsi="宋体"/>
          <w:color w:val="auto"/>
          <w:szCs w:val="21"/>
        </w:rPr>
      </w:pPr>
      <w:r>
        <w:rPr>
          <w:rFonts w:ascii="宋体" w:hAnsi="宋体"/>
          <w:color w:val="auto"/>
          <w:szCs w:val="21"/>
        </w:rPr>
        <w:tab/>
      </w:r>
      <w:r>
        <w:rPr>
          <w:rFonts w:ascii="宋体" w:hAnsi="宋体"/>
          <w:color w:val="auto"/>
          <w:szCs w:val="21"/>
        </w:rPr>
        <w:t xml:space="preserve">                                  </w:t>
      </w:r>
    </w:p>
    <w:p>
      <w:pPr>
        <w:spacing w:line="400" w:lineRule="exact"/>
        <w:rPr>
          <w:rFonts w:ascii="宋体" w:hAnsi="宋体"/>
          <w:color w:val="auto"/>
          <w:szCs w:val="21"/>
        </w:rPr>
      </w:pPr>
      <w:r>
        <w:rPr>
          <w:rFonts w:ascii="宋体" w:hAnsi="宋体"/>
          <w:color w:val="auto"/>
          <w:szCs w:val="21"/>
        </w:rPr>
        <w:tab/>
      </w:r>
      <w:r>
        <w:rPr>
          <w:rFonts w:ascii="宋体" w:hAnsi="宋体"/>
          <w:color w:val="auto"/>
          <w:szCs w:val="21"/>
        </w:rPr>
        <w:t xml:space="preserve">                                              </w:t>
      </w:r>
      <w:r>
        <w:rPr>
          <w:rFonts w:hint="eastAsia" w:ascii="宋体" w:hAnsi="宋体"/>
          <w:color w:val="auto"/>
          <w:szCs w:val="21"/>
        </w:rPr>
        <w:t>供应商（盖章）：</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spacing w:line="400" w:lineRule="exact"/>
        <w:rPr>
          <w:rFonts w:ascii="宋体" w:hAnsi="宋体"/>
          <w:color w:val="auto"/>
          <w:szCs w:val="21"/>
        </w:rPr>
      </w:pPr>
      <w:r>
        <w:rPr>
          <w:rFonts w:ascii="宋体" w:hAnsi="宋体"/>
          <w:color w:val="auto"/>
          <w:szCs w:val="21"/>
        </w:rPr>
        <w:tab/>
      </w:r>
      <w:r>
        <w:rPr>
          <w:rFonts w:ascii="宋体" w:hAnsi="宋体"/>
          <w:color w:val="auto"/>
          <w:szCs w:val="21"/>
        </w:rPr>
        <w:t xml:space="preserve">                                              </w:t>
      </w:r>
      <w:r>
        <w:rPr>
          <w:rFonts w:hint="eastAsia" w:ascii="宋体" w:hAnsi="宋体"/>
          <w:color w:val="auto"/>
          <w:szCs w:val="21"/>
        </w:rPr>
        <w:t>日期：</w:t>
      </w:r>
      <w:r>
        <w:rPr>
          <w:rFonts w:hint="eastAsia" w:ascii="宋体" w:hAnsi="宋体"/>
          <w:color w:val="auto"/>
          <w:szCs w:val="21"/>
          <w:u w:val="single"/>
        </w:rPr>
        <w:t xml:space="preserve">                    </w:t>
      </w:r>
      <w:r>
        <w:rPr>
          <w:rFonts w:ascii="宋体" w:hAnsi="宋体"/>
          <w:color w:val="auto"/>
          <w:szCs w:val="21"/>
          <w:u w:val="single"/>
        </w:rPr>
        <w:t xml:space="preserve">    </w:t>
      </w:r>
    </w:p>
    <w:p>
      <w:pPr>
        <w:widowControl/>
        <w:jc w:val="left"/>
        <w:rPr>
          <w:color w:val="auto"/>
        </w:rPr>
      </w:pPr>
      <w:r>
        <w:rPr>
          <w:color w:val="auto"/>
        </w:rPr>
        <w:br w:type="page"/>
      </w:r>
    </w:p>
    <w:p>
      <w:pPr>
        <w:rPr>
          <w:color w:val="auto"/>
        </w:rPr>
      </w:pPr>
    </w:p>
    <w:p>
      <w:pPr>
        <w:jc w:val="center"/>
        <w:rPr>
          <w:rFonts w:ascii="仿宋" w:hAnsi="仿宋" w:eastAsia="仿宋"/>
          <w:color w:val="auto"/>
          <w:sz w:val="32"/>
          <w:szCs w:val="32"/>
        </w:rPr>
      </w:pPr>
      <w:r>
        <w:rPr>
          <w:rFonts w:hint="eastAsia" w:ascii="仿宋" w:hAnsi="仿宋" w:eastAsia="仿宋"/>
          <w:b/>
          <w:color w:val="auto"/>
          <w:sz w:val="32"/>
          <w:szCs w:val="32"/>
        </w:rPr>
        <w:t>授权委托书</w:t>
      </w:r>
      <w:bookmarkStart w:id="147" w:name="_Hlk92703623"/>
      <w:r>
        <w:rPr>
          <w:rFonts w:hint="eastAsia" w:ascii="仿宋" w:hAnsi="仿宋" w:eastAsia="仿宋"/>
          <w:color w:val="auto"/>
          <w:sz w:val="24"/>
        </w:rPr>
        <w:t>(格式</w:t>
      </w:r>
      <w:r>
        <w:rPr>
          <w:rFonts w:ascii="仿宋" w:hAnsi="仿宋" w:eastAsia="仿宋"/>
          <w:color w:val="auto"/>
          <w:sz w:val="24"/>
        </w:rPr>
        <w:t>)</w:t>
      </w:r>
      <w:bookmarkEnd w:id="147"/>
    </w:p>
    <w:p>
      <w:pPr>
        <w:snapToGrid w:val="0"/>
        <w:spacing w:before="156" w:beforeLines="50" w:after="50" w:line="500" w:lineRule="exact"/>
        <w:rPr>
          <w:rFonts w:ascii="宋体" w:hAnsi="宋体"/>
          <w:b/>
          <w:bCs/>
          <w:color w:val="auto"/>
          <w:szCs w:val="21"/>
        </w:rPr>
      </w:pPr>
      <w:r>
        <w:rPr>
          <w:rFonts w:hint="eastAsia" w:ascii="宋体" w:hAnsi="宋体"/>
          <w:bCs/>
          <w:color w:val="auto"/>
          <w:szCs w:val="21"/>
        </w:rPr>
        <w:t>致：</w:t>
      </w:r>
      <w:r>
        <w:rPr>
          <w:rFonts w:hint="eastAsia"/>
          <w:color w:val="auto"/>
        </w:rPr>
        <w:t>钦州市政府采购中心</w:t>
      </w:r>
    </w:p>
    <w:p>
      <w:pPr>
        <w:snapToGrid w:val="0"/>
        <w:spacing w:before="156" w:beforeLines="50" w:after="50" w:line="500" w:lineRule="exact"/>
        <w:ind w:firstLine="420" w:firstLineChars="200"/>
        <w:rPr>
          <w:rFonts w:ascii="宋体" w:hAnsi="宋体"/>
          <w:color w:val="auto"/>
          <w:szCs w:val="21"/>
        </w:rPr>
      </w:pPr>
      <w:r>
        <w:rPr>
          <w:rFonts w:hint="eastAsia" w:ascii="宋体" w:hAnsi="宋体"/>
          <w:color w:val="auto"/>
          <w:szCs w:val="21"/>
        </w:rPr>
        <w:t>我</w:t>
      </w:r>
      <w:r>
        <w:rPr>
          <w:rFonts w:hint="eastAsia" w:ascii="宋体" w:hAnsi="宋体"/>
          <w:color w:val="auto"/>
          <w:szCs w:val="21"/>
          <w:u w:val="single"/>
        </w:rPr>
        <w:t>（姓名）</w:t>
      </w:r>
      <w:r>
        <w:rPr>
          <w:rFonts w:hint="eastAsia" w:ascii="宋体" w:hAnsi="宋体"/>
          <w:color w:val="auto"/>
          <w:szCs w:val="21"/>
        </w:rPr>
        <w:t>系</w:t>
      </w:r>
      <w:r>
        <w:rPr>
          <w:rFonts w:hint="eastAsia" w:ascii="宋体" w:hAnsi="宋体"/>
          <w:color w:val="auto"/>
          <w:szCs w:val="21"/>
          <w:u w:val="single"/>
        </w:rPr>
        <w:t>（供应商名称）</w:t>
      </w:r>
      <w:r>
        <w:rPr>
          <w:rFonts w:hint="eastAsia" w:ascii="宋体" w:hAnsi="宋体"/>
          <w:color w:val="auto"/>
          <w:szCs w:val="21"/>
        </w:rPr>
        <w:t>的法定代表人，现授权委托本单位在职职工</w:t>
      </w:r>
      <w:r>
        <w:rPr>
          <w:rFonts w:hint="eastAsia" w:ascii="宋体" w:hAnsi="宋体"/>
          <w:color w:val="auto"/>
          <w:szCs w:val="21"/>
          <w:u w:val="single"/>
        </w:rPr>
        <w:t>（姓名）</w:t>
      </w:r>
      <w:r>
        <w:rPr>
          <w:rFonts w:hint="eastAsia" w:ascii="宋体" w:hAnsi="宋体"/>
          <w:color w:val="auto"/>
          <w:szCs w:val="21"/>
        </w:rPr>
        <w:t>以我方的名义参加</w:t>
      </w:r>
      <w:r>
        <w:rPr>
          <w:rFonts w:hint="eastAsia" w:ascii="宋体" w:hAnsi="宋体"/>
          <w:color w:val="auto"/>
          <w:szCs w:val="21"/>
          <w:u w:val="single"/>
        </w:rPr>
        <w:t>（项目名称/项目编号）</w:t>
      </w:r>
      <w:r>
        <w:rPr>
          <w:rFonts w:hint="eastAsia" w:ascii="宋体" w:hAnsi="宋体"/>
          <w:color w:val="auto"/>
          <w:szCs w:val="21"/>
        </w:rPr>
        <w:t>的磋商活动，并代表我方全权办理针对上述项目的磋商、签约等具体事务和签署相关文件。</w:t>
      </w:r>
    </w:p>
    <w:p>
      <w:pPr>
        <w:snapToGrid w:val="0"/>
        <w:spacing w:before="156" w:beforeLines="50" w:after="50" w:line="500" w:lineRule="exact"/>
        <w:ind w:firstLine="420" w:firstLineChars="200"/>
        <w:rPr>
          <w:rFonts w:ascii="宋体" w:hAnsi="宋体"/>
          <w:color w:val="auto"/>
          <w:szCs w:val="21"/>
        </w:rPr>
      </w:pPr>
      <w:r>
        <w:rPr>
          <w:rFonts w:hint="eastAsia" w:ascii="宋体" w:hAnsi="宋体"/>
          <w:color w:val="auto"/>
          <w:szCs w:val="21"/>
        </w:rPr>
        <w:t>我方对被授权人的签名事项负全部责任。</w:t>
      </w:r>
    </w:p>
    <w:p>
      <w:pPr>
        <w:snapToGrid w:val="0"/>
        <w:spacing w:before="156" w:beforeLines="50" w:after="50" w:line="500" w:lineRule="exact"/>
        <w:ind w:firstLine="420" w:firstLineChars="200"/>
        <w:rPr>
          <w:rFonts w:ascii="宋体" w:hAnsi="宋体"/>
          <w:color w:val="auto"/>
          <w:szCs w:val="21"/>
        </w:rPr>
      </w:pPr>
      <w:r>
        <w:rPr>
          <w:rFonts w:hint="eastAsia" w:ascii="宋体" w:hAnsi="宋体"/>
          <w:color w:val="auto"/>
          <w:szCs w:val="21"/>
          <w:u w:val="single"/>
        </w:rPr>
        <w:t>在撤销授权的书面通知以前，本授权书一直有效</w:t>
      </w:r>
      <w:r>
        <w:rPr>
          <w:rFonts w:hint="eastAsia" w:ascii="宋体" w:hAnsi="宋体"/>
          <w:color w:val="auto"/>
          <w:szCs w:val="21"/>
        </w:rPr>
        <w:t>。被授权人在授权书有效期内签署的所有文件不因授权的撤销而失效。</w:t>
      </w:r>
    </w:p>
    <w:p>
      <w:pPr>
        <w:snapToGrid w:val="0"/>
        <w:spacing w:before="156" w:beforeLines="50" w:after="50" w:line="500" w:lineRule="exact"/>
        <w:ind w:firstLine="420" w:firstLineChars="200"/>
        <w:rPr>
          <w:rFonts w:ascii="宋体" w:hAnsi="宋体"/>
          <w:color w:val="auto"/>
          <w:szCs w:val="21"/>
        </w:rPr>
      </w:pPr>
      <w:r>
        <w:rPr>
          <w:rFonts w:hint="eastAsia" w:ascii="宋体" w:hAnsi="宋体"/>
          <w:color w:val="auto"/>
          <w:szCs w:val="21"/>
        </w:rPr>
        <w:t>被授权人无转委托权，特此委托。</w:t>
      </w:r>
    </w:p>
    <w:p>
      <w:pPr>
        <w:snapToGrid w:val="0"/>
        <w:spacing w:before="156" w:beforeLines="50" w:after="50" w:line="300" w:lineRule="exact"/>
        <w:ind w:firstLine="525" w:firstLineChars="250"/>
        <w:rPr>
          <w:rFonts w:ascii="宋体" w:hAnsi="宋体"/>
          <w:color w:val="auto"/>
          <w:szCs w:val="21"/>
        </w:rPr>
      </w:pPr>
    </w:p>
    <w:p>
      <w:pPr>
        <w:snapToGrid w:val="0"/>
        <w:spacing w:before="156" w:beforeLines="50" w:after="50" w:line="300" w:lineRule="exact"/>
        <w:ind w:firstLine="420" w:firstLineChars="200"/>
        <w:rPr>
          <w:rFonts w:ascii="宋体" w:hAnsi="宋体"/>
          <w:color w:val="auto"/>
          <w:szCs w:val="21"/>
        </w:rPr>
      </w:pPr>
      <w:r>
        <w:rPr>
          <w:rFonts w:hint="eastAsia" w:ascii="宋体" w:hAnsi="宋体"/>
          <w:color w:val="auto"/>
          <w:szCs w:val="21"/>
        </w:rPr>
        <w:t>所在部门职务：</w:t>
      </w:r>
      <w:r>
        <w:rPr>
          <w:rFonts w:hint="eastAsia" w:ascii="宋体" w:hAnsi="宋体"/>
          <w:color w:val="auto"/>
          <w:szCs w:val="21"/>
          <w:u w:val="single"/>
        </w:rPr>
        <w:t xml:space="preserve">                        </w:t>
      </w:r>
    </w:p>
    <w:p>
      <w:pPr>
        <w:snapToGrid w:val="0"/>
        <w:spacing w:before="156" w:beforeLines="50" w:after="50" w:line="300" w:lineRule="exact"/>
        <w:ind w:firstLine="420" w:firstLineChars="200"/>
        <w:rPr>
          <w:rFonts w:ascii="宋体" w:hAnsi="宋体"/>
          <w:color w:val="auto"/>
          <w:szCs w:val="21"/>
          <w:u w:val="single"/>
        </w:rPr>
      </w:pPr>
      <w:r>
        <w:rPr>
          <w:rFonts w:hint="eastAsia" w:ascii="宋体" w:hAnsi="宋体"/>
          <w:color w:val="auto"/>
          <w:szCs w:val="21"/>
        </w:rPr>
        <w:t>职务：</w:t>
      </w:r>
      <w:r>
        <w:rPr>
          <w:rFonts w:hint="eastAsia" w:ascii="宋体" w:hAnsi="宋体"/>
          <w:color w:val="auto"/>
          <w:szCs w:val="21"/>
          <w:u w:val="single"/>
        </w:rPr>
        <w:t xml:space="preserve">                                </w:t>
      </w:r>
    </w:p>
    <w:p>
      <w:pPr>
        <w:snapToGrid w:val="0"/>
        <w:spacing w:before="156" w:beforeLines="50" w:after="50" w:line="300" w:lineRule="exact"/>
        <w:ind w:firstLine="420" w:firstLineChars="200"/>
        <w:rPr>
          <w:rFonts w:ascii="宋体" w:hAnsi="宋体"/>
          <w:color w:val="auto"/>
          <w:szCs w:val="21"/>
        </w:rPr>
      </w:pPr>
      <w:r>
        <w:rPr>
          <w:rFonts w:hint="eastAsia" w:ascii="宋体" w:hAnsi="宋体"/>
          <w:color w:val="auto"/>
          <w:szCs w:val="21"/>
        </w:rPr>
        <w:t>被授权人身份证号码：</w:t>
      </w:r>
      <w:r>
        <w:rPr>
          <w:rFonts w:hint="eastAsia" w:ascii="宋体" w:hAnsi="宋体"/>
          <w:color w:val="auto"/>
          <w:szCs w:val="21"/>
          <w:u w:val="single"/>
        </w:rPr>
        <w:t xml:space="preserve">                  </w:t>
      </w:r>
    </w:p>
    <w:p>
      <w:pPr>
        <w:snapToGrid w:val="0"/>
        <w:spacing w:before="156" w:beforeLines="50" w:after="50" w:line="300" w:lineRule="exact"/>
        <w:ind w:firstLine="420" w:firstLineChars="200"/>
        <w:rPr>
          <w:rFonts w:hAnsi="宋体"/>
          <w:color w:val="auto"/>
        </w:rPr>
      </w:pPr>
      <w:r>
        <w:rPr>
          <w:rFonts w:hint="eastAsia" w:hAnsi="宋体"/>
          <w:color w:val="auto"/>
        </w:rPr>
        <w:t>附：委托代理人身份证(正反面</w:t>
      </w:r>
      <w:r>
        <w:rPr>
          <w:rFonts w:hAnsi="宋体"/>
          <w:color w:val="auto"/>
        </w:rPr>
        <w:t>)</w:t>
      </w:r>
    </w:p>
    <w:p>
      <w:pPr>
        <w:rPr>
          <w:color w:val="auto"/>
        </w:rPr>
      </w:pPr>
    </w:p>
    <w:p>
      <w:pPr>
        <w:rPr>
          <w:color w:val="auto"/>
        </w:rPr>
      </w:pPr>
    </w:p>
    <w:p>
      <w:pPr>
        <w:rPr>
          <w:color w:val="auto"/>
        </w:rPr>
      </w:pPr>
    </w:p>
    <w:p>
      <w:pPr>
        <w:rPr>
          <w:color w:val="auto"/>
        </w:rPr>
      </w:pPr>
    </w:p>
    <w:p>
      <w:pPr>
        <w:rPr>
          <w:color w:val="auto"/>
        </w:rPr>
      </w:pPr>
    </w:p>
    <w:p>
      <w:pPr>
        <w:snapToGrid w:val="0"/>
        <w:spacing w:before="156" w:beforeLines="50" w:after="50" w:line="200" w:lineRule="exact"/>
        <w:ind w:firstLine="4620" w:firstLineChars="2200"/>
        <w:rPr>
          <w:rFonts w:ascii="宋体" w:hAnsi="宋体"/>
          <w:color w:val="auto"/>
          <w:szCs w:val="21"/>
          <w:u w:val="single"/>
        </w:rPr>
      </w:pPr>
      <w:r>
        <w:rPr>
          <w:rFonts w:hint="eastAsia" w:ascii="宋体" w:hAnsi="宋体"/>
          <w:color w:val="auto"/>
          <w:szCs w:val="21"/>
        </w:rPr>
        <w:t xml:space="preserve">       供应商（盖章）：</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snapToGrid w:val="0"/>
        <w:spacing w:before="156" w:beforeLines="50" w:after="50" w:line="200" w:lineRule="exact"/>
        <w:ind w:firstLine="5355" w:firstLineChars="2550"/>
        <w:rPr>
          <w:rFonts w:ascii="宋体" w:hAnsi="宋体"/>
          <w:color w:val="auto"/>
          <w:szCs w:val="21"/>
        </w:rPr>
      </w:pPr>
      <w:r>
        <w:rPr>
          <w:rFonts w:hint="eastAsia" w:ascii="宋体" w:hAnsi="宋体"/>
          <w:color w:val="auto"/>
          <w:szCs w:val="21"/>
        </w:rPr>
        <w:t>法定代表人签名：</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snapToGrid w:val="0"/>
        <w:spacing w:before="156" w:beforeLines="50" w:after="50" w:line="200" w:lineRule="exact"/>
        <w:ind w:firstLine="5355" w:firstLineChars="2550"/>
        <w:rPr>
          <w:rFonts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widowControl/>
        <w:jc w:val="left"/>
        <w:rPr>
          <w:color w:val="auto"/>
        </w:rPr>
      </w:pPr>
      <w:r>
        <w:rPr>
          <w:b/>
          <w:bCs/>
          <w:color w:val="auto"/>
        </w:rPr>
        <w:br w:type="page"/>
      </w:r>
    </w:p>
    <w:p>
      <w:pPr>
        <w:snapToGrid w:val="0"/>
        <w:spacing w:before="156" w:beforeLines="50" w:after="50" w:line="360" w:lineRule="exact"/>
        <w:jc w:val="center"/>
        <w:rPr>
          <w:rFonts w:ascii="仿宋" w:hAnsi="仿宋" w:eastAsia="仿宋"/>
          <w:color w:val="auto"/>
          <w:sz w:val="24"/>
        </w:rPr>
      </w:pPr>
      <w:bookmarkStart w:id="148" w:name="_Hlk92702799"/>
      <w:r>
        <w:rPr>
          <w:rFonts w:hint="eastAsia" w:ascii="仿宋_GB2312" w:hAnsi="宋体" w:eastAsia="仿宋_GB2312"/>
          <w:b/>
          <w:color w:val="auto"/>
          <w:sz w:val="28"/>
          <w:szCs w:val="28"/>
        </w:rPr>
        <w:t>商务响应</w:t>
      </w:r>
      <w:r>
        <w:rPr>
          <w:rFonts w:hint="eastAsia" w:ascii="仿宋_GB2312" w:eastAsia="仿宋_GB2312"/>
          <w:b/>
          <w:color w:val="auto"/>
          <w:sz w:val="28"/>
          <w:szCs w:val="28"/>
        </w:rPr>
        <w:t>表</w:t>
      </w:r>
      <w:r>
        <w:rPr>
          <w:rFonts w:hint="eastAsia" w:ascii="仿宋" w:hAnsi="仿宋" w:eastAsia="仿宋"/>
          <w:color w:val="auto"/>
          <w:sz w:val="24"/>
        </w:rPr>
        <w:t>(格式</w:t>
      </w:r>
      <w:r>
        <w:rPr>
          <w:rFonts w:ascii="仿宋" w:hAnsi="仿宋" w:eastAsia="仿宋"/>
          <w:color w:val="auto"/>
          <w:sz w:val="24"/>
        </w:rPr>
        <w:t>)</w:t>
      </w:r>
    </w:p>
    <w:p>
      <w:pPr>
        <w:rPr>
          <w:color w:val="auto"/>
        </w:rPr>
      </w:pPr>
    </w:p>
    <w:tbl>
      <w:tblPr>
        <w:tblStyle w:val="3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3240"/>
        <w:gridCol w:w="2748"/>
        <w:gridCol w:w="1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b/>
                <w:color w:val="auto"/>
                <w:szCs w:val="21"/>
              </w:rPr>
            </w:pPr>
            <w:r>
              <w:rPr>
                <w:rFonts w:hint="eastAsia" w:ascii="宋体" w:hAnsi="宋体"/>
                <w:b/>
                <w:color w:val="auto"/>
                <w:szCs w:val="21"/>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b/>
                <w:color w:val="auto"/>
                <w:szCs w:val="21"/>
              </w:rPr>
            </w:pPr>
            <w:r>
              <w:rPr>
                <w:rFonts w:hint="eastAsia" w:ascii="宋体" w:hAnsi="宋体"/>
                <w:b/>
                <w:color w:val="auto"/>
                <w:szCs w:val="21"/>
              </w:rPr>
              <w:t>采购文件</w:t>
            </w:r>
            <w:r>
              <w:rPr>
                <w:rFonts w:hint="eastAsia" w:ascii="宋体" w:hAnsi="宋体"/>
                <w:b/>
                <w:color w:val="auto"/>
                <w:szCs w:val="21"/>
                <w:lang w:val="en-US" w:eastAsia="zh-CN"/>
              </w:rPr>
              <w:t>商务</w:t>
            </w:r>
            <w:r>
              <w:rPr>
                <w:rFonts w:hint="eastAsia" w:ascii="宋体" w:hAnsi="宋体"/>
                <w:b/>
                <w:color w:val="auto"/>
                <w:szCs w:val="21"/>
              </w:rPr>
              <w:t>要求</w:t>
            </w:r>
          </w:p>
        </w:tc>
        <w:tc>
          <w:tcPr>
            <w:tcW w:w="27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b/>
                <w:color w:val="auto"/>
                <w:szCs w:val="21"/>
              </w:rPr>
            </w:pPr>
            <w:r>
              <w:rPr>
                <w:rFonts w:hint="eastAsia" w:ascii="宋体" w:hAnsi="宋体" w:eastAsia="宋体"/>
                <w:b/>
                <w:color w:val="auto"/>
                <w:szCs w:val="21"/>
                <w:lang w:val="en-US" w:eastAsia="zh-CN"/>
              </w:rPr>
              <w:t>供应商的</w:t>
            </w:r>
            <w:r>
              <w:rPr>
                <w:rFonts w:hint="eastAsia" w:ascii="宋体" w:hAnsi="宋体" w:eastAsia="宋体"/>
                <w:b/>
                <w:color w:val="auto"/>
                <w:szCs w:val="21"/>
              </w:rPr>
              <w:t>响应</w:t>
            </w:r>
          </w:p>
        </w:tc>
        <w:tc>
          <w:tcPr>
            <w:tcW w:w="15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b/>
                <w:color w:val="auto"/>
                <w:szCs w:val="21"/>
              </w:rPr>
            </w:pPr>
            <w:r>
              <w:rPr>
                <w:rFonts w:hint="eastAsia" w:ascii="宋体" w:hAnsi="宋体" w:eastAsia="宋体"/>
                <w:b/>
                <w:color w:val="auto"/>
                <w:szCs w:val="21"/>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r>
              <w:rPr>
                <w:rFonts w:hint="eastAsia" w:ascii="宋体" w:hAnsi="宋体"/>
                <w:color w:val="auto"/>
                <w:szCs w:val="21"/>
              </w:rPr>
              <w:t>服务期</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p>
        </w:tc>
        <w:tc>
          <w:tcPr>
            <w:tcW w:w="27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r>
              <w:rPr>
                <w:rFonts w:hint="eastAsia" w:ascii="宋体" w:hAnsi="宋体"/>
                <w:color w:val="auto"/>
                <w:szCs w:val="21"/>
              </w:rPr>
              <w:t>服务地点</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p>
        </w:tc>
        <w:tc>
          <w:tcPr>
            <w:tcW w:w="27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ind w:left="43"/>
              <w:jc w:val="center"/>
              <w:rPr>
                <w:rFonts w:ascii="宋体" w:hAnsi="宋体"/>
                <w:color w:val="auto"/>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ind w:left="43"/>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r>
              <w:rPr>
                <w:rFonts w:hint="eastAsia" w:ascii="宋体" w:hAnsi="宋体"/>
                <w:color w:val="auto"/>
                <w:szCs w:val="21"/>
              </w:rPr>
              <w:t>付款条件</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ind w:left="105"/>
              <w:jc w:val="center"/>
              <w:rPr>
                <w:rFonts w:ascii="宋体" w:hAnsi="宋体"/>
                <w:color w:val="auto"/>
                <w:szCs w:val="21"/>
              </w:rPr>
            </w:pPr>
          </w:p>
        </w:tc>
        <w:tc>
          <w:tcPr>
            <w:tcW w:w="27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r>
              <w:rPr>
                <w:rFonts w:hint="eastAsia" w:ascii="宋体" w:hAnsi="宋体"/>
                <w:color w:val="auto"/>
                <w:szCs w:val="21"/>
              </w:rPr>
              <w:t>…</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p>
        </w:tc>
        <w:tc>
          <w:tcPr>
            <w:tcW w:w="274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szCs w:val="21"/>
              </w:rPr>
            </w:pPr>
          </w:p>
        </w:tc>
      </w:tr>
    </w:tbl>
    <w:p>
      <w:pPr>
        <w:tabs>
          <w:tab w:val="left" w:pos="3870"/>
          <w:tab w:val="left" w:pos="4085"/>
        </w:tabs>
        <w:snapToGrid w:val="0"/>
        <w:spacing w:line="360" w:lineRule="exact"/>
        <w:rPr>
          <w:rFonts w:ascii="宋体" w:hAnsi="宋体"/>
          <w:b/>
          <w:color w:val="auto"/>
          <w:szCs w:val="21"/>
        </w:rPr>
      </w:pPr>
    </w:p>
    <w:p>
      <w:pPr>
        <w:rPr>
          <w:rFonts w:hint="eastAsia"/>
          <w:color w:val="auto"/>
          <w:lang w:val="en-US" w:eastAsia="zh-CN"/>
        </w:rPr>
      </w:pPr>
      <w:r>
        <w:rPr>
          <w:rFonts w:hint="eastAsia"/>
          <w:color w:val="auto"/>
          <w:lang w:val="en-US" w:eastAsia="zh-CN"/>
        </w:rPr>
        <w:t>注：</w:t>
      </w:r>
    </w:p>
    <w:p>
      <w:pPr>
        <w:rPr>
          <w:rFonts w:hint="eastAsia" w:eastAsia="宋体"/>
          <w:b w:val="0"/>
          <w:bCs w:val="0"/>
          <w:color w:val="auto"/>
          <w:sz w:val="21"/>
          <w:szCs w:val="21"/>
          <w:lang w:val="en-US" w:eastAsia="zh-CN"/>
        </w:rPr>
      </w:pPr>
      <w:r>
        <w:rPr>
          <w:rFonts w:hint="eastAsia" w:eastAsia="宋体"/>
          <w:b w:val="0"/>
          <w:bCs w:val="0"/>
          <w:color w:val="auto"/>
          <w:sz w:val="21"/>
          <w:szCs w:val="21"/>
          <w:lang w:val="en-US" w:eastAsia="zh-CN"/>
        </w:rPr>
        <w:t>1.</w:t>
      </w:r>
      <w:r>
        <w:rPr>
          <w:rFonts w:hint="eastAsia" w:eastAsia="宋体"/>
          <w:b w:val="0"/>
          <w:bCs w:val="0"/>
          <w:color w:val="auto"/>
          <w:sz w:val="21"/>
          <w:szCs w:val="21"/>
        </w:rPr>
        <w:t>应</w:t>
      </w:r>
      <w:r>
        <w:rPr>
          <w:rFonts w:hint="eastAsia" w:eastAsia="宋体"/>
          <w:b w:val="0"/>
          <w:bCs w:val="0"/>
          <w:color w:val="auto"/>
          <w:sz w:val="21"/>
          <w:szCs w:val="21"/>
          <w:lang w:val="en-US" w:eastAsia="zh-CN"/>
        </w:rPr>
        <w:t>按采购</w:t>
      </w:r>
      <w:r>
        <w:rPr>
          <w:rFonts w:hint="eastAsia" w:eastAsia="宋体"/>
          <w:b w:val="0"/>
          <w:bCs w:val="0"/>
          <w:color w:val="auto"/>
          <w:sz w:val="21"/>
          <w:szCs w:val="21"/>
        </w:rPr>
        <w:t>文件“第二章 项目需求”中的商务要求</w:t>
      </w:r>
      <w:r>
        <w:rPr>
          <w:rFonts w:hint="eastAsia" w:eastAsia="宋体"/>
          <w:b w:val="0"/>
          <w:bCs w:val="0"/>
          <w:color w:val="auto"/>
          <w:sz w:val="21"/>
          <w:szCs w:val="21"/>
          <w:lang w:val="en-US" w:eastAsia="zh-CN"/>
        </w:rPr>
        <w:t>具体条款修改并</w:t>
      </w:r>
      <w:r>
        <w:rPr>
          <w:rFonts w:hint="eastAsia" w:eastAsia="宋体"/>
          <w:b w:val="0"/>
          <w:bCs w:val="0"/>
          <w:color w:val="auto"/>
          <w:sz w:val="21"/>
          <w:szCs w:val="21"/>
        </w:rPr>
        <w:t>逐条作明确的</w:t>
      </w:r>
      <w:r>
        <w:rPr>
          <w:rFonts w:hint="eastAsia" w:eastAsia="宋体"/>
          <w:b w:val="0"/>
          <w:bCs w:val="0"/>
          <w:color w:val="auto"/>
          <w:sz w:val="21"/>
          <w:szCs w:val="21"/>
          <w:lang w:val="en-US" w:eastAsia="zh-CN"/>
        </w:rPr>
        <w:t>竞标</w:t>
      </w:r>
      <w:r>
        <w:rPr>
          <w:rFonts w:hint="eastAsia" w:eastAsia="宋体"/>
          <w:b w:val="0"/>
          <w:bCs w:val="0"/>
          <w:color w:val="auto"/>
          <w:sz w:val="21"/>
          <w:szCs w:val="21"/>
        </w:rPr>
        <w:t>响应。</w:t>
      </w:r>
    </w:p>
    <w:p>
      <w:pPr>
        <w:rPr>
          <w:rFonts w:hint="eastAsia" w:eastAsia="宋体"/>
          <w:b w:val="0"/>
          <w:bCs w:val="0"/>
          <w:color w:val="auto"/>
          <w:sz w:val="21"/>
          <w:szCs w:val="21"/>
        </w:rPr>
      </w:pPr>
      <w:r>
        <w:rPr>
          <w:rFonts w:hint="eastAsia" w:eastAsia="宋体"/>
          <w:b w:val="0"/>
          <w:bCs w:val="0"/>
          <w:color w:val="auto"/>
          <w:sz w:val="21"/>
          <w:szCs w:val="21"/>
        </w:rPr>
        <w:t>2.供应商应根据自身的承诺，对照磋商文件要求，在“偏离说明”中注明“正偏离”、“负偏离”或者“无偏离”。既不属于“正偏离”也不属于“负偏离”即为“无偏离”。</w:t>
      </w:r>
    </w:p>
    <w:p>
      <w:pPr>
        <w:tabs>
          <w:tab w:val="left" w:pos="3870"/>
          <w:tab w:val="left" w:pos="4085"/>
        </w:tabs>
        <w:snapToGrid w:val="0"/>
        <w:spacing w:line="360" w:lineRule="exact"/>
        <w:rPr>
          <w:rFonts w:hint="default" w:ascii="宋体" w:hAnsi="宋体" w:eastAsia="宋体"/>
          <w:b/>
          <w:color w:val="auto"/>
          <w:szCs w:val="21"/>
          <w:lang w:val="en-US" w:eastAsia="zh-CN"/>
        </w:rPr>
      </w:pPr>
    </w:p>
    <w:p>
      <w:pPr>
        <w:spacing w:line="400" w:lineRule="exact"/>
        <w:ind w:left="6092" w:leftChars="2766" w:right="592" w:rightChars="282" w:hanging="283" w:hangingChars="135"/>
        <w:jc w:val="left"/>
        <w:rPr>
          <w:rFonts w:ascii="宋体" w:hAnsi="宋体"/>
          <w:bCs/>
          <w:color w:val="auto"/>
        </w:rPr>
      </w:pPr>
      <w:r>
        <w:rPr>
          <w:rFonts w:hint="eastAsia" w:ascii="宋体" w:hAnsi="宋体"/>
          <w:color w:val="auto"/>
          <w:szCs w:val="21"/>
        </w:rPr>
        <w:t xml:space="preserve"> </w:t>
      </w:r>
      <w:r>
        <w:rPr>
          <w:rFonts w:ascii="宋体" w:hAnsi="宋体"/>
          <w:color w:val="auto"/>
          <w:szCs w:val="21"/>
        </w:rPr>
        <w:t xml:space="preserve">                                                </w:t>
      </w:r>
      <w:bookmarkEnd w:id="148"/>
      <w:bookmarkStart w:id="149" w:name="_Hlk112311546"/>
      <w:r>
        <w:rPr>
          <w:rFonts w:hint="eastAsia" w:ascii="宋体" w:hAnsi="宋体"/>
          <w:bCs/>
          <w:color w:val="auto"/>
        </w:rPr>
        <w:t>供应商（盖章）：</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p>
    <w:p>
      <w:pPr>
        <w:snapToGrid w:val="0"/>
        <w:spacing w:before="50" w:after="50" w:line="350" w:lineRule="exact"/>
        <w:ind w:right="-817" w:rightChars="-389" w:firstLine="6090" w:firstLineChars="2900"/>
        <w:jc w:val="left"/>
        <w:rPr>
          <w:color w:val="auto"/>
        </w:rPr>
      </w:pPr>
      <w:r>
        <w:rPr>
          <w:rFonts w:hint="eastAsia" w:ascii="宋体" w:hAnsi="宋体"/>
          <w:bCs/>
          <w:color w:val="auto"/>
        </w:rPr>
        <w:t>日期：</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r>
        <w:rPr>
          <w:rFonts w:hint="eastAsia" w:ascii="宋体" w:hAnsi="宋体"/>
          <w:bCs/>
          <w:color w:val="auto"/>
        </w:rPr>
        <w:t>年</w:t>
      </w:r>
      <w:r>
        <w:rPr>
          <w:rFonts w:hint="eastAsia" w:ascii="宋体" w:hAnsi="宋体"/>
          <w:bCs/>
          <w:color w:val="auto"/>
          <w:u w:val="single"/>
        </w:rPr>
        <w:t xml:space="preserve">   </w:t>
      </w:r>
      <w:r>
        <w:rPr>
          <w:rFonts w:hint="eastAsia" w:ascii="宋体" w:hAnsi="宋体"/>
          <w:bCs/>
          <w:color w:val="auto"/>
        </w:rPr>
        <w:t>月</w:t>
      </w:r>
      <w:r>
        <w:rPr>
          <w:rFonts w:hint="eastAsia" w:ascii="宋体" w:hAnsi="宋体"/>
          <w:bCs/>
          <w:color w:val="auto"/>
          <w:u w:val="single"/>
        </w:rPr>
        <w:t xml:space="preserve">   </w:t>
      </w:r>
      <w:r>
        <w:rPr>
          <w:rFonts w:hint="eastAsia" w:ascii="宋体" w:hAnsi="宋体"/>
          <w:bCs/>
          <w:color w:val="auto"/>
        </w:rPr>
        <w:t>日</w:t>
      </w:r>
    </w:p>
    <w:bookmarkEnd w:id="149"/>
    <w:p>
      <w:pPr>
        <w:rPr>
          <w:color w:val="auto"/>
        </w:rPr>
      </w:pPr>
    </w:p>
    <w:p>
      <w:pPr>
        <w:shd w:val="clear"/>
        <w:adjustRightInd w:val="0"/>
        <w:snapToGrid w:val="0"/>
        <w:spacing w:line="300" w:lineRule="auto"/>
        <w:jc w:val="center"/>
        <w:rPr>
          <w:rFonts w:hint="eastAsia" w:ascii="仿宋_GB2312" w:hAnsi="宋体" w:eastAsia="仿宋_GB2312"/>
          <w:b/>
          <w:color w:val="auto"/>
          <w:sz w:val="28"/>
          <w:szCs w:val="28"/>
          <w:highlight w:val="none"/>
        </w:rPr>
      </w:pPr>
    </w:p>
    <w:p>
      <w:pPr>
        <w:shd w:val="clear"/>
        <w:adjustRightInd w:val="0"/>
        <w:snapToGrid w:val="0"/>
        <w:spacing w:line="300" w:lineRule="auto"/>
        <w:jc w:val="center"/>
        <w:rPr>
          <w:rFonts w:hint="eastAsia" w:ascii="仿宋_GB2312" w:hAnsi="宋体" w:eastAsia="仿宋_GB2312"/>
          <w:b/>
          <w:color w:val="auto"/>
          <w:sz w:val="28"/>
          <w:szCs w:val="28"/>
          <w:highlight w:val="none"/>
        </w:rPr>
      </w:pPr>
    </w:p>
    <w:p>
      <w:pPr>
        <w:shd w:val="clear"/>
        <w:adjustRightInd w:val="0"/>
        <w:snapToGrid w:val="0"/>
        <w:spacing w:line="300" w:lineRule="auto"/>
        <w:jc w:val="center"/>
        <w:rPr>
          <w:rFonts w:ascii="Arial Unicode MS" w:hAnsi="Arial Unicode MS" w:eastAsia="Arial Unicode MS" w:cs="Arial Unicode MS"/>
          <w:bCs/>
          <w:color w:val="auto"/>
          <w:sz w:val="44"/>
          <w:szCs w:val="44"/>
          <w:highlight w:val="none"/>
        </w:rPr>
      </w:pPr>
      <w:r>
        <w:rPr>
          <w:rFonts w:hint="eastAsia" w:ascii="仿宋_GB2312" w:hAnsi="宋体" w:eastAsia="仿宋_GB2312"/>
          <w:b/>
          <w:color w:val="auto"/>
          <w:sz w:val="28"/>
          <w:szCs w:val="28"/>
          <w:highlight w:val="none"/>
        </w:rPr>
        <w:t>技术响应</w:t>
      </w:r>
      <w:r>
        <w:rPr>
          <w:rFonts w:hint="eastAsia" w:ascii="仿宋_GB2312" w:eastAsia="仿宋_GB2312"/>
          <w:b/>
          <w:color w:val="auto"/>
          <w:sz w:val="28"/>
          <w:szCs w:val="28"/>
          <w:highlight w:val="none"/>
        </w:rPr>
        <w:t>表</w:t>
      </w:r>
      <w:r>
        <w:rPr>
          <w:rFonts w:hint="eastAsia" w:ascii="仿宋" w:hAnsi="仿宋" w:eastAsia="仿宋"/>
          <w:color w:val="auto"/>
          <w:sz w:val="24"/>
          <w:highlight w:val="none"/>
        </w:rPr>
        <w:t>(格式</w:t>
      </w:r>
      <w:r>
        <w:rPr>
          <w:rFonts w:ascii="仿宋" w:hAnsi="仿宋" w:eastAsia="仿宋"/>
          <w:color w:val="auto"/>
          <w:sz w:val="24"/>
          <w:highlight w:val="none"/>
        </w:rPr>
        <w:t>)</w:t>
      </w:r>
    </w:p>
    <w:tbl>
      <w:tblPr>
        <w:tblStyle w:val="36"/>
        <w:tblW w:w="85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7"/>
        <w:gridCol w:w="858"/>
        <w:gridCol w:w="2847"/>
        <w:gridCol w:w="2562"/>
        <w:gridCol w:w="139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7" w:type="dxa"/>
            <w:vAlign w:val="center"/>
          </w:tcPr>
          <w:p>
            <w:pPr>
              <w:snapToGrid w:val="0"/>
              <w:spacing w:before="156" w:beforeLines="50" w:line="360" w:lineRule="exact"/>
              <w:jc w:val="center"/>
              <w:rPr>
                <w:rFonts w:hint="eastAsia" w:ascii="宋体" w:hAnsi="宋体" w:eastAsia="宋体"/>
                <w:b/>
                <w:color w:val="auto"/>
                <w:szCs w:val="21"/>
              </w:rPr>
            </w:pPr>
            <w:bookmarkStart w:id="150" w:name="_Toc297193185"/>
            <w:bookmarkStart w:id="151" w:name="_Toc254970729"/>
            <w:bookmarkStart w:id="152" w:name="_Toc254970588"/>
            <w:bookmarkStart w:id="153" w:name="_Toc173066401"/>
            <w:bookmarkStart w:id="154" w:name="_Toc295404981"/>
            <w:bookmarkStart w:id="155" w:name="_Toc301781611"/>
            <w:bookmarkStart w:id="156" w:name="_Toc173211900"/>
            <w:bookmarkStart w:id="157" w:name="_Toc373333689"/>
            <w:bookmarkStart w:id="158" w:name="_Toc383699906"/>
            <w:r>
              <w:rPr>
                <w:rFonts w:hint="eastAsia" w:ascii="宋体" w:hAnsi="宋体" w:eastAsia="宋体"/>
                <w:b/>
                <w:color w:val="auto"/>
                <w:szCs w:val="21"/>
              </w:rPr>
              <w:t>序号</w:t>
            </w:r>
            <w:bookmarkEnd w:id="150"/>
            <w:bookmarkEnd w:id="151"/>
            <w:bookmarkEnd w:id="152"/>
            <w:bookmarkEnd w:id="153"/>
            <w:bookmarkEnd w:id="154"/>
            <w:bookmarkEnd w:id="155"/>
            <w:bookmarkEnd w:id="156"/>
            <w:bookmarkEnd w:id="157"/>
            <w:bookmarkEnd w:id="158"/>
          </w:p>
        </w:tc>
        <w:tc>
          <w:tcPr>
            <w:tcW w:w="858" w:type="dxa"/>
            <w:tcBorders>
              <w:right w:val="single" w:color="auto" w:sz="4" w:space="0"/>
            </w:tcBorders>
            <w:vAlign w:val="center"/>
          </w:tcPr>
          <w:p>
            <w:pPr>
              <w:snapToGrid w:val="0"/>
              <w:spacing w:before="156" w:beforeLines="50" w:line="360" w:lineRule="exact"/>
              <w:jc w:val="center"/>
              <w:rPr>
                <w:rFonts w:hint="eastAsia" w:ascii="宋体" w:hAnsi="宋体" w:eastAsia="宋体"/>
                <w:b/>
                <w:color w:val="auto"/>
                <w:szCs w:val="21"/>
              </w:rPr>
            </w:pPr>
            <w:r>
              <w:rPr>
                <w:rFonts w:hint="eastAsia" w:ascii="宋体" w:hAnsi="宋体" w:eastAsia="宋体"/>
                <w:b/>
                <w:color w:val="auto"/>
                <w:szCs w:val="21"/>
              </w:rPr>
              <w:t>名称</w:t>
            </w:r>
          </w:p>
        </w:tc>
        <w:tc>
          <w:tcPr>
            <w:tcW w:w="2847" w:type="dxa"/>
            <w:tcBorders>
              <w:left w:val="single" w:color="auto" w:sz="4" w:space="0"/>
            </w:tcBorders>
            <w:vAlign w:val="center"/>
          </w:tcPr>
          <w:p>
            <w:pPr>
              <w:snapToGrid w:val="0"/>
              <w:spacing w:before="156" w:beforeLines="50" w:line="360" w:lineRule="exact"/>
              <w:jc w:val="center"/>
              <w:rPr>
                <w:rFonts w:hint="eastAsia" w:ascii="宋体" w:hAnsi="宋体" w:eastAsia="宋体"/>
                <w:b/>
                <w:color w:val="auto"/>
                <w:szCs w:val="21"/>
              </w:rPr>
            </w:pPr>
            <w:r>
              <w:rPr>
                <w:rFonts w:hint="eastAsia" w:ascii="宋体" w:hAnsi="宋体" w:eastAsia="宋体"/>
                <w:b/>
                <w:color w:val="auto"/>
                <w:szCs w:val="21"/>
              </w:rPr>
              <w:t>采购文件服务要求</w:t>
            </w:r>
          </w:p>
        </w:tc>
        <w:tc>
          <w:tcPr>
            <w:tcW w:w="2562" w:type="dxa"/>
            <w:vAlign w:val="center"/>
          </w:tcPr>
          <w:p>
            <w:pPr>
              <w:snapToGrid w:val="0"/>
              <w:spacing w:before="156" w:beforeLines="50" w:line="360" w:lineRule="exact"/>
              <w:jc w:val="center"/>
              <w:rPr>
                <w:rFonts w:hint="eastAsia" w:ascii="宋体" w:hAnsi="宋体" w:eastAsia="宋体"/>
                <w:b/>
                <w:color w:val="auto"/>
                <w:szCs w:val="21"/>
              </w:rPr>
            </w:pPr>
            <w:r>
              <w:rPr>
                <w:rFonts w:hint="eastAsia" w:ascii="宋体" w:hAnsi="宋体" w:eastAsia="宋体"/>
                <w:b/>
                <w:color w:val="auto"/>
                <w:szCs w:val="21"/>
                <w:lang w:val="en-US" w:eastAsia="zh-CN"/>
              </w:rPr>
              <w:t>供应商的</w:t>
            </w:r>
            <w:r>
              <w:rPr>
                <w:rFonts w:hint="eastAsia" w:ascii="宋体" w:hAnsi="宋体" w:eastAsia="宋体"/>
                <w:b/>
                <w:color w:val="auto"/>
                <w:szCs w:val="21"/>
              </w:rPr>
              <w:t>响应</w:t>
            </w:r>
          </w:p>
        </w:tc>
        <w:tc>
          <w:tcPr>
            <w:tcW w:w="1398" w:type="dxa"/>
            <w:vAlign w:val="center"/>
          </w:tcPr>
          <w:p>
            <w:pPr>
              <w:snapToGrid w:val="0"/>
              <w:spacing w:before="156" w:beforeLines="50" w:line="360" w:lineRule="exact"/>
              <w:jc w:val="center"/>
              <w:rPr>
                <w:rFonts w:hint="eastAsia" w:ascii="宋体" w:hAnsi="宋体" w:eastAsia="宋体"/>
                <w:b/>
                <w:color w:val="auto"/>
                <w:szCs w:val="21"/>
              </w:rPr>
            </w:pPr>
            <w:bookmarkStart w:id="159" w:name="_Toc254970591"/>
            <w:bookmarkStart w:id="160" w:name="_Toc301781614"/>
            <w:bookmarkStart w:id="161" w:name="_Toc173211903"/>
            <w:bookmarkStart w:id="162" w:name="_Toc295404984"/>
            <w:bookmarkStart w:id="163" w:name="_Toc254970732"/>
            <w:bookmarkStart w:id="164" w:name="_Toc383699909"/>
            <w:bookmarkStart w:id="165" w:name="_Toc173066404"/>
            <w:bookmarkStart w:id="166" w:name="_Toc297193188"/>
            <w:bookmarkStart w:id="167" w:name="_Toc373333692"/>
            <w:r>
              <w:rPr>
                <w:rFonts w:hint="eastAsia" w:ascii="宋体" w:hAnsi="宋体" w:eastAsia="宋体"/>
                <w:b/>
                <w:color w:val="auto"/>
                <w:szCs w:val="21"/>
              </w:rPr>
              <w:t>偏离</w:t>
            </w:r>
            <w:bookmarkEnd w:id="159"/>
            <w:bookmarkEnd w:id="160"/>
            <w:bookmarkEnd w:id="161"/>
            <w:bookmarkEnd w:id="162"/>
            <w:bookmarkEnd w:id="163"/>
            <w:bookmarkEnd w:id="164"/>
            <w:bookmarkEnd w:id="165"/>
            <w:bookmarkEnd w:id="166"/>
            <w:bookmarkEnd w:id="167"/>
            <w:bookmarkStart w:id="168" w:name="_Toc173066405"/>
            <w:bookmarkStart w:id="169" w:name="_Toc254970592"/>
            <w:bookmarkStart w:id="170" w:name="_Toc254970733"/>
            <w:bookmarkStart w:id="171" w:name="_Toc173211904"/>
            <w:bookmarkStart w:id="172" w:name="_Toc301781615"/>
            <w:bookmarkStart w:id="173" w:name="_Toc297193189"/>
            <w:bookmarkStart w:id="174" w:name="_Toc373333693"/>
            <w:bookmarkStart w:id="175" w:name="_Toc295404985"/>
            <w:bookmarkStart w:id="176" w:name="_Toc383699910"/>
            <w:r>
              <w:rPr>
                <w:rFonts w:hint="eastAsia" w:ascii="宋体" w:hAnsi="宋体" w:eastAsia="宋体"/>
                <w:b/>
                <w:color w:val="auto"/>
                <w:szCs w:val="21"/>
              </w:rPr>
              <w:t>说明</w:t>
            </w:r>
            <w:bookmarkEnd w:id="168"/>
            <w:bookmarkEnd w:id="169"/>
            <w:bookmarkEnd w:id="170"/>
            <w:bookmarkEnd w:id="171"/>
            <w:bookmarkEnd w:id="172"/>
            <w:bookmarkEnd w:id="173"/>
            <w:bookmarkEnd w:id="174"/>
            <w:bookmarkEnd w:id="175"/>
            <w:bookmarkEnd w:id="176"/>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7"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bookmarkStart w:id="177" w:name="_Toc383699911"/>
            <w:bookmarkStart w:id="178" w:name="_Toc173066406"/>
            <w:bookmarkStart w:id="179" w:name="_Toc295404986"/>
            <w:bookmarkStart w:id="180" w:name="_Toc173211905"/>
            <w:bookmarkStart w:id="181" w:name="_Toc373333694"/>
            <w:bookmarkStart w:id="182" w:name="_Toc297193190"/>
            <w:bookmarkStart w:id="183" w:name="_Toc254970593"/>
            <w:bookmarkStart w:id="184" w:name="_Toc254970734"/>
            <w:bookmarkStart w:id="185" w:name="_Toc301781616"/>
            <w:r>
              <w:rPr>
                <w:rFonts w:hint="eastAsia" w:ascii="宋体" w:hAnsi="宋体" w:eastAsia="宋体" w:cs="仿宋_GB2312"/>
                <w:color w:val="auto"/>
                <w:sz w:val="21"/>
                <w:szCs w:val="21"/>
                <w:highlight w:val="none"/>
              </w:rPr>
              <w:t>1</w:t>
            </w:r>
            <w:bookmarkEnd w:id="177"/>
            <w:bookmarkEnd w:id="178"/>
            <w:bookmarkEnd w:id="179"/>
            <w:bookmarkEnd w:id="180"/>
            <w:bookmarkEnd w:id="181"/>
            <w:bookmarkEnd w:id="182"/>
            <w:bookmarkEnd w:id="183"/>
            <w:bookmarkEnd w:id="184"/>
            <w:bookmarkEnd w:id="185"/>
          </w:p>
        </w:tc>
        <w:tc>
          <w:tcPr>
            <w:tcW w:w="858" w:type="dxa"/>
            <w:tcBorders>
              <w:right w:val="single" w:color="auto" w:sz="4" w:space="0"/>
            </w:tcBorders>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2847" w:type="dxa"/>
            <w:tcBorders>
              <w:left w:val="single" w:color="auto" w:sz="4" w:space="0"/>
            </w:tcBorders>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2562"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1398"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7"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bookmarkStart w:id="186" w:name="_Toc383699912"/>
            <w:bookmarkStart w:id="187" w:name="_Toc301781617"/>
            <w:bookmarkStart w:id="188" w:name="_Toc173211906"/>
            <w:bookmarkStart w:id="189" w:name="_Toc173066407"/>
            <w:bookmarkStart w:id="190" w:name="_Toc297193191"/>
            <w:bookmarkStart w:id="191" w:name="_Toc254970594"/>
            <w:bookmarkStart w:id="192" w:name="_Toc295404987"/>
            <w:bookmarkStart w:id="193" w:name="_Toc373333695"/>
            <w:bookmarkStart w:id="194" w:name="_Toc254970735"/>
            <w:r>
              <w:rPr>
                <w:rFonts w:hint="eastAsia" w:ascii="宋体" w:hAnsi="宋体" w:eastAsia="宋体" w:cs="仿宋_GB2312"/>
                <w:color w:val="auto"/>
                <w:sz w:val="21"/>
                <w:szCs w:val="21"/>
                <w:highlight w:val="none"/>
              </w:rPr>
              <w:t>2</w:t>
            </w:r>
            <w:bookmarkEnd w:id="186"/>
            <w:bookmarkEnd w:id="187"/>
            <w:bookmarkEnd w:id="188"/>
            <w:bookmarkEnd w:id="189"/>
            <w:bookmarkEnd w:id="190"/>
            <w:bookmarkEnd w:id="191"/>
            <w:bookmarkEnd w:id="192"/>
            <w:bookmarkEnd w:id="193"/>
            <w:bookmarkEnd w:id="194"/>
          </w:p>
        </w:tc>
        <w:tc>
          <w:tcPr>
            <w:tcW w:w="858" w:type="dxa"/>
            <w:tcBorders>
              <w:right w:val="single" w:color="auto" w:sz="4" w:space="0"/>
            </w:tcBorders>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2847" w:type="dxa"/>
            <w:tcBorders>
              <w:left w:val="single" w:color="auto" w:sz="4" w:space="0"/>
            </w:tcBorders>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2562"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1398"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7"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bookmarkStart w:id="195" w:name="_Toc254970736"/>
            <w:bookmarkStart w:id="196" w:name="_Toc254970595"/>
            <w:bookmarkStart w:id="197" w:name="_Toc173211907"/>
            <w:bookmarkStart w:id="198" w:name="_Toc297193192"/>
            <w:bookmarkStart w:id="199" w:name="_Toc383699913"/>
            <w:bookmarkStart w:id="200" w:name="_Toc173066408"/>
            <w:bookmarkStart w:id="201" w:name="_Toc295404988"/>
            <w:bookmarkStart w:id="202" w:name="_Toc373333696"/>
            <w:bookmarkStart w:id="203" w:name="_Toc301781618"/>
            <w:r>
              <w:rPr>
                <w:rFonts w:hint="eastAsia" w:ascii="宋体" w:hAnsi="宋体" w:eastAsia="宋体" w:cs="仿宋_GB2312"/>
                <w:color w:val="auto"/>
                <w:sz w:val="21"/>
                <w:szCs w:val="21"/>
                <w:highlight w:val="none"/>
              </w:rPr>
              <w:t>3</w:t>
            </w:r>
            <w:bookmarkEnd w:id="195"/>
            <w:bookmarkEnd w:id="196"/>
            <w:bookmarkEnd w:id="197"/>
            <w:bookmarkEnd w:id="198"/>
            <w:bookmarkEnd w:id="199"/>
            <w:bookmarkEnd w:id="200"/>
            <w:bookmarkEnd w:id="201"/>
            <w:bookmarkEnd w:id="202"/>
            <w:bookmarkEnd w:id="203"/>
          </w:p>
        </w:tc>
        <w:tc>
          <w:tcPr>
            <w:tcW w:w="858" w:type="dxa"/>
            <w:tcBorders>
              <w:right w:val="single" w:color="auto" w:sz="4" w:space="0"/>
            </w:tcBorders>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2847" w:type="dxa"/>
            <w:tcBorders>
              <w:left w:val="single" w:color="auto" w:sz="4" w:space="0"/>
            </w:tcBorders>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2562"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1398"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857"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bookmarkStart w:id="204" w:name="_Toc254970602"/>
            <w:bookmarkStart w:id="205" w:name="_Toc383699916"/>
            <w:bookmarkStart w:id="206" w:name="_Toc297193195"/>
            <w:bookmarkStart w:id="207" w:name="_Toc173066415"/>
            <w:bookmarkStart w:id="208" w:name="_Toc301781621"/>
            <w:bookmarkStart w:id="209" w:name="_Toc373333699"/>
            <w:bookmarkStart w:id="210" w:name="_Toc254970743"/>
            <w:bookmarkStart w:id="211" w:name="_Toc173211914"/>
            <w:bookmarkStart w:id="212" w:name="_Toc295404991"/>
            <w:r>
              <w:rPr>
                <w:rFonts w:hint="eastAsia" w:ascii="宋体" w:hAnsi="宋体" w:eastAsia="宋体" w:cs="仿宋_GB2312"/>
                <w:color w:val="auto"/>
                <w:sz w:val="21"/>
                <w:szCs w:val="21"/>
                <w:highlight w:val="none"/>
              </w:rPr>
              <w:t>…</w:t>
            </w:r>
            <w:bookmarkEnd w:id="204"/>
            <w:bookmarkEnd w:id="205"/>
            <w:bookmarkEnd w:id="206"/>
            <w:bookmarkEnd w:id="207"/>
            <w:bookmarkEnd w:id="208"/>
            <w:bookmarkEnd w:id="209"/>
            <w:bookmarkEnd w:id="210"/>
            <w:bookmarkEnd w:id="211"/>
            <w:bookmarkEnd w:id="212"/>
          </w:p>
        </w:tc>
        <w:tc>
          <w:tcPr>
            <w:tcW w:w="858" w:type="dxa"/>
            <w:tcBorders>
              <w:right w:val="single" w:color="auto" w:sz="4" w:space="0"/>
            </w:tcBorders>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2847" w:type="dxa"/>
            <w:tcBorders>
              <w:left w:val="single" w:color="auto" w:sz="4" w:space="0"/>
            </w:tcBorders>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2562" w:type="dxa"/>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c>
          <w:tcPr>
            <w:tcW w:w="1398" w:type="dxa"/>
            <w:tcBorders>
              <w:right w:val="single" w:color="auto" w:sz="4" w:space="0"/>
            </w:tcBorders>
            <w:vAlign w:val="center"/>
          </w:tcPr>
          <w:p>
            <w:pPr>
              <w:pStyle w:val="18"/>
              <w:shd w:val="clear"/>
              <w:spacing w:line="360" w:lineRule="auto"/>
              <w:ind w:firstLine="0" w:firstLineChars="0"/>
              <w:contextualSpacing/>
              <w:jc w:val="center"/>
              <w:rPr>
                <w:rFonts w:ascii="宋体" w:hAnsi="宋体" w:eastAsia="宋体" w:cs="仿宋_GB2312"/>
                <w:color w:val="auto"/>
                <w:sz w:val="21"/>
                <w:szCs w:val="21"/>
                <w:highlight w:val="none"/>
              </w:rPr>
            </w:pPr>
          </w:p>
        </w:tc>
      </w:tr>
    </w:tbl>
    <w:p>
      <w:pPr>
        <w:rPr>
          <w:rFonts w:hint="eastAsia" w:eastAsia="宋体"/>
          <w:b w:val="0"/>
          <w:bCs w:val="0"/>
          <w:color w:val="auto"/>
          <w:sz w:val="21"/>
          <w:szCs w:val="21"/>
        </w:rPr>
      </w:pPr>
    </w:p>
    <w:p>
      <w:pPr>
        <w:rPr>
          <w:rFonts w:hint="eastAsia" w:eastAsia="宋体"/>
          <w:b w:val="0"/>
          <w:bCs w:val="0"/>
          <w:color w:val="auto"/>
          <w:sz w:val="21"/>
          <w:szCs w:val="21"/>
        </w:rPr>
      </w:pPr>
      <w:r>
        <w:rPr>
          <w:rFonts w:hint="eastAsia" w:eastAsia="宋体"/>
          <w:b w:val="0"/>
          <w:bCs w:val="0"/>
          <w:color w:val="auto"/>
          <w:sz w:val="21"/>
          <w:szCs w:val="21"/>
        </w:rPr>
        <w:t>注：</w:t>
      </w:r>
    </w:p>
    <w:p>
      <w:pPr>
        <w:rPr>
          <w:rFonts w:hint="eastAsia" w:eastAsia="宋体"/>
          <w:b w:val="0"/>
          <w:bCs w:val="0"/>
          <w:color w:val="auto"/>
          <w:sz w:val="21"/>
          <w:szCs w:val="21"/>
        </w:rPr>
      </w:pPr>
      <w:r>
        <w:rPr>
          <w:rFonts w:hint="eastAsia" w:eastAsia="宋体"/>
          <w:b w:val="0"/>
          <w:bCs w:val="0"/>
          <w:color w:val="auto"/>
          <w:sz w:val="21"/>
          <w:szCs w:val="21"/>
        </w:rPr>
        <w:t>1.应对照采购文件“第二章 项目需求”中的服务要求逐条作出明确响应，并作出偏离说明。</w:t>
      </w:r>
    </w:p>
    <w:p>
      <w:pPr>
        <w:rPr>
          <w:rFonts w:hint="eastAsia" w:eastAsia="宋体"/>
          <w:b w:val="0"/>
          <w:bCs w:val="0"/>
          <w:color w:val="auto"/>
          <w:sz w:val="21"/>
          <w:szCs w:val="21"/>
        </w:rPr>
      </w:pPr>
      <w:r>
        <w:rPr>
          <w:rFonts w:hint="eastAsia" w:eastAsia="宋体"/>
          <w:b w:val="0"/>
          <w:bCs w:val="0"/>
          <w:color w:val="auto"/>
          <w:sz w:val="21"/>
          <w:szCs w:val="21"/>
        </w:rPr>
        <w:t>2.供应商应根据自身的承诺，对照磋商文件要求，在“偏离说明”中注明“正偏离”、“负偏离”或者“无偏离”。既不属于“正偏离”也不属于“负偏离”即为“无偏离”。</w:t>
      </w:r>
    </w:p>
    <w:p>
      <w:pPr>
        <w:pStyle w:val="35"/>
        <w:shd w:val="clear"/>
        <w:ind w:firstLine="281"/>
        <w:rPr>
          <w:rFonts w:hAnsi="宋体"/>
          <w:b/>
          <w:color w:val="auto"/>
          <w:sz w:val="28"/>
          <w:szCs w:val="28"/>
          <w:highlight w:val="none"/>
        </w:rPr>
      </w:pPr>
    </w:p>
    <w:p>
      <w:pPr>
        <w:shd w:val="clear"/>
        <w:spacing w:line="400" w:lineRule="exact"/>
        <w:ind w:left="6092" w:leftChars="2766" w:right="592" w:rightChars="282" w:hanging="283" w:hangingChars="135"/>
        <w:jc w:val="left"/>
        <w:rPr>
          <w:rFonts w:ascii="宋体" w:hAnsi="宋体"/>
          <w:bCs/>
          <w:color w:val="auto"/>
          <w:highlight w:val="none"/>
        </w:rPr>
      </w:pPr>
      <w:r>
        <w:rPr>
          <w:rFonts w:hint="eastAsia" w:ascii="宋体" w:hAnsi="宋体"/>
          <w:bCs/>
          <w:color w:val="auto"/>
          <w:highlight w:val="none"/>
        </w:rPr>
        <w:t>供应商（盖章）：</w:t>
      </w:r>
      <w:r>
        <w:rPr>
          <w:rFonts w:hint="eastAsia" w:ascii="宋体" w:hAnsi="宋体"/>
          <w:bCs/>
          <w:color w:val="auto"/>
          <w:highlight w:val="none"/>
          <w:u w:val="single"/>
        </w:rPr>
        <w:t xml:space="preserve">     </w:t>
      </w:r>
      <w:r>
        <w:rPr>
          <w:rFonts w:ascii="宋体" w:hAnsi="宋体"/>
          <w:bCs/>
          <w:color w:val="auto"/>
          <w:highlight w:val="none"/>
          <w:u w:val="single"/>
        </w:rPr>
        <w:t xml:space="preserve"> </w:t>
      </w:r>
      <w:r>
        <w:rPr>
          <w:rFonts w:hint="eastAsia" w:ascii="宋体" w:hAnsi="宋体"/>
          <w:bCs/>
          <w:color w:val="auto"/>
          <w:highlight w:val="none"/>
          <w:u w:val="single"/>
        </w:rPr>
        <w:t xml:space="preserve">   </w:t>
      </w:r>
      <w:r>
        <w:rPr>
          <w:rFonts w:ascii="宋体" w:hAnsi="宋体"/>
          <w:bCs/>
          <w:color w:val="auto"/>
          <w:highlight w:val="none"/>
          <w:u w:val="single"/>
        </w:rPr>
        <w:t xml:space="preserve"> </w:t>
      </w:r>
      <w:r>
        <w:rPr>
          <w:rFonts w:hint="eastAsia" w:ascii="宋体" w:hAnsi="宋体"/>
          <w:bCs/>
          <w:color w:val="auto"/>
          <w:highlight w:val="none"/>
          <w:u w:val="single"/>
        </w:rPr>
        <w:t xml:space="preserve"> </w:t>
      </w:r>
    </w:p>
    <w:p>
      <w:pPr>
        <w:shd w:val="clear"/>
        <w:snapToGrid w:val="0"/>
        <w:spacing w:before="50" w:after="50" w:line="350" w:lineRule="exact"/>
        <w:ind w:right="-817" w:rightChars="-389" w:firstLine="6090" w:firstLineChars="2900"/>
        <w:jc w:val="left"/>
        <w:rPr>
          <w:color w:val="auto"/>
          <w:highlight w:val="none"/>
        </w:rPr>
      </w:pPr>
      <w:r>
        <w:rPr>
          <w:rFonts w:hint="eastAsia" w:ascii="宋体" w:hAnsi="宋体"/>
          <w:bCs/>
          <w:color w:val="auto"/>
          <w:highlight w:val="none"/>
        </w:rPr>
        <w:t>日期：</w:t>
      </w:r>
      <w:r>
        <w:rPr>
          <w:rFonts w:hint="eastAsia" w:ascii="宋体" w:hAnsi="宋体"/>
          <w:bCs/>
          <w:color w:val="auto"/>
          <w:highlight w:val="none"/>
          <w:u w:val="single"/>
        </w:rPr>
        <w:t xml:space="preserve">    </w:t>
      </w:r>
      <w:r>
        <w:rPr>
          <w:rFonts w:ascii="宋体" w:hAnsi="宋体"/>
          <w:bCs/>
          <w:color w:val="auto"/>
          <w:highlight w:val="none"/>
          <w:u w:val="single"/>
        </w:rPr>
        <w:t xml:space="preserve">  </w:t>
      </w:r>
      <w:r>
        <w:rPr>
          <w:rFonts w:hint="eastAsia" w:ascii="宋体" w:hAnsi="宋体"/>
          <w:bCs/>
          <w:color w:val="auto"/>
          <w:highlight w:val="none"/>
          <w:u w:val="single"/>
        </w:rPr>
        <w:t xml:space="preserve">  </w:t>
      </w:r>
      <w:r>
        <w:rPr>
          <w:rFonts w:hint="eastAsia" w:ascii="宋体" w:hAnsi="宋体"/>
          <w:bCs/>
          <w:color w:val="auto"/>
          <w:highlight w:val="none"/>
        </w:rPr>
        <w:t>年</w:t>
      </w:r>
      <w:r>
        <w:rPr>
          <w:rFonts w:hint="eastAsia" w:ascii="宋体" w:hAnsi="宋体"/>
          <w:bCs/>
          <w:color w:val="auto"/>
          <w:highlight w:val="none"/>
          <w:u w:val="single"/>
        </w:rPr>
        <w:t xml:space="preserve">   </w:t>
      </w:r>
      <w:r>
        <w:rPr>
          <w:rFonts w:hint="eastAsia" w:ascii="宋体" w:hAnsi="宋体"/>
          <w:bCs/>
          <w:color w:val="auto"/>
          <w:highlight w:val="none"/>
        </w:rPr>
        <w:t>月</w:t>
      </w:r>
      <w:r>
        <w:rPr>
          <w:rFonts w:hint="eastAsia" w:ascii="宋体" w:hAnsi="宋体"/>
          <w:bCs/>
          <w:color w:val="auto"/>
          <w:highlight w:val="none"/>
          <w:u w:val="single"/>
        </w:rPr>
        <w:t xml:space="preserve">   </w:t>
      </w:r>
      <w:r>
        <w:rPr>
          <w:rFonts w:hint="eastAsia" w:ascii="宋体" w:hAnsi="宋体"/>
          <w:bCs/>
          <w:color w:val="auto"/>
          <w:highlight w:val="none"/>
        </w:rPr>
        <w:t>日</w:t>
      </w:r>
    </w:p>
    <w:p>
      <w:pPr>
        <w:rPr>
          <w:color w:val="auto"/>
        </w:rPr>
      </w:pPr>
    </w:p>
    <w:p>
      <w:pPr>
        <w:snapToGrid w:val="0"/>
        <w:spacing w:line="700" w:lineRule="exact"/>
        <w:ind w:firstLine="0" w:firstLineChars="0"/>
        <w:jc w:val="center"/>
        <w:rPr>
          <w:color w:val="auto"/>
        </w:rPr>
      </w:pPr>
      <w:r>
        <w:rPr>
          <w:rFonts w:hint="eastAsia" w:ascii="仿宋_GB2312" w:hAnsi="宋体" w:eastAsia="仿宋_GB2312"/>
          <w:b/>
          <w:color w:val="auto"/>
          <w:sz w:val="32"/>
          <w:szCs w:val="32"/>
        </w:rPr>
        <w:t>项目实施人员一览表</w:t>
      </w:r>
      <w:r>
        <w:rPr>
          <w:rFonts w:hint="eastAsia" w:ascii="仿宋_GB2312" w:eastAsia="仿宋_GB2312"/>
          <w:bCs/>
          <w:color w:val="auto"/>
          <w:sz w:val="24"/>
        </w:rPr>
        <w:t>（格式）</w:t>
      </w:r>
    </w:p>
    <w:tbl>
      <w:tblPr>
        <w:tblStyle w:val="36"/>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650"/>
        <w:gridCol w:w="960"/>
        <w:gridCol w:w="990"/>
        <w:gridCol w:w="1650"/>
        <w:gridCol w:w="3049"/>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95" w:type="dxa"/>
            <w:vAlign w:val="center"/>
          </w:tcPr>
          <w:p>
            <w:pPr>
              <w:shd w:val="clear"/>
              <w:snapToGrid w:val="0"/>
              <w:spacing w:before="5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650" w:type="dxa"/>
            <w:vAlign w:val="center"/>
          </w:tcPr>
          <w:p>
            <w:pPr>
              <w:shd w:val="clear"/>
              <w:snapToGrid w:val="0"/>
              <w:spacing w:before="5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960" w:type="dxa"/>
            <w:vAlign w:val="center"/>
          </w:tcPr>
          <w:p>
            <w:pPr>
              <w:shd w:val="clear"/>
              <w:snapToGrid w:val="0"/>
              <w:spacing w:before="5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年龄</w:t>
            </w:r>
          </w:p>
        </w:tc>
        <w:tc>
          <w:tcPr>
            <w:tcW w:w="990" w:type="dxa"/>
            <w:vAlign w:val="center"/>
          </w:tcPr>
          <w:p>
            <w:pPr>
              <w:shd w:val="clear"/>
              <w:snapToGrid w:val="0"/>
              <w:spacing w:before="5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性别</w:t>
            </w:r>
          </w:p>
        </w:tc>
        <w:tc>
          <w:tcPr>
            <w:tcW w:w="1650" w:type="dxa"/>
            <w:vAlign w:val="center"/>
          </w:tcPr>
          <w:p>
            <w:pPr>
              <w:shd w:val="clear"/>
              <w:snapToGrid w:val="0"/>
              <w:spacing w:before="5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3049" w:type="dxa"/>
            <w:vAlign w:val="center"/>
          </w:tcPr>
          <w:p>
            <w:pPr>
              <w:shd w:val="clear"/>
              <w:snapToGrid w:val="0"/>
              <w:spacing w:before="50" w:afterLine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专业技术资格</w:t>
            </w:r>
            <w:r>
              <w:rPr>
                <w:rFonts w:hint="eastAsia" w:ascii="宋体" w:hAnsi="宋体" w:eastAsia="宋体" w:cs="宋体"/>
                <w:color w:val="auto"/>
                <w:szCs w:val="21"/>
                <w:highlight w:val="none"/>
                <w:lang w:val="en-US" w:eastAsia="zh-CN"/>
              </w:rPr>
              <w:t>或职称</w:t>
            </w:r>
          </w:p>
        </w:tc>
        <w:tc>
          <w:tcPr>
            <w:tcW w:w="811" w:type="dxa"/>
            <w:vAlign w:val="center"/>
          </w:tcPr>
          <w:p>
            <w:pPr>
              <w:shd w:val="clear"/>
              <w:snapToGrid w:val="0"/>
              <w:spacing w:before="50" w:after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95" w:type="dxa"/>
            <w:vAlign w:val="center"/>
          </w:tcPr>
          <w:p>
            <w:pPr>
              <w:widowControl/>
              <w:shd w:val="clear"/>
              <w:jc w:val="center"/>
              <w:textAlignment w:val="center"/>
              <w:rPr>
                <w:rFonts w:ascii="宋体" w:hAnsi="宋体" w:cs="宋体"/>
                <w:color w:val="auto"/>
                <w:kern w:val="0"/>
                <w:szCs w:val="21"/>
                <w:highlight w:val="none"/>
              </w:rPr>
            </w:pPr>
          </w:p>
        </w:tc>
        <w:tc>
          <w:tcPr>
            <w:tcW w:w="1650" w:type="dxa"/>
            <w:vAlign w:val="center"/>
          </w:tcPr>
          <w:p>
            <w:pPr>
              <w:widowControl/>
              <w:shd w:val="clear"/>
              <w:jc w:val="center"/>
              <w:textAlignment w:val="center"/>
              <w:rPr>
                <w:rFonts w:ascii="宋体" w:hAnsi="宋体" w:cs="宋体"/>
                <w:color w:val="auto"/>
                <w:szCs w:val="21"/>
                <w:highlight w:val="none"/>
              </w:rPr>
            </w:pPr>
          </w:p>
        </w:tc>
        <w:tc>
          <w:tcPr>
            <w:tcW w:w="960" w:type="dxa"/>
            <w:vAlign w:val="center"/>
          </w:tcPr>
          <w:p>
            <w:pPr>
              <w:shd w:val="clear"/>
              <w:jc w:val="center"/>
              <w:rPr>
                <w:rFonts w:ascii="宋体" w:hAnsi="宋体" w:cs="宋体"/>
                <w:color w:val="auto"/>
                <w:kern w:val="1"/>
                <w:szCs w:val="21"/>
                <w:highlight w:val="none"/>
              </w:rPr>
            </w:pPr>
          </w:p>
        </w:tc>
        <w:tc>
          <w:tcPr>
            <w:tcW w:w="990" w:type="dxa"/>
            <w:vAlign w:val="center"/>
          </w:tcPr>
          <w:p>
            <w:pPr>
              <w:shd w:val="clear"/>
              <w:jc w:val="center"/>
              <w:rPr>
                <w:rFonts w:ascii="宋体" w:hAnsi="宋体" w:cs="宋体"/>
                <w:color w:val="auto"/>
                <w:kern w:val="1"/>
                <w:szCs w:val="21"/>
                <w:highlight w:val="none"/>
              </w:rPr>
            </w:pPr>
          </w:p>
        </w:tc>
        <w:tc>
          <w:tcPr>
            <w:tcW w:w="1650" w:type="dxa"/>
            <w:vAlign w:val="center"/>
          </w:tcPr>
          <w:p>
            <w:pPr>
              <w:widowControl/>
              <w:shd w:val="clear"/>
              <w:jc w:val="center"/>
              <w:textAlignment w:val="center"/>
              <w:rPr>
                <w:rFonts w:ascii="宋体" w:hAnsi="宋体" w:cs="宋体"/>
                <w:color w:val="auto"/>
                <w:kern w:val="0"/>
                <w:szCs w:val="21"/>
                <w:highlight w:val="none"/>
              </w:rPr>
            </w:pPr>
          </w:p>
        </w:tc>
        <w:tc>
          <w:tcPr>
            <w:tcW w:w="3049" w:type="dxa"/>
            <w:vAlign w:val="center"/>
          </w:tcPr>
          <w:p>
            <w:pPr>
              <w:widowControl/>
              <w:shd w:val="clear"/>
              <w:jc w:val="center"/>
              <w:textAlignment w:val="center"/>
              <w:rPr>
                <w:rFonts w:ascii="宋体" w:hAnsi="宋体" w:cs="宋体"/>
                <w:color w:val="auto"/>
                <w:kern w:val="0"/>
                <w:szCs w:val="21"/>
                <w:highlight w:val="none"/>
              </w:rPr>
            </w:pPr>
          </w:p>
        </w:tc>
        <w:tc>
          <w:tcPr>
            <w:tcW w:w="811" w:type="dxa"/>
            <w:vAlign w:val="center"/>
          </w:tcPr>
          <w:p>
            <w:pPr>
              <w:shd w:val="clear"/>
              <w:snapToGrid w:val="0"/>
              <w:spacing w:before="50" w:afterLines="5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95" w:type="dxa"/>
            <w:vAlign w:val="center"/>
          </w:tcPr>
          <w:p>
            <w:pPr>
              <w:widowControl/>
              <w:shd w:val="clear"/>
              <w:jc w:val="center"/>
              <w:textAlignment w:val="center"/>
              <w:rPr>
                <w:rFonts w:ascii="宋体" w:hAnsi="宋体" w:cs="宋体"/>
                <w:color w:val="auto"/>
                <w:kern w:val="0"/>
                <w:szCs w:val="21"/>
                <w:highlight w:val="none"/>
              </w:rPr>
            </w:pPr>
          </w:p>
        </w:tc>
        <w:tc>
          <w:tcPr>
            <w:tcW w:w="1650" w:type="dxa"/>
            <w:vAlign w:val="center"/>
          </w:tcPr>
          <w:p>
            <w:pPr>
              <w:widowControl/>
              <w:shd w:val="clear"/>
              <w:jc w:val="center"/>
              <w:textAlignment w:val="center"/>
              <w:rPr>
                <w:rFonts w:ascii="宋体" w:hAnsi="宋体" w:cs="宋体"/>
                <w:color w:val="auto"/>
                <w:szCs w:val="21"/>
                <w:highlight w:val="none"/>
              </w:rPr>
            </w:pPr>
          </w:p>
        </w:tc>
        <w:tc>
          <w:tcPr>
            <w:tcW w:w="960" w:type="dxa"/>
            <w:vAlign w:val="center"/>
          </w:tcPr>
          <w:p>
            <w:pPr>
              <w:shd w:val="clear"/>
              <w:jc w:val="center"/>
              <w:rPr>
                <w:rFonts w:ascii="宋体" w:hAnsi="宋体" w:cs="宋体"/>
                <w:color w:val="auto"/>
                <w:kern w:val="1"/>
                <w:szCs w:val="21"/>
                <w:highlight w:val="none"/>
              </w:rPr>
            </w:pPr>
          </w:p>
        </w:tc>
        <w:tc>
          <w:tcPr>
            <w:tcW w:w="990" w:type="dxa"/>
            <w:vAlign w:val="center"/>
          </w:tcPr>
          <w:p>
            <w:pPr>
              <w:shd w:val="clear"/>
              <w:jc w:val="center"/>
              <w:rPr>
                <w:rFonts w:ascii="宋体" w:hAnsi="宋体" w:cs="宋体"/>
                <w:color w:val="auto"/>
                <w:kern w:val="1"/>
                <w:szCs w:val="21"/>
                <w:highlight w:val="none"/>
              </w:rPr>
            </w:pPr>
          </w:p>
        </w:tc>
        <w:tc>
          <w:tcPr>
            <w:tcW w:w="1650" w:type="dxa"/>
            <w:vAlign w:val="center"/>
          </w:tcPr>
          <w:p>
            <w:pPr>
              <w:widowControl/>
              <w:shd w:val="clear"/>
              <w:jc w:val="center"/>
              <w:textAlignment w:val="center"/>
              <w:rPr>
                <w:rFonts w:ascii="宋体" w:hAnsi="宋体" w:cs="宋体"/>
                <w:color w:val="auto"/>
                <w:kern w:val="0"/>
                <w:szCs w:val="21"/>
                <w:highlight w:val="none"/>
              </w:rPr>
            </w:pPr>
          </w:p>
        </w:tc>
        <w:tc>
          <w:tcPr>
            <w:tcW w:w="3049" w:type="dxa"/>
            <w:vAlign w:val="center"/>
          </w:tcPr>
          <w:p>
            <w:pPr>
              <w:widowControl/>
              <w:shd w:val="clear"/>
              <w:jc w:val="center"/>
              <w:textAlignment w:val="center"/>
              <w:rPr>
                <w:rFonts w:ascii="宋体" w:hAnsi="宋体" w:cs="宋体"/>
                <w:color w:val="auto"/>
                <w:kern w:val="0"/>
                <w:szCs w:val="21"/>
                <w:highlight w:val="none"/>
              </w:rPr>
            </w:pPr>
          </w:p>
        </w:tc>
        <w:tc>
          <w:tcPr>
            <w:tcW w:w="811" w:type="dxa"/>
            <w:vAlign w:val="center"/>
          </w:tcPr>
          <w:p>
            <w:pPr>
              <w:shd w:val="clear"/>
              <w:snapToGrid w:val="0"/>
              <w:spacing w:before="50" w:afterLines="5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95" w:type="dxa"/>
            <w:vAlign w:val="center"/>
          </w:tcPr>
          <w:p>
            <w:pPr>
              <w:widowControl/>
              <w:shd w:val="clear"/>
              <w:jc w:val="center"/>
              <w:textAlignment w:val="center"/>
              <w:rPr>
                <w:rFonts w:ascii="宋体" w:hAnsi="宋体" w:cs="宋体"/>
                <w:color w:val="auto"/>
                <w:kern w:val="0"/>
                <w:szCs w:val="21"/>
                <w:highlight w:val="none"/>
              </w:rPr>
            </w:pPr>
          </w:p>
        </w:tc>
        <w:tc>
          <w:tcPr>
            <w:tcW w:w="1650" w:type="dxa"/>
            <w:vAlign w:val="center"/>
          </w:tcPr>
          <w:p>
            <w:pPr>
              <w:widowControl/>
              <w:shd w:val="clear"/>
              <w:jc w:val="center"/>
              <w:textAlignment w:val="center"/>
              <w:rPr>
                <w:rFonts w:ascii="宋体" w:hAnsi="宋体" w:cs="宋体"/>
                <w:color w:val="auto"/>
                <w:szCs w:val="21"/>
                <w:highlight w:val="none"/>
              </w:rPr>
            </w:pPr>
          </w:p>
        </w:tc>
        <w:tc>
          <w:tcPr>
            <w:tcW w:w="960" w:type="dxa"/>
            <w:vAlign w:val="center"/>
          </w:tcPr>
          <w:p>
            <w:pPr>
              <w:shd w:val="clear"/>
              <w:jc w:val="center"/>
              <w:rPr>
                <w:rFonts w:ascii="宋体" w:hAnsi="宋体" w:cs="宋体"/>
                <w:color w:val="auto"/>
                <w:kern w:val="1"/>
                <w:szCs w:val="21"/>
                <w:highlight w:val="none"/>
              </w:rPr>
            </w:pPr>
          </w:p>
        </w:tc>
        <w:tc>
          <w:tcPr>
            <w:tcW w:w="990" w:type="dxa"/>
            <w:vAlign w:val="center"/>
          </w:tcPr>
          <w:p>
            <w:pPr>
              <w:shd w:val="clear"/>
              <w:jc w:val="center"/>
              <w:rPr>
                <w:rFonts w:ascii="宋体" w:hAnsi="宋体" w:cs="宋体"/>
                <w:color w:val="auto"/>
                <w:kern w:val="1"/>
                <w:szCs w:val="21"/>
                <w:highlight w:val="none"/>
              </w:rPr>
            </w:pPr>
          </w:p>
        </w:tc>
        <w:tc>
          <w:tcPr>
            <w:tcW w:w="1650" w:type="dxa"/>
            <w:vAlign w:val="center"/>
          </w:tcPr>
          <w:p>
            <w:pPr>
              <w:widowControl/>
              <w:shd w:val="clear"/>
              <w:jc w:val="center"/>
              <w:textAlignment w:val="center"/>
              <w:rPr>
                <w:rFonts w:ascii="宋体" w:hAnsi="宋体" w:cs="宋体"/>
                <w:color w:val="auto"/>
                <w:kern w:val="0"/>
                <w:szCs w:val="21"/>
                <w:highlight w:val="none"/>
              </w:rPr>
            </w:pPr>
          </w:p>
        </w:tc>
        <w:tc>
          <w:tcPr>
            <w:tcW w:w="3049" w:type="dxa"/>
            <w:vAlign w:val="center"/>
          </w:tcPr>
          <w:p>
            <w:pPr>
              <w:widowControl/>
              <w:shd w:val="clear"/>
              <w:jc w:val="center"/>
              <w:textAlignment w:val="center"/>
              <w:rPr>
                <w:rFonts w:ascii="宋体" w:hAnsi="宋体" w:cs="宋体"/>
                <w:color w:val="auto"/>
                <w:kern w:val="0"/>
                <w:szCs w:val="21"/>
                <w:highlight w:val="none"/>
              </w:rPr>
            </w:pPr>
          </w:p>
        </w:tc>
        <w:tc>
          <w:tcPr>
            <w:tcW w:w="811" w:type="dxa"/>
            <w:vAlign w:val="center"/>
          </w:tcPr>
          <w:p>
            <w:pPr>
              <w:shd w:val="clear"/>
              <w:snapToGrid w:val="0"/>
              <w:spacing w:before="50" w:afterLines="50"/>
              <w:jc w:val="center"/>
              <w:rPr>
                <w:rFonts w:ascii="宋体" w:hAnsi="宋体" w:cs="宋体"/>
                <w:color w:val="auto"/>
                <w:szCs w:val="21"/>
                <w:highlight w:val="none"/>
              </w:rPr>
            </w:pPr>
          </w:p>
        </w:tc>
      </w:tr>
    </w:tbl>
    <w:p>
      <w:pPr>
        <w:pStyle w:val="16"/>
        <w:spacing w:line="380" w:lineRule="exact"/>
        <w:ind w:firstLine="0" w:firstLineChars="0"/>
        <w:rPr>
          <w:rFonts w:hint="eastAsia"/>
          <w:b w:val="0"/>
          <w:bCs w:val="0"/>
          <w:color w:val="auto"/>
          <w:sz w:val="21"/>
          <w:szCs w:val="21"/>
        </w:rPr>
      </w:pPr>
      <w:r>
        <w:rPr>
          <w:rFonts w:hint="eastAsia"/>
          <w:b w:val="0"/>
          <w:bCs w:val="0"/>
          <w:color w:val="auto"/>
          <w:sz w:val="21"/>
          <w:szCs w:val="21"/>
        </w:rPr>
        <w:t>注：</w:t>
      </w:r>
    </w:p>
    <w:p>
      <w:pPr>
        <w:pStyle w:val="16"/>
        <w:spacing w:line="380" w:lineRule="exact"/>
        <w:ind w:firstLine="0" w:firstLineChars="0"/>
        <w:rPr>
          <w:rFonts w:hint="eastAsia"/>
          <w:b w:val="0"/>
          <w:bCs w:val="0"/>
          <w:color w:val="auto"/>
          <w:sz w:val="21"/>
          <w:szCs w:val="21"/>
        </w:rPr>
      </w:pPr>
      <w:r>
        <w:rPr>
          <w:rFonts w:hint="eastAsia"/>
          <w:b w:val="0"/>
          <w:bCs w:val="0"/>
          <w:color w:val="auto"/>
          <w:sz w:val="21"/>
          <w:szCs w:val="21"/>
        </w:rPr>
        <w:t>1.在填写时，如本表格不适合供应商的实际情况，可根据本表格式自行制表填写。</w:t>
      </w:r>
    </w:p>
    <w:p>
      <w:pPr>
        <w:pStyle w:val="16"/>
        <w:spacing w:line="380" w:lineRule="exact"/>
        <w:ind w:firstLine="0" w:firstLineChars="0"/>
        <w:rPr>
          <w:rFonts w:hint="eastAsia"/>
          <w:b w:val="0"/>
          <w:bCs w:val="0"/>
          <w:color w:val="auto"/>
          <w:sz w:val="21"/>
          <w:szCs w:val="21"/>
        </w:rPr>
      </w:pPr>
      <w:r>
        <w:rPr>
          <w:rFonts w:hint="eastAsia"/>
          <w:b w:val="0"/>
          <w:bCs w:val="0"/>
          <w:color w:val="auto"/>
          <w:sz w:val="21"/>
          <w:szCs w:val="21"/>
        </w:rPr>
        <w:t>2.投标人应当附本表所列证书的复印件并加盖</w:t>
      </w:r>
      <w:r>
        <w:rPr>
          <w:rFonts w:hint="eastAsia"/>
          <w:b w:val="0"/>
          <w:bCs w:val="0"/>
          <w:color w:val="auto"/>
          <w:sz w:val="21"/>
          <w:szCs w:val="21"/>
          <w:lang w:val="en-US" w:eastAsia="zh-CN"/>
        </w:rPr>
        <w:t>供应商</w:t>
      </w:r>
      <w:r>
        <w:rPr>
          <w:rFonts w:hint="eastAsia"/>
          <w:b w:val="0"/>
          <w:bCs w:val="0"/>
          <w:color w:val="auto"/>
          <w:sz w:val="21"/>
          <w:szCs w:val="21"/>
        </w:rPr>
        <w:t>公章。</w:t>
      </w:r>
    </w:p>
    <w:p>
      <w:pPr>
        <w:snapToGrid w:val="0"/>
        <w:spacing w:before="50" w:after="50" w:line="400" w:lineRule="exact"/>
        <w:ind w:right="-817" w:rightChars="-389"/>
        <w:rPr>
          <w:rFonts w:ascii="宋体" w:hAnsi="宋体"/>
          <w:bCs/>
          <w:color w:val="auto"/>
        </w:rPr>
      </w:pPr>
    </w:p>
    <w:p>
      <w:pPr>
        <w:snapToGrid w:val="0"/>
        <w:spacing w:before="50" w:after="50" w:line="320" w:lineRule="exact"/>
        <w:ind w:right="-817" w:rightChars="-389"/>
        <w:rPr>
          <w:rFonts w:ascii="宋体" w:hAnsi="宋体"/>
          <w:color w:val="auto"/>
          <w:szCs w:val="21"/>
        </w:rPr>
      </w:pPr>
    </w:p>
    <w:p>
      <w:pPr>
        <w:rPr>
          <w:color w:val="auto"/>
        </w:rPr>
      </w:pPr>
    </w:p>
    <w:p>
      <w:pPr>
        <w:spacing w:line="400" w:lineRule="exact"/>
        <w:ind w:left="6090" w:leftChars="2900" w:right="592" w:rightChars="282" w:firstLine="2" w:firstLineChars="1"/>
        <w:jc w:val="left"/>
        <w:rPr>
          <w:rFonts w:ascii="宋体" w:hAnsi="宋体"/>
          <w:bCs/>
          <w:color w:val="auto"/>
        </w:rPr>
      </w:pPr>
      <w:r>
        <w:rPr>
          <w:rFonts w:hint="eastAsia" w:ascii="宋体" w:hAnsi="宋体"/>
          <w:bCs/>
          <w:color w:val="auto"/>
        </w:rPr>
        <w:t>供应商（盖章）：</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p>
    <w:p>
      <w:pPr>
        <w:snapToGrid w:val="0"/>
        <w:spacing w:before="50" w:after="50" w:line="350" w:lineRule="exact"/>
        <w:ind w:right="-817" w:rightChars="-389" w:firstLine="6090" w:firstLineChars="2900"/>
        <w:jc w:val="left"/>
        <w:rPr>
          <w:color w:val="auto"/>
        </w:rPr>
      </w:pPr>
      <w:r>
        <w:rPr>
          <w:rFonts w:hint="eastAsia" w:ascii="宋体" w:hAnsi="宋体"/>
          <w:bCs/>
          <w:color w:val="auto"/>
        </w:rPr>
        <w:t>日期：</w:t>
      </w:r>
      <w:r>
        <w:rPr>
          <w:rFonts w:hint="eastAsia" w:ascii="宋体" w:hAnsi="宋体"/>
          <w:bCs/>
          <w:color w:val="auto"/>
          <w:u w:val="single"/>
        </w:rPr>
        <w:t xml:space="preserve">    </w:t>
      </w:r>
      <w:r>
        <w:rPr>
          <w:rFonts w:ascii="宋体" w:hAnsi="宋体"/>
          <w:bCs/>
          <w:color w:val="auto"/>
          <w:u w:val="single"/>
        </w:rPr>
        <w:t xml:space="preserve">  </w:t>
      </w:r>
      <w:r>
        <w:rPr>
          <w:rFonts w:hint="eastAsia" w:ascii="宋体" w:hAnsi="宋体"/>
          <w:bCs/>
          <w:color w:val="auto"/>
          <w:u w:val="single"/>
        </w:rPr>
        <w:t xml:space="preserve">  </w:t>
      </w:r>
      <w:r>
        <w:rPr>
          <w:rFonts w:hint="eastAsia" w:ascii="宋体" w:hAnsi="宋体"/>
          <w:bCs/>
          <w:color w:val="auto"/>
        </w:rPr>
        <w:t>年</w:t>
      </w:r>
      <w:r>
        <w:rPr>
          <w:rFonts w:hint="eastAsia" w:ascii="宋体" w:hAnsi="宋体"/>
          <w:bCs/>
          <w:color w:val="auto"/>
          <w:u w:val="single"/>
        </w:rPr>
        <w:t xml:space="preserve">   </w:t>
      </w:r>
      <w:r>
        <w:rPr>
          <w:rFonts w:hint="eastAsia" w:ascii="宋体" w:hAnsi="宋体"/>
          <w:bCs/>
          <w:color w:val="auto"/>
        </w:rPr>
        <w:t>月</w:t>
      </w:r>
      <w:r>
        <w:rPr>
          <w:rFonts w:hint="eastAsia" w:ascii="宋体" w:hAnsi="宋体"/>
          <w:bCs/>
          <w:color w:val="auto"/>
          <w:u w:val="single"/>
        </w:rPr>
        <w:t xml:space="preserve">   </w:t>
      </w:r>
      <w:r>
        <w:rPr>
          <w:rFonts w:hint="eastAsia" w:ascii="宋体" w:hAnsi="宋体"/>
          <w:bCs/>
          <w:color w:val="auto"/>
        </w:rPr>
        <w:t>日</w:t>
      </w:r>
    </w:p>
    <w:p>
      <w:pPr>
        <w:pStyle w:val="100"/>
        <w:rPr>
          <w:rFonts w:ascii="宋体" w:hAnsi="宋体" w:cs="宋体"/>
          <w:color w:val="auto"/>
          <w:sz w:val="21"/>
          <w:szCs w:val="21"/>
        </w:rPr>
      </w:pPr>
    </w:p>
    <w:p>
      <w:pPr>
        <w:pStyle w:val="100"/>
        <w:rPr>
          <w:rFonts w:ascii="宋体" w:hAnsi="宋体" w:cs="宋体"/>
          <w:color w:val="auto"/>
          <w:sz w:val="21"/>
          <w:szCs w:val="21"/>
        </w:rPr>
      </w:pPr>
    </w:p>
    <w:bookmarkEnd w:id="47"/>
    <w:bookmarkEnd w:id="48"/>
    <w:bookmarkEnd w:id="49"/>
    <w:bookmarkEnd w:id="50"/>
    <w:p>
      <w:pPr>
        <w:spacing w:line="320" w:lineRule="exact"/>
        <w:jc w:val="left"/>
        <w:rPr>
          <w:color w:val="auto"/>
        </w:rPr>
      </w:pPr>
    </w:p>
    <w:p>
      <w:pPr>
        <w:jc w:val="left"/>
        <w:rPr>
          <w:rFonts w:hint="eastAsia" w:ascii="宋体" w:hAnsi="宋体"/>
          <w:b/>
          <w:bCs/>
          <w:color w:val="auto"/>
          <w:sz w:val="36"/>
          <w:szCs w:val="36"/>
        </w:rPr>
      </w:pPr>
    </w:p>
    <w:p>
      <w:pPr>
        <w:jc w:val="left"/>
        <w:rPr>
          <w:rFonts w:hint="eastAsia" w:ascii="宋体" w:hAnsi="宋体"/>
          <w:b/>
          <w:bCs/>
          <w:color w:val="auto"/>
          <w:sz w:val="36"/>
          <w:szCs w:val="36"/>
        </w:rPr>
      </w:pPr>
    </w:p>
    <w:p>
      <w:pPr>
        <w:jc w:val="left"/>
        <w:rPr>
          <w:rFonts w:hint="eastAsia" w:ascii="宋体" w:hAnsi="宋体"/>
          <w:b/>
          <w:bCs/>
          <w:color w:val="auto"/>
          <w:sz w:val="36"/>
          <w:szCs w:val="36"/>
        </w:rPr>
      </w:pPr>
    </w:p>
    <w:p>
      <w:pPr>
        <w:jc w:val="left"/>
        <w:rPr>
          <w:rFonts w:hint="eastAsia" w:ascii="宋体" w:hAnsi="宋体"/>
          <w:b/>
          <w:bCs/>
          <w:color w:val="auto"/>
          <w:sz w:val="36"/>
          <w:szCs w:val="36"/>
        </w:rPr>
      </w:pPr>
    </w:p>
    <w:p>
      <w:pPr>
        <w:jc w:val="left"/>
        <w:rPr>
          <w:rFonts w:hint="eastAsia" w:ascii="宋体" w:hAnsi="宋体"/>
          <w:b/>
          <w:bCs/>
          <w:color w:val="auto"/>
          <w:sz w:val="36"/>
          <w:szCs w:val="36"/>
        </w:rPr>
      </w:pPr>
    </w:p>
    <w:p>
      <w:pPr>
        <w:jc w:val="left"/>
        <w:rPr>
          <w:rFonts w:hint="eastAsia" w:ascii="宋体" w:hAnsi="宋体"/>
          <w:b/>
          <w:bCs/>
          <w:color w:val="auto"/>
          <w:sz w:val="36"/>
          <w:szCs w:val="36"/>
        </w:rPr>
      </w:pPr>
    </w:p>
    <w:p>
      <w:pPr>
        <w:jc w:val="left"/>
        <w:rPr>
          <w:rFonts w:hint="eastAsia" w:ascii="宋体" w:hAnsi="宋体"/>
          <w:b/>
          <w:bCs/>
          <w:color w:val="auto"/>
          <w:sz w:val="36"/>
          <w:szCs w:val="36"/>
        </w:rPr>
      </w:pPr>
    </w:p>
    <w:p>
      <w:pPr>
        <w:jc w:val="left"/>
        <w:rPr>
          <w:rFonts w:hint="eastAsia" w:ascii="宋体" w:hAnsi="宋体"/>
          <w:b/>
          <w:bCs/>
          <w:color w:val="auto"/>
          <w:sz w:val="36"/>
          <w:szCs w:val="36"/>
        </w:rPr>
      </w:pPr>
    </w:p>
    <w:p>
      <w:pPr>
        <w:jc w:val="left"/>
        <w:rPr>
          <w:rFonts w:hint="eastAsia" w:ascii="宋体" w:hAnsi="宋体"/>
          <w:b/>
          <w:bCs/>
          <w:color w:val="auto"/>
          <w:sz w:val="36"/>
          <w:szCs w:val="36"/>
        </w:rPr>
      </w:pPr>
    </w:p>
    <w:p>
      <w:pPr>
        <w:jc w:val="left"/>
        <w:rPr>
          <w:rFonts w:ascii="宋体" w:hAnsi="宋体"/>
          <w:b/>
          <w:bCs/>
          <w:color w:val="auto"/>
          <w:sz w:val="36"/>
          <w:szCs w:val="36"/>
        </w:rPr>
      </w:pPr>
      <w:r>
        <w:rPr>
          <w:rFonts w:hint="eastAsia" w:ascii="宋体" w:hAnsi="宋体"/>
          <w:b/>
          <w:bCs/>
          <w:color w:val="auto"/>
          <w:sz w:val="36"/>
          <w:szCs w:val="36"/>
        </w:rPr>
        <w:t>三、报价文件</w:t>
      </w:r>
    </w:p>
    <w:p>
      <w:pPr>
        <w:jc w:val="center"/>
        <w:rPr>
          <w:rFonts w:ascii="仿宋" w:hAnsi="仿宋" w:eastAsia="仿宋"/>
          <w:b/>
          <w:bCs/>
          <w:color w:val="auto"/>
          <w:sz w:val="30"/>
          <w:szCs w:val="30"/>
        </w:rPr>
      </w:pPr>
      <w:r>
        <w:rPr>
          <w:rFonts w:hint="eastAsia" w:ascii="仿宋" w:hAnsi="仿宋" w:eastAsia="仿宋"/>
          <w:b/>
          <w:bCs/>
          <w:color w:val="auto"/>
          <w:sz w:val="32"/>
          <w:szCs w:val="32"/>
        </w:rPr>
        <w:t>报价明细表</w:t>
      </w:r>
      <w:r>
        <w:rPr>
          <w:rFonts w:hint="eastAsia" w:ascii="仿宋" w:hAnsi="仿宋" w:eastAsia="仿宋"/>
          <w:color w:val="auto"/>
          <w:sz w:val="24"/>
        </w:rPr>
        <w:t>(格式</w:t>
      </w:r>
      <w:r>
        <w:rPr>
          <w:rFonts w:ascii="仿宋" w:hAnsi="仿宋" w:eastAsia="仿宋"/>
          <w:color w:val="auto"/>
          <w:sz w:val="24"/>
        </w:rPr>
        <w:t>)</w:t>
      </w:r>
    </w:p>
    <w:p>
      <w:pPr>
        <w:rPr>
          <w:color w:val="auto"/>
        </w:rPr>
      </w:pPr>
    </w:p>
    <w:p>
      <w:pPr>
        <w:spacing w:line="400" w:lineRule="exact"/>
        <w:jc w:val="left"/>
        <w:rPr>
          <w:rFonts w:ascii="宋体" w:hAnsi="宋体"/>
          <w:color w:val="auto"/>
          <w:szCs w:val="21"/>
        </w:rPr>
      </w:pPr>
      <w:r>
        <w:rPr>
          <w:rFonts w:hint="eastAsia" w:ascii="宋体" w:hAnsi="宋体"/>
          <w:color w:val="auto"/>
          <w:szCs w:val="21"/>
        </w:rPr>
        <w:t>项目编号：</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spacing w:line="400" w:lineRule="exact"/>
        <w:jc w:val="left"/>
        <w:rPr>
          <w:rFonts w:ascii="宋体" w:hAnsi="宋体"/>
          <w:color w:val="auto"/>
          <w:szCs w:val="21"/>
          <w:u w:val="single"/>
        </w:rPr>
      </w:pPr>
      <w:r>
        <w:rPr>
          <w:rFonts w:hint="eastAsia" w:ascii="宋体" w:hAnsi="宋体"/>
          <w:color w:val="auto"/>
          <w:szCs w:val="21"/>
        </w:rPr>
        <w:t>项目名称：</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tbl>
      <w:tblPr>
        <w:tblStyle w:val="36"/>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822"/>
        <w:gridCol w:w="337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09" w:type="dxa"/>
            <w:vAlign w:val="center"/>
          </w:tcPr>
          <w:p>
            <w:pPr>
              <w:widowControl/>
              <w:jc w:val="center"/>
              <w:rPr>
                <w:rFonts w:ascii="宋体" w:hAnsi="宋体" w:cs="宋体"/>
                <w:b/>
                <w:color w:val="auto"/>
                <w:kern w:val="0"/>
                <w:sz w:val="22"/>
                <w:szCs w:val="22"/>
              </w:rPr>
            </w:pPr>
            <w:r>
              <w:rPr>
                <w:rFonts w:hint="eastAsia" w:ascii="宋体" w:hAnsi="宋体" w:cs="宋体"/>
                <w:b/>
                <w:color w:val="auto"/>
                <w:kern w:val="0"/>
                <w:sz w:val="22"/>
                <w:szCs w:val="22"/>
              </w:rPr>
              <w:t>序号</w:t>
            </w:r>
          </w:p>
        </w:tc>
        <w:tc>
          <w:tcPr>
            <w:tcW w:w="3822" w:type="dxa"/>
            <w:vAlign w:val="center"/>
          </w:tcPr>
          <w:p>
            <w:pPr>
              <w:widowControl/>
              <w:jc w:val="center"/>
              <w:rPr>
                <w:rFonts w:ascii="宋体" w:hAnsi="宋体" w:cs="宋体"/>
                <w:b/>
                <w:color w:val="auto"/>
                <w:kern w:val="0"/>
                <w:sz w:val="22"/>
                <w:szCs w:val="22"/>
              </w:rPr>
            </w:pPr>
            <w:r>
              <w:rPr>
                <w:rFonts w:hint="eastAsia" w:ascii="宋体" w:hAnsi="宋体" w:cs="宋体"/>
                <w:b/>
                <w:color w:val="auto"/>
                <w:kern w:val="0"/>
                <w:sz w:val="22"/>
                <w:szCs w:val="22"/>
              </w:rPr>
              <w:t>服务内容</w:t>
            </w:r>
          </w:p>
        </w:tc>
        <w:tc>
          <w:tcPr>
            <w:tcW w:w="3378" w:type="dxa"/>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报价</w:t>
            </w:r>
          </w:p>
        </w:tc>
        <w:tc>
          <w:tcPr>
            <w:tcW w:w="1386" w:type="dxa"/>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709"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3822" w:type="dxa"/>
            <w:vAlign w:val="center"/>
          </w:tcPr>
          <w:p>
            <w:pPr>
              <w:widowControl/>
              <w:jc w:val="center"/>
              <w:rPr>
                <w:rFonts w:ascii="宋体" w:hAnsi="宋体"/>
                <w:bCs/>
                <w:color w:val="auto"/>
              </w:rPr>
            </w:pPr>
          </w:p>
        </w:tc>
        <w:tc>
          <w:tcPr>
            <w:tcW w:w="3378" w:type="dxa"/>
            <w:vAlign w:val="center"/>
          </w:tcPr>
          <w:p>
            <w:pPr>
              <w:widowControl/>
              <w:spacing w:line="500" w:lineRule="exact"/>
              <w:jc w:val="center"/>
              <w:rPr>
                <w:rFonts w:ascii="宋体" w:hAnsi="宋体" w:cs="宋体"/>
                <w:color w:val="auto"/>
                <w:kern w:val="0"/>
                <w:szCs w:val="21"/>
                <w:u w:val="single"/>
              </w:rPr>
            </w:pPr>
            <w:r>
              <w:rPr>
                <w:rFonts w:hint="eastAsia" w:ascii="宋体" w:hAnsi="宋体" w:cs="宋体"/>
                <w:color w:val="auto"/>
                <w:kern w:val="0"/>
                <w:szCs w:val="21"/>
              </w:rPr>
              <w:t>大写：</w:t>
            </w:r>
            <w:r>
              <w:rPr>
                <w:rFonts w:hint="eastAsia" w:ascii="宋体" w:hAnsi="宋体" w:cs="宋体"/>
                <w:color w:val="auto"/>
                <w:kern w:val="0"/>
                <w:szCs w:val="21"/>
                <w:u w:val="single"/>
              </w:rPr>
              <w:t xml:space="preserve">                   元整</w:t>
            </w:r>
          </w:p>
          <w:p>
            <w:pPr>
              <w:widowControl/>
              <w:spacing w:line="500" w:lineRule="exact"/>
              <w:rPr>
                <w:rFonts w:ascii="宋体" w:hAnsi="宋体" w:cs="宋体"/>
                <w:color w:val="auto"/>
                <w:kern w:val="0"/>
                <w:szCs w:val="21"/>
                <w:u w:val="single"/>
              </w:rPr>
            </w:pPr>
            <w:r>
              <w:rPr>
                <w:rFonts w:hint="eastAsia" w:ascii="宋体" w:hAnsi="宋体" w:cs="宋体"/>
                <w:color w:val="auto"/>
                <w:kern w:val="0"/>
                <w:szCs w:val="21"/>
              </w:rPr>
              <w:t>小写：</w:t>
            </w:r>
            <w:r>
              <w:rPr>
                <w:rFonts w:hint="eastAsia" w:ascii="宋体" w:hAnsi="宋体" w:cs="宋体"/>
                <w:color w:val="auto"/>
                <w:kern w:val="0"/>
                <w:szCs w:val="21"/>
                <w:u w:val="single"/>
              </w:rPr>
              <w:t xml:space="preserve">￥          </w:t>
            </w:r>
            <w:r>
              <w:rPr>
                <w:rFonts w:ascii="宋体" w:hAnsi="宋体" w:cs="宋体"/>
                <w:color w:val="auto"/>
                <w:kern w:val="0"/>
                <w:szCs w:val="21"/>
                <w:u w:val="single"/>
              </w:rPr>
              <w:t xml:space="preserve"> </w:t>
            </w:r>
            <w:r>
              <w:rPr>
                <w:rFonts w:hint="eastAsia" w:ascii="宋体" w:hAnsi="宋体" w:cs="宋体"/>
                <w:color w:val="auto"/>
                <w:kern w:val="0"/>
                <w:szCs w:val="21"/>
                <w:u w:val="single"/>
              </w:rPr>
              <w:t xml:space="preserve">          </w:t>
            </w:r>
          </w:p>
        </w:tc>
        <w:tc>
          <w:tcPr>
            <w:tcW w:w="1386" w:type="dxa"/>
            <w:vAlign w:val="center"/>
          </w:tcPr>
          <w:p>
            <w:pPr>
              <w:widowControl/>
              <w:jc w:val="center"/>
              <w:rPr>
                <w:rFonts w:ascii="宋体" w:hAnsi="宋体" w:cs="宋体"/>
                <w:color w:val="auto"/>
                <w:kern w:val="0"/>
                <w:szCs w:val="21"/>
              </w:rPr>
            </w:pPr>
          </w:p>
        </w:tc>
      </w:tr>
    </w:tbl>
    <w:p>
      <w:pPr>
        <w:spacing w:line="440" w:lineRule="exact"/>
        <w:rPr>
          <w:rFonts w:ascii="宋体" w:hAnsi="宋体"/>
          <w:color w:val="auto"/>
          <w:szCs w:val="21"/>
        </w:rPr>
      </w:pPr>
      <w:r>
        <w:rPr>
          <w:rFonts w:hint="eastAsia" w:ascii="宋体" w:hAnsi="宋体"/>
          <w:color w:val="auto"/>
          <w:szCs w:val="21"/>
        </w:rPr>
        <w:t>注：1.所有价格均用人民币表示，单位为元，精确到个数位。</w:t>
      </w:r>
    </w:p>
    <w:p>
      <w:pPr>
        <w:spacing w:line="440" w:lineRule="exact"/>
        <w:rPr>
          <w:color w:val="auto"/>
        </w:rPr>
      </w:pPr>
      <w:r>
        <w:rPr>
          <w:rFonts w:hint="eastAsia" w:ascii="宋体" w:hAnsi="宋体"/>
          <w:color w:val="auto"/>
          <w:szCs w:val="21"/>
        </w:rPr>
        <w:t xml:space="preserve">    </w:t>
      </w:r>
      <w:r>
        <w:rPr>
          <w:rFonts w:hint="eastAsia" w:ascii="宋体" w:hAnsi="宋体"/>
          <w:bCs/>
          <w:color w:val="auto"/>
          <w:szCs w:val="21"/>
        </w:rPr>
        <w:t>2.</w:t>
      </w:r>
      <w:r>
        <w:rPr>
          <w:rFonts w:hint="eastAsia" w:hAnsi="宋体"/>
          <w:bCs/>
          <w:color w:val="auto"/>
        </w:rPr>
        <w:t>供应商应根据本采购文件指定格式正确填写报价，采取以总价包干方式承包以上所述服务内容，并给出项目总报价。</w:t>
      </w:r>
    </w:p>
    <w:p>
      <w:pPr>
        <w:pStyle w:val="21"/>
        <w:spacing w:before="50" w:after="50" w:line="360" w:lineRule="exact"/>
        <w:ind w:firstLine="420"/>
        <w:rPr>
          <w:color w:val="auto"/>
        </w:rPr>
      </w:pPr>
      <w:r>
        <w:rPr>
          <w:color w:val="auto"/>
        </w:rPr>
        <w:t>3</w:t>
      </w:r>
      <w:r>
        <w:rPr>
          <w:rFonts w:hint="eastAsia"/>
          <w:color w:val="auto"/>
        </w:rPr>
        <w:t>.在符合总体要求的前提下，供应商可对采购文件中没有提及的内容按自己的理解适当增加，但有关价格及费用必须在响应文件中单独列出，并说明理由。</w:t>
      </w:r>
    </w:p>
    <w:p>
      <w:pPr>
        <w:pStyle w:val="21"/>
        <w:spacing w:before="50" w:after="50" w:line="360" w:lineRule="exact"/>
        <w:ind w:firstLine="420"/>
        <w:rPr>
          <w:color w:val="auto"/>
        </w:rPr>
      </w:pPr>
      <w:r>
        <w:rPr>
          <w:color w:val="auto"/>
        </w:rPr>
        <w:t>4.</w:t>
      </w:r>
      <w:r>
        <w:rPr>
          <w:rFonts w:hint="eastAsia" w:hAnsi="宋体"/>
          <w:color w:val="auto"/>
        </w:rPr>
        <w:t>报价为全包价，以人民币为结算单位。在合同实施时，采购人将不予支付成交供应商没有列入的项目费用，并认为此项目的费用已包括在总报价中。采购人不再支付合同以外的其他费用。</w:t>
      </w:r>
    </w:p>
    <w:p>
      <w:pPr>
        <w:rPr>
          <w:color w:val="auto"/>
        </w:rPr>
      </w:pPr>
    </w:p>
    <w:p>
      <w:pPr>
        <w:rPr>
          <w:color w:val="auto"/>
        </w:rPr>
      </w:pPr>
    </w:p>
    <w:p>
      <w:pPr>
        <w:rPr>
          <w:color w:val="auto"/>
        </w:rPr>
      </w:pPr>
    </w:p>
    <w:p>
      <w:pPr>
        <w:pStyle w:val="21"/>
        <w:spacing w:line="440" w:lineRule="exact"/>
        <w:ind w:firstLine="3675" w:firstLineChars="1750"/>
        <w:rPr>
          <w:rFonts w:hAnsi="宋体"/>
          <w:color w:val="auto"/>
          <w:u w:val="single"/>
        </w:rPr>
      </w:pPr>
      <w:r>
        <w:rPr>
          <w:rFonts w:hint="eastAsia" w:hAnsi="宋体"/>
          <w:color w:val="auto"/>
        </w:rPr>
        <w:t>供应商（盖章）：</w:t>
      </w: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p>
    <w:p>
      <w:pPr>
        <w:spacing w:line="440" w:lineRule="exact"/>
        <w:ind w:firstLine="3675" w:firstLineChars="1750"/>
        <w:rPr>
          <w:rFonts w:ascii="宋体" w:hAnsi="宋体"/>
          <w:color w:val="auto"/>
          <w:szCs w:val="21"/>
        </w:rPr>
      </w:pPr>
      <w:r>
        <w:rPr>
          <w:rFonts w:hint="eastAsia" w:hAnsi="宋体"/>
          <w:color w:val="auto"/>
        </w:rPr>
        <w:t>日期：</w:t>
      </w: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r>
        <w:rPr>
          <w:rFonts w:hint="eastAsia" w:hAnsi="宋体"/>
          <w:color w:val="auto"/>
        </w:rPr>
        <w:t>月</w:t>
      </w: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r>
        <w:rPr>
          <w:rFonts w:hint="eastAsia" w:hAnsi="宋体"/>
          <w:color w:val="auto"/>
        </w:rPr>
        <w:t>日</w:t>
      </w:r>
    </w:p>
    <w:sectPr>
      <w:headerReference r:id="rId5" w:type="default"/>
      <w:footerReference r:id="rId6" w:type="default"/>
      <w:pgSz w:w="11906" w:h="16838"/>
      <w:pgMar w:top="936" w:right="991" w:bottom="1135" w:left="99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dobe 仿宋 Std R">
    <w:altName w:val="仿宋"/>
    <w:panose1 w:val="02020400000000000000"/>
    <w:charset w:val="86"/>
    <w:family w:val="roman"/>
    <w:pitch w:val="default"/>
    <w:sig w:usb0="00000000" w:usb1="00000000" w:usb2="00000016" w:usb3="00000000" w:csb0="00060007"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f1mLBgMCAAAEBAAADgAAAAAAAAABACAAAAAeAQAAZHJzL2Uyb0Rv&#10;Yy54bWxQSwUGAAAAAAYABgBZAQAAk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564419"/>
    </w:sdtPr>
    <w:sdtContent>
      <w:p>
        <w:pPr>
          <w:pStyle w:val="25"/>
          <w:jc w:val="center"/>
        </w:pPr>
        <w:r>
          <w:fldChar w:fldCharType="begin"/>
        </w:r>
        <w:r>
          <w:instrText xml:space="preserve">PAGE   \* MERGEFORMAT</w:instrText>
        </w:r>
        <w:r>
          <w:fldChar w:fldCharType="separate"/>
        </w:r>
        <w:r>
          <w:t>2</w:t>
        </w:r>
        <w:r>
          <w:fldChar w:fldCharType="end"/>
        </w:r>
      </w:p>
    </w:sdtContent>
  </w:sdt>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lang w:eastAsia="zh-CN"/>
      </w:rPr>
    </w:pPr>
    <w:r>
      <w:rPr>
        <w:rFonts w:hint="eastAsia"/>
      </w:rPr>
      <w:t xml:space="preserve">钦州市政府采购中心       </w:t>
    </w:r>
    <w:r>
      <w:rPr>
        <w:rFonts w:hint="eastAsia"/>
        <w:lang w:val="en-US" w:eastAsia="zh-CN"/>
      </w:rPr>
      <w:t>广西壮族自治区沿海公路发展中心机关 2024-2026年物业管理服务</w:t>
    </w:r>
    <w:r>
      <w:rPr>
        <w:rFonts w:hint="eastAsia"/>
        <w:lang w:eastAsia="zh-CN"/>
      </w:rPr>
      <w:t>(QZZC2024-C3-00010-CGZX)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chineseCountingThousand"/>
      <w:pStyle w:val="19"/>
      <w:suff w:val="nothing"/>
      <w:lvlText w:val="第%1章"/>
      <w:lvlJc w:val="left"/>
      <w:pPr>
        <w:ind w:left="142" w:firstLine="0"/>
      </w:pPr>
      <w:rPr>
        <w:rFonts w:hint="eastAsia" w:ascii="仿宋_GB2312" w:eastAsia="仿宋_GB2312"/>
        <w:sz w:val="44"/>
      </w:rPr>
    </w:lvl>
    <w:lvl w:ilvl="1" w:tentative="0">
      <w:start w:val="1"/>
      <w:numFmt w:val="none"/>
      <w:suff w:val="nothing"/>
      <w:lvlText w:val=""/>
      <w:lvlJc w:val="left"/>
      <w:pPr>
        <w:ind w:left="142" w:firstLine="0"/>
      </w:pPr>
      <w:rPr>
        <w:rFonts w:hint="eastAsia"/>
      </w:rPr>
    </w:lvl>
    <w:lvl w:ilvl="2" w:tentative="0">
      <w:start w:val="1"/>
      <w:numFmt w:val="none"/>
      <w:suff w:val="nothing"/>
      <w:lvlText w:val=""/>
      <w:lvlJc w:val="left"/>
      <w:pPr>
        <w:ind w:left="142" w:firstLine="0"/>
      </w:pPr>
      <w:rPr>
        <w:rFonts w:hint="eastAsia"/>
      </w:rPr>
    </w:lvl>
    <w:lvl w:ilvl="3" w:tentative="0">
      <w:start w:val="1"/>
      <w:numFmt w:val="none"/>
      <w:suff w:val="nothing"/>
      <w:lvlText w:val=""/>
      <w:lvlJc w:val="left"/>
      <w:pPr>
        <w:ind w:left="142" w:firstLine="0"/>
      </w:pPr>
      <w:rPr>
        <w:rFonts w:hint="eastAsia"/>
      </w:rPr>
    </w:lvl>
    <w:lvl w:ilvl="4" w:tentative="0">
      <w:start w:val="1"/>
      <w:numFmt w:val="none"/>
      <w:pStyle w:val="6"/>
      <w:suff w:val="nothing"/>
      <w:lvlText w:val=""/>
      <w:lvlJc w:val="left"/>
      <w:pPr>
        <w:ind w:left="142" w:firstLine="0"/>
      </w:pPr>
      <w:rPr>
        <w:rFonts w:hint="eastAsia"/>
      </w:rPr>
    </w:lvl>
    <w:lvl w:ilvl="5" w:tentative="0">
      <w:start w:val="1"/>
      <w:numFmt w:val="none"/>
      <w:pStyle w:val="8"/>
      <w:suff w:val="nothing"/>
      <w:lvlText w:val=""/>
      <w:lvlJc w:val="left"/>
      <w:pPr>
        <w:ind w:left="142" w:firstLine="0"/>
      </w:pPr>
      <w:rPr>
        <w:rFonts w:hint="eastAsia"/>
      </w:rPr>
    </w:lvl>
    <w:lvl w:ilvl="6" w:tentative="0">
      <w:start w:val="1"/>
      <w:numFmt w:val="none"/>
      <w:pStyle w:val="9"/>
      <w:suff w:val="nothing"/>
      <w:lvlText w:val=""/>
      <w:lvlJc w:val="left"/>
      <w:pPr>
        <w:ind w:left="142" w:firstLine="0"/>
      </w:pPr>
      <w:rPr>
        <w:rFonts w:hint="eastAsia"/>
      </w:rPr>
    </w:lvl>
    <w:lvl w:ilvl="7" w:tentative="0">
      <w:start w:val="1"/>
      <w:numFmt w:val="none"/>
      <w:pStyle w:val="10"/>
      <w:suff w:val="nothing"/>
      <w:lvlText w:val=""/>
      <w:lvlJc w:val="left"/>
      <w:pPr>
        <w:ind w:left="142" w:firstLine="0"/>
      </w:pPr>
      <w:rPr>
        <w:rFonts w:hint="eastAsia"/>
      </w:rPr>
    </w:lvl>
    <w:lvl w:ilvl="8" w:tentative="0">
      <w:start w:val="1"/>
      <w:numFmt w:val="none"/>
      <w:pStyle w:val="11"/>
      <w:suff w:val="nothing"/>
      <w:lvlText w:val=""/>
      <w:lvlJc w:val="left"/>
      <w:pPr>
        <w:ind w:left="142" w:firstLine="0"/>
      </w:pPr>
      <w:rPr>
        <w:rFonts w:hint="eastAsia"/>
      </w:rPr>
    </w:lvl>
  </w:abstractNum>
  <w:abstractNum w:abstractNumId="1">
    <w:nsid w:val="4F2207D3"/>
    <w:multiLevelType w:val="multilevel"/>
    <w:tmpl w:val="4F2207D3"/>
    <w:lvl w:ilvl="0" w:tentative="0">
      <w:start w:val="1"/>
      <w:numFmt w:val="decimal"/>
      <w:lvlText w:val="%1．"/>
      <w:lvlJc w:val="left"/>
      <w:pPr>
        <w:tabs>
          <w:tab w:val="left" w:pos="795"/>
        </w:tabs>
        <w:ind w:left="795"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6595CB7"/>
    <w:multiLevelType w:val="multilevel"/>
    <w:tmpl w:val="56595CB7"/>
    <w:lvl w:ilvl="0" w:tentative="0">
      <w:start w:val="1"/>
      <w:numFmt w:val="decimal"/>
      <w:lvlText w:val="%1．"/>
      <w:lvlJc w:val="left"/>
      <w:pPr>
        <w:tabs>
          <w:tab w:val="left" w:pos="795"/>
        </w:tabs>
        <w:ind w:left="795" w:hanging="360"/>
      </w:pPr>
    </w:lvl>
    <w:lvl w:ilvl="1" w:tentative="0">
      <w:start w:val="1"/>
      <w:numFmt w:val="decimal"/>
      <w:lvlText w:val="%2."/>
      <w:lvlJc w:val="left"/>
      <w:pPr>
        <w:tabs>
          <w:tab w:val="left" w:pos="1275"/>
        </w:tabs>
        <w:ind w:left="1275" w:hanging="420"/>
      </w:pPr>
    </w:lvl>
    <w:lvl w:ilvl="2" w:tentative="0">
      <w:start w:val="8"/>
      <w:numFmt w:val="japaneseCounting"/>
      <w:lvlText w:val="第%3章"/>
      <w:lvlJc w:val="left"/>
      <w:pPr>
        <w:tabs>
          <w:tab w:val="left" w:pos="3270"/>
        </w:tabs>
        <w:ind w:left="3270" w:hanging="1995"/>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87832EF"/>
    <w:multiLevelType w:val="multilevel"/>
    <w:tmpl w:val="587832EF"/>
    <w:lvl w:ilvl="0" w:tentative="0">
      <w:start w:val="1"/>
      <w:numFmt w:val="decimal"/>
      <w:lvlText w:val="%1．"/>
      <w:lvlJc w:val="left"/>
      <w:pPr>
        <w:tabs>
          <w:tab w:val="left" w:pos="795"/>
        </w:tabs>
        <w:ind w:left="795"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0NGFlOTE5YzM3NmI1Mjk3MTU1YWRiMjQ4ZDZiNGUifQ=="/>
  </w:docVars>
  <w:rsids>
    <w:rsidRoot w:val="00172A27"/>
    <w:rsid w:val="0000046D"/>
    <w:rsid w:val="000009A4"/>
    <w:rsid w:val="0000182C"/>
    <w:rsid w:val="00001C30"/>
    <w:rsid w:val="00001F66"/>
    <w:rsid w:val="00002715"/>
    <w:rsid w:val="0000296D"/>
    <w:rsid w:val="00002E66"/>
    <w:rsid w:val="00003781"/>
    <w:rsid w:val="00003F3C"/>
    <w:rsid w:val="0000486E"/>
    <w:rsid w:val="00004CB0"/>
    <w:rsid w:val="00004CDE"/>
    <w:rsid w:val="00005328"/>
    <w:rsid w:val="00007E2F"/>
    <w:rsid w:val="00007E51"/>
    <w:rsid w:val="000104B5"/>
    <w:rsid w:val="00010E05"/>
    <w:rsid w:val="00012061"/>
    <w:rsid w:val="000123EC"/>
    <w:rsid w:val="000125C2"/>
    <w:rsid w:val="00013AC8"/>
    <w:rsid w:val="00013C7F"/>
    <w:rsid w:val="00014132"/>
    <w:rsid w:val="00014488"/>
    <w:rsid w:val="000149E9"/>
    <w:rsid w:val="00016092"/>
    <w:rsid w:val="00016829"/>
    <w:rsid w:val="00017A2B"/>
    <w:rsid w:val="00020517"/>
    <w:rsid w:val="000207E1"/>
    <w:rsid w:val="00020DBA"/>
    <w:rsid w:val="00021054"/>
    <w:rsid w:val="000216CC"/>
    <w:rsid w:val="00021A62"/>
    <w:rsid w:val="00022909"/>
    <w:rsid w:val="00022CE2"/>
    <w:rsid w:val="00023813"/>
    <w:rsid w:val="000244C1"/>
    <w:rsid w:val="000248E5"/>
    <w:rsid w:val="00025985"/>
    <w:rsid w:val="00025AC0"/>
    <w:rsid w:val="00027018"/>
    <w:rsid w:val="000272D2"/>
    <w:rsid w:val="0002754E"/>
    <w:rsid w:val="00027BD3"/>
    <w:rsid w:val="0003177E"/>
    <w:rsid w:val="00032229"/>
    <w:rsid w:val="00032A59"/>
    <w:rsid w:val="00032B1F"/>
    <w:rsid w:val="00032F50"/>
    <w:rsid w:val="00033214"/>
    <w:rsid w:val="000344F4"/>
    <w:rsid w:val="0003479C"/>
    <w:rsid w:val="00034B7D"/>
    <w:rsid w:val="00035002"/>
    <w:rsid w:val="0003509E"/>
    <w:rsid w:val="00036EC4"/>
    <w:rsid w:val="00037318"/>
    <w:rsid w:val="00037EEA"/>
    <w:rsid w:val="000400F8"/>
    <w:rsid w:val="0004027B"/>
    <w:rsid w:val="00040DCA"/>
    <w:rsid w:val="000417D5"/>
    <w:rsid w:val="000419B7"/>
    <w:rsid w:val="00041EAA"/>
    <w:rsid w:val="00041FD1"/>
    <w:rsid w:val="00042DEF"/>
    <w:rsid w:val="00044162"/>
    <w:rsid w:val="00044278"/>
    <w:rsid w:val="000445D1"/>
    <w:rsid w:val="000448E0"/>
    <w:rsid w:val="00045285"/>
    <w:rsid w:val="0004535A"/>
    <w:rsid w:val="00045CF3"/>
    <w:rsid w:val="00045D3B"/>
    <w:rsid w:val="00046ED2"/>
    <w:rsid w:val="00050908"/>
    <w:rsid w:val="00050B4D"/>
    <w:rsid w:val="00051B41"/>
    <w:rsid w:val="000521BA"/>
    <w:rsid w:val="00052C3B"/>
    <w:rsid w:val="00053067"/>
    <w:rsid w:val="000530C2"/>
    <w:rsid w:val="00053FFD"/>
    <w:rsid w:val="00054058"/>
    <w:rsid w:val="000548EF"/>
    <w:rsid w:val="00054C4F"/>
    <w:rsid w:val="00054D61"/>
    <w:rsid w:val="00054F2A"/>
    <w:rsid w:val="00055319"/>
    <w:rsid w:val="00055AA6"/>
    <w:rsid w:val="0005758A"/>
    <w:rsid w:val="000576C1"/>
    <w:rsid w:val="00060064"/>
    <w:rsid w:val="0006170C"/>
    <w:rsid w:val="00061972"/>
    <w:rsid w:val="000619FC"/>
    <w:rsid w:val="00061AC4"/>
    <w:rsid w:val="0006223A"/>
    <w:rsid w:val="00063151"/>
    <w:rsid w:val="00064127"/>
    <w:rsid w:val="00064B46"/>
    <w:rsid w:val="0006699C"/>
    <w:rsid w:val="000670F3"/>
    <w:rsid w:val="000675EC"/>
    <w:rsid w:val="00067C97"/>
    <w:rsid w:val="000700B4"/>
    <w:rsid w:val="000707DE"/>
    <w:rsid w:val="000709DB"/>
    <w:rsid w:val="000714E8"/>
    <w:rsid w:val="00071DBC"/>
    <w:rsid w:val="00072665"/>
    <w:rsid w:val="0007297B"/>
    <w:rsid w:val="00072ABB"/>
    <w:rsid w:val="00074159"/>
    <w:rsid w:val="000749B7"/>
    <w:rsid w:val="000753D2"/>
    <w:rsid w:val="00075494"/>
    <w:rsid w:val="0007550C"/>
    <w:rsid w:val="00075C45"/>
    <w:rsid w:val="00076CDB"/>
    <w:rsid w:val="00077B75"/>
    <w:rsid w:val="00077E54"/>
    <w:rsid w:val="000813F4"/>
    <w:rsid w:val="000817C6"/>
    <w:rsid w:val="00081921"/>
    <w:rsid w:val="00081A1B"/>
    <w:rsid w:val="00082980"/>
    <w:rsid w:val="00083D28"/>
    <w:rsid w:val="00083D58"/>
    <w:rsid w:val="00084EA9"/>
    <w:rsid w:val="00084EC7"/>
    <w:rsid w:val="00085936"/>
    <w:rsid w:val="00085C49"/>
    <w:rsid w:val="00085CBC"/>
    <w:rsid w:val="00085EEB"/>
    <w:rsid w:val="000867B0"/>
    <w:rsid w:val="00086B70"/>
    <w:rsid w:val="00087668"/>
    <w:rsid w:val="000904A2"/>
    <w:rsid w:val="00090AF0"/>
    <w:rsid w:val="000910C5"/>
    <w:rsid w:val="00092839"/>
    <w:rsid w:val="00093C1A"/>
    <w:rsid w:val="00093E79"/>
    <w:rsid w:val="00093F41"/>
    <w:rsid w:val="00094441"/>
    <w:rsid w:val="00094BC6"/>
    <w:rsid w:val="000953A5"/>
    <w:rsid w:val="00096670"/>
    <w:rsid w:val="00096B4A"/>
    <w:rsid w:val="00096DE8"/>
    <w:rsid w:val="00097C9E"/>
    <w:rsid w:val="000A0911"/>
    <w:rsid w:val="000A124F"/>
    <w:rsid w:val="000A139A"/>
    <w:rsid w:val="000A2431"/>
    <w:rsid w:val="000A2A30"/>
    <w:rsid w:val="000A358F"/>
    <w:rsid w:val="000A38A0"/>
    <w:rsid w:val="000A3C64"/>
    <w:rsid w:val="000A4362"/>
    <w:rsid w:val="000A5274"/>
    <w:rsid w:val="000A61B8"/>
    <w:rsid w:val="000A62BD"/>
    <w:rsid w:val="000A6603"/>
    <w:rsid w:val="000A679A"/>
    <w:rsid w:val="000A6A7F"/>
    <w:rsid w:val="000A6F98"/>
    <w:rsid w:val="000A74E0"/>
    <w:rsid w:val="000A74F6"/>
    <w:rsid w:val="000A7B98"/>
    <w:rsid w:val="000B1427"/>
    <w:rsid w:val="000B1905"/>
    <w:rsid w:val="000B1CCA"/>
    <w:rsid w:val="000B200B"/>
    <w:rsid w:val="000B3976"/>
    <w:rsid w:val="000B3C2D"/>
    <w:rsid w:val="000B470D"/>
    <w:rsid w:val="000B5395"/>
    <w:rsid w:val="000B62CB"/>
    <w:rsid w:val="000B6350"/>
    <w:rsid w:val="000B678F"/>
    <w:rsid w:val="000B6FEF"/>
    <w:rsid w:val="000B7F9A"/>
    <w:rsid w:val="000C0328"/>
    <w:rsid w:val="000C03D4"/>
    <w:rsid w:val="000C0D86"/>
    <w:rsid w:val="000C1621"/>
    <w:rsid w:val="000C1CD7"/>
    <w:rsid w:val="000C2778"/>
    <w:rsid w:val="000C2784"/>
    <w:rsid w:val="000C32AE"/>
    <w:rsid w:val="000C3380"/>
    <w:rsid w:val="000C4807"/>
    <w:rsid w:val="000C4C6A"/>
    <w:rsid w:val="000C5751"/>
    <w:rsid w:val="000C57F9"/>
    <w:rsid w:val="000C598C"/>
    <w:rsid w:val="000C618E"/>
    <w:rsid w:val="000C6342"/>
    <w:rsid w:val="000C6CE1"/>
    <w:rsid w:val="000C7B9D"/>
    <w:rsid w:val="000D02E9"/>
    <w:rsid w:val="000D1274"/>
    <w:rsid w:val="000D1597"/>
    <w:rsid w:val="000D16A7"/>
    <w:rsid w:val="000D1C6A"/>
    <w:rsid w:val="000D1F8D"/>
    <w:rsid w:val="000D22BD"/>
    <w:rsid w:val="000D26E7"/>
    <w:rsid w:val="000D53F2"/>
    <w:rsid w:val="000D5748"/>
    <w:rsid w:val="000D5C8A"/>
    <w:rsid w:val="000D6C9D"/>
    <w:rsid w:val="000D78E6"/>
    <w:rsid w:val="000E0487"/>
    <w:rsid w:val="000E088E"/>
    <w:rsid w:val="000E232F"/>
    <w:rsid w:val="000E285B"/>
    <w:rsid w:val="000E2DB0"/>
    <w:rsid w:val="000E348C"/>
    <w:rsid w:val="000E4D22"/>
    <w:rsid w:val="000E545D"/>
    <w:rsid w:val="000F0150"/>
    <w:rsid w:val="000F03FE"/>
    <w:rsid w:val="000F152C"/>
    <w:rsid w:val="000F17C9"/>
    <w:rsid w:val="000F3668"/>
    <w:rsid w:val="000F383E"/>
    <w:rsid w:val="000F38CF"/>
    <w:rsid w:val="000F3F16"/>
    <w:rsid w:val="000F449F"/>
    <w:rsid w:val="000F48C9"/>
    <w:rsid w:val="000F6024"/>
    <w:rsid w:val="00100B14"/>
    <w:rsid w:val="00100EB7"/>
    <w:rsid w:val="0010174C"/>
    <w:rsid w:val="0010201F"/>
    <w:rsid w:val="0010254F"/>
    <w:rsid w:val="00102B73"/>
    <w:rsid w:val="00102C51"/>
    <w:rsid w:val="00103216"/>
    <w:rsid w:val="0010330D"/>
    <w:rsid w:val="001039BF"/>
    <w:rsid w:val="00103CB4"/>
    <w:rsid w:val="00103D6B"/>
    <w:rsid w:val="00107F42"/>
    <w:rsid w:val="00110401"/>
    <w:rsid w:val="00110E22"/>
    <w:rsid w:val="001110F1"/>
    <w:rsid w:val="0011195C"/>
    <w:rsid w:val="00112E30"/>
    <w:rsid w:val="001138CB"/>
    <w:rsid w:val="00115CAC"/>
    <w:rsid w:val="001160DE"/>
    <w:rsid w:val="00116718"/>
    <w:rsid w:val="00116FC8"/>
    <w:rsid w:val="00117835"/>
    <w:rsid w:val="0012024C"/>
    <w:rsid w:val="00120493"/>
    <w:rsid w:val="00120DFA"/>
    <w:rsid w:val="00121726"/>
    <w:rsid w:val="001218FE"/>
    <w:rsid w:val="00121CC1"/>
    <w:rsid w:val="001221BE"/>
    <w:rsid w:val="00123679"/>
    <w:rsid w:val="001236BF"/>
    <w:rsid w:val="001236EB"/>
    <w:rsid w:val="00123ACC"/>
    <w:rsid w:val="00124792"/>
    <w:rsid w:val="00124CEA"/>
    <w:rsid w:val="00124CF0"/>
    <w:rsid w:val="00125726"/>
    <w:rsid w:val="001258B7"/>
    <w:rsid w:val="001267FF"/>
    <w:rsid w:val="00127F9D"/>
    <w:rsid w:val="0013084E"/>
    <w:rsid w:val="001315D8"/>
    <w:rsid w:val="00131845"/>
    <w:rsid w:val="00132B8C"/>
    <w:rsid w:val="0013360D"/>
    <w:rsid w:val="001339B4"/>
    <w:rsid w:val="00133E41"/>
    <w:rsid w:val="00133E7C"/>
    <w:rsid w:val="00134D7F"/>
    <w:rsid w:val="00134F05"/>
    <w:rsid w:val="00134F65"/>
    <w:rsid w:val="0013526C"/>
    <w:rsid w:val="001356B6"/>
    <w:rsid w:val="0013661A"/>
    <w:rsid w:val="00136E07"/>
    <w:rsid w:val="00136F43"/>
    <w:rsid w:val="001372D1"/>
    <w:rsid w:val="001374A2"/>
    <w:rsid w:val="00141121"/>
    <w:rsid w:val="001429D7"/>
    <w:rsid w:val="00143437"/>
    <w:rsid w:val="00143891"/>
    <w:rsid w:val="00145073"/>
    <w:rsid w:val="0014515E"/>
    <w:rsid w:val="0014559E"/>
    <w:rsid w:val="00145749"/>
    <w:rsid w:val="00145EF0"/>
    <w:rsid w:val="001462D6"/>
    <w:rsid w:val="001464A7"/>
    <w:rsid w:val="00147344"/>
    <w:rsid w:val="001477F2"/>
    <w:rsid w:val="0015059D"/>
    <w:rsid w:val="00151322"/>
    <w:rsid w:val="00151A22"/>
    <w:rsid w:val="00152576"/>
    <w:rsid w:val="00152C66"/>
    <w:rsid w:val="00153A5A"/>
    <w:rsid w:val="00153EDA"/>
    <w:rsid w:val="001547CA"/>
    <w:rsid w:val="00154C02"/>
    <w:rsid w:val="00154C69"/>
    <w:rsid w:val="0015529D"/>
    <w:rsid w:val="00156328"/>
    <w:rsid w:val="00156678"/>
    <w:rsid w:val="00156E9D"/>
    <w:rsid w:val="001573B4"/>
    <w:rsid w:val="00157B9D"/>
    <w:rsid w:val="00157E30"/>
    <w:rsid w:val="001600BF"/>
    <w:rsid w:val="001601A2"/>
    <w:rsid w:val="00160295"/>
    <w:rsid w:val="001607B6"/>
    <w:rsid w:val="001625C2"/>
    <w:rsid w:val="00162969"/>
    <w:rsid w:val="00162E86"/>
    <w:rsid w:val="00163D73"/>
    <w:rsid w:val="00163D88"/>
    <w:rsid w:val="00164096"/>
    <w:rsid w:val="0016529E"/>
    <w:rsid w:val="00165B1C"/>
    <w:rsid w:val="00166036"/>
    <w:rsid w:val="001662BD"/>
    <w:rsid w:val="001675A5"/>
    <w:rsid w:val="00170111"/>
    <w:rsid w:val="00170697"/>
    <w:rsid w:val="00171C1A"/>
    <w:rsid w:val="00172708"/>
    <w:rsid w:val="001727B0"/>
    <w:rsid w:val="00172A27"/>
    <w:rsid w:val="00172E97"/>
    <w:rsid w:val="00173260"/>
    <w:rsid w:val="00173C43"/>
    <w:rsid w:val="00174BEA"/>
    <w:rsid w:val="0017537B"/>
    <w:rsid w:val="001759CF"/>
    <w:rsid w:val="00175B5D"/>
    <w:rsid w:val="00176197"/>
    <w:rsid w:val="00176986"/>
    <w:rsid w:val="00176B7D"/>
    <w:rsid w:val="00177FB1"/>
    <w:rsid w:val="001809EC"/>
    <w:rsid w:val="00180D02"/>
    <w:rsid w:val="00181809"/>
    <w:rsid w:val="00182FF5"/>
    <w:rsid w:val="0018316B"/>
    <w:rsid w:val="001837AA"/>
    <w:rsid w:val="00183BC0"/>
    <w:rsid w:val="0018456A"/>
    <w:rsid w:val="00184681"/>
    <w:rsid w:val="001847DB"/>
    <w:rsid w:val="00185C46"/>
    <w:rsid w:val="00185D1E"/>
    <w:rsid w:val="00185D2D"/>
    <w:rsid w:val="00185EF5"/>
    <w:rsid w:val="00185F81"/>
    <w:rsid w:val="001863BC"/>
    <w:rsid w:val="0018652D"/>
    <w:rsid w:val="00186AA0"/>
    <w:rsid w:val="00187828"/>
    <w:rsid w:val="00187EAA"/>
    <w:rsid w:val="00190B5F"/>
    <w:rsid w:val="001912D2"/>
    <w:rsid w:val="00191575"/>
    <w:rsid w:val="00191DE6"/>
    <w:rsid w:val="00191FD8"/>
    <w:rsid w:val="0019224F"/>
    <w:rsid w:val="0019227A"/>
    <w:rsid w:val="001923BA"/>
    <w:rsid w:val="0019338C"/>
    <w:rsid w:val="00194C01"/>
    <w:rsid w:val="00196AD9"/>
    <w:rsid w:val="00197F91"/>
    <w:rsid w:val="001A0381"/>
    <w:rsid w:val="001A04B7"/>
    <w:rsid w:val="001A10F0"/>
    <w:rsid w:val="001A24D5"/>
    <w:rsid w:val="001A2637"/>
    <w:rsid w:val="001A270B"/>
    <w:rsid w:val="001A2CE9"/>
    <w:rsid w:val="001A37A7"/>
    <w:rsid w:val="001A397E"/>
    <w:rsid w:val="001A3D56"/>
    <w:rsid w:val="001A3E22"/>
    <w:rsid w:val="001A4A03"/>
    <w:rsid w:val="001A4DEE"/>
    <w:rsid w:val="001A51A4"/>
    <w:rsid w:val="001A52EC"/>
    <w:rsid w:val="001A592E"/>
    <w:rsid w:val="001A5B3D"/>
    <w:rsid w:val="001A608D"/>
    <w:rsid w:val="001A64AB"/>
    <w:rsid w:val="001A69D0"/>
    <w:rsid w:val="001A7510"/>
    <w:rsid w:val="001A79FC"/>
    <w:rsid w:val="001B0FFF"/>
    <w:rsid w:val="001B1422"/>
    <w:rsid w:val="001B1780"/>
    <w:rsid w:val="001B2789"/>
    <w:rsid w:val="001B3396"/>
    <w:rsid w:val="001B45AC"/>
    <w:rsid w:val="001B4641"/>
    <w:rsid w:val="001B49B9"/>
    <w:rsid w:val="001B4AC9"/>
    <w:rsid w:val="001B53CE"/>
    <w:rsid w:val="001B5555"/>
    <w:rsid w:val="001B5A4E"/>
    <w:rsid w:val="001B621A"/>
    <w:rsid w:val="001B639B"/>
    <w:rsid w:val="001B66C9"/>
    <w:rsid w:val="001B7226"/>
    <w:rsid w:val="001B79CA"/>
    <w:rsid w:val="001C006C"/>
    <w:rsid w:val="001C046C"/>
    <w:rsid w:val="001C0792"/>
    <w:rsid w:val="001C111E"/>
    <w:rsid w:val="001C1954"/>
    <w:rsid w:val="001C1CB6"/>
    <w:rsid w:val="001C2637"/>
    <w:rsid w:val="001C2856"/>
    <w:rsid w:val="001C36F2"/>
    <w:rsid w:val="001C37B8"/>
    <w:rsid w:val="001C3997"/>
    <w:rsid w:val="001C4006"/>
    <w:rsid w:val="001C4264"/>
    <w:rsid w:val="001C5049"/>
    <w:rsid w:val="001C5A88"/>
    <w:rsid w:val="001C5F33"/>
    <w:rsid w:val="001D131F"/>
    <w:rsid w:val="001D145B"/>
    <w:rsid w:val="001D1E0C"/>
    <w:rsid w:val="001D2BC7"/>
    <w:rsid w:val="001D32DF"/>
    <w:rsid w:val="001D3347"/>
    <w:rsid w:val="001D342C"/>
    <w:rsid w:val="001D3D7A"/>
    <w:rsid w:val="001D3D91"/>
    <w:rsid w:val="001D3FE6"/>
    <w:rsid w:val="001D426E"/>
    <w:rsid w:val="001D47A2"/>
    <w:rsid w:val="001D4CB2"/>
    <w:rsid w:val="001D5364"/>
    <w:rsid w:val="001D542E"/>
    <w:rsid w:val="001D5AB1"/>
    <w:rsid w:val="001D6B41"/>
    <w:rsid w:val="001D6B43"/>
    <w:rsid w:val="001D6C9C"/>
    <w:rsid w:val="001D7C0A"/>
    <w:rsid w:val="001E135A"/>
    <w:rsid w:val="001E1B96"/>
    <w:rsid w:val="001E3151"/>
    <w:rsid w:val="001E33E7"/>
    <w:rsid w:val="001E3A70"/>
    <w:rsid w:val="001E4160"/>
    <w:rsid w:val="001E4638"/>
    <w:rsid w:val="001E4649"/>
    <w:rsid w:val="001E4806"/>
    <w:rsid w:val="001E4F61"/>
    <w:rsid w:val="001E5228"/>
    <w:rsid w:val="001E56BE"/>
    <w:rsid w:val="001E5D7F"/>
    <w:rsid w:val="001E606C"/>
    <w:rsid w:val="001E6E0F"/>
    <w:rsid w:val="001E7383"/>
    <w:rsid w:val="001E7A45"/>
    <w:rsid w:val="001F0090"/>
    <w:rsid w:val="001F01FC"/>
    <w:rsid w:val="001F145B"/>
    <w:rsid w:val="001F1B44"/>
    <w:rsid w:val="001F220E"/>
    <w:rsid w:val="001F299F"/>
    <w:rsid w:val="001F409D"/>
    <w:rsid w:val="001F4364"/>
    <w:rsid w:val="001F4B03"/>
    <w:rsid w:val="001F53DC"/>
    <w:rsid w:val="001F612B"/>
    <w:rsid w:val="001F69C1"/>
    <w:rsid w:val="001F7194"/>
    <w:rsid w:val="001F78C9"/>
    <w:rsid w:val="00200210"/>
    <w:rsid w:val="002005D7"/>
    <w:rsid w:val="00200C07"/>
    <w:rsid w:val="00201D62"/>
    <w:rsid w:val="002030D5"/>
    <w:rsid w:val="00203236"/>
    <w:rsid w:val="00203374"/>
    <w:rsid w:val="002047A7"/>
    <w:rsid w:val="00204832"/>
    <w:rsid w:val="00205192"/>
    <w:rsid w:val="002069C4"/>
    <w:rsid w:val="00207574"/>
    <w:rsid w:val="00207788"/>
    <w:rsid w:val="00207BB0"/>
    <w:rsid w:val="00210236"/>
    <w:rsid w:val="00210822"/>
    <w:rsid w:val="00210837"/>
    <w:rsid w:val="00210B9B"/>
    <w:rsid w:val="002119E2"/>
    <w:rsid w:val="00213134"/>
    <w:rsid w:val="00213C7B"/>
    <w:rsid w:val="00213CE3"/>
    <w:rsid w:val="00214AE1"/>
    <w:rsid w:val="00215B9B"/>
    <w:rsid w:val="00215DE3"/>
    <w:rsid w:val="0021617D"/>
    <w:rsid w:val="00216288"/>
    <w:rsid w:val="002168F3"/>
    <w:rsid w:val="00216ACD"/>
    <w:rsid w:val="00217785"/>
    <w:rsid w:val="00217AA5"/>
    <w:rsid w:val="00220B21"/>
    <w:rsid w:val="00220BFA"/>
    <w:rsid w:val="00220CA4"/>
    <w:rsid w:val="00221ADA"/>
    <w:rsid w:val="00221C35"/>
    <w:rsid w:val="00221E2F"/>
    <w:rsid w:val="00223AA0"/>
    <w:rsid w:val="00223AE2"/>
    <w:rsid w:val="00223DA7"/>
    <w:rsid w:val="002255D4"/>
    <w:rsid w:val="00225CAB"/>
    <w:rsid w:val="002262D7"/>
    <w:rsid w:val="002263C7"/>
    <w:rsid w:val="0022681A"/>
    <w:rsid w:val="00226A6D"/>
    <w:rsid w:val="00226C7E"/>
    <w:rsid w:val="00226F54"/>
    <w:rsid w:val="00230B9C"/>
    <w:rsid w:val="0023120C"/>
    <w:rsid w:val="002313E0"/>
    <w:rsid w:val="002313FE"/>
    <w:rsid w:val="002314F8"/>
    <w:rsid w:val="002323C0"/>
    <w:rsid w:val="00232AAB"/>
    <w:rsid w:val="00232BF8"/>
    <w:rsid w:val="0023312F"/>
    <w:rsid w:val="00233272"/>
    <w:rsid w:val="002332E7"/>
    <w:rsid w:val="00235CBD"/>
    <w:rsid w:val="00235F11"/>
    <w:rsid w:val="00235F5D"/>
    <w:rsid w:val="00236110"/>
    <w:rsid w:val="00236A1E"/>
    <w:rsid w:val="0023765F"/>
    <w:rsid w:val="00240C76"/>
    <w:rsid w:val="002420BD"/>
    <w:rsid w:val="002428DE"/>
    <w:rsid w:val="00244795"/>
    <w:rsid w:val="00244A39"/>
    <w:rsid w:val="00244F4D"/>
    <w:rsid w:val="00245C72"/>
    <w:rsid w:val="002460FA"/>
    <w:rsid w:val="00246576"/>
    <w:rsid w:val="00247748"/>
    <w:rsid w:val="00247F10"/>
    <w:rsid w:val="00247FE9"/>
    <w:rsid w:val="00250620"/>
    <w:rsid w:val="002518C7"/>
    <w:rsid w:val="00251E58"/>
    <w:rsid w:val="00253905"/>
    <w:rsid w:val="00253AB5"/>
    <w:rsid w:val="00253B1F"/>
    <w:rsid w:val="00253BF2"/>
    <w:rsid w:val="00254615"/>
    <w:rsid w:val="00254CE6"/>
    <w:rsid w:val="00254EAD"/>
    <w:rsid w:val="002554CD"/>
    <w:rsid w:val="00255AD8"/>
    <w:rsid w:val="00256102"/>
    <w:rsid w:val="00256160"/>
    <w:rsid w:val="00256BBA"/>
    <w:rsid w:val="00257F6D"/>
    <w:rsid w:val="00260023"/>
    <w:rsid w:val="0026021A"/>
    <w:rsid w:val="00260547"/>
    <w:rsid w:val="00260C1C"/>
    <w:rsid w:val="002617CC"/>
    <w:rsid w:val="0026186B"/>
    <w:rsid w:val="00261A0E"/>
    <w:rsid w:val="002625CB"/>
    <w:rsid w:val="00263DEF"/>
    <w:rsid w:val="00263F53"/>
    <w:rsid w:val="00264009"/>
    <w:rsid w:val="00264B45"/>
    <w:rsid w:val="002652AD"/>
    <w:rsid w:val="00266004"/>
    <w:rsid w:val="00267D9A"/>
    <w:rsid w:val="00270584"/>
    <w:rsid w:val="00270EA2"/>
    <w:rsid w:val="00271121"/>
    <w:rsid w:val="00272DFC"/>
    <w:rsid w:val="00275E57"/>
    <w:rsid w:val="0027616F"/>
    <w:rsid w:val="00276544"/>
    <w:rsid w:val="002767BF"/>
    <w:rsid w:val="00276976"/>
    <w:rsid w:val="00280525"/>
    <w:rsid w:val="00280656"/>
    <w:rsid w:val="00280870"/>
    <w:rsid w:val="002833C1"/>
    <w:rsid w:val="00284030"/>
    <w:rsid w:val="002846C4"/>
    <w:rsid w:val="00284927"/>
    <w:rsid w:val="00284BF6"/>
    <w:rsid w:val="00284C89"/>
    <w:rsid w:val="0028576F"/>
    <w:rsid w:val="00286B67"/>
    <w:rsid w:val="00287246"/>
    <w:rsid w:val="002906BB"/>
    <w:rsid w:val="00290940"/>
    <w:rsid w:val="00290E68"/>
    <w:rsid w:val="002910C9"/>
    <w:rsid w:val="00291975"/>
    <w:rsid w:val="00291DAD"/>
    <w:rsid w:val="00292529"/>
    <w:rsid w:val="00293C98"/>
    <w:rsid w:val="00293EC9"/>
    <w:rsid w:val="00294080"/>
    <w:rsid w:val="00294418"/>
    <w:rsid w:val="00294552"/>
    <w:rsid w:val="00294950"/>
    <w:rsid w:val="00295227"/>
    <w:rsid w:val="00295F39"/>
    <w:rsid w:val="00295F45"/>
    <w:rsid w:val="00296775"/>
    <w:rsid w:val="00296DDD"/>
    <w:rsid w:val="00297942"/>
    <w:rsid w:val="00297DE3"/>
    <w:rsid w:val="002A0ED2"/>
    <w:rsid w:val="002A135C"/>
    <w:rsid w:val="002A181B"/>
    <w:rsid w:val="002A1BC6"/>
    <w:rsid w:val="002A267D"/>
    <w:rsid w:val="002A270F"/>
    <w:rsid w:val="002A2B15"/>
    <w:rsid w:val="002A2B1E"/>
    <w:rsid w:val="002A323D"/>
    <w:rsid w:val="002A40F2"/>
    <w:rsid w:val="002A4A6F"/>
    <w:rsid w:val="002A5325"/>
    <w:rsid w:val="002A724F"/>
    <w:rsid w:val="002A7B53"/>
    <w:rsid w:val="002B05B1"/>
    <w:rsid w:val="002B0C56"/>
    <w:rsid w:val="002B128E"/>
    <w:rsid w:val="002B1B6D"/>
    <w:rsid w:val="002B213F"/>
    <w:rsid w:val="002B278C"/>
    <w:rsid w:val="002B2D48"/>
    <w:rsid w:val="002B4C67"/>
    <w:rsid w:val="002B4F5A"/>
    <w:rsid w:val="002B5256"/>
    <w:rsid w:val="002B56E3"/>
    <w:rsid w:val="002B5792"/>
    <w:rsid w:val="002B6DF3"/>
    <w:rsid w:val="002B7809"/>
    <w:rsid w:val="002C0FD0"/>
    <w:rsid w:val="002C2AE1"/>
    <w:rsid w:val="002C35C5"/>
    <w:rsid w:val="002C37C7"/>
    <w:rsid w:val="002C3950"/>
    <w:rsid w:val="002C3E69"/>
    <w:rsid w:val="002C4303"/>
    <w:rsid w:val="002C4472"/>
    <w:rsid w:val="002C5B91"/>
    <w:rsid w:val="002C6C98"/>
    <w:rsid w:val="002C6F15"/>
    <w:rsid w:val="002D00D0"/>
    <w:rsid w:val="002D00D7"/>
    <w:rsid w:val="002D04B3"/>
    <w:rsid w:val="002D0A76"/>
    <w:rsid w:val="002D12D5"/>
    <w:rsid w:val="002D19C8"/>
    <w:rsid w:val="002D25AB"/>
    <w:rsid w:val="002D2CFB"/>
    <w:rsid w:val="002D3C69"/>
    <w:rsid w:val="002D4074"/>
    <w:rsid w:val="002D4855"/>
    <w:rsid w:val="002D4F1C"/>
    <w:rsid w:val="002D5561"/>
    <w:rsid w:val="002D5749"/>
    <w:rsid w:val="002D681C"/>
    <w:rsid w:val="002D750B"/>
    <w:rsid w:val="002D7B35"/>
    <w:rsid w:val="002D7B63"/>
    <w:rsid w:val="002E0070"/>
    <w:rsid w:val="002E08D4"/>
    <w:rsid w:val="002E0964"/>
    <w:rsid w:val="002E0DD0"/>
    <w:rsid w:val="002E0E77"/>
    <w:rsid w:val="002E1625"/>
    <w:rsid w:val="002E30CD"/>
    <w:rsid w:val="002E334E"/>
    <w:rsid w:val="002E33C3"/>
    <w:rsid w:val="002E3AE8"/>
    <w:rsid w:val="002E3FFE"/>
    <w:rsid w:val="002E4E50"/>
    <w:rsid w:val="002E53D0"/>
    <w:rsid w:val="002E5625"/>
    <w:rsid w:val="002E5931"/>
    <w:rsid w:val="002E5C58"/>
    <w:rsid w:val="002E6A86"/>
    <w:rsid w:val="002E6E46"/>
    <w:rsid w:val="002E7D58"/>
    <w:rsid w:val="002F00FE"/>
    <w:rsid w:val="002F0609"/>
    <w:rsid w:val="002F1457"/>
    <w:rsid w:val="002F1614"/>
    <w:rsid w:val="002F17EB"/>
    <w:rsid w:val="002F1947"/>
    <w:rsid w:val="002F1B84"/>
    <w:rsid w:val="002F1D85"/>
    <w:rsid w:val="002F25D7"/>
    <w:rsid w:val="002F284C"/>
    <w:rsid w:val="002F2B81"/>
    <w:rsid w:val="002F3352"/>
    <w:rsid w:val="002F36AE"/>
    <w:rsid w:val="002F4DAB"/>
    <w:rsid w:val="002F5103"/>
    <w:rsid w:val="002F5779"/>
    <w:rsid w:val="002F5C8F"/>
    <w:rsid w:val="002F703B"/>
    <w:rsid w:val="0030040F"/>
    <w:rsid w:val="00301558"/>
    <w:rsid w:val="003023C6"/>
    <w:rsid w:val="00302CF7"/>
    <w:rsid w:val="00302D27"/>
    <w:rsid w:val="00302E1C"/>
    <w:rsid w:val="00303D3C"/>
    <w:rsid w:val="0030429A"/>
    <w:rsid w:val="003052AB"/>
    <w:rsid w:val="00305F0B"/>
    <w:rsid w:val="003060C4"/>
    <w:rsid w:val="0030668D"/>
    <w:rsid w:val="003069D9"/>
    <w:rsid w:val="00307BA1"/>
    <w:rsid w:val="003100DF"/>
    <w:rsid w:val="00311611"/>
    <w:rsid w:val="00311B0A"/>
    <w:rsid w:val="003137D4"/>
    <w:rsid w:val="00314227"/>
    <w:rsid w:val="00314DBA"/>
    <w:rsid w:val="00314EFA"/>
    <w:rsid w:val="00315AB3"/>
    <w:rsid w:val="0031608D"/>
    <w:rsid w:val="003164A3"/>
    <w:rsid w:val="00317A63"/>
    <w:rsid w:val="00317BA9"/>
    <w:rsid w:val="003200AE"/>
    <w:rsid w:val="0032034B"/>
    <w:rsid w:val="00320397"/>
    <w:rsid w:val="00320BF6"/>
    <w:rsid w:val="00320EFA"/>
    <w:rsid w:val="00321E23"/>
    <w:rsid w:val="0032215C"/>
    <w:rsid w:val="00322259"/>
    <w:rsid w:val="00322312"/>
    <w:rsid w:val="003255F1"/>
    <w:rsid w:val="00325789"/>
    <w:rsid w:val="00325A5A"/>
    <w:rsid w:val="00325A89"/>
    <w:rsid w:val="00326A2E"/>
    <w:rsid w:val="003272E3"/>
    <w:rsid w:val="00327843"/>
    <w:rsid w:val="00327CF0"/>
    <w:rsid w:val="00330325"/>
    <w:rsid w:val="00331922"/>
    <w:rsid w:val="00331AFB"/>
    <w:rsid w:val="0033295D"/>
    <w:rsid w:val="00332B79"/>
    <w:rsid w:val="00333CAB"/>
    <w:rsid w:val="00333D3B"/>
    <w:rsid w:val="00334C5E"/>
    <w:rsid w:val="00336AC2"/>
    <w:rsid w:val="00336FD3"/>
    <w:rsid w:val="00337B76"/>
    <w:rsid w:val="00337BB7"/>
    <w:rsid w:val="00337C26"/>
    <w:rsid w:val="00341DE7"/>
    <w:rsid w:val="003430E1"/>
    <w:rsid w:val="00345199"/>
    <w:rsid w:val="003451FE"/>
    <w:rsid w:val="003462BA"/>
    <w:rsid w:val="00346B52"/>
    <w:rsid w:val="00346C19"/>
    <w:rsid w:val="00346E53"/>
    <w:rsid w:val="003471EA"/>
    <w:rsid w:val="0034781A"/>
    <w:rsid w:val="00350096"/>
    <w:rsid w:val="00350421"/>
    <w:rsid w:val="0035042D"/>
    <w:rsid w:val="00350759"/>
    <w:rsid w:val="0035088B"/>
    <w:rsid w:val="00350FBD"/>
    <w:rsid w:val="003510DF"/>
    <w:rsid w:val="003511E3"/>
    <w:rsid w:val="0035181E"/>
    <w:rsid w:val="00352162"/>
    <w:rsid w:val="0035252E"/>
    <w:rsid w:val="00353C02"/>
    <w:rsid w:val="00353F48"/>
    <w:rsid w:val="0035422F"/>
    <w:rsid w:val="00354301"/>
    <w:rsid w:val="003544A3"/>
    <w:rsid w:val="00354632"/>
    <w:rsid w:val="00354AC8"/>
    <w:rsid w:val="0035571F"/>
    <w:rsid w:val="00355FB1"/>
    <w:rsid w:val="003560A3"/>
    <w:rsid w:val="00356A1A"/>
    <w:rsid w:val="00357768"/>
    <w:rsid w:val="003579C1"/>
    <w:rsid w:val="00357A6C"/>
    <w:rsid w:val="00360B24"/>
    <w:rsid w:val="00360B88"/>
    <w:rsid w:val="00361478"/>
    <w:rsid w:val="003621B0"/>
    <w:rsid w:val="00363105"/>
    <w:rsid w:val="00363317"/>
    <w:rsid w:val="00363BEF"/>
    <w:rsid w:val="00365288"/>
    <w:rsid w:val="00366C33"/>
    <w:rsid w:val="0036705C"/>
    <w:rsid w:val="003673C9"/>
    <w:rsid w:val="00370782"/>
    <w:rsid w:val="003735E7"/>
    <w:rsid w:val="003737B0"/>
    <w:rsid w:val="003743F8"/>
    <w:rsid w:val="00374B13"/>
    <w:rsid w:val="00374FC1"/>
    <w:rsid w:val="003756A2"/>
    <w:rsid w:val="0037677A"/>
    <w:rsid w:val="00376DED"/>
    <w:rsid w:val="003774A0"/>
    <w:rsid w:val="0037767D"/>
    <w:rsid w:val="003810DB"/>
    <w:rsid w:val="00381624"/>
    <w:rsid w:val="003816C1"/>
    <w:rsid w:val="00381985"/>
    <w:rsid w:val="00382571"/>
    <w:rsid w:val="0038489B"/>
    <w:rsid w:val="003849B0"/>
    <w:rsid w:val="003857D9"/>
    <w:rsid w:val="003862DF"/>
    <w:rsid w:val="003863BE"/>
    <w:rsid w:val="00386566"/>
    <w:rsid w:val="00386647"/>
    <w:rsid w:val="00386A94"/>
    <w:rsid w:val="00387330"/>
    <w:rsid w:val="003876FF"/>
    <w:rsid w:val="00392FC0"/>
    <w:rsid w:val="003942E8"/>
    <w:rsid w:val="00394ECF"/>
    <w:rsid w:val="003955B2"/>
    <w:rsid w:val="00395890"/>
    <w:rsid w:val="003959A5"/>
    <w:rsid w:val="00395F26"/>
    <w:rsid w:val="00395FAA"/>
    <w:rsid w:val="00397827"/>
    <w:rsid w:val="003A063A"/>
    <w:rsid w:val="003A0B73"/>
    <w:rsid w:val="003A104E"/>
    <w:rsid w:val="003A13C4"/>
    <w:rsid w:val="003A2DD9"/>
    <w:rsid w:val="003A32F3"/>
    <w:rsid w:val="003A3817"/>
    <w:rsid w:val="003A384F"/>
    <w:rsid w:val="003A3985"/>
    <w:rsid w:val="003A50D9"/>
    <w:rsid w:val="003A543D"/>
    <w:rsid w:val="003A62CE"/>
    <w:rsid w:val="003A7AC8"/>
    <w:rsid w:val="003A7CFF"/>
    <w:rsid w:val="003B01F4"/>
    <w:rsid w:val="003B06DA"/>
    <w:rsid w:val="003B16AA"/>
    <w:rsid w:val="003B188F"/>
    <w:rsid w:val="003B1BEC"/>
    <w:rsid w:val="003B1D0C"/>
    <w:rsid w:val="003B2BA8"/>
    <w:rsid w:val="003B2DEE"/>
    <w:rsid w:val="003B3AF7"/>
    <w:rsid w:val="003B4180"/>
    <w:rsid w:val="003B4356"/>
    <w:rsid w:val="003B449D"/>
    <w:rsid w:val="003B453B"/>
    <w:rsid w:val="003B481F"/>
    <w:rsid w:val="003B536B"/>
    <w:rsid w:val="003B71F0"/>
    <w:rsid w:val="003B7A06"/>
    <w:rsid w:val="003B7BF7"/>
    <w:rsid w:val="003C15D0"/>
    <w:rsid w:val="003C2435"/>
    <w:rsid w:val="003C2CE0"/>
    <w:rsid w:val="003C2F76"/>
    <w:rsid w:val="003C4C71"/>
    <w:rsid w:val="003C4DC7"/>
    <w:rsid w:val="003C5558"/>
    <w:rsid w:val="003C738A"/>
    <w:rsid w:val="003D06B5"/>
    <w:rsid w:val="003D1898"/>
    <w:rsid w:val="003D1F0B"/>
    <w:rsid w:val="003D22D7"/>
    <w:rsid w:val="003D3096"/>
    <w:rsid w:val="003D3994"/>
    <w:rsid w:val="003D3D95"/>
    <w:rsid w:val="003D3EC0"/>
    <w:rsid w:val="003D519A"/>
    <w:rsid w:val="003D73AB"/>
    <w:rsid w:val="003D7CDF"/>
    <w:rsid w:val="003D7CEB"/>
    <w:rsid w:val="003E00AC"/>
    <w:rsid w:val="003E095B"/>
    <w:rsid w:val="003E0FA5"/>
    <w:rsid w:val="003E1840"/>
    <w:rsid w:val="003E1962"/>
    <w:rsid w:val="003E1E97"/>
    <w:rsid w:val="003E2F30"/>
    <w:rsid w:val="003E30A3"/>
    <w:rsid w:val="003E39C3"/>
    <w:rsid w:val="003E3D24"/>
    <w:rsid w:val="003E414B"/>
    <w:rsid w:val="003E431F"/>
    <w:rsid w:val="003E5349"/>
    <w:rsid w:val="003E5810"/>
    <w:rsid w:val="003E5A25"/>
    <w:rsid w:val="003E5D32"/>
    <w:rsid w:val="003E607E"/>
    <w:rsid w:val="003E691B"/>
    <w:rsid w:val="003E6E97"/>
    <w:rsid w:val="003E778E"/>
    <w:rsid w:val="003E78F0"/>
    <w:rsid w:val="003E79D7"/>
    <w:rsid w:val="003E7F3F"/>
    <w:rsid w:val="003F0FAD"/>
    <w:rsid w:val="003F0FC1"/>
    <w:rsid w:val="003F1894"/>
    <w:rsid w:val="003F1C77"/>
    <w:rsid w:val="003F3898"/>
    <w:rsid w:val="003F3A1B"/>
    <w:rsid w:val="003F3D0B"/>
    <w:rsid w:val="003F3E3F"/>
    <w:rsid w:val="003F42B8"/>
    <w:rsid w:val="003F4E50"/>
    <w:rsid w:val="003F4EDF"/>
    <w:rsid w:val="003F572D"/>
    <w:rsid w:val="003F5758"/>
    <w:rsid w:val="003F5D0D"/>
    <w:rsid w:val="003F6A41"/>
    <w:rsid w:val="003F6B54"/>
    <w:rsid w:val="003F6CAD"/>
    <w:rsid w:val="003F7235"/>
    <w:rsid w:val="004003FD"/>
    <w:rsid w:val="00402496"/>
    <w:rsid w:val="00402A13"/>
    <w:rsid w:val="0040368D"/>
    <w:rsid w:val="00403A8C"/>
    <w:rsid w:val="0040409E"/>
    <w:rsid w:val="004049EE"/>
    <w:rsid w:val="00404D01"/>
    <w:rsid w:val="00404D50"/>
    <w:rsid w:val="00404ECC"/>
    <w:rsid w:val="004051A6"/>
    <w:rsid w:val="0040652E"/>
    <w:rsid w:val="004071FD"/>
    <w:rsid w:val="0040738B"/>
    <w:rsid w:val="0041009D"/>
    <w:rsid w:val="004112F1"/>
    <w:rsid w:val="00411E8B"/>
    <w:rsid w:val="004122FB"/>
    <w:rsid w:val="0041282D"/>
    <w:rsid w:val="00412F73"/>
    <w:rsid w:val="00413F7A"/>
    <w:rsid w:val="004143DC"/>
    <w:rsid w:val="004147E2"/>
    <w:rsid w:val="00414CF4"/>
    <w:rsid w:val="00416802"/>
    <w:rsid w:val="00416812"/>
    <w:rsid w:val="00416BBD"/>
    <w:rsid w:val="00416D0A"/>
    <w:rsid w:val="00417112"/>
    <w:rsid w:val="00417637"/>
    <w:rsid w:val="00420B78"/>
    <w:rsid w:val="00420E3D"/>
    <w:rsid w:val="0042141A"/>
    <w:rsid w:val="00421E05"/>
    <w:rsid w:val="00422223"/>
    <w:rsid w:val="00422AB4"/>
    <w:rsid w:val="00422E58"/>
    <w:rsid w:val="0042311F"/>
    <w:rsid w:val="004234EC"/>
    <w:rsid w:val="004235E3"/>
    <w:rsid w:val="00423606"/>
    <w:rsid w:val="00424647"/>
    <w:rsid w:val="00424703"/>
    <w:rsid w:val="00424934"/>
    <w:rsid w:val="00425C37"/>
    <w:rsid w:val="0042603F"/>
    <w:rsid w:val="004261BD"/>
    <w:rsid w:val="004274AD"/>
    <w:rsid w:val="00427703"/>
    <w:rsid w:val="00430C76"/>
    <w:rsid w:val="00430F20"/>
    <w:rsid w:val="00431332"/>
    <w:rsid w:val="00431CF2"/>
    <w:rsid w:val="00431D90"/>
    <w:rsid w:val="00431E46"/>
    <w:rsid w:val="004329FE"/>
    <w:rsid w:val="00432A04"/>
    <w:rsid w:val="0043402A"/>
    <w:rsid w:val="00434769"/>
    <w:rsid w:val="0043518D"/>
    <w:rsid w:val="004351DE"/>
    <w:rsid w:val="00436611"/>
    <w:rsid w:val="00437A2F"/>
    <w:rsid w:val="00437D58"/>
    <w:rsid w:val="00440164"/>
    <w:rsid w:val="004405EC"/>
    <w:rsid w:val="00440E18"/>
    <w:rsid w:val="004426B7"/>
    <w:rsid w:val="00442FF5"/>
    <w:rsid w:val="00443834"/>
    <w:rsid w:val="00444140"/>
    <w:rsid w:val="00444ACC"/>
    <w:rsid w:val="00444B3E"/>
    <w:rsid w:val="00445234"/>
    <w:rsid w:val="00446DAE"/>
    <w:rsid w:val="00446E47"/>
    <w:rsid w:val="004476FB"/>
    <w:rsid w:val="00447854"/>
    <w:rsid w:val="00447B58"/>
    <w:rsid w:val="00450013"/>
    <w:rsid w:val="00450709"/>
    <w:rsid w:val="004508C5"/>
    <w:rsid w:val="00450A8E"/>
    <w:rsid w:val="00450C55"/>
    <w:rsid w:val="004514E0"/>
    <w:rsid w:val="004516ED"/>
    <w:rsid w:val="004531AD"/>
    <w:rsid w:val="004532BB"/>
    <w:rsid w:val="004534D6"/>
    <w:rsid w:val="00453696"/>
    <w:rsid w:val="0045377E"/>
    <w:rsid w:val="00453CE9"/>
    <w:rsid w:val="004540DE"/>
    <w:rsid w:val="00454961"/>
    <w:rsid w:val="004551EE"/>
    <w:rsid w:val="00455682"/>
    <w:rsid w:val="00455922"/>
    <w:rsid w:val="00456610"/>
    <w:rsid w:val="00456BE9"/>
    <w:rsid w:val="00460061"/>
    <w:rsid w:val="004603B8"/>
    <w:rsid w:val="004610FB"/>
    <w:rsid w:val="00461667"/>
    <w:rsid w:val="00461CAB"/>
    <w:rsid w:val="00463040"/>
    <w:rsid w:val="00463317"/>
    <w:rsid w:val="00463E66"/>
    <w:rsid w:val="00463FE3"/>
    <w:rsid w:val="0046562A"/>
    <w:rsid w:val="00465DDA"/>
    <w:rsid w:val="00465E8B"/>
    <w:rsid w:val="0046640E"/>
    <w:rsid w:val="004665CA"/>
    <w:rsid w:val="00467256"/>
    <w:rsid w:val="00467674"/>
    <w:rsid w:val="00467A24"/>
    <w:rsid w:val="00470652"/>
    <w:rsid w:val="00470A24"/>
    <w:rsid w:val="0047201A"/>
    <w:rsid w:val="004729B4"/>
    <w:rsid w:val="0047427E"/>
    <w:rsid w:val="004742C1"/>
    <w:rsid w:val="00475FDF"/>
    <w:rsid w:val="00477289"/>
    <w:rsid w:val="00477456"/>
    <w:rsid w:val="00477793"/>
    <w:rsid w:val="00477A00"/>
    <w:rsid w:val="00480059"/>
    <w:rsid w:val="00480DC1"/>
    <w:rsid w:val="00480DE2"/>
    <w:rsid w:val="00481480"/>
    <w:rsid w:val="00481D6F"/>
    <w:rsid w:val="00482162"/>
    <w:rsid w:val="0048291E"/>
    <w:rsid w:val="00482A59"/>
    <w:rsid w:val="00483652"/>
    <w:rsid w:val="00483666"/>
    <w:rsid w:val="004843A9"/>
    <w:rsid w:val="0048472A"/>
    <w:rsid w:val="00484B49"/>
    <w:rsid w:val="00484D59"/>
    <w:rsid w:val="00485526"/>
    <w:rsid w:val="00485B21"/>
    <w:rsid w:val="00485F07"/>
    <w:rsid w:val="00486428"/>
    <w:rsid w:val="00486503"/>
    <w:rsid w:val="004866D8"/>
    <w:rsid w:val="00486987"/>
    <w:rsid w:val="00487537"/>
    <w:rsid w:val="00491CDE"/>
    <w:rsid w:val="00491EB1"/>
    <w:rsid w:val="00492566"/>
    <w:rsid w:val="00492C10"/>
    <w:rsid w:val="00492E53"/>
    <w:rsid w:val="004931AE"/>
    <w:rsid w:val="004933FA"/>
    <w:rsid w:val="004935EE"/>
    <w:rsid w:val="00493F1E"/>
    <w:rsid w:val="00493F29"/>
    <w:rsid w:val="00494354"/>
    <w:rsid w:val="00494902"/>
    <w:rsid w:val="00494E82"/>
    <w:rsid w:val="00495886"/>
    <w:rsid w:val="00496444"/>
    <w:rsid w:val="0049662F"/>
    <w:rsid w:val="00496E76"/>
    <w:rsid w:val="00497018"/>
    <w:rsid w:val="00497A39"/>
    <w:rsid w:val="004A0666"/>
    <w:rsid w:val="004A19F6"/>
    <w:rsid w:val="004A1CF8"/>
    <w:rsid w:val="004A1F56"/>
    <w:rsid w:val="004A259D"/>
    <w:rsid w:val="004A2E1F"/>
    <w:rsid w:val="004A3892"/>
    <w:rsid w:val="004A487F"/>
    <w:rsid w:val="004A4B9D"/>
    <w:rsid w:val="004A4CA4"/>
    <w:rsid w:val="004A54AA"/>
    <w:rsid w:val="004A6F45"/>
    <w:rsid w:val="004A7062"/>
    <w:rsid w:val="004A78CA"/>
    <w:rsid w:val="004B02A4"/>
    <w:rsid w:val="004B0356"/>
    <w:rsid w:val="004B06C5"/>
    <w:rsid w:val="004B0916"/>
    <w:rsid w:val="004B1C66"/>
    <w:rsid w:val="004B1FAC"/>
    <w:rsid w:val="004B2291"/>
    <w:rsid w:val="004B2624"/>
    <w:rsid w:val="004B2A6A"/>
    <w:rsid w:val="004B2E7D"/>
    <w:rsid w:val="004B317D"/>
    <w:rsid w:val="004B40A3"/>
    <w:rsid w:val="004B4463"/>
    <w:rsid w:val="004B4B08"/>
    <w:rsid w:val="004B53FF"/>
    <w:rsid w:val="004B6418"/>
    <w:rsid w:val="004B666A"/>
    <w:rsid w:val="004B6989"/>
    <w:rsid w:val="004B763D"/>
    <w:rsid w:val="004C0192"/>
    <w:rsid w:val="004C04BD"/>
    <w:rsid w:val="004C0E2B"/>
    <w:rsid w:val="004C1270"/>
    <w:rsid w:val="004C1B57"/>
    <w:rsid w:val="004C1E9C"/>
    <w:rsid w:val="004C36A9"/>
    <w:rsid w:val="004C497E"/>
    <w:rsid w:val="004C4AD3"/>
    <w:rsid w:val="004C53C4"/>
    <w:rsid w:val="004C5844"/>
    <w:rsid w:val="004C6AD2"/>
    <w:rsid w:val="004C7513"/>
    <w:rsid w:val="004C782F"/>
    <w:rsid w:val="004D00C0"/>
    <w:rsid w:val="004D01EE"/>
    <w:rsid w:val="004D0448"/>
    <w:rsid w:val="004D0BA0"/>
    <w:rsid w:val="004D0BD0"/>
    <w:rsid w:val="004D1D79"/>
    <w:rsid w:val="004D34C3"/>
    <w:rsid w:val="004D45C4"/>
    <w:rsid w:val="004D4841"/>
    <w:rsid w:val="004D487B"/>
    <w:rsid w:val="004D4D09"/>
    <w:rsid w:val="004D5792"/>
    <w:rsid w:val="004D6A43"/>
    <w:rsid w:val="004D7C59"/>
    <w:rsid w:val="004E0137"/>
    <w:rsid w:val="004E02E5"/>
    <w:rsid w:val="004E15D4"/>
    <w:rsid w:val="004E16F7"/>
    <w:rsid w:val="004E2127"/>
    <w:rsid w:val="004E296C"/>
    <w:rsid w:val="004E2AE2"/>
    <w:rsid w:val="004E33F3"/>
    <w:rsid w:val="004E3597"/>
    <w:rsid w:val="004E3A28"/>
    <w:rsid w:val="004E3C34"/>
    <w:rsid w:val="004E3CE1"/>
    <w:rsid w:val="004E3FF1"/>
    <w:rsid w:val="004E41E2"/>
    <w:rsid w:val="004E55B7"/>
    <w:rsid w:val="004E56D9"/>
    <w:rsid w:val="004E5DCB"/>
    <w:rsid w:val="004E637C"/>
    <w:rsid w:val="004E662F"/>
    <w:rsid w:val="004E725F"/>
    <w:rsid w:val="004E75BB"/>
    <w:rsid w:val="004E790B"/>
    <w:rsid w:val="004E798E"/>
    <w:rsid w:val="004E7D1F"/>
    <w:rsid w:val="004F0307"/>
    <w:rsid w:val="004F057A"/>
    <w:rsid w:val="004F0C75"/>
    <w:rsid w:val="004F1517"/>
    <w:rsid w:val="004F1523"/>
    <w:rsid w:val="004F1EF0"/>
    <w:rsid w:val="004F2892"/>
    <w:rsid w:val="004F29DC"/>
    <w:rsid w:val="004F362E"/>
    <w:rsid w:val="004F3ECB"/>
    <w:rsid w:val="004F45A5"/>
    <w:rsid w:val="004F49AE"/>
    <w:rsid w:val="004F4D44"/>
    <w:rsid w:val="004F6534"/>
    <w:rsid w:val="004F6880"/>
    <w:rsid w:val="004F6EB3"/>
    <w:rsid w:val="004F6FCA"/>
    <w:rsid w:val="004F7453"/>
    <w:rsid w:val="004F78BC"/>
    <w:rsid w:val="005005A1"/>
    <w:rsid w:val="00501299"/>
    <w:rsid w:val="0050150A"/>
    <w:rsid w:val="005017CC"/>
    <w:rsid w:val="00501BFD"/>
    <w:rsid w:val="005027F1"/>
    <w:rsid w:val="00502B48"/>
    <w:rsid w:val="00503DD2"/>
    <w:rsid w:val="005048DA"/>
    <w:rsid w:val="00504C15"/>
    <w:rsid w:val="00505537"/>
    <w:rsid w:val="00506C1E"/>
    <w:rsid w:val="00506CCD"/>
    <w:rsid w:val="0050717B"/>
    <w:rsid w:val="00507647"/>
    <w:rsid w:val="0051007E"/>
    <w:rsid w:val="00510BB6"/>
    <w:rsid w:val="00511D79"/>
    <w:rsid w:val="00512B4C"/>
    <w:rsid w:val="0051432D"/>
    <w:rsid w:val="005154AD"/>
    <w:rsid w:val="00515628"/>
    <w:rsid w:val="00515BE6"/>
    <w:rsid w:val="005160F6"/>
    <w:rsid w:val="00516D87"/>
    <w:rsid w:val="005173B6"/>
    <w:rsid w:val="00520280"/>
    <w:rsid w:val="00520497"/>
    <w:rsid w:val="00520520"/>
    <w:rsid w:val="00520CEA"/>
    <w:rsid w:val="005213D0"/>
    <w:rsid w:val="00521423"/>
    <w:rsid w:val="005229B8"/>
    <w:rsid w:val="00523135"/>
    <w:rsid w:val="0052318E"/>
    <w:rsid w:val="00523C54"/>
    <w:rsid w:val="00524020"/>
    <w:rsid w:val="0052466B"/>
    <w:rsid w:val="005248DE"/>
    <w:rsid w:val="00525D3A"/>
    <w:rsid w:val="005262E7"/>
    <w:rsid w:val="00526A26"/>
    <w:rsid w:val="0053207B"/>
    <w:rsid w:val="00532381"/>
    <w:rsid w:val="005323FA"/>
    <w:rsid w:val="0053380D"/>
    <w:rsid w:val="00533837"/>
    <w:rsid w:val="005342AD"/>
    <w:rsid w:val="00534688"/>
    <w:rsid w:val="00534A8F"/>
    <w:rsid w:val="00535A75"/>
    <w:rsid w:val="0053617F"/>
    <w:rsid w:val="0053654A"/>
    <w:rsid w:val="00536689"/>
    <w:rsid w:val="00536855"/>
    <w:rsid w:val="00536872"/>
    <w:rsid w:val="00536D50"/>
    <w:rsid w:val="00536D89"/>
    <w:rsid w:val="00536F4A"/>
    <w:rsid w:val="00537C9C"/>
    <w:rsid w:val="0054163B"/>
    <w:rsid w:val="00541E60"/>
    <w:rsid w:val="00542B31"/>
    <w:rsid w:val="00545239"/>
    <w:rsid w:val="005454E5"/>
    <w:rsid w:val="00547244"/>
    <w:rsid w:val="0055098D"/>
    <w:rsid w:val="00550B24"/>
    <w:rsid w:val="00550FD2"/>
    <w:rsid w:val="005513B4"/>
    <w:rsid w:val="00552031"/>
    <w:rsid w:val="005528E7"/>
    <w:rsid w:val="00553018"/>
    <w:rsid w:val="0055382B"/>
    <w:rsid w:val="0055412E"/>
    <w:rsid w:val="0055419D"/>
    <w:rsid w:val="00554866"/>
    <w:rsid w:val="0055491D"/>
    <w:rsid w:val="00554B9E"/>
    <w:rsid w:val="0055583F"/>
    <w:rsid w:val="00555B53"/>
    <w:rsid w:val="00557ED9"/>
    <w:rsid w:val="005601C1"/>
    <w:rsid w:val="005603EF"/>
    <w:rsid w:val="00560A56"/>
    <w:rsid w:val="00560B40"/>
    <w:rsid w:val="00560CD8"/>
    <w:rsid w:val="005611CE"/>
    <w:rsid w:val="00561575"/>
    <w:rsid w:val="0056201F"/>
    <w:rsid w:val="005627B1"/>
    <w:rsid w:val="005631C0"/>
    <w:rsid w:val="0056408D"/>
    <w:rsid w:val="005651D0"/>
    <w:rsid w:val="00565220"/>
    <w:rsid w:val="00565370"/>
    <w:rsid w:val="00565470"/>
    <w:rsid w:val="0056586E"/>
    <w:rsid w:val="005658E3"/>
    <w:rsid w:val="00566941"/>
    <w:rsid w:val="00566DB4"/>
    <w:rsid w:val="005670F9"/>
    <w:rsid w:val="005672F2"/>
    <w:rsid w:val="005678DE"/>
    <w:rsid w:val="0056793E"/>
    <w:rsid w:val="00567C83"/>
    <w:rsid w:val="005700B8"/>
    <w:rsid w:val="0057024B"/>
    <w:rsid w:val="00570292"/>
    <w:rsid w:val="0057092B"/>
    <w:rsid w:val="0057110F"/>
    <w:rsid w:val="00571B2A"/>
    <w:rsid w:val="00571FC5"/>
    <w:rsid w:val="00572145"/>
    <w:rsid w:val="00572CE9"/>
    <w:rsid w:val="00573A2D"/>
    <w:rsid w:val="005749DA"/>
    <w:rsid w:val="0057769E"/>
    <w:rsid w:val="005805B7"/>
    <w:rsid w:val="00580751"/>
    <w:rsid w:val="005812C5"/>
    <w:rsid w:val="00581990"/>
    <w:rsid w:val="0058223C"/>
    <w:rsid w:val="0058260F"/>
    <w:rsid w:val="00583EF1"/>
    <w:rsid w:val="005865CB"/>
    <w:rsid w:val="00586784"/>
    <w:rsid w:val="00586C4A"/>
    <w:rsid w:val="005871CB"/>
    <w:rsid w:val="00587424"/>
    <w:rsid w:val="005878DB"/>
    <w:rsid w:val="00587E29"/>
    <w:rsid w:val="00590967"/>
    <w:rsid w:val="005927A5"/>
    <w:rsid w:val="005936F6"/>
    <w:rsid w:val="00593785"/>
    <w:rsid w:val="005938A2"/>
    <w:rsid w:val="005940FD"/>
    <w:rsid w:val="00595AA4"/>
    <w:rsid w:val="00595B4C"/>
    <w:rsid w:val="0059666A"/>
    <w:rsid w:val="00596851"/>
    <w:rsid w:val="00597444"/>
    <w:rsid w:val="005A00B5"/>
    <w:rsid w:val="005A08EF"/>
    <w:rsid w:val="005A0AC7"/>
    <w:rsid w:val="005A0E6F"/>
    <w:rsid w:val="005A1051"/>
    <w:rsid w:val="005A16C7"/>
    <w:rsid w:val="005A299D"/>
    <w:rsid w:val="005A3906"/>
    <w:rsid w:val="005A3AC4"/>
    <w:rsid w:val="005A4B7F"/>
    <w:rsid w:val="005A5AC3"/>
    <w:rsid w:val="005A5B4C"/>
    <w:rsid w:val="005A5BE3"/>
    <w:rsid w:val="005A691E"/>
    <w:rsid w:val="005A6A43"/>
    <w:rsid w:val="005A6F87"/>
    <w:rsid w:val="005A70AD"/>
    <w:rsid w:val="005A797A"/>
    <w:rsid w:val="005B0BD6"/>
    <w:rsid w:val="005B13FA"/>
    <w:rsid w:val="005B197A"/>
    <w:rsid w:val="005B201E"/>
    <w:rsid w:val="005B23DC"/>
    <w:rsid w:val="005B2ADA"/>
    <w:rsid w:val="005B321C"/>
    <w:rsid w:val="005B35AB"/>
    <w:rsid w:val="005B37F7"/>
    <w:rsid w:val="005B4362"/>
    <w:rsid w:val="005B535B"/>
    <w:rsid w:val="005B59CB"/>
    <w:rsid w:val="005B5DAB"/>
    <w:rsid w:val="005B6794"/>
    <w:rsid w:val="005B6827"/>
    <w:rsid w:val="005B775D"/>
    <w:rsid w:val="005B790D"/>
    <w:rsid w:val="005C0C8C"/>
    <w:rsid w:val="005C1213"/>
    <w:rsid w:val="005C1661"/>
    <w:rsid w:val="005C17AA"/>
    <w:rsid w:val="005C27A6"/>
    <w:rsid w:val="005C3507"/>
    <w:rsid w:val="005C373C"/>
    <w:rsid w:val="005C3DFA"/>
    <w:rsid w:val="005C4574"/>
    <w:rsid w:val="005C4AFE"/>
    <w:rsid w:val="005C5AC6"/>
    <w:rsid w:val="005C5F92"/>
    <w:rsid w:val="005C684D"/>
    <w:rsid w:val="005C6997"/>
    <w:rsid w:val="005C7210"/>
    <w:rsid w:val="005C784C"/>
    <w:rsid w:val="005C79C9"/>
    <w:rsid w:val="005C7AFE"/>
    <w:rsid w:val="005D02BA"/>
    <w:rsid w:val="005D0A54"/>
    <w:rsid w:val="005D0B56"/>
    <w:rsid w:val="005D10E6"/>
    <w:rsid w:val="005D1294"/>
    <w:rsid w:val="005D25F9"/>
    <w:rsid w:val="005D3885"/>
    <w:rsid w:val="005D3F38"/>
    <w:rsid w:val="005D500D"/>
    <w:rsid w:val="005D51FF"/>
    <w:rsid w:val="005D55D6"/>
    <w:rsid w:val="005D5CE7"/>
    <w:rsid w:val="005D6D4B"/>
    <w:rsid w:val="005D70FE"/>
    <w:rsid w:val="005E11B5"/>
    <w:rsid w:val="005E2AFF"/>
    <w:rsid w:val="005E2E57"/>
    <w:rsid w:val="005E3430"/>
    <w:rsid w:val="005E396E"/>
    <w:rsid w:val="005E477F"/>
    <w:rsid w:val="005E4D25"/>
    <w:rsid w:val="005E4DCC"/>
    <w:rsid w:val="005E5151"/>
    <w:rsid w:val="005E5BA1"/>
    <w:rsid w:val="005E5F08"/>
    <w:rsid w:val="005E658F"/>
    <w:rsid w:val="005E73BB"/>
    <w:rsid w:val="005E7885"/>
    <w:rsid w:val="005F0613"/>
    <w:rsid w:val="005F0850"/>
    <w:rsid w:val="005F0F9C"/>
    <w:rsid w:val="005F101C"/>
    <w:rsid w:val="005F12E1"/>
    <w:rsid w:val="005F1F1F"/>
    <w:rsid w:val="005F1F64"/>
    <w:rsid w:val="005F21AB"/>
    <w:rsid w:val="005F29AA"/>
    <w:rsid w:val="005F2E3B"/>
    <w:rsid w:val="005F38B1"/>
    <w:rsid w:val="005F3B90"/>
    <w:rsid w:val="005F3BC1"/>
    <w:rsid w:val="005F4276"/>
    <w:rsid w:val="005F4746"/>
    <w:rsid w:val="005F4C6B"/>
    <w:rsid w:val="005F4CCA"/>
    <w:rsid w:val="005F50F3"/>
    <w:rsid w:val="005F55C1"/>
    <w:rsid w:val="005F5C1E"/>
    <w:rsid w:val="005F5EAC"/>
    <w:rsid w:val="005F5FB6"/>
    <w:rsid w:val="005F61AE"/>
    <w:rsid w:val="005F6F92"/>
    <w:rsid w:val="005F7C3B"/>
    <w:rsid w:val="005F7E8D"/>
    <w:rsid w:val="00600398"/>
    <w:rsid w:val="00600DCD"/>
    <w:rsid w:val="0060129B"/>
    <w:rsid w:val="006017EB"/>
    <w:rsid w:val="006020AC"/>
    <w:rsid w:val="006026C2"/>
    <w:rsid w:val="00602E24"/>
    <w:rsid w:val="00602E6A"/>
    <w:rsid w:val="006046C8"/>
    <w:rsid w:val="00604E35"/>
    <w:rsid w:val="0060528E"/>
    <w:rsid w:val="006072E7"/>
    <w:rsid w:val="0061131E"/>
    <w:rsid w:val="00611B2A"/>
    <w:rsid w:val="006122AE"/>
    <w:rsid w:val="006130AE"/>
    <w:rsid w:val="00613CB7"/>
    <w:rsid w:val="00613E1F"/>
    <w:rsid w:val="0061448D"/>
    <w:rsid w:val="00614C4F"/>
    <w:rsid w:val="00614DC7"/>
    <w:rsid w:val="00615AA2"/>
    <w:rsid w:val="00616395"/>
    <w:rsid w:val="0062044E"/>
    <w:rsid w:val="00620606"/>
    <w:rsid w:val="00620639"/>
    <w:rsid w:val="00620EE7"/>
    <w:rsid w:val="00621018"/>
    <w:rsid w:val="0062169F"/>
    <w:rsid w:val="00621D10"/>
    <w:rsid w:val="00623A30"/>
    <w:rsid w:val="00623DA7"/>
    <w:rsid w:val="006248E6"/>
    <w:rsid w:val="00624EC6"/>
    <w:rsid w:val="0062534F"/>
    <w:rsid w:val="0062625A"/>
    <w:rsid w:val="00626E73"/>
    <w:rsid w:val="006270FF"/>
    <w:rsid w:val="006279E4"/>
    <w:rsid w:val="00627E13"/>
    <w:rsid w:val="00630222"/>
    <w:rsid w:val="00630459"/>
    <w:rsid w:val="00630F6F"/>
    <w:rsid w:val="00631505"/>
    <w:rsid w:val="00632245"/>
    <w:rsid w:val="0063225C"/>
    <w:rsid w:val="00632301"/>
    <w:rsid w:val="006327BB"/>
    <w:rsid w:val="006335EF"/>
    <w:rsid w:val="006348C2"/>
    <w:rsid w:val="00634A4C"/>
    <w:rsid w:val="00634DE6"/>
    <w:rsid w:val="006372BF"/>
    <w:rsid w:val="00637322"/>
    <w:rsid w:val="00637434"/>
    <w:rsid w:val="0063785D"/>
    <w:rsid w:val="0064076F"/>
    <w:rsid w:val="00640A1C"/>
    <w:rsid w:val="00640CA8"/>
    <w:rsid w:val="006418E5"/>
    <w:rsid w:val="006421EA"/>
    <w:rsid w:val="00642772"/>
    <w:rsid w:val="00642ED3"/>
    <w:rsid w:val="006439AE"/>
    <w:rsid w:val="006446BC"/>
    <w:rsid w:val="0064578A"/>
    <w:rsid w:val="00645953"/>
    <w:rsid w:val="00646614"/>
    <w:rsid w:val="00646BC6"/>
    <w:rsid w:val="00646D03"/>
    <w:rsid w:val="00651109"/>
    <w:rsid w:val="006517A0"/>
    <w:rsid w:val="00651A1C"/>
    <w:rsid w:val="0065304D"/>
    <w:rsid w:val="00653283"/>
    <w:rsid w:val="006536AF"/>
    <w:rsid w:val="00654230"/>
    <w:rsid w:val="00655371"/>
    <w:rsid w:val="00655DFD"/>
    <w:rsid w:val="006562D8"/>
    <w:rsid w:val="006568A3"/>
    <w:rsid w:val="00656B88"/>
    <w:rsid w:val="00657332"/>
    <w:rsid w:val="00657A01"/>
    <w:rsid w:val="00657C33"/>
    <w:rsid w:val="006605F9"/>
    <w:rsid w:val="00660999"/>
    <w:rsid w:val="00661E42"/>
    <w:rsid w:val="006620E0"/>
    <w:rsid w:val="00664805"/>
    <w:rsid w:val="00664B10"/>
    <w:rsid w:val="00664E88"/>
    <w:rsid w:val="006650D3"/>
    <w:rsid w:val="006653B3"/>
    <w:rsid w:val="006654A9"/>
    <w:rsid w:val="00665A41"/>
    <w:rsid w:val="006667E1"/>
    <w:rsid w:val="00670317"/>
    <w:rsid w:val="006707F6"/>
    <w:rsid w:val="0067093E"/>
    <w:rsid w:val="006713AB"/>
    <w:rsid w:val="00671976"/>
    <w:rsid w:val="00672890"/>
    <w:rsid w:val="00672B19"/>
    <w:rsid w:val="0067455D"/>
    <w:rsid w:val="0067474A"/>
    <w:rsid w:val="00674A59"/>
    <w:rsid w:val="00675260"/>
    <w:rsid w:val="006761E3"/>
    <w:rsid w:val="0067646D"/>
    <w:rsid w:val="0067650E"/>
    <w:rsid w:val="00676E14"/>
    <w:rsid w:val="00676F2E"/>
    <w:rsid w:val="00677896"/>
    <w:rsid w:val="00677AAE"/>
    <w:rsid w:val="00677ABE"/>
    <w:rsid w:val="00677DB8"/>
    <w:rsid w:val="00680FCC"/>
    <w:rsid w:val="006811FF"/>
    <w:rsid w:val="00681B16"/>
    <w:rsid w:val="00682287"/>
    <w:rsid w:val="006822B5"/>
    <w:rsid w:val="0068317C"/>
    <w:rsid w:val="006832D6"/>
    <w:rsid w:val="00683CE9"/>
    <w:rsid w:val="006845A4"/>
    <w:rsid w:val="00684DB1"/>
    <w:rsid w:val="006872CF"/>
    <w:rsid w:val="0069127B"/>
    <w:rsid w:val="006914EA"/>
    <w:rsid w:val="00691B91"/>
    <w:rsid w:val="006928AC"/>
    <w:rsid w:val="00692BB2"/>
    <w:rsid w:val="00692BFF"/>
    <w:rsid w:val="00693091"/>
    <w:rsid w:val="006948AC"/>
    <w:rsid w:val="00694D39"/>
    <w:rsid w:val="006953CA"/>
    <w:rsid w:val="006954EC"/>
    <w:rsid w:val="006955A9"/>
    <w:rsid w:val="006959D6"/>
    <w:rsid w:val="00695EC8"/>
    <w:rsid w:val="00696909"/>
    <w:rsid w:val="00697114"/>
    <w:rsid w:val="00697BC6"/>
    <w:rsid w:val="006A1B84"/>
    <w:rsid w:val="006A1FEF"/>
    <w:rsid w:val="006A27C2"/>
    <w:rsid w:val="006A2EBD"/>
    <w:rsid w:val="006A3009"/>
    <w:rsid w:val="006A3E7B"/>
    <w:rsid w:val="006A4D9B"/>
    <w:rsid w:val="006A5155"/>
    <w:rsid w:val="006A54E2"/>
    <w:rsid w:val="006A6950"/>
    <w:rsid w:val="006A7210"/>
    <w:rsid w:val="006A757D"/>
    <w:rsid w:val="006A7B32"/>
    <w:rsid w:val="006B002A"/>
    <w:rsid w:val="006B130C"/>
    <w:rsid w:val="006B308F"/>
    <w:rsid w:val="006B32C8"/>
    <w:rsid w:val="006B3A46"/>
    <w:rsid w:val="006B5301"/>
    <w:rsid w:val="006B698B"/>
    <w:rsid w:val="006B7C2C"/>
    <w:rsid w:val="006C1A19"/>
    <w:rsid w:val="006C221E"/>
    <w:rsid w:val="006C34B4"/>
    <w:rsid w:val="006C376B"/>
    <w:rsid w:val="006C4319"/>
    <w:rsid w:val="006C440B"/>
    <w:rsid w:val="006C453C"/>
    <w:rsid w:val="006C45C7"/>
    <w:rsid w:val="006C4BC0"/>
    <w:rsid w:val="006C50E7"/>
    <w:rsid w:val="006C5C73"/>
    <w:rsid w:val="006C5DC3"/>
    <w:rsid w:val="006C616B"/>
    <w:rsid w:val="006C63FB"/>
    <w:rsid w:val="006C6A46"/>
    <w:rsid w:val="006C6D72"/>
    <w:rsid w:val="006C7447"/>
    <w:rsid w:val="006C7ACB"/>
    <w:rsid w:val="006D0115"/>
    <w:rsid w:val="006D03DF"/>
    <w:rsid w:val="006D12E3"/>
    <w:rsid w:val="006D1327"/>
    <w:rsid w:val="006D1F03"/>
    <w:rsid w:val="006D2971"/>
    <w:rsid w:val="006D4A4A"/>
    <w:rsid w:val="006D4ADB"/>
    <w:rsid w:val="006D4D36"/>
    <w:rsid w:val="006D6E79"/>
    <w:rsid w:val="006D7DC0"/>
    <w:rsid w:val="006D7DEA"/>
    <w:rsid w:val="006E017B"/>
    <w:rsid w:val="006E06A9"/>
    <w:rsid w:val="006E0888"/>
    <w:rsid w:val="006E097F"/>
    <w:rsid w:val="006E0E4A"/>
    <w:rsid w:val="006E1778"/>
    <w:rsid w:val="006E1795"/>
    <w:rsid w:val="006E17B0"/>
    <w:rsid w:val="006E1A8C"/>
    <w:rsid w:val="006E1C39"/>
    <w:rsid w:val="006E1E63"/>
    <w:rsid w:val="006E2595"/>
    <w:rsid w:val="006E2694"/>
    <w:rsid w:val="006E2A1F"/>
    <w:rsid w:val="006E2A78"/>
    <w:rsid w:val="006E4ED0"/>
    <w:rsid w:val="006E53A0"/>
    <w:rsid w:val="006E5500"/>
    <w:rsid w:val="006E58AF"/>
    <w:rsid w:val="006E5D0E"/>
    <w:rsid w:val="006E608C"/>
    <w:rsid w:val="006E6261"/>
    <w:rsid w:val="006E6540"/>
    <w:rsid w:val="006E65F8"/>
    <w:rsid w:val="006E6843"/>
    <w:rsid w:val="006E6AC7"/>
    <w:rsid w:val="006E6B4F"/>
    <w:rsid w:val="006E6DD4"/>
    <w:rsid w:val="006E7651"/>
    <w:rsid w:val="006E7C40"/>
    <w:rsid w:val="006E7F60"/>
    <w:rsid w:val="006F0181"/>
    <w:rsid w:val="006F03E3"/>
    <w:rsid w:val="006F0660"/>
    <w:rsid w:val="006F0A1F"/>
    <w:rsid w:val="006F0EA8"/>
    <w:rsid w:val="006F0F5F"/>
    <w:rsid w:val="006F150D"/>
    <w:rsid w:val="006F1654"/>
    <w:rsid w:val="006F222F"/>
    <w:rsid w:val="006F26F3"/>
    <w:rsid w:val="006F2CF3"/>
    <w:rsid w:val="006F3059"/>
    <w:rsid w:val="006F3A64"/>
    <w:rsid w:val="006F5987"/>
    <w:rsid w:val="006F5F1A"/>
    <w:rsid w:val="006F6C67"/>
    <w:rsid w:val="006F6EB9"/>
    <w:rsid w:val="006F7078"/>
    <w:rsid w:val="00700222"/>
    <w:rsid w:val="0070040B"/>
    <w:rsid w:val="007008C7"/>
    <w:rsid w:val="007008D0"/>
    <w:rsid w:val="00701188"/>
    <w:rsid w:val="0070137E"/>
    <w:rsid w:val="0070287D"/>
    <w:rsid w:val="00702DB9"/>
    <w:rsid w:val="00702E2E"/>
    <w:rsid w:val="00703F39"/>
    <w:rsid w:val="00704B8B"/>
    <w:rsid w:val="00705942"/>
    <w:rsid w:val="00705AB2"/>
    <w:rsid w:val="0070619A"/>
    <w:rsid w:val="0070678A"/>
    <w:rsid w:val="00707173"/>
    <w:rsid w:val="00707607"/>
    <w:rsid w:val="0071055F"/>
    <w:rsid w:val="0071095F"/>
    <w:rsid w:val="007118EB"/>
    <w:rsid w:val="00712C57"/>
    <w:rsid w:val="007136CC"/>
    <w:rsid w:val="00713902"/>
    <w:rsid w:val="00713B9A"/>
    <w:rsid w:val="00714281"/>
    <w:rsid w:val="00714BEF"/>
    <w:rsid w:val="007157C8"/>
    <w:rsid w:val="007161CE"/>
    <w:rsid w:val="00716B38"/>
    <w:rsid w:val="00717EE2"/>
    <w:rsid w:val="0072159A"/>
    <w:rsid w:val="00721BEF"/>
    <w:rsid w:val="00722055"/>
    <w:rsid w:val="007228F2"/>
    <w:rsid w:val="00722C23"/>
    <w:rsid w:val="007246ED"/>
    <w:rsid w:val="00725A8D"/>
    <w:rsid w:val="00727851"/>
    <w:rsid w:val="00727B18"/>
    <w:rsid w:val="00727D5D"/>
    <w:rsid w:val="00727FA5"/>
    <w:rsid w:val="007314A9"/>
    <w:rsid w:val="007318E5"/>
    <w:rsid w:val="00732369"/>
    <w:rsid w:val="00732EA3"/>
    <w:rsid w:val="00733157"/>
    <w:rsid w:val="007333F4"/>
    <w:rsid w:val="00733EE3"/>
    <w:rsid w:val="00733F89"/>
    <w:rsid w:val="00734A03"/>
    <w:rsid w:val="007350F7"/>
    <w:rsid w:val="007372F4"/>
    <w:rsid w:val="00737FDC"/>
    <w:rsid w:val="007400AC"/>
    <w:rsid w:val="0074036B"/>
    <w:rsid w:val="007406F0"/>
    <w:rsid w:val="0074189A"/>
    <w:rsid w:val="00741BAA"/>
    <w:rsid w:val="00741E2A"/>
    <w:rsid w:val="007421DB"/>
    <w:rsid w:val="0074274E"/>
    <w:rsid w:val="00744BA5"/>
    <w:rsid w:val="00744E09"/>
    <w:rsid w:val="00745567"/>
    <w:rsid w:val="00745D02"/>
    <w:rsid w:val="00745F54"/>
    <w:rsid w:val="007461D4"/>
    <w:rsid w:val="007463A4"/>
    <w:rsid w:val="00746C32"/>
    <w:rsid w:val="00747802"/>
    <w:rsid w:val="00747E9F"/>
    <w:rsid w:val="00747F86"/>
    <w:rsid w:val="00750184"/>
    <w:rsid w:val="007520CE"/>
    <w:rsid w:val="00752414"/>
    <w:rsid w:val="00752573"/>
    <w:rsid w:val="007548EC"/>
    <w:rsid w:val="00754B63"/>
    <w:rsid w:val="00756180"/>
    <w:rsid w:val="00756636"/>
    <w:rsid w:val="007566F3"/>
    <w:rsid w:val="00756BC6"/>
    <w:rsid w:val="00756F23"/>
    <w:rsid w:val="00760777"/>
    <w:rsid w:val="00762B3F"/>
    <w:rsid w:val="00762B7E"/>
    <w:rsid w:val="007637A9"/>
    <w:rsid w:val="00763B8B"/>
    <w:rsid w:val="0076417B"/>
    <w:rsid w:val="00764C92"/>
    <w:rsid w:val="007651DB"/>
    <w:rsid w:val="0076552A"/>
    <w:rsid w:val="00765ED1"/>
    <w:rsid w:val="007674EC"/>
    <w:rsid w:val="00770158"/>
    <w:rsid w:val="00770B56"/>
    <w:rsid w:val="00770EC4"/>
    <w:rsid w:val="007710A5"/>
    <w:rsid w:val="00771615"/>
    <w:rsid w:val="007717BF"/>
    <w:rsid w:val="0077225D"/>
    <w:rsid w:val="00772E28"/>
    <w:rsid w:val="007734C9"/>
    <w:rsid w:val="007736D0"/>
    <w:rsid w:val="007737B8"/>
    <w:rsid w:val="0077463A"/>
    <w:rsid w:val="00776341"/>
    <w:rsid w:val="00776BC9"/>
    <w:rsid w:val="00777325"/>
    <w:rsid w:val="0077753D"/>
    <w:rsid w:val="0077786E"/>
    <w:rsid w:val="00777E53"/>
    <w:rsid w:val="007801E4"/>
    <w:rsid w:val="00780A67"/>
    <w:rsid w:val="00780A9A"/>
    <w:rsid w:val="00780AC7"/>
    <w:rsid w:val="00780AE8"/>
    <w:rsid w:val="00781105"/>
    <w:rsid w:val="007816AC"/>
    <w:rsid w:val="007823ED"/>
    <w:rsid w:val="007839AA"/>
    <w:rsid w:val="00783C5E"/>
    <w:rsid w:val="00784784"/>
    <w:rsid w:val="0078491B"/>
    <w:rsid w:val="00784D14"/>
    <w:rsid w:val="00784F1D"/>
    <w:rsid w:val="00787636"/>
    <w:rsid w:val="007906B4"/>
    <w:rsid w:val="00790975"/>
    <w:rsid w:val="007916AA"/>
    <w:rsid w:val="007919DB"/>
    <w:rsid w:val="00791A91"/>
    <w:rsid w:val="007929EE"/>
    <w:rsid w:val="00792E68"/>
    <w:rsid w:val="007930CD"/>
    <w:rsid w:val="00794302"/>
    <w:rsid w:val="0079532A"/>
    <w:rsid w:val="007957DD"/>
    <w:rsid w:val="00795D00"/>
    <w:rsid w:val="0079678C"/>
    <w:rsid w:val="007972C6"/>
    <w:rsid w:val="00797A09"/>
    <w:rsid w:val="00797CE7"/>
    <w:rsid w:val="007A0950"/>
    <w:rsid w:val="007A2429"/>
    <w:rsid w:val="007A27C4"/>
    <w:rsid w:val="007A34D9"/>
    <w:rsid w:val="007A3771"/>
    <w:rsid w:val="007A39B7"/>
    <w:rsid w:val="007A3A5D"/>
    <w:rsid w:val="007A41EC"/>
    <w:rsid w:val="007A5446"/>
    <w:rsid w:val="007A5863"/>
    <w:rsid w:val="007A5F29"/>
    <w:rsid w:val="007A6883"/>
    <w:rsid w:val="007A6D85"/>
    <w:rsid w:val="007A6E92"/>
    <w:rsid w:val="007A7F00"/>
    <w:rsid w:val="007B1015"/>
    <w:rsid w:val="007B1A5C"/>
    <w:rsid w:val="007B1F05"/>
    <w:rsid w:val="007B3AB0"/>
    <w:rsid w:val="007B433E"/>
    <w:rsid w:val="007B4961"/>
    <w:rsid w:val="007B4AB9"/>
    <w:rsid w:val="007B5BF6"/>
    <w:rsid w:val="007B5C2D"/>
    <w:rsid w:val="007B7058"/>
    <w:rsid w:val="007B709A"/>
    <w:rsid w:val="007B74E0"/>
    <w:rsid w:val="007B785D"/>
    <w:rsid w:val="007C164A"/>
    <w:rsid w:val="007C236F"/>
    <w:rsid w:val="007C24AA"/>
    <w:rsid w:val="007C2738"/>
    <w:rsid w:val="007C2746"/>
    <w:rsid w:val="007C2BCF"/>
    <w:rsid w:val="007C3645"/>
    <w:rsid w:val="007C429E"/>
    <w:rsid w:val="007C445E"/>
    <w:rsid w:val="007C4B10"/>
    <w:rsid w:val="007C56A9"/>
    <w:rsid w:val="007C5785"/>
    <w:rsid w:val="007C627E"/>
    <w:rsid w:val="007C6C74"/>
    <w:rsid w:val="007D0A66"/>
    <w:rsid w:val="007D2842"/>
    <w:rsid w:val="007D3061"/>
    <w:rsid w:val="007D376D"/>
    <w:rsid w:val="007D3BA1"/>
    <w:rsid w:val="007D401F"/>
    <w:rsid w:val="007D4F2C"/>
    <w:rsid w:val="007D5151"/>
    <w:rsid w:val="007D6F47"/>
    <w:rsid w:val="007D7383"/>
    <w:rsid w:val="007D7E2A"/>
    <w:rsid w:val="007E00C8"/>
    <w:rsid w:val="007E1113"/>
    <w:rsid w:val="007E1347"/>
    <w:rsid w:val="007E155F"/>
    <w:rsid w:val="007E1BDD"/>
    <w:rsid w:val="007E1CEA"/>
    <w:rsid w:val="007E20BA"/>
    <w:rsid w:val="007E28AC"/>
    <w:rsid w:val="007E2928"/>
    <w:rsid w:val="007E2C07"/>
    <w:rsid w:val="007E3151"/>
    <w:rsid w:val="007E3350"/>
    <w:rsid w:val="007E3ABE"/>
    <w:rsid w:val="007E455D"/>
    <w:rsid w:val="007E467A"/>
    <w:rsid w:val="007E4CB1"/>
    <w:rsid w:val="007E51A5"/>
    <w:rsid w:val="007E5E3C"/>
    <w:rsid w:val="007E65BE"/>
    <w:rsid w:val="007E69AB"/>
    <w:rsid w:val="007F042F"/>
    <w:rsid w:val="007F0A0A"/>
    <w:rsid w:val="007F1727"/>
    <w:rsid w:val="007F1E8C"/>
    <w:rsid w:val="007F248C"/>
    <w:rsid w:val="007F3C2C"/>
    <w:rsid w:val="007F441B"/>
    <w:rsid w:val="007F5555"/>
    <w:rsid w:val="007F5AD1"/>
    <w:rsid w:val="007F6A57"/>
    <w:rsid w:val="007F6BBF"/>
    <w:rsid w:val="007F6EAA"/>
    <w:rsid w:val="007F782D"/>
    <w:rsid w:val="00800575"/>
    <w:rsid w:val="00801CCA"/>
    <w:rsid w:val="00802783"/>
    <w:rsid w:val="0080290B"/>
    <w:rsid w:val="0080417F"/>
    <w:rsid w:val="008043A1"/>
    <w:rsid w:val="008045E4"/>
    <w:rsid w:val="008051C9"/>
    <w:rsid w:val="00806D25"/>
    <w:rsid w:val="008110DA"/>
    <w:rsid w:val="0081135B"/>
    <w:rsid w:val="00811AA7"/>
    <w:rsid w:val="00811DAF"/>
    <w:rsid w:val="0081210A"/>
    <w:rsid w:val="0081304C"/>
    <w:rsid w:val="00813373"/>
    <w:rsid w:val="0081353E"/>
    <w:rsid w:val="0081363A"/>
    <w:rsid w:val="00814CE6"/>
    <w:rsid w:val="0081696A"/>
    <w:rsid w:val="00816EBB"/>
    <w:rsid w:val="00817642"/>
    <w:rsid w:val="00821D78"/>
    <w:rsid w:val="0082313D"/>
    <w:rsid w:val="00823153"/>
    <w:rsid w:val="008235A6"/>
    <w:rsid w:val="00823E72"/>
    <w:rsid w:val="00824186"/>
    <w:rsid w:val="008248CE"/>
    <w:rsid w:val="00824C2F"/>
    <w:rsid w:val="00826265"/>
    <w:rsid w:val="00826288"/>
    <w:rsid w:val="00826980"/>
    <w:rsid w:val="00826AD7"/>
    <w:rsid w:val="008277D5"/>
    <w:rsid w:val="008301CA"/>
    <w:rsid w:val="008303D2"/>
    <w:rsid w:val="008313D1"/>
    <w:rsid w:val="008325BF"/>
    <w:rsid w:val="00832658"/>
    <w:rsid w:val="00832E14"/>
    <w:rsid w:val="00833150"/>
    <w:rsid w:val="00834231"/>
    <w:rsid w:val="008344B3"/>
    <w:rsid w:val="00834CEE"/>
    <w:rsid w:val="00834EA0"/>
    <w:rsid w:val="00836163"/>
    <w:rsid w:val="008368E9"/>
    <w:rsid w:val="008369C3"/>
    <w:rsid w:val="00837134"/>
    <w:rsid w:val="0083735B"/>
    <w:rsid w:val="008377B6"/>
    <w:rsid w:val="0083787C"/>
    <w:rsid w:val="008378CA"/>
    <w:rsid w:val="00840131"/>
    <w:rsid w:val="008403BF"/>
    <w:rsid w:val="00840A7D"/>
    <w:rsid w:val="00841D48"/>
    <w:rsid w:val="0084355E"/>
    <w:rsid w:val="00844042"/>
    <w:rsid w:val="0084528D"/>
    <w:rsid w:val="00845C10"/>
    <w:rsid w:val="008464F6"/>
    <w:rsid w:val="00846FC6"/>
    <w:rsid w:val="0084736E"/>
    <w:rsid w:val="00847BDD"/>
    <w:rsid w:val="00850C01"/>
    <w:rsid w:val="00851BBA"/>
    <w:rsid w:val="0085254F"/>
    <w:rsid w:val="00852DE2"/>
    <w:rsid w:val="008540D0"/>
    <w:rsid w:val="00854918"/>
    <w:rsid w:val="008553AA"/>
    <w:rsid w:val="00856DFA"/>
    <w:rsid w:val="00857B23"/>
    <w:rsid w:val="0086027E"/>
    <w:rsid w:val="008603B7"/>
    <w:rsid w:val="00861681"/>
    <w:rsid w:val="00861B04"/>
    <w:rsid w:val="00862432"/>
    <w:rsid w:val="00863552"/>
    <w:rsid w:val="00863A44"/>
    <w:rsid w:val="00864042"/>
    <w:rsid w:val="00864B06"/>
    <w:rsid w:val="00865BC3"/>
    <w:rsid w:val="0086628D"/>
    <w:rsid w:val="0086762E"/>
    <w:rsid w:val="00867691"/>
    <w:rsid w:val="00867E3B"/>
    <w:rsid w:val="00870161"/>
    <w:rsid w:val="00870708"/>
    <w:rsid w:val="008707B8"/>
    <w:rsid w:val="00871C82"/>
    <w:rsid w:val="00871DC4"/>
    <w:rsid w:val="008723AE"/>
    <w:rsid w:val="008726D6"/>
    <w:rsid w:val="008732ED"/>
    <w:rsid w:val="008733D7"/>
    <w:rsid w:val="008737F3"/>
    <w:rsid w:val="00873938"/>
    <w:rsid w:val="00873A79"/>
    <w:rsid w:val="00874A02"/>
    <w:rsid w:val="00874D4F"/>
    <w:rsid w:val="008755B8"/>
    <w:rsid w:val="00875AAC"/>
    <w:rsid w:val="00875D0E"/>
    <w:rsid w:val="00875EFD"/>
    <w:rsid w:val="00876641"/>
    <w:rsid w:val="008771EE"/>
    <w:rsid w:val="0087737B"/>
    <w:rsid w:val="00880E16"/>
    <w:rsid w:val="00880F2B"/>
    <w:rsid w:val="00881330"/>
    <w:rsid w:val="008817D2"/>
    <w:rsid w:val="00881C8C"/>
    <w:rsid w:val="00882464"/>
    <w:rsid w:val="00882833"/>
    <w:rsid w:val="00882FC1"/>
    <w:rsid w:val="00883CEE"/>
    <w:rsid w:val="00883D25"/>
    <w:rsid w:val="008842C2"/>
    <w:rsid w:val="00884A53"/>
    <w:rsid w:val="00884E17"/>
    <w:rsid w:val="0088507D"/>
    <w:rsid w:val="008853ED"/>
    <w:rsid w:val="0088545D"/>
    <w:rsid w:val="00885EAC"/>
    <w:rsid w:val="00885F21"/>
    <w:rsid w:val="008860D2"/>
    <w:rsid w:val="0088628D"/>
    <w:rsid w:val="008863A2"/>
    <w:rsid w:val="00887DF6"/>
    <w:rsid w:val="00890810"/>
    <w:rsid w:val="00890C62"/>
    <w:rsid w:val="00891E31"/>
    <w:rsid w:val="00892ADB"/>
    <w:rsid w:val="008933B8"/>
    <w:rsid w:val="0089360E"/>
    <w:rsid w:val="00893671"/>
    <w:rsid w:val="00893ACE"/>
    <w:rsid w:val="00893D30"/>
    <w:rsid w:val="00894B07"/>
    <w:rsid w:val="00894D05"/>
    <w:rsid w:val="0089507F"/>
    <w:rsid w:val="00896C03"/>
    <w:rsid w:val="00896EFD"/>
    <w:rsid w:val="00897F5D"/>
    <w:rsid w:val="008A01B8"/>
    <w:rsid w:val="008A0F38"/>
    <w:rsid w:val="008A1BF8"/>
    <w:rsid w:val="008A1E13"/>
    <w:rsid w:val="008A353B"/>
    <w:rsid w:val="008A54E7"/>
    <w:rsid w:val="008A55CE"/>
    <w:rsid w:val="008A5BDF"/>
    <w:rsid w:val="008A6BAF"/>
    <w:rsid w:val="008A6F28"/>
    <w:rsid w:val="008A7640"/>
    <w:rsid w:val="008A7E44"/>
    <w:rsid w:val="008B08A8"/>
    <w:rsid w:val="008B0934"/>
    <w:rsid w:val="008B09E4"/>
    <w:rsid w:val="008B10CB"/>
    <w:rsid w:val="008B17E9"/>
    <w:rsid w:val="008B1FA5"/>
    <w:rsid w:val="008B2BA3"/>
    <w:rsid w:val="008B3133"/>
    <w:rsid w:val="008B33AC"/>
    <w:rsid w:val="008B3900"/>
    <w:rsid w:val="008B3CB6"/>
    <w:rsid w:val="008B4B66"/>
    <w:rsid w:val="008B562D"/>
    <w:rsid w:val="008B643D"/>
    <w:rsid w:val="008B69BE"/>
    <w:rsid w:val="008B6CA7"/>
    <w:rsid w:val="008B7868"/>
    <w:rsid w:val="008B7DFC"/>
    <w:rsid w:val="008C021D"/>
    <w:rsid w:val="008C0654"/>
    <w:rsid w:val="008C0853"/>
    <w:rsid w:val="008C0948"/>
    <w:rsid w:val="008C2088"/>
    <w:rsid w:val="008C3975"/>
    <w:rsid w:val="008C47BA"/>
    <w:rsid w:val="008C5185"/>
    <w:rsid w:val="008C55CB"/>
    <w:rsid w:val="008C55EB"/>
    <w:rsid w:val="008C67E5"/>
    <w:rsid w:val="008C6C0B"/>
    <w:rsid w:val="008D0819"/>
    <w:rsid w:val="008D0859"/>
    <w:rsid w:val="008D0EF4"/>
    <w:rsid w:val="008D14CF"/>
    <w:rsid w:val="008D297A"/>
    <w:rsid w:val="008D2B08"/>
    <w:rsid w:val="008D35B1"/>
    <w:rsid w:val="008D39D3"/>
    <w:rsid w:val="008D4205"/>
    <w:rsid w:val="008D49C9"/>
    <w:rsid w:val="008D6020"/>
    <w:rsid w:val="008D63E9"/>
    <w:rsid w:val="008D6BBC"/>
    <w:rsid w:val="008D742C"/>
    <w:rsid w:val="008D7455"/>
    <w:rsid w:val="008D74D0"/>
    <w:rsid w:val="008D74EB"/>
    <w:rsid w:val="008D7BCB"/>
    <w:rsid w:val="008E0C42"/>
    <w:rsid w:val="008E15EA"/>
    <w:rsid w:val="008E1B5A"/>
    <w:rsid w:val="008E2F74"/>
    <w:rsid w:val="008E3532"/>
    <w:rsid w:val="008E3E3E"/>
    <w:rsid w:val="008E4681"/>
    <w:rsid w:val="008E4FC0"/>
    <w:rsid w:val="008E5216"/>
    <w:rsid w:val="008E68A7"/>
    <w:rsid w:val="008E728C"/>
    <w:rsid w:val="008E7327"/>
    <w:rsid w:val="008E78BF"/>
    <w:rsid w:val="008F03CC"/>
    <w:rsid w:val="008F066D"/>
    <w:rsid w:val="008F087E"/>
    <w:rsid w:val="008F189D"/>
    <w:rsid w:val="008F1B54"/>
    <w:rsid w:val="008F255D"/>
    <w:rsid w:val="008F2853"/>
    <w:rsid w:val="008F3209"/>
    <w:rsid w:val="008F3A03"/>
    <w:rsid w:val="008F3FDD"/>
    <w:rsid w:val="008F5F92"/>
    <w:rsid w:val="008F702F"/>
    <w:rsid w:val="008F70E1"/>
    <w:rsid w:val="008F735D"/>
    <w:rsid w:val="008F78C0"/>
    <w:rsid w:val="009012A5"/>
    <w:rsid w:val="00901A8A"/>
    <w:rsid w:val="0090208D"/>
    <w:rsid w:val="009024C4"/>
    <w:rsid w:val="00902603"/>
    <w:rsid w:val="0090316E"/>
    <w:rsid w:val="009032CC"/>
    <w:rsid w:val="0090353B"/>
    <w:rsid w:val="009040EB"/>
    <w:rsid w:val="009045E3"/>
    <w:rsid w:val="0090627F"/>
    <w:rsid w:val="0090766A"/>
    <w:rsid w:val="00907B64"/>
    <w:rsid w:val="009101A1"/>
    <w:rsid w:val="0091055F"/>
    <w:rsid w:val="009115D6"/>
    <w:rsid w:val="00911B31"/>
    <w:rsid w:val="00912148"/>
    <w:rsid w:val="00912AAC"/>
    <w:rsid w:val="00913442"/>
    <w:rsid w:val="00913C5A"/>
    <w:rsid w:val="00913CB2"/>
    <w:rsid w:val="00913E0F"/>
    <w:rsid w:val="00915D22"/>
    <w:rsid w:val="00915ECE"/>
    <w:rsid w:val="0091610D"/>
    <w:rsid w:val="009163AD"/>
    <w:rsid w:val="009166B8"/>
    <w:rsid w:val="00916EFB"/>
    <w:rsid w:val="00920771"/>
    <w:rsid w:val="009209BD"/>
    <w:rsid w:val="009212C2"/>
    <w:rsid w:val="00921361"/>
    <w:rsid w:val="0092191C"/>
    <w:rsid w:val="00922464"/>
    <w:rsid w:val="00923600"/>
    <w:rsid w:val="0092394D"/>
    <w:rsid w:val="009239BF"/>
    <w:rsid w:val="00923AC1"/>
    <w:rsid w:val="00923BAC"/>
    <w:rsid w:val="00923E7D"/>
    <w:rsid w:val="00925FA1"/>
    <w:rsid w:val="00926019"/>
    <w:rsid w:val="00926A42"/>
    <w:rsid w:val="009276B1"/>
    <w:rsid w:val="009303CF"/>
    <w:rsid w:val="00930F58"/>
    <w:rsid w:val="00932182"/>
    <w:rsid w:val="00932A54"/>
    <w:rsid w:val="00932C21"/>
    <w:rsid w:val="00933057"/>
    <w:rsid w:val="009333DA"/>
    <w:rsid w:val="0093379B"/>
    <w:rsid w:val="00933B5D"/>
    <w:rsid w:val="00933BE8"/>
    <w:rsid w:val="00933CA9"/>
    <w:rsid w:val="00934CDB"/>
    <w:rsid w:val="00937046"/>
    <w:rsid w:val="009370FF"/>
    <w:rsid w:val="009375FD"/>
    <w:rsid w:val="00937911"/>
    <w:rsid w:val="00937B5D"/>
    <w:rsid w:val="00941CE3"/>
    <w:rsid w:val="00941D08"/>
    <w:rsid w:val="009421F9"/>
    <w:rsid w:val="009425DC"/>
    <w:rsid w:val="00942B91"/>
    <w:rsid w:val="00943A37"/>
    <w:rsid w:val="00944258"/>
    <w:rsid w:val="00944518"/>
    <w:rsid w:val="00944F09"/>
    <w:rsid w:val="0094537C"/>
    <w:rsid w:val="009453F9"/>
    <w:rsid w:val="00945899"/>
    <w:rsid w:val="009460D9"/>
    <w:rsid w:val="00946B3E"/>
    <w:rsid w:val="00946D21"/>
    <w:rsid w:val="009474A0"/>
    <w:rsid w:val="00950865"/>
    <w:rsid w:val="00950BB6"/>
    <w:rsid w:val="00950C35"/>
    <w:rsid w:val="00951444"/>
    <w:rsid w:val="0095152B"/>
    <w:rsid w:val="00951816"/>
    <w:rsid w:val="00952517"/>
    <w:rsid w:val="0095273E"/>
    <w:rsid w:val="00952A67"/>
    <w:rsid w:val="00952C40"/>
    <w:rsid w:val="00953589"/>
    <w:rsid w:val="009535F6"/>
    <w:rsid w:val="00953A15"/>
    <w:rsid w:val="00954DB3"/>
    <w:rsid w:val="00955755"/>
    <w:rsid w:val="00956091"/>
    <w:rsid w:val="009564B0"/>
    <w:rsid w:val="00957D5A"/>
    <w:rsid w:val="0096023A"/>
    <w:rsid w:val="009602F2"/>
    <w:rsid w:val="00960379"/>
    <w:rsid w:val="0096139B"/>
    <w:rsid w:val="00961AFF"/>
    <w:rsid w:val="0096394B"/>
    <w:rsid w:val="009640D3"/>
    <w:rsid w:val="00964D5A"/>
    <w:rsid w:val="00965C2C"/>
    <w:rsid w:val="00966078"/>
    <w:rsid w:val="00966CA6"/>
    <w:rsid w:val="00970C34"/>
    <w:rsid w:val="0097102C"/>
    <w:rsid w:val="00972702"/>
    <w:rsid w:val="0097275B"/>
    <w:rsid w:val="0097285E"/>
    <w:rsid w:val="00972AFF"/>
    <w:rsid w:val="00972EBA"/>
    <w:rsid w:val="00973519"/>
    <w:rsid w:val="00973A11"/>
    <w:rsid w:val="0097578C"/>
    <w:rsid w:val="00975B95"/>
    <w:rsid w:val="00976F30"/>
    <w:rsid w:val="00976F92"/>
    <w:rsid w:val="00977A76"/>
    <w:rsid w:val="00980019"/>
    <w:rsid w:val="009804CB"/>
    <w:rsid w:val="009806F1"/>
    <w:rsid w:val="00980C8D"/>
    <w:rsid w:val="009811F7"/>
    <w:rsid w:val="0098154C"/>
    <w:rsid w:val="0098199C"/>
    <w:rsid w:val="00983CFE"/>
    <w:rsid w:val="009842DC"/>
    <w:rsid w:val="0098438F"/>
    <w:rsid w:val="00984EEA"/>
    <w:rsid w:val="00984FC0"/>
    <w:rsid w:val="0098554F"/>
    <w:rsid w:val="009855AE"/>
    <w:rsid w:val="00985CD1"/>
    <w:rsid w:val="00986287"/>
    <w:rsid w:val="009875FA"/>
    <w:rsid w:val="0098764F"/>
    <w:rsid w:val="0098784D"/>
    <w:rsid w:val="009878CD"/>
    <w:rsid w:val="00987C93"/>
    <w:rsid w:val="00987EA5"/>
    <w:rsid w:val="0099021E"/>
    <w:rsid w:val="009909C3"/>
    <w:rsid w:val="00991216"/>
    <w:rsid w:val="00991349"/>
    <w:rsid w:val="00991354"/>
    <w:rsid w:val="009913D2"/>
    <w:rsid w:val="00991A65"/>
    <w:rsid w:val="009924AE"/>
    <w:rsid w:val="009935C1"/>
    <w:rsid w:val="00993943"/>
    <w:rsid w:val="00994035"/>
    <w:rsid w:val="0099441A"/>
    <w:rsid w:val="0099476D"/>
    <w:rsid w:val="0099566A"/>
    <w:rsid w:val="00996724"/>
    <w:rsid w:val="00996779"/>
    <w:rsid w:val="009A0607"/>
    <w:rsid w:val="009A1A23"/>
    <w:rsid w:val="009A357E"/>
    <w:rsid w:val="009A368D"/>
    <w:rsid w:val="009A3C7B"/>
    <w:rsid w:val="009A3D96"/>
    <w:rsid w:val="009A3E02"/>
    <w:rsid w:val="009A4829"/>
    <w:rsid w:val="009A4ACF"/>
    <w:rsid w:val="009A621B"/>
    <w:rsid w:val="009A6ECD"/>
    <w:rsid w:val="009A6EFC"/>
    <w:rsid w:val="009A7672"/>
    <w:rsid w:val="009A7E33"/>
    <w:rsid w:val="009B11D0"/>
    <w:rsid w:val="009B13CF"/>
    <w:rsid w:val="009B16B7"/>
    <w:rsid w:val="009B21D3"/>
    <w:rsid w:val="009B2D7F"/>
    <w:rsid w:val="009B2E9F"/>
    <w:rsid w:val="009B414C"/>
    <w:rsid w:val="009B498F"/>
    <w:rsid w:val="009B4D6E"/>
    <w:rsid w:val="009B53E1"/>
    <w:rsid w:val="009B5586"/>
    <w:rsid w:val="009B5934"/>
    <w:rsid w:val="009B6EEB"/>
    <w:rsid w:val="009B7205"/>
    <w:rsid w:val="009B72F3"/>
    <w:rsid w:val="009B7639"/>
    <w:rsid w:val="009C0449"/>
    <w:rsid w:val="009C04C6"/>
    <w:rsid w:val="009C06A2"/>
    <w:rsid w:val="009C0C34"/>
    <w:rsid w:val="009C0E53"/>
    <w:rsid w:val="009C14DE"/>
    <w:rsid w:val="009C20F0"/>
    <w:rsid w:val="009C336E"/>
    <w:rsid w:val="009C3DE4"/>
    <w:rsid w:val="009C49F0"/>
    <w:rsid w:val="009C4C7E"/>
    <w:rsid w:val="009C517F"/>
    <w:rsid w:val="009C5240"/>
    <w:rsid w:val="009C566F"/>
    <w:rsid w:val="009C56FC"/>
    <w:rsid w:val="009C5ABE"/>
    <w:rsid w:val="009C6600"/>
    <w:rsid w:val="009C72E1"/>
    <w:rsid w:val="009C7776"/>
    <w:rsid w:val="009D02B7"/>
    <w:rsid w:val="009D2726"/>
    <w:rsid w:val="009D2834"/>
    <w:rsid w:val="009D2AE9"/>
    <w:rsid w:val="009D4FAE"/>
    <w:rsid w:val="009D7292"/>
    <w:rsid w:val="009E0B58"/>
    <w:rsid w:val="009E147D"/>
    <w:rsid w:val="009E1650"/>
    <w:rsid w:val="009E1BC1"/>
    <w:rsid w:val="009E1BF4"/>
    <w:rsid w:val="009E1F8D"/>
    <w:rsid w:val="009E21C8"/>
    <w:rsid w:val="009E27AA"/>
    <w:rsid w:val="009E3247"/>
    <w:rsid w:val="009E431F"/>
    <w:rsid w:val="009E47C1"/>
    <w:rsid w:val="009E4F4F"/>
    <w:rsid w:val="009E501C"/>
    <w:rsid w:val="009E521F"/>
    <w:rsid w:val="009E55ED"/>
    <w:rsid w:val="009E56E2"/>
    <w:rsid w:val="009E5CBF"/>
    <w:rsid w:val="009E621E"/>
    <w:rsid w:val="009E654F"/>
    <w:rsid w:val="009E6BBC"/>
    <w:rsid w:val="009F0826"/>
    <w:rsid w:val="009F15A7"/>
    <w:rsid w:val="009F1638"/>
    <w:rsid w:val="009F19E1"/>
    <w:rsid w:val="009F287D"/>
    <w:rsid w:val="009F3454"/>
    <w:rsid w:val="009F3BBB"/>
    <w:rsid w:val="009F44FF"/>
    <w:rsid w:val="009F50E1"/>
    <w:rsid w:val="009F57EC"/>
    <w:rsid w:val="009F6076"/>
    <w:rsid w:val="009F68AA"/>
    <w:rsid w:val="009F695B"/>
    <w:rsid w:val="009F6F83"/>
    <w:rsid w:val="00A0011F"/>
    <w:rsid w:val="00A00A2A"/>
    <w:rsid w:val="00A02DDE"/>
    <w:rsid w:val="00A0317A"/>
    <w:rsid w:val="00A035A2"/>
    <w:rsid w:val="00A0362D"/>
    <w:rsid w:val="00A037BD"/>
    <w:rsid w:val="00A0384A"/>
    <w:rsid w:val="00A03C44"/>
    <w:rsid w:val="00A041E4"/>
    <w:rsid w:val="00A045F2"/>
    <w:rsid w:val="00A04DE7"/>
    <w:rsid w:val="00A07345"/>
    <w:rsid w:val="00A07D1C"/>
    <w:rsid w:val="00A109BD"/>
    <w:rsid w:val="00A112F0"/>
    <w:rsid w:val="00A11ABC"/>
    <w:rsid w:val="00A11DD5"/>
    <w:rsid w:val="00A1544B"/>
    <w:rsid w:val="00A1659E"/>
    <w:rsid w:val="00A16FAC"/>
    <w:rsid w:val="00A170BB"/>
    <w:rsid w:val="00A178A9"/>
    <w:rsid w:val="00A17D48"/>
    <w:rsid w:val="00A20927"/>
    <w:rsid w:val="00A210BD"/>
    <w:rsid w:val="00A21479"/>
    <w:rsid w:val="00A21640"/>
    <w:rsid w:val="00A21747"/>
    <w:rsid w:val="00A2188E"/>
    <w:rsid w:val="00A224F8"/>
    <w:rsid w:val="00A22832"/>
    <w:rsid w:val="00A22AB4"/>
    <w:rsid w:val="00A22C2F"/>
    <w:rsid w:val="00A23FB0"/>
    <w:rsid w:val="00A251F4"/>
    <w:rsid w:val="00A26652"/>
    <w:rsid w:val="00A26A82"/>
    <w:rsid w:val="00A26AC9"/>
    <w:rsid w:val="00A2773A"/>
    <w:rsid w:val="00A277E4"/>
    <w:rsid w:val="00A27A5F"/>
    <w:rsid w:val="00A301C7"/>
    <w:rsid w:val="00A30AB2"/>
    <w:rsid w:val="00A316DF"/>
    <w:rsid w:val="00A323E5"/>
    <w:rsid w:val="00A32B87"/>
    <w:rsid w:val="00A33D5E"/>
    <w:rsid w:val="00A3441A"/>
    <w:rsid w:val="00A34B0C"/>
    <w:rsid w:val="00A35996"/>
    <w:rsid w:val="00A35E78"/>
    <w:rsid w:val="00A363C8"/>
    <w:rsid w:val="00A36D83"/>
    <w:rsid w:val="00A37422"/>
    <w:rsid w:val="00A37478"/>
    <w:rsid w:val="00A37922"/>
    <w:rsid w:val="00A4023F"/>
    <w:rsid w:val="00A4043C"/>
    <w:rsid w:val="00A41276"/>
    <w:rsid w:val="00A4136F"/>
    <w:rsid w:val="00A41873"/>
    <w:rsid w:val="00A41B6D"/>
    <w:rsid w:val="00A41F5A"/>
    <w:rsid w:val="00A421B9"/>
    <w:rsid w:val="00A42493"/>
    <w:rsid w:val="00A43592"/>
    <w:rsid w:val="00A43F1F"/>
    <w:rsid w:val="00A43FBB"/>
    <w:rsid w:val="00A515B4"/>
    <w:rsid w:val="00A52F63"/>
    <w:rsid w:val="00A5436E"/>
    <w:rsid w:val="00A54D38"/>
    <w:rsid w:val="00A550AE"/>
    <w:rsid w:val="00A5544C"/>
    <w:rsid w:val="00A559C9"/>
    <w:rsid w:val="00A564D4"/>
    <w:rsid w:val="00A56BA0"/>
    <w:rsid w:val="00A57F14"/>
    <w:rsid w:val="00A600ED"/>
    <w:rsid w:val="00A6080C"/>
    <w:rsid w:val="00A61E0B"/>
    <w:rsid w:val="00A623BD"/>
    <w:rsid w:val="00A62A82"/>
    <w:rsid w:val="00A6368B"/>
    <w:rsid w:val="00A63B46"/>
    <w:rsid w:val="00A64D8F"/>
    <w:rsid w:val="00A65040"/>
    <w:rsid w:val="00A651BE"/>
    <w:rsid w:val="00A65512"/>
    <w:rsid w:val="00A66666"/>
    <w:rsid w:val="00A677E0"/>
    <w:rsid w:val="00A67840"/>
    <w:rsid w:val="00A67966"/>
    <w:rsid w:val="00A70383"/>
    <w:rsid w:val="00A719AE"/>
    <w:rsid w:val="00A72220"/>
    <w:rsid w:val="00A727DD"/>
    <w:rsid w:val="00A72E23"/>
    <w:rsid w:val="00A734B1"/>
    <w:rsid w:val="00A74588"/>
    <w:rsid w:val="00A749FC"/>
    <w:rsid w:val="00A7515C"/>
    <w:rsid w:val="00A75216"/>
    <w:rsid w:val="00A75999"/>
    <w:rsid w:val="00A75A90"/>
    <w:rsid w:val="00A76523"/>
    <w:rsid w:val="00A767C9"/>
    <w:rsid w:val="00A7699E"/>
    <w:rsid w:val="00A769AD"/>
    <w:rsid w:val="00A76DAA"/>
    <w:rsid w:val="00A80636"/>
    <w:rsid w:val="00A806CF"/>
    <w:rsid w:val="00A80866"/>
    <w:rsid w:val="00A8105D"/>
    <w:rsid w:val="00A824FE"/>
    <w:rsid w:val="00A82727"/>
    <w:rsid w:val="00A834FB"/>
    <w:rsid w:val="00A836CB"/>
    <w:rsid w:val="00A850D2"/>
    <w:rsid w:val="00A856A7"/>
    <w:rsid w:val="00A85A0F"/>
    <w:rsid w:val="00A85E75"/>
    <w:rsid w:val="00A86002"/>
    <w:rsid w:val="00A86104"/>
    <w:rsid w:val="00A86836"/>
    <w:rsid w:val="00A8687B"/>
    <w:rsid w:val="00A87773"/>
    <w:rsid w:val="00A877E2"/>
    <w:rsid w:val="00A87C20"/>
    <w:rsid w:val="00A918BA"/>
    <w:rsid w:val="00A92ACF"/>
    <w:rsid w:val="00A92CE3"/>
    <w:rsid w:val="00A93317"/>
    <w:rsid w:val="00A9390F"/>
    <w:rsid w:val="00A93F88"/>
    <w:rsid w:val="00A94055"/>
    <w:rsid w:val="00A94056"/>
    <w:rsid w:val="00A94A3B"/>
    <w:rsid w:val="00A94B5C"/>
    <w:rsid w:val="00A9529C"/>
    <w:rsid w:val="00A9558D"/>
    <w:rsid w:val="00A9577C"/>
    <w:rsid w:val="00A964CC"/>
    <w:rsid w:val="00A964D0"/>
    <w:rsid w:val="00A96E07"/>
    <w:rsid w:val="00A97928"/>
    <w:rsid w:val="00A97D17"/>
    <w:rsid w:val="00AA038F"/>
    <w:rsid w:val="00AA0EB9"/>
    <w:rsid w:val="00AA13A3"/>
    <w:rsid w:val="00AA18FB"/>
    <w:rsid w:val="00AA1FD0"/>
    <w:rsid w:val="00AA2C69"/>
    <w:rsid w:val="00AA32CE"/>
    <w:rsid w:val="00AA3660"/>
    <w:rsid w:val="00AA382B"/>
    <w:rsid w:val="00AA4549"/>
    <w:rsid w:val="00AA4601"/>
    <w:rsid w:val="00AA4DAB"/>
    <w:rsid w:val="00AA4E66"/>
    <w:rsid w:val="00AA63EB"/>
    <w:rsid w:val="00AA6F19"/>
    <w:rsid w:val="00AA7073"/>
    <w:rsid w:val="00AB0120"/>
    <w:rsid w:val="00AB02DB"/>
    <w:rsid w:val="00AB0B13"/>
    <w:rsid w:val="00AB0C37"/>
    <w:rsid w:val="00AB0E61"/>
    <w:rsid w:val="00AB106D"/>
    <w:rsid w:val="00AB1D9F"/>
    <w:rsid w:val="00AB2094"/>
    <w:rsid w:val="00AB26E6"/>
    <w:rsid w:val="00AB499B"/>
    <w:rsid w:val="00AB4E90"/>
    <w:rsid w:val="00AB4FF3"/>
    <w:rsid w:val="00AB51E5"/>
    <w:rsid w:val="00AB53FB"/>
    <w:rsid w:val="00AB5B43"/>
    <w:rsid w:val="00AB5DC4"/>
    <w:rsid w:val="00AB6092"/>
    <w:rsid w:val="00AB636C"/>
    <w:rsid w:val="00AB6716"/>
    <w:rsid w:val="00AB69AA"/>
    <w:rsid w:val="00AB6ADF"/>
    <w:rsid w:val="00AB6ED5"/>
    <w:rsid w:val="00AB6F6D"/>
    <w:rsid w:val="00AB769C"/>
    <w:rsid w:val="00AC052D"/>
    <w:rsid w:val="00AC0E21"/>
    <w:rsid w:val="00AC2F81"/>
    <w:rsid w:val="00AC3332"/>
    <w:rsid w:val="00AC35F0"/>
    <w:rsid w:val="00AC3ADF"/>
    <w:rsid w:val="00AC3EF5"/>
    <w:rsid w:val="00AC48F4"/>
    <w:rsid w:val="00AC4E89"/>
    <w:rsid w:val="00AC5317"/>
    <w:rsid w:val="00AC551F"/>
    <w:rsid w:val="00AC5EF6"/>
    <w:rsid w:val="00AC6E1C"/>
    <w:rsid w:val="00AC7E2C"/>
    <w:rsid w:val="00AD0218"/>
    <w:rsid w:val="00AD07F8"/>
    <w:rsid w:val="00AD0E73"/>
    <w:rsid w:val="00AD0F7B"/>
    <w:rsid w:val="00AD1F9D"/>
    <w:rsid w:val="00AD36A2"/>
    <w:rsid w:val="00AD3A1E"/>
    <w:rsid w:val="00AD3CEC"/>
    <w:rsid w:val="00AD45C8"/>
    <w:rsid w:val="00AD4F49"/>
    <w:rsid w:val="00AD53C8"/>
    <w:rsid w:val="00AD5E9A"/>
    <w:rsid w:val="00AD66DB"/>
    <w:rsid w:val="00AD6AA9"/>
    <w:rsid w:val="00AD6D1F"/>
    <w:rsid w:val="00AD6EF8"/>
    <w:rsid w:val="00AE02E2"/>
    <w:rsid w:val="00AE0B1E"/>
    <w:rsid w:val="00AE233C"/>
    <w:rsid w:val="00AE2434"/>
    <w:rsid w:val="00AE26DB"/>
    <w:rsid w:val="00AE51FE"/>
    <w:rsid w:val="00AE5313"/>
    <w:rsid w:val="00AE6A54"/>
    <w:rsid w:val="00AE720B"/>
    <w:rsid w:val="00AE786D"/>
    <w:rsid w:val="00AE7F27"/>
    <w:rsid w:val="00AF0BFB"/>
    <w:rsid w:val="00AF3D70"/>
    <w:rsid w:val="00AF439D"/>
    <w:rsid w:val="00AF44B7"/>
    <w:rsid w:val="00AF52C6"/>
    <w:rsid w:val="00AF5978"/>
    <w:rsid w:val="00AF5A60"/>
    <w:rsid w:val="00AF73EA"/>
    <w:rsid w:val="00B006CD"/>
    <w:rsid w:val="00B00CD6"/>
    <w:rsid w:val="00B00FD2"/>
    <w:rsid w:val="00B016E4"/>
    <w:rsid w:val="00B0227F"/>
    <w:rsid w:val="00B0293B"/>
    <w:rsid w:val="00B0344F"/>
    <w:rsid w:val="00B059A7"/>
    <w:rsid w:val="00B05BCF"/>
    <w:rsid w:val="00B061BF"/>
    <w:rsid w:val="00B06780"/>
    <w:rsid w:val="00B067C4"/>
    <w:rsid w:val="00B06DC0"/>
    <w:rsid w:val="00B073F1"/>
    <w:rsid w:val="00B07B9A"/>
    <w:rsid w:val="00B07DEC"/>
    <w:rsid w:val="00B07FEE"/>
    <w:rsid w:val="00B102FC"/>
    <w:rsid w:val="00B10A34"/>
    <w:rsid w:val="00B110F4"/>
    <w:rsid w:val="00B11FA0"/>
    <w:rsid w:val="00B121E6"/>
    <w:rsid w:val="00B125D5"/>
    <w:rsid w:val="00B131C6"/>
    <w:rsid w:val="00B13596"/>
    <w:rsid w:val="00B156D1"/>
    <w:rsid w:val="00B16429"/>
    <w:rsid w:val="00B16808"/>
    <w:rsid w:val="00B169A4"/>
    <w:rsid w:val="00B16D9A"/>
    <w:rsid w:val="00B20176"/>
    <w:rsid w:val="00B2055C"/>
    <w:rsid w:val="00B207D8"/>
    <w:rsid w:val="00B20C48"/>
    <w:rsid w:val="00B20D3C"/>
    <w:rsid w:val="00B21940"/>
    <w:rsid w:val="00B21C7D"/>
    <w:rsid w:val="00B22A72"/>
    <w:rsid w:val="00B234E6"/>
    <w:rsid w:val="00B24083"/>
    <w:rsid w:val="00B240A5"/>
    <w:rsid w:val="00B24F20"/>
    <w:rsid w:val="00B25DD6"/>
    <w:rsid w:val="00B26209"/>
    <w:rsid w:val="00B27215"/>
    <w:rsid w:val="00B27EA2"/>
    <w:rsid w:val="00B319A4"/>
    <w:rsid w:val="00B3204F"/>
    <w:rsid w:val="00B32984"/>
    <w:rsid w:val="00B32EB6"/>
    <w:rsid w:val="00B337CA"/>
    <w:rsid w:val="00B33E86"/>
    <w:rsid w:val="00B3428E"/>
    <w:rsid w:val="00B34686"/>
    <w:rsid w:val="00B349AC"/>
    <w:rsid w:val="00B362E1"/>
    <w:rsid w:val="00B36577"/>
    <w:rsid w:val="00B36ED3"/>
    <w:rsid w:val="00B40001"/>
    <w:rsid w:val="00B400DB"/>
    <w:rsid w:val="00B42F2E"/>
    <w:rsid w:val="00B43466"/>
    <w:rsid w:val="00B43B96"/>
    <w:rsid w:val="00B449D1"/>
    <w:rsid w:val="00B4541F"/>
    <w:rsid w:val="00B45583"/>
    <w:rsid w:val="00B45B7A"/>
    <w:rsid w:val="00B46195"/>
    <w:rsid w:val="00B46B6A"/>
    <w:rsid w:val="00B46D80"/>
    <w:rsid w:val="00B47314"/>
    <w:rsid w:val="00B47CDE"/>
    <w:rsid w:val="00B51292"/>
    <w:rsid w:val="00B53257"/>
    <w:rsid w:val="00B53617"/>
    <w:rsid w:val="00B53B68"/>
    <w:rsid w:val="00B53D02"/>
    <w:rsid w:val="00B5450A"/>
    <w:rsid w:val="00B54600"/>
    <w:rsid w:val="00B56587"/>
    <w:rsid w:val="00B56594"/>
    <w:rsid w:val="00B56A88"/>
    <w:rsid w:val="00B5708C"/>
    <w:rsid w:val="00B57E4B"/>
    <w:rsid w:val="00B6023B"/>
    <w:rsid w:val="00B60FCB"/>
    <w:rsid w:val="00B6173C"/>
    <w:rsid w:val="00B61D17"/>
    <w:rsid w:val="00B63EE9"/>
    <w:rsid w:val="00B64E8F"/>
    <w:rsid w:val="00B6559F"/>
    <w:rsid w:val="00B6597A"/>
    <w:rsid w:val="00B65E65"/>
    <w:rsid w:val="00B66127"/>
    <w:rsid w:val="00B6617F"/>
    <w:rsid w:val="00B667EB"/>
    <w:rsid w:val="00B67071"/>
    <w:rsid w:val="00B6719C"/>
    <w:rsid w:val="00B67E4B"/>
    <w:rsid w:val="00B70A84"/>
    <w:rsid w:val="00B70CB1"/>
    <w:rsid w:val="00B71787"/>
    <w:rsid w:val="00B71C39"/>
    <w:rsid w:val="00B721F6"/>
    <w:rsid w:val="00B731BB"/>
    <w:rsid w:val="00B734ED"/>
    <w:rsid w:val="00B73712"/>
    <w:rsid w:val="00B74202"/>
    <w:rsid w:val="00B74418"/>
    <w:rsid w:val="00B75816"/>
    <w:rsid w:val="00B759C0"/>
    <w:rsid w:val="00B80651"/>
    <w:rsid w:val="00B82170"/>
    <w:rsid w:val="00B825D9"/>
    <w:rsid w:val="00B82842"/>
    <w:rsid w:val="00B84431"/>
    <w:rsid w:val="00B853F9"/>
    <w:rsid w:val="00B85425"/>
    <w:rsid w:val="00B85762"/>
    <w:rsid w:val="00B85D59"/>
    <w:rsid w:val="00B86B25"/>
    <w:rsid w:val="00B86F02"/>
    <w:rsid w:val="00B87693"/>
    <w:rsid w:val="00B87DB4"/>
    <w:rsid w:val="00B904E4"/>
    <w:rsid w:val="00B905FC"/>
    <w:rsid w:val="00B90FE8"/>
    <w:rsid w:val="00B917A8"/>
    <w:rsid w:val="00B9204F"/>
    <w:rsid w:val="00B929CE"/>
    <w:rsid w:val="00B92FCF"/>
    <w:rsid w:val="00B9444D"/>
    <w:rsid w:val="00B945FE"/>
    <w:rsid w:val="00B95A48"/>
    <w:rsid w:val="00B970A4"/>
    <w:rsid w:val="00B97855"/>
    <w:rsid w:val="00B97ECD"/>
    <w:rsid w:val="00BA061F"/>
    <w:rsid w:val="00BA079A"/>
    <w:rsid w:val="00BA277F"/>
    <w:rsid w:val="00BA2D7D"/>
    <w:rsid w:val="00BA3C8B"/>
    <w:rsid w:val="00BA4155"/>
    <w:rsid w:val="00BA4378"/>
    <w:rsid w:val="00BA5587"/>
    <w:rsid w:val="00BA6434"/>
    <w:rsid w:val="00BA66EA"/>
    <w:rsid w:val="00BA7346"/>
    <w:rsid w:val="00BA7BCA"/>
    <w:rsid w:val="00BA7D14"/>
    <w:rsid w:val="00BA7FD6"/>
    <w:rsid w:val="00BB030E"/>
    <w:rsid w:val="00BB0428"/>
    <w:rsid w:val="00BB05E7"/>
    <w:rsid w:val="00BB0621"/>
    <w:rsid w:val="00BB0DE4"/>
    <w:rsid w:val="00BB1E00"/>
    <w:rsid w:val="00BB1E03"/>
    <w:rsid w:val="00BB2FE2"/>
    <w:rsid w:val="00BB30CF"/>
    <w:rsid w:val="00BB4421"/>
    <w:rsid w:val="00BB4887"/>
    <w:rsid w:val="00BB55ED"/>
    <w:rsid w:val="00BB5721"/>
    <w:rsid w:val="00BC11E2"/>
    <w:rsid w:val="00BC1DCC"/>
    <w:rsid w:val="00BC26C0"/>
    <w:rsid w:val="00BC2FDB"/>
    <w:rsid w:val="00BC3B23"/>
    <w:rsid w:val="00BC42AF"/>
    <w:rsid w:val="00BC4471"/>
    <w:rsid w:val="00BC4A30"/>
    <w:rsid w:val="00BC4A90"/>
    <w:rsid w:val="00BC5334"/>
    <w:rsid w:val="00BC6026"/>
    <w:rsid w:val="00BC6061"/>
    <w:rsid w:val="00BC6A12"/>
    <w:rsid w:val="00BC7A84"/>
    <w:rsid w:val="00BC7CF4"/>
    <w:rsid w:val="00BC7F3D"/>
    <w:rsid w:val="00BD0F58"/>
    <w:rsid w:val="00BD13D8"/>
    <w:rsid w:val="00BD1CE5"/>
    <w:rsid w:val="00BD2860"/>
    <w:rsid w:val="00BD327A"/>
    <w:rsid w:val="00BD349B"/>
    <w:rsid w:val="00BD398B"/>
    <w:rsid w:val="00BD3A56"/>
    <w:rsid w:val="00BD5A3D"/>
    <w:rsid w:val="00BD61A8"/>
    <w:rsid w:val="00BD6459"/>
    <w:rsid w:val="00BD6714"/>
    <w:rsid w:val="00BD6DF0"/>
    <w:rsid w:val="00BD745F"/>
    <w:rsid w:val="00BE1064"/>
    <w:rsid w:val="00BE14F4"/>
    <w:rsid w:val="00BE1820"/>
    <w:rsid w:val="00BE1D76"/>
    <w:rsid w:val="00BE1D92"/>
    <w:rsid w:val="00BE2C6C"/>
    <w:rsid w:val="00BE3CD6"/>
    <w:rsid w:val="00BE5BC1"/>
    <w:rsid w:val="00BE62F1"/>
    <w:rsid w:val="00BE63A7"/>
    <w:rsid w:val="00BE6828"/>
    <w:rsid w:val="00BE77EC"/>
    <w:rsid w:val="00BF03F1"/>
    <w:rsid w:val="00BF053B"/>
    <w:rsid w:val="00BF199C"/>
    <w:rsid w:val="00BF1BF2"/>
    <w:rsid w:val="00BF1D61"/>
    <w:rsid w:val="00BF218A"/>
    <w:rsid w:val="00BF2D94"/>
    <w:rsid w:val="00BF3303"/>
    <w:rsid w:val="00BF3D6F"/>
    <w:rsid w:val="00BF477A"/>
    <w:rsid w:val="00BF5FBB"/>
    <w:rsid w:val="00BF68E0"/>
    <w:rsid w:val="00BF7334"/>
    <w:rsid w:val="00C003AB"/>
    <w:rsid w:val="00C0083B"/>
    <w:rsid w:val="00C012D5"/>
    <w:rsid w:val="00C013C5"/>
    <w:rsid w:val="00C01588"/>
    <w:rsid w:val="00C02AFC"/>
    <w:rsid w:val="00C043FD"/>
    <w:rsid w:val="00C0478B"/>
    <w:rsid w:val="00C047D6"/>
    <w:rsid w:val="00C0489F"/>
    <w:rsid w:val="00C05234"/>
    <w:rsid w:val="00C052D3"/>
    <w:rsid w:val="00C055CF"/>
    <w:rsid w:val="00C06502"/>
    <w:rsid w:val="00C065DD"/>
    <w:rsid w:val="00C06A90"/>
    <w:rsid w:val="00C06B2A"/>
    <w:rsid w:val="00C07078"/>
    <w:rsid w:val="00C0767A"/>
    <w:rsid w:val="00C1042D"/>
    <w:rsid w:val="00C1162A"/>
    <w:rsid w:val="00C11A89"/>
    <w:rsid w:val="00C121C1"/>
    <w:rsid w:val="00C1223E"/>
    <w:rsid w:val="00C131FF"/>
    <w:rsid w:val="00C135C4"/>
    <w:rsid w:val="00C13D55"/>
    <w:rsid w:val="00C15836"/>
    <w:rsid w:val="00C15EF3"/>
    <w:rsid w:val="00C165F6"/>
    <w:rsid w:val="00C171A0"/>
    <w:rsid w:val="00C1789C"/>
    <w:rsid w:val="00C17E85"/>
    <w:rsid w:val="00C20A03"/>
    <w:rsid w:val="00C20DED"/>
    <w:rsid w:val="00C2199F"/>
    <w:rsid w:val="00C21AFE"/>
    <w:rsid w:val="00C2243A"/>
    <w:rsid w:val="00C22E37"/>
    <w:rsid w:val="00C2370D"/>
    <w:rsid w:val="00C24249"/>
    <w:rsid w:val="00C2518F"/>
    <w:rsid w:val="00C253DA"/>
    <w:rsid w:val="00C2627F"/>
    <w:rsid w:val="00C26FDC"/>
    <w:rsid w:val="00C27B79"/>
    <w:rsid w:val="00C3079D"/>
    <w:rsid w:val="00C310A9"/>
    <w:rsid w:val="00C31837"/>
    <w:rsid w:val="00C31A2D"/>
    <w:rsid w:val="00C320FB"/>
    <w:rsid w:val="00C32173"/>
    <w:rsid w:val="00C322EE"/>
    <w:rsid w:val="00C328BF"/>
    <w:rsid w:val="00C3378A"/>
    <w:rsid w:val="00C34A03"/>
    <w:rsid w:val="00C34F6E"/>
    <w:rsid w:val="00C34FEB"/>
    <w:rsid w:val="00C357FE"/>
    <w:rsid w:val="00C364E8"/>
    <w:rsid w:val="00C378AD"/>
    <w:rsid w:val="00C404FA"/>
    <w:rsid w:val="00C40861"/>
    <w:rsid w:val="00C4131C"/>
    <w:rsid w:val="00C421C7"/>
    <w:rsid w:val="00C42572"/>
    <w:rsid w:val="00C42630"/>
    <w:rsid w:val="00C426F8"/>
    <w:rsid w:val="00C4350F"/>
    <w:rsid w:val="00C43B95"/>
    <w:rsid w:val="00C43D50"/>
    <w:rsid w:val="00C43F65"/>
    <w:rsid w:val="00C469E4"/>
    <w:rsid w:val="00C46BE6"/>
    <w:rsid w:val="00C47D80"/>
    <w:rsid w:val="00C47EC1"/>
    <w:rsid w:val="00C50EBA"/>
    <w:rsid w:val="00C5116C"/>
    <w:rsid w:val="00C5301F"/>
    <w:rsid w:val="00C5349E"/>
    <w:rsid w:val="00C537E0"/>
    <w:rsid w:val="00C538F8"/>
    <w:rsid w:val="00C53E0C"/>
    <w:rsid w:val="00C53FC9"/>
    <w:rsid w:val="00C55058"/>
    <w:rsid w:val="00C55175"/>
    <w:rsid w:val="00C552A6"/>
    <w:rsid w:val="00C559BF"/>
    <w:rsid w:val="00C55BC4"/>
    <w:rsid w:val="00C5730F"/>
    <w:rsid w:val="00C60154"/>
    <w:rsid w:val="00C60A1A"/>
    <w:rsid w:val="00C613D2"/>
    <w:rsid w:val="00C617BA"/>
    <w:rsid w:val="00C62A9D"/>
    <w:rsid w:val="00C633F7"/>
    <w:rsid w:val="00C63707"/>
    <w:rsid w:val="00C63825"/>
    <w:rsid w:val="00C64525"/>
    <w:rsid w:val="00C64E9E"/>
    <w:rsid w:val="00C658FB"/>
    <w:rsid w:val="00C6643E"/>
    <w:rsid w:val="00C66E4B"/>
    <w:rsid w:val="00C67CF0"/>
    <w:rsid w:val="00C700F2"/>
    <w:rsid w:val="00C710F6"/>
    <w:rsid w:val="00C712D9"/>
    <w:rsid w:val="00C7156E"/>
    <w:rsid w:val="00C71599"/>
    <w:rsid w:val="00C71DA3"/>
    <w:rsid w:val="00C72940"/>
    <w:rsid w:val="00C737C9"/>
    <w:rsid w:val="00C744B1"/>
    <w:rsid w:val="00C74E7A"/>
    <w:rsid w:val="00C7568D"/>
    <w:rsid w:val="00C75698"/>
    <w:rsid w:val="00C75E2D"/>
    <w:rsid w:val="00C76659"/>
    <w:rsid w:val="00C76E2C"/>
    <w:rsid w:val="00C80780"/>
    <w:rsid w:val="00C80796"/>
    <w:rsid w:val="00C80907"/>
    <w:rsid w:val="00C81AF4"/>
    <w:rsid w:val="00C8201C"/>
    <w:rsid w:val="00C8246F"/>
    <w:rsid w:val="00C82E23"/>
    <w:rsid w:val="00C837F9"/>
    <w:rsid w:val="00C84457"/>
    <w:rsid w:val="00C85E21"/>
    <w:rsid w:val="00C86421"/>
    <w:rsid w:val="00C86F99"/>
    <w:rsid w:val="00C87547"/>
    <w:rsid w:val="00C9049F"/>
    <w:rsid w:val="00C905E1"/>
    <w:rsid w:val="00C90800"/>
    <w:rsid w:val="00C91E8C"/>
    <w:rsid w:val="00C93360"/>
    <w:rsid w:val="00C934A7"/>
    <w:rsid w:val="00C94599"/>
    <w:rsid w:val="00C9600E"/>
    <w:rsid w:val="00C9767C"/>
    <w:rsid w:val="00C97F01"/>
    <w:rsid w:val="00CA052C"/>
    <w:rsid w:val="00CA098E"/>
    <w:rsid w:val="00CA0A19"/>
    <w:rsid w:val="00CA0F7C"/>
    <w:rsid w:val="00CA2649"/>
    <w:rsid w:val="00CA278C"/>
    <w:rsid w:val="00CA2991"/>
    <w:rsid w:val="00CA361D"/>
    <w:rsid w:val="00CA4A2B"/>
    <w:rsid w:val="00CA4A3D"/>
    <w:rsid w:val="00CA5D42"/>
    <w:rsid w:val="00CA79E2"/>
    <w:rsid w:val="00CB0504"/>
    <w:rsid w:val="00CB1515"/>
    <w:rsid w:val="00CB164B"/>
    <w:rsid w:val="00CB1F8E"/>
    <w:rsid w:val="00CB270E"/>
    <w:rsid w:val="00CB2FBE"/>
    <w:rsid w:val="00CB33F8"/>
    <w:rsid w:val="00CB462C"/>
    <w:rsid w:val="00CB484E"/>
    <w:rsid w:val="00CB5900"/>
    <w:rsid w:val="00CB6031"/>
    <w:rsid w:val="00CB6519"/>
    <w:rsid w:val="00CB67D0"/>
    <w:rsid w:val="00CB6878"/>
    <w:rsid w:val="00CB70BD"/>
    <w:rsid w:val="00CC03BA"/>
    <w:rsid w:val="00CC08A0"/>
    <w:rsid w:val="00CC1386"/>
    <w:rsid w:val="00CC172C"/>
    <w:rsid w:val="00CC199B"/>
    <w:rsid w:val="00CC3AF2"/>
    <w:rsid w:val="00CC404B"/>
    <w:rsid w:val="00CC495D"/>
    <w:rsid w:val="00CC4A4E"/>
    <w:rsid w:val="00CC5721"/>
    <w:rsid w:val="00CC5C0B"/>
    <w:rsid w:val="00CC6292"/>
    <w:rsid w:val="00CC72CB"/>
    <w:rsid w:val="00CC7355"/>
    <w:rsid w:val="00CC79EA"/>
    <w:rsid w:val="00CD06C6"/>
    <w:rsid w:val="00CD0947"/>
    <w:rsid w:val="00CD0B5F"/>
    <w:rsid w:val="00CD10BC"/>
    <w:rsid w:val="00CD115F"/>
    <w:rsid w:val="00CD153C"/>
    <w:rsid w:val="00CD1705"/>
    <w:rsid w:val="00CD1A26"/>
    <w:rsid w:val="00CD2219"/>
    <w:rsid w:val="00CD2DFE"/>
    <w:rsid w:val="00CD48D4"/>
    <w:rsid w:val="00CD4E71"/>
    <w:rsid w:val="00CD6A2E"/>
    <w:rsid w:val="00CD6F4C"/>
    <w:rsid w:val="00CD7A82"/>
    <w:rsid w:val="00CE031A"/>
    <w:rsid w:val="00CE05F5"/>
    <w:rsid w:val="00CE0A30"/>
    <w:rsid w:val="00CE1DFF"/>
    <w:rsid w:val="00CE1F7F"/>
    <w:rsid w:val="00CE32F8"/>
    <w:rsid w:val="00CE3300"/>
    <w:rsid w:val="00CE390B"/>
    <w:rsid w:val="00CE4129"/>
    <w:rsid w:val="00CE4C9D"/>
    <w:rsid w:val="00CE4EA4"/>
    <w:rsid w:val="00CE50C4"/>
    <w:rsid w:val="00CE575F"/>
    <w:rsid w:val="00CE57DE"/>
    <w:rsid w:val="00CE647F"/>
    <w:rsid w:val="00CE66BB"/>
    <w:rsid w:val="00CE696A"/>
    <w:rsid w:val="00CE69DB"/>
    <w:rsid w:val="00CE6A2A"/>
    <w:rsid w:val="00CE6A53"/>
    <w:rsid w:val="00CE71EF"/>
    <w:rsid w:val="00CE73AD"/>
    <w:rsid w:val="00CE75F6"/>
    <w:rsid w:val="00CF038A"/>
    <w:rsid w:val="00CF065A"/>
    <w:rsid w:val="00CF127D"/>
    <w:rsid w:val="00CF181B"/>
    <w:rsid w:val="00CF23B9"/>
    <w:rsid w:val="00CF35E8"/>
    <w:rsid w:val="00CF3EC8"/>
    <w:rsid w:val="00CF4189"/>
    <w:rsid w:val="00CF4402"/>
    <w:rsid w:val="00CF4569"/>
    <w:rsid w:val="00CF4888"/>
    <w:rsid w:val="00CF4F70"/>
    <w:rsid w:val="00CF60EC"/>
    <w:rsid w:val="00CF7E56"/>
    <w:rsid w:val="00D00492"/>
    <w:rsid w:val="00D00AA3"/>
    <w:rsid w:val="00D01014"/>
    <w:rsid w:val="00D018A0"/>
    <w:rsid w:val="00D01D34"/>
    <w:rsid w:val="00D02699"/>
    <w:rsid w:val="00D03D7B"/>
    <w:rsid w:val="00D04071"/>
    <w:rsid w:val="00D04157"/>
    <w:rsid w:val="00D0433D"/>
    <w:rsid w:val="00D046D6"/>
    <w:rsid w:val="00D0490A"/>
    <w:rsid w:val="00D05068"/>
    <w:rsid w:val="00D05B1B"/>
    <w:rsid w:val="00D068E3"/>
    <w:rsid w:val="00D0764C"/>
    <w:rsid w:val="00D07F60"/>
    <w:rsid w:val="00D1088D"/>
    <w:rsid w:val="00D11238"/>
    <w:rsid w:val="00D11D67"/>
    <w:rsid w:val="00D12A0D"/>
    <w:rsid w:val="00D12D17"/>
    <w:rsid w:val="00D12D91"/>
    <w:rsid w:val="00D135A5"/>
    <w:rsid w:val="00D1388C"/>
    <w:rsid w:val="00D13D54"/>
    <w:rsid w:val="00D13E42"/>
    <w:rsid w:val="00D145D4"/>
    <w:rsid w:val="00D15EEA"/>
    <w:rsid w:val="00D20BA9"/>
    <w:rsid w:val="00D224E7"/>
    <w:rsid w:val="00D22FB3"/>
    <w:rsid w:val="00D236C2"/>
    <w:rsid w:val="00D23814"/>
    <w:rsid w:val="00D251AB"/>
    <w:rsid w:val="00D25292"/>
    <w:rsid w:val="00D25507"/>
    <w:rsid w:val="00D256E5"/>
    <w:rsid w:val="00D25A2C"/>
    <w:rsid w:val="00D26E1C"/>
    <w:rsid w:val="00D274D2"/>
    <w:rsid w:val="00D2786B"/>
    <w:rsid w:val="00D3122B"/>
    <w:rsid w:val="00D31B75"/>
    <w:rsid w:val="00D3201B"/>
    <w:rsid w:val="00D33326"/>
    <w:rsid w:val="00D347E9"/>
    <w:rsid w:val="00D34D53"/>
    <w:rsid w:val="00D34F0D"/>
    <w:rsid w:val="00D3532B"/>
    <w:rsid w:val="00D35A2B"/>
    <w:rsid w:val="00D36388"/>
    <w:rsid w:val="00D364BC"/>
    <w:rsid w:val="00D37712"/>
    <w:rsid w:val="00D37D94"/>
    <w:rsid w:val="00D401FA"/>
    <w:rsid w:val="00D407CC"/>
    <w:rsid w:val="00D40919"/>
    <w:rsid w:val="00D41146"/>
    <w:rsid w:val="00D417DB"/>
    <w:rsid w:val="00D42794"/>
    <w:rsid w:val="00D42ADB"/>
    <w:rsid w:val="00D42CDC"/>
    <w:rsid w:val="00D43F32"/>
    <w:rsid w:val="00D44575"/>
    <w:rsid w:val="00D44D89"/>
    <w:rsid w:val="00D44DCE"/>
    <w:rsid w:val="00D453A1"/>
    <w:rsid w:val="00D46546"/>
    <w:rsid w:val="00D46A00"/>
    <w:rsid w:val="00D46D25"/>
    <w:rsid w:val="00D516D3"/>
    <w:rsid w:val="00D517B4"/>
    <w:rsid w:val="00D518D2"/>
    <w:rsid w:val="00D52AB6"/>
    <w:rsid w:val="00D52D4B"/>
    <w:rsid w:val="00D5360A"/>
    <w:rsid w:val="00D53D03"/>
    <w:rsid w:val="00D540AB"/>
    <w:rsid w:val="00D54A42"/>
    <w:rsid w:val="00D56598"/>
    <w:rsid w:val="00D56C08"/>
    <w:rsid w:val="00D5764E"/>
    <w:rsid w:val="00D577D1"/>
    <w:rsid w:val="00D57A67"/>
    <w:rsid w:val="00D61112"/>
    <w:rsid w:val="00D62347"/>
    <w:rsid w:val="00D64D10"/>
    <w:rsid w:val="00D65856"/>
    <w:rsid w:val="00D66903"/>
    <w:rsid w:val="00D67422"/>
    <w:rsid w:val="00D70A0F"/>
    <w:rsid w:val="00D719E8"/>
    <w:rsid w:val="00D71AFB"/>
    <w:rsid w:val="00D723DA"/>
    <w:rsid w:val="00D7255C"/>
    <w:rsid w:val="00D72856"/>
    <w:rsid w:val="00D72E86"/>
    <w:rsid w:val="00D74166"/>
    <w:rsid w:val="00D74F8F"/>
    <w:rsid w:val="00D75373"/>
    <w:rsid w:val="00D764A3"/>
    <w:rsid w:val="00D76BB7"/>
    <w:rsid w:val="00D80F3A"/>
    <w:rsid w:val="00D82839"/>
    <w:rsid w:val="00D82BCE"/>
    <w:rsid w:val="00D82DA2"/>
    <w:rsid w:val="00D82E48"/>
    <w:rsid w:val="00D83DCA"/>
    <w:rsid w:val="00D844AB"/>
    <w:rsid w:val="00D851BB"/>
    <w:rsid w:val="00D8521D"/>
    <w:rsid w:val="00D861C2"/>
    <w:rsid w:val="00D86267"/>
    <w:rsid w:val="00D86582"/>
    <w:rsid w:val="00D86B73"/>
    <w:rsid w:val="00D87574"/>
    <w:rsid w:val="00D87C5D"/>
    <w:rsid w:val="00D90DA0"/>
    <w:rsid w:val="00D935C4"/>
    <w:rsid w:val="00D9579F"/>
    <w:rsid w:val="00D95979"/>
    <w:rsid w:val="00D95C97"/>
    <w:rsid w:val="00D96CC2"/>
    <w:rsid w:val="00D97057"/>
    <w:rsid w:val="00D97559"/>
    <w:rsid w:val="00DA0229"/>
    <w:rsid w:val="00DA0897"/>
    <w:rsid w:val="00DA0A99"/>
    <w:rsid w:val="00DA15D2"/>
    <w:rsid w:val="00DA27B9"/>
    <w:rsid w:val="00DA29D1"/>
    <w:rsid w:val="00DA30D8"/>
    <w:rsid w:val="00DA3C65"/>
    <w:rsid w:val="00DA3CE0"/>
    <w:rsid w:val="00DA4E66"/>
    <w:rsid w:val="00DA4FA3"/>
    <w:rsid w:val="00DA68E6"/>
    <w:rsid w:val="00DA6975"/>
    <w:rsid w:val="00DA6AC1"/>
    <w:rsid w:val="00DA7461"/>
    <w:rsid w:val="00DA77FA"/>
    <w:rsid w:val="00DA7D1C"/>
    <w:rsid w:val="00DB0022"/>
    <w:rsid w:val="00DB127E"/>
    <w:rsid w:val="00DB139B"/>
    <w:rsid w:val="00DB1C28"/>
    <w:rsid w:val="00DB2AAD"/>
    <w:rsid w:val="00DB3094"/>
    <w:rsid w:val="00DB3431"/>
    <w:rsid w:val="00DB3972"/>
    <w:rsid w:val="00DB3F40"/>
    <w:rsid w:val="00DB61C7"/>
    <w:rsid w:val="00DB6EF7"/>
    <w:rsid w:val="00DB763F"/>
    <w:rsid w:val="00DB7B4A"/>
    <w:rsid w:val="00DC0A31"/>
    <w:rsid w:val="00DC10CC"/>
    <w:rsid w:val="00DC215E"/>
    <w:rsid w:val="00DC2824"/>
    <w:rsid w:val="00DC2B34"/>
    <w:rsid w:val="00DC2B56"/>
    <w:rsid w:val="00DC33C3"/>
    <w:rsid w:val="00DC3963"/>
    <w:rsid w:val="00DC3CAC"/>
    <w:rsid w:val="00DC44A5"/>
    <w:rsid w:val="00DC5976"/>
    <w:rsid w:val="00DC61C5"/>
    <w:rsid w:val="00DC667E"/>
    <w:rsid w:val="00DC69A0"/>
    <w:rsid w:val="00DC7DAF"/>
    <w:rsid w:val="00DD0713"/>
    <w:rsid w:val="00DD1090"/>
    <w:rsid w:val="00DD1520"/>
    <w:rsid w:val="00DD1903"/>
    <w:rsid w:val="00DD1A3B"/>
    <w:rsid w:val="00DD2065"/>
    <w:rsid w:val="00DD2BEC"/>
    <w:rsid w:val="00DD3051"/>
    <w:rsid w:val="00DD3A56"/>
    <w:rsid w:val="00DD456D"/>
    <w:rsid w:val="00DD46CA"/>
    <w:rsid w:val="00DD5605"/>
    <w:rsid w:val="00DD5716"/>
    <w:rsid w:val="00DD5FBC"/>
    <w:rsid w:val="00DD64AD"/>
    <w:rsid w:val="00DD6BDA"/>
    <w:rsid w:val="00DD707A"/>
    <w:rsid w:val="00DD776F"/>
    <w:rsid w:val="00DD7827"/>
    <w:rsid w:val="00DD7F79"/>
    <w:rsid w:val="00DE0573"/>
    <w:rsid w:val="00DE27E3"/>
    <w:rsid w:val="00DE2840"/>
    <w:rsid w:val="00DE2A9B"/>
    <w:rsid w:val="00DE348F"/>
    <w:rsid w:val="00DE3907"/>
    <w:rsid w:val="00DE3A0D"/>
    <w:rsid w:val="00DE42C0"/>
    <w:rsid w:val="00DE4ACE"/>
    <w:rsid w:val="00DE521C"/>
    <w:rsid w:val="00DE5D48"/>
    <w:rsid w:val="00DE643A"/>
    <w:rsid w:val="00DE6590"/>
    <w:rsid w:val="00DE65D9"/>
    <w:rsid w:val="00DE7AC1"/>
    <w:rsid w:val="00DF033F"/>
    <w:rsid w:val="00DF0ED4"/>
    <w:rsid w:val="00DF11F1"/>
    <w:rsid w:val="00DF1DBD"/>
    <w:rsid w:val="00DF2899"/>
    <w:rsid w:val="00DF3E05"/>
    <w:rsid w:val="00DF422F"/>
    <w:rsid w:val="00DF4557"/>
    <w:rsid w:val="00DF5A06"/>
    <w:rsid w:val="00DF60D3"/>
    <w:rsid w:val="00DF7072"/>
    <w:rsid w:val="00DF7320"/>
    <w:rsid w:val="00DF7897"/>
    <w:rsid w:val="00DF7F27"/>
    <w:rsid w:val="00E00686"/>
    <w:rsid w:val="00E02B92"/>
    <w:rsid w:val="00E03753"/>
    <w:rsid w:val="00E05A52"/>
    <w:rsid w:val="00E06F82"/>
    <w:rsid w:val="00E07ECB"/>
    <w:rsid w:val="00E10446"/>
    <w:rsid w:val="00E10AAD"/>
    <w:rsid w:val="00E114F8"/>
    <w:rsid w:val="00E11D41"/>
    <w:rsid w:val="00E11FEE"/>
    <w:rsid w:val="00E12DF9"/>
    <w:rsid w:val="00E13002"/>
    <w:rsid w:val="00E1364B"/>
    <w:rsid w:val="00E13963"/>
    <w:rsid w:val="00E13966"/>
    <w:rsid w:val="00E14140"/>
    <w:rsid w:val="00E144A9"/>
    <w:rsid w:val="00E14D66"/>
    <w:rsid w:val="00E16313"/>
    <w:rsid w:val="00E164B2"/>
    <w:rsid w:val="00E1744E"/>
    <w:rsid w:val="00E205A9"/>
    <w:rsid w:val="00E2071B"/>
    <w:rsid w:val="00E20754"/>
    <w:rsid w:val="00E21725"/>
    <w:rsid w:val="00E22196"/>
    <w:rsid w:val="00E229AE"/>
    <w:rsid w:val="00E23FA6"/>
    <w:rsid w:val="00E2459A"/>
    <w:rsid w:val="00E24871"/>
    <w:rsid w:val="00E24F99"/>
    <w:rsid w:val="00E25502"/>
    <w:rsid w:val="00E25653"/>
    <w:rsid w:val="00E257C1"/>
    <w:rsid w:val="00E25C8E"/>
    <w:rsid w:val="00E26760"/>
    <w:rsid w:val="00E27381"/>
    <w:rsid w:val="00E30406"/>
    <w:rsid w:val="00E30438"/>
    <w:rsid w:val="00E30BF9"/>
    <w:rsid w:val="00E313AD"/>
    <w:rsid w:val="00E31BD8"/>
    <w:rsid w:val="00E3246B"/>
    <w:rsid w:val="00E325D8"/>
    <w:rsid w:val="00E328FF"/>
    <w:rsid w:val="00E32961"/>
    <w:rsid w:val="00E32AD3"/>
    <w:rsid w:val="00E331B7"/>
    <w:rsid w:val="00E3365B"/>
    <w:rsid w:val="00E336E4"/>
    <w:rsid w:val="00E3400D"/>
    <w:rsid w:val="00E34436"/>
    <w:rsid w:val="00E34996"/>
    <w:rsid w:val="00E34CEB"/>
    <w:rsid w:val="00E3538C"/>
    <w:rsid w:val="00E35810"/>
    <w:rsid w:val="00E35F86"/>
    <w:rsid w:val="00E3648E"/>
    <w:rsid w:val="00E37263"/>
    <w:rsid w:val="00E374F7"/>
    <w:rsid w:val="00E37608"/>
    <w:rsid w:val="00E37751"/>
    <w:rsid w:val="00E37BDB"/>
    <w:rsid w:val="00E4079E"/>
    <w:rsid w:val="00E40D7F"/>
    <w:rsid w:val="00E41A03"/>
    <w:rsid w:val="00E41ABD"/>
    <w:rsid w:val="00E41E65"/>
    <w:rsid w:val="00E421CC"/>
    <w:rsid w:val="00E425E6"/>
    <w:rsid w:val="00E429EF"/>
    <w:rsid w:val="00E430DF"/>
    <w:rsid w:val="00E434F9"/>
    <w:rsid w:val="00E43CA1"/>
    <w:rsid w:val="00E44793"/>
    <w:rsid w:val="00E44950"/>
    <w:rsid w:val="00E44AD3"/>
    <w:rsid w:val="00E45377"/>
    <w:rsid w:val="00E45DC9"/>
    <w:rsid w:val="00E46EC3"/>
    <w:rsid w:val="00E47C67"/>
    <w:rsid w:val="00E514C7"/>
    <w:rsid w:val="00E5156F"/>
    <w:rsid w:val="00E51BC2"/>
    <w:rsid w:val="00E51E96"/>
    <w:rsid w:val="00E52404"/>
    <w:rsid w:val="00E52F36"/>
    <w:rsid w:val="00E544B6"/>
    <w:rsid w:val="00E545B0"/>
    <w:rsid w:val="00E54861"/>
    <w:rsid w:val="00E54AFA"/>
    <w:rsid w:val="00E5516A"/>
    <w:rsid w:val="00E55347"/>
    <w:rsid w:val="00E5556C"/>
    <w:rsid w:val="00E55890"/>
    <w:rsid w:val="00E55D8D"/>
    <w:rsid w:val="00E56A40"/>
    <w:rsid w:val="00E57667"/>
    <w:rsid w:val="00E600C0"/>
    <w:rsid w:val="00E603F8"/>
    <w:rsid w:val="00E60ED2"/>
    <w:rsid w:val="00E60FC4"/>
    <w:rsid w:val="00E615F5"/>
    <w:rsid w:val="00E62CB9"/>
    <w:rsid w:val="00E62CD8"/>
    <w:rsid w:val="00E64E53"/>
    <w:rsid w:val="00E65A41"/>
    <w:rsid w:val="00E6715F"/>
    <w:rsid w:val="00E673FD"/>
    <w:rsid w:val="00E70061"/>
    <w:rsid w:val="00E7096F"/>
    <w:rsid w:val="00E71682"/>
    <w:rsid w:val="00E720FC"/>
    <w:rsid w:val="00E72401"/>
    <w:rsid w:val="00E7271A"/>
    <w:rsid w:val="00E7376C"/>
    <w:rsid w:val="00E748B6"/>
    <w:rsid w:val="00E74950"/>
    <w:rsid w:val="00E751F9"/>
    <w:rsid w:val="00E753B5"/>
    <w:rsid w:val="00E7566B"/>
    <w:rsid w:val="00E75F11"/>
    <w:rsid w:val="00E7700B"/>
    <w:rsid w:val="00E77C6E"/>
    <w:rsid w:val="00E809EB"/>
    <w:rsid w:val="00E8501C"/>
    <w:rsid w:val="00E851A5"/>
    <w:rsid w:val="00E851AA"/>
    <w:rsid w:val="00E8576B"/>
    <w:rsid w:val="00E85A30"/>
    <w:rsid w:val="00E85FBE"/>
    <w:rsid w:val="00E86CBC"/>
    <w:rsid w:val="00E870AB"/>
    <w:rsid w:val="00E9082B"/>
    <w:rsid w:val="00E911CE"/>
    <w:rsid w:val="00E91664"/>
    <w:rsid w:val="00E91C0B"/>
    <w:rsid w:val="00E924C5"/>
    <w:rsid w:val="00E92AD8"/>
    <w:rsid w:val="00E92D29"/>
    <w:rsid w:val="00E92D44"/>
    <w:rsid w:val="00E9394D"/>
    <w:rsid w:val="00E94337"/>
    <w:rsid w:val="00E94965"/>
    <w:rsid w:val="00E94A5A"/>
    <w:rsid w:val="00E96BBA"/>
    <w:rsid w:val="00E973A0"/>
    <w:rsid w:val="00E975EF"/>
    <w:rsid w:val="00EA11FC"/>
    <w:rsid w:val="00EA1C42"/>
    <w:rsid w:val="00EA2324"/>
    <w:rsid w:val="00EA3529"/>
    <w:rsid w:val="00EA42DD"/>
    <w:rsid w:val="00EA49B8"/>
    <w:rsid w:val="00EA4A5A"/>
    <w:rsid w:val="00EA4F11"/>
    <w:rsid w:val="00EA5A37"/>
    <w:rsid w:val="00EA5F42"/>
    <w:rsid w:val="00EA61F1"/>
    <w:rsid w:val="00EA62A2"/>
    <w:rsid w:val="00EA655B"/>
    <w:rsid w:val="00EA68D6"/>
    <w:rsid w:val="00EA6C92"/>
    <w:rsid w:val="00EA7669"/>
    <w:rsid w:val="00EA7C44"/>
    <w:rsid w:val="00EB016A"/>
    <w:rsid w:val="00EB0C1A"/>
    <w:rsid w:val="00EB15FB"/>
    <w:rsid w:val="00EB1E31"/>
    <w:rsid w:val="00EB1EA2"/>
    <w:rsid w:val="00EB21C2"/>
    <w:rsid w:val="00EB26ED"/>
    <w:rsid w:val="00EB279C"/>
    <w:rsid w:val="00EB320E"/>
    <w:rsid w:val="00EB4FFB"/>
    <w:rsid w:val="00EB598D"/>
    <w:rsid w:val="00EB7271"/>
    <w:rsid w:val="00EC0FD6"/>
    <w:rsid w:val="00EC190C"/>
    <w:rsid w:val="00EC27BB"/>
    <w:rsid w:val="00EC31D1"/>
    <w:rsid w:val="00EC3C4B"/>
    <w:rsid w:val="00EC3CF5"/>
    <w:rsid w:val="00EC3E9E"/>
    <w:rsid w:val="00EC42C8"/>
    <w:rsid w:val="00EC5A7B"/>
    <w:rsid w:val="00EC5B60"/>
    <w:rsid w:val="00EC5EF1"/>
    <w:rsid w:val="00EC6072"/>
    <w:rsid w:val="00EC75EC"/>
    <w:rsid w:val="00EC798B"/>
    <w:rsid w:val="00ED046A"/>
    <w:rsid w:val="00ED145A"/>
    <w:rsid w:val="00ED183B"/>
    <w:rsid w:val="00ED2F0F"/>
    <w:rsid w:val="00ED3203"/>
    <w:rsid w:val="00ED337A"/>
    <w:rsid w:val="00ED367A"/>
    <w:rsid w:val="00ED4A83"/>
    <w:rsid w:val="00ED50C9"/>
    <w:rsid w:val="00ED603D"/>
    <w:rsid w:val="00ED6328"/>
    <w:rsid w:val="00ED6345"/>
    <w:rsid w:val="00ED672A"/>
    <w:rsid w:val="00ED6BF1"/>
    <w:rsid w:val="00ED6C96"/>
    <w:rsid w:val="00ED6FE7"/>
    <w:rsid w:val="00ED7570"/>
    <w:rsid w:val="00ED7918"/>
    <w:rsid w:val="00EE01BA"/>
    <w:rsid w:val="00EE0A61"/>
    <w:rsid w:val="00EE1534"/>
    <w:rsid w:val="00EE199A"/>
    <w:rsid w:val="00EE3AD2"/>
    <w:rsid w:val="00EE558E"/>
    <w:rsid w:val="00EE645F"/>
    <w:rsid w:val="00EE6918"/>
    <w:rsid w:val="00EF0047"/>
    <w:rsid w:val="00EF072D"/>
    <w:rsid w:val="00EF135F"/>
    <w:rsid w:val="00EF1B00"/>
    <w:rsid w:val="00EF375B"/>
    <w:rsid w:val="00EF38F2"/>
    <w:rsid w:val="00EF41B6"/>
    <w:rsid w:val="00EF4A7B"/>
    <w:rsid w:val="00EF5ED3"/>
    <w:rsid w:val="00EF64A3"/>
    <w:rsid w:val="00EF71EE"/>
    <w:rsid w:val="00EF74B5"/>
    <w:rsid w:val="00EF7825"/>
    <w:rsid w:val="00F0044E"/>
    <w:rsid w:val="00F009A6"/>
    <w:rsid w:val="00F010E9"/>
    <w:rsid w:val="00F01974"/>
    <w:rsid w:val="00F0290D"/>
    <w:rsid w:val="00F02F72"/>
    <w:rsid w:val="00F0307B"/>
    <w:rsid w:val="00F03948"/>
    <w:rsid w:val="00F04771"/>
    <w:rsid w:val="00F04F98"/>
    <w:rsid w:val="00F05675"/>
    <w:rsid w:val="00F056BB"/>
    <w:rsid w:val="00F05F14"/>
    <w:rsid w:val="00F06DFD"/>
    <w:rsid w:val="00F0752F"/>
    <w:rsid w:val="00F075A1"/>
    <w:rsid w:val="00F0765A"/>
    <w:rsid w:val="00F10236"/>
    <w:rsid w:val="00F104E3"/>
    <w:rsid w:val="00F10A6C"/>
    <w:rsid w:val="00F11344"/>
    <w:rsid w:val="00F11621"/>
    <w:rsid w:val="00F125FA"/>
    <w:rsid w:val="00F1277D"/>
    <w:rsid w:val="00F135D5"/>
    <w:rsid w:val="00F137C8"/>
    <w:rsid w:val="00F13836"/>
    <w:rsid w:val="00F13863"/>
    <w:rsid w:val="00F13B9C"/>
    <w:rsid w:val="00F14190"/>
    <w:rsid w:val="00F14494"/>
    <w:rsid w:val="00F158B8"/>
    <w:rsid w:val="00F15C0E"/>
    <w:rsid w:val="00F16015"/>
    <w:rsid w:val="00F16A50"/>
    <w:rsid w:val="00F16B55"/>
    <w:rsid w:val="00F17396"/>
    <w:rsid w:val="00F17C65"/>
    <w:rsid w:val="00F20046"/>
    <w:rsid w:val="00F21062"/>
    <w:rsid w:val="00F215A0"/>
    <w:rsid w:val="00F21E7C"/>
    <w:rsid w:val="00F22176"/>
    <w:rsid w:val="00F228D8"/>
    <w:rsid w:val="00F22F76"/>
    <w:rsid w:val="00F2317A"/>
    <w:rsid w:val="00F23C66"/>
    <w:rsid w:val="00F23D8D"/>
    <w:rsid w:val="00F23F7E"/>
    <w:rsid w:val="00F242DC"/>
    <w:rsid w:val="00F24BD1"/>
    <w:rsid w:val="00F260C9"/>
    <w:rsid w:val="00F2635F"/>
    <w:rsid w:val="00F27191"/>
    <w:rsid w:val="00F27404"/>
    <w:rsid w:val="00F278C4"/>
    <w:rsid w:val="00F27DA3"/>
    <w:rsid w:val="00F3085A"/>
    <w:rsid w:val="00F30905"/>
    <w:rsid w:val="00F314A2"/>
    <w:rsid w:val="00F32894"/>
    <w:rsid w:val="00F32A44"/>
    <w:rsid w:val="00F32F58"/>
    <w:rsid w:val="00F333B8"/>
    <w:rsid w:val="00F33A07"/>
    <w:rsid w:val="00F33B22"/>
    <w:rsid w:val="00F33B6F"/>
    <w:rsid w:val="00F340D3"/>
    <w:rsid w:val="00F34415"/>
    <w:rsid w:val="00F3478A"/>
    <w:rsid w:val="00F353BC"/>
    <w:rsid w:val="00F35686"/>
    <w:rsid w:val="00F3614C"/>
    <w:rsid w:val="00F3738D"/>
    <w:rsid w:val="00F37786"/>
    <w:rsid w:val="00F377DB"/>
    <w:rsid w:val="00F37E99"/>
    <w:rsid w:val="00F41035"/>
    <w:rsid w:val="00F4242E"/>
    <w:rsid w:val="00F424A3"/>
    <w:rsid w:val="00F42F6A"/>
    <w:rsid w:val="00F431B8"/>
    <w:rsid w:val="00F43CF7"/>
    <w:rsid w:val="00F443AD"/>
    <w:rsid w:val="00F44F27"/>
    <w:rsid w:val="00F45B92"/>
    <w:rsid w:val="00F45F1D"/>
    <w:rsid w:val="00F46401"/>
    <w:rsid w:val="00F471FD"/>
    <w:rsid w:val="00F4768E"/>
    <w:rsid w:val="00F503E0"/>
    <w:rsid w:val="00F5043D"/>
    <w:rsid w:val="00F50BCC"/>
    <w:rsid w:val="00F50C08"/>
    <w:rsid w:val="00F5159B"/>
    <w:rsid w:val="00F51E48"/>
    <w:rsid w:val="00F52AC0"/>
    <w:rsid w:val="00F52E2D"/>
    <w:rsid w:val="00F536BB"/>
    <w:rsid w:val="00F54084"/>
    <w:rsid w:val="00F5476D"/>
    <w:rsid w:val="00F549A1"/>
    <w:rsid w:val="00F5603F"/>
    <w:rsid w:val="00F57DA4"/>
    <w:rsid w:val="00F603F8"/>
    <w:rsid w:val="00F6062F"/>
    <w:rsid w:val="00F606A7"/>
    <w:rsid w:val="00F606C2"/>
    <w:rsid w:val="00F60B09"/>
    <w:rsid w:val="00F61877"/>
    <w:rsid w:val="00F61ACE"/>
    <w:rsid w:val="00F61D84"/>
    <w:rsid w:val="00F64888"/>
    <w:rsid w:val="00F65260"/>
    <w:rsid w:val="00F6612D"/>
    <w:rsid w:val="00F662BB"/>
    <w:rsid w:val="00F66A9E"/>
    <w:rsid w:val="00F67239"/>
    <w:rsid w:val="00F70762"/>
    <w:rsid w:val="00F70856"/>
    <w:rsid w:val="00F721CA"/>
    <w:rsid w:val="00F72655"/>
    <w:rsid w:val="00F737D7"/>
    <w:rsid w:val="00F73B9F"/>
    <w:rsid w:val="00F740A0"/>
    <w:rsid w:val="00F74801"/>
    <w:rsid w:val="00F74AE7"/>
    <w:rsid w:val="00F75BB0"/>
    <w:rsid w:val="00F76B6A"/>
    <w:rsid w:val="00F76BEA"/>
    <w:rsid w:val="00F76C17"/>
    <w:rsid w:val="00F80F83"/>
    <w:rsid w:val="00F81011"/>
    <w:rsid w:val="00F81AEE"/>
    <w:rsid w:val="00F81B08"/>
    <w:rsid w:val="00F81BDE"/>
    <w:rsid w:val="00F8258B"/>
    <w:rsid w:val="00F82614"/>
    <w:rsid w:val="00F826C1"/>
    <w:rsid w:val="00F828EE"/>
    <w:rsid w:val="00F82D78"/>
    <w:rsid w:val="00F8373D"/>
    <w:rsid w:val="00F83970"/>
    <w:rsid w:val="00F84018"/>
    <w:rsid w:val="00F84B5A"/>
    <w:rsid w:val="00F84B93"/>
    <w:rsid w:val="00F84D11"/>
    <w:rsid w:val="00F855B5"/>
    <w:rsid w:val="00F858B5"/>
    <w:rsid w:val="00F85FF6"/>
    <w:rsid w:val="00F868C1"/>
    <w:rsid w:val="00F87A66"/>
    <w:rsid w:val="00F87CBF"/>
    <w:rsid w:val="00F9230A"/>
    <w:rsid w:val="00F92626"/>
    <w:rsid w:val="00F92B52"/>
    <w:rsid w:val="00F93BBC"/>
    <w:rsid w:val="00F9442A"/>
    <w:rsid w:val="00F94F5F"/>
    <w:rsid w:val="00F958C2"/>
    <w:rsid w:val="00F95F56"/>
    <w:rsid w:val="00F96137"/>
    <w:rsid w:val="00F9644D"/>
    <w:rsid w:val="00F97296"/>
    <w:rsid w:val="00F979AC"/>
    <w:rsid w:val="00FA0BA0"/>
    <w:rsid w:val="00FA19C1"/>
    <w:rsid w:val="00FA25EE"/>
    <w:rsid w:val="00FA34D2"/>
    <w:rsid w:val="00FA3B86"/>
    <w:rsid w:val="00FA4969"/>
    <w:rsid w:val="00FA53D7"/>
    <w:rsid w:val="00FA58E1"/>
    <w:rsid w:val="00FA60BD"/>
    <w:rsid w:val="00FA6796"/>
    <w:rsid w:val="00FA6DDC"/>
    <w:rsid w:val="00FA7557"/>
    <w:rsid w:val="00FA7558"/>
    <w:rsid w:val="00FA774E"/>
    <w:rsid w:val="00FB1905"/>
    <w:rsid w:val="00FB1E74"/>
    <w:rsid w:val="00FB2347"/>
    <w:rsid w:val="00FB2D85"/>
    <w:rsid w:val="00FB3587"/>
    <w:rsid w:val="00FB3B2E"/>
    <w:rsid w:val="00FB3D97"/>
    <w:rsid w:val="00FB440B"/>
    <w:rsid w:val="00FB4510"/>
    <w:rsid w:val="00FB4A92"/>
    <w:rsid w:val="00FB56AF"/>
    <w:rsid w:val="00FB585F"/>
    <w:rsid w:val="00FB5AA2"/>
    <w:rsid w:val="00FB63BC"/>
    <w:rsid w:val="00FB6514"/>
    <w:rsid w:val="00FC05C0"/>
    <w:rsid w:val="00FC085D"/>
    <w:rsid w:val="00FC1CE1"/>
    <w:rsid w:val="00FC29E0"/>
    <w:rsid w:val="00FC2B13"/>
    <w:rsid w:val="00FC3E96"/>
    <w:rsid w:val="00FC5728"/>
    <w:rsid w:val="00FC572D"/>
    <w:rsid w:val="00FC6714"/>
    <w:rsid w:val="00FC6E87"/>
    <w:rsid w:val="00FC7EBB"/>
    <w:rsid w:val="00FC7F08"/>
    <w:rsid w:val="00FD0FD1"/>
    <w:rsid w:val="00FD106D"/>
    <w:rsid w:val="00FD13AA"/>
    <w:rsid w:val="00FD1975"/>
    <w:rsid w:val="00FD1A3D"/>
    <w:rsid w:val="00FD2191"/>
    <w:rsid w:val="00FD266B"/>
    <w:rsid w:val="00FD2B28"/>
    <w:rsid w:val="00FD2D33"/>
    <w:rsid w:val="00FD4710"/>
    <w:rsid w:val="00FD5B50"/>
    <w:rsid w:val="00FD63FC"/>
    <w:rsid w:val="00FE0670"/>
    <w:rsid w:val="00FE2147"/>
    <w:rsid w:val="00FE219D"/>
    <w:rsid w:val="00FE246F"/>
    <w:rsid w:val="00FE2620"/>
    <w:rsid w:val="00FE3864"/>
    <w:rsid w:val="00FE3E75"/>
    <w:rsid w:val="00FE4B0E"/>
    <w:rsid w:val="00FE4D6E"/>
    <w:rsid w:val="00FE6349"/>
    <w:rsid w:val="00FE7282"/>
    <w:rsid w:val="00FE7304"/>
    <w:rsid w:val="00FE78EF"/>
    <w:rsid w:val="00FE79B7"/>
    <w:rsid w:val="00FF0310"/>
    <w:rsid w:val="00FF11DA"/>
    <w:rsid w:val="00FF23DE"/>
    <w:rsid w:val="00FF2792"/>
    <w:rsid w:val="00FF3258"/>
    <w:rsid w:val="00FF38CF"/>
    <w:rsid w:val="00FF59D0"/>
    <w:rsid w:val="00FF7454"/>
    <w:rsid w:val="013D4B1C"/>
    <w:rsid w:val="01D55328"/>
    <w:rsid w:val="01FB5C4F"/>
    <w:rsid w:val="0256548E"/>
    <w:rsid w:val="02890D36"/>
    <w:rsid w:val="029370C7"/>
    <w:rsid w:val="0299635A"/>
    <w:rsid w:val="02FE014F"/>
    <w:rsid w:val="02FF41F8"/>
    <w:rsid w:val="0314419D"/>
    <w:rsid w:val="03D12F2D"/>
    <w:rsid w:val="04E24159"/>
    <w:rsid w:val="04E81B1A"/>
    <w:rsid w:val="05097AD0"/>
    <w:rsid w:val="05CC0E93"/>
    <w:rsid w:val="06443FD4"/>
    <w:rsid w:val="07277E4A"/>
    <w:rsid w:val="08073E22"/>
    <w:rsid w:val="08822685"/>
    <w:rsid w:val="08FA104A"/>
    <w:rsid w:val="08FA57C7"/>
    <w:rsid w:val="09AA1547"/>
    <w:rsid w:val="0A765FB8"/>
    <w:rsid w:val="0A814349"/>
    <w:rsid w:val="0AF8308E"/>
    <w:rsid w:val="0B352404"/>
    <w:rsid w:val="0B5750BC"/>
    <w:rsid w:val="0BE05B27"/>
    <w:rsid w:val="0C4105DA"/>
    <w:rsid w:val="0C483CB5"/>
    <w:rsid w:val="0C5F0057"/>
    <w:rsid w:val="0CBD6B55"/>
    <w:rsid w:val="0D675788"/>
    <w:rsid w:val="0D8D654B"/>
    <w:rsid w:val="0DA914DF"/>
    <w:rsid w:val="0E263246"/>
    <w:rsid w:val="0E3015D7"/>
    <w:rsid w:val="0E6A02CB"/>
    <w:rsid w:val="0FD3569A"/>
    <w:rsid w:val="101500B2"/>
    <w:rsid w:val="10507C42"/>
    <w:rsid w:val="105A7962"/>
    <w:rsid w:val="109C3C4F"/>
    <w:rsid w:val="114F5A7F"/>
    <w:rsid w:val="115C57C9"/>
    <w:rsid w:val="11F62C07"/>
    <w:rsid w:val="124F3295"/>
    <w:rsid w:val="13737B75"/>
    <w:rsid w:val="13B43E61"/>
    <w:rsid w:val="147719A1"/>
    <w:rsid w:val="148C1946"/>
    <w:rsid w:val="14B8240A"/>
    <w:rsid w:val="154C7218"/>
    <w:rsid w:val="16323F16"/>
    <w:rsid w:val="17707100"/>
    <w:rsid w:val="17853822"/>
    <w:rsid w:val="17E06C0C"/>
    <w:rsid w:val="18947263"/>
    <w:rsid w:val="196C5A40"/>
    <w:rsid w:val="198463D0"/>
    <w:rsid w:val="19C2556A"/>
    <w:rsid w:val="19C41B53"/>
    <w:rsid w:val="19FE6FFE"/>
    <w:rsid w:val="1A121912"/>
    <w:rsid w:val="1A2608F3"/>
    <w:rsid w:val="1A336B23"/>
    <w:rsid w:val="1AF9516D"/>
    <w:rsid w:val="1BB15445"/>
    <w:rsid w:val="1BCD57AB"/>
    <w:rsid w:val="1C0E1A98"/>
    <w:rsid w:val="1C381E84"/>
    <w:rsid w:val="1C490289"/>
    <w:rsid w:val="1C6F4FB4"/>
    <w:rsid w:val="1CA6768D"/>
    <w:rsid w:val="1CDB5968"/>
    <w:rsid w:val="1D1F6145"/>
    <w:rsid w:val="1D54432D"/>
    <w:rsid w:val="1E2D620F"/>
    <w:rsid w:val="1E422931"/>
    <w:rsid w:val="1EB65B04"/>
    <w:rsid w:val="1F5E4382"/>
    <w:rsid w:val="1F8F2FC4"/>
    <w:rsid w:val="20325EC0"/>
    <w:rsid w:val="20621846"/>
    <w:rsid w:val="208244E5"/>
    <w:rsid w:val="21BD09EA"/>
    <w:rsid w:val="21C734F7"/>
    <w:rsid w:val="21D2510C"/>
    <w:rsid w:val="21F0363B"/>
    <w:rsid w:val="22B60C01"/>
    <w:rsid w:val="231879A1"/>
    <w:rsid w:val="239A46F7"/>
    <w:rsid w:val="2411343C"/>
    <w:rsid w:val="241C01AD"/>
    <w:rsid w:val="249F6523"/>
    <w:rsid w:val="24E3487F"/>
    <w:rsid w:val="25B84A72"/>
    <w:rsid w:val="2699467B"/>
    <w:rsid w:val="26CA35AD"/>
    <w:rsid w:val="27DC6979"/>
    <w:rsid w:val="28B1694E"/>
    <w:rsid w:val="28BC0562"/>
    <w:rsid w:val="29557225"/>
    <w:rsid w:val="29747D10"/>
    <w:rsid w:val="2A2D713F"/>
    <w:rsid w:val="2A416914"/>
    <w:rsid w:val="2A423861"/>
    <w:rsid w:val="2A63541A"/>
    <w:rsid w:val="2A8F5EDF"/>
    <w:rsid w:val="2AA84B6D"/>
    <w:rsid w:val="2ABF0192"/>
    <w:rsid w:val="2AFB6893"/>
    <w:rsid w:val="2B937D0B"/>
    <w:rsid w:val="2D964B2C"/>
    <w:rsid w:val="2DA55B88"/>
    <w:rsid w:val="2E1E06B9"/>
    <w:rsid w:val="2EB61B31"/>
    <w:rsid w:val="2EF8259B"/>
    <w:rsid w:val="2F064E19"/>
    <w:rsid w:val="2F2954D5"/>
    <w:rsid w:val="2F665BC2"/>
    <w:rsid w:val="2F9959A7"/>
    <w:rsid w:val="2FDE4A00"/>
    <w:rsid w:val="30A957E4"/>
    <w:rsid w:val="30C56DD2"/>
    <w:rsid w:val="31843689"/>
    <w:rsid w:val="3198766B"/>
    <w:rsid w:val="319D0DD6"/>
    <w:rsid w:val="32DE1F01"/>
    <w:rsid w:val="331630E9"/>
    <w:rsid w:val="335F6FD7"/>
    <w:rsid w:val="33B771C8"/>
    <w:rsid w:val="34C131AF"/>
    <w:rsid w:val="34E87C04"/>
    <w:rsid w:val="35476355"/>
    <w:rsid w:val="356928AF"/>
    <w:rsid w:val="3579545F"/>
    <w:rsid w:val="35D579E0"/>
    <w:rsid w:val="35DB17EF"/>
    <w:rsid w:val="35E35887"/>
    <w:rsid w:val="36013D27"/>
    <w:rsid w:val="36025D97"/>
    <w:rsid w:val="36DB3EF8"/>
    <w:rsid w:val="36E47B9D"/>
    <w:rsid w:val="37110C64"/>
    <w:rsid w:val="3859271F"/>
    <w:rsid w:val="38733E42"/>
    <w:rsid w:val="389E43A6"/>
    <w:rsid w:val="38C2712E"/>
    <w:rsid w:val="38E70CD8"/>
    <w:rsid w:val="39A62C24"/>
    <w:rsid w:val="39DF7ECE"/>
    <w:rsid w:val="3A29797A"/>
    <w:rsid w:val="3A3E409C"/>
    <w:rsid w:val="3A5B7D04"/>
    <w:rsid w:val="3AC53AEC"/>
    <w:rsid w:val="3B1D351E"/>
    <w:rsid w:val="3B2575DE"/>
    <w:rsid w:val="3B365BA1"/>
    <w:rsid w:val="3C682428"/>
    <w:rsid w:val="3D417B8C"/>
    <w:rsid w:val="3D4402AC"/>
    <w:rsid w:val="3D4C5F1D"/>
    <w:rsid w:val="3DB325F4"/>
    <w:rsid w:val="3E1A5671"/>
    <w:rsid w:val="3E667CEF"/>
    <w:rsid w:val="3ED34AA0"/>
    <w:rsid w:val="3EF73899"/>
    <w:rsid w:val="3F2A54AE"/>
    <w:rsid w:val="3F6E789D"/>
    <w:rsid w:val="3FE04FF8"/>
    <w:rsid w:val="3FED2FEE"/>
    <w:rsid w:val="40B118C6"/>
    <w:rsid w:val="40EB11DB"/>
    <w:rsid w:val="412874F2"/>
    <w:rsid w:val="41D045A0"/>
    <w:rsid w:val="42014C57"/>
    <w:rsid w:val="42161379"/>
    <w:rsid w:val="42323CE4"/>
    <w:rsid w:val="424C5CAA"/>
    <w:rsid w:val="42512785"/>
    <w:rsid w:val="42AF6075"/>
    <w:rsid w:val="42CF43AB"/>
    <w:rsid w:val="42EE6E5E"/>
    <w:rsid w:val="43204EC2"/>
    <w:rsid w:val="43C845C3"/>
    <w:rsid w:val="44DA4046"/>
    <w:rsid w:val="44E01002"/>
    <w:rsid w:val="45123FBD"/>
    <w:rsid w:val="45CF5A88"/>
    <w:rsid w:val="46737A24"/>
    <w:rsid w:val="46CA0433"/>
    <w:rsid w:val="48516FB5"/>
    <w:rsid w:val="48A57EC2"/>
    <w:rsid w:val="48B459D5"/>
    <w:rsid w:val="48FF5A97"/>
    <w:rsid w:val="493337A9"/>
    <w:rsid w:val="49497D40"/>
    <w:rsid w:val="4A9216E3"/>
    <w:rsid w:val="4AE820F1"/>
    <w:rsid w:val="4B691C1A"/>
    <w:rsid w:val="4BC52E28"/>
    <w:rsid w:val="4CDC3E37"/>
    <w:rsid w:val="4DF7294E"/>
    <w:rsid w:val="4E634927"/>
    <w:rsid w:val="4EE259CC"/>
    <w:rsid w:val="4F105D44"/>
    <w:rsid w:val="4F355850"/>
    <w:rsid w:val="4F5C4B3F"/>
    <w:rsid w:val="4F8B14B0"/>
    <w:rsid w:val="4FB671CF"/>
    <w:rsid w:val="4FE92F20"/>
    <w:rsid w:val="4FEE276A"/>
    <w:rsid w:val="4FFD7F4B"/>
    <w:rsid w:val="501F5F01"/>
    <w:rsid w:val="50BF05A8"/>
    <w:rsid w:val="52077FA0"/>
    <w:rsid w:val="52F61E27"/>
    <w:rsid w:val="53EB4DFF"/>
    <w:rsid w:val="545C6276"/>
    <w:rsid w:val="54DD6AF9"/>
    <w:rsid w:val="54EA382C"/>
    <w:rsid w:val="5537272A"/>
    <w:rsid w:val="556C60B3"/>
    <w:rsid w:val="561A74D1"/>
    <w:rsid w:val="57283E0B"/>
    <w:rsid w:val="574A1DC1"/>
    <w:rsid w:val="57C00B06"/>
    <w:rsid w:val="57CC0FC7"/>
    <w:rsid w:val="58021570"/>
    <w:rsid w:val="580E5197"/>
    <w:rsid w:val="5831455A"/>
    <w:rsid w:val="583302DE"/>
    <w:rsid w:val="5863030F"/>
    <w:rsid w:val="58B07A56"/>
    <w:rsid w:val="5906339C"/>
    <w:rsid w:val="5915699E"/>
    <w:rsid w:val="592616D2"/>
    <w:rsid w:val="59341B00"/>
    <w:rsid w:val="594971F2"/>
    <w:rsid w:val="59DE0E81"/>
    <w:rsid w:val="59F55223"/>
    <w:rsid w:val="59FF35B4"/>
    <w:rsid w:val="5A04705D"/>
    <w:rsid w:val="5A166E71"/>
    <w:rsid w:val="5AE470AA"/>
    <w:rsid w:val="5B301727"/>
    <w:rsid w:val="5B5A5DEF"/>
    <w:rsid w:val="5BC56904"/>
    <w:rsid w:val="5C0A6E8C"/>
    <w:rsid w:val="5CEC2D02"/>
    <w:rsid w:val="5D2353DA"/>
    <w:rsid w:val="5EBC3A41"/>
    <w:rsid w:val="5F6D531F"/>
    <w:rsid w:val="5FAE2505"/>
    <w:rsid w:val="5FE00EBE"/>
    <w:rsid w:val="60056797"/>
    <w:rsid w:val="61094D40"/>
    <w:rsid w:val="614172DE"/>
    <w:rsid w:val="6160574F"/>
    <w:rsid w:val="62447F52"/>
    <w:rsid w:val="62E35058"/>
    <w:rsid w:val="636A546F"/>
    <w:rsid w:val="642A353F"/>
    <w:rsid w:val="64B660F0"/>
    <w:rsid w:val="6511265D"/>
    <w:rsid w:val="651C4271"/>
    <w:rsid w:val="65A93AD5"/>
    <w:rsid w:val="661A55F3"/>
    <w:rsid w:val="662B3EC2"/>
    <w:rsid w:val="66B25BAB"/>
    <w:rsid w:val="67DD2D7C"/>
    <w:rsid w:val="67FF0980"/>
    <w:rsid w:val="6808013C"/>
    <w:rsid w:val="68490BA5"/>
    <w:rsid w:val="6872092B"/>
    <w:rsid w:val="68A320F0"/>
    <w:rsid w:val="68C10A03"/>
    <w:rsid w:val="691702F9"/>
    <w:rsid w:val="692E7F1E"/>
    <w:rsid w:val="69430A4C"/>
    <w:rsid w:val="69836A41"/>
    <w:rsid w:val="699423CB"/>
    <w:rsid w:val="6A242849"/>
    <w:rsid w:val="6ADF78E5"/>
    <w:rsid w:val="6B0B3C2C"/>
    <w:rsid w:val="6B7874F8"/>
    <w:rsid w:val="6B8D0D02"/>
    <w:rsid w:val="6C1E3F43"/>
    <w:rsid w:val="6C7C2B89"/>
    <w:rsid w:val="6CB30AE5"/>
    <w:rsid w:val="6E92338D"/>
    <w:rsid w:val="6EA50F15"/>
    <w:rsid w:val="6F1218C9"/>
    <w:rsid w:val="6F35142D"/>
    <w:rsid w:val="6FE10C9C"/>
    <w:rsid w:val="70257F20"/>
    <w:rsid w:val="70375E28"/>
    <w:rsid w:val="70593DDE"/>
    <w:rsid w:val="70DF5DB7"/>
    <w:rsid w:val="714D2E86"/>
    <w:rsid w:val="72401A80"/>
    <w:rsid w:val="7298562B"/>
    <w:rsid w:val="72CA2166"/>
    <w:rsid w:val="72D46DF2"/>
    <w:rsid w:val="73047240"/>
    <w:rsid w:val="739A5FC5"/>
    <w:rsid w:val="74125278"/>
    <w:rsid w:val="744A3547"/>
    <w:rsid w:val="744C5512"/>
    <w:rsid w:val="7474619D"/>
    <w:rsid w:val="75435570"/>
    <w:rsid w:val="765E373E"/>
    <w:rsid w:val="76912AA8"/>
    <w:rsid w:val="76936197"/>
    <w:rsid w:val="7A2D6D03"/>
    <w:rsid w:val="7A604F75"/>
    <w:rsid w:val="7AF244C2"/>
    <w:rsid w:val="7C2B1938"/>
    <w:rsid w:val="7C8313D5"/>
    <w:rsid w:val="7CB1637A"/>
    <w:rsid w:val="7CD82575"/>
    <w:rsid w:val="7D033D2B"/>
    <w:rsid w:val="7D0564AB"/>
    <w:rsid w:val="7D5052A6"/>
    <w:rsid w:val="7DE50961"/>
    <w:rsid w:val="7E813419"/>
    <w:rsid w:val="7F0204F0"/>
    <w:rsid w:val="7F10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autoRedefine/>
    <w:qFormat/>
    <w:uiPriority w:val="9"/>
    <w:pPr>
      <w:keepNext/>
      <w:keepLines/>
      <w:spacing w:before="340" w:after="330" w:line="578" w:lineRule="auto"/>
      <w:jc w:val="center"/>
      <w:outlineLvl w:val="0"/>
    </w:pPr>
    <w:rPr>
      <w:rFonts w:eastAsia="仿宋_GB2312"/>
      <w:b/>
      <w:bCs/>
      <w:kern w:val="44"/>
      <w:sz w:val="44"/>
      <w:szCs w:val="44"/>
    </w:rPr>
  </w:style>
  <w:style w:type="paragraph" w:styleId="3">
    <w:name w:val="heading 2"/>
    <w:basedOn w:val="1"/>
    <w:next w:val="1"/>
    <w:link w:val="83"/>
    <w:autoRedefine/>
    <w:qFormat/>
    <w:uiPriority w:val="9"/>
    <w:pPr>
      <w:keepNext/>
      <w:keepLines/>
      <w:spacing w:before="260" w:after="260" w:line="400" w:lineRule="exact"/>
      <w:outlineLvl w:val="1"/>
    </w:pPr>
    <w:rPr>
      <w:rFonts w:ascii="Arial" w:hAnsi="Arial" w:eastAsia="黑体"/>
      <w:b/>
      <w:bCs/>
      <w:sz w:val="24"/>
      <w:szCs w:val="32"/>
    </w:rPr>
  </w:style>
  <w:style w:type="paragraph" w:styleId="4">
    <w:name w:val="heading 3"/>
    <w:basedOn w:val="1"/>
    <w:next w:val="1"/>
    <w:link w:val="59"/>
    <w:autoRedefine/>
    <w:qFormat/>
    <w:uiPriority w:val="9"/>
    <w:pPr>
      <w:keepNext/>
      <w:keepLines/>
      <w:spacing w:before="260" w:after="260" w:line="416" w:lineRule="auto"/>
      <w:outlineLvl w:val="2"/>
    </w:pPr>
    <w:rPr>
      <w:b/>
      <w:bCs/>
      <w:sz w:val="32"/>
      <w:szCs w:val="32"/>
    </w:rPr>
  </w:style>
  <w:style w:type="paragraph" w:styleId="5">
    <w:name w:val="heading 4"/>
    <w:basedOn w:val="1"/>
    <w:next w:val="1"/>
    <w:link w:val="126"/>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7"/>
    <w:link w:val="127"/>
    <w:autoRedefine/>
    <w:qFormat/>
    <w:uiPriority w:val="9"/>
    <w:pPr>
      <w:keepNext/>
      <w:keepLines/>
      <w:numPr>
        <w:ilvl w:val="4"/>
        <w:numId w:val="1"/>
      </w:numPr>
      <w:spacing w:before="280" w:after="290" w:line="376" w:lineRule="auto"/>
      <w:outlineLvl w:val="4"/>
    </w:pPr>
    <w:rPr>
      <w:b/>
      <w:sz w:val="28"/>
    </w:rPr>
  </w:style>
  <w:style w:type="paragraph" w:styleId="8">
    <w:name w:val="heading 6"/>
    <w:basedOn w:val="1"/>
    <w:next w:val="7"/>
    <w:link w:val="128"/>
    <w:autoRedefine/>
    <w:qFormat/>
    <w:uiPriority w:val="9"/>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link w:val="129"/>
    <w:autoRedefine/>
    <w:qFormat/>
    <w:uiPriority w:val="9"/>
    <w:pPr>
      <w:keepNext/>
      <w:keepLines/>
      <w:numPr>
        <w:ilvl w:val="6"/>
        <w:numId w:val="1"/>
      </w:numPr>
      <w:spacing w:before="240" w:after="64" w:line="320" w:lineRule="auto"/>
      <w:outlineLvl w:val="6"/>
    </w:pPr>
    <w:rPr>
      <w:b/>
      <w:sz w:val="24"/>
    </w:rPr>
  </w:style>
  <w:style w:type="paragraph" w:styleId="10">
    <w:name w:val="heading 8"/>
    <w:basedOn w:val="1"/>
    <w:next w:val="7"/>
    <w:link w:val="130"/>
    <w:autoRedefine/>
    <w:qFormat/>
    <w:uiPriority w:val="9"/>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link w:val="131"/>
    <w:autoRedefine/>
    <w:qFormat/>
    <w:uiPriority w:val="9"/>
    <w:pPr>
      <w:keepNext/>
      <w:keepLines/>
      <w:numPr>
        <w:ilvl w:val="8"/>
        <w:numId w:val="1"/>
      </w:numPr>
      <w:spacing w:before="240" w:after="64" w:line="320" w:lineRule="auto"/>
      <w:outlineLvl w:val="8"/>
    </w:pPr>
    <w:rPr>
      <w:rFonts w:ascii="Arial" w:hAnsi="Arial" w:eastAsia="黑体"/>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57"/>
    <w:autoRedefine/>
    <w:qFormat/>
    <w:uiPriority w:val="0"/>
    <w:pPr>
      <w:ind w:firstLine="420"/>
    </w:pPr>
    <w:rPr>
      <w:szCs w:val="20"/>
    </w:rPr>
  </w:style>
  <w:style w:type="paragraph" w:styleId="12">
    <w:name w:val="List Number"/>
    <w:basedOn w:val="1"/>
    <w:autoRedefine/>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3">
    <w:name w:val="caption"/>
    <w:basedOn w:val="1"/>
    <w:next w:val="1"/>
    <w:autoRedefine/>
    <w:qFormat/>
    <w:uiPriority w:val="35"/>
    <w:pPr>
      <w:spacing w:before="152" w:after="160"/>
    </w:pPr>
    <w:rPr>
      <w:rFonts w:ascii="Arial" w:hAnsi="Arial" w:eastAsia="黑体" w:cs="Arial"/>
      <w:sz w:val="20"/>
      <w:szCs w:val="20"/>
    </w:rPr>
  </w:style>
  <w:style w:type="paragraph" w:styleId="14">
    <w:name w:val="Document Map"/>
    <w:basedOn w:val="1"/>
    <w:link w:val="133"/>
    <w:autoRedefine/>
    <w:qFormat/>
    <w:uiPriority w:val="99"/>
    <w:pPr>
      <w:shd w:val="clear" w:color="auto" w:fill="000080"/>
    </w:pPr>
  </w:style>
  <w:style w:type="paragraph" w:styleId="15">
    <w:name w:val="annotation text"/>
    <w:basedOn w:val="1"/>
    <w:link w:val="73"/>
    <w:autoRedefine/>
    <w:qFormat/>
    <w:uiPriority w:val="99"/>
    <w:pPr>
      <w:jc w:val="left"/>
    </w:pPr>
  </w:style>
  <w:style w:type="paragraph" w:styleId="16">
    <w:name w:val="Body Text 3"/>
    <w:basedOn w:val="1"/>
    <w:autoRedefine/>
    <w:qFormat/>
    <w:uiPriority w:val="0"/>
    <w:pPr>
      <w:spacing w:line="500" w:lineRule="exact"/>
    </w:pPr>
    <w:rPr>
      <w:b/>
      <w:bCs/>
      <w:sz w:val="24"/>
    </w:rPr>
  </w:style>
  <w:style w:type="paragraph" w:styleId="17">
    <w:name w:val="Body Text"/>
    <w:basedOn w:val="1"/>
    <w:next w:val="1"/>
    <w:link w:val="134"/>
    <w:autoRedefine/>
    <w:qFormat/>
    <w:uiPriority w:val="0"/>
    <w:pPr>
      <w:spacing w:line="380" w:lineRule="exact"/>
    </w:pPr>
    <w:rPr>
      <w:sz w:val="24"/>
    </w:rPr>
  </w:style>
  <w:style w:type="paragraph" w:styleId="18">
    <w:name w:val="Body Text Indent"/>
    <w:basedOn w:val="1"/>
    <w:next w:val="1"/>
    <w:link w:val="66"/>
    <w:autoRedefine/>
    <w:qFormat/>
    <w:uiPriority w:val="0"/>
    <w:pPr>
      <w:ind w:firstLine="830" w:firstLineChars="352"/>
    </w:pPr>
    <w:rPr>
      <w:rFonts w:ascii="仿宋_GB2312" w:eastAsia="仿宋_GB2312"/>
      <w:sz w:val="32"/>
      <w:szCs w:val="20"/>
    </w:rPr>
  </w:style>
  <w:style w:type="paragraph" w:styleId="19">
    <w:name w:val="List Number 3"/>
    <w:basedOn w:val="1"/>
    <w:autoRedefine/>
    <w:qFormat/>
    <w:uiPriority w:val="0"/>
    <w:pPr>
      <w:numPr>
        <w:ilvl w:val="0"/>
        <w:numId w:val="1"/>
      </w:numPr>
    </w:pPr>
  </w:style>
  <w:style w:type="paragraph" w:styleId="20">
    <w:name w:val="List 2"/>
    <w:basedOn w:val="1"/>
    <w:autoRedefine/>
    <w:qFormat/>
    <w:uiPriority w:val="0"/>
    <w:pPr>
      <w:ind w:left="100" w:leftChars="200" w:hanging="200" w:hangingChars="200"/>
    </w:pPr>
    <w:rPr>
      <w:sz w:val="28"/>
    </w:rPr>
  </w:style>
  <w:style w:type="paragraph" w:styleId="21">
    <w:name w:val="Plain Text"/>
    <w:basedOn w:val="1"/>
    <w:next w:val="1"/>
    <w:link w:val="53"/>
    <w:autoRedefine/>
    <w:qFormat/>
    <w:uiPriority w:val="0"/>
    <w:rPr>
      <w:rFonts w:ascii="宋体" w:hAnsi="Courier New" w:cs="Courier New"/>
      <w:szCs w:val="21"/>
    </w:rPr>
  </w:style>
  <w:style w:type="paragraph" w:styleId="22">
    <w:name w:val="Date"/>
    <w:basedOn w:val="1"/>
    <w:next w:val="1"/>
    <w:autoRedefine/>
    <w:qFormat/>
    <w:uiPriority w:val="0"/>
    <w:pPr>
      <w:ind w:left="100" w:leftChars="2500"/>
    </w:pPr>
    <w:rPr>
      <w:rFonts w:ascii="宋体" w:hAnsi="Courier New" w:cs="Courier New"/>
      <w:szCs w:val="21"/>
    </w:rPr>
  </w:style>
  <w:style w:type="paragraph" w:styleId="23">
    <w:name w:val="Body Text Indent 2"/>
    <w:basedOn w:val="1"/>
    <w:autoRedefine/>
    <w:qFormat/>
    <w:uiPriority w:val="0"/>
    <w:pPr>
      <w:ind w:firstLine="630"/>
    </w:pPr>
    <w:rPr>
      <w:sz w:val="32"/>
      <w:szCs w:val="20"/>
    </w:rPr>
  </w:style>
  <w:style w:type="paragraph" w:styleId="24">
    <w:name w:val="Balloon Text"/>
    <w:basedOn w:val="1"/>
    <w:link w:val="72"/>
    <w:autoRedefine/>
    <w:qFormat/>
    <w:uiPriority w:val="99"/>
    <w:rPr>
      <w:sz w:val="18"/>
      <w:szCs w:val="18"/>
      <w:lang w:val="zh-CN"/>
    </w:rPr>
  </w:style>
  <w:style w:type="paragraph" w:styleId="25">
    <w:name w:val="footer"/>
    <w:basedOn w:val="1"/>
    <w:link w:val="68"/>
    <w:autoRedefine/>
    <w:qFormat/>
    <w:uiPriority w:val="99"/>
    <w:pPr>
      <w:tabs>
        <w:tab w:val="center" w:pos="4153"/>
        <w:tab w:val="right" w:pos="8306"/>
      </w:tabs>
      <w:snapToGrid w:val="0"/>
      <w:jc w:val="left"/>
    </w:pPr>
    <w:rPr>
      <w:sz w:val="18"/>
      <w:szCs w:val="18"/>
      <w:lang w:val="zh-CN"/>
    </w:rPr>
  </w:style>
  <w:style w:type="paragraph" w:styleId="26">
    <w:name w:val="header"/>
    <w:basedOn w:val="1"/>
    <w:link w:val="70"/>
    <w:autoRedefine/>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style>
  <w:style w:type="paragraph" w:styleId="28">
    <w:name w:val="Subtitle"/>
    <w:basedOn w:val="1"/>
    <w:next w:val="1"/>
    <w:link w:val="71"/>
    <w:autoRedefine/>
    <w:qFormat/>
    <w:uiPriority w:val="0"/>
    <w:pPr>
      <w:spacing w:line="312" w:lineRule="auto"/>
      <w:ind w:left="200" w:leftChars="200"/>
      <w:jc w:val="left"/>
      <w:outlineLvl w:val="1"/>
    </w:pPr>
    <w:rPr>
      <w:rFonts w:ascii="Cambria" w:hAnsi="Cambria"/>
      <w:b/>
      <w:bCs/>
      <w:kern w:val="28"/>
      <w:sz w:val="28"/>
      <w:szCs w:val="32"/>
    </w:rPr>
  </w:style>
  <w:style w:type="paragraph" w:styleId="29">
    <w:name w:val="List"/>
    <w:basedOn w:val="1"/>
    <w:autoRedefine/>
    <w:qFormat/>
    <w:uiPriority w:val="0"/>
    <w:pPr>
      <w:ind w:left="200" w:hanging="200" w:hangingChars="200"/>
    </w:pPr>
    <w:rPr>
      <w:sz w:val="28"/>
    </w:rPr>
  </w:style>
  <w:style w:type="paragraph" w:styleId="30">
    <w:name w:val="Body Text Indent 3"/>
    <w:basedOn w:val="1"/>
    <w:autoRedefine/>
    <w:qFormat/>
    <w:uiPriority w:val="0"/>
    <w:pPr>
      <w:spacing w:after="120"/>
      <w:ind w:left="420" w:leftChars="200"/>
    </w:pPr>
    <w:rPr>
      <w:sz w:val="16"/>
      <w:szCs w:val="16"/>
    </w:rPr>
  </w:style>
  <w:style w:type="paragraph" w:styleId="31">
    <w:name w:val="Body Text 2"/>
    <w:basedOn w:val="1"/>
    <w:autoRedefine/>
    <w:qFormat/>
    <w:uiPriority w:val="0"/>
    <w:pPr>
      <w:spacing w:after="120" w:line="480" w:lineRule="auto"/>
    </w:pPr>
  </w:style>
  <w:style w:type="paragraph" w:styleId="32">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3">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34">
    <w:name w:val="annotation subject"/>
    <w:basedOn w:val="15"/>
    <w:next w:val="15"/>
    <w:link w:val="84"/>
    <w:autoRedefine/>
    <w:qFormat/>
    <w:uiPriority w:val="0"/>
    <w:rPr>
      <w:b/>
      <w:bCs/>
    </w:rPr>
  </w:style>
  <w:style w:type="paragraph" w:styleId="35">
    <w:name w:val="Body Text First Indent"/>
    <w:basedOn w:val="17"/>
    <w:autoRedefine/>
    <w:qFormat/>
    <w:uiPriority w:val="0"/>
    <w:pPr>
      <w:ind w:firstLine="420" w:firstLineChars="100"/>
    </w:pPr>
    <w:rPr>
      <w:rFonts w:ascii="宋体"/>
      <w:sz w:val="21"/>
    </w:rPr>
  </w:style>
  <w:style w:type="table" w:styleId="37">
    <w:name w:val="Table Grid"/>
    <w:basedOn w:val="3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autoRedefine/>
    <w:qFormat/>
    <w:uiPriority w:val="0"/>
    <w:rPr>
      <w:rFonts w:ascii="Times New Roman" w:hAnsi="Times New Roman" w:eastAsia="宋体" w:cs="Times New Roman"/>
      <w:b/>
      <w:bCs/>
    </w:rPr>
  </w:style>
  <w:style w:type="character" w:styleId="40">
    <w:name w:val="page number"/>
    <w:autoRedefine/>
    <w:qFormat/>
    <w:uiPriority w:val="0"/>
    <w:rPr>
      <w:rFonts w:ascii="Times New Roman" w:hAnsi="Times New Roman" w:eastAsia="宋体" w:cs="Times New Roman"/>
    </w:rPr>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Emphasis"/>
    <w:autoRedefine/>
    <w:qFormat/>
    <w:uiPriority w:val="0"/>
    <w:rPr>
      <w:rFonts w:ascii="Times New Roman" w:hAnsi="Times New Roman" w:eastAsia="宋体" w:cs="Times New Roman"/>
      <w:color w:val="CC0033"/>
    </w:rPr>
  </w:style>
  <w:style w:type="character" w:styleId="43">
    <w:name w:val="Hyperlink"/>
    <w:autoRedefine/>
    <w:qFormat/>
    <w:uiPriority w:val="99"/>
    <w:rPr>
      <w:rFonts w:ascii="Times New Roman" w:hAnsi="Times New Roman" w:eastAsia="宋体" w:cs="Times New Roman"/>
      <w:color w:val="0000FF"/>
      <w:u w:val="single"/>
    </w:rPr>
  </w:style>
  <w:style w:type="character" w:styleId="44">
    <w:name w:val="annotation reference"/>
    <w:autoRedefine/>
    <w:qFormat/>
    <w:uiPriority w:val="0"/>
    <w:rPr>
      <w:rFonts w:ascii="Times New Roman" w:hAnsi="Times New Roman" w:eastAsia="宋体" w:cs="Times New Roman"/>
      <w:sz w:val="21"/>
      <w:szCs w:val="21"/>
    </w:rPr>
  </w:style>
  <w:style w:type="character" w:styleId="45">
    <w:name w:val="HTML Sample"/>
    <w:basedOn w:val="38"/>
    <w:autoRedefine/>
    <w:semiHidden/>
    <w:unhideWhenUsed/>
    <w:qFormat/>
    <w:uiPriority w:val="99"/>
    <w:rPr>
      <w:rFonts w:ascii="Courier New" w:hAnsi="Courier New"/>
    </w:rPr>
  </w:style>
  <w:style w:type="character" w:customStyle="1" w:styleId="46">
    <w:name w:val="font21"/>
    <w:autoRedefine/>
    <w:qFormat/>
    <w:uiPriority w:val="0"/>
    <w:rPr>
      <w:rFonts w:hint="eastAsia" w:ascii="宋体" w:hAnsi="宋体" w:eastAsia="宋体" w:cs="宋体"/>
      <w:color w:val="000000"/>
      <w:sz w:val="20"/>
      <w:szCs w:val="20"/>
    </w:rPr>
  </w:style>
  <w:style w:type="character" w:customStyle="1" w:styleId="47">
    <w:name w:val="st1"/>
    <w:autoRedefine/>
    <w:qFormat/>
    <w:uiPriority w:val="0"/>
    <w:rPr>
      <w:rFonts w:ascii="Times New Roman" w:hAnsi="Times New Roman" w:eastAsia="宋体" w:cs="Times New Roman"/>
    </w:rPr>
  </w:style>
  <w:style w:type="character" w:customStyle="1" w:styleId="48">
    <w:name w:val="标题 1 字符"/>
    <w:link w:val="2"/>
    <w:autoRedefine/>
    <w:qFormat/>
    <w:uiPriority w:val="9"/>
    <w:rPr>
      <w:rFonts w:ascii="Times New Roman" w:hAnsi="Times New Roman" w:eastAsia="仿宋_GB2312" w:cs="Times New Roman"/>
      <w:b/>
      <w:bCs/>
      <w:kern w:val="44"/>
      <w:sz w:val="44"/>
      <w:szCs w:val="44"/>
      <w:lang w:val="en-US" w:eastAsia="zh-CN" w:bidi="ar-SA"/>
    </w:rPr>
  </w:style>
  <w:style w:type="character" w:customStyle="1" w:styleId="49">
    <w:name w:val="ca-2"/>
    <w:autoRedefine/>
    <w:qFormat/>
    <w:uiPriority w:val="0"/>
    <w:rPr>
      <w:rFonts w:ascii="Times New Roman" w:hAnsi="Times New Roman" w:eastAsia="宋体" w:cs="Times New Roman"/>
    </w:rPr>
  </w:style>
  <w:style w:type="character" w:customStyle="1" w:styleId="50">
    <w:name w:val="H1 Char"/>
    <w:autoRedefine/>
    <w:qFormat/>
    <w:uiPriority w:val="0"/>
    <w:rPr>
      <w:rFonts w:ascii="Times New Roman" w:hAnsi="Times New Roman" w:eastAsia="仿宋_GB2312" w:cs="Times New Roman"/>
      <w:b/>
      <w:bCs/>
      <w:kern w:val="44"/>
      <w:sz w:val="44"/>
      <w:szCs w:val="44"/>
      <w:lang w:val="en-US" w:eastAsia="zh-CN" w:bidi="ar-SA"/>
    </w:rPr>
  </w:style>
  <w:style w:type="character" w:customStyle="1" w:styleId="51">
    <w:name w:val="1ji Char"/>
    <w:link w:val="52"/>
    <w:autoRedefine/>
    <w:qFormat/>
    <w:uiPriority w:val="0"/>
    <w:rPr>
      <w:rFonts w:ascii="宋体" w:hAnsi="宋体" w:eastAsia="仿宋_GB2312" w:cs="Times New Roman"/>
      <w:b/>
      <w:bCs/>
      <w:kern w:val="44"/>
      <w:sz w:val="36"/>
      <w:szCs w:val="44"/>
      <w:lang w:val="en-US" w:eastAsia="zh-CN" w:bidi="ar-SA"/>
    </w:rPr>
  </w:style>
  <w:style w:type="paragraph" w:customStyle="1" w:styleId="52">
    <w:name w:val="1ji"/>
    <w:basedOn w:val="2"/>
    <w:link w:val="51"/>
    <w:autoRedefine/>
    <w:qFormat/>
    <w:uiPriority w:val="0"/>
    <w:pPr>
      <w:keepLines w:val="0"/>
      <w:widowControl/>
      <w:spacing w:before="0" w:after="0" w:line="240" w:lineRule="auto"/>
    </w:pPr>
    <w:rPr>
      <w:rFonts w:ascii="宋体" w:hAnsi="宋体"/>
      <w:sz w:val="36"/>
    </w:rPr>
  </w:style>
  <w:style w:type="character" w:customStyle="1" w:styleId="53">
    <w:name w:val="纯文本 字符"/>
    <w:link w:val="21"/>
    <w:autoRedefine/>
    <w:qFormat/>
    <w:uiPriority w:val="0"/>
    <w:rPr>
      <w:rFonts w:ascii="宋体" w:hAnsi="Courier New" w:eastAsia="宋体" w:cs="Courier New"/>
      <w:kern w:val="2"/>
      <w:sz w:val="21"/>
      <w:szCs w:val="21"/>
      <w:lang w:val="en-US" w:eastAsia="zh-CN" w:bidi="ar-SA"/>
    </w:rPr>
  </w:style>
  <w:style w:type="character" w:customStyle="1" w:styleId="54">
    <w:name w:val="font41"/>
    <w:autoRedefine/>
    <w:qFormat/>
    <w:uiPriority w:val="0"/>
    <w:rPr>
      <w:rFonts w:hint="default" w:ascii="Times New Roman" w:hAnsi="Times New Roman" w:eastAsia="宋体" w:cs="Times New Roman"/>
      <w:color w:val="000000"/>
      <w:sz w:val="20"/>
      <w:szCs w:val="20"/>
    </w:rPr>
  </w:style>
  <w:style w:type="character" w:customStyle="1" w:styleId="55">
    <w:name w:val="font31"/>
    <w:autoRedefine/>
    <w:qFormat/>
    <w:uiPriority w:val="0"/>
    <w:rPr>
      <w:rFonts w:hint="default" w:ascii="Times New Roman" w:hAnsi="Times New Roman" w:eastAsia="宋体" w:cs="Times New Roman"/>
      <w:color w:val="000000"/>
      <w:sz w:val="20"/>
      <w:szCs w:val="20"/>
    </w:rPr>
  </w:style>
  <w:style w:type="character" w:customStyle="1" w:styleId="56">
    <w:name w:val="apple-style-span"/>
    <w:autoRedefine/>
    <w:qFormat/>
    <w:uiPriority w:val="0"/>
    <w:rPr>
      <w:rFonts w:ascii="Times New Roman" w:hAnsi="Times New Roman" w:eastAsia="宋体" w:cs="Times New Roman"/>
    </w:rPr>
  </w:style>
  <w:style w:type="character" w:customStyle="1" w:styleId="57">
    <w:name w:val="正文缩进 字符"/>
    <w:link w:val="7"/>
    <w:autoRedefine/>
    <w:qFormat/>
    <w:uiPriority w:val="0"/>
    <w:rPr>
      <w:rFonts w:ascii="Times New Roman" w:hAnsi="Times New Roman" w:eastAsia="宋体" w:cs="Times New Roman"/>
      <w:kern w:val="2"/>
      <w:sz w:val="21"/>
      <w:lang w:val="en-US" w:eastAsia="zh-CN" w:bidi="ar-SA"/>
    </w:rPr>
  </w:style>
  <w:style w:type="character" w:customStyle="1" w:styleId="58">
    <w:name w:val="font51"/>
    <w:autoRedefine/>
    <w:qFormat/>
    <w:uiPriority w:val="0"/>
    <w:rPr>
      <w:rFonts w:hint="default" w:ascii="Times New Roman" w:hAnsi="Times New Roman" w:eastAsia="宋体" w:cs="Times New Roman"/>
      <w:color w:val="000000"/>
      <w:sz w:val="20"/>
      <w:szCs w:val="20"/>
    </w:rPr>
  </w:style>
  <w:style w:type="character" w:customStyle="1" w:styleId="59">
    <w:name w:val="标题 3 字符"/>
    <w:link w:val="4"/>
    <w:autoRedefine/>
    <w:qFormat/>
    <w:uiPriority w:val="9"/>
    <w:rPr>
      <w:rFonts w:ascii="Times New Roman" w:hAnsi="Times New Roman" w:eastAsia="宋体" w:cs="Times New Roman"/>
      <w:b/>
      <w:bCs/>
      <w:kern w:val="2"/>
      <w:sz w:val="32"/>
      <w:szCs w:val="32"/>
      <w:lang w:val="en-US" w:eastAsia="zh-CN" w:bidi="ar-SA"/>
    </w:rPr>
  </w:style>
  <w:style w:type="character" w:customStyle="1" w:styleId="60">
    <w:name w:val="apple-converted-space"/>
    <w:autoRedefine/>
    <w:qFormat/>
    <w:uiPriority w:val="0"/>
    <w:rPr>
      <w:rFonts w:ascii="Times New Roman" w:hAnsi="Times New Roman" w:eastAsia="宋体" w:cs="Times New Roman"/>
    </w:rPr>
  </w:style>
  <w:style w:type="character" w:customStyle="1" w:styleId="61">
    <w:name w:val="Header Char"/>
    <w:autoRedefine/>
    <w:qFormat/>
    <w:uiPriority w:val="0"/>
    <w:rPr>
      <w:rFonts w:ascii="Calibri" w:hAnsi="Calibri" w:eastAsia="宋体" w:cs="Times New Roman"/>
      <w:kern w:val="2"/>
      <w:sz w:val="18"/>
      <w:szCs w:val="18"/>
      <w:lang w:val="en-US" w:eastAsia="zh-CN" w:bidi="ar-SA"/>
    </w:rPr>
  </w:style>
  <w:style w:type="character" w:customStyle="1" w:styleId="62">
    <w:name w:val="Footer Char"/>
    <w:autoRedefine/>
    <w:qFormat/>
    <w:uiPriority w:val="0"/>
    <w:rPr>
      <w:rFonts w:ascii="Calibri" w:hAnsi="Calibri" w:eastAsia="宋体" w:cs="Times New Roman"/>
      <w:kern w:val="2"/>
      <w:sz w:val="18"/>
      <w:szCs w:val="18"/>
      <w:lang w:val="en-US" w:eastAsia="zh-CN" w:bidi="ar-SA"/>
    </w:rPr>
  </w:style>
  <w:style w:type="character" w:customStyle="1" w:styleId="63">
    <w:name w:val="Plain Text Char"/>
    <w:autoRedefine/>
    <w:qFormat/>
    <w:uiPriority w:val="0"/>
    <w:rPr>
      <w:rFonts w:ascii="宋体" w:hAnsi="Courier New" w:eastAsia="宋体" w:cs="Times New Roman"/>
      <w:lang w:bidi="ar-SA"/>
    </w:rPr>
  </w:style>
  <w:style w:type="character" w:customStyle="1" w:styleId="64">
    <w:name w:val="普通文字 Char Char3"/>
    <w:autoRedefine/>
    <w:qFormat/>
    <w:uiPriority w:val="0"/>
    <w:rPr>
      <w:rFonts w:ascii="宋体" w:hAnsi="Times New Roman" w:eastAsia="宋体" w:cs="Courier New"/>
      <w:kern w:val="2"/>
      <w:sz w:val="21"/>
      <w:szCs w:val="21"/>
      <w:lang w:val="en-US" w:eastAsia="zh-CN" w:bidi="ar-SA"/>
    </w:rPr>
  </w:style>
  <w:style w:type="character" w:customStyle="1" w:styleId="65">
    <w:name w:val="样式 正文 +"/>
    <w:autoRedefine/>
    <w:qFormat/>
    <w:uiPriority w:val="0"/>
    <w:rPr>
      <w:rFonts w:ascii="Times New Roman" w:hAnsi="Times New Roman" w:eastAsia="宋体" w:cs="Times New Roman"/>
      <w:kern w:val="0"/>
      <w:sz w:val="28"/>
    </w:rPr>
  </w:style>
  <w:style w:type="character" w:customStyle="1" w:styleId="66">
    <w:name w:val="正文文本缩进 字符"/>
    <w:link w:val="18"/>
    <w:autoRedefine/>
    <w:qFormat/>
    <w:uiPriority w:val="0"/>
    <w:rPr>
      <w:rFonts w:ascii="仿宋_GB2312" w:hAnsi="Times New Roman" w:eastAsia="仿宋_GB2312" w:cs="Times New Roman"/>
      <w:kern w:val="2"/>
      <w:sz w:val="32"/>
      <w:lang w:val="en-US" w:eastAsia="zh-CN" w:bidi="ar-SA"/>
    </w:rPr>
  </w:style>
  <w:style w:type="character" w:customStyle="1" w:styleId="67">
    <w:name w:val="普通文字 Char Char2"/>
    <w:autoRedefine/>
    <w:qFormat/>
    <w:uiPriority w:val="0"/>
    <w:rPr>
      <w:rFonts w:ascii="宋体" w:hAnsi="Courier New" w:eastAsia="宋体" w:cs="Times New Roman"/>
      <w:kern w:val="2"/>
      <w:sz w:val="21"/>
      <w:lang w:val="en-US" w:eastAsia="zh-CN" w:bidi="ar-SA"/>
    </w:rPr>
  </w:style>
  <w:style w:type="character" w:customStyle="1" w:styleId="68">
    <w:name w:val="页脚 字符"/>
    <w:link w:val="25"/>
    <w:autoRedefine/>
    <w:qFormat/>
    <w:uiPriority w:val="99"/>
    <w:rPr>
      <w:rFonts w:ascii="Times New Roman" w:hAnsi="Times New Roman" w:eastAsia="宋体" w:cs="Times New Roman"/>
      <w:kern w:val="2"/>
      <w:sz w:val="18"/>
      <w:szCs w:val="18"/>
    </w:rPr>
  </w:style>
  <w:style w:type="character" w:customStyle="1" w:styleId="69">
    <w:name w:val="样式 宋体 小四"/>
    <w:autoRedefine/>
    <w:qFormat/>
    <w:uiPriority w:val="0"/>
    <w:rPr>
      <w:rFonts w:ascii="宋体" w:hAnsi="宋体" w:eastAsia="宋体" w:cs="Times New Roman"/>
      <w:sz w:val="24"/>
    </w:rPr>
  </w:style>
  <w:style w:type="character" w:customStyle="1" w:styleId="70">
    <w:name w:val="页眉 字符"/>
    <w:link w:val="26"/>
    <w:autoRedefine/>
    <w:qFormat/>
    <w:uiPriority w:val="99"/>
    <w:rPr>
      <w:rFonts w:ascii="Times New Roman" w:hAnsi="Times New Roman" w:eastAsia="宋体" w:cs="Times New Roman"/>
      <w:kern w:val="2"/>
      <w:sz w:val="18"/>
      <w:szCs w:val="18"/>
      <w:lang w:val="en-US" w:eastAsia="zh-CN" w:bidi="ar-SA"/>
    </w:rPr>
  </w:style>
  <w:style w:type="character" w:customStyle="1" w:styleId="71">
    <w:name w:val="副标题 字符"/>
    <w:link w:val="28"/>
    <w:autoRedefine/>
    <w:qFormat/>
    <w:uiPriority w:val="0"/>
    <w:rPr>
      <w:rFonts w:ascii="Cambria" w:hAnsi="Cambria" w:eastAsia="宋体" w:cs="Times New Roman"/>
      <w:b/>
      <w:bCs/>
      <w:kern w:val="28"/>
      <w:sz w:val="28"/>
      <w:szCs w:val="32"/>
      <w:lang w:val="en-US" w:eastAsia="zh-CN" w:bidi="ar-SA"/>
    </w:rPr>
  </w:style>
  <w:style w:type="character" w:customStyle="1" w:styleId="72">
    <w:name w:val="批注框文本 字符"/>
    <w:link w:val="24"/>
    <w:autoRedefine/>
    <w:qFormat/>
    <w:uiPriority w:val="99"/>
    <w:rPr>
      <w:rFonts w:ascii="Times New Roman" w:hAnsi="Times New Roman" w:eastAsia="宋体" w:cs="Times New Roman"/>
      <w:kern w:val="2"/>
      <w:sz w:val="18"/>
      <w:szCs w:val="18"/>
    </w:rPr>
  </w:style>
  <w:style w:type="character" w:customStyle="1" w:styleId="73">
    <w:name w:val="批注文字 字符"/>
    <w:link w:val="15"/>
    <w:autoRedefine/>
    <w:qFormat/>
    <w:uiPriority w:val="99"/>
    <w:rPr>
      <w:rFonts w:ascii="Times New Roman" w:hAnsi="Times New Roman" w:eastAsia="宋体" w:cs="Times New Roman"/>
      <w:kern w:val="2"/>
      <w:sz w:val="21"/>
      <w:szCs w:val="24"/>
      <w:lang w:val="en-US" w:eastAsia="zh-CN" w:bidi="ar-SA"/>
    </w:rPr>
  </w:style>
  <w:style w:type="character" w:customStyle="1" w:styleId="74">
    <w:name w:val="Char Char7"/>
    <w:autoRedefine/>
    <w:qFormat/>
    <w:uiPriority w:val="0"/>
    <w:rPr>
      <w:rFonts w:ascii="Times New Roman" w:hAnsi="Times New Roman" w:eastAsia="仿宋_GB2312" w:cs="Times New Roman"/>
      <w:b/>
      <w:bCs/>
      <w:kern w:val="44"/>
      <w:sz w:val="44"/>
      <w:szCs w:val="44"/>
      <w:lang w:val="en-US" w:eastAsia="zh-CN" w:bidi="ar-SA"/>
    </w:rPr>
  </w:style>
  <w:style w:type="character" w:customStyle="1" w:styleId="75">
    <w:name w:val="ca-1"/>
    <w:autoRedefine/>
    <w:qFormat/>
    <w:uiPriority w:val="0"/>
    <w:rPr>
      <w:rFonts w:ascii="Times New Roman" w:hAnsi="Times New Roman" w:eastAsia="宋体" w:cs="Times New Roman"/>
    </w:rPr>
  </w:style>
  <w:style w:type="character" w:customStyle="1" w:styleId="76">
    <w:name w:val="正文360首行缩进 Char"/>
    <w:link w:val="77"/>
    <w:autoRedefine/>
    <w:qFormat/>
    <w:uiPriority w:val="0"/>
    <w:rPr>
      <w:rFonts w:ascii="Times New Roman" w:hAnsi="Times New Roman" w:eastAsia="宋体" w:cs="Times New Roman"/>
      <w:sz w:val="24"/>
      <w:szCs w:val="24"/>
    </w:rPr>
  </w:style>
  <w:style w:type="paragraph" w:customStyle="1" w:styleId="77">
    <w:name w:val="正文360首行缩进"/>
    <w:basedOn w:val="1"/>
    <w:link w:val="76"/>
    <w:autoRedefine/>
    <w:qFormat/>
    <w:uiPriority w:val="0"/>
    <w:pPr>
      <w:widowControl/>
      <w:spacing w:before="120" w:line="300" w:lineRule="auto"/>
      <w:ind w:firstLine="200"/>
      <w:jc w:val="left"/>
    </w:pPr>
    <w:rPr>
      <w:kern w:val="0"/>
      <w:sz w:val="24"/>
    </w:rPr>
  </w:style>
  <w:style w:type="character" w:customStyle="1" w:styleId="78">
    <w:name w:val="List Paragraph Char"/>
    <w:link w:val="79"/>
    <w:autoRedefine/>
    <w:qFormat/>
    <w:locked/>
    <w:uiPriority w:val="0"/>
    <w:rPr>
      <w:rFonts w:ascii="宋体" w:hAnsi="宋体" w:cs="宋体"/>
      <w:sz w:val="24"/>
      <w:szCs w:val="24"/>
    </w:rPr>
  </w:style>
  <w:style w:type="paragraph" w:customStyle="1" w:styleId="79">
    <w:name w:val="列表段落1"/>
    <w:basedOn w:val="1"/>
    <w:link w:val="78"/>
    <w:autoRedefine/>
    <w:qFormat/>
    <w:uiPriority w:val="0"/>
    <w:pPr>
      <w:widowControl/>
      <w:ind w:firstLine="420" w:firstLineChars="200"/>
      <w:jc w:val="left"/>
    </w:pPr>
    <w:rPr>
      <w:rFonts w:ascii="宋体" w:hAnsi="宋体"/>
      <w:kern w:val="0"/>
      <w:sz w:val="24"/>
      <w:lang w:val="zh-CN"/>
    </w:rPr>
  </w:style>
  <w:style w:type="character" w:customStyle="1" w:styleId="80">
    <w:name w:val="yyii"/>
    <w:autoRedefine/>
    <w:qFormat/>
    <w:uiPriority w:val="0"/>
    <w:rPr>
      <w:rFonts w:ascii="Times New Roman" w:hAnsi="Times New Roman" w:eastAsia="宋体" w:cs="Times New Roman"/>
    </w:rPr>
  </w:style>
  <w:style w:type="character" w:customStyle="1" w:styleId="81">
    <w:name w:val="纯文本 Char1"/>
    <w:autoRedefine/>
    <w:qFormat/>
    <w:uiPriority w:val="0"/>
    <w:rPr>
      <w:rFonts w:ascii="宋体" w:hAnsi="Courier New" w:eastAsia="宋体" w:cs="Times New Roman"/>
      <w:kern w:val="2"/>
      <w:sz w:val="21"/>
    </w:rPr>
  </w:style>
  <w:style w:type="character" w:customStyle="1" w:styleId="82">
    <w:name w:val="标题 1 Char1"/>
    <w:autoRedefine/>
    <w:qFormat/>
    <w:uiPriority w:val="0"/>
    <w:rPr>
      <w:rFonts w:ascii="Times New Roman" w:hAnsi="Times New Roman" w:eastAsia="宋体" w:cs="Times New Roman"/>
      <w:b/>
      <w:bCs/>
      <w:kern w:val="44"/>
      <w:sz w:val="44"/>
      <w:szCs w:val="44"/>
    </w:rPr>
  </w:style>
  <w:style w:type="character" w:customStyle="1" w:styleId="83">
    <w:name w:val="标题 2 字符"/>
    <w:link w:val="3"/>
    <w:autoRedefine/>
    <w:qFormat/>
    <w:uiPriority w:val="9"/>
    <w:rPr>
      <w:rFonts w:ascii="Arial" w:hAnsi="Arial" w:eastAsia="黑体"/>
      <w:b/>
      <w:bCs/>
      <w:kern w:val="2"/>
      <w:sz w:val="24"/>
      <w:szCs w:val="32"/>
    </w:rPr>
  </w:style>
  <w:style w:type="character" w:customStyle="1" w:styleId="84">
    <w:name w:val="批注主题 字符"/>
    <w:link w:val="34"/>
    <w:autoRedefine/>
    <w:qFormat/>
    <w:uiPriority w:val="0"/>
    <w:rPr>
      <w:rFonts w:ascii="Times New Roman" w:hAnsi="Times New Roman" w:eastAsia="宋体" w:cs="Times New Roman"/>
      <w:b/>
      <w:bCs/>
      <w:kern w:val="2"/>
      <w:sz w:val="21"/>
      <w:szCs w:val="24"/>
      <w:lang w:val="en-US" w:eastAsia="zh-CN" w:bidi="ar-SA"/>
    </w:rPr>
  </w:style>
  <w:style w:type="paragraph" w:customStyle="1" w:styleId="85">
    <w:name w:val="目录 11"/>
    <w:basedOn w:val="1"/>
    <w:next w:val="1"/>
    <w:autoRedefine/>
    <w:qFormat/>
    <w:uiPriority w:val="39"/>
  </w:style>
  <w:style w:type="paragraph" w:customStyle="1" w:styleId="86">
    <w:name w:val="目录 21"/>
    <w:basedOn w:val="1"/>
    <w:next w:val="1"/>
    <w:autoRedefine/>
    <w:qFormat/>
    <w:uiPriority w:val="39"/>
    <w:pPr>
      <w:tabs>
        <w:tab w:val="right" w:leader="dot" w:pos="9402"/>
      </w:tabs>
      <w:ind w:left="718" w:leftChars="200" w:hanging="298" w:hangingChars="142"/>
    </w:pPr>
  </w:style>
  <w:style w:type="paragraph" w:customStyle="1" w:styleId="87">
    <w:name w:val="目录 31"/>
    <w:basedOn w:val="1"/>
    <w:next w:val="1"/>
    <w:autoRedefine/>
    <w:qFormat/>
    <w:uiPriority w:val="39"/>
    <w:pPr>
      <w:ind w:left="840" w:leftChars="400"/>
    </w:pPr>
  </w:style>
  <w:style w:type="paragraph" w:customStyle="1" w:styleId="88">
    <w:name w:val="正文首行缩进1"/>
    <w:basedOn w:val="17"/>
    <w:autoRedefine/>
    <w:qFormat/>
    <w:uiPriority w:val="0"/>
    <w:pPr>
      <w:spacing w:after="120" w:line="240" w:lineRule="auto"/>
      <w:ind w:firstLine="420" w:firstLineChars="100"/>
    </w:pPr>
    <w:rPr>
      <w:sz w:val="21"/>
    </w:rPr>
  </w:style>
  <w:style w:type="paragraph" w:customStyle="1" w:styleId="89">
    <w:name w:val="Char Char1 Char Char Char Char"/>
    <w:basedOn w:val="14"/>
    <w:autoRedefine/>
    <w:qFormat/>
    <w:uiPriority w:val="0"/>
    <w:rPr>
      <w:rFonts w:ascii="Tahoma" w:hAnsi="Tahoma"/>
      <w:sz w:val="24"/>
    </w:rPr>
  </w:style>
  <w:style w:type="paragraph" w:customStyle="1" w:styleId="90">
    <w:name w:val="列出段落1"/>
    <w:basedOn w:val="1"/>
    <w:autoRedefine/>
    <w:qFormat/>
    <w:uiPriority w:val="99"/>
    <w:pPr>
      <w:ind w:firstLine="420" w:firstLineChars="200"/>
    </w:pPr>
    <w:rPr>
      <w:rFonts w:ascii="Calibri" w:hAnsi="Calibri"/>
    </w:rPr>
  </w:style>
  <w:style w:type="paragraph" w:customStyle="1" w:styleId="91">
    <w:name w:val="Char Char Char1 Char"/>
    <w:basedOn w:val="14"/>
    <w:autoRedefine/>
    <w:qFormat/>
    <w:uiPriority w:val="0"/>
  </w:style>
  <w:style w:type="paragraph" w:customStyle="1" w:styleId="92">
    <w:name w:val="pa-5"/>
    <w:basedOn w:val="1"/>
    <w:autoRedefine/>
    <w:qFormat/>
    <w:uiPriority w:val="0"/>
    <w:pPr>
      <w:widowControl/>
      <w:spacing w:before="150" w:after="150"/>
      <w:jc w:val="left"/>
    </w:pPr>
    <w:rPr>
      <w:rFonts w:ascii="宋体" w:hAnsi="宋体" w:cs="宋体"/>
      <w:kern w:val="0"/>
      <w:sz w:val="24"/>
    </w:rPr>
  </w:style>
  <w:style w:type="paragraph" w:customStyle="1" w:styleId="93">
    <w:name w:val="Table Text Char"/>
    <w:autoRedefine/>
    <w:qFormat/>
    <w:uiPriority w:val="0"/>
    <w:pPr>
      <w:snapToGrid w:val="0"/>
      <w:spacing w:before="80" w:after="80"/>
    </w:pPr>
    <w:rPr>
      <w:rFonts w:ascii="Arial" w:hAnsi="Arial" w:eastAsia="宋体" w:cs="Times New Roman"/>
      <w:sz w:val="18"/>
      <w:lang w:val="en-US" w:eastAsia="zh-CN" w:bidi="ar-SA"/>
    </w:rPr>
  </w:style>
  <w:style w:type="paragraph" w:customStyle="1" w:styleId="94">
    <w:name w:val="Char Char1 Char Char Char Char1"/>
    <w:basedOn w:val="14"/>
    <w:autoRedefine/>
    <w:qFormat/>
    <w:uiPriority w:val="0"/>
    <w:rPr>
      <w:rFonts w:ascii="Tahoma" w:hAnsi="Tahoma"/>
      <w:sz w:val="24"/>
    </w:rPr>
  </w:style>
  <w:style w:type="paragraph" w:customStyle="1" w:styleId="95">
    <w:name w:val="_Style 35"/>
    <w:basedOn w:val="14"/>
    <w:autoRedefine/>
    <w:qFormat/>
    <w:uiPriority w:val="0"/>
    <w:pPr>
      <w:widowControl/>
      <w:ind w:firstLine="454"/>
      <w:jc w:val="left"/>
    </w:pPr>
  </w:style>
  <w:style w:type="paragraph" w:customStyle="1" w:styleId="96">
    <w:name w:val="5 Char Char Char Char Char Char Char Char Char Char"/>
    <w:basedOn w:val="1"/>
    <w:autoRedefine/>
    <w:qFormat/>
    <w:uiPriority w:val="0"/>
  </w:style>
  <w:style w:type="paragraph" w:customStyle="1" w:styleId="97">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98">
    <w:name w:val="Char Char2 Char Char Char Char Char Char Char Char Char Char"/>
    <w:basedOn w:val="1"/>
    <w:autoRedefine/>
    <w:qFormat/>
    <w:uiPriority w:val="0"/>
    <w:pPr>
      <w:tabs>
        <w:tab w:val="left" w:pos="360"/>
      </w:tabs>
      <w:spacing w:line="360" w:lineRule="auto"/>
      <w:ind w:left="482" w:firstLine="200" w:firstLineChars="200"/>
    </w:pPr>
  </w:style>
  <w:style w:type="paragraph" w:customStyle="1" w:styleId="99">
    <w:name w:val="默认段落字体 Para Char"/>
    <w:basedOn w:val="1"/>
    <w:autoRedefine/>
    <w:qFormat/>
    <w:uiPriority w:val="0"/>
    <w:rPr>
      <w:szCs w:val="20"/>
    </w:rPr>
  </w:style>
  <w:style w:type="paragraph" w:customStyle="1" w:styleId="100">
    <w:name w:val="表格文字"/>
    <w:basedOn w:val="1"/>
    <w:autoRedefine/>
    <w:qFormat/>
    <w:uiPriority w:val="0"/>
    <w:pPr>
      <w:spacing w:before="25" w:after="25"/>
      <w:jc w:val="left"/>
    </w:pPr>
    <w:rPr>
      <w:bCs/>
      <w:spacing w:val="10"/>
      <w:kern w:val="0"/>
      <w:sz w:val="24"/>
    </w:rPr>
  </w:style>
  <w:style w:type="paragraph" w:customStyle="1" w:styleId="101">
    <w:name w:val="_Style 7"/>
    <w:basedOn w:val="14"/>
    <w:autoRedefine/>
    <w:qFormat/>
    <w:uiPriority w:val="0"/>
  </w:style>
  <w:style w:type="paragraph" w:customStyle="1" w:styleId="102">
    <w:name w:val="普通(网站)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03">
    <w:name w:val="默认段落字体 Para Char Char Char Char Char Char Char Char Char1 Char Char Char Char"/>
    <w:basedOn w:val="1"/>
    <w:autoRedefine/>
    <w:qFormat/>
    <w:uiPriority w:val="0"/>
    <w:rPr>
      <w:rFonts w:ascii="Tahoma" w:hAnsi="Tahoma"/>
      <w:sz w:val="24"/>
      <w:szCs w:val="20"/>
    </w:rPr>
  </w:style>
  <w:style w:type="paragraph" w:customStyle="1" w:styleId="104">
    <w:name w:val="样式 标题 1 + 居中 段前: 0 磅 段后: 0 磅 行距: 固定值 30 磅"/>
    <w:basedOn w:val="2"/>
    <w:autoRedefine/>
    <w:qFormat/>
    <w:uiPriority w:val="0"/>
    <w:pPr>
      <w:spacing w:before="0" w:after="0" w:line="600" w:lineRule="exact"/>
    </w:pPr>
    <w:rPr>
      <w:rFonts w:eastAsia="宋体" w:cs="宋体"/>
      <w:szCs w:val="20"/>
    </w:rPr>
  </w:style>
  <w:style w:type="paragraph" w:customStyle="1" w:styleId="105">
    <w:name w:val="样式 小四 行距: 1.5 倍行距"/>
    <w:basedOn w:val="1"/>
    <w:autoRedefine/>
    <w:qFormat/>
    <w:uiPriority w:val="0"/>
    <w:pPr>
      <w:spacing w:line="360" w:lineRule="auto"/>
      <w:ind w:firstLine="480" w:firstLineChars="200"/>
    </w:pPr>
    <w:rPr>
      <w:rFonts w:cs="宋体"/>
      <w:sz w:val="24"/>
      <w:szCs w:val="20"/>
    </w:rPr>
  </w:style>
  <w:style w:type="paragraph" w:customStyle="1" w:styleId="106">
    <w:name w:val="p0"/>
    <w:basedOn w:val="1"/>
    <w:autoRedefine/>
    <w:qFormat/>
    <w:uiPriority w:val="0"/>
    <w:pPr>
      <w:widowControl/>
    </w:pPr>
    <w:rPr>
      <w:rFonts w:ascii="宋体" w:hAnsi="宋体" w:cs="宋体"/>
      <w:kern w:val="0"/>
      <w:szCs w:val="21"/>
    </w:rPr>
  </w:style>
  <w:style w:type="paragraph" w:customStyle="1" w:styleId="107">
    <w:name w:val="Char Char Char Char Char Char Char Char Char Char Char Char"/>
    <w:basedOn w:val="1"/>
    <w:autoRedefine/>
    <w:qFormat/>
    <w:uiPriority w:val="0"/>
    <w:pPr>
      <w:widowControl/>
      <w:spacing w:after="160" w:line="240" w:lineRule="exact"/>
      <w:jc w:val="left"/>
    </w:pPr>
  </w:style>
  <w:style w:type="paragraph" w:customStyle="1" w:styleId="108">
    <w:name w:val="Char Char Char1 Char1"/>
    <w:basedOn w:val="1"/>
    <w:autoRedefine/>
    <w:qFormat/>
    <w:uiPriority w:val="0"/>
    <w:rPr>
      <w:rFonts w:ascii="Calibri" w:hAnsi="Calibri"/>
      <w:szCs w:val="22"/>
    </w:rPr>
  </w:style>
  <w:style w:type="paragraph" w:customStyle="1" w:styleId="109">
    <w:name w:val="Char Char Char Char Char Char Char"/>
    <w:basedOn w:val="1"/>
    <w:autoRedefine/>
    <w:qFormat/>
    <w:uiPriority w:val="0"/>
  </w:style>
  <w:style w:type="paragraph" w:customStyle="1" w:styleId="110">
    <w:name w:val="文档正文"/>
    <w:basedOn w:val="1"/>
    <w:autoRedefine/>
    <w:qFormat/>
    <w:uiPriority w:val="0"/>
    <w:pPr>
      <w:autoSpaceDE w:val="0"/>
      <w:autoSpaceDN w:val="0"/>
      <w:adjustRightInd w:val="0"/>
      <w:spacing w:line="240" w:lineRule="atLeast"/>
      <w:ind w:firstLine="567"/>
    </w:pPr>
    <w:rPr>
      <w:rFonts w:ascii="Arial Narrow" w:hAnsi="Arial Narrow" w:cs="Arial"/>
      <w:sz w:val="24"/>
      <w:lang w:val="zh-CN"/>
    </w:rPr>
  </w:style>
  <w:style w:type="paragraph" w:customStyle="1" w:styleId="111">
    <w:name w:val="样式 正文2 + 仿宋 黑色 首行缩进:  2 字符"/>
    <w:basedOn w:val="1"/>
    <w:autoRedefine/>
    <w:qFormat/>
    <w:uiPriority w:val="0"/>
    <w:pPr>
      <w:spacing w:line="360" w:lineRule="auto"/>
      <w:ind w:firstLine="480" w:firstLineChars="200"/>
    </w:pPr>
    <w:rPr>
      <w:rFonts w:ascii="仿宋" w:hAnsi="仿宋" w:eastAsia="仿宋" w:cs="宋体"/>
      <w:color w:val="000000"/>
      <w:sz w:val="24"/>
      <w:szCs w:val="20"/>
    </w:rPr>
  </w:style>
  <w:style w:type="paragraph" w:customStyle="1" w:styleId="112">
    <w:name w:val="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13">
    <w:name w:val="表内文字"/>
    <w:basedOn w:val="1"/>
    <w:autoRedefine/>
    <w:qFormat/>
    <w:uiPriority w:val="0"/>
    <w:pPr>
      <w:snapToGrid w:val="0"/>
      <w:spacing w:before="50" w:after="50"/>
      <w:jc w:val="center"/>
    </w:pPr>
    <w:rPr>
      <w:rFonts w:ascii="仿宋_GB2312" w:hAnsi="宋体" w:eastAsia="仿宋_GB2312"/>
      <w:b/>
      <w:color w:val="000000"/>
      <w:sz w:val="32"/>
      <w:szCs w:val="32"/>
    </w:rPr>
  </w:style>
  <w:style w:type="paragraph" w:customStyle="1" w:styleId="114">
    <w:name w:val="Char"/>
    <w:basedOn w:val="14"/>
    <w:autoRedefine/>
    <w:qFormat/>
    <w:uiPriority w:val="0"/>
    <w:pPr>
      <w:widowControl/>
      <w:ind w:firstLine="454"/>
      <w:jc w:val="left"/>
    </w:pPr>
    <w:rPr>
      <w:rFonts w:ascii="Tahoma" w:hAnsi="Tahoma" w:cs="宋体"/>
      <w:kern w:val="0"/>
      <w:sz w:val="24"/>
      <w:szCs w:val="20"/>
    </w:rPr>
  </w:style>
  <w:style w:type="paragraph" w:customStyle="1" w:styleId="115">
    <w:name w:val="Char1"/>
    <w:basedOn w:val="14"/>
    <w:autoRedefine/>
    <w:qFormat/>
    <w:uiPriority w:val="0"/>
    <w:pPr>
      <w:widowControl/>
      <w:ind w:firstLine="454"/>
      <w:jc w:val="left"/>
    </w:pPr>
    <w:rPr>
      <w:rFonts w:ascii="Tahoma" w:hAnsi="Tahoma" w:cs="宋体"/>
      <w:kern w:val="0"/>
      <w:sz w:val="24"/>
      <w:szCs w:val="20"/>
    </w:rPr>
  </w:style>
  <w:style w:type="paragraph" w:customStyle="1" w:styleId="116">
    <w:name w:val="1"/>
    <w:basedOn w:val="1"/>
    <w:next w:val="21"/>
    <w:autoRedefine/>
    <w:qFormat/>
    <w:uiPriority w:val="0"/>
    <w:rPr>
      <w:rFonts w:ascii="宋体" w:hAnsi="Courier New"/>
      <w:szCs w:val="20"/>
    </w:rPr>
  </w:style>
  <w:style w:type="paragraph" w:customStyle="1" w:styleId="117">
    <w:name w:val="_Style 2"/>
    <w:basedOn w:val="1"/>
    <w:autoRedefine/>
    <w:qFormat/>
    <w:uiPriority w:val="0"/>
    <w:pPr>
      <w:ind w:firstLine="420" w:firstLineChars="200"/>
    </w:pPr>
  </w:style>
  <w:style w:type="paragraph" w:customStyle="1" w:styleId="118">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119">
    <w:name w:val="列出段落"/>
    <w:basedOn w:val="1"/>
    <w:autoRedefine/>
    <w:qFormat/>
    <w:uiPriority w:val="34"/>
    <w:pPr>
      <w:ind w:firstLine="420" w:firstLineChars="200"/>
    </w:pPr>
    <w:rPr>
      <w:rFonts w:ascii="Calibri" w:hAnsi="Calibri"/>
      <w:szCs w:val="22"/>
    </w:rPr>
  </w:style>
  <w:style w:type="paragraph" w:customStyle="1" w:styleId="120">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1">
    <w:name w:val="未处理的提及1"/>
    <w:basedOn w:val="38"/>
    <w:autoRedefine/>
    <w:unhideWhenUsed/>
    <w:qFormat/>
    <w:uiPriority w:val="99"/>
    <w:rPr>
      <w:color w:val="605E5C"/>
      <w:shd w:val="clear" w:color="auto" w:fill="E1DFDD"/>
    </w:rPr>
  </w:style>
  <w:style w:type="character" w:customStyle="1" w:styleId="122">
    <w:name w:val="font81"/>
    <w:basedOn w:val="38"/>
    <w:autoRedefine/>
    <w:qFormat/>
    <w:uiPriority w:val="0"/>
    <w:rPr>
      <w:rFonts w:hint="eastAsia" w:ascii="宋体" w:hAnsi="宋体" w:eastAsia="宋体" w:cs="宋体"/>
      <w:color w:val="000000"/>
      <w:sz w:val="18"/>
      <w:szCs w:val="18"/>
      <w:u w:val="none"/>
    </w:rPr>
  </w:style>
  <w:style w:type="paragraph" w:customStyle="1" w:styleId="123">
    <w:name w:val="列表段落2"/>
    <w:basedOn w:val="1"/>
    <w:autoRedefine/>
    <w:qFormat/>
    <w:uiPriority w:val="34"/>
    <w:pPr>
      <w:ind w:firstLine="420" w:firstLineChars="200"/>
    </w:pPr>
  </w:style>
  <w:style w:type="character" w:customStyle="1" w:styleId="124">
    <w:name w:val="未处理的提及2"/>
    <w:basedOn w:val="38"/>
    <w:autoRedefine/>
    <w:unhideWhenUsed/>
    <w:qFormat/>
    <w:uiPriority w:val="99"/>
    <w:rPr>
      <w:color w:val="605E5C"/>
      <w:shd w:val="clear" w:color="auto" w:fill="E1DFDD"/>
    </w:rPr>
  </w:style>
  <w:style w:type="character" w:customStyle="1" w:styleId="125">
    <w:name w:val="纯文本 字符1"/>
    <w:autoRedefine/>
    <w:qFormat/>
    <w:uiPriority w:val="0"/>
    <w:rPr>
      <w:rFonts w:ascii="宋体" w:hAnsi="Courier New" w:eastAsia="宋体" w:cs="Courier New"/>
      <w:kern w:val="2"/>
      <w:sz w:val="21"/>
      <w:szCs w:val="21"/>
      <w:lang w:val="en-US" w:eastAsia="zh-CN" w:bidi="ar-SA"/>
    </w:rPr>
  </w:style>
  <w:style w:type="character" w:customStyle="1" w:styleId="126">
    <w:name w:val="标题 4 字符"/>
    <w:basedOn w:val="38"/>
    <w:link w:val="5"/>
    <w:autoRedefine/>
    <w:qFormat/>
    <w:uiPriority w:val="9"/>
    <w:rPr>
      <w:rFonts w:asciiTheme="majorHAnsi" w:hAnsiTheme="majorHAnsi" w:eastAsiaTheme="majorEastAsia" w:cstheme="majorBidi"/>
      <w:b/>
      <w:bCs/>
      <w:kern w:val="2"/>
      <w:sz w:val="28"/>
      <w:szCs w:val="28"/>
    </w:rPr>
  </w:style>
  <w:style w:type="character" w:customStyle="1" w:styleId="127">
    <w:name w:val="标题 5 字符"/>
    <w:basedOn w:val="38"/>
    <w:link w:val="6"/>
    <w:autoRedefine/>
    <w:qFormat/>
    <w:uiPriority w:val="9"/>
    <w:rPr>
      <w:b/>
      <w:kern w:val="2"/>
      <w:sz w:val="28"/>
      <w:szCs w:val="24"/>
    </w:rPr>
  </w:style>
  <w:style w:type="character" w:customStyle="1" w:styleId="128">
    <w:name w:val="标题 6 字符"/>
    <w:basedOn w:val="38"/>
    <w:link w:val="8"/>
    <w:autoRedefine/>
    <w:qFormat/>
    <w:uiPriority w:val="9"/>
    <w:rPr>
      <w:rFonts w:ascii="Arial" w:hAnsi="Arial" w:eastAsia="黑体"/>
      <w:b/>
      <w:kern w:val="2"/>
      <w:sz w:val="24"/>
      <w:szCs w:val="24"/>
    </w:rPr>
  </w:style>
  <w:style w:type="character" w:customStyle="1" w:styleId="129">
    <w:name w:val="标题 7 字符"/>
    <w:basedOn w:val="38"/>
    <w:link w:val="9"/>
    <w:autoRedefine/>
    <w:qFormat/>
    <w:uiPriority w:val="9"/>
    <w:rPr>
      <w:b/>
      <w:kern w:val="2"/>
      <w:sz w:val="24"/>
      <w:szCs w:val="24"/>
    </w:rPr>
  </w:style>
  <w:style w:type="character" w:customStyle="1" w:styleId="130">
    <w:name w:val="标题 8 字符"/>
    <w:basedOn w:val="38"/>
    <w:link w:val="10"/>
    <w:autoRedefine/>
    <w:qFormat/>
    <w:uiPriority w:val="9"/>
    <w:rPr>
      <w:rFonts w:ascii="Arial" w:hAnsi="Arial" w:eastAsia="黑体"/>
      <w:kern w:val="2"/>
      <w:sz w:val="24"/>
      <w:szCs w:val="24"/>
    </w:rPr>
  </w:style>
  <w:style w:type="character" w:customStyle="1" w:styleId="131">
    <w:name w:val="标题 9 字符"/>
    <w:basedOn w:val="38"/>
    <w:link w:val="11"/>
    <w:autoRedefine/>
    <w:qFormat/>
    <w:uiPriority w:val="9"/>
    <w:rPr>
      <w:rFonts w:ascii="Arial" w:hAnsi="Arial" w:eastAsia="黑体"/>
      <w:kern w:val="2"/>
      <w:sz w:val="21"/>
      <w:szCs w:val="24"/>
    </w:rPr>
  </w:style>
  <w:style w:type="paragraph" w:customStyle="1" w:styleId="132">
    <w:name w:val="TOC 71"/>
    <w:basedOn w:val="1"/>
    <w:next w:val="1"/>
    <w:autoRedefine/>
    <w:unhideWhenUsed/>
    <w:qFormat/>
    <w:uiPriority w:val="39"/>
    <w:pPr>
      <w:spacing w:line="360" w:lineRule="auto"/>
      <w:ind w:left="1440" w:firstLine="200" w:firstLineChars="200"/>
      <w:jc w:val="left"/>
    </w:pPr>
    <w:rPr>
      <w:rFonts w:ascii="Calibri" w:hAnsi="Calibri"/>
      <w:sz w:val="18"/>
      <w:szCs w:val="18"/>
    </w:rPr>
  </w:style>
  <w:style w:type="character" w:customStyle="1" w:styleId="133">
    <w:name w:val="文档结构图 字符"/>
    <w:basedOn w:val="38"/>
    <w:link w:val="14"/>
    <w:autoRedefine/>
    <w:qFormat/>
    <w:uiPriority w:val="99"/>
    <w:rPr>
      <w:kern w:val="2"/>
      <w:sz w:val="21"/>
      <w:szCs w:val="24"/>
      <w:shd w:val="clear" w:color="auto" w:fill="000080"/>
    </w:rPr>
  </w:style>
  <w:style w:type="character" w:customStyle="1" w:styleId="134">
    <w:name w:val="正文文本 字符"/>
    <w:basedOn w:val="38"/>
    <w:link w:val="17"/>
    <w:autoRedefine/>
    <w:qFormat/>
    <w:uiPriority w:val="0"/>
    <w:rPr>
      <w:kern w:val="2"/>
      <w:sz w:val="24"/>
      <w:szCs w:val="24"/>
    </w:rPr>
  </w:style>
  <w:style w:type="paragraph" w:customStyle="1" w:styleId="135">
    <w:name w:val="TOC 51"/>
    <w:basedOn w:val="1"/>
    <w:next w:val="1"/>
    <w:autoRedefine/>
    <w:unhideWhenUsed/>
    <w:qFormat/>
    <w:uiPriority w:val="39"/>
    <w:pPr>
      <w:spacing w:line="360" w:lineRule="auto"/>
      <w:ind w:left="960" w:firstLine="200" w:firstLineChars="200"/>
      <w:jc w:val="left"/>
    </w:pPr>
    <w:rPr>
      <w:rFonts w:ascii="Calibri" w:hAnsi="Calibri"/>
      <w:sz w:val="18"/>
      <w:szCs w:val="18"/>
    </w:rPr>
  </w:style>
  <w:style w:type="paragraph" w:customStyle="1" w:styleId="136">
    <w:name w:val="TOC 31"/>
    <w:basedOn w:val="1"/>
    <w:next w:val="1"/>
    <w:autoRedefine/>
    <w:unhideWhenUsed/>
    <w:qFormat/>
    <w:uiPriority w:val="39"/>
    <w:pPr>
      <w:spacing w:line="360" w:lineRule="auto"/>
      <w:ind w:left="480" w:firstLine="200" w:firstLineChars="200"/>
      <w:jc w:val="left"/>
    </w:pPr>
    <w:rPr>
      <w:rFonts w:ascii="Calibri" w:hAnsi="Calibri"/>
      <w:i/>
      <w:iCs/>
      <w:sz w:val="20"/>
      <w:szCs w:val="20"/>
    </w:rPr>
  </w:style>
  <w:style w:type="paragraph" w:customStyle="1" w:styleId="137">
    <w:name w:val="TOC 81"/>
    <w:basedOn w:val="1"/>
    <w:next w:val="1"/>
    <w:autoRedefine/>
    <w:unhideWhenUsed/>
    <w:qFormat/>
    <w:uiPriority w:val="39"/>
    <w:pPr>
      <w:spacing w:line="360" w:lineRule="auto"/>
      <w:ind w:left="1680" w:firstLine="200" w:firstLineChars="200"/>
      <w:jc w:val="left"/>
    </w:pPr>
    <w:rPr>
      <w:rFonts w:ascii="Calibri" w:hAnsi="Calibri"/>
      <w:sz w:val="18"/>
      <w:szCs w:val="18"/>
    </w:rPr>
  </w:style>
  <w:style w:type="paragraph" w:customStyle="1" w:styleId="138">
    <w:name w:val="TOC 41"/>
    <w:basedOn w:val="1"/>
    <w:next w:val="1"/>
    <w:autoRedefine/>
    <w:unhideWhenUsed/>
    <w:qFormat/>
    <w:uiPriority w:val="39"/>
    <w:pPr>
      <w:spacing w:line="360" w:lineRule="auto"/>
      <w:ind w:left="720" w:firstLine="200" w:firstLineChars="200"/>
      <w:jc w:val="left"/>
    </w:pPr>
    <w:rPr>
      <w:rFonts w:ascii="Calibri" w:hAnsi="Calibri"/>
      <w:sz w:val="18"/>
      <w:szCs w:val="18"/>
    </w:rPr>
  </w:style>
  <w:style w:type="paragraph" w:customStyle="1" w:styleId="139">
    <w:name w:val="TOC 61"/>
    <w:basedOn w:val="1"/>
    <w:next w:val="1"/>
    <w:autoRedefine/>
    <w:unhideWhenUsed/>
    <w:qFormat/>
    <w:uiPriority w:val="39"/>
    <w:pPr>
      <w:spacing w:line="360" w:lineRule="auto"/>
      <w:ind w:left="1200" w:firstLine="200" w:firstLineChars="200"/>
      <w:jc w:val="left"/>
    </w:pPr>
    <w:rPr>
      <w:rFonts w:ascii="Calibri" w:hAnsi="Calibri"/>
      <w:sz w:val="18"/>
      <w:szCs w:val="18"/>
    </w:rPr>
  </w:style>
  <w:style w:type="paragraph" w:customStyle="1" w:styleId="140">
    <w:name w:val="TOC 21"/>
    <w:basedOn w:val="1"/>
    <w:next w:val="1"/>
    <w:autoRedefine/>
    <w:unhideWhenUsed/>
    <w:qFormat/>
    <w:uiPriority w:val="39"/>
    <w:pPr>
      <w:spacing w:line="360" w:lineRule="auto"/>
      <w:ind w:left="240" w:firstLine="200" w:firstLineChars="200"/>
      <w:jc w:val="left"/>
    </w:pPr>
    <w:rPr>
      <w:rFonts w:ascii="Calibri" w:hAnsi="Calibri"/>
      <w:smallCaps/>
      <w:sz w:val="20"/>
      <w:szCs w:val="20"/>
    </w:rPr>
  </w:style>
  <w:style w:type="paragraph" w:customStyle="1" w:styleId="141">
    <w:name w:val="TOC 91"/>
    <w:basedOn w:val="1"/>
    <w:next w:val="1"/>
    <w:autoRedefine/>
    <w:unhideWhenUsed/>
    <w:qFormat/>
    <w:uiPriority w:val="39"/>
    <w:pPr>
      <w:spacing w:line="360" w:lineRule="auto"/>
      <w:ind w:left="1920" w:firstLine="200" w:firstLineChars="200"/>
      <w:jc w:val="left"/>
    </w:pPr>
    <w:rPr>
      <w:rFonts w:ascii="Calibri" w:hAnsi="Calibri"/>
      <w:sz w:val="18"/>
      <w:szCs w:val="18"/>
    </w:rPr>
  </w:style>
  <w:style w:type="table" w:customStyle="1" w:styleId="142">
    <w:name w:val="网格型1"/>
    <w:basedOn w:val="36"/>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3">
    <w:name w:val="正文文本 Char1"/>
    <w:basedOn w:val="38"/>
    <w:autoRedefine/>
    <w:semiHidden/>
    <w:qFormat/>
    <w:uiPriority w:val="99"/>
    <w:rPr>
      <w:sz w:val="24"/>
    </w:rPr>
  </w:style>
  <w:style w:type="paragraph" w:customStyle="1" w:styleId="144">
    <w:name w:val="修订1"/>
    <w:autoRedefine/>
    <w:hidden/>
    <w:unhideWhenUsed/>
    <w:qFormat/>
    <w:uiPriority w:val="99"/>
    <w:rPr>
      <w:rFonts w:ascii="Calibri" w:hAnsi="Calibri" w:eastAsia="宋体" w:cs="Times New Roman"/>
      <w:kern w:val="2"/>
      <w:sz w:val="24"/>
      <w:szCs w:val="22"/>
      <w:lang w:val="en-US" w:eastAsia="zh-CN" w:bidi="ar-SA"/>
    </w:rPr>
  </w:style>
  <w:style w:type="character" w:customStyle="1" w:styleId="145">
    <w:name w:val="占位符文本1"/>
    <w:autoRedefine/>
    <w:semiHidden/>
    <w:qFormat/>
    <w:uiPriority w:val="99"/>
    <w:rPr>
      <w:color w:val="808080"/>
    </w:rPr>
  </w:style>
  <w:style w:type="paragraph" w:customStyle="1" w:styleId="146">
    <w:name w:val="WPSOffice手动目录 1"/>
    <w:autoRedefine/>
    <w:qFormat/>
    <w:uiPriority w:val="0"/>
    <w:rPr>
      <w:rFonts w:ascii="Times New Roman" w:hAnsi="Times New Roman" w:eastAsia="宋体" w:cs="Times New Roman"/>
      <w:lang w:val="en-US" w:eastAsia="zh-CN" w:bidi="ar-SA"/>
    </w:rPr>
  </w:style>
  <w:style w:type="paragraph" w:customStyle="1" w:styleId="147">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48">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149">
    <w:name w:val="font01"/>
    <w:basedOn w:val="38"/>
    <w:autoRedefine/>
    <w:qFormat/>
    <w:uiPriority w:val="0"/>
    <w:rPr>
      <w:rFonts w:hint="eastAsia" w:ascii="宋体" w:hAnsi="宋体" w:eastAsia="宋体" w:cs="宋体"/>
      <w:color w:val="000000"/>
      <w:sz w:val="24"/>
      <w:szCs w:val="24"/>
      <w:u w:val="none"/>
    </w:rPr>
  </w:style>
  <w:style w:type="paragraph" w:customStyle="1" w:styleId="150">
    <w:name w:val="TOC 标题1"/>
    <w:basedOn w:val="2"/>
    <w:next w:val="1"/>
    <w:autoRedefine/>
    <w:unhideWhenUsed/>
    <w:qFormat/>
    <w:uiPriority w:val="39"/>
    <w:pPr>
      <w:widowControl/>
      <w:spacing w:before="240" w:after="0" w:line="259" w:lineRule="auto"/>
      <w:jc w:val="left"/>
      <w:outlineLvl w:val="9"/>
    </w:pPr>
    <w:rPr>
      <w:rFonts w:ascii="Cambria" w:hAnsi="Cambria" w:eastAsia="宋体"/>
      <w:b w:val="0"/>
      <w:bCs w:val="0"/>
      <w:color w:val="365F91"/>
      <w:kern w:val="0"/>
      <w:sz w:val="32"/>
      <w:szCs w:val="32"/>
    </w:rPr>
  </w:style>
  <w:style w:type="paragraph" w:styleId="151">
    <w:name w:val="List Paragraph"/>
    <w:basedOn w:val="1"/>
    <w:autoRedefine/>
    <w:qFormat/>
    <w:uiPriority w:val="99"/>
    <w:pPr>
      <w:ind w:firstLine="420" w:firstLineChars="200"/>
    </w:pPr>
  </w:style>
  <w:style w:type="character" w:customStyle="1" w:styleId="152">
    <w:name w:val="Unresolved Mention"/>
    <w:basedOn w:val="38"/>
    <w:autoRedefine/>
    <w:semiHidden/>
    <w:unhideWhenUsed/>
    <w:qFormat/>
    <w:uiPriority w:val="99"/>
    <w:rPr>
      <w:color w:val="605E5C"/>
      <w:shd w:val="clear" w:color="auto" w:fill="E1DFDD"/>
    </w:rPr>
  </w:style>
  <w:style w:type="character" w:customStyle="1" w:styleId="153">
    <w:name w:val="font61"/>
    <w:autoRedefine/>
    <w:qFormat/>
    <w:uiPriority w:val="0"/>
    <w:rPr>
      <w:rFonts w:hint="eastAsia" w:ascii="宋体" w:hAnsi="宋体" w:eastAsia="宋体" w:cs="宋体"/>
      <w:color w:val="000000"/>
      <w:sz w:val="18"/>
      <w:szCs w:val="18"/>
      <w:u w:val="none"/>
    </w:rPr>
  </w:style>
  <w:style w:type="character" w:customStyle="1" w:styleId="154">
    <w:name w:val="font91"/>
    <w:autoRedefine/>
    <w:qFormat/>
    <w:uiPriority w:val="0"/>
    <w:rPr>
      <w:rFonts w:hint="default" w:ascii="Times New Roman" w:hAnsi="Times New Roman" w:cs="Times New Roman"/>
      <w:color w:val="000000"/>
      <w:sz w:val="18"/>
      <w:szCs w:val="18"/>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DAF175-1F30-4369-8DF1-883D08BE14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24279</Words>
  <Characters>26102</Characters>
  <Lines>157</Lines>
  <Paragraphs>44</Paragraphs>
  <TotalTime>0</TotalTime>
  <ScaleCrop>false</ScaleCrop>
  <LinksUpToDate>false</LinksUpToDate>
  <CharactersWithSpaces>27571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2020-10-27T08:16:00Z</dcterms:created>
  <dc:creator>Huang Qian</dc:creator>
  <cp:lastModifiedBy>~猫~石榴</cp:lastModifiedBy>
  <cp:lastPrinted>2024-05-24T02:06:00Z</cp:lastPrinted>
  <dcterms:modified xsi:type="dcterms:W3CDTF">2024-05-27T06:52:35Z</dcterms:modified>
  <dc:title>竞争性谈判文件</dc:title>
  <cp:revision>635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D872E8EDA8C24E9DA717DBD311D5A15A</vt:lpwstr>
  </property>
</Properties>
</file>